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2D65" w14:textId="74A6F7AB" w:rsidR="007118E0" w:rsidRPr="00511504" w:rsidRDefault="007118E0" w:rsidP="00511504">
      <w:pPr>
        <w:pStyle w:val="Title"/>
        <w:rPr>
          <w:sz w:val="40"/>
          <w:szCs w:val="40"/>
        </w:rPr>
      </w:pPr>
      <w:r w:rsidRPr="00511504">
        <w:rPr>
          <w:sz w:val="40"/>
          <w:szCs w:val="40"/>
        </w:rPr>
        <w:t xml:space="preserve">Challenges for global antibiotic regimen planning and </w:t>
      </w:r>
      <w:r w:rsidR="00F548A2" w:rsidRPr="00511504">
        <w:rPr>
          <w:sz w:val="40"/>
          <w:szCs w:val="40"/>
        </w:rPr>
        <w:t xml:space="preserve">establishing </w:t>
      </w:r>
      <w:r w:rsidR="00135642" w:rsidRPr="00511504">
        <w:rPr>
          <w:sz w:val="40"/>
          <w:szCs w:val="40"/>
        </w:rPr>
        <w:t xml:space="preserve">antimicrobial resistance </w:t>
      </w:r>
      <w:r w:rsidRPr="00511504">
        <w:rPr>
          <w:sz w:val="40"/>
          <w:szCs w:val="40"/>
        </w:rPr>
        <w:t>target</w:t>
      </w:r>
      <w:r w:rsidR="007D6EAC" w:rsidRPr="00511504">
        <w:rPr>
          <w:sz w:val="40"/>
          <w:szCs w:val="40"/>
        </w:rPr>
        <w:t>s: implications</w:t>
      </w:r>
      <w:r w:rsidRPr="00511504">
        <w:rPr>
          <w:sz w:val="40"/>
          <w:szCs w:val="40"/>
        </w:rPr>
        <w:t xml:space="preserve"> for </w:t>
      </w:r>
      <w:r w:rsidR="00B05313" w:rsidRPr="00511504">
        <w:rPr>
          <w:sz w:val="40"/>
          <w:szCs w:val="40"/>
        </w:rPr>
        <w:t xml:space="preserve">the </w:t>
      </w:r>
      <w:r w:rsidR="4E42D8F4" w:rsidRPr="00511504">
        <w:rPr>
          <w:sz w:val="40"/>
          <w:szCs w:val="40"/>
        </w:rPr>
        <w:t xml:space="preserve">WHO </w:t>
      </w:r>
      <w:r w:rsidR="00B05313" w:rsidRPr="00511504">
        <w:rPr>
          <w:sz w:val="40"/>
          <w:szCs w:val="40"/>
        </w:rPr>
        <w:t>Essential Medicines List and</w:t>
      </w:r>
      <w:r w:rsidRPr="00511504">
        <w:rPr>
          <w:sz w:val="40"/>
          <w:szCs w:val="40"/>
        </w:rPr>
        <w:t xml:space="preserve"> </w:t>
      </w:r>
      <w:proofErr w:type="spellStart"/>
      <w:r w:rsidRPr="00511504">
        <w:rPr>
          <w:sz w:val="40"/>
          <w:szCs w:val="40"/>
        </w:rPr>
        <w:t>AWaRe</w:t>
      </w:r>
      <w:proofErr w:type="spellEnd"/>
      <w:r w:rsidR="6334F92B" w:rsidRPr="00511504">
        <w:rPr>
          <w:sz w:val="40"/>
          <w:szCs w:val="40"/>
        </w:rPr>
        <w:t xml:space="preserve"> antibiotic book dosing.</w:t>
      </w:r>
    </w:p>
    <w:p w14:paraId="2C275CA6" w14:textId="77777777" w:rsidR="007118E0" w:rsidRPr="00511504" w:rsidRDefault="007118E0" w:rsidP="007118E0">
      <w:pPr>
        <w:spacing w:line="276" w:lineRule="auto"/>
        <w:jc w:val="both"/>
        <w:rPr>
          <w:rFonts w:eastAsia="Arial" w:cs="Arial"/>
          <w:sz w:val="40"/>
          <w:szCs w:val="40"/>
        </w:rPr>
      </w:pPr>
      <w:r w:rsidRPr="00511504">
        <w:rPr>
          <w:rFonts w:eastAsia="Arial" w:cs="Arial"/>
          <w:sz w:val="40"/>
          <w:szCs w:val="40"/>
        </w:rPr>
        <w:t xml:space="preserve"> </w:t>
      </w:r>
    </w:p>
    <w:p w14:paraId="7D1A27CA" w14:textId="66E16CDB" w:rsidR="007118E0" w:rsidRPr="00FE0443" w:rsidRDefault="007118E0" w:rsidP="007118E0">
      <w:pPr>
        <w:spacing w:line="276" w:lineRule="auto"/>
        <w:jc w:val="both"/>
        <w:rPr>
          <w:rFonts w:eastAsia="Arial" w:cs="Arial"/>
          <w:vertAlign w:val="superscript"/>
        </w:rPr>
      </w:pPr>
      <w:r w:rsidRPr="64D7F4F9">
        <w:rPr>
          <w:rFonts w:eastAsia="Arial" w:cs="Arial"/>
        </w:rPr>
        <w:t xml:space="preserve">Nada </w:t>
      </w:r>
      <w:proofErr w:type="spellStart"/>
      <w:proofErr w:type="gramStart"/>
      <w:r w:rsidRPr="64D7F4F9">
        <w:rPr>
          <w:rFonts w:eastAsia="Arial" w:cs="Arial"/>
        </w:rPr>
        <w:t>Reza</w:t>
      </w:r>
      <w:r w:rsidR="00FE0443">
        <w:rPr>
          <w:rFonts w:eastAsia="Arial" w:cs="Arial"/>
          <w:vertAlign w:val="superscript"/>
        </w:rPr>
        <w:t>a</w:t>
      </w:r>
      <w:r w:rsidRPr="64D7F4F9">
        <w:rPr>
          <w:rFonts w:eastAsia="Arial" w:cs="Arial"/>
          <w:vertAlign w:val="superscript"/>
        </w:rPr>
        <w:t>,</w:t>
      </w:r>
      <w:r w:rsidR="00FE0443">
        <w:rPr>
          <w:rFonts w:eastAsia="Arial" w:cs="Arial"/>
          <w:vertAlign w:val="superscript"/>
        </w:rPr>
        <w:t>b</w:t>
      </w:r>
      <w:proofErr w:type="spellEnd"/>
      <w:proofErr w:type="gramEnd"/>
      <w:r w:rsidR="00FE0443" w:rsidRPr="00FE0443">
        <w:rPr>
          <w:rFonts w:eastAsia="Arial" w:cs="Arial"/>
        </w:rPr>
        <w:t>#</w:t>
      </w:r>
      <w:r w:rsidRPr="64D7F4F9">
        <w:rPr>
          <w:rFonts w:eastAsia="Arial" w:cs="Arial"/>
        </w:rPr>
        <w:t xml:space="preserve">, Alessandro </w:t>
      </w:r>
      <w:proofErr w:type="spellStart"/>
      <w:r w:rsidRPr="64D7F4F9">
        <w:rPr>
          <w:rFonts w:eastAsia="Arial" w:cs="Arial"/>
        </w:rPr>
        <w:t>Gerada</w:t>
      </w:r>
      <w:r w:rsidR="00FE0443">
        <w:rPr>
          <w:rFonts w:eastAsia="Arial" w:cs="Arial"/>
          <w:vertAlign w:val="superscript"/>
        </w:rPr>
        <w:t>a</w:t>
      </w:r>
      <w:r w:rsidRPr="64D7F4F9">
        <w:rPr>
          <w:rFonts w:eastAsia="Arial" w:cs="Arial"/>
          <w:vertAlign w:val="superscript"/>
        </w:rPr>
        <w:t>,</w:t>
      </w:r>
      <w:r w:rsidR="00FE0443">
        <w:rPr>
          <w:rFonts w:eastAsia="Arial" w:cs="Arial"/>
          <w:vertAlign w:val="superscript"/>
        </w:rPr>
        <w:t>b</w:t>
      </w:r>
      <w:proofErr w:type="spellEnd"/>
      <w:r w:rsidRPr="64D7F4F9">
        <w:rPr>
          <w:rFonts w:eastAsia="Arial" w:cs="Arial"/>
        </w:rPr>
        <w:t xml:space="preserve">, Katharine E </w:t>
      </w:r>
      <w:proofErr w:type="spellStart"/>
      <w:r w:rsidRPr="64D7F4F9">
        <w:rPr>
          <w:rFonts w:eastAsia="Arial" w:cs="Arial"/>
        </w:rPr>
        <w:t>Stott</w:t>
      </w:r>
      <w:r w:rsidR="00FE0443">
        <w:rPr>
          <w:rFonts w:eastAsia="Arial" w:cs="Arial"/>
          <w:vertAlign w:val="superscript"/>
        </w:rPr>
        <w:t>a</w:t>
      </w:r>
      <w:r w:rsidRPr="64D7F4F9">
        <w:rPr>
          <w:rFonts w:eastAsia="Arial" w:cs="Arial"/>
          <w:vertAlign w:val="superscript"/>
        </w:rPr>
        <w:t>,</w:t>
      </w:r>
      <w:r w:rsidR="00FE0443">
        <w:rPr>
          <w:rFonts w:eastAsia="Arial" w:cs="Arial"/>
          <w:vertAlign w:val="superscript"/>
        </w:rPr>
        <w:t>b</w:t>
      </w:r>
      <w:proofErr w:type="spellEnd"/>
      <w:r w:rsidRPr="64D7F4F9">
        <w:rPr>
          <w:rFonts w:eastAsia="Arial" w:cs="Arial"/>
        </w:rPr>
        <w:t xml:space="preserve">, Alex </w:t>
      </w:r>
      <w:proofErr w:type="spellStart"/>
      <w:r w:rsidRPr="64D7F4F9">
        <w:rPr>
          <w:rFonts w:eastAsia="Arial" w:cs="Arial"/>
        </w:rPr>
        <w:t>Howard</w:t>
      </w:r>
      <w:r w:rsidR="00FE0443">
        <w:rPr>
          <w:rFonts w:eastAsia="Arial" w:cs="Arial"/>
          <w:vertAlign w:val="superscript"/>
        </w:rPr>
        <w:t>a</w:t>
      </w:r>
      <w:r w:rsidRPr="64D7F4F9">
        <w:rPr>
          <w:rFonts w:eastAsia="Arial" w:cs="Arial"/>
          <w:vertAlign w:val="superscript"/>
        </w:rPr>
        <w:t>,</w:t>
      </w:r>
      <w:r w:rsidR="00FE0443">
        <w:rPr>
          <w:rFonts w:eastAsia="Arial" w:cs="Arial"/>
          <w:vertAlign w:val="superscript"/>
        </w:rPr>
        <w:t>b</w:t>
      </w:r>
      <w:proofErr w:type="spellEnd"/>
      <w:r w:rsidRPr="64D7F4F9">
        <w:rPr>
          <w:rFonts w:eastAsia="Arial" w:cs="Arial"/>
        </w:rPr>
        <w:t>, Mi</w:t>
      </w:r>
      <w:r>
        <w:rPr>
          <w:rFonts w:eastAsia="Arial" w:cs="Arial"/>
        </w:rPr>
        <w:t xml:space="preserve">ke </w:t>
      </w:r>
      <w:proofErr w:type="spellStart"/>
      <w:r w:rsidRPr="64D7F4F9">
        <w:rPr>
          <w:rFonts w:eastAsia="Arial" w:cs="Arial"/>
        </w:rPr>
        <w:t>Sharland</w:t>
      </w:r>
      <w:r w:rsidR="00FE0443">
        <w:rPr>
          <w:rFonts w:eastAsia="Arial" w:cs="Arial"/>
          <w:vertAlign w:val="superscript"/>
        </w:rPr>
        <w:t>c</w:t>
      </w:r>
      <w:proofErr w:type="spellEnd"/>
      <w:r w:rsidRPr="64D7F4F9">
        <w:rPr>
          <w:rFonts w:eastAsia="Arial" w:cs="Arial"/>
        </w:rPr>
        <w:t xml:space="preserve">, William </w:t>
      </w:r>
      <w:proofErr w:type="spellStart"/>
      <w:r w:rsidRPr="64D7F4F9">
        <w:rPr>
          <w:rFonts w:eastAsia="Arial" w:cs="Arial"/>
        </w:rPr>
        <w:t>Hope</w:t>
      </w:r>
      <w:r w:rsidR="00FE0443">
        <w:rPr>
          <w:rFonts w:eastAsia="Arial" w:cs="Arial"/>
          <w:vertAlign w:val="superscript"/>
        </w:rPr>
        <w:t>a</w:t>
      </w:r>
      <w:r w:rsidRPr="64D7F4F9">
        <w:rPr>
          <w:rFonts w:eastAsia="Arial" w:cs="Arial"/>
          <w:vertAlign w:val="superscript"/>
        </w:rPr>
        <w:t>,</w:t>
      </w:r>
      <w:r w:rsidR="00FE0443">
        <w:rPr>
          <w:rFonts w:eastAsia="Arial" w:cs="Arial"/>
          <w:vertAlign w:val="superscript"/>
        </w:rPr>
        <w:t>b</w:t>
      </w:r>
      <w:proofErr w:type="spellEnd"/>
      <w:r>
        <w:rPr>
          <w:rFonts w:eastAsia="Arial" w:cs="Arial"/>
          <w:vertAlign w:val="superscript"/>
        </w:rPr>
        <w:t xml:space="preserve"> </w:t>
      </w:r>
    </w:p>
    <w:p w14:paraId="6F756844" w14:textId="77777777" w:rsidR="007118E0" w:rsidRDefault="007118E0" w:rsidP="007118E0">
      <w:pPr>
        <w:spacing w:line="276" w:lineRule="auto"/>
        <w:jc w:val="both"/>
        <w:rPr>
          <w:rFonts w:eastAsia="Arial" w:cs="Arial"/>
        </w:rPr>
      </w:pPr>
      <w:r w:rsidRPr="5AB8D330">
        <w:rPr>
          <w:rFonts w:eastAsia="Arial" w:cs="Arial"/>
        </w:rPr>
        <w:t xml:space="preserve"> </w:t>
      </w:r>
    </w:p>
    <w:p w14:paraId="062DEA86" w14:textId="5F243E9C" w:rsidR="007118E0" w:rsidRDefault="00FE0443" w:rsidP="007118E0">
      <w:pPr>
        <w:spacing w:after="240"/>
        <w:rPr>
          <w:rFonts w:eastAsia="Arial" w:cs="Arial"/>
        </w:rPr>
      </w:pPr>
      <w:proofErr w:type="spellStart"/>
      <w:r>
        <w:rPr>
          <w:rFonts w:eastAsia="Arial" w:cs="Arial"/>
          <w:vertAlign w:val="superscript"/>
        </w:rPr>
        <w:t>a</w:t>
      </w:r>
      <w:r w:rsidR="007118E0">
        <w:rPr>
          <w:rFonts w:eastAsia="Arial" w:cs="Arial"/>
        </w:rPr>
        <w:t>Department</w:t>
      </w:r>
      <w:proofErr w:type="spellEnd"/>
      <w:r w:rsidR="007118E0">
        <w:rPr>
          <w:rFonts w:eastAsia="Arial" w:cs="Arial"/>
        </w:rPr>
        <w:t xml:space="preserve"> of A</w:t>
      </w:r>
      <w:r w:rsidR="007118E0" w:rsidRPr="678A7EFB">
        <w:rPr>
          <w:rFonts w:eastAsia="Arial" w:cs="Arial"/>
        </w:rPr>
        <w:t xml:space="preserve">ntimicrobial Pharmacodynamics and Therapeutics, </w:t>
      </w:r>
      <w:r w:rsidR="007118E0">
        <w:rPr>
          <w:rFonts w:eastAsia="Arial" w:cs="Arial"/>
        </w:rPr>
        <w:t xml:space="preserve">Institute of Systems, Molecular and Integrative Biology, </w:t>
      </w:r>
      <w:r w:rsidR="007118E0" w:rsidRPr="678A7EFB">
        <w:rPr>
          <w:rFonts w:eastAsia="Arial" w:cs="Arial"/>
        </w:rPr>
        <w:t>University of Liverpool, Liverpool, UK</w:t>
      </w:r>
    </w:p>
    <w:p w14:paraId="2A8AC6DC" w14:textId="7740FA59" w:rsidR="007118E0" w:rsidRDefault="00FE0443" w:rsidP="007118E0">
      <w:pPr>
        <w:spacing w:after="240"/>
      </w:pPr>
      <w:proofErr w:type="spellStart"/>
      <w:r>
        <w:rPr>
          <w:rFonts w:eastAsia="Arial" w:cs="Arial"/>
          <w:vertAlign w:val="superscript"/>
        </w:rPr>
        <w:t>b</w:t>
      </w:r>
      <w:r w:rsidR="007118E0" w:rsidRPr="6F7BFCC7">
        <w:rPr>
          <w:rFonts w:eastAsia="Arial" w:cs="Arial"/>
        </w:rPr>
        <w:t>Liverpool</w:t>
      </w:r>
      <w:proofErr w:type="spellEnd"/>
      <w:r w:rsidR="007118E0" w:rsidRPr="6F7BFCC7">
        <w:rPr>
          <w:rFonts w:eastAsia="Arial" w:cs="Arial"/>
        </w:rPr>
        <w:t xml:space="preserve"> University Hospitals NHS Foundation Trust, Liverpool, UK</w:t>
      </w:r>
    </w:p>
    <w:p w14:paraId="28FBB7E5" w14:textId="3DACC82F" w:rsidR="007118E0" w:rsidRPr="000F69BB" w:rsidRDefault="00FE0443" w:rsidP="007118E0">
      <w:pPr>
        <w:spacing w:line="276" w:lineRule="auto"/>
        <w:rPr>
          <w:rFonts w:eastAsia="Arial" w:cs="Arial"/>
        </w:rPr>
      </w:pPr>
      <w:proofErr w:type="spellStart"/>
      <w:r>
        <w:rPr>
          <w:rFonts w:eastAsia="Arial" w:cs="Arial"/>
          <w:color w:val="000000" w:themeColor="text1"/>
          <w:vertAlign w:val="superscript"/>
        </w:rPr>
        <w:t>c</w:t>
      </w:r>
      <w:r w:rsidR="2957F7E8" w:rsidRPr="188B0A66">
        <w:rPr>
          <w:rFonts w:cs="Arial"/>
          <w:color w:val="212121"/>
        </w:rPr>
        <w:t>Centre</w:t>
      </w:r>
      <w:proofErr w:type="spellEnd"/>
      <w:r w:rsidR="2957F7E8" w:rsidRPr="188B0A66">
        <w:rPr>
          <w:rFonts w:cs="Arial"/>
          <w:color w:val="212121"/>
        </w:rPr>
        <w:t xml:space="preserve"> for Neonatal and Paediatric Infection,</w:t>
      </w:r>
      <w:r w:rsidR="007118E0" w:rsidRPr="000F69BB">
        <w:rPr>
          <w:rFonts w:cs="Arial"/>
          <w:color w:val="212121"/>
          <w:shd w:val="clear" w:color="auto" w:fill="FFFFFF"/>
        </w:rPr>
        <w:t xml:space="preserve"> Institute for Infection and Immunity, St George's, University of London, London, UK</w:t>
      </w:r>
    </w:p>
    <w:p w14:paraId="5BCA9B17" w14:textId="77777777" w:rsidR="007118E0" w:rsidRDefault="007118E0" w:rsidP="007118E0">
      <w:pPr>
        <w:spacing w:line="276" w:lineRule="auto"/>
        <w:jc w:val="both"/>
        <w:rPr>
          <w:rFonts w:eastAsia="Arial" w:cs="Arial"/>
          <w:color w:val="000000" w:themeColor="text1"/>
        </w:rPr>
      </w:pPr>
    </w:p>
    <w:p w14:paraId="68248D95" w14:textId="59675197" w:rsidR="00FE0443" w:rsidRDefault="00FE0443" w:rsidP="007118E0">
      <w:pPr>
        <w:spacing w:line="276" w:lineRule="auto"/>
        <w:jc w:val="both"/>
        <w:rPr>
          <w:rFonts w:eastAsia="Arial" w:cs="Arial"/>
          <w:color w:val="000000" w:themeColor="text1"/>
        </w:rPr>
      </w:pPr>
      <w:r>
        <w:rPr>
          <w:rFonts w:eastAsia="Arial" w:cs="Arial"/>
          <w:color w:val="000000" w:themeColor="text1"/>
        </w:rPr>
        <w:t>Running Head: Challenges for global antibiotic regimen planning</w:t>
      </w:r>
    </w:p>
    <w:p w14:paraId="299D6618" w14:textId="77777777" w:rsidR="00FE0443" w:rsidRDefault="00FE0443" w:rsidP="007118E0">
      <w:pPr>
        <w:spacing w:line="276" w:lineRule="auto"/>
        <w:jc w:val="both"/>
        <w:rPr>
          <w:rFonts w:eastAsia="Arial" w:cs="Arial"/>
          <w:color w:val="000000" w:themeColor="text1"/>
        </w:rPr>
      </w:pPr>
    </w:p>
    <w:p w14:paraId="7912883B" w14:textId="40B32051" w:rsidR="00FE0443" w:rsidRDefault="00FE0443" w:rsidP="00FE0443">
      <w:pPr>
        <w:spacing w:line="276" w:lineRule="auto"/>
        <w:jc w:val="both"/>
        <w:rPr>
          <w:rStyle w:val="Hyperlink"/>
          <w:rFonts w:eastAsia="Arial" w:cs="Arial"/>
        </w:rPr>
      </w:pPr>
      <w:r>
        <w:rPr>
          <w:rFonts w:eastAsia="Arial" w:cs="Arial"/>
          <w:color w:val="000000" w:themeColor="text1"/>
        </w:rPr>
        <w:t xml:space="preserve">#Address correspondence to </w:t>
      </w:r>
      <w:r w:rsidR="007118E0" w:rsidRPr="5AB8D330">
        <w:rPr>
          <w:rFonts w:eastAsia="Arial" w:cs="Arial"/>
          <w:color w:val="000000" w:themeColor="text1"/>
        </w:rPr>
        <w:t>Dr Nada Reza</w:t>
      </w:r>
      <w:r>
        <w:rPr>
          <w:rFonts w:eastAsia="Arial" w:cs="Arial"/>
          <w:color w:val="000000" w:themeColor="text1"/>
        </w:rPr>
        <w:t xml:space="preserve"> </w:t>
      </w:r>
      <w:hyperlink r:id="rId8">
        <w:r w:rsidRPr="5AB8D330">
          <w:rPr>
            <w:rStyle w:val="Hyperlink"/>
            <w:rFonts w:eastAsia="Arial" w:cs="Arial"/>
          </w:rPr>
          <w:t>nada.reza@liverpool.ac.uk</w:t>
        </w:r>
      </w:hyperlink>
      <w:r>
        <w:rPr>
          <w:rStyle w:val="Hyperlink"/>
          <w:rFonts w:eastAsia="Arial" w:cs="Arial"/>
        </w:rPr>
        <w:br w:type="page"/>
      </w:r>
    </w:p>
    <w:sdt>
      <w:sdtPr>
        <w:rPr>
          <w:rFonts w:eastAsiaTheme="minorHAnsi" w:cstheme="minorBidi"/>
          <w:bCs w:val="0"/>
          <w:color w:val="auto"/>
          <w:sz w:val="22"/>
          <w:szCs w:val="22"/>
          <w:lang w:val="en-GB"/>
        </w:rPr>
        <w:id w:val="-2127000844"/>
        <w:docPartObj>
          <w:docPartGallery w:val="Table of Contents"/>
          <w:docPartUnique/>
        </w:docPartObj>
      </w:sdtPr>
      <w:sdtEndPr>
        <w:rPr>
          <w:b/>
          <w:noProof/>
        </w:rPr>
      </w:sdtEndPr>
      <w:sdtContent>
        <w:p w14:paraId="00F0536D" w14:textId="4B025C48" w:rsidR="00E81ADE" w:rsidRPr="00E81ADE" w:rsidRDefault="00E81ADE">
          <w:pPr>
            <w:pStyle w:val="TOCHeading"/>
            <w:rPr>
              <w:rStyle w:val="Heading1Char"/>
              <w:rFonts w:cs="Times New Roman (Headings CS)"/>
              <w:caps/>
            </w:rPr>
          </w:pPr>
          <w:r w:rsidRPr="00E81ADE">
            <w:rPr>
              <w:rStyle w:val="Heading1Char"/>
              <w:rFonts w:cs="Times New Roman (Headings CS)"/>
              <w:caps/>
            </w:rPr>
            <w:t>Table of Contents</w:t>
          </w:r>
        </w:p>
        <w:p w14:paraId="007E737B" w14:textId="7BAE74BC" w:rsidR="001D7B7F" w:rsidRDefault="00E81ADE">
          <w:pPr>
            <w:pStyle w:val="TOC1"/>
            <w:rPr>
              <w:rFonts w:asciiTheme="minorHAnsi" w:eastAsiaTheme="minorEastAsia" w:hAnsiTheme="minorHAnsi" w:cstheme="minorBidi"/>
              <w:noProof/>
              <w:kern w:val="2"/>
              <w:lang w:eastAsia="en-GB"/>
              <w14:ligatures w14:val="standardContextual"/>
            </w:rPr>
          </w:pPr>
          <w:r>
            <w:fldChar w:fldCharType="begin"/>
          </w:r>
          <w:r>
            <w:instrText xml:space="preserve"> TOC \o "1-3" \h \z \u </w:instrText>
          </w:r>
          <w:r>
            <w:fldChar w:fldCharType="separate"/>
          </w:r>
          <w:hyperlink w:anchor="_Toc154184979" w:history="1">
            <w:r w:rsidR="001D7B7F" w:rsidRPr="00924245">
              <w:rPr>
                <w:rStyle w:val="Hyperlink"/>
                <w:rFonts w:cs="Times New Roman (Headings CS)"/>
                <w:caps/>
                <w:noProof/>
              </w:rPr>
              <w:t>Summary</w:t>
            </w:r>
            <w:r w:rsidR="001D7B7F">
              <w:rPr>
                <w:noProof/>
                <w:webHidden/>
              </w:rPr>
              <w:tab/>
            </w:r>
            <w:r w:rsidR="001D7B7F">
              <w:rPr>
                <w:noProof/>
                <w:webHidden/>
              </w:rPr>
              <w:fldChar w:fldCharType="begin"/>
            </w:r>
            <w:r w:rsidR="001D7B7F">
              <w:rPr>
                <w:noProof/>
                <w:webHidden/>
              </w:rPr>
              <w:instrText xml:space="preserve"> PAGEREF _Toc154184979 \h </w:instrText>
            </w:r>
            <w:r w:rsidR="001D7B7F">
              <w:rPr>
                <w:noProof/>
                <w:webHidden/>
              </w:rPr>
            </w:r>
            <w:r w:rsidR="001D7B7F">
              <w:rPr>
                <w:noProof/>
                <w:webHidden/>
              </w:rPr>
              <w:fldChar w:fldCharType="separate"/>
            </w:r>
            <w:r w:rsidR="001B7760">
              <w:rPr>
                <w:noProof/>
                <w:webHidden/>
              </w:rPr>
              <w:t>3</w:t>
            </w:r>
            <w:r w:rsidR="001D7B7F">
              <w:rPr>
                <w:noProof/>
                <w:webHidden/>
              </w:rPr>
              <w:fldChar w:fldCharType="end"/>
            </w:r>
          </w:hyperlink>
        </w:p>
        <w:p w14:paraId="0E20E5F1" w14:textId="73845747" w:rsidR="001D7B7F" w:rsidRDefault="001D7B7F">
          <w:pPr>
            <w:pStyle w:val="TOC1"/>
            <w:rPr>
              <w:rFonts w:asciiTheme="minorHAnsi" w:eastAsiaTheme="minorEastAsia" w:hAnsiTheme="minorHAnsi" w:cstheme="minorBidi"/>
              <w:noProof/>
              <w:kern w:val="2"/>
              <w:lang w:eastAsia="en-GB"/>
              <w14:ligatures w14:val="standardContextual"/>
            </w:rPr>
          </w:pPr>
          <w:hyperlink w:anchor="_Toc154184980" w:history="1">
            <w:r w:rsidRPr="00924245">
              <w:rPr>
                <w:rStyle w:val="Hyperlink"/>
                <w:rFonts w:cs="Times New Roman (Headings CS)"/>
                <w:caps/>
                <w:noProof/>
              </w:rPr>
              <w:t>Introduction</w:t>
            </w:r>
            <w:r>
              <w:rPr>
                <w:noProof/>
                <w:webHidden/>
              </w:rPr>
              <w:tab/>
            </w:r>
            <w:r>
              <w:rPr>
                <w:noProof/>
                <w:webHidden/>
              </w:rPr>
              <w:fldChar w:fldCharType="begin"/>
            </w:r>
            <w:r>
              <w:rPr>
                <w:noProof/>
                <w:webHidden/>
              </w:rPr>
              <w:instrText xml:space="preserve"> PAGEREF _Toc154184980 \h </w:instrText>
            </w:r>
            <w:r>
              <w:rPr>
                <w:noProof/>
                <w:webHidden/>
              </w:rPr>
            </w:r>
            <w:r>
              <w:rPr>
                <w:noProof/>
                <w:webHidden/>
              </w:rPr>
              <w:fldChar w:fldCharType="separate"/>
            </w:r>
            <w:r w:rsidR="001B7760">
              <w:rPr>
                <w:noProof/>
                <w:webHidden/>
              </w:rPr>
              <w:t>4</w:t>
            </w:r>
            <w:r>
              <w:rPr>
                <w:noProof/>
                <w:webHidden/>
              </w:rPr>
              <w:fldChar w:fldCharType="end"/>
            </w:r>
          </w:hyperlink>
        </w:p>
        <w:p w14:paraId="1F220122" w14:textId="614AAA3D" w:rsidR="001D7B7F" w:rsidRDefault="001D7B7F">
          <w:pPr>
            <w:pStyle w:val="TOC1"/>
            <w:rPr>
              <w:rFonts w:asciiTheme="minorHAnsi" w:eastAsiaTheme="minorEastAsia" w:hAnsiTheme="minorHAnsi" w:cstheme="minorBidi"/>
              <w:noProof/>
              <w:kern w:val="2"/>
              <w:lang w:eastAsia="en-GB"/>
              <w14:ligatures w14:val="standardContextual"/>
            </w:rPr>
          </w:pPr>
          <w:hyperlink w:anchor="_Toc154184981" w:history="1">
            <w:r w:rsidRPr="00924245">
              <w:rPr>
                <w:rStyle w:val="Hyperlink"/>
                <w:rFonts w:cs="Times New Roman (Headings CS)"/>
                <w:caps/>
                <w:noProof/>
              </w:rPr>
              <w:t>Key concepts for PK-PD &amp; AMR</w:t>
            </w:r>
            <w:r>
              <w:rPr>
                <w:noProof/>
                <w:webHidden/>
              </w:rPr>
              <w:tab/>
            </w:r>
            <w:r>
              <w:rPr>
                <w:noProof/>
                <w:webHidden/>
              </w:rPr>
              <w:fldChar w:fldCharType="begin"/>
            </w:r>
            <w:r>
              <w:rPr>
                <w:noProof/>
                <w:webHidden/>
              </w:rPr>
              <w:instrText xml:space="preserve"> PAGEREF _Toc154184981 \h </w:instrText>
            </w:r>
            <w:r>
              <w:rPr>
                <w:noProof/>
                <w:webHidden/>
              </w:rPr>
            </w:r>
            <w:r>
              <w:rPr>
                <w:noProof/>
                <w:webHidden/>
              </w:rPr>
              <w:fldChar w:fldCharType="separate"/>
            </w:r>
            <w:r w:rsidR="001B7760">
              <w:rPr>
                <w:noProof/>
                <w:webHidden/>
              </w:rPr>
              <w:t>5</w:t>
            </w:r>
            <w:r>
              <w:rPr>
                <w:noProof/>
                <w:webHidden/>
              </w:rPr>
              <w:fldChar w:fldCharType="end"/>
            </w:r>
          </w:hyperlink>
        </w:p>
        <w:p w14:paraId="76922544" w14:textId="64BDC702" w:rsidR="001D7B7F" w:rsidRDefault="001D7B7F">
          <w:pPr>
            <w:pStyle w:val="TOC2"/>
            <w:tabs>
              <w:tab w:val="right" w:leader="dot" w:pos="9350"/>
            </w:tabs>
            <w:rPr>
              <w:rFonts w:asciiTheme="minorHAnsi" w:eastAsiaTheme="minorEastAsia" w:hAnsiTheme="minorHAnsi" w:cstheme="minorBidi"/>
              <w:b w:val="0"/>
              <w:bCs w:val="0"/>
              <w:noProof/>
              <w:kern w:val="2"/>
              <w:sz w:val="24"/>
              <w:szCs w:val="24"/>
              <w:lang w:eastAsia="en-GB"/>
              <w14:ligatures w14:val="standardContextual"/>
            </w:rPr>
          </w:pPr>
          <w:hyperlink w:anchor="_Toc154184982" w:history="1">
            <w:r w:rsidRPr="00924245">
              <w:rPr>
                <w:rStyle w:val="Hyperlink"/>
                <w:noProof/>
              </w:rPr>
              <w:t>Defining the impact of AMR on pharmacodynamics: the ‘triple lock’</w:t>
            </w:r>
            <w:r>
              <w:rPr>
                <w:noProof/>
                <w:webHidden/>
              </w:rPr>
              <w:tab/>
            </w:r>
            <w:r>
              <w:rPr>
                <w:noProof/>
                <w:webHidden/>
              </w:rPr>
              <w:fldChar w:fldCharType="begin"/>
            </w:r>
            <w:r>
              <w:rPr>
                <w:noProof/>
                <w:webHidden/>
              </w:rPr>
              <w:instrText xml:space="preserve"> PAGEREF _Toc154184982 \h </w:instrText>
            </w:r>
            <w:r>
              <w:rPr>
                <w:noProof/>
                <w:webHidden/>
              </w:rPr>
            </w:r>
            <w:r>
              <w:rPr>
                <w:noProof/>
                <w:webHidden/>
              </w:rPr>
              <w:fldChar w:fldCharType="separate"/>
            </w:r>
            <w:r w:rsidR="001B7760">
              <w:rPr>
                <w:noProof/>
                <w:webHidden/>
              </w:rPr>
              <w:t>5</w:t>
            </w:r>
            <w:r>
              <w:rPr>
                <w:noProof/>
                <w:webHidden/>
              </w:rPr>
              <w:fldChar w:fldCharType="end"/>
            </w:r>
          </w:hyperlink>
        </w:p>
        <w:p w14:paraId="5FAC94D4" w14:textId="0E75D7E1" w:rsidR="001D7B7F" w:rsidRDefault="001D7B7F">
          <w:pPr>
            <w:pStyle w:val="TOC2"/>
            <w:tabs>
              <w:tab w:val="right" w:leader="dot" w:pos="9350"/>
            </w:tabs>
            <w:rPr>
              <w:rFonts w:asciiTheme="minorHAnsi" w:eastAsiaTheme="minorEastAsia" w:hAnsiTheme="minorHAnsi" w:cstheme="minorBidi"/>
              <w:b w:val="0"/>
              <w:bCs w:val="0"/>
              <w:noProof/>
              <w:kern w:val="2"/>
              <w:sz w:val="24"/>
              <w:szCs w:val="24"/>
              <w:lang w:eastAsia="en-GB"/>
              <w14:ligatures w14:val="standardContextual"/>
            </w:rPr>
          </w:pPr>
          <w:hyperlink w:anchor="_Toc154184983" w:history="1">
            <w:r w:rsidRPr="00924245">
              <w:rPr>
                <w:rStyle w:val="Hyperlink"/>
                <w:noProof/>
              </w:rPr>
              <w:t>Antibiotic regimen &amp; drug exposure</w:t>
            </w:r>
            <w:r>
              <w:rPr>
                <w:noProof/>
                <w:webHidden/>
              </w:rPr>
              <w:tab/>
            </w:r>
            <w:r>
              <w:rPr>
                <w:noProof/>
                <w:webHidden/>
              </w:rPr>
              <w:fldChar w:fldCharType="begin"/>
            </w:r>
            <w:r>
              <w:rPr>
                <w:noProof/>
                <w:webHidden/>
              </w:rPr>
              <w:instrText xml:space="preserve"> PAGEREF _Toc154184983 \h </w:instrText>
            </w:r>
            <w:r>
              <w:rPr>
                <w:noProof/>
                <w:webHidden/>
              </w:rPr>
            </w:r>
            <w:r>
              <w:rPr>
                <w:noProof/>
                <w:webHidden/>
              </w:rPr>
              <w:fldChar w:fldCharType="separate"/>
            </w:r>
            <w:r w:rsidR="001B7760">
              <w:rPr>
                <w:noProof/>
                <w:webHidden/>
              </w:rPr>
              <w:t>9</w:t>
            </w:r>
            <w:r>
              <w:rPr>
                <w:noProof/>
                <w:webHidden/>
              </w:rPr>
              <w:fldChar w:fldCharType="end"/>
            </w:r>
          </w:hyperlink>
        </w:p>
        <w:p w14:paraId="7AD6797B" w14:textId="56C2E54F" w:rsidR="001D7B7F" w:rsidRDefault="001D7B7F">
          <w:pPr>
            <w:pStyle w:val="TOC2"/>
            <w:tabs>
              <w:tab w:val="right" w:leader="dot" w:pos="9350"/>
            </w:tabs>
            <w:rPr>
              <w:rFonts w:asciiTheme="minorHAnsi" w:eastAsiaTheme="minorEastAsia" w:hAnsiTheme="minorHAnsi" w:cstheme="minorBidi"/>
              <w:b w:val="0"/>
              <w:bCs w:val="0"/>
              <w:noProof/>
              <w:kern w:val="2"/>
              <w:sz w:val="24"/>
              <w:szCs w:val="24"/>
              <w:lang w:eastAsia="en-GB"/>
              <w14:ligatures w14:val="standardContextual"/>
            </w:rPr>
          </w:pPr>
          <w:hyperlink w:anchor="_Toc154184984" w:history="1">
            <w:r w:rsidRPr="00924245">
              <w:rPr>
                <w:rStyle w:val="Hyperlink"/>
                <w:noProof/>
              </w:rPr>
              <w:t>Antibiotic potency &amp; MIC distribution</w:t>
            </w:r>
            <w:r>
              <w:rPr>
                <w:noProof/>
                <w:webHidden/>
              </w:rPr>
              <w:tab/>
            </w:r>
            <w:r>
              <w:rPr>
                <w:noProof/>
                <w:webHidden/>
              </w:rPr>
              <w:fldChar w:fldCharType="begin"/>
            </w:r>
            <w:r>
              <w:rPr>
                <w:noProof/>
                <w:webHidden/>
              </w:rPr>
              <w:instrText xml:space="preserve"> PAGEREF _Toc154184984 \h </w:instrText>
            </w:r>
            <w:r>
              <w:rPr>
                <w:noProof/>
                <w:webHidden/>
              </w:rPr>
            </w:r>
            <w:r>
              <w:rPr>
                <w:noProof/>
                <w:webHidden/>
              </w:rPr>
              <w:fldChar w:fldCharType="separate"/>
            </w:r>
            <w:r w:rsidR="001B7760">
              <w:rPr>
                <w:noProof/>
                <w:webHidden/>
              </w:rPr>
              <w:t>10</w:t>
            </w:r>
            <w:r>
              <w:rPr>
                <w:noProof/>
                <w:webHidden/>
              </w:rPr>
              <w:fldChar w:fldCharType="end"/>
            </w:r>
          </w:hyperlink>
        </w:p>
        <w:p w14:paraId="10FF562D" w14:textId="77F19165" w:rsidR="001D7B7F" w:rsidRDefault="001D7B7F">
          <w:pPr>
            <w:pStyle w:val="TOC2"/>
            <w:tabs>
              <w:tab w:val="right" w:leader="dot" w:pos="9350"/>
            </w:tabs>
            <w:rPr>
              <w:rFonts w:asciiTheme="minorHAnsi" w:eastAsiaTheme="minorEastAsia" w:hAnsiTheme="minorHAnsi" w:cstheme="minorBidi"/>
              <w:b w:val="0"/>
              <w:bCs w:val="0"/>
              <w:noProof/>
              <w:kern w:val="2"/>
              <w:sz w:val="24"/>
              <w:szCs w:val="24"/>
              <w:lang w:eastAsia="en-GB"/>
              <w14:ligatures w14:val="standardContextual"/>
            </w:rPr>
          </w:pPr>
          <w:hyperlink w:anchor="_Toc154184985" w:history="1">
            <w:r w:rsidRPr="00924245">
              <w:rPr>
                <w:rStyle w:val="Hyperlink"/>
                <w:noProof/>
              </w:rPr>
              <w:t>Pharmacodynamic targets</w:t>
            </w:r>
            <w:r>
              <w:rPr>
                <w:noProof/>
                <w:webHidden/>
              </w:rPr>
              <w:tab/>
            </w:r>
            <w:r>
              <w:rPr>
                <w:noProof/>
                <w:webHidden/>
              </w:rPr>
              <w:fldChar w:fldCharType="begin"/>
            </w:r>
            <w:r>
              <w:rPr>
                <w:noProof/>
                <w:webHidden/>
              </w:rPr>
              <w:instrText xml:space="preserve"> PAGEREF _Toc154184985 \h </w:instrText>
            </w:r>
            <w:r>
              <w:rPr>
                <w:noProof/>
                <w:webHidden/>
              </w:rPr>
            </w:r>
            <w:r>
              <w:rPr>
                <w:noProof/>
                <w:webHidden/>
              </w:rPr>
              <w:fldChar w:fldCharType="separate"/>
            </w:r>
            <w:r w:rsidR="001B7760">
              <w:rPr>
                <w:noProof/>
                <w:webHidden/>
              </w:rPr>
              <w:t>10</w:t>
            </w:r>
            <w:r>
              <w:rPr>
                <w:noProof/>
                <w:webHidden/>
              </w:rPr>
              <w:fldChar w:fldCharType="end"/>
            </w:r>
          </w:hyperlink>
        </w:p>
        <w:p w14:paraId="2E99C4CE" w14:textId="0043117B" w:rsidR="001D7B7F" w:rsidRDefault="001D7B7F">
          <w:pPr>
            <w:pStyle w:val="TOC1"/>
            <w:rPr>
              <w:rFonts w:asciiTheme="minorHAnsi" w:eastAsiaTheme="minorEastAsia" w:hAnsiTheme="minorHAnsi" w:cstheme="minorBidi"/>
              <w:noProof/>
              <w:kern w:val="2"/>
              <w:lang w:eastAsia="en-GB"/>
              <w14:ligatures w14:val="standardContextual"/>
            </w:rPr>
          </w:pPr>
          <w:hyperlink w:anchor="_Toc154184986" w:history="1">
            <w:r w:rsidRPr="00924245">
              <w:rPr>
                <w:rStyle w:val="Hyperlink"/>
                <w:rFonts w:cs="Times New Roman (Headings CS)"/>
                <w:caps/>
                <w:noProof/>
              </w:rPr>
              <w:t>PK-PD literature search strategy &amp; selection criteria</w:t>
            </w:r>
            <w:r>
              <w:rPr>
                <w:noProof/>
                <w:webHidden/>
              </w:rPr>
              <w:tab/>
            </w:r>
            <w:r>
              <w:rPr>
                <w:noProof/>
                <w:webHidden/>
              </w:rPr>
              <w:fldChar w:fldCharType="begin"/>
            </w:r>
            <w:r>
              <w:rPr>
                <w:noProof/>
                <w:webHidden/>
              </w:rPr>
              <w:instrText xml:space="preserve"> PAGEREF _Toc154184986 \h </w:instrText>
            </w:r>
            <w:r>
              <w:rPr>
                <w:noProof/>
                <w:webHidden/>
              </w:rPr>
            </w:r>
            <w:r>
              <w:rPr>
                <w:noProof/>
                <w:webHidden/>
              </w:rPr>
              <w:fldChar w:fldCharType="separate"/>
            </w:r>
            <w:r w:rsidR="001B7760">
              <w:rPr>
                <w:noProof/>
                <w:webHidden/>
              </w:rPr>
              <w:t>11</w:t>
            </w:r>
            <w:r>
              <w:rPr>
                <w:noProof/>
                <w:webHidden/>
              </w:rPr>
              <w:fldChar w:fldCharType="end"/>
            </w:r>
          </w:hyperlink>
        </w:p>
        <w:p w14:paraId="5C1FDF1D" w14:textId="6469EC10" w:rsidR="001D7B7F" w:rsidRDefault="001D7B7F">
          <w:pPr>
            <w:pStyle w:val="TOC2"/>
            <w:tabs>
              <w:tab w:val="right" w:leader="dot" w:pos="9350"/>
            </w:tabs>
            <w:rPr>
              <w:rFonts w:asciiTheme="minorHAnsi" w:eastAsiaTheme="minorEastAsia" w:hAnsiTheme="minorHAnsi" w:cstheme="minorBidi"/>
              <w:b w:val="0"/>
              <w:bCs w:val="0"/>
              <w:noProof/>
              <w:kern w:val="2"/>
              <w:sz w:val="24"/>
              <w:szCs w:val="24"/>
              <w:lang w:eastAsia="en-GB"/>
              <w14:ligatures w14:val="standardContextual"/>
            </w:rPr>
          </w:pPr>
          <w:hyperlink w:anchor="_Toc154184987" w:history="1">
            <w:r w:rsidRPr="00924245">
              <w:rPr>
                <w:rStyle w:val="Hyperlink"/>
                <w:noProof/>
              </w:rPr>
              <w:t>Studies reporting population pharmacokinetic models:</w:t>
            </w:r>
            <w:r>
              <w:rPr>
                <w:noProof/>
                <w:webHidden/>
              </w:rPr>
              <w:tab/>
            </w:r>
            <w:r>
              <w:rPr>
                <w:noProof/>
                <w:webHidden/>
              </w:rPr>
              <w:fldChar w:fldCharType="begin"/>
            </w:r>
            <w:r>
              <w:rPr>
                <w:noProof/>
                <w:webHidden/>
              </w:rPr>
              <w:instrText xml:space="preserve"> PAGEREF _Toc154184987 \h </w:instrText>
            </w:r>
            <w:r>
              <w:rPr>
                <w:noProof/>
                <w:webHidden/>
              </w:rPr>
            </w:r>
            <w:r>
              <w:rPr>
                <w:noProof/>
                <w:webHidden/>
              </w:rPr>
              <w:fldChar w:fldCharType="separate"/>
            </w:r>
            <w:r w:rsidR="001B7760">
              <w:rPr>
                <w:noProof/>
                <w:webHidden/>
              </w:rPr>
              <w:t>11</w:t>
            </w:r>
            <w:r>
              <w:rPr>
                <w:noProof/>
                <w:webHidden/>
              </w:rPr>
              <w:fldChar w:fldCharType="end"/>
            </w:r>
          </w:hyperlink>
        </w:p>
        <w:p w14:paraId="4DBF31ED" w14:textId="3E857E53" w:rsidR="001D7B7F" w:rsidRDefault="001D7B7F">
          <w:pPr>
            <w:pStyle w:val="TOC2"/>
            <w:tabs>
              <w:tab w:val="right" w:leader="dot" w:pos="9350"/>
            </w:tabs>
            <w:rPr>
              <w:rFonts w:asciiTheme="minorHAnsi" w:eastAsiaTheme="minorEastAsia" w:hAnsiTheme="minorHAnsi" w:cstheme="minorBidi"/>
              <w:b w:val="0"/>
              <w:bCs w:val="0"/>
              <w:noProof/>
              <w:kern w:val="2"/>
              <w:sz w:val="24"/>
              <w:szCs w:val="24"/>
              <w:lang w:eastAsia="en-GB"/>
              <w14:ligatures w14:val="standardContextual"/>
            </w:rPr>
          </w:pPr>
          <w:hyperlink w:anchor="_Toc154184988" w:history="1">
            <w:r w:rsidRPr="00924245">
              <w:rPr>
                <w:rStyle w:val="Hyperlink"/>
                <w:noProof/>
              </w:rPr>
              <w:t>Studies reporting optimal pharmacodynamic target magnitude</w:t>
            </w:r>
            <w:r>
              <w:rPr>
                <w:noProof/>
                <w:webHidden/>
              </w:rPr>
              <w:tab/>
            </w:r>
            <w:r>
              <w:rPr>
                <w:noProof/>
                <w:webHidden/>
              </w:rPr>
              <w:fldChar w:fldCharType="begin"/>
            </w:r>
            <w:r>
              <w:rPr>
                <w:noProof/>
                <w:webHidden/>
              </w:rPr>
              <w:instrText xml:space="preserve"> PAGEREF _Toc154184988 \h </w:instrText>
            </w:r>
            <w:r>
              <w:rPr>
                <w:noProof/>
                <w:webHidden/>
              </w:rPr>
            </w:r>
            <w:r>
              <w:rPr>
                <w:noProof/>
                <w:webHidden/>
              </w:rPr>
              <w:fldChar w:fldCharType="separate"/>
            </w:r>
            <w:r w:rsidR="001B7760">
              <w:rPr>
                <w:noProof/>
                <w:webHidden/>
              </w:rPr>
              <w:t>13</w:t>
            </w:r>
            <w:r>
              <w:rPr>
                <w:noProof/>
                <w:webHidden/>
              </w:rPr>
              <w:fldChar w:fldCharType="end"/>
            </w:r>
          </w:hyperlink>
        </w:p>
        <w:p w14:paraId="3AEB3B7F" w14:textId="0963B66C" w:rsidR="001D7B7F" w:rsidRDefault="001D7B7F">
          <w:pPr>
            <w:pStyle w:val="TOC1"/>
            <w:rPr>
              <w:rFonts w:asciiTheme="minorHAnsi" w:eastAsiaTheme="minorEastAsia" w:hAnsiTheme="minorHAnsi" w:cstheme="minorBidi"/>
              <w:noProof/>
              <w:kern w:val="2"/>
              <w:lang w:eastAsia="en-GB"/>
              <w14:ligatures w14:val="standardContextual"/>
            </w:rPr>
          </w:pPr>
          <w:hyperlink w:anchor="_Toc154184989" w:history="1">
            <w:r w:rsidRPr="00924245">
              <w:rPr>
                <w:rStyle w:val="Hyperlink"/>
                <w:rFonts w:cs="Times New Roman (Headings CS)"/>
                <w:caps/>
                <w:noProof/>
              </w:rPr>
              <w:t>Results of systematic &amp; database reviews</w:t>
            </w:r>
            <w:r>
              <w:rPr>
                <w:noProof/>
                <w:webHidden/>
              </w:rPr>
              <w:tab/>
            </w:r>
            <w:r>
              <w:rPr>
                <w:noProof/>
                <w:webHidden/>
              </w:rPr>
              <w:fldChar w:fldCharType="begin"/>
            </w:r>
            <w:r>
              <w:rPr>
                <w:noProof/>
                <w:webHidden/>
              </w:rPr>
              <w:instrText xml:space="preserve"> PAGEREF _Toc154184989 \h </w:instrText>
            </w:r>
            <w:r>
              <w:rPr>
                <w:noProof/>
                <w:webHidden/>
              </w:rPr>
            </w:r>
            <w:r>
              <w:rPr>
                <w:noProof/>
                <w:webHidden/>
              </w:rPr>
              <w:fldChar w:fldCharType="separate"/>
            </w:r>
            <w:r w:rsidR="001B7760">
              <w:rPr>
                <w:noProof/>
                <w:webHidden/>
              </w:rPr>
              <w:t>14</w:t>
            </w:r>
            <w:r>
              <w:rPr>
                <w:noProof/>
                <w:webHidden/>
              </w:rPr>
              <w:fldChar w:fldCharType="end"/>
            </w:r>
          </w:hyperlink>
        </w:p>
        <w:p w14:paraId="6D564E47" w14:textId="515A01E9" w:rsidR="001D7B7F" w:rsidRDefault="001D7B7F">
          <w:pPr>
            <w:pStyle w:val="TOC2"/>
            <w:tabs>
              <w:tab w:val="right" w:leader="dot" w:pos="9350"/>
            </w:tabs>
            <w:rPr>
              <w:rFonts w:asciiTheme="minorHAnsi" w:eastAsiaTheme="minorEastAsia" w:hAnsiTheme="minorHAnsi" w:cstheme="minorBidi"/>
              <w:b w:val="0"/>
              <w:bCs w:val="0"/>
              <w:noProof/>
              <w:kern w:val="2"/>
              <w:sz w:val="24"/>
              <w:szCs w:val="24"/>
              <w:lang w:eastAsia="en-GB"/>
              <w14:ligatures w14:val="standardContextual"/>
            </w:rPr>
          </w:pPr>
          <w:hyperlink w:anchor="_Toc154184990" w:history="1">
            <w:r w:rsidRPr="00924245">
              <w:rPr>
                <w:rStyle w:val="Hyperlink"/>
                <w:noProof/>
              </w:rPr>
              <w:t>Systematic review of PopPK studies</w:t>
            </w:r>
            <w:r>
              <w:rPr>
                <w:noProof/>
                <w:webHidden/>
              </w:rPr>
              <w:tab/>
            </w:r>
            <w:r>
              <w:rPr>
                <w:noProof/>
                <w:webHidden/>
              </w:rPr>
              <w:fldChar w:fldCharType="begin"/>
            </w:r>
            <w:r>
              <w:rPr>
                <w:noProof/>
                <w:webHidden/>
              </w:rPr>
              <w:instrText xml:space="preserve"> PAGEREF _Toc154184990 \h </w:instrText>
            </w:r>
            <w:r>
              <w:rPr>
                <w:noProof/>
                <w:webHidden/>
              </w:rPr>
            </w:r>
            <w:r>
              <w:rPr>
                <w:noProof/>
                <w:webHidden/>
              </w:rPr>
              <w:fldChar w:fldCharType="separate"/>
            </w:r>
            <w:r w:rsidR="001B7760">
              <w:rPr>
                <w:noProof/>
                <w:webHidden/>
              </w:rPr>
              <w:t>14</w:t>
            </w:r>
            <w:r>
              <w:rPr>
                <w:noProof/>
                <w:webHidden/>
              </w:rPr>
              <w:fldChar w:fldCharType="end"/>
            </w:r>
          </w:hyperlink>
        </w:p>
        <w:p w14:paraId="2305DD26" w14:textId="050815B9" w:rsidR="001D7B7F" w:rsidRDefault="001D7B7F">
          <w:pPr>
            <w:pStyle w:val="TOC2"/>
            <w:tabs>
              <w:tab w:val="right" w:leader="dot" w:pos="9350"/>
            </w:tabs>
            <w:rPr>
              <w:rFonts w:asciiTheme="minorHAnsi" w:eastAsiaTheme="minorEastAsia" w:hAnsiTheme="minorHAnsi" w:cstheme="minorBidi"/>
              <w:b w:val="0"/>
              <w:bCs w:val="0"/>
              <w:noProof/>
              <w:kern w:val="2"/>
              <w:sz w:val="24"/>
              <w:szCs w:val="24"/>
              <w:lang w:eastAsia="en-GB"/>
              <w14:ligatures w14:val="standardContextual"/>
            </w:rPr>
          </w:pPr>
          <w:hyperlink w:anchor="_Toc154184991" w:history="1">
            <w:r w:rsidRPr="00924245">
              <w:rPr>
                <w:rStyle w:val="Hyperlink"/>
                <w:noProof/>
              </w:rPr>
              <w:t xml:space="preserve">Database review of antibiotic susceptibility testing and MIC </w:t>
            </w:r>
            <w:r w:rsidRPr="00924245">
              <w:rPr>
                <w:rStyle w:val="Hyperlink"/>
                <w:iCs/>
                <w:noProof/>
              </w:rPr>
              <w:t>distributions</w:t>
            </w:r>
            <w:r>
              <w:rPr>
                <w:noProof/>
                <w:webHidden/>
              </w:rPr>
              <w:tab/>
            </w:r>
            <w:r>
              <w:rPr>
                <w:noProof/>
                <w:webHidden/>
              </w:rPr>
              <w:fldChar w:fldCharType="begin"/>
            </w:r>
            <w:r>
              <w:rPr>
                <w:noProof/>
                <w:webHidden/>
              </w:rPr>
              <w:instrText xml:space="preserve"> PAGEREF _Toc154184991 \h </w:instrText>
            </w:r>
            <w:r>
              <w:rPr>
                <w:noProof/>
                <w:webHidden/>
              </w:rPr>
            </w:r>
            <w:r>
              <w:rPr>
                <w:noProof/>
                <w:webHidden/>
              </w:rPr>
              <w:fldChar w:fldCharType="separate"/>
            </w:r>
            <w:r w:rsidR="001B7760">
              <w:rPr>
                <w:noProof/>
                <w:webHidden/>
              </w:rPr>
              <w:t>18</w:t>
            </w:r>
            <w:r>
              <w:rPr>
                <w:noProof/>
                <w:webHidden/>
              </w:rPr>
              <w:fldChar w:fldCharType="end"/>
            </w:r>
          </w:hyperlink>
        </w:p>
        <w:p w14:paraId="3301CF1A" w14:textId="22361806" w:rsidR="001D7B7F" w:rsidRDefault="001D7B7F">
          <w:pPr>
            <w:pStyle w:val="TOC2"/>
            <w:tabs>
              <w:tab w:val="right" w:leader="dot" w:pos="9350"/>
            </w:tabs>
            <w:rPr>
              <w:rFonts w:asciiTheme="minorHAnsi" w:eastAsiaTheme="minorEastAsia" w:hAnsiTheme="minorHAnsi" w:cstheme="minorBidi"/>
              <w:b w:val="0"/>
              <w:bCs w:val="0"/>
              <w:noProof/>
              <w:kern w:val="2"/>
              <w:sz w:val="24"/>
              <w:szCs w:val="24"/>
              <w:lang w:eastAsia="en-GB"/>
              <w14:ligatures w14:val="standardContextual"/>
            </w:rPr>
          </w:pPr>
          <w:hyperlink w:anchor="_Toc154184992" w:history="1">
            <w:r w:rsidRPr="00924245">
              <w:rPr>
                <w:rStyle w:val="Hyperlink"/>
                <w:noProof/>
              </w:rPr>
              <w:t>Systematic review of pharmacodynamic targets and citation tracing</w:t>
            </w:r>
            <w:r>
              <w:rPr>
                <w:noProof/>
                <w:webHidden/>
              </w:rPr>
              <w:tab/>
            </w:r>
            <w:r>
              <w:rPr>
                <w:noProof/>
                <w:webHidden/>
              </w:rPr>
              <w:fldChar w:fldCharType="begin"/>
            </w:r>
            <w:r>
              <w:rPr>
                <w:noProof/>
                <w:webHidden/>
              </w:rPr>
              <w:instrText xml:space="preserve"> PAGEREF _Toc154184992 \h </w:instrText>
            </w:r>
            <w:r>
              <w:rPr>
                <w:noProof/>
                <w:webHidden/>
              </w:rPr>
            </w:r>
            <w:r>
              <w:rPr>
                <w:noProof/>
                <w:webHidden/>
              </w:rPr>
              <w:fldChar w:fldCharType="separate"/>
            </w:r>
            <w:r w:rsidR="001B7760">
              <w:rPr>
                <w:noProof/>
                <w:webHidden/>
              </w:rPr>
              <w:t>19</w:t>
            </w:r>
            <w:r>
              <w:rPr>
                <w:noProof/>
                <w:webHidden/>
              </w:rPr>
              <w:fldChar w:fldCharType="end"/>
            </w:r>
          </w:hyperlink>
        </w:p>
        <w:p w14:paraId="6772D92E" w14:textId="10447267" w:rsidR="001D7B7F" w:rsidRDefault="001D7B7F">
          <w:pPr>
            <w:pStyle w:val="TOC1"/>
            <w:rPr>
              <w:rFonts w:asciiTheme="minorHAnsi" w:eastAsiaTheme="minorEastAsia" w:hAnsiTheme="minorHAnsi" w:cstheme="minorBidi"/>
              <w:noProof/>
              <w:kern w:val="2"/>
              <w:lang w:eastAsia="en-GB"/>
              <w14:ligatures w14:val="standardContextual"/>
            </w:rPr>
          </w:pPr>
          <w:hyperlink w:anchor="_Toc154184993" w:history="1">
            <w:r w:rsidRPr="00924245">
              <w:rPr>
                <w:rStyle w:val="Hyperlink"/>
                <w:rFonts w:cs="Times New Roman (Headings CS)"/>
                <w:caps/>
                <w:noProof/>
              </w:rPr>
              <w:t>Discussion: Challenges &amp; opportunities</w:t>
            </w:r>
            <w:r>
              <w:rPr>
                <w:noProof/>
                <w:webHidden/>
              </w:rPr>
              <w:tab/>
            </w:r>
            <w:r>
              <w:rPr>
                <w:noProof/>
                <w:webHidden/>
              </w:rPr>
              <w:fldChar w:fldCharType="begin"/>
            </w:r>
            <w:r>
              <w:rPr>
                <w:noProof/>
                <w:webHidden/>
              </w:rPr>
              <w:instrText xml:space="preserve"> PAGEREF _Toc154184993 \h </w:instrText>
            </w:r>
            <w:r>
              <w:rPr>
                <w:noProof/>
                <w:webHidden/>
              </w:rPr>
            </w:r>
            <w:r>
              <w:rPr>
                <w:noProof/>
                <w:webHidden/>
              </w:rPr>
              <w:fldChar w:fldCharType="separate"/>
            </w:r>
            <w:r w:rsidR="001B7760">
              <w:rPr>
                <w:noProof/>
                <w:webHidden/>
              </w:rPr>
              <w:t>25</w:t>
            </w:r>
            <w:r>
              <w:rPr>
                <w:noProof/>
                <w:webHidden/>
              </w:rPr>
              <w:fldChar w:fldCharType="end"/>
            </w:r>
          </w:hyperlink>
        </w:p>
        <w:p w14:paraId="3C02B784" w14:textId="2CE59330" w:rsidR="001D7B7F" w:rsidRDefault="001D7B7F">
          <w:pPr>
            <w:pStyle w:val="TOC2"/>
            <w:tabs>
              <w:tab w:val="right" w:leader="dot" w:pos="9350"/>
            </w:tabs>
            <w:rPr>
              <w:rFonts w:asciiTheme="minorHAnsi" w:eastAsiaTheme="minorEastAsia" w:hAnsiTheme="minorHAnsi" w:cstheme="minorBidi"/>
              <w:b w:val="0"/>
              <w:bCs w:val="0"/>
              <w:noProof/>
              <w:kern w:val="2"/>
              <w:sz w:val="24"/>
              <w:szCs w:val="24"/>
              <w:lang w:eastAsia="en-GB"/>
              <w14:ligatures w14:val="standardContextual"/>
            </w:rPr>
          </w:pPr>
          <w:hyperlink w:anchor="_Toc154184994" w:history="1">
            <w:r w:rsidRPr="00924245">
              <w:rPr>
                <w:rStyle w:val="Hyperlink"/>
                <w:noProof/>
              </w:rPr>
              <w:t>Antibiotic regimen &amp; drug exposure</w:t>
            </w:r>
            <w:r>
              <w:rPr>
                <w:noProof/>
                <w:webHidden/>
              </w:rPr>
              <w:tab/>
            </w:r>
            <w:r>
              <w:rPr>
                <w:noProof/>
                <w:webHidden/>
              </w:rPr>
              <w:fldChar w:fldCharType="begin"/>
            </w:r>
            <w:r>
              <w:rPr>
                <w:noProof/>
                <w:webHidden/>
              </w:rPr>
              <w:instrText xml:space="preserve"> PAGEREF _Toc154184994 \h </w:instrText>
            </w:r>
            <w:r>
              <w:rPr>
                <w:noProof/>
                <w:webHidden/>
              </w:rPr>
            </w:r>
            <w:r>
              <w:rPr>
                <w:noProof/>
                <w:webHidden/>
              </w:rPr>
              <w:fldChar w:fldCharType="separate"/>
            </w:r>
            <w:r w:rsidR="001B7760">
              <w:rPr>
                <w:noProof/>
                <w:webHidden/>
              </w:rPr>
              <w:t>25</w:t>
            </w:r>
            <w:r>
              <w:rPr>
                <w:noProof/>
                <w:webHidden/>
              </w:rPr>
              <w:fldChar w:fldCharType="end"/>
            </w:r>
          </w:hyperlink>
        </w:p>
        <w:p w14:paraId="4F471BD1" w14:textId="7E4C73FF" w:rsidR="001D7B7F" w:rsidRDefault="001D7B7F">
          <w:pPr>
            <w:pStyle w:val="TOC2"/>
            <w:tabs>
              <w:tab w:val="right" w:leader="dot" w:pos="9350"/>
            </w:tabs>
            <w:rPr>
              <w:rFonts w:asciiTheme="minorHAnsi" w:eastAsiaTheme="minorEastAsia" w:hAnsiTheme="minorHAnsi" w:cstheme="minorBidi"/>
              <w:b w:val="0"/>
              <w:bCs w:val="0"/>
              <w:noProof/>
              <w:kern w:val="2"/>
              <w:sz w:val="24"/>
              <w:szCs w:val="24"/>
              <w:lang w:eastAsia="en-GB"/>
              <w14:ligatures w14:val="standardContextual"/>
            </w:rPr>
          </w:pPr>
          <w:hyperlink w:anchor="_Toc154184995" w:history="1">
            <w:r w:rsidRPr="00924245">
              <w:rPr>
                <w:rStyle w:val="Hyperlink"/>
                <w:noProof/>
              </w:rPr>
              <w:t>Antibiotic potency &amp; MIC distribution</w:t>
            </w:r>
            <w:r>
              <w:rPr>
                <w:noProof/>
                <w:webHidden/>
              </w:rPr>
              <w:tab/>
            </w:r>
            <w:r>
              <w:rPr>
                <w:noProof/>
                <w:webHidden/>
              </w:rPr>
              <w:fldChar w:fldCharType="begin"/>
            </w:r>
            <w:r>
              <w:rPr>
                <w:noProof/>
                <w:webHidden/>
              </w:rPr>
              <w:instrText xml:space="preserve"> PAGEREF _Toc154184995 \h </w:instrText>
            </w:r>
            <w:r>
              <w:rPr>
                <w:noProof/>
                <w:webHidden/>
              </w:rPr>
            </w:r>
            <w:r>
              <w:rPr>
                <w:noProof/>
                <w:webHidden/>
              </w:rPr>
              <w:fldChar w:fldCharType="separate"/>
            </w:r>
            <w:r w:rsidR="001B7760">
              <w:rPr>
                <w:noProof/>
                <w:webHidden/>
              </w:rPr>
              <w:t>27</w:t>
            </w:r>
            <w:r>
              <w:rPr>
                <w:noProof/>
                <w:webHidden/>
              </w:rPr>
              <w:fldChar w:fldCharType="end"/>
            </w:r>
          </w:hyperlink>
        </w:p>
        <w:p w14:paraId="76030B19" w14:textId="560AFC7D" w:rsidR="001D7B7F" w:rsidRDefault="001D7B7F">
          <w:pPr>
            <w:pStyle w:val="TOC2"/>
            <w:tabs>
              <w:tab w:val="right" w:leader="dot" w:pos="9350"/>
            </w:tabs>
            <w:rPr>
              <w:rFonts w:asciiTheme="minorHAnsi" w:eastAsiaTheme="minorEastAsia" w:hAnsiTheme="minorHAnsi" w:cstheme="minorBidi"/>
              <w:b w:val="0"/>
              <w:bCs w:val="0"/>
              <w:noProof/>
              <w:kern w:val="2"/>
              <w:sz w:val="24"/>
              <w:szCs w:val="24"/>
              <w:lang w:eastAsia="en-GB"/>
              <w14:ligatures w14:val="standardContextual"/>
            </w:rPr>
          </w:pPr>
          <w:hyperlink w:anchor="_Toc154184996" w:history="1">
            <w:r w:rsidRPr="00924245">
              <w:rPr>
                <w:rStyle w:val="Hyperlink"/>
                <w:noProof/>
              </w:rPr>
              <w:t>Pharmacodynamic targets</w:t>
            </w:r>
            <w:r>
              <w:rPr>
                <w:noProof/>
                <w:webHidden/>
              </w:rPr>
              <w:tab/>
            </w:r>
            <w:r>
              <w:rPr>
                <w:noProof/>
                <w:webHidden/>
              </w:rPr>
              <w:fldChar w:fldCharType="begin"/>
            </w:r>
            <w:r>
              <w:rPr>
                <w:noProof/>
                <w:webHidden/>
              </w:rPr>
              <w:instrText xml:space="preserve"> PAGEREF _Toc154184996 \h </w:instrText>
            </w:r>
            <w:r>
              <w:rPr>
                <w:noProof/>
                <w:webHidden/>
              </w:rPr>
            </w:r>
            <w:r>
              <w:rPr>
                <w:noProof/>
                <w:webHidden/>
              </w:rPr>
              <w:fldChar w:fldCharType="separate"/>
            </w:r>
            <w:r w:rsidR="001B7760">
              <w:rPr>
                <w:noProof/>
                <w:webHidden/>
              </w:rPr>
              <w:t>28</w:t>
            </w:r>
            <w:r>
              <w:rPr>
                <w:noProof/>
                <w:webHidden/>
              </w:rPr>
              <w:fldChar w:fldCharType="end"/>
            </w:r>
          </w:hyperlink>
        </w:p>
        <w:p w14:paraId="6DCDA6AE" w14:textId="7E85352D" w:rsidR="001D7B7F" w:rsidRDefault="001D7B7F">
          <w:pPr>
            <w:pStyle w:val="TOC1"/>
            <w:rPr>
              <w:rFonts w:asciiTheme="minorHAnsi" w:eastAsiaTheme="minorEastAsia" w:hAnsiTheme="minorHAnsi" w:cstheme="minorBidi"/>
              <w:noProof/>
              <w:kern w:val="2"/>
              <w:lang w:eastAsia="en-GB"/>
              <w14:ligatures w14:val="standardContextual"/>
            </w:rPr>
          </w:pPr>
          <w:hyperlink w:anchor="_Toc154184997" w:history="1">
            <w:r w:rsidRPr="00924245">
              <w:rPr>
                <w:rStyle w:val="Hyperlink"/>
                <w:rFonts w:cs="Times New Roman (Headings CS)"/>
                <w:caps/>
                <w:noProof/>
              </w:rPr>
              <w:t>Conclusions</w:t>
            </w:r>
            <w:r>
              <w:rPr>
                <w:noProof/>
                <w:webHidden/>
              </w:rPr>
              <w:tab/>
            </w:r>
            <w:r>
              <w:rPr>
                <w:noProof/>
                <w:webHidden/>
              </w:rPr>
              <w:fldChar w:fldCharType="begin"/>
            </w:r>
            <w:r>
              <w:rPr>
                <w:noProof/>
                <w:webHidden/>
              </w:rPr>
              <w:instrText xml:space="preserve"> PAGEREF _Toc154184997 \h </w:instrText>
            </w:r>
            <w:r>
              <w:rPr>
                <w:noProof/>
                <w:webHidden/>
              </w:rPr>
            </w:r>
            <w:r>
              <w:rPr>
                <w:noProof/>
                <w:webHidden/>
              </w:rPr>
              <w:fldChar w:fldCharType="separate"/>
            </w:r>
            <w:r w:rsidR="001B7760">
              <w:rPr>
                <w:noProof/>
                <w:webHidden/>
              </w:rPr>
              <w:t>31</w:t>
            </w:r>
            <w:r>
              <w:rPr>
                <w:noProof/>
                <w:webHidden/>
              </w:rPr>
              <w:fldChar w:fldCharType="end"/>
            </w:r>
          </w:hyperlink>
        </w:p>
        <w:p w14:paraId="058050EF" w14:textId="57560385" w:rsidR="001D7B7F" w:rsidRDefault="001D7B7F">
          <w:pPr>
            <w:pStyle w:val="TOC1"/>
            <w:rPr>
              <w:rFonts w:asciiTheme="minorHAnsi" w:eastAsiaTheme="minorEastAsia" w:hAnsiTheme="minorHAnsi" w:cstheme="minorBidi"/>
              <w:noProof/>
              <w:kern w:val="2"/>
              <w:lang w:eastAsia="en-GB"/>
              <w14:ligatures w14:val="standardContextual"/>
            </w:rPr>
          </w:pPr>
          <w:hyperlink w:anchor="_Toc154184998" w:history="1">
            <w:r w:rsidRPr="00924245">
              <w:rPr>
                <w:rStyle w:val="Hyperlink"/>
                <w:rFonts w:cs="Times New Roman (Headings CS)"/>
                <w:caps/>
                <w:noProof/>
              </w:rPr>
              <w:t>Acknowledgements</w:t>
            </w:r>
            <w:r>
              <w:rPr>
                <w:noProof/>
                <w:webHidden/>
              </w:rPr>
              <w:tab/>
            </w:r>
            <w:r>
              <w:rPr>
                <w:noProof/>
                <w:webHidden/>
              </w:rPr>
              <w:fldChar w:fldCharType="begin"/>
            </w:r>
            <w:r>
              <w:rPr>
                <w:noProof/>
                <w:webHidden/>
              </w:rPr>
              <w:instrText xml:space="preserve"> PAGEREF _Toc154184998 \h </w:instrText>
            </w:r>
            <w:r>
              <w:rPr>
                <w:noProof/>
                <w:webHidden/>
              </w:rPr>
            </w:r>
            <w:r>
              <w:rPr>
                <w:noProof/>
                <w:webHidden/>
              </w:rPr>
              <w:fldChar w:fldCharType="separate"/>
            </w:r>
            <w:r w:rsidR="001B7760">
              <w:rPr>
                <w:noProof/>
                <w:webHidden/>
              </w:rPr>
              <w:t>33</w:t>
            </w:r>
            <w:r>
              <w:rPr>
                <w:noProof/>
                <w:webHidden/>
              </w:rPr>
              <w:fldChar w:fldCharType="end"/>
            </w:r>
          </w:hyperlink>
        </w:p>
        <w:p w14:paraId="26AD8DB5" w14:textId="19D1EF0B" w:rsidR="001D7B7F" w:rsidRDefault="001D7B7F">
          <w:pPr>
            <w:pStyle w:val="TOC1"/>
            <w:rPr>
              <w:rFonts w:asciiTheme="minorHAnsi" w:eastAsiaTheme="minorEastAsia" w:hAnsiTheme="minorHAnsi" w:cstheme="minorBidi"/>
              <w:noProof/>
              <w:kern w:val="2"/>
              <w:lang w:eastAsia="en-GB"/>
              <w14:ligatures w14:val="standardContextual"/>
            </w:rPr>
          </w:pPr>
          <w:hyperlink w:anchor="_Toc154184999" w:history="1">
            <w:r w:rsidRPr="00924245">
              <w:rPr>
                <w:rStyle w:val="Hyperlink"/>
                <w:rFonts w:cs="Times New Roman (Headings CS)"/>
                <w:caps/>
                <w:noProof/>
              </w:rPr>
              <w:t>Conflicts of Interests</w:t>
            </w:r>
            <w:r>
              <w:rPr>
                <w:noProof/>
                <w:webHidden/>
              </w:rPr>
              <w:tab/>
            </w:r>
            <w:r>
              <w:rPr>
                <w:noProof/>
                <w:webHidden/>
              </w:rPr>
              <w:fldChar w:fldCharType="begin"/>
            </w:r>
            <w:r>
              <w:rPr>
                <w:noProof/>
                <w:webHidden/>
              </w:rPr>
              <w:instrText xml:space="preserve"> PAGEREF _Toc154184999 \h </w:instrText>
            </w:r>
            <w:r>
              <w:rPr>
                <w:noProof/>
                <w:webHidden/>
              </w:rPr>
            </w:r>
            <w:r>
              <w:rPr>
                <w:noProof/>
                <w:webHidden/>
              </w:rPr>
              <w:fldChar w:fldCharType="separate"/>
            </w:r>
            <w:r w:rsidR="001B7760">
              <w:rPr>
                <w:noProof/>
                <w:webHidden/>
              </w:rPr>
              <w:t>34</w:t>
            </w:r>
            <w:r>
              <w:rPr>
                <w:noProof/>
                <w:webHidden/>
              </w:rPr>
              <w:fldChar w:fldCharType="end"/>
            </w:r>
          </w:hyperlink>
        </w:p>
        <w:p w14:paraId="6B222B06" w14:textId="25CC37CA" w:rsidR="001D7B7F" w:rsidRDefault="001D7B7F">
          <w:pPr>
            <w:pStyle w:val="TOC1"/>
            <w:rPr>
              <w:rFonts w:asciiTheme="minorHAnsi" w:eastAsiaTheme="minorEastAsia" w:hAnsiTheme="minorHAnsi" w:cstheme="minorBidi"/>
              <w:noProof/>
              <w:kern w:val="2"/>
              <w:lang w:eastAsia="en-GB"/>
              <w14:ligatures w14:val="standardContextual"/>
            </w:rPr>
          </w:pPr>
          <w:hyperlink w:anchor="_Toc154185000" w:history="1">
            <w:r w:rsidRPr="00924245">
              <w:rPr>
                <w:rStyle w:val="Hyperlink"/>
                <w:rFonts w:cs="Times New Roman (Headings CS)"/>
                <w:caps/>
                <w:noProof/>
              </w:rPr>
              <w:t>References</w:t>
            </w:r>
            <w:r>
              <w:rPr>
                <w:noProof/>
                <w:webHidden/>
              </w:rPr>
              <w:tab/>
            </w:r>
            <w:r>
              <w:rPr>
                <w:noProof/>
                <w:webHidden/>
              </w:rPr>
              <w:fldChar w:fldCharType="begin"/>
            </w:r>
            <w:r>
              <w:rPr>
                <w:noProof/>
                <w:webHidden/>
              </w:rPr>
              <w:instrText xml:space="preserve"> PAGEREF _Toc154185000 \h </w:instrText>
            </w:r>
            <w:r>
              <w:rPr>
                <w:noProof/>
                <w:webHidden/>
              </w:rPr>
            </w:r>
            <w:r>
              <w:rPr>
                <w:noProof/>
                <w:webHidden/>
              </w:rPr>
              <w:fldChar w:fldCharType="separate"/>
            </w:r>
            <w:r w:rsidR="001B7760">
              <w:rPr>
                <w:noProof/>
                <w:webHidden/>
              </w:rPr>
              <w:t>35</w:t>
            </w:r>
            <w:r>
              <w:rPr>
                <w:noProof/>
                <w:webHidden/>
              </w:rPr>
              <w:fldChar w:fldCharType="end"/>
            </w:r>
          </w:hyperlink>
        </w:p>
        <w:p w14:paraId="18D96FF5" w14:textId="2684FC1A" w:rsidR="001D7B7F" w:rsidRDefault="001D7B7F">
          <w:pPr>
            <w:pStyle w:val="TOC1"/>
            <w:rPr>
              <w:rFonts w:asciiTheme="minorHAnsi" w:eastAsiaTheme="minorEastAsia" w:hAnsiTheme="minorHAnsi" w:cstheme="minorBidi"/>
              <w:noProof/>
              <w:kern w:val="2"/>
              <w:lang w:eastAsia="en-GB"/>
              <w14:ligatures w14:val="standardContextual"/>
            </w:rPr>
          </w:pPr>
          <w:hyperlink w:anchor="_Toc154185001" w:history="1">
            <w:r w:rsidRPr="00924245">
              <w:rPr>
                <w:rStyle w:val="Hyperlink"/>
                <w:rFonts w:cs="Times New Roman (Headings CS)"/>
                <w:caps/>
                <w:noProof/>
              </w:rPr>
              <w:t>Author Biographies</w:t>
            </w:r>
            <w:r>
              <w:rPr>
                <w:noProof/>
                <w:webHidden/>
              </w:rPr>
              <w:tab/>
            </w:r>
            <w:r>
              <w:rPr>
                <w:noProof/>
                <w:webHidden/>
              </w:rPr>
              <w:fldChar w:fldCharType="begin"/>
            </w:r>
            <w:r>
              <w:rPr>
                <w:noProof/>
                <w:webHidden/>
              </w:rPr>
              <w:instrText xml:space="preserve"> PAGEREF _Toc154185001 \h </w:instrText>
            </w:r>
            <w:r>
              <w:rPr>
                <w:noProof/>
                <w:webHidden/>
              </w:rPr>
            </w:r>
            <w:r>
              <w:rPr>
                <w:noProof/>
                <w:webHidden/>
              </w:rPr>
              <w:fldChar w:fldCharType="separate"/>
            </w:r>
            <w:r w:rsidR="001B7760">
              <w:rPr>
                <w:noProof/>
                <w:webHidden/>
              </w:rPr>
              <w:t>56</w:t>
            </w:r>
            <w:r>
              <w:rPr>
                <w:noProof/>
                <w:webHidden/>
              </w:rPr>
              <w:fldChar w:fldCharType="end"/>
            </w:r>
          </w:hyperlink>
        </w:p>
        <w:p w14:paraId="42ACBF67" w14:textId="76D52924" w:rsidR="006D2208" w:rsidRDefault="00E81ADE" w:rsidP="006D2208">
          <w:pPr>
            <w:rPr>
              <w:b/>
              <w:bCs/>
              <w:noProof/>
            </w:rPr>
          </w:pPr>
          <w:r>
            <w:rPr>
              <w:b/>
              <w:bCs/>
              <w:noProof/>
            </w:rPr>
            <w:fldChar w:fldCharType="end"/>
          </w:r>
        </w:p>
      </w:sdtContent>
    </w:sdt>
    <w:p w14:paraId="67DBA549" w14:textId="4AEEB544" w:rsidR="007118E0" w:rsidRPr="006D2208" w:rsidRDefault="007118E0" w:rsidP="006D2208">
      <w:r w:rsidRPr="5AB8D330">
        <w:rPr>
          <w:rFonts w:eastAsia="Arial" w:cs="Arial"/>
        </w:rPr>
        <w:br w:type="page"/>
      </w:r>
    </w:p>
    <w:p w14:paraId="7060E0F8" w14:textId="0BB4E2EF" w:rsidR="007118E0" w:rsidRPr="00E81ADE" w:rsidRDefault="007118E0" w:rsidP="00D678CF">
      <w:pPr>
        <w:pStyle w:val="Heading1"/>
        <w:spacing w:line="480" w:lineRule="auto"/>
        <w:rPr>
          <w:rFonts w:cs="Times New Roman (Headings CS)"/>
          <w:caps/>
        </w:rPr>
      </w:pPr>
      <w:bookmarkStart w:id="0" w:name="_Toc154184979"/>
      <w:r w:rsidRPr="00E81ADE">
        <w:rPr>
          <w:rFonts w:cs="Times New Roman (Headings CS)"/>
          <w:caps/>
        </w:rPr>
        <w:lastRenderedPageBreak/>
        <w:t>Summary</w:t>
      </w:r>
      <w:bookmarkEnd w:id="0"/>
    </w:p>
    <w:p w14:paraId="03959C0C" w14:textId="61000762" w:rsidR="007118E0" w:rsidRPr="00D678CF" w:rsidRDefault="007118E0" w:rsidP="00D678CF">
      <w:pPr>
        <w:spacing w:line="480" w:lineRule="auto"/>
        <w:jc w:val="both"/>
        <w:rPr>
          <w:sz w:val="24"/>
          <w:szCs w:val="24"/>
        </w:rPr>
      </w:pPr>
      <w:r w:rsidRPr="00D678CF">
        <w:rPr>
          <w:sz w:val="24"/>
          <w:szCs w:val="24"/>
        </w:rPr>
        <w:t xml:space="preserve">The </w:t>
      </w:r>
      <w:r w:rsidR="00F52CD4" w:rsidRPr="00D678CF">
        <w:rPr>
          <w:sz w:val="24"/>
          <w:szCs w:val="24"/>
        </w:rPr>
        <w:t>World Health Organisation’s</w:t>
      </w:r>
      <w:r w:rsidRPr="00D678CF">
        <w:rPr>
          <w:sz w:val="24"/>
          <w:szCs w:val="24"/>
        </w:rPr>
        <w:t xml:space="preserve"> </w:t>
      </w:r>
      <w:r w:rsidR="42865C57" w:rsidRPr="00D678CF">
        <w:rPr>
          <w:sz w:val="24"/>
          <w:szCs w:val="24"/>
        </w:rPr>
        <w:t xml:space="preserve">2022 </w:t>
      </w:r>
      <w:proofErr w:type="spellStart"/>
      <w:r w:rsidRPr="00D678CF">
        <w:rPr>
          <w:sz w:val="24"/>
          <w:szCs w:val="24"/>
        </w:rPr>
        <w:t>AWaRe</w:t>
      </w:r>
      <w:proofErr w:type="spellEnd"/>
      <w:r w:rsidRPr="00D678CF">
        <w:rPr>
          <w:sz w:val="24"/>
          <w:szCs w:val="24"/>
        </w:rPr>
        <w:t xml:space="preserve"> Book </w:t>
      </w:r>
      <w:r w:rsidR="1322FFF8" w:rsidRPr="00D678CF">
        <w:rPr>
          <w:sz w:val="24"/>
          <w:szCs w:val="24"/>
        </w:rPr>
        <w:t xml:space="preserve">provides guidance </w:t>
      </w:r>
      <w:r w:rsidR="4794AE45" w:rsidRPr="00D678CF">
        <w:rPr>
          <w:sz w:val="24"/>
          <w:szCs w:val="24"/>
        </w:rPr>
        <w:t xml:space="preserve">for the use of 39 </w:t>
      </w:r>
      <w:r w:rsidR="2BBAF261" w:rsidRPr="00D678CF">
        <w:rPr>
          <w:sz w:val="24"/>
          <w:szCs w:val="24"/>
        </w:rPr>
        <w:t xml:space="preserve">antibiotics </w:t>
      </w:r>
      <w:r w:rsidRPr="00D678CF">
        <w:rPr>
          <w:sz w:val="24"/>
          <w:szCs w:val="24"/>
        </w:rPr>
        <w:t xml:space="preserve">to treat </w:t>
      </w:r>
      <w:r w:rsidR="29E443A6" w:rsidRPr="00D678CF">
        <w:rPr>
          <w:sz w:val="24"/>
          <w:szCs w:val="24"/>
        </w:rPr>
        <w:t>35 infections</w:t>
      </w:r>
      <w:r w:rsidRPr="00D678CF">
        <w:rPr>
          <w:sz w:val="24"/>
          <w:szCs w:val="24"/>
        </w:rPr>
        <w:t xml:space="preserve"> in primary healthcare </w:t>
      </w:r>
      <w:r w:rsidR="7F82753B" w:rsidRPr="00D678CF">
        <w:rPr>
          <w:sz w:val="24"/>
          <w:szCs w:val="24"/>
        </w:rPr>
        <w:t>and hospital facilities</w:t>
      </w:r>
      <w:r w:rsidR="29E443A6" w:rsidRPr="00D678CF">
        <w:rPr>
          <w:sz w:val="24"/>
          <w:szCs w:val="24"/>
        </w:rPr>
        <w:t>.</w:t>
      </w:r>
      <w:r w:rsidRPr="00D678CF">
        <w:rPr>
          <w:sz w:val="24"/>
          <w:szCs w:val="24"/>
        </w:rPr>
        <w:t xml:space="preserve"> We review the evidence underpinning </w:t>
      </w:r>
      <w:r w:rsidR="002655A9" w:rsidRPr="00D678CF">
        <w:rPr>
          <w:sz w:val="24"/>
          <w:szCs w:val="24"/>
        </w:rPr>
        <w:t>suggested</w:t>
      </w:r>
      <w:r w:rsidR="074D2C7F" w:rsidRPr="00D678CF">
        <w:rPr>
          <w:sz w:val="24"/>
          <w:szCs w:val="24"/>
        </w:rPr>
        <w:t xml:space="preserve"> dosing</w:t>
      </w:r>
      <w:r w:rsidRPr="00D678CF">
        <w:rPr>
          <w:sz w:val="24"/>
          <w:szCs w:val="24"/>
        </w:rPr>
        <w:t xml:space="preserve"> regimens. </w:t>
      </w:r>
      <w:r w:rsidR="00EF596B" w:rsidRPr="00D678CF">
        <w:rPr>
          <w:sz w:val="24"/>
          <w:szCs w:val="24"/>
        </w:rPr>
        <w:t>Few</w:t>
      </w:r>
      <w:r w:rsidRPr="00D678CF">
        <w:rPr>
          <w:sz w:val="24"/>
          <w:szCs w:val="24"/>
        </w:rPr>
        <w:t xml:space="preserve"> </w:t>
      </w:r>
      <w:r w:rsidR="00BB33B9" w:rsidRPr="00D678CF">
        <w:rPr>
          <w:sz w:val="24"/>
          <w:szCs w:val="24"/>
        </w:rPr>
        <w:t xml:space="preserve">(n=18) </w:t>
      </w:r>
      <w:r w:rsidRPr="00D678CF">
        <w:rPr>
          <w:sz w:val="24"/>
          <w:szCs w:val="24"/>
        </w:rPr>
        <w:t xml:space="preserve">population pharmacokinetic studies exist for key oral </w:t>
      </w:r>
      <w:proofErr w:type="spellStart"/>
      <w:r w:rsidRPr="00D678CF">
        <w:rPr>
          <w:sz w:val="24"/>
          <w:szCs w:val="24"/>
        </w:rPr>
        <w:t>AWaRe</w:t>
      </w:r>
      <w:proofErr w:type="spellEnd"/>
      <w:r w:rsidRPr="00D678CF">
        <w:rPr>
          <w:sz w:val="24"/>
          <w:szCs w:val="24"/>
        </w:rPr>
        <w:t xml:space="preserve"> a</w:t>
      </w:r>
      <w:r w:rsidR="02358E67" w:rsidRPr="00D678CF">
        <w:rPr>
          <w:sz w:val="24"/>
          <w:szCs w:val="24"/>
        </w:rPr>
        <w:t>ntibiotics</w:t>
      </w:r>
      <w:r w:rsidR="7EA87BAC" w:rsidRPr="00D678CF">
        <w:rPr>
          <w:sz w:val="24"/>
          <w:szCs w:val="24"/>
        </w:rPr>
        <w:t>, largely</w:t>
      </w:r>
      <w:r w:rsidRPr="00D678CF">
        <w:rPr>
          <w:sz w:val="24"/>
          <w:szCs w:val="24"/>
        </w:rPr>
        <w:t xml:space="preserve"> conducted in homogenous </w:t>
      </w:r>
      <w:r w:rsidR="00C64ED3" w:rsidRPr="00D678CF">
        <w:rPr>
          <w:sz w:val="24"/>
          <w:szCs w:val="24"/>
        </w:rPr>
        <w:t xml:space="preserve">and unrepresentative </w:t>
      </w:r>
      <w:r w:rsidRPr="00D678CF">
        <w:rPr>
          <w:sz w:val="24"/>
          <w:szCs w:val="24"/>
        </w:rPr>
        <w:t xml:space="preserve">populations </w:t>
      </w:r>
      <w:r w:rsidR="00BB5557" w:rsidRPr="00D678CF">
        <w:rPr>
          <w:sz w:val="24"/>
          <w:szCs w:val="24"/>
        </w:rPr>
        <w:t xml:space="preserve">hindering </w:t>
      </w:r>
      <w:r w:rsidRPr="00D678CF">
        <w:rPr>
          <w:sz w:val="24"/>
          <w:szCs w:val="24"/>
        </w:rPr>
        <w:t xml:space="preserve">robust </w:t>
      </w:r>
      <w:r w:rsidR="002F5FDD" w:rsidRPr="00D678CF">
        <w:rPr>
          <w:sz w:val="24"/>
          <w:szCs w:val="24"/>
        </w:rPr>
        <w:t>estimat</w:t>
      </w:r>
      <w:r w:rsidR="002655A9" w:rsidRPr="00D678CF">
        <w:rPr>
          <w:sz w:val="24"/>
          <w:szCs w:val="24"/>
        </w:rPr>
        <w:t>es</w:t>
      </w:r>
      <w:r w:rsidR="002F5FDD" w:rsidRPr="00D678CF">
        <w:rPr>
          <w:sz w:val="24"/>
          <w:szCs w:val="24"/>
        </w:rPr>
        <w:t xml:space="preserve"> of drug exposures. </w:t>
      </w:r>
      <w:r w:rsidR="00450B35" w:rsidRPr="00D678CF">
        <w:rPr>
          <w:sz w:val="24"/>
          <w:szCs w:val="24"/>
        </w:rPr>
        <w:t>Databases of minimum inhibitory concentration distributions are limited, especially for community pathogen-antibiotic combinations</w:t>
      </w:r>
      <w:r w:rsidR="005B278E" w:rsidRPr="00D678CF">
        <w:rPr>
          <w:sz w:val="24"/>
          <w:szCs w:val="24"/>
        </w:rPr>
        <w:t xml:space="preserve">. </w:t>
      </w:r>
      <w:r w:rsidR="75D6760F" w:rsidRPr="00D678CF">
        <w:rPr>
          <w:sz w:val="24"/>
          <w:szCs w:val="24"/>
        </w:rPr>
        <w:t xml:space="preserve">Minimum inhibitory concentration data </w:t>
      </w:r>
      <w:r w:rsidR="005B278E" w:rsidRPr="00D678CF">
        <w:rPr>
          <w:sz w:val="24"/>
          <w:szCs w:val="24"/>
        </w:rPr>
        <w:t xml:space="preserve">sources are not routinely </w:t>
      </w:r>
      <w:r w:rsidR="452F6847" w:rsidRPr="00D678CF">
        <w:rPr>
          <w:sz w:val="24"/>
          <w:szCs w:val="24"/>
        </w:rPr>
        <w:t xml:space="preserve">reported and </w:t>
      </w:r>
      <w:r w:rsidR="005B278E" w:rsidRPr="00D678CF">
        <w:rPr>
          <w:sz w:val="24"/>
          <w:szCs w:val="24"/>
        </w:rPr>
        <w:t>lack regional diversity and community representation</w:t>
      </w:r>
      <w:r w:rsidR="00002973" w:rsidRPr="00D678CF">
        <w:rPr>
          <w:sz w:val="24"/>
          <w:szCs w:val="24"/>
        </w:rPr>
        <w:t xml:space="preserve">. Of studies defining a pharmacodynamic target for </w:t>
      </w:r>
      <w:r w:rsidR="005202BB" w:rsidRPr="00D678CF">
        <w:rPr>
          <w:sz w:val="24"/>
          <w:szCs w:val="24"/>
        </w:rPr>
        <w:t xml:space="preserve">ß-lactams </w:t>
      </w:r>
      <w:r w:rsidR="00002973" w:rsidRPr="00D678CF">
        <w:rPr>
          <w:sz w:val="24"/>
          <w:szCs w:val="24"/>
        </w:rPr>
        <w:t xml:space="preserve">(n=80), 42 (52·5%) differed from traditionally accepted 30-50% time above </w:t>
      </w:r>
      <w:r w:rsidR="00C349F3" w:rsidRPr="00D678CF">
        <w:rPr>
          <w:sz w:val="24"/>
          <w:szCs w:val="24"/>
        </w:rPr>
        <w:t>minimum inhibitory concentration</w:t>
      </w:r>
      <w:r w:rsidR="00002973" w:rsidRPr="00D678CF">
        <w:rPr>
          <w:sz w:val="24"/>
          <w:szCs w:val="24"/>
        </w:rPr>
        <w:t xml:space="preserve"> targets.</w:t>
      </w:r>
      <w:r w:rsidR="00C11182" w:rsidRPr="00D678CF">
        <w:rPr>
          <w:sz w:val="24"/>
          <w:szCs w:val="24"/>
        </w:rPr>
        <w:t xml:space="preserve"> </w:t>
      </w:r>
      <w:r w:rsidR="0022684D" w:rsidRPr="00D678CF">
        <w:rPr>
          <w:sz w:val="24"/>
          <w:szCs w:val="24"/>
        </w:rPr>
        <w:t>H</w:t>
      </w:r>
      <w:r w:rsidR="0002742A" w:rsidRPr="00D678CF">
        <w:rPr>
          <w:sz w:val="24"/>
          <w:szCs w:val="24"/>
        </w:rPr>
        <w:t xml:space="preserve">eterogeneity in model systems and </w:t>
      </w:r>
      <w:r w:rsidR="00A549A4" w:rsidRPr="00D678CF">
        <w:rPr>
          <w:sz w:val="24"/>
          <w:szCs w:val="24"/>
        </w:rPr>
        <w:t xml:space="preserve">pharmacodynamic </w:t>
      </w:r>
      <w:r w:rsidR="0002742A" w:rsidRPr="00D678CF">
        <w:rPr>
          <w:sz w:val="24"/>
          <w:szCs w:val="24"/>
        </w:rPr>
        <w:t xml:space="preserve">endpoints </w:t>
      </w:r>
      <w:r w:rsidR="001D7B7F">
        <w:rPr>
          <w:sz w:val="24"/>
          <w:szCs w:val="24"/>
        </w:rPr>
        <w:t>is</w:t>
      </w:r>
      <w:r w:rsidR="001D7B7F" w:rsidRPr="00D678CF">
        <w:rPr>
          <w:sz w:val="24"/>
          <w:szCs w:val="24"/>
        </w:rPr>
        <w:t xml:space="preserve"> </w:t>
      </w:r>
      <w:r w:rsidR="2723FF59" w:rsidRPr="00D678CF">
        <w:rPr>
          <w:sz w:val="24"/>
          <w:szCs w:val="24"/>
        </w:rPr>
        <w:t>common,</w:t>
      </w:r>
      <w:r w:rsidR="004C4455" w:rsidRPr="00D678CF">
        <w:rPr>
          <w:sz w:val="24"/>
          <w:szCs w:val="24"/>
        </w:rPr>
        <w:t xml:space="preserve"> </w:t>
      </w:r>
      <w:r w:rsidR="00083A62" w:rsidRPr="00D678CF">
        <w:rPr>
          <w:sz w:val="24"/>
          <w:szCs w:val="24"/>
        </w:rPr>
        <w:t xml:space="preserve">and </w:t>
      </w:r>
      <w:r w:rsidR="0022684D" w:rsidRPr="00D678CF">
        <w:rPr>
          <w:sz w:val="24"/>
          <w:szCs w:val="24"/>
        </w:rPr>
        <w:t>models</w:t>
      </w:r>
      <w:r w:rsidR="00083A62" w:rsidRPr="00D678CF">
        <w:rPr>
          <w:sz w:val="24"/>
          <w:szCs w:val="24"/>
        </w:rPr>
        <w:t xml:space="preserve"> generally </w:t>
      </w:r>
      <w:r w:rsidR="00A549A4" w:rsidRPr="00D678CF">
        <w:rPr>
          <w:sz w:val="24"/>
          <w:szCs w:val="24"/>
        </w:rPr>
        <w:t xml:space="preserve">use non-community </w:t>
      </w:r>
      <w:r w:rsidR="005202BB" w:rsidRPr="00D678CF">
        <w:rPr>
          <w:sz w:val="24"/>
          <w:szCs w:val="24"/>
        </w:rPr>
        <w:t>ß-lactams</w:t>
      </w:r>
      <w:r w:rsidR="00A549A4" w:rsidRPr="00D678CF">
        <w:rPr>
          <w:sz w:val="24"/>
          <w:szCs w:val="24"/>
        </w:rPr>
        <w:t xml:space="preserve">. </w:t>
      </w:r>
      <w:r w:rsidR="0022684D" w:rsidRPr="00D678CF">
        <w:rPr>
          <w:sz w:val="24"/>
          <w:szCs w:val="24"/>
        </w:rPr>
        <w:t>O</w:t>
      </w:r>
      <w:r w:rsidR="004C4455" w:rsidRPr="00D678CF">
        <w:rPr>
          <w:sz w:val="24"/>
          <w:szCs w:val="24"/>
        </w:rPr>
        <w:t>ne-size-fits-all pharmacodynamic targets are u</w:t>
      </w:r>
      <w:r w:rsidR="414D66F8" w:rsidRPr="00D678CF">
        <w:rPr>
          <w:sz w:val="24"/>
          <w:szCs w:val="24"/>
        </w:rPr>
        <w:t xml:space="preserve">sed </w:t>
      </w:r>
      <w:r w:rsidR="004C4455" w:rsidRPr="00D678CF">
        <w:rPr>
          <w:sz w:val="24"/>
          <w:szCs w:val="24"/>
        </w:rPr>
        <w:t>for regimen planning despite complexity in drug-pathogen-disease combinations.</w:t>
      </w:r>
      <w:r w:rsidR="00F80DA2" w:rsidRPr="00D678CF">
        <w:rPr>
          <w:sz w:val="24"/>
          <w:szCs w:val="24"/>
        </w:rPr>
        <w:t xml:space="preserve"> We </w:t>
      </w:r>
      <w:r w:rsidR="0A23262D" w:rsidRPr="00D678CF">
        <w:rPr>
          <w:sz w:val="24"/>
          <w:szCs w:val="24"/>
        </w:rPr>
        <w:t>present solutions</w:t>
      </w:r>
      <w:r w:rsidR="00F80DA2" w:rsidRPr="00D678CF">
        <w:rPr>
          <w:sz w:val="24"/>
          <w:szCs w:val="24"/>
        </w:rPr>
        <w:t xml:space="preserve"> to enabl</w:t>
      </w:r>
      <w:r w:rsidR="6C3552F8" w:rsidRPr="00D678CF">
        <w:rPr>
          <w:sz w:val="24"/>
          <w:szCs w:val="24"/>
        </w:rPr>
        <w:t>e</w:t>
      </w:r>
      <w:r w:rsidR="00F80DA2" w:rsidRPr="00D678CF">
        <w:rPr>
          <w:sz w:val="24"/>
          <w:szCs w:val="24"/>
        </w:rPr>
        <w:t xml:space="preserve"> the development </w:t>
      </w:r>
      <w:r w:rsidR="5B466937" w:rsidRPr="00D678CF">
        <w:rPr>
          <w:sz w:val="24"/>
          <w:szCs w:val="24"/>
        </w:rPr>
        <w:t>of global</w:t>
      </w:r>
      <w:r w:rsidR="00F80DA2" w:rsidRPr="00D678CF">
        <w:rPr>
          <w:sz w:val="24"/>
          <w:szCs w:val="24"/>
        </w:rPr>
        <w:t xml:space="preserve"> </w:t>
      </w:r>
      <w:r w:rsidR="35D5C965" w:rsidRPr="00D678CF">
        <w:rPr>
          <w:sz w:val="24"/>
          <w:szCs w:val="24"/>
        </w:rPr>
        <w:t xml:space="preserve">evidence based </w:t>
      </w:r>
      <w:r w:rsidR="00F80DA2" w:rsidRPr="00D678CF">
        <w:rPr>
          <w:sz w:val="24"/>
          <w:szCs w:val="24"/>
        </w:rPr>
        <w:t xml:space="preserve">antibiotic </w:t>
      </w:r>
      <w:r w:rsidR="523AEA3B" w:rsidRPr="00D678CF">
        <w:rPr>
          <w:sz w:val="24"/>
          <w:szCs w:val="24"/>
        </w:rPr>
        <w:t xml:space="preserve">dosing </w:t>
      </w:r>
      <w:r w:rsidR="00F80DA2" w:rsidRPr="00D678CF">
        <w:rPr>
          <w:sz w:val="24"/>
          <w:szCs w:val="24"/>
        </w:rPr>
        <w:t>guidance</w:t>
      </w:r>
      <w:r w:rsidR="00A55EE4" w:rsidRPr="00D678CF">
        <w:rPr>
          <w:sz w:val="24"/>
          <w:szCs w:val="24"/>
        </w:rPr>
        <w:t xml:space="preserve"> that provides adequate treatment in the context of the increasing</w:t>
      </w:r>
      <w:r w:rsidR="00E81ADE" w:rsidRPr="00D678CF">
        <w:rPr>
          <w:sz w:val="24"/>
          <w:szCs w:val="24"/>
        </w:rPr>
        <w:t xml:space="preserve"> prevalence of</w:t>
      </w:r>
      <w:r w:rsidR="00A55EE4" w:rsidRPr="00D678CF">
        <w:rPr>
          <w:sz w:val="24"/>
          <w:szCs w:val="24"/>
        </w:rPr>
        <w:t xml:space="preserve"> antimicrobial resistance and </w:t>
      </w:r>
      <w:r w:rsidR="00E81ADE" w:rsidRPr="00D678CF">
        <w:rPr>
          <w:sz w:val="24"/>
          <w:szCs w:val="24"/>
        </w:rPr>
        <w:t>moreover</w:t>
      </w:r>
      <w:r w:rsidR="00A55EE4" w:rsidRPr="00D678CF">
        <w:rPr>
          <w:sz w:val="24"/>
          <w:szCs w:val="24"/>
        </w:rPr>
        <w:t xml:space="preserve">, </w:t>
      </w:r>
      <w:r w:rsidR="00E81ADE" w:rsidRPr="00D678CF">
        <w:rPr>
          <w:sz w:val="24"/>
          <w:szCs w:val="24"/>
        </w:rPr>
        <w:t>minimises the emergence of resistance</w:t>
      </w:r>
      <w:r w:rsidR="00F80DA2" w:rsidRPr="00D678CF">
        <w:rPr>
          <w:sz w:val="24"/>
          <w:szCs w:val="24"/>
        </w:rPr>
        <w:t>.</w:t>
      </w:r>
      <w:r w:rsidR="00A55EE4" w:rsidRPr="00D678CF">
        <w:rPr>
          <w:sz w:val="24"/>
          <w:szCs w:val="24"/>
        </w:rPr>
        <w:t xml:space="preserve"> </w:t>
      </w:r>
      <w:r w:rsidRPr="00D678CF">
        <w:rPr>
          <w:sz w:val="24"/>
          <w:szCs w:val="24"/>
        </w:rPr>
        <w:br w:type="page"/>
      </w:r>
    </w:p>
    <w:p w14:paraId="1D902C36" w14:textId="3E2EA3D1" w:rsidR="007118E0" w:rsidRPr="00E81ADE" w:rsidRDefault="007118E0" w:rsidP="00D678CF">
      <w:pPr>
        <w:pStyle w:val="Heading1"/>
        <w:spacing w:line="480" w:lineRule="auto"/>
        <w:rPr>
          <w:rFonts w:cs="Times New Roman (Headings CS)"/>
          <w:caps/>
        </w:rPr>
      </w:pPr>
      <w:bookmarkStart w:id="1" w:name="_Toc154184980"/>
      <w:r w:rsidRPr="00E81ADE">
        <w:rPr>
          <w:rFonts w:cs="Times New Roman (Headings CS)"/>
          <w:caps/>
        </w:rPr>
        <w:lastRenderedPageBreak/>
        <w:t>Introduction</w:t>
      </w:r>
      <w:bookmarkEnd w:id="1"/>
    </w:p>
    <w:p w14:paraId="6531B26E" w14:textId="38D07F8C" w:rsidR="00890373" w:rsidRPr="00D678CF" w:rsidRDefault="007118E0" w:rsidP="00D678CF">
      <w:pPr>
        <w:spacing w:line="480" w:lineRule="auto"/>
        <w:jc w:val="both"/>
        <w:rPr>
          <w:rFonts w:eastAsia="Arial" w:cs="Arial"/>
          <w:sz w:val="24"/>
          <w:szCs w:val="24"/>
          <w:vertAlign w:val="superscript"/>
        </w:rPr>
      </w:pPr>
      <w:r w:rsidRPr="00D678CF">
        <w:rPr>
          <w:rFonts w:eastAsia="Arial" w:cs="Arial"/>
          <w:sz w:val="24"/>
          <w:szCs w:val="24"/>
        </w:rPr>
        <w:t xml:space="preserve">Antimicrobial resistance (AMR) is a </w:t>
      </w:r>
      <w:r w:rsidR="6A39DCF3" w:rsidRPr="00D678CF">
        <w:rPr>
          <w:rFonts w:eastAsia="Arial" w:cs="Arial"/>
          <w:sz w:val="24"/>
          <w:szCs w:val="24"/>
        </w:rPr>
        <w:t>m</w:t>
      </w:r>
      <w:r w:rsidR="22A7C960" w:rsidRPr="00D678CF">
        <w:rPr>
          <w:rFonts w:eastAsia="Arial" w:cs="Arial"/>
          <w:sz w:val="24"/>
          <w:szCs w:val="24"/>
        </w:rPr>
        <w:t>ajor</w:t>
      </w:r>
      <w:r w:rsidRPr="00D678CF">
        <w:rPr>
          <w:rFonts w:eastAsia="Arial" w:cs="Arial"/>
          <w:sz w:val="24"/>
          <w:szCs w:val="24"/>
        </w:rPr>
        <w:t xml:space="preserve"> threat to global health – 4·95 million deaths worldwide were associated with bacterial AMR in 2019</w:t>
      </w:r>
      <w:r w:rsidR="00C16BB3">
        <w:rPr>
          <w:rFonts w:eastAsia="Arial" w:cs="Arial"/>
          <w:sz w:val="24"/>
          <w:szCs w:val="24"/>
        </w:rPr>
        <w:t xml:space="preserve"> </w:t>
      </w:r>
      <w:r w:rsidR="001A70D7">
        <w:rPr>
          <w:rFonts w:cs="Arial"/>
          <w:sz w:val="24"/>
          <w:szCs w:val="24"/>
          <w:vertAlign w:val="superscript"/>
        </w:rPr>
        <w:fldChar w:fldCharType="begin"/>
      </w:r>
      <w:r w:rsidR="00F561F3">
        <w:rPr>
          <w:rFonts w:cs="Arial"/>
          <w:sz w:val="24"/>
          <w:szCs w:val="24"/>
          <w:vertAlign w:val="superscript"/>
        </w:rPr>
        <w:instrText xml:space="preserve"> ADDIN ZOTERO_ITEM CSL_CITATION {"citationID":"tpJ2ElGQ","properties":{"formattedCitation":"(1)","plainCitation":"(1)","noteIndex":0},"citationItems":[{"id":1033,"uris":["http://zotero.org/users/11114586/items/WFK63MEX"],"itemData":{"id":1033,"type":"article-journal","abstract":"Background: Antimicrobial resistance (AMR) poses a major threat to human health around the world. Previous publications have estimated the effect of AMR on incidence, deaths, hospital length of stay, and health-care costs for specific pathogen–drug combinations in select locations. To our knowledge, this study presents the most comprehensive estimates of AMR burden to date. Methods: We estimated deaths and disability-adjusted life-years (DALYs) attributable to and associated with bacterial AMR for 23 pathogens and 88 pathogen–drug combinations in 204 countries and territories in 2019. We obtained data from systematic literature reviews, hospital systems, surveillance systems, and other sources, covering 471 million individual records or isolates and 7585 study-location-years. We used predictive statistical modelling to produce estimates of AMR burden for all locations, including for locations with no data. Our approach can be divided into five broad components: number of deaths where infection played a role, proportion of infectious deaths attributable to a given infectious syndrome, proportion of infectious syndrome deaths attributable to a given pathogen, the percentage of a given pathogen resistant to an antibiotic of interest, and the excess risk of death or duration of an infection associated with this resistance. Using these components, we estimated disease burden based on two counterfactuals: deaths attributable to AMR (based on an alternative scenario in which all drug-resistant infections were replaced by drug-susceptible infections), and deaths associated with AMR (based on an alternative scenario in which all drug-resistant infections were replaced by no infection). We generated 95% uncertainty intervals (UIs) for final estimates as the 25th and 975th ordered values across 1000 posterior draws, and models were cross-validated for out-of-sample predictive validity. We present final estimates aggregated to the global and regional level. Findings: On the basis of our predictive statistical models, there were an estimated 4·95 million (3·62–6·57) deaths associated with bacterial AMR in 2019, including 1·27 million (95% UI 0·911–1·71) deaths attributable to bacterial AMR. At the regional level, we estimated the all-age death rate attributable to resistance to be highest in western sub-Saharan Africa, at 27·3 deaths per 100 000 (20·9–35·3), and lowest in Australasia, at 6·5 deaths (4·3–9·4) per 100 000. Lower respiratory infections accounted for more than 1·5 million deaths associated with resistance in 2019, making it the most burdensome infectious syndrome. The six leading pathogens for deaths associated with resistance (Escherichia coli, followed by Staphylococcus aureus, Klebsiella pneumoniae, Streptococcus pneumoniae, Acinetobacter baumannii, and Pseudomonas aeruginosa) were responsible for 929 000 (660 000–1 270 000) deaths attributable to AMR and 3·57 million (2·62–4·78) deaths associated with AMR in 2019. One pathogen–drug combination, meticillin-resistant S aureus, caused more than 100 000 deaths attributable to AMR in 2019, while six more each caused 50 000–100 000 deaths: multidrug-resistant excluding extensively drug-resistant tuberculosis, third-generation cephalosporin-resistant E coli, carbapenem-resistant A baumannii, fluoroquinolone-resistant E coli, carbapenem-resistant K pneumoniae, and third-generation cephalosporin-resistant K pneumoniae. Interpretation: To our knowledge, this study provides the first comprehensive assessment of the global burden of AMR, as well as an evaluation of the availability of data. AMR is a leading cause of death around the world, with the highest burdens in low-resource settings. Understanding the burden of AMR and the leading pathogen–drug combinations contributing to it is crucial to making informed and location-specific policy decisions, particularly about infection prevention and control programmes, access to essential antibiotics, and research and development of new vaccines and antibiotics. There are serious data gaps in many low-income settings, emphasising the need to expand microbiology laboratory capacity and data collection systems to improve our understanding of this important human health threat. Funding: Bill &amp; Melinda Gates Foundation, Wellcome Trust, and Department of Health and Social Care using UK aid funding managed by the Fleming Fund.","container-title":"The Lancet","DOI":"10.1016/S0140-6736(21)02724-0/ATTACHMENT/B227DEB3-FF04-497F-82AC-637D8AB7F679/MMC1.PDF","ISSN":"1474547X","issue":"10325","note":"PMID: 35065702\npublisher: Elsevier B.V.","page":"629-655","title":"Global burden of bacterial antimicrobial resistance in 2019: a systematic analysis","volume":"399","author":[{"family":"Murray","given":"Christopher JL"},{"family":"Ikuta","given":"Kevin Shunji"},{"family":"Sharara","given":"Fablina"},{"family":"Swetschinski","given":"Lucien"},{"family":"Robles Aguilar","given":"Gisela"},{"family":"Gray","given":"Authia"},{"family":"Han","given":"Chieh"},{"family":"Bisignano","given":"Catherine"},{"family":"Rao","given":"Puja"},{"family":"Wool","given":"Eve"},{"family":"Johnson","given":"Sarah C."},{"family":"Browne","given":"Annie J."},{"family":"Chipeta","given":"Michael Give"},{"family":"Fell","given":"Frederick"},{"family":"Hackett","given":"Sean"},{"family":"Haines-Woodhouse","given":"Georgina"},{"family":"Kashef Hamadani","given":"Bahar H."},{"family":"Kumaran","given":"Emmanuelle A.P."},{"family":"McManigal","given":"Barney"},{"family":"Agarwal","given":"Ramesh"},{"family":"Akech","given":"Samuel"},{"family":"Albertson","given":"Samuel"},{"family":"Amuasi","given":"John"},{"family":"Andrews","given":"Jason"},{"family":"Aravkin","given":"Aleskandr"},{"family":"Ashley","given":"Elizabeth"},{"family":"Bailey","given":"Freddie"},{"family":"Baker","given":"Stephen"},{"family":"Basnyat","given":"Buddha"},{"family":"Bekker","given":"Adrie"},{"family":"Bender","given":"Rose"},{"family":"Bethou","given":"Adhisivam"},{"family":"Bielicki","given":"Julia"},{"family":"Boonkasidecha","given":"Suppawat"},{"family":"Bukosia","given":"James"},{"family":"Carvalheiro","given":"Cristina"},{"family":"Castañeda-Orjuela","given":"Carlos"},{"family":"Chansamouth","given":"Vilada"},{"family":"Chaurasia","given":"Suman"},{"family":"Chiurchiù","given":"Sara"},{"family":"Chowdhury","given":"Fazle"},{"family":"Cook","given":"Aislinn J."},{"family":"Cooper","given":"Ben"},{"family":"Cressey","given":"Tim R."},{"family":"Criollo-Mora","given":"Elia"},{"family":"Cunningham","given":"Matthew"},{"family":"Darboe","given":"Saffiatou"},{"family":"Day","given":"Nicholas P.J."},{"family":"De Luca","given":"Maia"},{"family":"Dokova","given":"Klara"},{"family":"Dramowski","given":"Angela"},{"family":"Dunachie","given":"Susanna J."},{"family":"Eckmanns","given":"Tim"},{"family":"Eibach","given":"Daniel"},{"family":"Emami","given":"Amir"},{"family":"Feasey","given":"Nicholas"},{"family":"Fisher-Pearson","given":"Natasha"},{"family":"Forrest","given":"Karen"},{"family":"Garrett","given":"Denise"},{"family":"Gastmeier","given":"Petra"},{"family":"Giref","given":"Ababi Zergaw"},{"family":"Greer","given":"Rachel Claire"},{"family":"Gupta","given":"Vikas"},{"family":"Haller","given":"Sebastian"},{"family":"Haselbeck","given":"Andrea"},{"family":"Hay","given":"Simon I."},{"family":"Holm","given":"Marianne"},{"family":"Hopkins","given":"Susan"},{"family":"Iregbu","given":"Kenneth C."},{"family":"Jacobs","given":"Jan"},{"family":"Jarovsky","given":"Daniel"},{"family":"Javanmardi","given":"Fatemeh"},{"family":"Khorana","given":"Meera"},{"family":"Kissoon","given":"Niranjan"},{"family":"Kobeissi","given":"Elsa"},{"family":"Kostyanev","given":"Tomislav"},{"family":"Krapp","given":"Fiorella"},{"family":"Krumkamp","given":"Ralf"},{"family":"Kumar","given":"Ajay"},{"family":"Kyu","given":"Hmwe Hmwe"},{"family":"Lim","given":"Cherry"},{"family":"Limmathurotsakul","given":"Direk"},{"family":"Loftus","given":"Michael James"},{"family":"Lunn","given":"Miles"},{"family":"Ma","given":"Jianing"},{"family":"Mturi","given":"Neema"},{"family":"Munera-Huertas","given":"Tatiana"},{"family":"Musicha","given":"Patrick"},{"family":"Mussi-Pinhata","given":"Marisa Marcia"},{"family":"Nakamura","given":"Tomoka"},{"family":"Nanavati","given":"Ruchi"},{"family":"Nangia","given":"Sushma"},{"family":"Newton","given":"Paul"},{"family":"Ngoun","given":"Chanpheaktra"},{"family":"Novotney","given":"Amanda"},{"family":"Nwakanma","given":"Davis"},{"family":"Obiero","given":"Christina W."},{"family":"Olivas-Martinez","given":"Antonio"},{"family":"Olliaro","given":"Piero"},{"family":"Ooko","given":"Ednah"},{"family":"Ortiz-Brizuela","given":"Edgar"},{"family":"Peleg","given":"Anton Yariv"},{"family":"Perrone","given":"Carlo"},{"family":"Plakkal","given":"Nishad"},{"family":"Ponce-de-Leon","given":"Alfredo"},{"family":"Raad","given":"Mathieu"},{"family":"Ramdin","given":"Tanusha"},{"family":"Riddell","given":"Amy"},{"family":"Roberts","given":"Tamalee"},{"family":"Robotham","given":"Julie Victoria"},{"family":"Roca","given":"Anna"},{"family":"Rudd","given":"Kristina E."},{"family":"Russell","given":"Neal"},{"family":"Schnall","given":"Jesse"},{"family":"Scott","given":"John Anthony Gerard"},{"family":"Shivamallappa","given":"Madhusudhan"},{"family":"Sifuentes-Osornio","given":"Jose"},{"family":"Steenkeste","given":"Nicolas"},{"family":"Stewardson","given":"Andrew James"},{"family":"Stoeva","given":"Temenuga"},{"family":"Tasak","given":"Nidanuch"},{"family":"Thaiprakong","given":"Areerat"},{"family":"Thwaites","given":"Guy"},{"family":"Turner","given":"Claudia"},{"family":"Turner","given":"Paul"},{"family":"Doorn","given":"H. Rogier","non-dropping-particle":"van"},{"family":"Velaphi","given":"Sithembiso"},{"family":"Vongpradith","given":"Avina"},{"family":"Vu","given":"Huong"},{"family":"Walsh","given":"Timothy"},{"family":"Waner","given":"Seymour"},{"family":"Wangrangsimakul","given":"Tri"},{"family":"Wozniak","given":"Teresa"},{"family":"Zheng","given":"Peng"},{"family":"Sartorius","given":"Benn"},{"family":"Lopez","given":"Alan D."},{"family":"Stergachis","given":"Andy"},{"family":"Moore","given":"Catrin"},{"family":"Dolecek","given":"Christiane"},{"family":"Naghavi","given":"Mohsen"}],"issued":{"date-parts":[["2022",2,12]]}}}],"schema":"https://github.com/citation-style-language/schema/raw/master/csl-citation.json"} </w:instrText>
      </w:r>
      <w:r w:rsidR="001A70D7">
        <w:rPr>
          <w:rFonts w:cs="Arial"/>
          <w:sz w:val="24"/>
          <w:szCs w:val="24"/>
          <w:vertAlign w:val="superscript"/>
        </w:rPr>
        <w:fldChar w:fldCharType="separate"/>
      </w:r>
      <w:r w:rsidR="00F561F3">
        <w:rPr>
          <w:rFonts w:cs="Arial"/>
          <w:sz w:val="24"/>
        </w:rPr>
        <w:t>(1)</w:t>
      </w:r>
      <w:r w:rsidR="001A70D7">
        <w:rPr>
          <w:rFonts w:cs="Arial"/>
          <w:sz w:val="24"/>
          <w:szCs w:val="24"/>
          <w:vertAlign w:val="superscript"/>
        </w:rPr>
        <w:fldChar w:fldCharType="end"/>
      </w:r>
      <w:r w:rsidR="00C16BB3">
        <w:rPr>
          <w:rFonts w:cs="Arial"/>
          <w:sz w:val="24"/>
          <w:szCs w:val="24"/>
        </w:rPr>
        <w:t>.</w:t>
      </w:r>
      <w:r w:rsidRPr="00D678CF">
        <w:rPr>
          <w:rFonts w:eastAsia="Arial" w:cs="Arial"/>
          <w:sz w:val="24"/>
          <w:szCs w:val="24"/>
        </w:rPr>
        <w:t xml:space="preserve"> The World Health Organisation (WHO) introduced the </w:t>
      </w:r>
      <w:proofErr w:type="spellStart"/>
      <w:r w:rsidRPr="00D678CF">
        <w:rPr>
          <w:rFonts w:eastAsia="Arial" w:cs="Arial"/>
          <w:sz w:val="24"/>
          <w:szCs w:val="24"/>
        </w:rPr>
        <w:t>AWaRe</w:t>
      </w:r>
      <w:proofErr w:type="spellEnd"/>
      <w:r w:rsidRPr="00D678CF">
        <w:rPr>
          <w:rFonts w:eastAsia="Arial" w:cs="Arial"/>
          <w:sz w:val="24"/>
          <w:szCs w:val="24"/>
        </w:rPr>
        <w:t xml:space="preserve"> antibiotic classification into the Essential Medicines List (EML) in 2017</w:t>
      </w:r>
      <w:r w:rsidR="00C16BB3">
        <w:rPr>
          <w:rFonts w:eastAsia="Arial" w:cs="Arial"/>
          <w:sz w:val="24"/>
          <w:szCs w:val="24"/>
        </w:rPr>
        <w:t xml:space="preserve"> </w:t>
      </w:r>
      <w:r w:rsidR="001A70D7">
        <w:rPr>
          <w:rFonts w:eastAsia="Arial" w:cs="Arial"/>
          <w:sz w:val="24"/>
          <w:szCs w:val="24"/>
        </w:rPr>
        <w:fldChar w:fldCharType="begin"/>
      </w:r>
      <w:r w:rsidR="00F561F3">
        <w:rPr>
          <w:rFonts w:eastAsia="Arial" w:cs="Arial"/>
          <w:sz w:val="24"/>
          <w:szCs w:val="24"/>
        </w:rPr>
        <w:instrText xml:space="preserve"> ADDIN ZOTERO_ITEM CSL_CITATION {"citationID":"yYD7OtzN","properties":{"formattedCitation":"(2)","plainCitation":"(2)","noteIndex":0},"citationItems":[{"id":1010,"uris":["http://zotero.org/users/11114586/items/YG4BIM8Z"],"itemData":{"id":1010,"type":"report","title":"AWaRe Policy Brief","author":[{"literal":"WHO"}],"accessed":{"date-parts":[["2022",12,25]]}}}],"schema":"https://github.com/citation-style-language/schema/raw/master/csl-citation.json"} </w:instrText>
      </w:r>
      <w:r w:rsidR="001A70D7">
        <w:rPr>
          <w:rFonts w:eastAsia="Arial" w:cs="Arial"/>
          <w:sz w:val="24"/>
          <w:szCs w:val="24"/>
        </w:rPr>
        <w:fldChar w:fldCharType="separate"/>
      </w:r>
      <w:r w:rsidR="00F561F3">
        <w:rPr>
          <w:rFonts w:cs="Arial"/>
          <w:sz w:val="24"/>
        </w:rPr>
        <w:t>(2)</w:t>
      </w:r>
      <w:r w:rsidR="001A70D7">
        <w:rPr>
          <w:rFonts w:eastAsia="Arial" w:cs="Arial"/>
          <w:sz w:val="24"/>
          <w:szCs w:val="24"/>
        </w:rPr>
        <w:fldChar w:fldCharType="end"/>
      </w:r>
      <w:r w:rsidR="00C16BB3">
        <w:rPr>
          <w:rFonts w:eastAsia="Arial" w:cs="Arial"/>
          <w:sz w:val="24"/>
          <w:szCs w:val="24"/>
        </w:rPr>
        <w:t>.</w:t>
      </w:r>
      <w:r w:rsidRPr="00D678CF">
        <w:rPr>
          <w:rFonts w:eastAsia="Arial" w:cs="Arial"/>
          <w:sz w:val="24"/>
          <w:szCs w:val="24"/>
        </w:rPr>
        <w:t xml:space="preserve"> </w:t>
      </w:r>
      <w:proofErr w:type="spellStart"/>
      <w:r w:rsidRPr="00D678CF">
        <w:rPr>
          <w:rFonts w:eastAsia="Arial" w:cs="Arial"/>
          <w:sz w:val="24"/>
          <w:szCs w:val="24"/>
        </w:rPr>
        <w:t>AWaRe</w:t>
      </w:r>
      <w:proofErr w:type="spellEnd"/>
      <w:r w:rsidRPr="00D678CF">
        <w:rPr>
          <w:rFonts w:eastAsia="Arial" w:cs="Arial"/>
          <w:sz w:val="24"/>
          <w:szCs w:val="24"/>
        </w:rPr>
        <w:t xml:space="preserve"> divides antibiotics into Access, Watch and Reserve </w:t>
      </w:r>
      <w:r w:rsidR="668E83FA" w:rsidRPr="00D678CF">
        <w:rPr>
          <w:rFonts w:eastAsia="Arial" w:cs="Arial"/>
          <w:sz w:val="24"/>
          <w:szCs w:val="24"/>
        </w:rPr>
        <w:t>groups</w:t>
      </w:r>
      <w:r w:rsidRPr="00D678CF">
        <w:rPr>
          <w:rFonts w:eastAsia="Arial" w:cs="Arial"/>
          <w:sz w:val="24"/>
          <w:szCs w:val="24"/>
        </w:rPr>
        <w:t xml:space="preserve"> based on their </w:t>
      </w:r>
      <w:r w:rsidR="43EC720E" w:rsidRPr="00D678CF">
        <w:rPr>
          <w:rFonts w:eastAsia="Arial" w:cs="Arial"/>
          <w:sz w:val="24"/>
          <w:szCs w:val="24"/>
        </w:rPr>
        <w:t xml:space="preserve">propensity to </w:t>
      </w:r>
      <w:r w:rsidR="4F5B6459" w:rsidRPr="00D678CF">
        <w:rPr>
          <w:rFonts w:eastAsia="Arial" w:cs="Arial"/>
          <w:sz w:val="24"/>
          <w:szCs w:val="24"/>
        </w:rPr>
        <w:t>generate</w:t>
      </w:r>
      <w:r w:rsidR="43EC720E" w:rsidRPr="00D678CF">
        <w:rPr>
          <w:rFonts w:eastAsia="Arial" w:cs="Arial"/>
          <w:sz w:val="24"/>
          <w:szCs w:val="24"/>
        </w:rPr>
        <w:t xml:space="preserve"> </w:t>
      </w:r>
      <w:r w:rsidRPr="00D678CF">
        <w:rPr>
          <w:rFonts w:eastAsia="Arial" w:cs="Arial"/>
          <w:sz w:val="24"/>
          <w:szCs w:val="24"/>
        </w:rPr>
        <w:t>AMR</w:t>
      </w:r>
      <w:r w:rsidR="6A39DCF3" w:rsidRPr="00D678CF">
        <w:rPr>
          <w:rFonts w:eastAsia="Arial" w:cs="Arial"/>
          <w:sz w:val="24"/>
          <w:szCs w:val="24"/>
        </w:rPr>
        <w:t>.</w:t>
      </w:r>
      <w:r w:rsidRPr="00D678CF">
        <w:rPr>
          <w:rFonts w:eastAsia="Arial" w:cs="Arial"/>
          <w:sz w:val="24"/>
          <w:szCs w:val="24"/>
        </w:rPr>
        <w:t xml:space="preserve"> ‘Access’ antibiotics should be readily available for a wide range of clinical </w:t>
      </w:r>
      <w:r w:rsidR="5F1199DB" w:rsidRPr="00D678CF">
        <w:rPr>
          <w:rFonts w:eastAsia="Arial" w:cs="Arial"/>
          <w:sz w:val="24"/>
          <w:szCs w:val="24"/>
        </w:rPr>
        <w:t>infections</w:t>
      </w:r>
      <w:r w:rsidR="6A39DCF3" w:rsidRPr="00D678CF">
        <w:rPr>
          <w:rFonts w:eastAsia="Arial" w:cs="Arial"/>
          <w:sz w:val="24"/>
          <w:szCs w:val="24"/>
        </w:rPr>
        <w:t>.</w:t>
      </w:r>
      <w:r w:rsidRPr="00D678CF">
        <w:rPr>
          <w:rFonts w:eastAsia="Arial" w:cs="Arial"/>
          <w:sz w:val="24"/>
          <w:szCs w:val="24"/>
        </w:rPr>
        <w:t xml:space="preserve"> ‘Watch’ antibiotics are </w:t>
      </w:r>
      <w:r w:rsidR="36AD01D7" w:rsidRPr="00D678CF">
        <w:rPr>
          <w:rFonts w:eastAsia="Arial" w:cs="Arial"/>
          <w:sz w:val="24"/>
          <w:szCs w:val="24"/>
        </w:rPr>
        <w:t>more likely to select for resistance and</w:t>
      </w:r>
      <w:r w:rsidRPr="00D678CF">
        <w:rPr>
          <w:rFonts w:eastAsia="Arial" w:cs="Arial"/>
          <w:sz w:val="24"/>
          <w:szCs w:val="24"/>
        </w:rPr>
        <w:t xml:space="preserve"> their </w:t>
      </w:r>
      <w:r w:rsidR="36AD01D7" w:rsidRPr="00D678CF">
        <w:rPr>
          <w:rFonts w:eastAsia="Arial" w:cs="Arial"/>
          <w:sz w:val="24"/>
          <w:szCs w:val="24"/>
        </w:rPr>
        <w:t>use</w:t>
      </w:r>
      <w:r w:rsidRPr="00D678CF">
        <w:rPr>
          <w:rFonts w:eastAsia="Arial" w:cs="Arial"/>
          <w:sz w:val="24"/>
          <w:szCs w:val="24"/>
        </w:rPr>
        <w:t xml:space="preserve"> should be </w:t>
      </w:r>
      <w:r w:rsidR="772C77BA" w:rsidRPr="00D678CF">
        <w:rPr>
          <w:rFonts w:eastAsia="Arial" w:cs="Arial"/>
          <w:sz w:val="24"/>
          <w:szCs w:val="24"/>
        </w:rPr>
        <w:t>discouraged unless clearly clinically indicated.</w:t>
      </w:r>
      <w:r w:rsidRPr="00D678CF">
        <w:rPr>
          <w:rFonts w:eastAsia="Arial" w:cs="Arial"/>
          <w:sz w:val="24"/>
          <w:szCs w:val="24"/>
        </w:rPr>
        <w:t xml:space="preserve"> ‘Reserve’ antibiotics are important/novel classes </w:t>
      </w:r>
      <w:r w:rsidR="5AFA4562" w:rsidRPr="00D678CF">
        <w:rPr>
          <w:rFonts w:eastAsia="Arial" w:cs="Arial"/>
          <w:sz w:val="24"/>
          <w:szCs w:val="24"/>
        </w:rPr>
        <w:t xml:space="preserve">and/or </w:t>
      </w:r>
      <w:r w:rsidRPr="00D678CF">
        <w:rPr>
          <w:rFonts w:eastAsia="Arial" w:cs="Arial"/>
          <w:sz w:val="24"/>
          <w:szCs w:val="24"/>
        </w:rPr>
        <w:t>combinations</w:t>
      </w:r>
      <w:r w:rsidR="6A39DCF3" w:rsidRPr="00D678CF">
        <w:rPr>
          <w:rFonts w:eastAsia="Arial" w:cs="Arial"/>
          <w:sz w:val="24"/>
          <w:szCs w:val="24"/>
        </w:rPr>
        <w:t xml:space="preserve"> </w:t>
      </w:r>
      <w:r w:rsidR="5AFA4562" w:rsidRPr="00D678CF">
        <w:rPr>
          <w:rFonts w:eastAsia="Arial" w:cs="Arial"/>
          <w:sz w:val="24"/>
          <w:szCs w:val="24"/>
        </w:rPr>
        <w:t>often</w:t>
      </w:r>
      <w:r w:rsidRPr="00D678CF">
        <w:rPr>
          <w:rFonts w:eastAsia="Arial" w:cs="Arial"/>
          <w:sz w:val="24"/>
          <w:szCs w:val="24"/>
        </w:rPr>
        <w:t xml:space="preserve"> used to treat multidrug resistant (MDR) infections</w:t>
      </w:r>
      <w:r w:rsidR="00C16BB3">
        <w:rPr>
          <w:rFonts w:eastAsia="Arial" w:cs="Arial"/>
          <w:sz w:val="24"/>
          <w:szCs w:val="24"/>
        </w:rPr>
        <w:t xml:space="preserve"> </w:t>
      </w:r>
      <w:r w:rsidR="001A70D7">
        <w:rPr>
          <w:rFonts w:eastAsia="Arial" w:cs="Arial"/>
          <w:sz w:val="24"/>
          <w:szCs w:val="24"/>
        </w:rPr>
        <w:fldChar w:fldCharType="begin"/>
      </w:r>
      <w:r w:rsidR="00F561F3">
        <w:rPr>
          <w:rFonts w:eastAsia="Arial" w:cs="Arial"/>
          <w:sz w:val="24"/>
          <w:szCs w:val="24"/>
        </w:rPr>
        <w:instrText xml:space="preserve"> ADDIN ZOTERO_ITEM CSL_CITATION {"citationID":"vuTxRwe4","properties":{"formattedCitation":"(2)","plainCitation":"(2)","noteIndex":0},"citationItems":[{"id":1010,"uris":["http://zotero.org/users/11114586/items/YG4BIM8Z"],"itemData":{"id":1010,"type":"report","title":"AWaRe Policy Brief","author":[{"literal":"WHO"}],"accessed":{"date-parts":[["2022",12,25]]}}}],"schema":"https://github.com/citation-style-language/schema/raw/master/csl-citation.json"} </w:instrText>
      </w:r>
      <w:r w:rsidR="001A70D7">
        <w:rPr>
          <w:rFonts w:eastAsia="Arial" w:cs="Arial"/>
          <w:sz w:val="24"/>
          <w:szCs w:val="24"/>
        </w:rPr>
        <w:fldChar w:fldCharType="separate"/>
      </w:r>
      <w:r w:rsidR="00F561F3">
        <w:rPr>
          <w:rFonts w:cs="Arial"/>
          <w:sz w:val="24"/>
        </w:rPr>
        <w:t>(2)</w:t>
      </w:r>
      <w:r w:rsidR="001A70D7">
        <w:rPr>
          <w:rFonts w:eastAsia="Arial" w:cs="Arial"/>
          <w:sz w:val="24"/>
          <w:szCs w:val="24"/>
        </w:rPr>
        <w:fldChar w:fldCharType="end"/>
      </w:r>
      <w:r w:rsidR="00C16BB3">
        <w:rPr>
          <w:rFonts w:eastAsia="Arial" w:cs="Arial"/>
          <w:sz w:val="24"/>
          <w:szCs w:val="24"/>
        </w:rPr>
        <w:t>.</w:t>
      </w:r>
      <w:r w:rsidR="002E2593" w:rsidRPr="00D678CF">
        <w:rPr>
          <w:rFonts w:eastAsia="Arial" w:cs="Arial"/>
          <w:sz w:val="24"/>
          <w:szCs w:val="24"/>
        </w:rPr>
        <w:t xml:space="preserve"> </w:t>
      </w:r>
    </w:p>
    <w:p w14:paraId="3326F6C5" w14:textId="2A5F535A" w:rsidR="007118E0" w:rsidRPr="00D678CF" w:rsidRDefault="007118E0" w:rsidP="00D678CF">
      <w:pPr>
        <w:spacing w:line="480" w:lineRule="auto"/>
        <w:jc w:val="both"/>
        <w:rPr>
          <w:rFonts w:eastAsia="Arial" w:cs="Arial"/>
          <w:sz w:val="24"/>
          <w:szCs w:val="24"/>
        </w:rPr>
      </w:pPr>
      <w:r w:rsidRPr="00D678CF">
        <w:rPr>
          <w:rFonts w:eastAsia="Arial" w:cs="Arial"/>
          <w:sz w:val="24"/>
          <w:szCs w:val="24"/>
        </w:rPr>
        <w:t xml:space="preserve">The </w:t>
      </w:r>
      <w:proofErr w:type="spellStart"/>
      <w:r w:rsidRPr="00D678CF">
        <w:rPr>
          <w:rFonts w:eastAsia="Arial" w:cs="Arial"/>
          <w:sz w:val="24"/>
          <w:szCs w:val="24"/>
        </w:rPr>
        <w:t>AWaRe</w:t>
      </w:r>
      <w:proofErr w:type="spellEnd"/>
      <w:r w:rsidRPr="00D678CF">
        <w:rPr>
          <w:rFonts w:eastAsia="Arial" w:cs="Arial"/>
          <w:sz w:val="24"/>
          <w:szCs w:val="24"/>
        </w:rPr>
        <w:t xml:space="preserve"> Book (December 2022)</w:t>
      </w:r>
      <w:r w:rsidR="00C16BB3">
        <w:rPr>
          <w:rFonts w:eastAsia="Arial" w:cs="Arial"/>
          <w:sz w:val="24"/>
          <w:szCs w:val="24"/>
        </w:rPr>
        <w:t xml:space="preserve"> </w:t>
      </w:r>
      <w:r w:rsidR="001A70D7">
        <w:rPr>
          <w:rFonts w:eastAsia="Arial" w:cs="Arial"/>
          <w:sz w:val="24"/>
          <w:szCs w:val="24"/>
        </w:rPr>
        <w:fldChar w:fldCharType="begin"/>
      </w:r>
      <w:r w:rsidR="00F561F3">
        <w:rPr>
          <w:rFonts w:eastAsia="Arial" w:cs="Arial"/>
          <w:sz w:val="24"/>
          <w:szCs w:val="24"/>
        </w:rPr>
        <w:instrText xml:space="preserve"> ADDIN ZOTERO_ITEM CSL_CITATION {"citationID":"hJb5qL3D","properties":{"formattedCitation":"(3)","plainCitation":"(3)","noteIndex":0},"citationItems":[{"id":8845,"uris":["http://zotero.org/users/11114586/items/P6NGKEFT"],"itemData":{"id":8845,"type":"webpage","abstract":"The WHO AWaRe (Access, Watch, Reserve) antibiotic book provides guidance related to the prescribing and use of antibiotics on the WHO Model Lists of Essential Medicines for the empiric treatment of common infections in adults and children. It has been developed by an international expert working group of specialists in infectious diseases, antimicrobial resistance and public health. It reflects the recommendations for essential antibiotics made by the WHO Expert Committee on Selection and Use of Essential Medicines, incorporating the principles of the WHO AWaRe classification of antibiotics.","language":"en","title":"The WHO AWaRe (Access, Watch, Reserve) antibiotic book","URL":"https://www.who.int/publications-detail-redirect/9789240062382","accessed":{"date-parts":[["2023",8,5]]}}}],"schema":"https://github.com/citation-style-language/schema/raw/master/csl-citation.json"} </w:instrText>
      </w:r>
      <w:r w:rsidR="001A70D7">
        <w:rPr>
          <w:rFonts w:eastAsia="Arial" w:cs="Arial"/>
          <w:sz w:val="24"/>
          <w:szCs w:val="24"/>
        </w:rPr>
        <w:fldChar w:fldCharType="separate"/>
      </w:r>
      <w:r w:rsidR="00F561F3">
        <w:rPr>
          <w:rFonts w:cs="Arial"/>
          <w:sz w:val="24"/>
        </w:rPr>
        <w:t>(3)</w:t>
      </w:r>
      <w:r w:rsidR="001A70D7">
        <w:rPr>
          <w:rFonts w:eastAsia="Arial" w:cs="Arial"/>
          <w:sz w:val="24"/>
          <w:szCs w:val="24"/>
        </w:rPr>
        <w:fldChar w:fldCharType="end"/>
      </w:r>
      <w:r w:rsidRPr="00D678CF">
        <w:rPr>
          <w:rFonts w:eastAsia="Arial" w:cs="Arial"/>
          <w:sz w:val="24"/>
          <w:szCs w:val="24"/>
        </w:rPr>
        <w:t xml:space="preserve"> </w:t>
      </w:r>
      <w:r w:rsidR="3198C089" w:rsidRPr="00D678CF">
        <w:rPr>
          <w:rFonts w:eastAsia="Arial" w:cs="Arial"/>
          <w:sz w:val="24"/>
          <w:szCs w:val="24"/>
        </w:rPr>
        <w:t xml:space="preserve">provides </w:t>
      </w:r>
      <w:r w:rsidR="16BC37EB" w:rsidRPr="00D678CF">
        <w:rPr>
          <w:rFonts w:eastAsia="Arial" w:cs="Arial"/>
          <w:sz w:val="24"/>
          <w:szCs w:val="24"/>
        </w:rPr>
        <w:t>advice on</w:t>
      </w:r>
      <w:r w:rsidR="4E944DA9" w:rsidRPr="00D678CF">
        <w:rPr>
          <w:rFonts w:eastAsia="Arial" w:cs="Arial"/>
          <w:sz w:val="24"/>
          <w:szCs w:val="24"/>
        </w:rPr>
        <w:t xml:space="preserve"> </w:t>
      </w:r>
      <w:r w:rsidR="4F536AA0" w:rsidRPr="00D678CF">
        <w:rPr>
          <w:rFonts w:eastAsia="Arial" w:cs="Arial"/>
          <w:sz w:val="24"/>
          <w:szCs w:val="24"/>
        </w:rPr>
        <w:t xml:space="preserve">the optimal use of the antibiotics on the </w:t>
      </w:r>
      <w:r w:rsidR="603C1DCD" w:rsidRPr="00D678CF">
        <w:rPr>
          <w:rFonts w:eastAsia="Arial" w:cs="Arial"/>
          <w:sz w:val="24"/>
          <w:szCs w:val="24"/>
        </w:rPr>
        <w:t>EML</w:t>
      </w:r>
      <w:r w:rsidR="4F536AA0" w:rsidRPr="00D678CF">
        <w:rPr>
          <w:rFonts w:eastAsia="Arial" w:cs="Arial"/>
          <w:sz w:val="24"/>
          <w:szCs w:val="24"/>
        </w:rPr>
        <w:t xml:space="preserve"> (39 on the 2021 EML</w:t>
      </w:r>
      <w:r w:rsidR="001D7B7F">
        <w:rPr>
          <w:rFonts w:eastAsia="Arial" w:cs="Arial"/>
          <w:sz w:val="24"/>
          <w:szCs w:val="24"/>
        </w:rPr>
        <w:t>)</w:t>
      </w:r>
      <w:r w:rsidR="00C16BB3">
        <w:rPr>
          <w:rFonts w:eastAsia="Arial" w:cs="Arial"/>
          <w:sz w:val="24"/>
          <w:szCs w:val="24"/>
        </w:rPr>
        <w:t xml:space="preserve"> </w:t>
      </w:r>
      <w:r w:rsidR="001A70D7">
        <w:rPr>
          <w:rFonts w:eastAsia="Arial" w:cs="Arial"/>
          <w:sz w:val="24"/>
          <w:szCs w:val="24"/>
        </w:rPr>
        <w:fldChar w:fldCharType="begin"/>
      </w:r>
      <w:r w:rsidR="00F561F3">
        <w:rPr>
          <w:rFonts w:eastAsia="Arial" w:cs="Arial"/>
          <w:sz w:val="24"/>
          <w:szCs w:val="24"/>
        </w:rPr>
        <w:instrText xml:space="preserve"> ADDIN ZOTERO_ITEM CSL_CITATION {"citationID":"DlntwHdL","properties":{"formattedCitation":"(4)","plainCitation":"(4)","noteIndex":0},"citationItems":[{"id":9063,"uris":["http://zotero.org/users/11114586/items/HLVVGY35"],"itemData":{"id":9063,"type":"webpage","abstract":"The core list presents a list of minimum medicine needs for a basic health-care system, listing the most efficacious, safe and cost–effective medicines for priority conditions. Priority conditions are selected on the basis of current and estimated future public health relevance, and potential for safe and cost-effective treatment.","language":"en","title":"WHO Model List of Essential Medicines - 22nd list, 2021","URL":"https://www.who.int/publications-detail-redirect/WHO-MHP-HPS-EML-2021.02","accessed":{"date-parts":[["2023",9,1]]}}}],"schema":"https://github.com/citation-style-language/schema/raw/master/csl-citation.json"} </w:instrText>
      </w:r>
      <w:r w:rsidR="001A70D7">
        <w:rPr>
          <w:rFonts w:eastAsia="Arial" w:cs="Arial"/>
          <w:sz w:val="24"/>
          <w:szCs w:val="24"/>
        </w:rPr>
        <w:fldChar w:fldCharType="separate"/>
      </w:r>
      <w:r w:rsidR="00F561F3">
        <w:rPr>
          <w:rFonts w:cs="Arial"/>
          <w:sz w:val="24"/>
        </w:rPr>
        <w:t>(4)</w:t>
      </w:r>
      <w:r w:rsidR="001A70D7">
        <w:rPr>
          <w:rFonts w:eastAsia="Arial" w:cs="Arial"/>
          <w:sz w:val="24"/>
          <w:szCs w:val="24"/>
        </w:rPr>
        <w:fldChar w:fldCharType="end"/>
      </w:r>
      <w:r w:rsidR="00C16BB3">
        <w:rPr>
          <w:rFonts w:eastAsia="Arial" w:cs="Arial"/>
          <w:sz w:val="24"/>
          <w:szCs w:val="24"/>
        </w:rPr>
        <w:t>,</w:t>
      </w:r>
      <w:r w:rsidR="0089230F" w:rsidRPr="00D678CF">
        <w:rPr>
          <w:rFonts w:eastAsia="Arial" w:cs="Arial"/>
          <w:sz w:val="24"/>
          <w:szCs w:val="24"/>
        </w:rPr>
        <w:t xml:space="preserve"> </w:t>
      </w:r>
      <w:r w:rsidR="6685913D" w:rsidRPr="00D678CF">
        <w:rPr>
          <w:rFonts w:eastAsia="Arial" w:cs="Arial"/>
          <w:sz w:val="24"/>
          <w:szCs w:val="24"/>
        </w:rPr>
        <w:t>providing</w:t>
      </w:r>
      <w:r w:rsidRPr="00D678CF">
        <w:rPr>
          <w:rFonts w:eastAsia="Arial" w:cs="Arial"/>
          <w:sz w:val="24"/>
          <w:szCs w:val="24"/>
        </w:rPr>
        <w:t xml:space="preserve"> recommendations for </w:t>
      </w:r>
      <w:r w:rsidR="6685913D" w:rsidRPr="00D678CF">
        <w:rPr>
          <w:rFonts w:eastAsia="Arial" w:cs="Arial"/>
          <w:sz w:val="24"/>
          <w:szCs w:val="24"/>
        </w:rPr>
        <w:t>the first and second choice</w:t>
      </w:r>
      <w:r w:rsidRPr="00D678CF">
        <w:rPr>
          <w:rFonts w:eastAsia="Arial" w:cs="Arial"/>
          <w:sz w:val="24"/>
          <w:szCs w:val="24"/>
        </w:rPr>
        <w:t xml:space="preserve"> antibiotic </w:t>
      </w:r>
      <w:r w:rsidR="6685913D" w:rsidRPr="00D678CF">
        <w:rPr>
          <w:rFonts w:eastAsia="Arial" w:cs="Arial"/>
          <w:sz w:val="24"/>
          <w:szCs w:val="24"/>
        </w:rPr>
        <w:t xml:space="preserve">regimens for around 35 clinical infections, </w:t>
      </w:r>
      <w:r w:rsidR="67CB126C" w:rsidRPr="00D678CF">
        <w:rPr>
          <w:rFonts w:eastAsia="Arial" w:cs="Arial"/>
          <w:sz w:val="24"/>
          <w:szCs w:val="24"/>
        </w:rPr>
        <w:t xml:space="preserve">including </w:t>
      </w:r>
      <w:r w:rsidR="3126A3DA" w:rsidRPr="00D678CF">
        <w:rPr>
          <w:rFonts w:eastAsia="Arial" w:cs="Arial"/>
          <w:sz w:val="24"/>
          <w:szCs w:val="24"/>
        </w:rPr>
        <w:t>guidance on the</w:t>
      </w:r>
      <w:r w:rsidRPr="00D678CF">
        <w:rPr>
          <w:rFonts w:eastAsia="Arial" w:cs="Arial"/>
          <w:sz w:val="24"/>
          <w:szCs w:val="24"/>
        </w:rPr>
        <w:t xml:space="preserve"> dose and duration</w:t>
      </w:r>
      <w:r w:rsidR="64E9A277" w:rsidRPr="00D678CF">
        <w:rPr>
          <w:rFonts w:eastAsia="Arial" w:cs="Arial"/>
          <w:sz w:val="24"/>
          <w:szCs w:val="24"/>
        </w:rPr>
        <w:t>. There is a strong focus on</w:t>
      </w:r>
      <w:r w:rsidRPr="00D678CF">
        <w:rPr>
          <w:rFonts w:eastAsia="Arial" w:cs="Arial"/>
          <w:sz w:val="24"/>
          <w:szCs w:val="24"/>
        </w:rPr>
        <w:t xml:space="preserve"> primary healthcare (PHC), which accounts for </w:t>
      </w:r>
      <w:r w:rsidR="5FD91B5C" w:rsidRPr="00D678CF">
        <w:rPr>
          <w:rFonts w:eastAsia="Arial" w:cs="Arial"/>
          <w:sz w:val="24"/>
          <w:szCs w:val="24"/>
        </w:rPr>
        <w:t>over 90% of</w:t>
      </w:r>
      <w:r w:rsidRPr="00D678CF">
        <w:rPr>
          <w:rFonts w:eastAsia="Arial" w:cs="Arial"/>
          <w:sz w:val="24"/>
          <w:szCs w:val="24"/>
        </w:rPr>
        <w:t xml:space="preserve"> global antibiotic use</w:t>
      </w:r>
      <w:r w:rsidR="00C16BB3">
        <w:rPr>
          <w:rFonts w:eastAsia="Arial" w:cs="Arial"/>
          <w:sz w:val="24"/>
          <w:szCs w:val="24"/>
        </w:rPr>
        <w:t xml:space="preserve"> </w:t>
      </w:r>
      <w:r w:rsidR="001A70D7">
        <w:rPr>
          <w:rFonts w:eastAsia="Arial" w:cs="Arial"/>
          <w:sz w:val="24"/>
          <w:szCs w:val="24"/>
        </w:rPr>
        <w:fldChar w:fldCharType="begin"/>
      </w:r>
      <w:r w:rsidR="00F561F3">
        <w:rPr>
          <w:rFonts w:eastAsia="Arial" w:cs="Arial"/>
          <w:sz w:val="24"/>
          <w:szCs w:val="24"/>
        </w:rPr>
        <w:instrText xml:space="preserve"> ADDIN ZOTERO_ITEM CSL_CITATION {"citationID":"WsJlp9ZW","properties":{"formattedCitation":"(3, 5)","plainCitation":"(3, 5)","noteIndex":0},"citationItems":[{"id":8845,"uris":["http://zotero.org/users/11114586/items/P6NGKEFT"],"itemData":{"id":8845,"type":"webpage","abstract":"The WHO AWaRe (Access, Watch, Reserve) antibiotic book provides guidance related to the prescribing and use of antibiotics on the WHO Model Lists of Essential Medicines for the empiric treatment of common infections in adults and children. It has been developed by an international expert working group of specialists in infectious diseases, antimicrobial resistance and public health. It reflects the recommendations for essential antibiotics made by the WHO Expert Committee on Selection and Use of Essential Medicines, incorporating the principles of the WHO AWaRe classification of antibiotics.","language":"en","title":"The WHO AWaRe (Access, Watch, Reserve) antibiotic book","URL":"https://www.who.int/publications-detail-redirect/9789240062382","accessed":{"date-parts":[["2023",8,5]]}}},{"id":8848,"uris":["http://zotero.org/users/11114586/items/87XEPV5Z"],"itemData":{"id":8848,"type":"document","title":"Global Antimicrobial Resistance and Use Surveillance System (GLASS) Report 2022","URL":"https://www.who.int/publications/i/item/9789240062702","author":[{"literal":"WHO"}]}}],"schema":"https://github.com/citation-style-language/schema/raw/master/csl-citation.json"} </w:instrText>
      </w:r>
      <w:r w:rsidR="001A70D7">
        <w:rPr>
          <w:rFonts w:eastAsia="Arial" w:cs="Arial"/>
          <w:sz w:val="24"/>
          <w:szCs w:val="24"/>
        </w:rPr>
        <w:fldChar w:fldCharType="separate"/>
      </w:r>
      <w:r w:rsidR="00F561F3">
        <w:rPr>
          <w:rFonts w:cs="Arial"/>
          <w:sz w:val="24"/>
        </w:rPr>
        <w:t>(3, 5)</w:t>
      </w:r>
      <w:r w:rsidR="001A70D7">
        <w:rPr>
          <w:rFonts w:eastAsia="Arial" w:cs="Arial"/>
          <w:sz w:val="24"/>
          <w:szCs w:val="24"/>
        </w:rPr>
        <w:fldChar w:fldCharType="end"/>
      </w:r>
      <w:r w:rsidR="00C16BB3">
        <w:rPr>
          <w:rFonts w:eastAsia="Arial" w:cs="Arial"/>
          <w:sz w:val="24"/>
          <w:szCs w:val="24"/>
        </w:rPr>
        <w:t>.</w:t>
      </w:r>
      <w:r w:rsidRPr="00D678CF">
        <w:rPr>
          <w:rFonts w:eastAsia="Arial" w:cs="Arial"/>
          <w:sz w:val="24"/>
          <w:szCs w:val="24"/>
        </w:rPr>
        <w:t xml:space="preserve"> Dosing recommendations are based on existing WHO and regional guidance, literature evidence, and expert opinion</w:t>
      </w:r>
      <w:r w:rsidR="00C16BB3">
        <w:rPr>
          <w:rFonts w:eastAsia="Arial" w:cs="Arial"/>
          <w:sz w:val="24"/>
          <w:szCs w:val="24"/>
        </w:rPr>
        <w:t xml:space="preserve"> </w:t>
      </w:r>
      <w:r w:rsidR="001A70D7">
        <w:rPr>
          <w:rFonts w:eastAsia="Arial" w:cs="Arial"/>
          <w:sz w:val="24"/>
          <w:szCs w:val="24"/>
        </w:rPr>
        <w:fldChar w:fldCharType="begin"/>
      </w:r>
      <w:r w:rsidR="00F561F3">
        <w:rPr>
          <w:rFonts w:eastAsia="Arial" w:cs="Arial"/>
          <w:sz w:val="24"/>
          <w:szCs w:val="24"/>
        </w:rPr>
        <w:instrText xml:space="preserve"> ADDIN ZOTERO_ITEM CSL_CITATION {"citationID":"U0IstvUI","properties":{"formattedCitation":"(3)","plainCitation":"(3)","noteIndex":0},"citationItems":[{"id":8845,"uris":["http://zotero.org/users/11114586/items/P6NGKEFT"],"itemData":{"id":8845,"type":"webpage","abstract":"The WHO AWaRe (Access, Watch, Reserve) antibiotic book provides guidance related to the prescribing and use of antibiotics on the WHO Model Lists of Essential Medicines for the empiric treatment of common infections in adults and children. It has been developed by an international expert working group of specialists in infectious diseases, antimicrobial resistance and public health. It reflects the recommendations for essential antibiotics made by the WHO Expert Committee on Selection and Use of Essential Medicines, incorporating the principles of the WHO AWaRe classification of antibiotics.","language":"en","title":"The WHO AWaRe (Access, Watch, Reserve) antibiotic book","URL":"https://www.who.int/publications-detail-redirect/9789240062382","accessed":{"date-parts":[["2023",8,5]]}}}],"schema":"https://github.com/citation-style-language/schema/raw/master/csl-citation.json"} </w:instrText>
      </w:r>
      <w:r w:rsidR="001A70D7">
        <w:rPr>
          <w:rFonts w:eastAsia="Arial" w:cs="Arial"/>
          <w:sz w:val="24"/>
          <w:szCs w:val="24"/>
        </w:rPr>
        <w:fldChar w:fldCharType="separate"/>
      </w:r>
      <w:r w:rsidR="00F561F3">
        <w:rPr>
          <w:rFonts w:cs="Arial"/>
          <w:sz w:val="24"/>
        </w:rPr>
        <w:t>(3)</w:t>
      </w:r>
      <w:r w:rsidR="001A70D7">
        <w:rPr>
          <w:rFonts w:eastAsia="Arial" w:cs="Arial"/>
          <w:sz w:val="24"/>
          <w:szCs w:val="24"/>
        </w:rPr>
        <w:fldChar w:fldCharType="end"/>
      </w:r>
      <w:r w:rsidR="00C16BB3">
        <w:rPr>
          <w:rFonts w:eastAsia="Arial" w:cs="Arial"/>
          <w:sz w:val="24"/>
          <w:szCs w:val="24"/>
        </w:rPr>
        <w:t>.</w:t>
      </w:r>
      <w:r w:rsidR="6A39DCF3" w:rsidRPr="00D678CF">
        <w:rPr>
          <w:rFonts w:eastAsia="Arial" w:cs="Arial"/>
          <w:sz w:val="24"/>
          <w:szCs w:val="24"/>
        </w:rPr>
        <w:t xml:space="preserve"> </w:t>
      </w:r>
      <w:r w:rsidR="548A921B" w:rsidRPr="00D678CF">
        <w:rPr>
          <w:rFonts w:eastAsia="Arial" w:cs="Arial"/>
          <w:sz w:val="24"/>
          <w:szCs w:val="24"/>
        </w:rPr>
        <w:t xml:space="preserve">All of the oral </w:t>
      </w:r>
      <w:proofErr w:type="spellStart"/>
      <w:r w:rsidR="548A921B" w:rsidRPr="00D678CF">
        <w:rPr>
          <w:rFonts w:eastAsia="Arial" w:cs="Arial"/>
          <w:sz w:val="24"/>
          <w:szCs w:val="24"/>
        </w:rPr>
        <w:t>AWaRe</w:t>
      </w:r>
      <w:proofErr w:type="spellEnd"/>
      <w:r w:rsidR="548A921B" w:rsidRPr="00D678CF">
        <w:rPr>
          <w:rFonts w:eastAsia="Arial" w:cs="Arial"/>
          <w:sz w:val="24"/>
          <w:szCs w:val="24"/>
        </w:rPr>
        <w:t xml:space="preserve"> antibiotics on the EML are off patent older generic antibiotics</w:t>
      </w:r>
      <w:r w:rsidR="425FB752" w:rsidRPr="00D678CF">
        <w:rPr>
          <w:rFonts w:eastAsia="Arial" w:cs="Arial"/>
          <w:sz w:val="24"/>
          <w:szCs w:val="24"/>
        </w:rPr>
        <w:t xml:space="preserve"> </w:t>
      </w:r>
      <w:r w:rsidR="6A39DCF3" w:rsidRPr="00D678CF">
        <w:rPr>
          <w:rFonts w:eastAsia="Arial" w:cs="Arial"/>
          <w:sz w:val="24"/>
          <w:szCs w:val="24"/>
        </w:rPr>
        <w:t xml:space="preserve">and dosing strategies for </w:t>
      </w:r>
      <w:r w:rsidR="0280B067" w:rsidRPr="00D678CF">
        <w:rPr>
          <w:rFonts w:eastAsia="Arial" w:cs="Arial"/>
          <w:sz w:val="24"/>
          <w:szCs w:val="24"/>
        </w:rPr>
        <w:t xml:space="preserve">these </w:t>
      </w:r>
      <w:r w:rsidR="6A39DCF3" w:rsidRPr="00D678CF">
        <w:rPr>
          <w:rFonts w:eastAsia="Arial" w:cs="Arial"/>
          <w:sz w:val="24"/>
          <w:szCs w:val="24"/>
        </w:rPr>
        <w:t xml:space="preserve">oral </w:t>
      </w:r>
      <w:r w:rsidR="79A4054B" w:rsidRPr="00D678CF">
        <w:rPr>
          <w:rFonts w:eastAsia="Arial" w:cs="Arial"/>
          <w:sz w:val="24"/>
          <w:szCs w:val="24"/>
        </w:rPr>
        <w:t xml:space="preserve">agents </w:t>
      </w:r>
      <w:r w:rsidR="6A39DCF3" w:rsidRPr="00D678CF">
        <w:rPr>
          <w:rFonts w:eastAsia="Arial" w:cs="Arial"/>
          <w:sz w:val="24"/>
          <w:szCs w:val="24"/>
        </w:rPr>
        <w:t xml:space="preserve">vary </w:t>
      </w:r>
      <w:r w:rsidR="6D8D4EF3" w:rsidRPr="00D678CF">
        <w:rPr>
          <w:rFonts w:eastAsia="Arial" w:cs="Arial"/>
          <w:sz w:val="24"/>
          <w:szCs w:val="24"/>
        </w:rPr>
        <w:t>globally</w:t>
      </w:r>
      <w:r w:rsidR="00C16BB3">
        <w:rPr>
          <w:rFonts w:eastAsia="Arial" w:cs="Arial"/>
          <w:sz w:val="24"/>
          <w:szCs w:val="24"/>
        </w:rPr>
        <w:t xml:space="preserve"> </w:t>
      </w:r>
      <w:r w:rsidR="001A70D7">
        <w:rPr>
          <w:rFonts w:eastAsia="Arial" w:cs="Arial"/>
          <w:sz w:val="24"/>
          <w:szCs w:val="24"/>
        </w:rPr>
        <w:fldChar w:fldCharType="begin"/>
      </w:r>
      <w:r w:rsidR="00F561F3">
        <w:rPr>
          <w:rFonts w:eastAsia="Arial" w:cs="Arial"/>
          <w:sz w:val="24"/>
          <w:szCs w:val="24"/>
        </w:rPr>
        <w:instrText xml:space="preserve"> ADDIN ZOTERO_ITEM CSL_CITATION {"citationID":"yd55eFKz","properties":{"formattedCitation":"(6\\uc0\\u8211{}8)","plainCitation":"(6–8)","noteIndex":0},"citationItems":[{"id":9034,"uris":["http://zotero.org/users/11114586/items/MCFARYSL"],"itemData":{"id":9034,"type":"webpage","abstract":"Browse guidance by topic","language":"eng","note":"publisher: NICE","title":"Infections | Topic | NICE","URL":"https://www.nice.org.uk/guidance/conditions-and-diseases/infections","accessed":{"date-parts":[["2023",8,16]]}}},{"id":9030,"uris":["http://zotero.org/users/11114586/items/N2CI4BFJ"],"itemData":{"id":9030,"type":"webpage","language":"en","title":"IDSA Practice Guidelines","URL":"https://www.idsociety.org/practice-guideline/practice-guidelines/","accessed":{"date-parts":[["2023",8,16]]}}},{"id":9036,"uris":["http://zotero.org/users/11114586/items/F68DZGGD"],"itemData":{"id":9036,"type":"article-journal","abstract":"Guidance on the appropriate use of antibiotics for common infections is lacking in many settings. The World Health Organization (WHO) has recently released The WHO AWaRe (Access, Watch, Reserve) antibiotic book which complements the WHO Model list of essential medicines and WHO Model list of essential medicines for children. The book gives specific guidance on the empiric use of antibiotics in the model lists with a strong emphasis on the AWaRe framework, which is centred around the risk of antimicrobial resistance development associated with the use of different antibiotics. Recommendations in the book cover 34 common infections in primary and hospital care both for children and adults. The book also includes a section on the use of the last-resort Reserve antibiotics, whose use should be restricted to very selected cases when an infection is confirmed or suspected to be caused by multidrug-resistant pathogens. The book highlights the use of first-line Access antibiotics or no antibiotic care if this is the safest approach for the patient. Here we present the background behind the development of the AWaRe book and the evidence behind its recommendations. We also outline how the book could be used in different settings to help reach the WHO target of increasing the proportion of global consumption of Access antibiotics to at least 60% of total consumption. The guidance in the book will also more broadly contribute to improving universal health coverage.","container-title":"Bulletin of the World Health Organization","DOI":"10.2471/BLT.22.288614","ISSN":"0042-9686","issue":"4","journalAbbreviation":"Bull World Health Organ","note":"PMID: null\nPMCID: PMC10042089","page":"290-296","source":"PubMed Central","title":"The WHO AWaRe (Access, Watch, Reserve) antibiotic book and prevention of antimicrobial resistance","volume":"101","author":[{"family":"Zanichelli","given":"Veronica"},{"family":"Sharland","given":"Michael"},{"family":"Cappello","given":"Bernadette"},{"family":"Moja","given":"Lorenzo"},{"family":"Getahun","given":"Haileyesus"},{"family":"Pessoa-Silva","given":"Carmem"},{"family":"Sati","given":"Hatim"},{"family":"Weezenbeek","given":"Catharina","non-dropping-particle":"van"},{"family":"Balkhy","given":"Hanan"},{"family":"Simão","given":"Mariângela"},{"family":"Gandra","given":"Sumanth"},{"family":"Huttner","given":"Benedikt"}],"issued":{"date-parts":[["2023",4,1]]}}}],"schema":"https://github.com/citation-style-language/schema/raw/master/csl-citation.json"} </w:instrText>
      </w:r>
      <w:r w:rsidR="001A70D7">
        <w:rPr>
          <w:rFonts w:eastAsia="Arial" w:cs="Arial"/>
          <w:sz w:val="24"/>
          <w:szCs w:val="24"/>
        </w:rPr>
        <w:fldChar w:fldCharType="separate"/>
      </w:r>
      <w:r w:rsidR="00F561F3" w:rsidRPr="00F561F3">
        <w:rPr>
          <w:rFonts w:cs="Arial"/>
          <w:sz w:val="24"/>
        </w:rPr>
        <w:t>(6–8)</w:t>
      </w:r>
      <w:r w:rsidR="001A70D7">
        <w:rPr>
          <w:rFonts w:eastAsia="Arial" w:cs="Arial"/>
          <w:sz w:val="24"/>
          <w:szCs w:val="24"/>
        </w:rPr>
        <w:fldChar w:fldCharType="end"/>
      </w:r>
      <w:r w:rsidR="00C16BB3">
        <w:rPr>
          <w:rFonts w:eastAsia="Arial" w:cs="Arial"/>
          <w:sz w:val="24"/>
          <w:szCs w:val="24"/>
        </w:rPr>
        <w:t>.</w:t>
      </w:r>
      <w:r w:rsidRPr="00D678CF">
        <w:rPr>
          <w:rFonts w:eastAsia="Arial" w:cs="Arial"/>
          <w:sz w:val="24"/>
          <w:szCs w:val="24"/>
        </w:rPr>
        <w:t xml:space="preserve"> </w:t>
      </w:r>
    </w:p>
    <w:p w14:paraId="6889E0FD" w14:textId="260D6735" w:rsidR="00C64726" w:rsidRPr="00D678CF" w:rsidRDefault="00F05088" w:rsidP="00D678CF">
      <w:pPr>
        <w:spacing w:line="480" w:lineRule="auto"/>
        <w:jc w:val="both"/>
        <w:rPr>
          <w:rFonts w:eastAsia="Arial" w:cs="Arial"/>
          <w:sz w:val="24"/>
          <w:szCs w:val="24"/>
        </w:rPr>
      </w:pPr>
      <w:r w:rsidRPr="00D678CF">
        <w:rPr>
          <w:rFonts w:eastAsia="Arial" w:cs="Arial"/>
          <w:sz w:val="24"/>
          <w:szCs w:val="24"/>
        </w:rPr>
        <w:t>AMR</w:t>
      </w:r>
      <w:r w:rsidR="241BC807" w:rsidRPr="00D678CF">
        <w:rPr>
          <w:rFonts w:eastAsia="Arial" w:cs="Arial"/>
          <w:sz w:val="24"/>
          <w:szCs w:val="24"/>
        </w:rPr>
        <w:t xml:space="preserve"> </w:t>
      </w:r>
      <w:r w:rsidR="6441C07B" w:rsidRPr="00D678CF">
        <w:rPr>
          <w:rFonts w:eastAsia="Arial" w:cs="Arial"/>
          <w:sz w:val="24"/>
          <w:szCs w:val="24"/>
        </w:rPr>
        <w:t>has multiple definitions</w:t>
      </w:r>
      <w:r w:rsidR="60ECFAC8" w:rsidRPr="00D678CF">
        <w:rPr>
          <w:rFonts w:eastAsia="Arial" w:cs="Arial"/>
          <w:sz w:val="24"/>
          <w:szCs w:val="24"/>
        </w:rPr>
        <w:t xml:space="preserve"> (</w:t>
      </w:r>
      <w:r w:rsidR="38B38128" w:rsidRPr="00D678CF">
        <w:rPr>
          <w:rFonts w:eastAsia="Arial" w:cs="Arial"/>
          <w:sz w:val="24"/>
          <w:szCs w:val="24"/>
        </w:rPr>
        <w:t>e.g., mechanistic, laboratory, clinical) – however,</w:t>
      </w:r>
      <w:r w:rsidR="4B0F80E9" w:rsidRPr="00D678CF">
        <w:rPr>
          <w:rFonts w:eastAsia="Arial" w:cs="Arial"/>
          <w:sz w:val="24"/>
          <w:szCs w:val="24"/>
        </w:rPr>
        <w:t xml:space="preserve"> </w:t>
      </w:r>
      <w:r w:rsidR="00CA67E8" w:rsidRPr="00D678CF">
        <w:rPr>
          <w:rFonts w:eastAsia="Arial" w:cs="Arial"/>
          <w:sz w:val="24"/>
          <w:szCs w:val="24"/>
        </w:rPr>
        <w:t xml:space="preserve">at its </w:t>
      </w:r>
      <w:r w:rsidR="4B0F80E9" w:rsidRPr="00D678CF">
        <w:rPr>
          <w:rFonts w:eastAsia="Arial" w:cs="Arial"/>
          <w:sz w:val="24"/>
          <w:szCs w:val="24"/>
        </w:rPr>
        <w:t>core, it</w:t>
      </w:r>
      <w:r w:rsidR="00CA67E8" w:rsidRPr="00D678CF">
        <w:rPr>
          <w:rFonts w:eastAsia="Arial" w:cs="Arial"/>
          <w:sz w:val="24"/>
          <w:szCs w:val="24"/>
        </w:rPr>
        <w:t xml:space="preserve"> refers to a situation </w:t>
      </w:r>
      <w:r w:rsidR="00F356EC" w:rsidRPr="00D678CF">
        <w:rPr>
          <w:rFonts w:eastAsia="Arial" w:cs="Arial"/>
          <w:sz w:val="24"/>
          <w:szCs w:val="24"/>
        </w:rPr>
        <w:t xml:space="preserve">where antibiotics </w:t>
      </w:r>
      <w:r w:rsidR="27D22C49" w:rsidRPr="00D678CF">
        <w:rPr>
          <w:rFonts w:eastAsia="Arial" w:cs="Arial"/>
          <w:sz w:val="24"/>
          <w:szCs w:val="24"/>
        </w:rPr>
        <w:t>are not optimally clinically effective</w:t>
      </w:r>
      <w:r w:rsidR="57BF5DC5" w:rsidRPr="00D678CF">
        <w:rPr>
          <w:rFonts w:eastAsia="Arial" w:cs="Arial"/>
          <w:sz w:val="24"/>
          <w:szCs w:val="24"/>
        </w:rPr>
        <w:t>.</w:t>
      </w:r>
      <w:r w:rsidR="00031407" w:rsidRPr="00D678CF">
        <w:rPr>
          <w:rFonts w:eastAsia="Arial" w:cs="Arial"/>
          <w:sz w:val="24"/>
          <w:szCs w:val="24"/>
        </w:rPr>
        <w:t xml:space="preserve"> </w:t>
      </w:r>
      <w:r w:rsidR="004F56D4" w:rsidRPr="00D678CF">
        <w:rPr>
          <w:rFonts w:eastAsia="Arial" w:cs="Arial"/>
          <w:sz w:val="24"/>
          <w:szCs w:val="24"/>
        </w:rPr>
        <w:t>Modern pharmacodynamic</w:t>
      </w:r>
      <w:r w:rsidR="00942924" w:rsidRPr="00D678CF">
        <w:rPr>
          <w:rFonts w:eastAsia="Arial" w:cs="Arial"/>
          <w:sz w:val="24"/>
          <w:szCs w:val="24"/>
        </w:rPr>
        <w:t>s</w:t>
      </w:r>
      <w:r w:rsidR="004F56D4" w:rsidRPr="00D678CF">
        <w:rPr>
          <w:rFonts w:eastAsia="Arial" w:cs="Arial"/>
          <w:sz w:val="24"/>
          <w:szCs w:val="24"/>
        </w:rPr>
        <w:t xml:space="preserve"> provides a</w:t>
      </w:r>
      <w:r w:rsidR="00031407" w:rsidRPr="00D678CF">
        <w:rPr>
          <w:rFonts w:eastAsia="Arial" w:cs="Arial"/>
          <w:sz w:val="24"/>
          <w:szCs w:val="24"/>
        </w:rPr>
        <w:t xml:space="preserve"> framework for </w:t>
      </w:r>
      <w:r w:rsidR="00AB0BA0" w:rsidRPr="00D678CF">
        <w:rPr>
          <w:rFonts w:eastAsia="Arial" w:cs="Arial"/>
          <w:sz w:val="24"/>
          <w:szCs w:val="24"/>
        </w:rPr>
        <w:t xml:space="preserve">understanding </w:t>
      </w:r>
      <w:r w:rsidR="00840A88" w:rsidRPr="00D678CF">
        <w:rPr>
          <w:rFonts w:eastAsia="Arial" w:cs="Arial"/>
          <w:sz w:val="24"/>
          <w:szCs w:val="24"/>
        </w:rPr>
        <w:t xml:space="preserve">and </w:t>
      </w:r>
      <w:r w:rsidR="004F56D4" w:rsidRPr="00D678CF">
        <w:rPr>
          <w:rFonts w:eastAsia="Arial" w:cs="Arial"/>
          <w:sz w:val="24"/>
          <w:szCs w:val="24"/>
        </w:rPr>
        <w:t xml:space="preserve">quantifying </w:t>
      </w:r>
      <w:r w:rsidRPr="00D678CF">
        <w:rPr>
          <w:rFonts w:eastAsia="Arial" w:cs="Arial"/>
          <w:sz w:val="24"/>
          <w:szCs w:val="24"/>
        </w:rPr>
        <w:t>AMR</w:t>
      </w:r>
      <w:r w:rsidR="00E41863" w:rsidRPr="00D678CF">
        <w:rPr>
          <w:rFonts w:eastAsia="Arial" w:cs="Arial"/>
          <w:sz w:val="24"/>
          <w:szCs w:val="24"/>
        </w:rPr>
        <w:t xml:space="preserve">. At the centre of this </w:t>
      </w:r>
      <w:r w:rsidR="00CB661F" w:rsidRPr="00D678CF">
        <w:rPr>
          <w:rFonts w:eastAsia="Arial" w:cs="Arial"/>
          <w:sz w:val="24"/>
          <w:szCs w:val="24"/>
        </w:rPr>
        <w:t>construct</w:t>
      </w:r>
      <w:r w:rsidR="00E41863" w:rsidRPr="00D678CF">
        <w:rPr>
          <w:rFonts w:eastAsia="Arial" w:cs="Arial"/>
          <w:sz w:val="24"/>
          <w:szCs w:val="24"/>
        </w:rPr>
        <w:t xml:space="preserve"> </w:t>
      </w:r>
      <w:r w:rsidR="00295ACE" w:rsidRPr="00D678CF">
        <w:rPr>
          <w:rFonts w:eastAsia="Arial" w:cs="Arial"/>
          <w:sz w:val="24"/>
          <w:szCs w:val="24"/>
        </w:rPr>
        <w:t>is the interplay</w:t>
      </w:r>
      <w:r w:rsidR="00F553F1" w:rsidRPr="00D678CF">
        <w:rPr>
          <w:rFonts w:eastAsia="Arial" w:cs="Arial"/>
          <w:sz w:val="24"/>
          <w:szCs w:val="24"/>
        </w:rPr>
        <w:t xml:space="preserve"> </w:t>
      </w:r>
      <w:r w:rsidR="006E62A9" w:rsidRPr="00D678CF">
        <w:rPr>
          <w:rFonts w:eastAsia="Arial" w:cs="Arial"/>
          <w:sz w:val="24"/>
          <w:szCs w:val="24"/>
        </w:rPr>
        <w:t xml:space="preserve">of </w:t>
      </w:r>
      <w:r w:rsidR="003538B6" w:rsidRPr="00D678CF">
        <w:rPr>
          <w:rFonts w:eastAsia="Arial" w:cs="Arial"/>
          <w:sz w:val="24"/>
          <w:szCs w:val="24"/>
        </w:rPr>
        <w:t>drug exposure (i.e.</w:t>
      </w:r>
      <w:r w:rsidR="00E96A4F" w:rsidRPr="00D678CF">
        <w:rPr>
          <w:rFonts w:eastAsia="Arial" w:cs="Arial"/>
          <w:sz w:val="24"/>
          <w:szCs w:val="24"/>
        </w:rPr>
        <w:t>,</w:t>
      </w:r>
      <w:r w:rsidR="003538B6" w:rsidRPr="00D678CF">
        <w:rPr>
          <w:rFonts w:eastAsia="Arial" w:cs="Arial"/>
          <w:sz w:val="24"/>
          <w:szCs w:val="24"/>
        </w:rPr>
        <w:t xml:space="preserve"> dose and schedule of </w:t>
      </w:r>
      <w:r w:rsidR="00722C9D" w:rsidRPr="00D678CF">
        <w:rPr>
          <w:rFonts w:eastAsia="Arial" w:cs="Arial"/>
          <w:sz w:val="24"/>
          <w:szCs w:val="24"/>
        </w:rPr>
        <w:t>an antibiotic</w:t>
      </w:r>
      <w:r w:rsidR="003538B6" w:rsidRPr="00D678CF">
        <w:rPr>
          <w:rFonts w:eastAsia="Arial" w:cs="Arial"/>
          <w:sz w:val="24"/>
          <w:szCs w:val="24"/>
        </w:rPr>
        <w:t xml:space="preserve">), </w:t>
      </w:r>
      <w:r w:rsidR="009668AC" w:rsidRPr="00D678CF">
        <w:rPr>
          <w:rFonts w:eastAsia="Arial" w:cs="Arial"/>
          <w:sz w:val="24"/>
          <w:szCs w:val="24"/>
        </w:rPr>
        <w:t>some</w:t>
      </w:r>
      <w:r w:rsidR="00EB04E4" w:rsidRPr="00D678CF">
        <w:rPr>
          <w:rFonts w:eastAsia="Arial" w:cs="Arial"/>
          <w:sz w:val="24"/>
          <w:szCs w:val="24"/>
        </w:rPr>
        <w:t xml:space="preserve"> </w:t>
      </w:r>
      <w:r w:rsidR="003538B6" w:rsidRPr="00D678CF">
        <w:rPr>
          <w:rFonts w:eastAsia="Arial" w:cs="Arial"/>
          <w:sz w:val="24"/>
          <w:szCs w:val="24"/>
        </w:rPr>
        <w:t>measure of potency</w:t>
      </w:r>
      <w:r w:rsidR="00F553F1" w:rsidRPr="00D678CF">
        <w:rPr>
          <w:rFonts w:eastAsia="Arial" w:cs="Arial"/>
          <w:sz w:val="24"/>
          <w:szCs w:val="24"/>
        </w:rPr>
        <w:t xml:space="preserve"> </w:t>
      </w:r>
      <w:r w:rsidR="003538B6" w:rsidRPr="00D678CF">
        <w:rPr>
          <w:rFonts w:eastAsia="Arial" w:cs="Arial"/>
          <w:sz w:val="24"/>
          <w:szCs w:val="24"/>
        </w:rPr>
        <w:t xml:space="preserve">of an antibiotic for its microbiological target </w:t>
      </w:r>
      <w:r w:rsidR="003538B6" w:rsidRPr="00D678CF">
        <w:rPr>
          <w:rFonts w:eastAsia="Arial" w:cs="Arial"/>
          <w:sz w:val="24"/>
          <w:szCs w:val="24"/>
        </w:rPr>
        <w:lastRenderedPageBreak/>
        <w:t>(</w:t>
      </w:r>
      <w:r w:rsidR="00604DDE" w:rsidRPr="00D678CF">
        <w:rPr>
          <w:rFonts w:eastAsia="Arial" w:cs="Arial"/>
          <w:sz w:val="24"/>
          <w:szCs w:val="24"/>
        </w:rPr>
        <w:t xml:space="preserve">invariably the </w:t>
      </w:r>
      <w:r w:rsidR="003538B6" w:rsidRPr="00D678CF">
        <w:rPr>
          <w:rFonts w:eastAsia="Arial" w:cs="Arial"/>
          <w:sz w:val="24"/>
          <w:szCs w:val="24"/>
        </w:rPr>
        <w:t>minimum inhibitory concentration, MIC)</w:t>
      </w:r>
      <w:r w:rsidR="00F356EC" w:rsidRPr="00D678CF">
        <w:rPr>
          <w:rFonts w:eastAsia="Arial" w:cs="Arial"/>
          <w:sz w:val="24"/>
          <w:szCs w:val="24"/>
        </w:rPr>
        <w:t xml:space="preserve"> </w:t>
      </w:r>
      <w:r w:rsidR="00EE0743" w:rsidRPr="00D678CF">
        <w:rPr>
          <w:rFonts w:eastAsia="Arial" w:cs="Arial"/>
          <w:sz w:val="24"/>
          <w:szCs w:val="24"/>
        </w:rPr>
        <w:t xml:space="preserve">and </w:t>
      </w:r>
      <w:r w:rsidR="00F4743C" w:rsidRPr="00D678CF">
        <w:rPr>
          <w:rFonts w:eastAsia="Arial" w:cs="Arial"/>
          <w:sz w:val="24"/>
          <w:szCs w:val="24"/>
        </w:rPr>
        <w:t>the magnitude of drug exposure relative to MIC</w:t>
      </w:r>
      <w:r w:rsidR="00204086" w:rsidRPr="00D678CF">
        <w:rPr>
          <w:rFonts w:eastAsia="Arial" w:cs="Arial"/>
          <w:sz w:val="24"/>
          <w:szCs w:val="24"/>
        </w:rPr>
        <w:t xml:space="preserve"> that is required to secure a favourable therapeutic response</w:t>
      </w:r>
      <w:r w:rsidR="007C3F89" w:rsidRPr="00D678CF">
        <w:rPr>
          <w:rFonts w:eastAsia="Arial" w:cs="Arial"/>
          <w:sz w:val="24"/>
          <w:szCs w:val="24"/>
        </w:rPr>
        <w:t xml:space="preserve"> for a</w:t>
      </w:r>
      <w:r w:rsidR="00EE6B33" w:rsidRPr="00D678CF">
        <w:rPr>
          <w:rFonts w:eastAsia="Arial" w:cs="Arial"/>
          <w:sz w:val="24"/>
          <w:szCs w:val="24"/>
        </w:rPr>
        <w:t>ny</w:t>
      </w:r>
      <w:r w:rsidR="007C3F89" w:rsidRPr="00D678CF">
        <w:rPr>
          <w:rFonts w:eastAsia="Arial" w:cs="Arial"/>
          <w:sz w:val="24"/>
          <w:szCs w:val="24"/>
        </w:rPr>
        <w:t xml:space="preserve"> </w:t>
      </w:r>
      <w:r w:rsidR="00AB5ECC" w:rsidRPr="00D678CF">
        <w:rPr>
          <w:rFonts w:eastAsia="Arial" w:cs="Arial"/>
          <w:sz w:val="24"/>
          <w:szCs w:val="24"/>
        </w:rPr>
        <w:t>given disease</w:t>
      </w:r>
      <w:r w:rsidR="00243A29" w:rsidRPr="00D678CF">
        <w:rPr>
          <w:rFonts w:eastAsia="Arial" w:cs="Arial"/>
          <w:sz w:val="24"/>
          <w:szCs w:val="24"/>
        </w:rPr>
        <w:t xml:space="preserve"> (pharmacodynamic target)</w:t>
      </w:r>
      <w:r w:rsidR="003B45D7" w:rsidRPr="00D678CF">
        <w:rPr>
          <w:rFonts w:eastAsia="Arial" w:cs="Arial"/>
          <w:sz w:val="24"/>
          <w:szCs w:val="24"/>
        </w:rPr>
        <w:t xml:space="preserve">. </w:t>
      </w:r>
      <w:r w:rsidR="00785B89" w:rsidRPr="00D678CF">
        <w:rPr>
          <w:rFonts w:eastAsia="Arial" w:cs="Arial"/>
          <w:sz w:val="24"/>
          <w:szCs w:val="24"/>
        </w:rPr>
        <w:t>Through systematic and database reviews,</w:t>
      </w:r>
      <w:r w:rsidR="007118E0" w:rsidRPr="00D678CF">
        <w:rPr>
          <w:rFonts w:eastAsia="Arial" w:cs="Arial"/>
          <w:sz w:val="24"/>
          <w:szCs w:val="24"/>
        </w:rPr>
        <w:t xml:space="preserve"> we examine the evidence </w:t>
      </w:r>
      <w:r w:rsidR="00F907F0" w:rsidRPr="00D678CF">
        <w:rPr>
          <w:rFonts w:eastAsia="Arial" w:cs="Arial"/>
          <w:sz w:val="24"/>
          <w:szCs w:val="24"/>
        </w:rPr>
        <w:t>that underpin</w:t>
      </w:r>
      <w:r w:rsidR="00AC3633" w:rsidRPr="00D678CF">
        <w:rPr>
          <w:rFonts w:eastAsia="Arial" w:cs="Arial"/>
          <w:sz w:val="24"/>
          <w:szCs w:val="24"/>
        </w:rPr>
        <w:t>s</w:t>
      </w:r>
      <w:r w:rsidR="00F907F0" w:rsidRPr="00D678CF">
        <w:rPr>
          <w:rFonts w:eastAsia="Arial" w:cs="Arial"/>
          <w:sz w:val="24"/>
          <w:szCs w:val="24"/>
        </w:rPr>
        <w:t xml:space="preserve"> </w:t>
      </w:r>
      <w:r w:rsidR="007118E0" w:rsidRPr="00D678CF">
        <w:rPr>
          <w:rFonts w:eastAsia="Arial" w:cs="Arial"/>
          <w:sz w:val="24"/>
          <w:szCs w:val="24"/>
        </w:rPr>
        <w:t xml:space="preserve">current </w:t>
      </w:r>
      <w:proofErr w:type="spellStart"/>
      <w:r w:rsidR="007118E0" w:rsidRPr="00D678CF">
        <w:rPr>
          <w:rFonts w:eastAsia="Arial" w:cs="Arial"/>
          <w:sz w:val="24"/>
          <w:szCs w:val="24"/>
        </w:rPr>
        <w:t>AWaRe</w:t>
      </w:r>
      <w:proofErr w:type="spellEnd"/>
      <w:r w:rsidR="007118E0" w:rsidRPr="00D678CF">
        <w:rPr>
          <w:rFonts w:eastAsia="Arial" w:cs="Arial"/>
          <w:sz w:val="24"/>
          <w:szCs w:val="24"/>
        </w:rPr>
        <w:t xml:space="preserve"> Book PHC antibiotic dosing </w:t>
      </w:r>
      <w:r w:rsidR="51807EBE" w:rsidRPr="00D678CF">
        <w:rPr>
          <w:rFonts w:eastAsia="Arial" w:cs="Arial"/>
          <w:sz w:val="24"/>
          <w:szCs w:val="24"/>
        </w:rPr>
        <w:t>guidance</w:t>
      </w:r>
      <w:r w:rsidR="006B698E" w:rsidRPr="00D678CF">
        <w:rPr>
          <w:rFonts w:eastAsia="Arial" w:cs="Arial"/>
          <w:sz w:val="24"/>
          <w:szCs w:val="24"/>
        </w:rPr>
        <w:t xml:space="preserve"> and consider</w:t>
      </w:r>
      <w:r w:rsidR="00422FEF" w:rsidRPr="00D678CF">
        <w:rPr>
          <w:rFonts w:eastAsia="Arial" w:cs="Arial"/>
          <w:sz w:val="24"/>
          <w:szCs w:val="24"/>
        </w:rPr>
        <w:t xml:space="preserve"> approaches to ensure</w:t>
      </w:r>
      <w:r w:rsidR="409A1759" w:rsidRPr="00D678CF">
        <w:rPr>
          <w:rFonts w:eastAsia="Arial" w:cs="Arial"/>
          <w:sz w:val="24"/>
          <w:szCs w:val="24"/>
        </w:rPr>
        <w:t xml:space="preserve"> future</w:t>
      </w:r>
      <w:r w:rsidR="00422FEF" w:rsidRPr="00D678CF">
        <w:rPr>
          <w:rFonts w:eastAsia="Arial" w:cs="Arial"/>
          <w:sz w:val="24"/>
          <w:szCs w:val="24"/>
        </w:rPr>
        <w:t xml:space="preserve"> </w:t>
      </w:r>
      <w:r w:rsidR="00255446" w:rsidRPr="00D678CF">
        <w:rPr>
          <w:rFonts w:eastAsia="Arial" w:cs="Arial"/>
          <w:sz w:val="24"/>
          <w:szCs w:val="24"/>
        </w:rPr>
        <w:t xml:space="preserve">global </w:t>
      </w:r>
      <w:r w:rsidR="00422FEF" w:rsidRPr="00D678CF">
        <w:rPr>
          <w:rFonts w:eastAsia="Arial" w:cs="Arial"/>
          <w:sz w:val="24"/>
          <w:szCs w:val="24"/>
        </w:rPr>
        <w:t xml:space="preserve">recommendations </w:t>
      </w:r>
      <w:r w:rsidR="69504158" w:rsidRPr="00D678CF">
        <w:rPr>
          <w:rFonts w:eastAsia="Arial" w:cs="Arial"/>
          <w:sz w:val="24"/>
          <w:szCs w:val="24"/>
        </w:rPr>
        <w:t>are</w:t>
      </w:r>
      <w:r w:rsidR="01249431" w:rsidRPr="00D678CF">
        <w:rPr>
          <w:rFonts w:eastAsia="Arial" w:cs="Arial"/>
          <w:sz w:val="24"/>
          <w:szCs w:val="24"/>
        </w:rPr>
        <w:t xml:space="preserve"> more</w:t>
      </w:r>
      <w:r w:rsidR="00422FEF" w:rsidRPr="00D678CF">
        <w:rPr>
          <w:rFonts w:eastAsia="Arial" w:cs="Arial"/>
          <w:sz w:val="24"/>
          <w:szCs w:val="24"/>
        </w:rPr>
        <w:t xml:space="preserve"> </w:t>
      </w:r>
      <w:r w:rsidR="00255446" w:rsidRPr="00D678CF">
        <w:rPr>
          <w:rFonts w:eastAsia="Arial" w:cs="Arial"/>
          <w:sz w:val="24"/>
          <w:szCs w:val="24"/>
        </w:rPr>
        <w:t>evidence</w:t>
      </w:r>
      <w:r w:rsidR="35BB5DF3" w:rsidRPr="00D678CF">
        <w:rPr>
          <w:rFonts w:eastAsia="Arial" w:cs="Arial"/>
          <w:sz w:val="24"/>
          <w:szCs w:val="24"/>
        </w:rPr>
        <w:t>-</w:t>
      </w:r>
      <w:r w:rsidR="00255446" w:rsidRPr="00D678CF">
        <w:rPr>
          <w:rFonts w:eastAsia="Arial" w:cs="Arial"/>
          <w:sz w:val="24"/>
          <w:szCs w:val="24"/>
        </w:rPr>
        <w:t xml:space="preserve">based and </w:t>
      </w:r>
      <w:r w:rsidR="0012093E" w:rsidRPr="00D678CF">
        <w:rPr>
          <w:rFonts w:eastAsia="Arial" w:cs="Arial"/>
          <w:sz w:val="24"/>
          <w:szCs w:val="24"/>
        </w:rPr>
        <w:t>robust</w:t>
      </w:r>
      <w:r w:rsidR="007118E0" w:rsidRPr="00D678CF">
        <w:rPr>
          <w:rFonts w:eastAsia="Arial" w:cs="Arial"/>
          <w:sz w:val="24"/>
          <w:szCs w:val="24"/>
        </w:rPr>
        <w:t xml:space="preserve">. </w:t>
      </w:r>
    </w:p>
    <w:p w14:paraId="773F6A1C" w14:textId="77777777" w:rsidR="00D678CF" w:rsidRDefault="00D678CF" w:rsidP="00D678CF">
      <w:pPr>
        <w:pStyle w:val="Heading1"/>
        <w:spacing w:line="480" w:lineRule="auto"/>
        <w:rPr>
          <w:rFonts w:cs="Times New Roman (Headings CS)"/>
          <w:caps/>
        </w:rPr>
      </w:pPr>
    </w:p>
    <w:p w14:paraId="5497C78D" w14:textId="57574142" w:rsidR="00C64726" w:rsidRPr="00E81ADE" w:rsidRDefault="00C64726" w:rsidP="00D678CF">
      <w:pPr>
        <w:pStyle w:val="Heading1"/>
        <w:spacing w:line="480" w:lineRule="auto"/>
        <w:rPr>
          <w:rFonts w:cs="Times New Roman (Headings CS)"/>
          <w:caps/>
        </w:rPr>
      </w:pPr>
      <w:bookmarkStart w:id="2" w:name="_Toc154184981"/>
      <w:r w:rsidRPr="00E81ADE">
        <w:rPr>
          <w:rFonts w:cs="Times New Roman (Headings CS)"/>
          <w:caps/>
        </w:rPr>
        <w:t>Key concepts</w:t>
      </w:r>
      <w:r w:rsidR="0041681D" w:rsidRPr="00E81ADE">
        <w:rPr>
          <w:rFonts w:cs="Times New Roman (Headings CS)"/>
          <w:caps/>
        </w:rPr>
        <w:t xml:space="preserve"> </w:t>
      </w:r>
      <w:r w:rsidR="000B3610" w:rsidRPr="00E81ADE">
        <w:rPr>
          <w:rFonts w:cs="Times New Roman (Headings CS)"/>
          <w:caps/>
        </w:rPr>
        <w:t xml:space="preserve">for </w:t>
      </w:r>
      <w:r w:rsidR="00511504">
        <w:rPr>
          <w:rFonts w:cs="Times New Roman (Headings CS)"/>
          <w:caps/>
        </w:rPr>
        <w:t>PK-PD</w:t>
      </w:r>
      <w:r w:rsidR="000B3610" w:rsidRPr="00E81ADE">
        <w:rPr>
          <w:rFonts w:cs="Times New Roman (Headings CS)"/>
          <w:caps/>
        </w:rPr>
        <w:t xml:space="preserve"> </w:t>
      </w:r>
      <w:r w:rsidR="00B77EAE">
        <w:rPr>
          <w:rFonts w:cs="Times New Roman (Headings CS)"/>
          <w:caps/>
        </w:rPr>
        <w:t>&amp;</w:t>
      </w:r>
      <w:r w:rsidR="000B3610" w:rsidRPr="00E81ADE">
        <w:rPr>
          <w:rFonts w:cs="Times New Roman (Headings CS)"/>
          <w:caps/>
        </w:rPr>
        <w:t xml:space="preserve"> AMR</w:t>
      </w:r>
      <w:bookmarkEnd w:id="2"/>
    </w:p>
    <w:p w14:paraId="7E880CAE" w14:textId="220E6369" w:rsidR="00C64726" w:rsidRPr="00D678CF" w:rsidRDefault="00C64726" w:rsidP="00D678CF">
      <w:pPr>
        <w:pStyle w:val="Heading2"/>
        <w:spacing w:line="480" w:lineRule="auto"/>
      </w:pPr>
      <w:bookmarkStart w:id="3" w:name="_Toc154184982"/>
      <w:r w:rsidRPr="00D678CF">
        <w:t>Defining the impact of AMR on pharmacodynamics: the ‘triple lock’</w:t>
      </w:r>
      <w:bookmarkEnd w:id="3"/>
    </w:p>
    <w:p w14:paraId="194B39F0" w14:textId="2459FF06" w:rsidR="00C64726" w:rsidRDefault="00C64726" w:rsidP="00D678CF">
      <w:pPr>
        <w:spacing w:line="480" w:lineRule="auto"/>
        <w:jc w:val="both"/>
        <w:rPr>
          <w:rFonts w:eastAsia="Arial" w:cs="Arial"/>
          <w:sz w:val="24"/>
          <w:szCs w:val="24"/>
        </w:rPr>
      </w:pPr>
      <w:r w:rsidRPr="00D678CF">
        <w:rPr>
          <w:rFonts w:eastAsia="Arial" w:cs="Arial"/>
          <w:sz w:val="24"/>
          <w:szCs w:val="24"/>
        </w:rPr>
        <w:t>Modern pharmacodynamic theory defines AMR as resulting from insufficient drug exposure relative to the MIC of the invading pathogen. The response to an antibiotic (and by corollary the probability of resistance) is determined by the interplay of regimen, MIC and pharmacodynamic target. We have developed a new term for</w:t>
      </w:r>
      <w:r w:rsidR="00C16BB3">
        <w:rPr>
          <w:rFonts w:eastAsia="Arial" w:cs="Arial"/>
          <w:sz w:val="24"/>
          <w:szCs w:val="24"/>
        </w:rPr>
        <w:t xml:space="preserve"> the interplay of</w:t>
      </w:r>
      <w:r w:rsidRPr="00D678CF">
        <w:rPr>
          <w:rFonts w:eastAsia="Arial" w:cs="Arial"/>
          <w:sz w:val="24"/>
          <w:szCs w:val="24"/>
        </w:rPr>
        <w:t xml:space="preserve"> these factors</w:t>
      </w:r>
      <w:r w:rsidR="00C16BB3">
        <w:rPr>
          <w:rFonts w:eastAsia="Arial" w:cs="Arial"/>
          <w:sz w:val="24"/>
          <w:szCs w:val="24"/>
        </w:rPr>
        <w:t>—</w:t>
      </w:r>
      <w:r w:rsidRPr="00D678CF">
        <w:rPr>
          <w:rFonts w:eastAsia="Arial" w:cs="Arial"/>
          <w:sz w:val="24"/>
          <w:szCs w:val="24"/>
        </w:rPr>
        <w:t xml:space="preserve">the triple lock, </w:t>
      </w:r>
      <w:r w:rsidR="00C16BB3">
        <w:rPr>
          <w:rFonts w:eastAsia="Arial" w:cs="Arial"/>
          <w:sz w:val="24"/>
          <w:szCs w:val="24"/>
        </w:rPr>
        <w:t>which is a name that alludes</w:t>
      </w:r>
      <w:r w:rsidR="00C16BB3" w:rsidRPr="00D678CF">
        <w:rPr>
          <w:rFonts w:eastAsia="Arial" w:cs="Arial"/>
          <w:sz w:val="24"/>
          <w:szCs w:val="24"/>
        </w:rPr>
        <w:t xml:space="preserve"> </w:t>
      </w:r>
      <w:r w:rsidRPr="00D678CF">
        <w:rPr>
          <w:rFonts w:eastAsia="Arial" w:cs="Arial"/>
          <w:sz w:val="24"/>
          <w:szCs w:val="24"/>
        </w:rPr>
        <w:t xml:space="preserve">to their interdependent nature. A change in any one element has a resultant impact on the other two. The triple lock is central to all antimicrobial chemotherapy—ranging from modern antibiotic development programs through to determining the optimal regimens for community or hospital antibiotics as recommended in the </w:t>
      </w:r>
      <w:proofErr w:type="spellStart"/>
      <w:r w:rsidRPr="00D678CF">
        <w:rPr>
          <w:rFonts w:eastAsia="Arial" w:cs="Arial"/>
          <w:sz w:val="24"/>
          <w:szCs w:val="24"/>
        </w:rPr>
        <w:t>AWaRe</w:t>
      </w:r>
      <w:proofErr w:type="spellEnd"/>
      <w:r w:rsidRPr="00D678CF">
        <w:rPr>
          <w:rFonts w:eastAsia="Arial" w:cs="Arial"/>
          <w:sz w:val="24"/>
          <w:szCs w:val="24"/>
        </w:rPr>
        <w:t xml:space="preserve"> Book (Figure </w:t>
      </w:r>
      <w:r w:rsidR="00024943" w:rsidRPr="00D678CF">
        <w:rPr>
          <w:rFonts w:eastAsia="Arial" w:cs="Arial"/>
          <w:sz w:val="24"/>
          <w:szCs w:val="24"/>
        </w:rPr>
        <w:t>1</w:t>
      </w:r>
      <w:r w:rsidRPr="00D678CF">
        <w:rPr>
          <w:rFonts w:eastAsia="Arial" w:cs="Arial"/>
          <w:sz w:val="24"/>
          <w:szCs w:val="24"/>
        </w:rPr>
        <w:t>).</w:t>
      </w:r>
    </w:p>
    <w:p w14:paraId="49D42522" w14:textId="001644F1" w:rsidR="00B7633F" w:rsidRPr="00D678CF" w:rsidRDefault="00B7633F" w:rsidP="00D678CF">
      <w:pPr>
        <w:spacing w:line="480" w:lineRule="auto"/>
        <w:jc w:val="both"/>
        <w:rPr>
          <w:rFonts w:eastAsia="Arial" w:cs="Arial"/>
          <w:sz w:val="24"/>
          <w:szCs w:val="24"/>
        </w:rPr>
      </w:pPr>
    </w:p>
    <w:p w14:paraId="249327A2" w14:textId="458210C2" w:rsidR="00C64726" w:rsidRDefault="00C64726" w:rsidP="00D678CF">
      <w:pPr>
        <w:spacing w:line="480" w:lineRule="auto"/>
        <w:jc w:val="both"/>
        <w:rPr>
          <w:rFonts w:eastAsia="Arial" w:cs="Arial"/>
        </w:rPr>
      </w:pPr>
      <w:r w:rsidRPr="006E5117">
        <w:rPr>
          <w:rFonts w:eastAsia="Arial" w:cs="Arial"/>
          <w:b/>
          <w:bCs/>
          <w:i/>
          <w:iCs/>
          <w:sz w:val="24"/>
          <w:szCs w:val="24"/>
        </w:rPr>
        <w:t xml:space="preserve">Figure </w:t>
      </w:r>
      <w:r w:rsidR="00E6276F" w:rsidRPr="006E5117">
        <w:rPr>
          <w:rFonts w:eastAsia="Arial" w:cs="Arial"/>
          <w:b/>
          <w:bCs/>
          <w:i/>
          <w:iCs/>
          <w:sz w:val="24"/>
          <w:szCs w:val="24"/>
        </w:rPr>
        <w:t>1</w:t>
      </w:r>
      <w:r w:rsidRPr="006E5117">
        <w:rPr>
          <w:rFonts w:eastAsia="Arial" w:cs="Arial"/>
          <w:b/>
          <w:bCs/>
          <w:i/>
          <w:iCs/>
          <w:sz w:val="24"/>
          <w:szCs w:val="24"/>
        </w:rPr>
        <w:t>.</w:t>
      </w:r>
      <w:r w:rsidRPr="006E5117">
        <w:rPr>
          <w:rFonts w:eastAsia="Arial" w:cs="Arial"/>
          <w:i/>
          <w:iCs/>
          <w:noProof/>
          <w:sz w:val="24"/>
          <w:szCs w:val="24"/>
          <w14:ligatures w14:val="standardContextual"/>
        </w:rPr>
        <w:t xml:space="preserve"> </w:t>
      </w:r>
      <w:r w:rsidRPr="006E5117">
        <w:rPr>
          <w:rFonts w:eastAsia="Arial" w:cs="Arial"/>
          <w:i/>
          <w:iCs/>
          <w:sz w:val="24"/>
          <w:szCs w:val="24"/>
        </w:rPr>
        <w:t xml:space="preserve"> The ten most common primary healthcare infections, their common causative bacterial pathogens and recommended first line treatments, and key barriers to generating an evidence base for </w:t>
      </w:r>
      <w:proofErr w:type="spellStart"/>
      <w:r w:rsidRPr="006E5117">
        <w:rPr>
          <w:rFonts w:eastAsia="Arial" w:cs="Arial"/>
          <w:i/>
          <w:iCs/>
          <w:sz w:val="24"/>
          <w:szCs w:val="24"/>
        </w:rPr>
        <w:t>AWaRe</w:t>
      </w:r>
      <w:proofErr w:type="spellEnd"/>
      <w:r w:rsidRPr="006E5117">
        <w:rPr>
          <w:rFonts w:eastAsia="Arial" w:cs="Arial"/>
          <w:i/>
          <w:iCs/>
          <w:sz w:val="24"/>
          <w:szCs w:val="24"/>
        </w:rPr>
        <w:t xml:space="preserve"> Book dosing.</w:t>
      </w:r>
    </w:p>
    <w:p w14:paraId="3C64428D" w14:textId="387876BE" w:rsidR="00C64726" w:rsidRPr="00D678CF" w:rsidRDefault="00C64726" w:rsidP="00D678CF">
      <w:pPr>
        <w:spacing w:line="480" w:lineRule="auto"/>
        <w:jc w:val="both"/>
        <w:rPr>
          <w:rFonts w:eastAsia="Arial" w:cs="Arial"/>
          <w:sz w:val="24"/>
          <w:szCs w:val="24"/>
        </w:rPr>
      </w:pPr>
      <w:r w:rsidRPr="00D678CF">
        <w:rPr>
          <w:rFonts w:eastAsia="Arial" w:cs="Arial"/>
          <w:sz w:val="24"/>
          <w:szCs w:val="24"/>
        </w:rPr>
        <w:lastRenderedPageBreak/>
        <w:t xml:space="preserve">The triple lock (Figure </w:t>
      </w:r>
      <w:r w:rsidR="00E6276F" w:rsidRPr="00D678CF">
        <w:rPr>
          <w:rFonts w:eastAsia="Arial" w:cs="Arial"/>
          <w:sz w:val="24"/>
          <w:szCs w:val="24"/>
        </w:rPr>
        <w:t>2</w:t>
      </w:r>
      <w:r w:rsidRPr="00D678CF">
        <w:rPr>
          <w:rFonts w:eastAsia="Arial" w:cs="Arial"/>
          <w:sz w:val="24"/>
          <w:szCs w:val="24"/>
        </w:rPr>
        <w:t>a) consists of: (</w:t>
      </w:r>
      <w:proofErr w:type="spellStart"/>
      <w:r w:rsidRPr="00D678CF">
        <w:rPr>
          <w:rFonts w:eastAsia="Arial" w:cs="Arial"/>
          <w:sz w:val="24"/>
          <w:szCs w:val="24"/>
        </w:rPr>
        <w:t>i</w:t>
      </w:r>
      <w:proofErr w:type="spellEnd"/>
      <w:r w:rsidRPr="00D678CF">
        <w:rPr>
          <w:rFonts w:eastAsia="Arial" w:cs="Arial"/>
          <w:sz w:val="24"/>
          <w:szCs w:val="24"/>
        </w:rPr>
        <w:t xml:space="preserve">) The </w:t>
      </w:r>
      <w:r w:rsidRPr="00D678CF">
        <w:rPr>
          <w:rFonts w:eastAsia="Arial" w:cs="Arial"/>
          <w:i/>
          <w:iCs/>
          <w:sz w:val="24"/>
          <w:szCs w:val="24"/>
        </w:rPr>
        <w:t>antibiotic exposure</w:t>
      </w:r>
      <w:r w:rsidRPr="00D678CF">
        <w:rPr>
          <w:rFonts w:eastAsia="Arial" w:cs="Arial"/>
          <w:sz w:val="24"/>
          <w:szCs w:val="24"/>
        </w:rPr>
        <w:t xml:space="preserve"> (e.g., area under the concentration time curve (AUC)) at the site of infection, which is dependent on the antibiotic regimen (i.e., the dose</w:t>
      </w:r>
      <w:r w:rsidR="7D41484E" w:rsidRPr="00D678CF">
        <w:rPr>
          <w:rFonts w:eastAsia="Arial" w:cs="Arial"/>
          <w:sz w:val="24"/>
          <w:szCs w:val="24"/>
        </w:rPr>
        <w:t>,</w:t>
      </w:r>
      <w:r w:rsidRPr="00D678CF">
        <w:rPr>
          <w:rFonts w:eastAsia="Arial" w:cs="Arial"/>
          <w:sz w:val="24"/>
          <w:szCs w:val="24"/>
        </w:rPr>
        <w:t xml:space="preserve"> schedule/frequency</w:t>
      </w:r>
      <w:r w:rsidR="4473C1F6" w:rsidRPr="00D678CF">
        <w:rPr>
          <w:rFonts w:eastAsia="Arial" w:cs="Arial"/>
          <w:sz w:val="24"/>
          <w:szCs w:val="24"/>
        </w:rPr>
        <w:t>,</w:t>
      </w:r>
      <w:r w:rsidRPr="00D678CF">
        <w:rPr>
          <w:rFonts w:eastAsia="Arial" w:cs="Arial"/>
          <w:sz w:val="24"/>
          <w:szCs w:val="24"/>
        </w:rPr>
        <w:t xml:space="preserve"> and duration of drug administration) (Figure </w:t>
      </w:r>
      <w:r w:rsidR="00E6276F" w:rsidRPr="00D678CF">
        <w:rPr>
          <w:rFonts w:eastAsia="Arial" w:cs="Arial"/>
          <w:sz w:val="24"/>
          <w:szCs w:val="24"/>
        </w:rPr>
        <w:t>2</w:t>
      </w:r>
      <w:r w:rsidRPr="00D678CF">
        <w:rPr>
          <w:rFonts w:eastAsia="Arial" w:cs="Arial"/>
          <w:sz w:val="24"/>
          <w:szCs w:val="24"/>
        </w:rPr>
        <w:t xml:space="preserve">b); (ii) the </w:t>
      </w:r>
      <w:r w:rsidRPr="00D678CF">
        <w:rPr>
          <w:rFonts w:eastAsia="Arial" w:cs="Arial"/>
          <w:i/>
          <w:iCs/>
          <w:sz w:val="24"/>
          <w:szCs w:val="24"/>
        </w:rPr>
        <w:t>MIC distribution</w:t>
      </w:r>
      <w:r w:rsidRPr="00D678CF">
        <w:rPr>
          <w:rFonts w:eastAsia="Arial" w:cs="Arial"/>
          <w:sz w:val="24"/>
          <w:szCs w:val="24"/>
        </w:rPr>
        <w:t xml:space="preserve"> that needs to be covered in clinical settings—being able to cover the wildtype distribution (i.e., those strains that do not carry a resistance mechanism to the antibiotic) is critical (Figure </w:t>
      </w:r>
      <w:r w:rsidR="00E6276F" w:rsidRPr="00D678CF">
        <w:rPr>
          <w:rFonts w:eastAsia="Arial" w:cs="Arial"/>
          <w:sz w:val="24"/>
          <w:szCs w:val="24"/>
        </w:rPr>
        <w:t>2</w:t>
      </w:r>
      <w:r w:rsidRPr="00D678CF">
        <w:rPr>
          <w:rFonts w:eastAsia="Arial" w:cs="Arial"/>
          <w:sz w:val="24"/>
          <w:szCs w:val="24"/>
        </w:rPr>
        <w:t xml:space="preserve">c); and (iii) the </w:t>
      </w:r>
      <w:r w:rsidRPr="00D678CF">
        <w:rPr>
          <w:rFonts w:eastAsia="Arial" w:cs="Arial"/>
          <w:i/>
          <w:iCs/>
          <w:sz w:val="24"/>
          <w:szCs w:val="24"/>
        </w:rPr>
        <w:t>pharmacodynamic target</w:t>
      </w:r>
      <w:r w:rsidRPr="00D678CF">
        <w:rPr>
          <w:rFonts w:eastAsia="Arial" w:cs="Arial"/>
          <w:sz w:val="24"/>
          <w:szCs w:val="24"/>
        </w:rPr>
        <w:t xml:space="preserve"> (i.e., magnitude of drug exposure relative to the MIC of the target pathogen that is required to secure a favourable therapeutic outcome for a given </w:t>
      </w:r>
      <w:r w:rsidR="00C16BB3">
        <w:rPr>
          <w:rFonts w:eastAsia="Arial" w:cs="Arial"/>
          <w:sz w:val="24"/>
          <w:szCs w:val="24"/>
        </w:rPr>
        <w:t>drug-pathogen-</w:t>
      </w:r>
      <w:r w:rsidRPr="00D678CF">
        <w:rPr>
          <w:rFonts w:eastAsia="Arial" w:cs="Arial"/>
          <w:sz w:val="24"/>
          <w:szCs w:val="24"/>
        </w:rPr>
        <w:t>disease</w:t>
      </w:r>
      <w:r w:rsidR="00C16BB3">
        <w:rPr>
          <w:rFonts w:eastAsia="Arial" w:cs="Arial"/>
          <w:sz w:val="24"/>
          <w:szCs w:val="24"/>
        </w:rPr>
        <w:t xml:space="preserve"> combination</w:t>
      </w:r>
      <w:r w:rsidRPr="00D678CF">
        <w:rPr>
          <w:rFonts w:eastAsia="Arial" w:cs="Arial"/>
          <w:sz w:val="24"/>
          <w:szCs w:val="24"/>
        </w:rPr>
        <w:t xml:space="preserve">; Figure </w:t>
      </w:r>
      <w:r w:rsidR="00E6276F" w:rsidRPr="00D678CF">
        <w:rPr>
          <w:rFonts w:eastAsia="Arial" w:cs="Arial"/>
          <w:sz w:val="24"/>
          <w:szCs w:val="24"/>
        </w:rPr>
        <w:t>2</w:t>
      </w:r>
      <w:r w:rsidRPr="00D678CF">
        <w:rPr>
          <w:rFonts w:eastAsia="Arial" w:cs="Arial"/>
          <w:sz w:val="24"/>
          <w:szCs w:val="24"/>
        </w:rPr>
        <w:t>d).</w:t>
      </w:r>
    </w:p>
    <w:p w14:paraId="2CF63130" w14:textId="7EAA4CED" w:rsidR="00C64726" w:rsidRPr="00D678CF" w:rsidRDefault="00C64726" w:rsidP="00D678CF">
      <w:pPr>
        <w:spacing w:line="480" w:lineRule="auto"/>
        <w:jc w:val="both"/>
        <w:rPr>
          <w:rFonts w:eastAsia="Arial" w:cs="Arial"/>
          <w:sz w:val="24"/>
          <w:szCs w:val="24"/>
        </w:rPr>
      </w:pPr>
      <w:r w:rsidRPr="00D678CF">
        <w:rPr>
          <w:rFonts w:eastAsia="Arial" w:cs="Arial"/>
          <w:sz w:val="24"/>
          <w:szCs w:val="24"/>
        </w:rPr>
        <w:t xml:space="preserve">Changing any of these factors has an immediate impact on the others (e.g., the requirement to cover a higher MIC requires higher </w:t>
      </w:r>
      <w:r w:rsidR="00C16BB3">
        <w:rPr>
          <w:rFonts w:eastAsia="Arial" w:cs="Arial"/>
          <w:sz w:val="24"/>
          <w:szCs w:val="24"/>
        </w:rPr>
        <w:t>drug exposure</w:t>
      </w:r>
      <w:r w:rsidRPr="00D678CF">
        <w:rPr>
          <w:rFonts w:eastAsia="Arial" w:cs="Arial"/>
          <w:sz w:val="24"/>
          <w:szCs w:val="24"/>
        </w:rPr>
        <w:t xml:space="preserve">; the treatment of pneumonia, which may require a higher pharmacodynamic target, requires higher </w:t>
      </w:r>
      <w:r w:rsidR="00C16BB3">
        <w:rPr>
          <w:rFonts w:eastAsia="Arial" w:cs="Arial"/>
          <w:sz w:val="24"/>
          <w:szCs w:val="24"/>
        </w:rPr>
        <w:t>drug exposure</w:t>
      </w:r>
      <w:r w:rsidRPr="00D678CF">
        <w:rPr>
          <w:rFonts w:eastAsia="Arial" w:cs="Arial"/>
          <w:sz w:val="24"/>
          <w:szCs w:val="24"/>
        </w:rPr>
        <w:t xml:space="preserve">), </w:t>
      </w:r>
      <w:r w:rsidR="00C16BB3">
        <w:rPr>
          <w:rFonts w:eastAsia="Arial" w:cs="Arial"/>
          <w:sz w:val="24"/>
          <w:szCs w:val="24"/>
        </w:rPr>
        <w:t>meaning that</w:t>
      </w:r>
      <w:r w:rsidR="00C16BB3" w:rsidRPr="00D678CF">
        <w:rPr>
          <w:rFonts w:eastAsia="Arial" w:cs="Arial"/>
          <w:sz w:val="24"/>
          <w:szCs w:val="24"/>
        </w:rPr>
        <w:t xml:space="preserve"> </w:t>
      </w:r>
      <w:r w:rsidRPr="00D678CF">
        <w:rPr>
          <w:rFonts w:eastAsia="Arial" w:cs="Arial"/>
          <w:sz w:val="24"/>
          <w:szCs w:val="24"/>
        </w:rPr>
        <w:t xml:space="preserve">a full understanding of all three factors is required to assess the adequacy of any given antibiotic regimen. </w:t>
      </w:r>
    </w:p>
    <w:p w14:paraId="7BC9C564" w14:textId="33D26911" w:rsidR="00C64726" w:rsidRPr="0021021E" w:rsidRDefault="00C64726" w:rsidP="00D678CF">
      <w:pPr>
        <w:spacing w:line="480" w:lineRule="auto"/>
        <w:jc w:val="both"/>
        <w:rPr>
          <w:noProof/>
          <w14:ligatures w14:val="standardContextual"/>
        </w:rPr>
      </w:pPr>
    </w:p>
    <w:p w14:paraId="01AF6424" w14:textId="3B35319C" w:rsidR="00C64726" w:rsidRPr="006E5117" w:rsidRDefault="00C64726" w:rsidP="00D678CF">
      <w:pPr>
        <w:spacing w:line="480" w:lineRule="auto"/>
        <w:jc w:val="both"/>
        <w:rPr>
          <w:rFonts w:eastAsia="Arial" w:cs="Arial"/>
          <w:i/>
          <w:iCs/>
          <w:sz w:val="24"/>
          <w:szCs w:val="24"/>
        </w:rPr>
      </w:pPr>
      <w:r w:rsidRPr="006E5117">
        <w:rPr>
          <w:rFonts w:eastAsia="Arial" w:cs="Arial"/>
          <w:b/>
          <w:bCs/>
          <w:i/>
          <w:iCs/>
          <w:sz w:val="24"/>
          <w:szCs w:val="24"/>
        </w:rPr>
        <w:t xml:space="preserve">Figure </w:t>
      </w:r>
      <w:r w:rsidR="00E6276F" w:rsidRPr="006E5117">
        <w:rPr>
          <w:rFonts w:eastAsia="Arial" w:cs="Arial"/>
          <w:b/>
          <w:bCs/>
          <w:i/>
          <w:iCs/>
          <w:sz w:val="24"/>
          <w:szCs w:val="24"/>
        </w:rPr>
        <w:t>2</w:t>
      </w:r>
      <w:r w:rsidRPr="006E5117">
        <w:rPr>
          <w:rFonts w:eastAsia="Arial" w:cs="Arial"/>
          <w:b/>
          <w:bCs/>
          <w:i/>
          <w:iCs/>
          <w:sz w:val="24"/>
          <w:szCs w:val="24"/>
        </w:rPr>
        <w:t>a.</w:t>
      </w:r>
      <w:r w:rsidRPr="006E5117">
        <w:rPr>
          <w:rFonts w:eastAsia="Arial" w:cs="Arial"/>
          <w:i/>
          <w:iCs/>
          <w:sz w:val="24"/>
          <w:szCs w:val="24"/>
        </w:rPr>
        <w:t xml:space="preserve"> The ‘triple lock’ triangular</w:t>
      </w:r>
      <w:r w:rsidRPr="006E5117">
        <w:rPr>
          <w:i/>
          <w:iCs/>
          <w:noProof/>
          <w:sz w:val="24"/>
          <w:szCs w:val="24"/>
        </w:rPr>
        <w:t xml:space="preserve"> </w:t>
      </w:r>
      <w:r w:rsidRPr="006E5117">
        <w:rPr>
          <w:rFonts w:eastAsia="Arial" w:cs="Arial"/>
          <w:i/>
          <w:iCs/>
          <w:sz w:val="24"/>
          <w:szCs w:val="24"/>
        </w:rPr>
        <w:t xml:space="preserve"> relationship underpinning dose-exposure response relationships of modern pharmacokinetic-pharmacodynamic theory; </w:t>
      </w:r>
      <w:r w:rsidRPr="006E5117">
        <w:rPr>
          <w:rFonts w:eastAsia="Arial" w:cs="Arial"/>
          <w:b/>
          <w:bCs/>
          <w:i/>
          <w:iCs/>
          <w:sz w:val="24"/>
          <w:szCs w:val="24"/>
        </w:rPr>
        <w:t xml:space="preserve">b. </w:t>
      </w:r>
      <w:r w:rsidRPr="006E5117">
        <w:rPr>
          <w:rFonts w:eastAsia="Arial" w:cs="Arial"/>
          <w:i/>
          <w:iCs/>
          <w:sz w:val="24"/>
          <w:szCs w:val="24"/>
        </w:rPr>
        <w:t xml:space="preserve">Population pharmacokinetics provides an estimate of central tendency and between-patient variance; </w:t>
      </w:r>
      <w:r w:rsidRPr="006E5117">
        <w:rPr>
          <w:rFonts w:eastAsia="Arial" w:cs="Arial"/>
          <w:b/>
          <w:bCs/>
          <w:i/>
          <w:iCs/>
          <w:sz w:val="24"/>
          <w:szCs w:val="24"/>
        </w:rPr>
        <w:t xml:space="preserve">c. </w:t>
      </w:r>
      <w:r w:rsidRPr="006E5117">
        <w:rPr>
          <w:rFonts w:eastAsia="Arial" w:cs="Arial"/>
          <w:i/>
          <w:iCs/>
          <w:sz w:val="24"/>
          <w:szCs w:val="24"/>
        </w:rPr>
        <w:t xml:space="preserve">MICs measure the susceptibility of a pathogen to a given antibiotic and the  distribution of MIC values differs with clinical setting; </w:t>
      </w:r>
      <w:r w:rsidRPr="006E5117">
        <w:rPr>
          <w:rFonts w:eastAsia="Arial" w:cs="Arial"/>
          <w:b/>
          <w:bCs/>
          <w:i/>
          <w:iCs/>
          <w:sz w:val="24"/>
          <w:szCs w:val="24"/>
        </w:rPr>
        <w:t>d.</w:t>
      </w:r>
      <w:r w:rsidRPr="006E5117">
        <w:rPr>
          <w:rFonts w:eastAsia="Arial" w:cs="Arial"/>
          <w:i/>
          <w:iCs/>
          <w:sz w:val="24"/>
          <w:szCs w:val="24"/>
        </w:rPr>
        <w:t xml:space="preserve"> Pharmacodynamic targets are set magnitudes of a given index deemed to result in an outcome of interest such as clinical efficacy and/or resistance mitigation. </w:t>
      </w:r>
    </w:p>
    <w:p w14:paraId="2ACC72A1" w14:textId="7698CB39" w:rsidR="00C64726" w:rsidRPr="00D678CF" w:rsidRDefault="00C64726" w:rsidP="00D678CF">
      <w:pPr>
        <w:pStyle w:val="Heading2"/>
        <w:spacing w:line="480" w:lineRule="auto"/>
        <w:rPr>
          <w:sz w:val="24"/>
          <w:szCs w:val="24"/>
        </w:rPr>
      </w:pPr>
      <w:bookmarkStart w:id="4" w:name="_Toc154184983"/>
      <w:r>
        <w:lastRenderedPageBreak/>
        <w:t>Antibiotic regimen &amp; drug exposure</w:t>
      </w:r>
      <w:bookmarkEnd w:id="4"/>
    </w:p>
    <w:p w14:paraId="0056668B" w14:textId="0F1C9300" w:rsidR="00C64726" w:rsidRPr="00D678CF" w:rsidRDefault="00C64726" w:rsidP="00D678CF">
      <w:pPr>
        <w:spacing w:line="480" w:lineRule="auto"/>
        <w:jc w:val="both"/>
        <w:rPr>
          <w:rFonts w:eastAsia="Arial" w:cs="Arial"/>
          <w:sz w:val="24"/>
          <w:szCs w:val="24"/>
        </w:rPr>
      </w:pPr>
      <w:r w:rsidRPr="00D678CF">
        <w:rPr>
          <w:rFonts w:eastAsia="Arial" w:cs="Arial"/>
          <w:sz w:val="24"/>
          <w:szCs w:val="24"/>
        </w:rPr>
        <w:t xml:space="preserve">An antibiotic regimen includes the dose, schedule, and duration of antibiotic treatment. For a chosen antibiotic a variety of regimens maybe appropriate dependent on the clinical infection and </w:t>
      </w:r>
      <w:r w:rsidR="00C16BB3">
        <w:rPr>
          <w:rFonts w:eastAsia="Arial" w:cs="Arial"/>
          <w:sz w:val="24"/>
          <w:szCs w:val="24"/>
        </w:rPr>
        <w:t>the nature of the host</w:t>
      </w:r>
      <w:r w:rsidRPr="00D678CF">
        <w:rPr>
          <w:rFonts w:eastAsia="Arial" w:cs="Arial"/>
          <w:sz w:val="24"/>
          <w:szCs w:val="24"/>
        </w:rPr>
        <w:t>. In this review, we focus on the dosing aspect of an antibiotic regimen. The planned dosing regimen is designed to achieve adequate drug exposure (relative to MIC) to ensure a favourable therapeutic outcome for most of the population. The regimen must generate sufficient drug exposure for: (</w:t>
      </w:r>
      <w:proofErr w:type="spellStart"/>
      <w:r w:rsidRPr="00D678CF">
        <w:rPr>
          <w:rFonts w:eastAsia="Arial" w:cs="Arial"/>
          <w:sz w:val="24"/>
          <w:szCs w:val="24"/>
        </w:rPr>
        <w:t>i</w:t>
      </w:r>
      <w:proofErr w:type="spellEnd"/>
      <w:r w:rsidRPr="00D678CF">
        <w:rPr>
          <w:rFonts w:eastAsia="Arial" w:cs="Arial"/>
          <w:sz w:val="24"/>
          <w:szCs w:val="24"/>
        </w:rPr>
        <w:t xml:space="preserve">) the target patient population (e.g., children); (ii) the most common causative bacteria for that specific infection (Figure </w:t>
      </w:r>
      <w:r w:rsidR="00E6276F" w:rsidRPr="00D678CF">
        <w:rPr>
          <w:rFonts w:eastAsia="Arial" w:cs="Arial"/>
          <w:sz w:val="24"/>
          <w:szCs w:val="24"/>
        </w:rPr>
        <w:t>1</w:t>
      </w:r>
      <w:r w:rsidRPr="00D678CF">
        <w:rPr>
          <w:rFonts w:eastAsia="Arial" w:cs="Arial"/>
          <w:sz w:val="24"/>
          <w:szCs w:val="24"/>
        </w:rPr>
        <w:t xml:space="preserve">); and (iii) overcome the considerable pharmacokinetic variability that is typically present in those receiving antibiotics. For effective global antibiotic guidance, </w:t>
      </w:r>
      <w:r w:rsidR="00C16BB3">
        <w:rPr>
          <w:rFonts w:eastAsia="Arial" w:cs="Arial"/>
          <w:sz w:val="24"/>
          <w:szCs w:val="24"/>
        </w:rPr>
        <w:t>regimens</w:t>
      </w:r>
      <w:r w:rsidRPr="00D678CF">
        <w:rPr>
          <w:rFonts w:eastAsia="Arial" w:cs="Arial"/>
          <w:sz w:val="24"/>
          <w:szCs w:val="24"/>
        </w:rPr>
        <w:t xml:space="preserve"> must also consider the practicality of prescribing in limited-resource settings and strategies to ensure adequate access to key antibiotics at a program level (e.g., dose</w:t>
      </w:r>
      <w:r w:rsidR="00C16BB3">
        <w:rPr>
          <w:rFonts w:eastAsia="Arial" w:cs="Arial"/>
          <w:sz w:val="24"/>
          <w:szCs w:val="24"/>
        </w:rPr>
        <w:t>/ schedule</w:t>
      </w:r>
      <w:r w:rsidRPr="00D678CF">
        <w:rPr>
          <w:rFonts w:eastAsia="Arial" w:cs="Arial"/>
          <w:sz w:val="24"/>
          <w:szCs w:val="24"/>
        </w:rPr>
        <w:t xml:space="preserve"> harmonisation across multiple infections),</w:t>
      </w:r>
      <w:r w:rsidR="00C16BB3">
        <w:rPr>
          <w:rFonts w:eastAsia="Arial" w:cs="Arial"/>
          <w:sz w:val="24"/>
          <w:szCs w:val="24"/>
        </w:rPr>
        <w:t xml:space="preserve"> </w:t>
      </w:r>
      <w:r w:rsidR="001A70D7">
        <w:rPr>
          <w:rFonts w:eastAsia="Arial" w:cs="Arial"/>
          <w:sz w:val="24"/>
          <w:szCs w:val="24"/>
        </w:rPr>
        <w:fldChar w:fldCharType="begin"/>
      </w:r>
      <w:r w:rsidR="00F561F3">
        <w:rPr>
          <w:rFonts w:eastAsia="Arial" w:cs="Arial"/>
          <w:sz w:val="24"/>
          <w:szCs w:val="24"/>
        </w:rPr>
        <w:instrText xml:space="preserve"> ADDIN ZOTERO_ITEM CSL_CITATION {"citationID":"9WywVacU","properties":{"formattedCitation":"(9)","plainCitation":"(9)","noteIndex":0},"citationItems":[{"id":9047,"uris":["http://zotero.org/users/11114586/items/XXFDGMSL"],"itemData":{"id":9047,"type":"article-journal","abstract":"BACKGROUND: Paediatric global antibiotic guidelines are inconsistent, most likely due to the limited pharmacokinetic and efficacy data in this population. We investigated factors underlying variation in antibiotic dosing using data from five global point prevalence surveys.\nMETHODS &amp; FINDINGS: Data from 3,367 doses of the 16 most frequent intravenous antibiotics administered to children 1 month-12 years across 23 countries were analysed. For each antibiotic, we identified standard doses given as either weight-based doses (in mg/kg/day) or fixed daily doses (in mg/day), and investigated the pattern of dosing using each strategy. Factors underlying observed variation in weight-based doses were investigated using linear mixed effects models. Weight-based dosing (in mg/kg/day) clustered around a small number of peaks, and all antibiotics had 1-3 standard weight-based doses used in 5%-48% of doses. Dosing strategy was more often weight-based than fixed daily dosing for all antibiotics apart from teicoplanin, which had approximately equal proportions of dosing attributable to each strategy. No strong consistent patterns emerged to explain the historical variation in actual weight-based doses used apart from higher dosing seen in central nervous system infections, and lower in skin and soft tissue infections compared to lower respiratory tract infections. Higher dosing was noted in the Americas compared to the European region.\nCONCLUSIONS: Antibiotic dosing in children clusters around a small number of doses, although variation remains. There is a clear opportunity for the clinical, scientific and public health communities to consolidate behind a consistent set of global antibiotic dosing guidelines to harmonise current practice and prioritise future research.","container-title":"PloS One","DOI":"10.1371/journal.pone.0252223","ISSN":"1932-6203","issue":"5","journalAbbreviation":"PLoS One","language":"eng","note":"PMID: 34043696\nPMCID: PMC8159011","page":"e0252223","source":"PubMed","title":"Global antibiotic dosing strategies in hospitalised children: Characterising variation and implications for harmonisation of international guidelines","title-short":"Global antibiotic dosing strategies in hospitalised children","volume":"16","author":[{"family":"Clements","given":"Michelle N."},{"family":"Russell","given":"Neal"},{"family":"Bielicki","given":"Julia A."},{"family":"Ellis","given":"Sally"},{"family":"Gastine","given":"Silke"},{"family":"Hsia","given":"Yingfen"},{"family":"Standing","given":"Joseph F."},{"family":"Walker","given":"A. Sarah"},{"family":"Sharland","given":"Mike"}],"issued":{"date-parts":[["2021"]]}}}],"schema":"https://github.com/citation-style-language/schema/raw/master/csl-citation.json"} </w:instrText>
      </w:r>
      <w:r w:rsidR="001A70D7">
        <w:rPr>
          <w:rFonts w:eastAsia="Arial" w:cs="Arial"/>
          <w:sz w:val="24"/>
          <w:szCs w:val="24"/>
        </w:rPr>
        <w:fldChar w:fldCharType="separate"/>
      </w:r>
      <w:r w:rsidR="00F561F3">
        <w:rPr>
          <w:rFonts w:cs="Arial"/>
          <w:sz w:val="24"/>
        </w:rPr>
        <w:t>(9)</w:t>
      </w:r>
      <w:r w:rsidR="001A70D7">
        <w:rPr>
          <w:rFonts w:eastAsia="Arial" w:cs="Arial"/>
          <w:sz w:val="24"/>
          <w:szCs w:val="24"/>
        </w:rPr>
        <w:fldChar w:fldCharType="end"/>
      </w:r>
      <w:r w:rsidRPr="00D678CF">
        <w:rPr>
          <w:rFonts w:eastAsia="Arial" w:cs="Arial"/>
          <w:sz w:val="24"/>
          <w:szCs w:val="24"/>
        </w:rPr>
        <w:t xml:space="preserve"> and to facilitate compliance with antibiotic treatment (e.g., minimising doses per day).</w:t>
      </w:r>
    </w:p>
    <w:p w14:paraId="41B12504" w14:textId="7AE0347F" w:rsidR="00EF24D5" w:rsidRPr="00D678CF" w:rsidRDefault="00C64726" w:rsidP="00D678CF">
      <w:pPr>
        <w:spacing w:line="480" w:lineRule="auto"/>
        <w:jc w:val="both"/>
        <w:rPr>
          <w:rFonts w:eastAsia="Arial" w:cs="Arial"/>
          <w:sz w:val="24"/>
          <w:szCs w:val="24"/>
        </w:rPr>
      </w:pPr>
      <w:r w:rsidRPr="00D678CF">
        <w:rPr>
          <w:rFonts w:eastAsia="Arial" w:cs="Arial"/>
          <w:sz w:val="24"/>
          <w:szCs w:val="24"/>
        </w:rPr>
        <w:t>The behaviour of any drug in a population of patients is described using population modelling approaches. Population pharmacokinetic (</w:t>
      </w:r>
      <w:proofErr w:type="spellStart"/>
      <w:r w:rsidRPr="00D678CF">
        <w:rPr>
          <w:rFonts w:eastAsia="Arial" w:cs="Arial"/>
          <w:sz w:val="24"/>
          <w:szCs w:val="24"/>
        </w:rPr>
        <w:t>PopPK</w:t>
      </w:r>
      <w:proofErr w:type="spellEnd"/>
      <w:r w:rsidRPr="00D678CF">
        <w:rPr>
          <w:rFonts w:eastAsia="Arial" w:cs="Arial"/>
          <w:sz w:val="24"/>
          <w:szCs w:val="24"/>
        </w:rPr>
        <w:t xml:space="preserve">) models estimate average values of key pharmacokinetic parameters for the population (e.g., volume of distribution, clearance) and additionally estimate the degree of variability and contributing factors to </w:t>
      </w:r>
      <w:r w:rsidR="00C16BB3">
        <w:rPr>
          <w:rFonts w:eastAsia="Arial" w:cs="Arial"/>
          <w:sz w:val="24"/>
          <w:szCs w:val="24"/>
        </w:rPr>
        <w:t xml:space="preserve">true </w:t>
      </w:r>
      <w:r w:rsidRPr="00D678CF">
        <w:rPr>
          <w:rFonts w:eastAsia="Arial" w:cs="Arial"/>
          <w:sz w:val="24"/>
          <w:szCs w:val="24"/>
        </w:rPr>
        <w:t xml:space="preserve">inter-individual differences </w:t>
      </w:r>
      <w:r w:rsidR="008F6A28">
        <w:rPr>
          <w:rFonts w:eastAsia="Arial" w:cs="Arial"/>
          <w:sz w:val="24"/>
          <w:szCs w:val="24"/>
        </w:rPr>
        <w:t>(</w:t>
      </w:r>
      <w:r w:rsidRPr="00D678CF">
        <w:rPr>
          <w:rFonts w:eastAsia="Arial" w:cs="Arial"/>
          <w:sz w:val="24"/>
          <w:szCs w:val="24"/>
        </w:rPr>
        <w:t>Figure 2b)</w:t>
      </w:r>
      <w:r w:rsidR="00C16BB3">
        <w:rPr>
          <w:rFonts w:eastAsia="Arial" w:cs="Arial"/>
          <w:sz w:val="24"/>
          <w:szCs w:val="24"/>
        </w:rPr>
        <w:t xml:space="preserve"> </w:t>
      </w:r>
      <w:r w:rsidR="001A70D7">
        <w:rPr>
          <w:rFonts w:eastAsia="Arial" w:cs="Arial"/>
          <w:sz w:val="24"/>
          <w:szCs w:val="24"/>
        </w:rPr>
        <w:fldChar w:fldCharType="begin"/>
      </w:r>
      <w:r w:rsidR="00F561F3">
        <w:rPr>
          <w:rFonts w:eastAsia="Arial" w:cs="Arial"/>
          <w:sz w:val="24"/>
          <w:szCs w:val="24"/>
        </w:rPr>
        <w:instrText xml:space="preserve"> ADDIN ZOTERO_ITEM CSL_CITATION {"citationID":"amg5Oqqz","properties":{"formattedCitation":"(10)","plainCitation":"(10)","noteIndex":0},"citationItems":[{"id":1025,"uris":["http://zotero.org/users/11114586/items/QYTES4GG"],"itemData":{"id":1025,"type":"book","number-of-pages":"8-12","title":"Fundamentals of Antimicrobial Pharmacokinetics and Pharmacodynamics","author":[{"literal":"Vinks AA"},{"literal":"Derendorf H"},{"literal":"Mouton JW"}],"accessed":{"date-parts":[["2022",7,28]]},"issued":{"date-parts":[["2014"]]}}}],"schema":"https://github.com/citation-style-language/schema/raw/master/csl-citation.json"} </w:instrText>
      </w:r>
      <w:r w:rsidR="001A70D7">
        <w:rPr>
          <w:rFonts w:eastAsia="Arial" w:cs="Arial"/>
          <w:sz w:val="24"/>
          <w:szCs w:val="24"/>
        </w:rPr>
        <w:fldChar w:fldCharType="separate"/>
      </w:r>
      <w:r w:rsidR="00F561F3">
        <w:rPr>
          <w:rFonts w:cs="Arial"/>
          <w:sz w:val="24"/>
        </w:rPr>
        <w:t>(10)</w:t>
      </w:r>
      <w:r w:rsidR="001A70D7">
        <w:rPr>
          <w:rFonts w:eastAsia="Arial" w:cs="Arial"/>
          <w:sz w:val="24"/>
          <w:szCs w:val="24"/>
        </w:rPr>
        <w:fldChar w:fldCharType="end"/>
      </w:r>
      <w:r w:rsidR="00C16BB3">
        <w:rPr>
          <w:rFonts w:eastAsia="Arial" w:cs="Arial"/>
          <w:sz w:val="24"/>
          <w:szCs w:val="24"/>
        </w:rPr>
        <w:t>.</w:t>
      </w:r>
      <w:r w:rsidRPr="00D678CF">
        <w:rPr>
          <w:rFonts w:eastAsia="Arial" w:cs="Arial"/>
          <w:sz w:val="24"/>
          <w:szCs w:val="24"/>
        </w:rPr>
        <w:t xml:space="preserve"> </w:t>
      </w:r>
      <w:proofErr w:type="spellStart"/>
      <w:r w:rsidRPr="00D678CF">
        <w:rPr>
          <w:rFonts w:eastAsia="Arial" w:cs="Arial"/>
          <w:sz w:val="24"/>
          <w:szCs w:val="24"/>
        </w:rPr>
        <w:t>PopPK</w:t>
      </w:r>
      <w:proofErr w:type="spellEnd"/>
      <w:r w:rsidRPr="00D678CF">
        <w:rPr>
          <w:rFonts w:eastAsia="Arial" w:cs="Arial"/>
          <w:sz w:val="24"/>
          <w:szCs w:val="24"/>
        </w:rPr>
        <w:t xml:space="preserve"> models are mathematical stores of past experiences of a drug within a population—they enable the consequences of </w:t>
      </w:r>
      <w:r w:rsidR="00511504">
        <w:rPr>
          <w:rFonts w:eastAsia="Arial" w:cs="Arial"/>
          <w:sz w:val="24"/>
          <w:szCs w:val="24"/>
        </w:rPr>
        <w:t>pharmacokinetic (PK)</w:t>
      </w:r>
      <w:r w:rsidRPr="00D678CF">
        <w:rPr>
          <w:rFonts w:eastAsia="Arial" w:cs="Arial"/>
          <w:sz w:val="24"/>
          <w:szCs w:val="24"/>
        </w:rPr>
        <w:t xml:space="preserve"> variability to be estimated and mitigation strategies to be designed. For antibiotics on the EML this means understanding how much variability can be expected from a single dosing regimen given in the </w:t>
      </w:r>
      <w:proofErr w:type="spellStart"/>
      <w:r w:rsidRPr="00D678CF">
        <w:rPr>
          <w:rFonts w:eastAsia="Arial" w:cs="Arial"/>
          <w:sz w:val="24"/>
          <w:szCs w:val="24"/>
        </w:rPr>
        <w:t>AWaRe</w:t>
      </w:r>
      <w:proofErr w:type="spellEnd"/>
      <w:r w:rsidRPr="00D678CF">
        <w:rPr>
          <w:rFonts w:eastAsia="Arial" w:cs="Arial"/>
          <w:sz w:val="24"/>
          <w:szCs w:val="24"/>
        </w:rPr>
        <w:t xml:space="preserve"> Book. </w:t>
      </w:r>
    </w:p>
    <w:p w14:paraId="59D811B0" w14:textId="311E7BE1" w:rsidR="00EF24D5" w:rsidRPr="00E14307" w:rsidRDefault="00EF24D5" w:rsidP="00D678CF">
      <w:pPr>
        <w:pStyle w:val="Heading2"/>
        <w:spacing w:line="480" w:lineRule="auto"/>
      </w:pPr>
      <w:bookmarkStart w:id="5" w:name="_Toc154184984"/>
      <w:r w:rsidRPr="00E14307">
        <w:lastRenderedPageBreak/>
        <w:t>Antibiotic potency &amp; MIC distribution</w:t>
      </w:r>
      <w:bookmarkEnd w:id="5"/>
    </w:p>
    <w:p w14:paraId="3F15A2ED" w14:textId="6BE6DDC5" w:rsidR="00E645C6" w:rsidRPr="00D678CF" w:rsidRDefault="00EF24D5" w:rsidP="00D678CF">
      <w:pPr>
        <w:spacing w:line="480" w:lineRule="auto"/>
        <w:jc w:val="both"/>
        <w:rPr>
          <w:rFonts w:eastAsia="Arial" w:cs="Arial"/>
          <w:sz w:val="24"/>
          <w:szCs w:val="24"/>
        </w:rPr>
      </w:pPr>
      <w:r w:rsidRPr="00D678CF">
        <w:rPr>
          <w:rFonts w:eastAsia="Arial" w:cs="Arial"/>
          <w:sz w:val="24"/>
          <w:szCs w:val="24"/>
        </w:rPr>
        <w:t xml:space="preserve">The MIC is an </w:t>
      </w:r>
      <w:r w:rsidRPr="00D678CF">
        <w:rPr>
          <w:rFonts w:eastAsia="Arial" w:cs="Arial"/>
          <w:i/>
          <w:sz w:val="24"/>
          <w:szCs w:val="24"/>
        </w:rPr>
        <w:t>in vitro</w:t>
      </w:r>
      <w:r w:rsidRPr="00D678CF">
        <w:rPr>
          <w:rFonts w:eastAsia="Arial" w:cs="Arial"/>
          <w:sz w:val="24"/>
          <w:szCs w:val="24"/>
        </w:rPr>
        <w:t xml:space="preserve"> measure of antibiotic potency and is estimated using standardised and well characterised methodologies</w:t>
      </w:r>
      <w:r w:rsidR="00C16BB3">
        <w:rPr>
          <w:rFonts w:eastAsia="Arial" w:cs="Arial"/>
          <w:sz w:val="24"/>
          <w:szCs w:val="24"/>
        </w:rPr>
        <w:t xml:space="preserve"> </w:t>
      </w:r>
      <w:r w:rsidR="001A70D7">
        <w:rPr>
          <w:rFonts w:eastAsia="Arial" w:cs="Arial"/>
          <w:sz w:val="24"/>
          <w:szCs w:val="24"/>
        </w:rPr>
        <w:fldChar w:fldCharType="begin"/>
      </w:r>
      <w:r w:rsidR="00F561F3">
        <w:rPr>
          <w:rFonts w:eastAsia="Arial" w:cs="Arial"/>
          <w:sz w:val="24"/>
          <w:szCs w:val="24"/>
        </w:rPr>
        <w:instrText xml:space="preserve"> ADDIN ZOTERO_ITEM CSL_CITATION {"citationID":"AGXb6fk9","properties":{"formattedCitation":"(11, 12)","plainCitation":"(11, 12)","noteIndex":0},"citationItems":[{"id":9053,"uris":["http://zotero.org/users/11114586/items/MLJW6GXC"],"itemData":{"id":9053,"type":"webpage","title":"eucast: MIC determination","URL":"https://www.eucast.org/ast_of_bacteria/mic_determination","accessed":{"date-parts":[["2023",8,21]]}}},{"id":9056,"uris":["http://zotero.org/users/11114586/items/5Y8AD2KY"],"itemData":{"id":9056,"type":"book","collection-number":"35,2","collection-title":"Documents / Clinical and Laboratory Standards Institute","edition":"10. ed","event-place":"Wayne, PA","ISBN":"978-1-56238-987-1","language":"en","number-of-pages":"92","publisher":"Committee for Clinical Laboratory Standards","publisher-place":"Wayne, PA","source":"K10plus ISBN","title":"Methods for dilution antimicrobial susceptibility tests for bacteria that grow aerobically: M07-A10 ; approved standard","title-short":"Methods for dilution antimicrobial susceptibility tests for bacteria that grow aerobically","editor":[{"family":"Clinical and Laboratory Standards Institute","given":""}],"issued":{"date-parts":[["2015"]]}}}],"schema":"https://github.com/citation-style-language/schema/raw/master/csl-citation.json"} </w:instrText>
      </w:r>
      <w:r w:rsidR="001A70D7">
        <w:rPr>
          <w:rFonts w:eastAsia="Arial" w:cs="Arial"/>
          <w:sz w:val="24"/>
          <w:szCs w:val="24"/>
        </w:rPr>
        <w:fldChar w:fldCharType="separate"/>
      </w:r>
      <w:r w:rsidR="00F561F3">
        <w:rPr>
          <w:rFonts w:cs="Arial"/>
          <w:sz w:val="24"/>
        </w:rPr>
        <w:t>(11, 12)</w:t>
      </w:r>
      <w:r w:rsidR="001A70D7">
        <w:rPr>
          <w:rFonts w:eastAsia="Arial" w:cs="Arial"/>
          <w:sz w:val="24"/>
          <w:szCs w:val="24"/>
        </w:rPr>
        <w:fldChar w:fldCharType="end"/>
      </w:r>
      <w:r w:rsidR="00C16BB3">
        <w:rPr>
          <w:rFonts w:eastAsia="Arial" w:cs="Arial"/>
          <w:sz w:val="24"/>
          <w:szCs w:val="24"/>
        </w:rPr>
        <w:t>.</w:t>
      </w:r>
      <w:r w:rsidRPr="00D678CF">
        <w:rPr>
          <w:rFonts w:eastAsia="Arial" w:cs="Arial"/>
          <w:sz w:val="24"/>
          <w:szCs w:val="24"/>
        </w:rPr>
        <w:t xml:space="preserve"> The absolute value of the MIC is a function of the experimental conditions that are ultimately used—it does not necessarily have any direct intrinsic biological relevance. Rather, the MIC serves as scalar in all pharmacodynamic</w:t>
      </w:r>
      <w:r w:rsidR="00511504">
        <w:rPr>
          <w:rFonts w:eastAsia="Arial" w:cs="Arial"/>
          <w:sz w:val="24"/>
          <w:szCs w:val="24"/>
        </w:rPr>
        <w:t xml:space="preserve"> (PD)</w:t>
      </w:r>
      <w:r w:rsidRPr="00D678CF">
        <w:rPr>
          <w:rFonts w:eastAsia="Arial" w:cs="Arial"/>
          <w:sz w:val="24"/>
          <w:szCs w:val="24"/>
        </w:rPr>
        <w:t xml:space="preserve"> indices and calculations—for example, a pathogen with twice the MIC requires twice the drug exposure to generate the same pharmacological effect. </w:t>
      </w:r>
      <w:r w:rsidR="007E5C98">
        <w:rPr>
          <w:rFonts w:eastAsia="Arial" w:cs="Arial"/>
          <w:sz w:val="24"/>
          <w:szCs w:val="24"/>
        </w:rPr>
        <w:t xml:space="preserve">Importantly, increasing </w:t>
      </w:r>
      <w:r w:rsidR="008F6A28">
        <w:rPr>
          <w:rFonts w:eastAsia="Arial" w:cs="Arial"/>
          <w:sz w:val="24"/>
          <w:szCs w:val="24"/>
        </w:rPr>
        <w:t xml:space="preserve">antibiotic </w:t>
      </w:r>
      <w:r w:rsidR="007E5C98">
        <w:rPr>
          <w:rFonts w:eastAsia="Arial" w:cs="Arial"/>
          <w:sz w:val="24"/>
          <w:szCs w:val="24"/>
        </w:rPr>
        <w:t xml:space="preserve">drug exposure as means to </w:t>
      </w:r>
      <w:r w:rsidR="008F6A28">
        <w:rPr>
          <w:rFonts w:eastAsia="Arial" w:cs="Arial"/>
          <w:sz w:val="24"/>
          <w:szCs w:val="24"/>
        </w:rPr>
        <w:t>treat pathogens with significantly elevated</w:t>
      </w:r>
      <w:r w:rsidR="007E5C98">
        <w:rPr>
          <w:rFonts w:eastAsia="Arial" w:cs="Arial"/>
          <w:sz w:val="24"/>
          <w:szCs w:val="24"/>
        </w:rPr>
        <w:t xml:space="preserve"> MICs correlat</w:t>
      </w:r>
      <w:r w:rsidR="008F6A28">
        <w:rPr>
          <w:rFonts w:eastAsia="Arial" w:cs="Arial"/>
          <w:sz w:val="24"/>
          <w:szCs w:val="24"/>
        </w:rPr>
        <w:t>ing</w:t>
      </w:r>
      <w:r w:rsidR="007E5C98">
        <w:rPr>
          <w:rFonts w:eastAsia="Arial" w:cs="Arial"/>
          <w:sz w:val="24"/>
          <w:szCs w:val="24"/>
        </w:rPr>
        <w:t xml:space="preserve"> to high-level resistance may not be practically possible </w:t>
      </w:r>
      <w:r w:rsidR="00C16BB3">
        <w:rPr>
          <w:rFonts w:eastAsia="Arial" w:cs="Arial"/>
          <w:sz w:val="24"/>
          <w:szCs w:val="24"/>
        </w:rPr>
        <w:t>because of limitations of solubility</w:t>
      </w:r>
      <w:r w:rsidR="007E5C98">
        <w:rPr>
          <w:rFonts w:eastAsia="Arial" w:cs="Arial"/>
          <w:sz w:val="24"/>
          <w:szCs w:val="24"/>
        </w:rPr>
        <w:t xml:space="preserve"> and </w:t>
      </w:r>
      <w:r w:rsidR="00C16BB3">
        <w:rPr>
          <w:rFonts w:eastAsia="Arial" w:cs="Arial"/>
          <w:sz w:val="24"/>
          <w:szCs w:val="24"/>
        </w:rPr>
        <w:t>/or safety</w:t>
      </w:r>
      <w:r w:rsidR="007E5C98">
        <w:rPr>
          <w:rFonts w:eastAsia="Arial" w:cs="Arial"/>
          <w:sz w:val="24"/>
          <w:szCs w:val="24"/>
        </w:rPr>
        <w:t xml:space="preserve">. </w:t>
      </w:r>
    </w:p>
    <w:p w14:paraId="779A29D5" w14:textId="4DD9523C" w:rsidR="00EF24D5" w:rsidRDefault="00EF24D5" w:rsidP="00D678CF">
      <w:pPr>
        <w:spacing w:line="480" w:lineRule="auto"/>
        <w:jc w:val="both"/>
        <w:rPr>
          <w:rFonts w:eastAsia="Arial" w:cs="Arial"/>
          <w:sz w:val="24"/>
          <w:szCs w:val="24"/>
        </w:rPr>
      </w:pPr>
      <w:r w:rsidRPr="00D678CF">
        <w:rPr>
          <w:rFonts w:eastAsia="Arial" w:cs="Arial"/>
          <w:sz w:val="24"/>
          <w:szCs w:val="24"/>
        </w:rPr>
        <w:t xml:space="preserve">Just as human diversity affects antibiotic drug exposure, pathogen diversity has a comparable effect on the attainment of pharmacodynamic targets—the distribution of MICs, is a critical determinant of estimates of the adequacy of a given antibiotic regimen (Figure </w:t>
      </w:r>
      <w:r w:rsidR="00E6276F" w:rsidRPr="00D678CF">
        <w:rPr>
          <w:rFonts w:eastAsia="Arial" w:cs="Arial"/>
          <w:sz w:val="24"/>
          <w:szCs w:val="24"/>
        </w:rPr>
        <w:t>2</w:t>
      </w:r>
      <w:r w:rsidRPr="00D678CF">
        <w:rPr>
          <w:rFonts w:eastAsia="Arial" w:cs="Arial"/>
          <w:sz w:val="24"/>
          <w:szCs w:val="24"/>
        </w:rPr>
        <w:t>c). The distribution of MICs for any drug-pathogen combination is affected by context (e.g., PHC versus hospital, case mix, infection site, antibiotic usage, geography etc).</w:t>
      </w:r>
    </w:p>
    <w:p w14:paraId="56A57188" w14:textId="5EEAD0E6" w:rsidR="0041681D" w:rsidRPr="00D678CF" w:rsidRDefault="0041681D" w:rsidP="00D678CF">
      <w:pPr>
        <w:pStyle w:val="Heading2"/>
        <w:spacing w:line="480" w:lineRule="auto"/>
        <w:rPr>
          <w:sz w:val="24"/>
          <w:szCs w:val="24"/>
        </w:rPr>
      </w:pPr>
      <w:bookmarkStart w:id="6" w:name="_Toc154184985"/>
      <w:r w:rsidRPr="00D678CF">
        <w:t>Pharmacodynamic targets</w:t>
      </w:r>
      <w:bookmarkEnd w:id="6"/>
    </w:p>
    <w:p w14:paraId="06051CD1" w14:textId="37478A4A" w:rsidR="0041681D" w:rsidRPr="00D678CF" w:rsidRDefault="0041681D" w:rsidP="00D678CF">
      <w:pPr>
        <w:spacing w:line="480" w:lineRule="auto"/>
        <w:jc w:val="both"/>
        <w:rPr>
          <w:rFonts w:eastAsia="Arial" w:cs="Arial"/>
          <w:sz w:val="24"/>
          <w:szCs w:val="24"/>
        </w:rPr>
      </w:pPr>
      <w:r w:rsidRPr="00D678CF">
        <w:rPr>
          <w:rFonts w:eastAsia="Arial" w:cs="Arial"/>
          <w:sz w:val="24"/>
          <w:szCs w:val="24"/>
        </w:rPr>
        <w:t xml:space="preserve">There are characteristic patterns of antibiotic efficacy, which vary according to the specific drug-pathogen combination—concentration dependent killing, time dependent killing or a combination of both. Which of these patterns is relevant is determined experimentally using dose fractionation studies and can be described using one of three PK-PD indices (Figure </w:t>
      </w:r>
      <w:r w:rsidR="00E6276F" w:rsidRPr="00D678CF">
        <w:rPr>
          <w:rFonts w:eastAsia="Arial" w:cs="Arial"/>
          <w:sz w:val="24"/>
          <w:szCs w:val="24"/>
        </w:rPr>
        <w:t>2</w:t>
      </w:r>
      <w:r w:rsidRPr="00D678CF">
        <w:rPr>
          <w:rFonts w:eastAsia="Arial" w:cs="Arial"/>
          <w:sz w:val="24"/>
          <w:szCs w:val="24"/>
        </w:rPr>
        <w:t>d). These are: (</w:t>
      </w:r>
      <w:proofErr w:type="spellStart"/>
      <w:r w:rsidRPr="00D678CF">
        <w:rPr>
          <w:rFonts w:eastAsia="Arial" w:cs="Arial"/>
          <w:sz w:val="24"/>
          <w:szCs w:val="24"/>
        </w:rPr>
        <w:t>i</w:t>
      </w:r>
      <w:proofErr w:type="spellEnd"/>
      <w:r w:rsidRPr="00D678CF">
        <w:rPr>
          <w:rFonts w:eastAsia="Arial" w:cs="Arial"/>
          <w:sz w:val="24"/>
          <w:szCs w:val="24"/>
        </w:rPr>
        <w:t>) the ratio of free drug peak antibiotic concentration to MIC (</w:t>
      </w:r>
      <w:proofErr w:type="spellStart"/>
      <w:r w:rsidRPr="00D678CF">
        <w:rPr>
          <w:rFonts w:eastAsia="Arial" w:cs="Arial"/>
          <w:i/>
          <w:iCs/>
          <w:sz w:val="24"/>
          <w:szCs w:val="24"/>
        </w:rPr>
        <w:t>f</w:t>
      </w:r>
      <w:r w:rsidRPr="00D678CF">
        <w:rPr>
          <w:rFonts w:eastAsia="Arial" w:cs="Arial"/>
          <w:sz w:val="24"/>
          <w:szCs w:val="24"/>
        </w:rPr>
        <w:t>C</w:t>
      </w:r>
      <w:r w:rsidRPr="00D678CF">
        <w:rPr>
          <w:rFonts w:eastAsia="Arial" w:cs="Arial"/>
          <w:sz w:val="24"/>
          <w:szCs w:val="24"/>
          <w:vertAlign w:val="subscript"/>
        </w:rPr>
        <w:t>max</w:t>
      </w:r>
      <w:r w:rsidRPr="00D678CF">
        <w:rPr>
          <w:rFonts w:eastAsia="Arial" w:cs="Arial"/>
          <w:sz w:val="24"/>
          <w:szCs w:val="24"/>
        </w:rPr>
        <w:t>:MIC</w:t>
      </w:r>
      <w:proofErr w:type="spellEnd"/>
      <w:r w:rsidRPr="00D678CF">
        <w:rPr>
          <w:rFonts w:eastAsia="Arial" w:cs="Arial"/>
          <w:sz w:val="24"/>
          <w:szCs w:val="24"/>
        </w:rPr>
        <w:t xml:space="preserve">), (ii) the fraction of the dosing interval that free drug concentrations are </w:t>
      </w:r>
      <w:r w:rsidR="002425A2">
        <w:rPr>
          <w:rFonts w:eastAsia="Arial" w:cs="Arial"/>
          <w:sz w:val="24"/>
          <w:szCs w:val="24"/>
        </w:rPr>
        <w:t xml:space="preserve">above </w:t>
      </w:r>
      <w:r w:rsidR="002425A2">
        <w:rPr>
          <w:rFonts w:eastAsia="Arial" w:cs="Arial"/>
          <w:sz w:val="24"/>
          <w:szCs w:val="24"/>
        </w:rPr>
        <w:lastRenderedPageBreak/>
        <w:t>the</w:t>
      </w:r>
      <w:r w:rsidRPr="00D678CF">
        <w:rPr>
          <w:rFonts w:eastAsia="Arial" w:cs="Arial"/>
          <w:sz w:val="24"/>
          <w:szCs w:val="24"/>
        </w:rPr>
        <w:t xml:space="preserve"> MIC (</w:t>
      </w:r>
      <w:proofErr w:type="spellStart"/>
      <w:r w:rsidRPr="00D678CF">
        <w:rPr>
          <w:rFonts w:eastAsia="Arial" w:cs="Arial"/>
          <w:i/>
          <w:iCs/>
          <w:sz w:val="24"/>
          <w:szCs w:val="24"/>
        </w:rPr>
        <w:t>f</w:t>
      </w:r>
      <w:r w:rsidRPr="00D678CF">
        <w:rPr>
          <w:rFonts w:eastAsia="Arial" w:cs="Arial"/>
          <w:sz w:val="24"/>
          <w:szCs w:val="24"/>
        </w:rPr>
        <w:t>T</w:t>
      </w:r>
      <w:proofErr w:type="spellEnd"/>
      <w:r w:rsidRPr="00D678CF">
        <w:rPr>
          <w:rFonts w:eastAsia="Arial" w:cs="Arial"/>
          <w:sz w:val="24"/>
          <w:szCs w:val="24"/>
        </w:rPr>
        <w:t>&gt;MIC), and (iii) the ratio of the area under the free drug concentration-time curve, to MIC (</w:t>
      </w:r>
      <w:proofErr w:type="spellStart"/>
      <w:r w:rsidRPr="00D678CF">
        <w:rPr>
          <w:rFonts w:eastAsia="Arial" w:cs="Arial"/>
          <w:i/>
          <w:iCs/>
          <w:sz w:val="24"/>
          <w:szCs w:val="24"/>
        </w:rPr>
        <w:t>f</w:t>
      </w:r>
      <w:r w:rsidRPr="00D678CF">
        <w:rPr>
          <w:rFonts w:eastAsia="Arial" w:cs="Arial"/>
          <w:sz w:val="24"/>
          <w:szCs w:val="24"/>
        </w:rPr>
        <w:t>AUC:MIC</w:t>
      </w:r>
      <w:proofErr w:type="spellEnd"/>
      <w:r w:rsidRPr="00D678CF">
        <w:rPr>
          <w:rFonts w:eastAsia="Arial" w:cs="Arial"/>
          <w:sz w:val="24"/>
          <w:szCs w:val="24"/>
        </w:rPr>
        <w:t>).</w:t>
      </w:r>
      <w:r w:rsidR="002425A2">
        <w:rPr>
          <w:rFonts w:eastAsia="Arial" w:cs="Arial"/>
          <w:sz w:val="24"/>
          <w:szCs w:val="24"/>
        </w:rPr>
        <w:fldChar w:fldCharType="begin"/>
      </w:r>
      <w:r w:rsidR="00F561F3">
        <w:rPr>
          <w:rFonts w:eastAsia="Arial" w:cs="Arial"/>
          <w:sz w:val="24"/>
          <w:szCs w:val="24"/>
        </w:rPr>
        <w:instrText xml:space="preserve"> ADDIN ZOTERO_ITEM CSL_CITATION {"citationID":"L4yxgdP3","properties":{"formattedCitation":"(10)","plainCitation":"(10)","noteIndex":0},"citationItems":[{"id":1025,"uris":["http://zotero.org/users/11114586/items/QYTES4GG"],"itemData":{"id":1025,"type":"book","number-of-pages":"8-12","title":"Fundamentals of Antimicrobial Pharmacokinetics and Pharmacodynamics","author":[{"literal":"Vinks AA"},{"literal":"Derendorf H"},{"literal":"Mouton JW"}],"accessed":{"date-parts":[["2022",7,28]]},"issued":{"date-parts":[["2014"]]}}}],"schema":"https://github.com/citation-style-language/schema/raw/master/csl-citation.json"} </w:instrText>
      </w:r>
      <w:r w:rsidR="002425A2">
        <w:rPr>
          <w:rFonts w:eastAsia="Arial" w:cs="Arial"/>
          <w:sz w:val="24"/>
          <w:szCs w:val="24"/>
        </w:rPr>
        <w:fldChar w:fldCharType="separate"/>
      </w:r>
      <w:r w:rsidR="00F561F3">
        <w:rPr>
          <w:rFonts w:cs="Arial"/>
          <w:sz w:val="24"/>
        </w:rPr>
        <w:t>(10)</w:t>
      </w:r>
      <w:r w:rsidR="002425A2">
        <w:rPr>
          <w:rFonts w:eastAsia="Arial" w:cs="Arial"/>
          <w:sz w:val="24"/>
          <w:szCs w:val="24"/>
        </w:rPr>
        <w:fldChar w:fldCharType="end"/>
      </w:r>
    </w:p>
    <w:p w14:paraId="0D2F2CFC" w14:textId="7E60CEF8" w:rsidR="0041681D" w:rsidRPr="00D678CF" w:rsidRDefault="0041681D" w:rsidP="00D678CF">
      <w:pPr>
        <w:spacing w:line="480" w:lineRule="auto"/>
        <w:jc w:val="both"/>
        <w:rPr>
          <w:rFonts w:eastAsia="Arial" w:cs="Arial"/>
          <w:sz w:val="24"/>
          <w:szCs w:val="24"/>
        </w:rPr>
      </w:pPr>
      <w:r w:rsidRPr="00D678CF">
        <w:rPr>
          <w:rFonts w:eastAsia="Arial" w:cs="Arial"/>
          <w:sz w:val="24"/>
          <w:szCs w:val="24"/>
        </w:rPr>
        <w:t xml:space="preserve">A magnitude of the relevant PK-PD index to achieve a desired effect (e.g., </w:t>
      </w:r>
      <w:r w:rsidR="005202BB" w:rsidRPr="00D678CF">
        <w:rPr>
          <w:rFonts w:eastAsia="Arial" w:cs="Arial"/>
          <w:sz w:val="24"/>
          <w:szCs w:val="24"/>
        </w:rPr>
        <w:t xml:space="preserve">bacterial </w:t>
      </w:r>
      <w:r w:rsidRPr="00D678CF">
        <w:rPr>
          <w:rFonts w:eastAsia="Arial" w:cs="Arial"/>
          <w:sz w:val="24"/>
          <w:szCs w:val="24"/>
        </w:rPr>
        <w:t>logarithmic killing, survival, clinical response) can then be defined in non</w:t>
      </w:r>
      <w:r w:rsidR="005202BB" w:rsidRPr="00D678CF">
        <w:rPr>
          <w:rFonts w:eastAsia="Arial" w:cs="Arial"/>
          <w:sz w:val="24"/>
          <w:szCs w:val="24"/>
        </w:rPr>
        <w:t>-</w:t>
      </w:r>
      <w:r w:rsidRPr="00D678CF">
        <w:rPr>
          <w:rFonts w:eastAsia="Arial" w:cs="Arial"/>
          <w:sz w:val="24"/>
          <w:szCs w:val="24"/>
        </w:rPr>
        <w:t xml:space="preserve">clinical and/or clinical settings– these values are disease specific and a central component of regimen planning for new antibiotic agents and those in the </w:t>
      </w:r>
      <w:proofErr w:type="spellStart"/>
      <w:r w:rsidRPr="00D678CF">
        <w:rPr>
          <w:rFonts w:eastAsia="Arial" w:cs="Arial"/>
          <w:sz w:val="24"/>
          <w:szCs w:val="24"/>
        </w:rPr>
        <w:t>AWaRe</w:t>
      </w:r>
      <w:proofErr w:type="spellEnd"/>
      <w:r w:rsidRPr="00D678CF">
        <w:rPr>
          <w:rFonts w:eastAsia="Arial" w:cs="Arial"/>
          <w:sz w:val="24"/>
          <w:szCs w:val="24"/>
        </w:rPr>
        <w:t xml:space="preserve"> book.</w:t>
      </w:r>
    </w:p>
    <w:p w14:paraId="3B37715C" w14:textId="77777777" w:rsidR="005202BB" w:rsidRDefault="005202BB" w:rsidP="00D678CF">
      <w:pPr>
        <w:spacing w:line="480" w:lineRule="auto"/>
        <w:jc w:val="both"/>
        <w:rPr>
          <w:rFonts w:eastAsia="Arial" w:cs="Arial"/>
        </w:rPr>
      </w:pPr>
    </w:p>
    <w:p w14:paraId="56E1EA80" w14:textId="772CCCC5" w:rsidR="007118E0" w:rsidRPr="00D678CF" w:rsidRDefault="3EBBB976" w:rsidP="00D678CF">
      <w:pPr>
        <w:pStyle w:val="Heading1"/>
        <w:spacing w:line="480" w:lineRule="auto"/>
        <w:rPr>
          <w:rFonts w:cs="Times New Roman (Headings CS)"/>
          <w:caps/>
        </w:rPr>
      </w:pPr>
      <w:bookmarkStart w:id="7" w:name="_Toc154184986"/>
      <w:r w:rsidRPr="00D678CF">
        <w:rPr>
          <w:rFonts w:cs="Times New Roman (Headings CS)"/>
          <w:caps/>
        </w:rPr>
        <w:t>PK</w:t>
      </w:r>
      <w:r w:rsidR="00511504">
        <w:rPr>
          <w:rFonts w:cs="Times New Roman (Headings CS)"/>
          <w:caps/>
        </w:rPr>
        <w:t>-</w:t>
      </w:r>
      <w:r w:rsidRPr="00D678CF">
        <w:rPr>
          <w:rFonts w:cs="Times New Roman (Headings CS)"/>
          <w:caps/>
        </w:rPr>
        <w:t>PD literature s</w:t>
      </w:r>
      <w:r w:rsidR="007118E0" w:rsidRPr="00D678CF">
        <w:rPr>
          <w:rFonts w:cs="Times New Roman (Headings CS)"/>
          <w:caps/>
        </w:rPr>
        <w:t xml:space="preserve">earch strategy </w:t>
      </w:r>
      <w:r w:rsidR="00511504">
        <w:rPr>
          <w:rFonts w:cs="Times New Roman (Headings CS)"/>
          <w:caps/>
        </w:rPr>
        <w:t>&amp;</w:t>
      </w:r>
      <w:r w:rsidR="007118E0" w:rsidRPr="00D678CF">
        <w:rPr>
          <w:rFonts w:cs="Times New Roman (Headings CS)"/>
          <w:caps/>
        </w:rPr>
        <w:t xml:space="preserve"> selection criteria</w:t>
      </w:r>
      <w:bookmarkEnd w:id="7"/>
    </w:p>
    <w:p w14:paraId="33EE1C9F" w14:textId="32E4F247" w:rsidR="007118E0" w:rsidRDefault="0E91F877" w:rsidP="00D678CF">
      <w:pPr>
        <w:pStyle w:val="Heading2"/>
        <w:spacing w:line="480" w:lineRule="auto"/>
      </w:pPr>
      <w:bookmarkStart w:id="8" w:name="_Toc154184987"/>
      <w:r w:rsidRPr="6A4AE598">
        <w:t>Studies reporting population</w:t>
      </w:r>
      <w:r w:rsidR="007118E0" w:rsidRPr="6A4AE598">
        <w:t xml:space="preserve"> </w:t>
      </w:r>
      <w:r w:rsidR="007118E0" w:rsidRPr="00C31DA5">
        <w:t>pharmacokinetic</w:t>
      </w:r>
      <w:r w:rsidR="007118E0" w:rsidRPr="6A4AE598">
        <w:t xml:space="preserve"> </w:t>
      </w:r>
      <w:r w:rsidRPr="6A4AE598">
        <w:t>models</w:t>
      </w:r>
      <w:r w:rsidR="007118E0" w:rsidRPr="6A4AE598">
        <w:t>:</w:t>
      </w:r>
      <w:bookmarkEnd w:id="8"/>
    </w:p>
    <w:p w14:paraId="50CCDDB9" w14:textId="4E910084" w:rsidR="007118E0" w:rsidRPr="00D678CF" w:rsidRDefault="007118E0" w:rsidP="00D678CF">
      <w:pPr>
        <w:spacing w:after="280" w:line="480" w:lineRule="auto"/>
        <w:jc w:val="both"/>
        <w:rPr>
          <w:rFonts w:eastAsia="Arial" w:cs="Arial"/>
          <w:sz w:val="24"/>
          <w:szCs w:val="24"/>
        </w:rPr>
      </w:pPr>
      <w:r w:rsidRPr="00D678CF">
        <w:rPr>
          <w:rFonts w:eastAsia="Arial" w:cs="Arial"/>
          <w:sz w:val="24"/>
          <w:szCs w:val="24"/>
        </w:rPr>
        <w:t>Population pharmacokinetic (</w:t>
      </w:r>
      <w:proofErr w:type="spellStart"/>
      <w:r w:rsidRPr="00D678CF">
        <w:rPr>
          <w:rFonts w:eastAsia="Arial" w:cs="Arial"/>
          <w:sz w:val="24"/>
          <w:szCs w:val="24"/>
        </w:rPr>
        <w:t>PopPK</w:t>
      </w:r>
      <w:proofErr w:type="spellEnd"/>
      <w:r w:rsidRPr="00D678CF">
        <w:rPr>
          <w:rFonts w:eastAsia="Arial" w:cs="Arial"/>
          <w:sz w:val="24"/>
          <w:szCs w:val="24"/>
        </w:rPr>
        <w:t xml:space="preserve">) studies of antibiotics administered via routes specified in the PHC section of the </w:t>
      </w:r>
      <w:proofErr w:type="spellStart"/>
      <w:r w:rsidRPr="00D678CF">
        <w:rPr>
          <w:rFonts w:eastAsia="Arial" w:cs="Arial"/>
          <w:sz w:val="24"/>
          <w:szCs w:val="24"/>
        </w:rPr>
        <w:t>AWaRe</w:t>
      </w:r>
      <w:proofErr w:type="spellEnd"/>
      <w:r w:rsidRPr="00D678CF">
        <w:rPr>
          <w:rFonts w:eastAsia="Arial" w:cs="Arial"/>
          <w:sz w:val="24"/>
          <w:szCs w:val="24"/>
        </w:rPr>
        <w:t xml:space="preserve"> Book </w:t>
      </w:r>
      <w:r w:rsidR="2902CD51" w:rsidRPr="00D678CF">
        <w:rPr>
          <w:rFonts w:eastAsia="Arial" w:cs="Arial"/>
          <w:sz w:val="24"/>
          <w:szCs w:val="24"/>
        </w:rPr>
        <w:t>(n = 2</w:t>
      </w:r>
      <w:r w:rsidR="007F5DB6" w:rsidRPr="00D678CF">
        <w:rPr>
          <w:rFonts w:eastAsia="Arial" w:cs="Arial"/>
          <w:sz w:val="24"/>
          <w:szCs w:val="24"/>
        </w:rPr>
        <w:t>9</w:t>
      </w:r>
      <w:r w:rsidR="2902CD51" w:rsidRPr="00D678CF">
        <w:rPr>
          <w:rFonts w:eastAsia="Arial" w:cs="Arial"/>
          <w:sz w:val="24"/>
          <w:szCs w:val="24"/>
        </w:rPr>
        <w:t xml:space="preserve">, </w:t>
      </w:r>
      <w:r w:rsidR="007F5DB6" w:rsidRPr="00D678CF">
        <w:rPr>
          <w:rFonts w:eastAsia="Arial" w:cs="Arial"/>
          <w:sz w:val="24"/>
          <w:szCs w:val="24"/>
        </w:rPr>
        <w:t>20</w:t>
      </w:r>
      <w:r w:rsidR="2902CD51" w:rsidRPr="00D678CF">
        <w:rPr>
          <w:rFonts w:eastAsia="Arial" w:cs="Arial"/>
          <w:sz w:val="24"/>
          <w:szCs w:val="24"/>
        </w:rPr>
        <w:t xml:space="preserve"> Access, 9 Watc</w:t>
      </w:r>
      <w:r w:rsidR="7531ED5A" w:rsidRPr="00D678CF">
        <w:rPr>
          <w:rFonts w:eastAsia="Arial" w:cs="Arial"/>
          <w:sz w:val="24"/>
          <w:szCs w:val="24"/>
        </w:rPr>
        <w:t>h)</w:t>
      </w:r>
      <w:r w:rsidRPr="00D678CF">
        <w:rPr>
          <w:rFonts w:eastAsia="Arial" w:cs="Arial"/>
          <w:sz w:val="24"/>
          <w:szCs w:val="24"/>
        </w:rPr>
        <w:t xml:space="preserve"> published from database inception until 20/01/2022 were systematically reviewed in line with Preferred Reporting Items for Systematic Reviews and Meta-Analyses (PRISMA) guidelines</w:t>
      </w:r>
      <w:r w:rsidR="00A0585F">
        <w:rPr>
          <w:rFonts w:eastAsia="Arial" w:cs="Arial"/>
          <w:sz w:val="24"/>
          <w:szCs w:val="24"/>
        </w:rPr>
        <w:t xml:space="preserve"> </w:t>
      </w:r>
      <w:r w:rsidR="002425A2">
        <w:rPr>
          <w:rFonts w:eastAsia="Arial" w:cs="Arial"/>
          <w:sz w:val="24"/>
          <w:szCs w:val="24"/>
        </w:rPr>
        <w:fldChar w:fldCharType="begin"/>
      </w:r>
      <w:r w:rsidR="00F561F3">
        <w:rPr>
          <w:rFonts w:eastAsia="Arial" w:cs="Arial"/>
          <w:sz w:val="24"/>
          <w:szCs w:val="24"/>
        </w:rPr>
        <w:instrText xml:space="preserve"> ADDIN ZOTERO_ITEM CSL_CITATION {"citationID":"Hl5H6gzV","properties":{"formattedCitation":"(13)","plainCitation":"(13)","noteIndex":0},"citationItems":[{"id":8853,"uris":["http://zotero.org/users/11114586/items/Q7UEVKEQ"],"itemData":{"id":8853,"type":"article-journal","container-title":"BMJ","DOI":"10.1136/bmj.n71","ISSN":"1756-1833","journalAbbreviation":"BMJ","language":"en","page":"n71","source":"DOI.org (Crossref)","title":"The PRISMA 2020 statement: an updated guideline for reporting systematic reviews","title-short":"The PRISMA 2020 statement","author":[{"family":"Page","given":"Matthew J"},{"family":"McKenzie","given":"Joanne E"},{"family":"Bossuyt","given":"Patrick M"},{"family":"Boutron","given":"Isabelle"},{"family":"Hoffmann","given":"Tammy C"},{"family":"Mulrow","given":"Cynthia D"},{"family":"Shamseer","given":"Larissa"},{"family":"Tetzlaff","given":"Jennifer M"},{"family":"Akl","given":"Elie A"},{"family":"Brennan","given":"Sue E"},{"family":"Chou","given":"Roger"},{"family":"Glanville","given":"Julie"},{"family":"Grimshaw","given":"Jeremy M"},{"family":"Hróbjartsson","given":"Asbjørn"},{"family":"Lalu","given":"Manoj M"},{"family":"Li","given":"Tianjing"},{"family":"Loder","given":"Elizabeth W"},{"family":"Mayo-Wilson","given":"Evan"},{"family":"McDonald","given":"Steve"},{"family":"McGuinness","given":"Luke A"},{"family":"Stewart","given":"Lesley A"},{"family":"Thomas","given":"James"},{"family":"Tricco","given":"Andrea C"},{"family":"Welch","given":"Vivian A"},{"family":"Whiting","given":"Penny"},{"family":"Moher","given":"David"}],"issued":{"date-parts":[["2021",3,29]]}}}],"schema":"https://github.com/citation-style-language/schema/raw/master/csl-citation.json"} </w:instrText>
      </w:r>
      <w:r w:rsidR="002425A2">
        <w:rPr>
          <w:rFonts w:eastAsia="Arial" w:cs="Arial"/>
          <w:sz w:val="24"/>
          <w:szCs w:val="24"/>
        </w:rPr>
        <w:fldChar w:fldCharType="separate"/>
      </w:r>
      <w:r w:rsidR="00F561F3">
        <w:rPr>
          <w:rFonts w:cs="Arial"/>
          <w:sz w:val="24"/>
        </w:rPr>
        <w:t>(13)</w:t>
      </w:r>
      <w:r w:rsidR="002425A2">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In line with Cochrane</w:t>
      </w:r>
      <w:r w:rsidR="007D164C" w:rsidRPr="00D678CF">
        <w:rPr>
          <w:rFonts w:eastAsia="Arial" w:cs="Arial"/>
          <w:sz w:val="24"/>
          <w:szCs w:val="24"/>
        </w:rPr>
        <w:t xml:space="preserve"> </w:t>
      </w:r>
      <w:r w:rsidRPr="00D678CF">
        <w:rPr>
          <w:rFonts w:eastAsia="Arial" w:cs="Arial"/>
          <w:sz w:val="24"/>
          <w:szCs w:val="24"/>
        </w:rPr>
        <w:t xml:space="preserve"> </w:t>
      </w:r>
      <w:r w:rsidR="75AF57C0" w:rsidRPr="00D678CF">
        <w:rPr>
          <w:rFonts w:eastAsia="Arial" w:cs="Arial"/>
          <w:sz w:val="24"/>
          <w:szCs w:val="24"/>
        </w:rPr>
        <w:t>guidance,</w:t>
      </w:r>
      <w:r w:rsidR="002425A2">
        <w:rPr>
          <w:rFonts w:eastAsia="Arial" w:cs="Arial"/>
          <w:sz w:val="24"/>
          <w:szCs w:val="24"/>
        </w:rPr>
        <w:fldChar w:fldCharType="begin"/>
      </w:r>
      <w:r w:rsidR="00F561F3">
        <w:rPr>
          <w:rFonts w:eastAsia="Arial" w:cs="Arial"/>
          <w:sz w:val="24"/>
          <w:szCs w:val="24"/>
        </w:rPr>
        <w:instrText xml:space="preserve"> ADDIN ZOTERO_ITEM CSL_CITATION {"citationID":"C6ndOdwG","properties":{"formattedCitation":"(14)","plainCitation":"(14)","noteIndex":0},"citationItems":[{"id":1000,"uris":["http://zotero.org/users/11114586/items/JLMMP7Q7"],"itemData":{"id":1000,"type":"webpage","title":"Cochrane Handbook for Systematic Reviews of Interventions","URL":"https://training.cochrane.org/handbook/current","author":[{"literal":"Cochrane Training"}],"accessed":{"date-parts":[["2023",1,1]]},"issued":{"date-parts":[["2022"]]}}}],"schema":"https://github.com/citation-style-language/schema/raw/master/csl-citation.json"} </w:instrText>
      </w:r>
      <w:r w:rsidR="002425A2">
        <w:rPr>
          <w:rFonts w:eastAsia="Arial" w:cs="Arial"/>
          <w:sz w:val="24"/>
          <w:szCs w:val="24"/>
        </w:rPr>
        <w:fldChar w:fldCharType="separate"/>
      </w:r>
      <w:r w:rsidR="00F561F3">
        <w:rPr>
          <w:rFonts w:cs="Arial"/>
          <w:sz w:val="24"/>
        </w:rPr>
        <w:t>(14)</w:t>
      </w:r>
      <w:r w:rsidR="002425A2">
        <w:rPr>
          <w:rFonts w:eastAsia="Arial" w:cs="Arial"/>
          <w:sz w:val="24"/>
          <w:szCs w:val="24"/>
        </w:rPr>
        <w:fldChar w:fldCharType="end"/>
      </w:r>
      <w:r w:rsidRPr="00D678CF">
        <w:rPr>
          <w:rFonts w:eastAsia="Arial" w:cs="Arial"/>
          <w:sz w:val="24"/>
          <w:szCs w:val="24"/>
        </w:rPr>
        <w:t xml:space="preserve"> </w:t>
      </w:r>
      <w:r w:rsidR="5A93654B" w:rsidRPr="00D678CF">
        <w:rPr>
          <w:rFonts w:eastAsia="Arial" w:cs="Arial"/>
          <w:sz w:val="24"/>
          <w:szCs w:val="24"/>
        </w:rPr>
        <w:t>ten databases encompassing general bibliographic databases, trial registers and grey literature were searched.</w:t>
      </w:r>
      <w:r w:rsidRPr="00D678CF">
        <w:rPr>
          <w:rFonts w:eastAsia="Arial" w:cs="Arial"/>
          <w:sz w:val="24"/>
          <w:szCs w:val="24"/>
        </w:rPr>
        <w:t xml:space="preserve"> These included Cochrane Central, Clinicaltrials.gov, EMBASE, MEDLINE, </w:t>
      </w:r>
      <w:proofErr w:type="spellStart"/>
      <w:r w:rsidRPr="00D678CF">
        <w:rPr>
          <w:rFonts w:eastAsia="Arial" w:cs="Arial"/>
          <w:sz w:val="24"/>
          <w:szCs w:val="24"/>
        </w:rPr>
        <w:t>medRxiv</w:t>
      </w:r>
      <w:proofErr w:type="spellEnd"/>
      <w:r w:rsidRPr="00D678CF">
        <w:rPr>
          <w:rFonts w:eastAsia="Arial" w:cs="Arial"/>
          <w:sz w:val="24"/>
          <w:szCs w:val="24"/>
        </w:rPr>
        <w:t xml:space="preserve">, </w:t>
      </w:r>
      <w:proofErr w:type="spellStart"/>
      <w:r w:rsidRPr="00D678CF">
        <w:rPr>
          <w:rFonts w:eastAsia="Arial" w:cs="Arial"/>
          <w:sz w:val="24"/>
          <w:szCs w:val="24"/>
        </w:rPr>
        <w:t>SciFinder</w:t>
      </w:r>
      <w:proofErr w:type="spellEnd"/>
      <w:r w:rsidRPr="00D678CF">
        <w:rPr>
          <w:rFonts w:eastAsia="Arial" w:cs="Arial"/>
          <w:sz w:val="24"/>
          <w:szCs w:val="24"/>
        </w:rPr>
        <w:t xml:space="preserve">, Scopus, Web of Science, WHO ICTRP portal, and </w:t>
      </w:r>
      <w:proofErr w:type="spellStart"/>
      <w:r w:rsidRPr="00D678CF">
        <w:rPr>
          <w:rFonts w:eastAsia="Arial" w:cs="Arial"/>
          <w:sz w:val="24"/>
          <w:szCs w:val="24"/>
        </w:rPr>
        <w:t>WorldCat</w:t>
      </w:r>
      <w:proofErr w:type="spellEnd"/>
      <w:r w:rsidRPr="00D678CF">
        <w:rPr>
          <w:rFonts w:eastAsia="Arial" w:cs="Arial"/>
          <w:sz w:val="24"/>
          <w:szCs w:val="24"/>
        </w:rPr>
        <w:t xml:space="preserve"> databases.</w:t>
      </w:r>
    </w:p>
    <w:p w14:paraId="5E62D381" w14:textId="0C552E1E" w:rsidR="007118E0" w:rsidRPr="00D678CF" w:rsidRDefault="007118E0" w:rsidP="00D678CF">
      <w:pPr>
        <w:spacing w:after="280" w:line="480" w:lineRule="auto"/>
        <w:jc w:val="both"/>
        <w:rPr>
          <w:rFonts w:eastAsia="Arial" w:cs="Arial"/>
          <w:sz w:val="24"/>
          <w:szCs w:val="24"/>
        </w:rPr>
      </w:pPr>
      <w:r w:rsidRPr="00D678CF">
        <w:rPr>
          <w:rFonts w:eastAsia="Arial" w:cs="Arial"/>
          <w:sz w:val="24"/>
          <w:szCs w:val="24"/>
        </w:rPr>
        <w:t xml:space="preserve">The search terms </w:t>
      </w:r>
      <w:r w:rsidR="001F30C7" w:rsidRPr="00D678CF">
        <w:rPr>
          <w:rFonts w:eastAsia="Arial" w:cs="Arial"/>
          <w:sz w:val="24"/>
          <w:szCs w:val="24"/>
        </w:rPr>
        <w:t>used were as follows</w:t>
      </w:r>
      <w:r w:rsidRPr="00D678CF">
        <w:rPr>
          <w:rFonts w:eastAsia="Arial" w:cs="Arial"/>
          <w:sz w:val="24"/>
          <w:szCs w:val="24"/>
        </w:rPr>
        <w:t>:</w:t>
      </w:r>
    </w:p>
    <w:p w14:paraId="1058D8C7" w14:textId="77777777" w:rsidR="007118E0" w:rsidRPr="00D678CF" w:rsidRDefault="007118E0" w:rsidP="00D678CF">
      <w:pPr>
        <w:spacing w:after="280" w:line="480" w:lineRule="auto"/>
        <w:jc w:val="both"/>
        <w:rPr>
          <w:rFonts w:eastAsia="Arial" w:cs="Arial"/>
          <w:sz w:val="24"/>
          <w:szCs w:val="24"/>
        </w:rPr>
      </w:pPr>
      <w:r w:rsidRPr="00D678CF">
        <w:rPr>
          <w:rFonts w:eastAsia="Arial" w:cs="Arial"/>
          <w:sz w:val="24"/>
          <w:szCs w:val="24"/>
        </w:rPr>
        <w:t xml:space="preserve">((population AND (pharmacokinetic* OR PK)) OR “population pharmacokinetic*” OR </w:t>
      </w:r>
      <w:proofErr w:type="spellStart"/>
      <w:r w:rsidRPr="00D678CF">
        <w:rPr>
          <w:rFonts w:eastAsia="Arial" w:cs="Arial"/>
          <w:sz w:val="24"/>
          <w:szCs w:val="24"/>
        </w:rPr>
        <w:t>popPK</w:t>
      </w:r>
      <w:proofErr w:type="spellEnd"/>
      <w:r w:rsidRPr="00D678CF">
        <w:rPr>
          <w:rFonts w:eastAsia="Arial" w:cs="Arial"/>
          <w:sz w:val="24"/>
          <w:szCs w:val="24"/>
        </w:rPr>
        <w:t xml:space="preserve">) AND (model* OR </w:t>
      </w:r>
      <w:proofErr w:type="spellStart"/>
      <w:r w:rsidRPr="00D678CF">
        <w:rPr>
          <w:rFonts w:eastAsia="Arial" w:cs="Arial"/>
          <w:sz w:val="24"/>
          <w:szCs w:val="24"/>
        </w:rPr>
        <w:t>simulat</w:t>
      </w:r>
      <w:proofErr w:type="spellEnd"/>
      <w:r w:rsidRPr="00D678CF">
        <w:rPr>
          <w:rFonts w:eastAsia="Arial" w:cs="Arial"/>
          <w:sz w:val="24"/>
          <w:szCs w:val="24"/>
        </w:rPr>
        <w:t xml:space="preserve">* or </w:t>
      </w:r>
      <w:proofErr w:type="spellStart"/>
      <w:r w:rsidRPr="00D678CF">
        <w:rPr>
          <w:rFonts w:eastAsia="Arial" w:cs="Arial"/>
          <w:sz w:val="24"/>
          <w:szCs w:val="24"/>
        </w:rPr>
        <w:t>analys</w:t>
      </w:r>
      <w:proofErr w:type="spellEnd"/>
      <w:r w:rsidRPr="00D678CF">
        <w:rPr>
          <w:rFonts w:eastAsia="Arial" w:cs="Arial"/>
          <w:sz w:val="24"/>
          <w:szCs w:val="24"/>
        </w:rPr>
        <w:t>* OR study OR studies) AND (</w:t>
      </w:r>
      <w:r w:rsidRPr="00D678CF">
        <w:rPr>
          <w:rFonts w:eastAsia="Arial" w:cs="Arial"/>
          <w:b/>
          <w:bCs/>
          <w:sz w:val="24"/>
          <w:szCs w:val="24"/>
        </w:rPr>
        <w:t>&lt;ANTIBIOTIC SEARCH TERMS&gt;</w:t>
      </w:r>
      <w:r w:rsidRPr="00D678CF">
        <w:rPr>
          <w:rFonts w:eastAsia="Arial" w:cs="Arial"/>
          <w:sz w:val="24"/>
          <w:szCs w:val="24"/>
        </w:rPr>
        <w:t>)</w:t>
      </w:r>
    </w:p>
    <w:p w14:paraId="3B8106C3" w14:textId="7E48DC4E" w:rsidR="007118E0" w:rsidRPr="00D678CF" w:rsidRDefault="00124CCD" w:rsidP="00D678CF">
      <w:pPr>
        <w:spacing w:line="480" w:lineRule="auto"/>
        <w:jc w:val="both"/>
        <w:rPr>
          <w:rFonts w:eastAsia="Arial" w:cs="Arial"/>
          <w:sz w:val="24"/>
          <w:szCs w:val="24"/>
        </w:rPr>
      </w:pPr>
      <w:proofErr w:type="gramStart"/>
      <w:r>
        <w:rPr>
          <w:rFonts w:eastAsia="Arial" w:cs="Arial"/>
          <w:sz w:val="24"/>
          <w:szCs w:val="24"/>
        </w:rPr>
        <w:lastRenderedPageBreak/>
        <w:t xml:space="preserve">Table </w:t>
      </w:r>
      <w:r w:rsidR="007118E0" w:rsidRPr="00D678CF">
        <w:rPr>
          <w:rFonts w:eastAsia="Arial" w:cs="Arial"/>
          <w:sz w:val="24"/>
          <w:szCs w:val="24"/>
        </w:rPr>
        <w:t xml:space="preserve"> </w:t>
      </w:r>
      <w:r>
        <w:rPr>
          <w:rFonts w:eastAsia="Arial" w:cs="Arial"/>
          <w:sz w:val="24"/>
          <w:szCs w:val="24"/>
        </w:rPr>
        <w:t>S</w:t>
      </w:r>
      <w:proofErr w:type="gramEnd"/>
      <w:r w:rsidR="007118E0" w:rsidRPr="00D678CF">
        <w:rPr>
          <w:rFonts w:eastAsia="Arial" w:cs="Arial"/>
          <w:sz w:val="24"/>
          <w:szCs w:val="24"/>
        </w:rPr>
        <w:t xml:space="preserve">1 details search terms used for individual antibiotics. After automatic and manual deduplication using Rayyan (Qatar Computing Research Institute, Doha, Qatar), 7875 records were screened against selection criteria, fully outlined in Figure </w:t>
      </w:r>
      <w:r w:rsidR="00024943" w:rsidRPr="00D678CF">
        <w:rPr>
          <w:rFonts w:eastAsia="Arial" w:cs="Arial"/>
          <w:sz w:val="24"/>
          <w:szCs w:val="24"/>
        </w:rPr>
        <w:t>3</w:t>
      </w:r>
      <w:r w:rsidR="007118E0" w:rsidRPr="00D678CF">
        <w:rPr>
          <w:rFonts w:eastAsia="Arial" w:cs="Arial"/>
          <w:sz w:val="24"/>
          <w:szCs w:val="24"/>
        </w:rPr>
        <w:t xml:space="preserve">a. Excluded special populations are listed in </w:t>
      </w:r>
      <w:r>
        <w:rPr>
          <w:rFonts w:eastAsia="Arial" w:cs="Arial"/>
          <w:sz w:val="24"/>
          <w:szCs w:val="24"/>
        </w:rPr>
        <w:t>Table</w:t>
      </w:r>
      <w:r w:rsidR="007118E0" w:rsidRPr="00D678CF">
        <w:rPr>
          <w:rFonts w:eastAsia="Arial" w:cs="Arial"/>
          <w:sz w:val="24"/>
          <w:szCs w:val="24"/>
        </w:rPr>
        <w:t xml:space="preserve"> </w:t>
      </w:r>
      <w:r>
        <w:rPr>
          <w:rFonts w:eastAsia="Arial" w:cs="Arial"/>
          <w:sz w:val="24"/>
          <w:szCs w:val="24"/>
        </w:rPr>
        <w:t>S</w:t>
      </w:r>
      <w:r w:rsidR="007118E0" w:rsidRPr="00D678CF">
        <w:rPr>
          <w:rFonts w:eastAsia="Arial" w:cs="Arial"/>
          <w:sz w:val="24"/>
          <w:szCs w:val="24"/>
        </w:rPr>
        <w:t xml:space="preserve">2. A total of 192 studies were included after screening, of which </w:t>
      </w:r>
      <w:r w:rsidR="34D54ED5" w:rsidRPr="00D678CF">
        <w:rPr>
          <w:rFonts w:eastAsia="Arial" w:cs="Arial"/>
          <w:sz w:val="24"/>
          <w:szCs w:val="24"/>
        </w:rPr>
        <w:t xml:space="preserve">only </w:t>
      </w:r>
      <w:r w:rsidR="007118E0" w:rsidRPr="00D678CF">
        <w:rPr>
          <w:rFonts w:eastAsia="Arial" w:cs="Arial"/>
          <w:sz w:val="24"/>
          <w:szCs w:val="24"/>
        </w:rPr>
        <w:t xml:space="preserve">18 were conducted in oral </w:t>
      </w:r>
      <w:proofErr w:type="spellStart"/>
      <w:r w:rsidR="007118E0" w:rsidRPr="00D678CF">
        <w:rPr>
          <w:rFonts w:eastAsia="Arial" w:cs="Arial"/>
          <w:sz w:val="24"/>
          <w:szCs w:val="24"/>
        </w:rPr>
        <w:t>AWaRe</w:t>
      </w:r>
      <w:proofErr w:type="spellEnd"/>
      <w:r w:rsidR="007118E0" w:rsidRPr="00D678CF">
        <w:rPr>
          <w:rFonts w:eastAsia="Arial" w:cs="Arial"/>
          <w:sz w:val="24"/>
          <w:szCs w:val="24"/>
        </w:rPr>
        <w:t xml:space="preserve"> Book PHC antibiotics (Figure </w:t>
      </w:r>
      <w:r w:rsidR="00024943" w:rsidRPr="00D678CF">
        <w:rPr>
          <w:rFonts w:eastAsia="Arial" w:cs="Arial"/>
          <w:sz w:val="24"/>
          <w:szCs w:val="24"/>
        </w:rPr>
        <w:t>3</w:t>
      </w:r>
      <w:r w:rsidR="007118E0" w:rsidRPr="00D678CF">
        <w:rPr>
          <w:rFonts w:eastAsia="Arial" w:cs="Arial"/>
          <w:sz w:val="24"/>
          <w:szCs w:val="24"/>
        </w:rPr>
        <w:t>a).</w:t>
      </w:r>
    </w:p>
    <w:p w14:paraId="5FED30B8" w14:textId="08BF51B3" w:rsidR="007118E0" w:rsidRPr="00D678CF" w:rsidRDefault="0E4C1001" w:rsidP="00D678CF">
      <w:pPr>
        <w:spacing w:line="480" w:lineRule="auto"/>
        <w:jc w:val="both"/>
        <w:rPr>
          <w:rFonts w:eastAsia="Arial" w:cs="Arial"/>
          <w:sz w:val="24"/>
          <w:szCs w:val="24"/>
        </w:rPr>
      </w:pPr>
      <w:r w:rsidRPr="00D678CF">
        <w:rPr>
          <w:rFonts w:eastAsia="Arial" w:cs="Arial"/>
          <w:sz w:val="24"/>
          <w:szCs w:val="24"/>
        </w:rPr>
        <w:t xml:space="preserve">The 18 </w:t>
      </w:r>
      <w:proofErr w:type="spellStart"/>
      <w:r w:rsidRPr="00D678CF">
        <w:rPr>
          <w:rFonts w:eastAsia="Arial" w:cs="Arial"/>
          <w:sz w:val="24"/>
          <w:szCs w:val="24"/>
        </w:rPr>
        <w:t>Po</w:t>
      </w:r>
      <w:r w:rsidR="001F30C7" w:rsidRPr="00D678CF">
        <w:rPr>
          <w:rFonts w:eastAsia="Arial" w:cs="Arial"/>
          <w:sz w:val="24"/>
          <w:szCs w:val="24"/>
        </w:rPr>
        <w:t>p</w:t>
      </w:r>
      <w:r w:rsidRPr="00D678CF">
        <w:rPr>
          <w:rFonts w:eastAsia="Arial" w:cs="Arial"/>
          <w:sz w:val="24"/>
          <w:szCs w:val="24"/>
        </w:rPr>
        <w:t>PK</w:t>
      </w:r>
      <w:proofErr w:type="spellEnd"/>
      <w:r w:rsidRPr="00D678CF">
        <w:rPr>
          <w:rFonts w:eastAsia="Arial" w:cs="Arial"/>
          <w:sz w:val="24"/>
          <w:szCs w:val="24"/>
        </w:rPr>
        <w:t xml:space="preserve"> models for oral </w:t>
      </w:r>
      <w:proofErr w:type="spellStart"/>
      <w:r w:rsidRPr="00D678CF">
        <w:rPr>
          <w:rFonts w:eastAsia="Arial" w:cs="Arial"/>
          <w:sz w:val="24"/>
          <w:szCs w:val="24"/>
        </w:rPr>
        <w:t>AWaRe</w:t>
      </w:r>
      <w:proofErr w:type="spellEnd"/>
      <w:r w:rsidRPr="00D678CF">
        <w:rPr>
          <w:rFonts w:eastAsia="Arial" w:cs="Arial"/>
          <w:sz w:val="24"/>
          <w:szCs w:val="24"/>
        </w:rPr>
        <w:t xml:space="preserve"> agents were reviewed in more detail. </w:t>
      </w:r>
      <w:r w:rsidR="007118E0" w:rsidRPr="00D678CF">
        <w:rPr>
          <w:rFonts w:eastAsia="Arial" w:cs="Arial"/>
          <w:sz w:val="24"/>
          <w:szCs w:val="24"/>
        </w:rPr>
        <w:t>A grading system for quality (</w:t>
      </w:r>
      <w:r w:rsidR="00124CCD">
        <w:rPr>
          <w:rFonts w:eastAsia="Arial" w:cs="Arial"/>
          <w:sz w:val="24"/>
          <w:szCs w:val="24"/>
        </w:rPr>
        <w:t>Table</w:t>
      </w:r>
      <w:r w:rsidR="007118E0" w:rsidRPr="00D678CF">
        <w:rPr>
          <w:rFonts w:eastAsia="Arial" w:cs="Arial"/>
          <w:sz w:val="24"/>
          <w:szCs w:val="24"/>
        </w:rPr>
        <w:t xml:space="preserve"> </w:t>
      </w:r>
      <w:r w:rsidR="00124CCD">
        <w:rPr>
          <w:rFonts w:eastAsia="Arial" w:cs="Arial"/>
          <w:sz w:val="24"/>
          <w:szCs w:val="24"/>
        </w:rPr>
        <w:t>S</w:t>
      </w:r>
      <w:r w:rsidR="007118E0" w:rsidRPr="00D678CF">
        <w:rPr>
          <w:rFonts w:eastAsia="Arial" w:cs="Arial"/>
          <w:sz w:val="24"/>
          <w:szCs w:val="24"/>
        </w:rPr>
        <w:t xml:space="preserve">3) was developed based primarily on the European Medicines Agency reporting guidance for </w:t>
      </w:r>
      <w:proofErr w:type="spellStart"/>
      <w:r w:rsidR="007118E0" w:rsidRPr="00D678CF">
        <w:rPr>
          <w:rFonts w:eastAsia="Arial" w:cs="Arial"/>
          <w:sz w:val="24"/>
          <w:szCs w:val="24"/>
        </w:rPr>
        <w:t>PopPK</w:t>
      </w:r>
      <w:proofErr w:type="spellEnd"/>
      <w:r w:rsidR="007118E0" w:rsidRPr="00D678CF">
        <w:rPr>
          <w:rFonts w:eastAsia="Arial" w:cs="Arial"/>
          <w:sz w:val="24"/>
          <w:szCs w:val="24"/>
        </w:rPr>
        <w:t xml:space="preserve"> studies in conjunction with previously published grading criteria for other PK study types.</w:t>
      </w:r>
      <w:r w:rsidR="002425A2">
        <w:rPr>
          <w:rFonts w:eastAsia="Arial" w:cs="Arial"/>
          <w:sz w:val="24"/>
          <w:szCs w:val="24"/>
        </w:rPr>
        <w:fldChar w:fldCharType="begin"/>
      </w:r>
      <w:r w:rsidR="00F561F3">
        <w:rPr>
          <w:rFonts w:eastAsia="Arial" w:cs="Arial"/>
          <w:sz w:val="24"/>
          <w:szCs w:val="24"/>
        </w:rPr>
        <w:instrText xml:space="preserve"> ADDIN ZOTERO_ITEM CSL_CITATION {"citationID":"qHDXw1Tw","properties":{"formattedCitation":"(15\\uc0\\u8211{}17)","plainCitation":"(15–17)","noteIndex":0},"citationItems":[{"id":1001,"uris":["http://zotero.org/users/11114586/items/4X3CLR4Q"],"itemData":{"id":1001,"type":"report","title":"Guideline on reporting the results of Population Pharmacokinetic analyses","URL":"http://www.emea.europa.eu","author":[{"literal":"Committee for Medicinal Products for Human USE (CHMP)"},{"literal":"European Medicines Agency"}],"accessed":{"date-parts":[["2023",1,1]]},"issued":{"date-parts":[["2007"]]}},"label":"page"},{"id":1041,"uris":["http://zotero.org/users/11114586/items/5EUWAC4Q"],"itemData":{"id":1041,"type":"article-journal","abstract":"Introduction: There are limited data on optimal dosing of antibiotics in different age groups for neonates and children. Clinicians usually consult pediatric formularies or online databases for dose selection, but these have variable recommendations, are usually based on expert opinion and are not graded based on the existing pharmacokinetic-pharmacodynamic (PKPD) studies. We describe here a potential new tool that could be used to grade the strength of evidence emanating from PKPD studies. Areas covered: A scoring system was developed (GAPPS tool) to quantify the strength of each PK assessment and rate the studies quality in already published articles. GAPPS was evaluated by applying it to pediatric PKPD studies of antibiotics from the 2019 Essential Medicines List for children (EMLC), identified through a search of PubMed. Expert opinion: Evidence for most antibiotic dose selection decisions was generally weak, coming from individual PK studies and lacked PKPD modeling and simulations. However, the quality of evidence appears to have improved over the last two decades. Incorporating a formal grading system, such as GAPPS, into formulary development will provide a transparent tool to support decision-making in clinical practice and guideline development, and guide PKPD authors on study designs most likely to influence guidelines.","container-title":"Expert Review of Clinical Pharmacology","DOI":"10.1080/17512433.2019.1695600","ISSN":"17512441","issue":"12","note":"PMID: 31747323\npublisher: Taylor and Francis Ltd","page":"1091-1098","title":"GAPPS (Grading and Assessment of Pharmacokinetic-Pharmacodynamic Studies) a critical appraisal system for antimicrobial PKPD studies–development and application in pediatric antibiotic studies","volume":"12","author":[{"family":"Gastine","given":"Silke"},{"family":"Rashed","given":"Asia N."},{"family":"Hsia","given":"Yingfen"},{"family":"Jackson","given":"Charlotte"},{"family":"Barker","given":"Charlotte I.S."},{"family":"Mathur","given":"Shrey"},{"family":"Tomlin","given":"Stephen"},{"family":"Lutsar","given":"Irja"},{"family":"Bielicki","given":"Julia"},{"family":"Standing","given":"Joseph F."},{"family":"Sharland","given":"Mike"}],"issued":{"date-parts":[["2019",12,2]]}}},{"id":998,"uris":["http://zotero.org/users/11114586/items/XD6R7YBQ"],"itemData":{"id":998,"type":"article-journal","abstract":"Substantial anatomical and physiological changes occur during pregnancy and labor, which impact on drug absorption, distribution, metabolism, and elimination. Reduced maternal concentrations may have a clinically important impact on the efficacy of anti-infectives for mother, fetus, and neonate, with potential dosing implications. However, there is a paucity of pregnancy-specific data examining this. Existing data on the pharmacokinetics of anti-infectives in pregnancy are summarized and evaluated, with emphasis on agents that are used in treatment of HIV, tuberculosis, malaria, and common bacterial infections. Limitations and challenges in achieving ideal study designs in pregnant populations are highlighted, and key quality considerations for the generation of the highest quality evidence are outlined. PubMed was searched for each chosen anti-infective. Pharmacokinetic studies which either compared pharmacokinetics from pregnant women against nonpregnant controls, or which assessed concentrations against a known minimum inhibitory concentration were included. Two independent reviewers extracted data from each study and appraised them using the 24-point ClinPK Checklist. The main finding was that there is a lack of published data for anti-infectives in pregnancy, despite their clinical importance. Of the studies identified, only those investigating cobicistat-boosted antiretroviral regimens firmly concluded that these should not be used in pregnancy. Most studies concluded either that further research was needed, or that there were significant pharmacokinetic differences between pregnant and nonpregnant participants which had uncertain clinical significance. Challenges in applying existing quality grading systems to these studies were noted, suggesting a development of a refined system for appraisal of pharmacokinetic studies in \"special populations\" may be warranted.","container-title":"Clinical pharmacology and therapeutics","DOI":"10.1002/CPT.2192","ISSN":"1532-6535","issue":"4","note":"PMID: 33548055\npublisher: Clin Pharmacol Ther","page":"977-986","title":"Anti-Infective Dosing in Special Populations: Pregnancy","volume":"109","author":[{"family":"Hazenberg","given":"Phoebe"},{"family":"Navaratnam","given":"Kate"},{"family":"Busuulwa","given":"Paula"},{"family":"Waitt","given":"Catriona"}],"issued":{"date-parts":[["2021",4,1]]}}}],"schema":"https://github.com/citation-style-language/schema/raw/master/csl-citation.json"} </w:instrText>
      </w:r>
      <w:r w:rsidR="002425A2">
        <w:rPr>
          <w:rFonts w:eastAsia="Arial" w:cs="Arial"/>
          <w:sz w:val="24"/>
          <w:szCs w:val="24"/>
        </w:rPr>
        <w:fldChar w:fldCharType="separate"/>
      </w:r>
      <w:r w:rsidR="00F561F3" w:rsidRPr="00F561F3">
        <w:rPr>
          <w:rFonts w:cs="Arial"/>
          <w:sz w:val="24"/>
        </w:rPr>
        <w:t>(15–17)</w:t>
      </w:r>
      <w:r w:rsidR="002425A2">
        <w:rPr>
          <w:rFonts w:eastAsia="Arial" w:cs="Arial"/>
          <w:sz w:val="24"/>
          <w:szCs w:val="24"/>
        </w:rPr>
        <w:fldChar w:fldCharType="end"/>
      </w:r>
      <w:r w:rsidR="007118E0" w:rsidRPr="00D678CF">
        <w:rPr>
          <w:rFonts w:eastAsia="Arial" w:cs="Arial"/>
          <w:sz w:val="24"/>
          <w:szCs w:val="24"/>
        </w:rPr>
        <w:t xml:space="preserve"> Included oral </w:t>
      </w:r>
      <w:proofErr w:type="spellStart"/>
      <w:r w:rsidR="007118E0" w:rsidRPr="00D678CF">
        <w:rPr>
          <w:rFonts w:eastAsia="Arial" w:cs="Arial"/>
          <w:sz w:val="24"/>
          <w:szCs w:val="24"/>
        </w:rPr>
        <w:t>PopPK</w:t>
      </w:r>
      <w:proofErr w:type="spellEnd"/>
      <w:r w:rsidR="007118E0" w:rsidRPr="00D678CF">
        <w:rPr>
          <w:rFonts w:eastAsia="Arial" w:cs="Arial"/>
          <w:sz w:val="24"/>
          <w:szCs w:val="24"/>
        </w:rPr>
        <w:t xml:space="preserve"> studies were then scored </w:t>
      </w:r>
      <w:r w:rsidR="001C58E3">
        <w:rPr>
          <w:rFonts w:eastAsia="Arial" w:cs="Arial"/>
          <w:sz w:val="24"/>
          <w:szCs w:val="24"/>
        </w:rPr>
        <w:t>b</w:t>
      </w:r>
      <w:r w:rsidR="007118E0" w:rsidRPr="00D678CF">
        <w:rPr>
          <w:rFonts w:eastAsia="Arial" w:cs="Arial"/>
          <w:sz w:val="24"/>
          <w:szCs w:val="24"/>
        </w:rPr>
        <w:t>ased on this. Further analysis was conducted using R (v.4.2.0).</w:t>
      </w:r>
    </w:p>
    <w:p w14:paraId="2972E06E" w14:textId="1CDA15FE" w:rsidR="007118E0" w:rsidRDefault="007F132F" w:rsidP="00D678CF">
      <w:pPr>
        <w:spacing w:line="480" w:lineRule="auto"/>
        <w:jc w:val="both"/>
        <w:rPr>
          <w:noProof/>
          <w14:ligatures w14:val="standardContextual"/>
        </w:rPr>
      </w:pPr>
      <w:r w:rsidRPr="007F132F">
        <w:rPr>
          <w:noProof/>
          <w14:ligatures w14:val="standardContextual"/>
        </w:rPr>
        <w:t xml:space="preserve"> </w:t>
      </w:r>
    </w:p>
    <w:p w14:paraId="57E32FAA" w14:textId="4A31D31A" w:rsidR="005F64A1" w:rsidRPr="006E5117" w:rsidRDefault="005F64A1" w:rsidP="00D678CF">
      <w:pPr>
        <w:spacing w:line="480" w:lineRule="auto"/>
        <w:jc w:val="both"/>
        <w:rPr>
          <w:rFonts w:asciiTheme="majorBidi" w:hAnsiTheme="majorBidi" w:cstheme="majorBidi"/>
          <w:i/>
          <w:iCs/>
          <w:sz w:val="24"/>
          <w:szCs w:val="24"/>
        </w:rPr>
      </w:pPr>
      <w:r w:rsidRPr="006E5117">
        <w:rPr>
          <w:rFonts w:eastAsia="Arial" w:cs="Arial"/>
          <w:b/>
          <w:bCs/>
          <w:i/>
          <w:iCs/>
          <w:sz w:val="24"/>
          <w:szCs w:val="24"/>
        </w:rPr>
        <w:t xml:space="preserve">Figure </w:t>
      </w:r>
      <w:r w:rsidR="00024943" w:rsidRPr="006E5117">
        <w:rPr>
          <w:rFonts w:eastAsia="Arial" w:cs="Arial"/>
          <w:b/>
          <w:bCs/>
          <w:i/>
          <w:iCs/>
          <w:sz w:val="24"/>
          <w:szCs w:val="24"/>
        </w:rPr>
        <w:t>3</w:t>
      </w:r>
      <w:r w:rsidRPr="006E5117">
        <w:rPr>
          <w:rFonts w:eastAsia="Arial" w:cs="Arial"/>
          <w:i/>
          <w:iCs/>
          <w:sz w:val="24"/>
          <w:szCs w:val="24"/>
        </w:rPr>
        <w:t xml:space="preserve"> </w:t>
      </w:r>
      <w:r w:rsidRPr="006E5117">
        <w:rPr>
          <w:rFonts w:cs="Arial"/>
          <w:i/>
          <w:iCs/>
          <w:sz w:val="24"/>
          <w:szCs w:val="24"/>
        </w:rPr>
        <w:t xml:space="preserve">PRISMA flow-charts detailing: </w:t>
      </w:r>
      <w:r w:rsidRPr="006E5117">
        <w:rPr>
          <w:rFonts w:cs="Arial"/>
          <w:b/>
          <w:bCs/>
          <w:i/>
          <w:iCs/>
          <w:sz w:val="24"/>
          <w:szCs w:val="24"/>
        </w:rPr>
        <w:t>a.</w:t>
      </w:r>
      <w:r w:rsidRPr="006E5117">
        <w:rPr>
          <w:rFonts w:cs="Arial"/>
          <w:i/>
          <w:iCs/>
          <w:sz w:val="24"/>
          <w:szCs w:val="24"/>
        </w:rPr>
        <w:t xml:space="preserve"> results of systematic review of population pharmacokinetic studies for </w:t>
      </w:r>
      <w:proofErr w:type="spellStart"/>
      <w:r w:rsidRPr="006E5117">
        <w:rPr>
          <w:rFonts w:cs="Arial"/>
          <w:i/>
          <w:iCs/>
          <w:sz w:val="24"/>
          <w:szCs w:val="24"/>
        </w:rPr>
        <w:t>AWaRe</w:t>
      </w:r>
      <w:proofErr w:type="spellEnd"/>
      <w:r w:rsidRPr="006E5117">
        <w:rPr>
          <w:rFonts w:cs="Arial"/>
          <w:i/>
          <w:iCs/>
          <w:sz w:val="24"/>
          <w:szCs w:val="24"/>
        </w:rPr>
        <w:t xml:space="preserve"> Book PHC agents, </w:t>
      </w:r>
      <w:r w:rsidRPr="006E5117">
        <w:rPr>
          <w:rFonts w:cs="Arial"/>
          <w:b/>
          <w:bCs/>
          <w:i/>
          <w:iCs/>
          <w:sz w:val="24"/>
          <w:szCs w:val="24"/>
        </w:rPr>
        <w:t>b.</w:t>
      </w:r>
      <w:r w:rsidRPr="006E5117">
        <w:rPr>
          <w:rFonts w:cs="Arial"/>
          <w:i/>
          <w:iCs/>
          <w:sz w:val="24"/>
          <w:szCs w:val="24"/>
        </w:rPr>
        <w:t xml:space="preserve"> results of systematic review of pharmacodynamic targets for </w:t>
      </w:r>
      <w:proofErr w:type="spellStart"/>
      <w:r w:rsidRPr="006E5117">
        <w:rPr>
          <w:rFonts w:cs="Arial"/>
          <w:i/>
          <w:iCs/>
          <w:sz w:val="24"/>
          <w:szCs w:val="24"/>
        </w:rPr>
        <w:t>AWaRe</w:t>
      </w:r>
      <w:proofErr w:type="spellEnd"/>
      <w:r w:rsidRPr="006E5117">
        <w:rPr>
          <w:rFonts w:cs="Arial"/>
          <w:i/>
          <w:iCs/>
          <w:sz w:val="24"/>
          <w:szCs w:val="24"/>
        </w:rPr>
        <w:t xml:space="preserve"> Book PHC agents.</w:t>
      </w:r>
    </w:p>
    <w:p w14:paraId="5D47F3B8" w14:textId="50996892" w:rsidR="005F64A1" w:rsidRDefault="005F64A1" w:rsidP="00D678CF">
      <w:pPr>
        <w:spacing w:line="480" w:lineRule="auto"/>
        <w:jc w:val="both"/>
        <w:rPr>
          <w:rFonts w:eastAsia="Arial" w:cs="Arial"/>
        </w:rPr>
      </w:pPr>
    </w:p>
    <w:p w14:paraId="3718B0C8" w14:textId="644974C4" w:rsidR="007118E0" w:rsidRDefault="007118E0" w:rsidP="00D678CF">
      <w:pPr>
        <w:pStyle w:val="Heading2"/>
        <w:spacing w:line="480" w:lineRule="auto"/>
      </w:pPr>
      <w:bookmarkStart w:id="9" w:name="_Toc154184988"/>
      <w:r w:rsidRPr="6A4AE598">
        <w:t xml:space="preserve">Studies reporting optimal </w:t>
      </w:r>
      <w:r w:rsidR="0083316C" w:rsidRPr="00C31DA5">
        <w:t>pharmacodynamic</w:t>
      </w:r>
      <w:r w:rsidRPr="6A4AE598">
        <w:t xml:space="preserve"> target </w:t>
      </w:r>
      <w:proofErr w:type="gramStart"/>
      <w:r w:rsidRPr="6A4AE598">
        <w:t>magnitude</w:t>
      </w:r>
      <w:bookmarkEnd w:id="9"/>
      <w:proofErr w:type="gramEnd"/>
    </w:p>
    <w:p w14:paraId="4942B3CF" w14:textId="2AE52BD0" w:rsidR="007118E0" w:rsidRPr="00D678CF" w:rsidRDefault="007118E0" w:rsidP="00D678CF">
      <w:pPr>
        <w:spacing w:after="280" w:line="480" w:lineRule="auto"/>
        <w:jc w:val="both"/>
        <w:rPr>
          <w:rFonts w:eastAsia="Arial" w:cs="Arial"/>
          <w:sz w:val="24"/>
          <w:szCs w:val="24"/>
        </w:rPr>
      </w:pPr>
      <w:r w:rsidRPr="00D678CF">
        <w:rPr>
          <w:rFonts w:eastAsia="Arial" w:cs="Arial"/>
          <w:sz w:val="24"/>
          <w:szCs w:val="24"/>
        </w:rPr>
        <w:t xml:space="preserve">Utilising the same databases listed </w:t>
      </w:r>
      <w:r w:rsidR="00124CCD">
        <w:rPr>
          <w:rFonts w:eastAsia="Arial" w:cs="Arial"/>
          <w:sz w:val="24"/>
          <w:szCs w:val="24"/>
        </w:rPr>
        <w:t>above</w:t>
      </w:r>
      <w:r w:rsidRPr="00D678CF">
        <w:rPr>
          <w:rFonts w:eastAsia="Arial" w:cs="Arial"/>
          <w:sz w:val="24"/>
          <w:szCs w:val="24"/>
        </w:rPr>
        <w:t xml:space="preserve">, articles published on </w:t>
      </w:r>
      <w:r w:rsidR="33945614" w:rsidRPr="00D678CF">
        <w:rPr>
          <w:rFonts w:eastAsia="Arial" w:cs="Arial"/>
          <w:sz w:val="24"/>
          <w:szCs w:val="24"/>
        </w:rPr>
        <w:t xml:space="preserve">the </w:t>
      </w:r>
      <w:r w:rsidR="00124CCD">
        <w:rPr>
          <w:rFonts w:eastAsia="Arial" w:cs="Arial"/>
          <w:sz w:val="24"/>
          <w:szCs w:val="24"/>
        </w:rPr>
        <w:t xml:space="preserve">same </w:t>
      </w:r>
      <w:r w:rsidR="33945614" w:rsidRPr="00D678CF">
        <w:rPr>
          <w:rFonts w:eastAsia="Arial" w:cs="Arial"/>
          <w:sz w:val="24"/>
          <w:szCs w:val="24"/>
        </w:rPr>
        <w:t xml:space="preserve">27 </w:t>
      </w:r>
      <w:r w:rsidRPr="00D678CF">
        <w:rPr>
          <w:rFonts w:eastAsia="Arial" w:cs="Arial"/>
          <w:sz w:val="24"/>
          <w:szCs w:val="24"/>
        </w:rPr>
        <w:t xml:space="preserve">PHC </w:t>
      </w:r>
      <w:proofErr w:type="spellStart"/>
      <w:r w:rsidRPr="00D678CF">
        <w:rPr>
          <w:rFonts w:eastAsia="Arial" w:cs="Arial"/>
          <w:sz w:val="24"/>
          <w:szCs w:val="24"/>
        </w:rPr>
        <w:t>AWaRe</w:t>
      </w:r>
      <w:proofErr w:type="spellEnd"/>
      <w:r w:rsidRPr="00D678CF">
        <w:rPr>
          <w:rFonts w:eastAsia="Arial" w:cs="Arial"/>
          <w:sz w:val="24"/>
          <w:szCs w:val="24"/>
        </w:rPr>
        <w:t xml:space="preserve"> Book antibiotics (antibiotic search terms found in </w:t>
      </w:r>
      <w:r w:rsidR="00124CCD">
        <w:rPr>
          <w:rFonts w:eastAsia="Arial" w:cs="Arial"/>
          <w:sz w:val="24"/>
          <w:szCs w:val="24"/>
        </w:rPr>
        <w:t>Table</w:t>
      </w:r>
      <w:r w:rsidRPr="00D678CF">
        <w:rPr>
          <w:rFonts w:eastAsia="Arial" w:cs="Arial"/>
          <w:sz w:val="24"/>
          <w:szCs w:val="24"/>
        </w:rPr>
        <w:t xml:space="preserve"> </w:t>
      </w:r>
      <w:r w:rsidR="00124CCD">
        <w:rPr>
          <w:rFonts w:eastAsia="Arial" w:cs="Arial"/>
          <w:sz w:val="24"/>
          <w:szCs w:val="24"/>
        </w:rPr>
        <w:t>S</w:t>
      </w:r>
      <w:r w:rsidRPr="00D678CF">
        <w:rPr>
          <w:rFonts w:eastAsia="Arial" w:cs="Arial"/>
          <w:sz w:val="24"/>
          <w:szCs w:val="24"/>
        </w:rPr>
        <w:t>1) from database inception until 05/03/23 meeting the search criteria below were compiled.</w:t>
      </w:r>
    </w:p>
    <w:p w14:paraId="1EF8ED29" w14:textId="13AD1D47" w:rsidR="007118E0" w:rsidRPr="00D678CF" w:rsidRDefault="00DE0260" w:rsidP="00D678CF">
      <w:pPr>
        <w:spacing w:after="280" w:line="480" w:lineRule="auto"/>
        <w:jc w:val="both"/>
        <w:rPr>
          <w:rFonts w:eastAsia="Arial" w:cs="Arial"/>
          <w:sz w:val="24"/>
          <w:szCs w:val="24"/>
        </w:rPr>
      </w:pPr>
      <w:r w:rsidRPr="00D678CF">
        <w:rPr>
          <w:rFonts w:eastAsia="Arial" w:cs="Arial"/>
          <w:sz w:val="24"/>
          <w:szCs w:val="24"/>
        </w:rPr>
        <w:t>The s</w:t>
      </w:r>
      <w:r w:rsidR="007118E0" w:rsidRPr="00D678CF">
        <w:rPr>
          <w:rFonts w:eastAsia="Arial" w:cs="Arial"/>
          <w:sz w:val="24"/>
          <w:szCs w:val="24"/>
        </w:rPr>
        <w:t xml:space="preserve">earch terms </w:t>
      </w:r>
      <w:r w:rsidRPr="00D678CF">
        <w:rPr>
          <w:rFonts w:eastAsia="Arial" w:cs="Arial"/>
          <w:sz w:val="24"/>
          <w:szCs w:val="24"/>
        </w:rPr>
        <w:t>used were as follows</w:t>
      </w:r>
      <w:r w:rsidR="007118E0" w:rsidRPr="00D678CF">
        <w:rPr>
          <w:rFonts w:eastAsia="Arial" w:cs="Arial"/>
          <w:sz w:val="24"/>
          <w:szCs w:val="24"/>
        </w:rPr>
        <w:t xml:space="preserve">: </w:t>
      </w:r>
    </w:p>
    <w:p w14:paraId="4EAEF305" w14:textId="77777777" w:rsidR="007118E0" w:rsidRPr="00D678CF" w:rsidRDefault="007118E0" w:rsidP="00D678CF">
      <w:pPr>
        <w:spacing w:after="280" w:line="480" w:lineRule="auto"/>
        <w:jc w:val="both"/>
        <w:rPr>
          <w:rFonts w:eastAsia="Arial" w:cs="Arial"/>
          <w:sz w:val="24"/>
          <w:szCs w:val="24"/>
        </w:rPr>
      </w:pPr>
      <w:r w:rsidRPr="00D678CF">
        <w:rPr>
          <w:rFonts w:eastAsia="Arial" w:cs="Arial"/>
          <w:sz w:val="24"/>
          <w:szCs w:val="24"/>
        </w:rPr>
        <w:lastRenderedPageBreak/>
        <w:t>(“pharmacokinetic/pharmacodynamic” OR “pharmacokinetic-pharmacodynamic” OR “PK-PD” OR “PK-PD” OR pharmacodynamic OR PD) AND (target OR index OR indices) AND (</w:t>
      </w:r>
      <w:r w:rsidRPr="00D678CF">
        <w:rPr>
          <w:rFonts w:eastAsia="Arial" w:cs="Arial"/>
          <w:b/>
          <w:bCs/>
          <w:sz w:val="24"/>
          <w:szCs w:val="24"/>
        </w:rPr>
        <w:t>&lt;ANTIBIOTIC SEARCH TERMS&gt;</w:t>
      </w:r>
      <w:r w:rsidRPr="00D678CF">
        <w:rPr>
          <w:rFonts w:eastAsia="Arial" w:cs="Arial"/>
          <w:sz w:val="24"/>
          <w:szCs w:val="24"/>
        </w:rPr>
        <w:t>)</w:t>
      </w:r>
    </w:p>
    <w:p w14:paraId="28ADD857" w14:textId="2EADFFF1" w:rsidR="007118E0" w:rsidRPr="00D678CF" w:rsidRDefault="007118E0" w:rsidP="00D678CF">
      <w:pPr>
        <w:spacing w:after="280" w:line="480" w:lineRule="auto"/>
        <w:jc w:val="both"/>
        <w:rPr>
          <w:rFonts w:eastAsia="Arial" w:cs="Arial"/>
          <w:sz w:val="24"/>
          <w:szCs w:val="24"/>
        </w:rPr>
      </w:pPr>
      <w:r w:rsidRPr="00D678CF">
        <w:rPr>
          <w:rFonts w:eastAsia="Arial" w:cs="Arial"/>
          <w:sz w:val="24"/>
          <w:szCs w:val="24"/>
        </w:rPr>
        <w:t xml:space="preserve">Automatic and manual deduplication using Rayyan and subsequent screening against selection criteria yielded 880 unique articles on any PHC </w:t>
      </w:r>
      <w:r w:rsidR="093103B3" w:rsidRPr="00D678CF">
        <w:rPr>
          <w:rFonts w:eastAsia="Arial" w:cs="Arial"/>
          <w:sz w:val="24"/>
          <w:szCs w:val="24"/>
        </w:rPr>
        <w:t xml:space="preserve">oral </w:t>
      </w:r>
      <w:proofErr w:type="spellStart"/>
      <w:r w:rsidRPr="00D678CF">
        <w:rPr>
          <w:rFonts w:eastAsia="Arial" w:cs="Arial"/>
          <w:sz w:val="24"/>
          <w:szCs w:val="24"/>
        </w:rPr>
        <w:t>AWaRe</w:t>
      </w:r>
      <w:proofErr w:type="spellEnd"/>
      <w:r w:rsidRPr="00D678CF">
        <w:rPr>
          <w:rFonts w:eastAsia="Arial" w:cs="Arial"/>
          <w:sz w:val="24"/>
          <w:szCs w:val="24"/>
        </w:rPr>
        <w:t xml:space="preserve"> Book </w:t>
      </w:r>
      <w:r w:rsidR="2E1D2F29" w:rsidRPr="00D678CF">
        <w:rPr>
          <w:rFonts w:eastAsia="Arial" w:cs="Arial"/>
          <w:sz w:val="24"/>
          <w:szCs w:val="24"/>
        </w:rPr>
        <w:t>antibiotic</w:t>
      </w:r>
      <w:r w:rsidRPr="00D678CF">
        <w:rPr>
          <w:rFonts w:eastAsia="Arial" w:cs="Arial"/>
          <w:sz w:val="24"/>
          <w:szCs w:val="24"/>
        </w:rPr>
        <w:t xml:space="preserve"> (Figure </w:t>
      </w:r>
      <w:r w:rsidR="00024943" w:rsidRPr="00D678CF">
        <w:rPr>
          <w:rFonts w:eastAsia="Arial" w:cs="Arial"/>
          <w:sz w:val="24"/>
          <w:szCs w:val="24"/>
        </w:rPr>
        <w:t>3</w:t>
      </w:r>
      <w:r w:rsidRPr="00D678CF">
        <w:rPr>
          <w:rFonts w:eastAsia="Arial" w:cs="Arial"/>
          <w:sz w:val="24"/>
          <w:szCs w:val="24"/>
        </w:rPr>
        <w:t>b). Studies were reviewed in Rayyan and tagged with the appropriate antibiotic agent or class. A subset of these articles (n=10) (</w:t>
      </w:r>
      <w:r w:rsidR="00124CCD">
        <w:rPr>
          <w:rFonts w:eastAsia="Arial" w:cs="Arial"/>
          <w:sz w:val="24"/>
          <w:szCs w:val="24"/>
        </w:rPr>
        <w:t>Table</w:t>
      </w:r>
      <w:r w:rsidRPr="00D678CF">
        <w:rPr>
          <w:rFonts w:eastAsia="Arial" w:cs="Arial"/>
          <w:sz w:val="24"/>
          <w:szCs w:val="24"/>
        </w:rPr>
        <w:t xml:space="preserve"> </w:t>
      </w:r>
      <w:r w:rsidR="00124CCD">
        <w:rPr>
          <w:rFonts w:eastAsia="Arial" w:cs="Arial"/>
          <w:sz w:val="24"/>
          <w:szCs w:val="24"/>
        </w:rPr>
        <w:t>S</w:t>
      </w:r>
      <w:r w:rsidRPr="00D678CF">
        <w:rPr>
          <w:rFonts w:eastAsia="Arial" w:cs="Arial"/>
          <w:sz w:val="24"/>
          <w:szCs w:val="24"/>
        </w:rPr>
        <w:t xml:space="preserve">4), consisting of only those featuring </w:t>
      </w:r>
      <w:r w:rsidR="001B18E2" w:rsidRPr="00D678CF">
        <w:rPr>
          <w:rFonts w:eastAsia="Arial" w:cs="Arial"/>
          <w:sz w:val="24"/>
          <w:szCs w:val="24"/>
        </w:rPr>
        <w:t>ß</w:t>
      </w:r>
      <w:r w:rsidRPr="00D678CF">
        <w:rPr>
          <w:rFonts w:eastAsia="Arial" w:cs="Arial"/>
          <w:sz w:val="24"/>
          <w:szCs w:val="24"/>
        </w:rPr>
        <w:t xml:space="preserve">-lactam antibiotics, published in the years 2022 or 2023, </w:t>
      </w:r>
      <w:r w:rsidR="005B557F" w:rsidRPr="00D678CF">
        <w:rPr>
          <w:rFonts w:eastAsia="Arial" w:cs="Arial"/>
          <w:sz w:val="24"/>
          <w:szCs w:val="24"/>
        </w:rPr>
        <w:t>was</w:t>
      </w:r>
      <w:r w:rsidR="009077D9" w:rsidRPr="00D678CF">
        <w:rPr>
          <w:rFonts w:eastAsia="Arial" w:cs="Arial"/>
          <w:sz w:val="24"/>
          <w:szCs w:val="24"/>
        </w:rPr>
        <w:t xml:space="preserve"> used</w:t>
      </w:r>
      <w:r w:rsidR="00A4018D" w:rsidRPr="00D678CF">
        <w:rPr>
          <w:rFonts w:eastAsia="Arial" w:cs="Arial"/>
          <w:sz w:val="24"/>
          <w:szCs w:val="24"/>
        </w:rPr>
        <w:t xml:space="preserve"> as a starting corpus to </w:t>
      </w:r>
      <w:r w:rsidR="0035052A" w:rsidRPr="00D678CF">
        <w:rPr>
          <w:rFonts w:eastAsia="Arial" w:cs="Arial"/>
          <w:sz w:val="24"/>
          <w:szCs w:val="24"/>
        </w:rPr>
        <w:t xml:space="preserve">establish pharmacodynamic target magnitudes within the literature and trace their experimental sources through </w:t>
      </w:r>
      <w:r w:rsidR="00652C1E" w:rsidRPr="00D678CF">
        <w:rPr>
          <w:rFonts w:eastAsia="Arial" w:cs="Arial"/>
          <w:sz w:val="24"/>
          <w:szCs w:val="24"/>
        </w:rPr>
        <w:t xml:space="preserve">review of citations. This subset was selected </w:t>
      </w:r>
      <w:r w:rsidR="000A3AD9" w:rsidRPr="00D678CF">
        <w:rPr>
          <w:rFonts w:eastAsia="Arial" w:cs="Arial"/>
          <w:sz w:val="24"/>
          <w:szCs w:val="24"/>
        </w:rPr>
        <w:t xml:space="preserve">both </w:t>
      </w:r>
      <w:r w:rsidR="00652C1E" w:rsidRPr="00D678CF">
        <w:rPr>
          <w:rFonts w:eastAsia="Arial" w:cs="Arial"/>
          <w:sz w:val="24"/>
          <w:szCs w:val="24"/>
        </w:rPr>
        <w:t xml:space="preserve">due to the strategic importance of </w:t>
      </w:r>
      <w:r w:rsidR="001B18E2" w:rsidRPr="00D678CF">
        <w:rPr>
          <w:rFonts w:eastAsia="Arial" w:cs="Arial"/>
          <w:sz w:val="24"/>
          <w:szCs w:val="24"/>
        </w:rPr>
        <w:t>ß</w:t>
      </w:r>
      <w:r w:rsidR="00652C1E" w:rsidRPr="00D678CF">
        <w:rPr>
          <w:rFonts w:eastAsia="Arial" w:cs="Arial"/>
          <w:sz w:val="24"/>
          <w:szCs w:val="24"/>
        </w:rPr>
        <w:t xml:space="preserve">-lactam antibiotics in treating PHC infection, and additionally, given the </w:t>
      </w:r>
      <w:r w:rsidR="009C2BCA" w:rsidRPr="00D678CF">
        <w:rPr>
          <w:rFonts w:eastAsia="Arial" w:cs="Arial"/>
          <w:sz w:val="24"/>
          <w:szCs w:val="24"/>
        </w:rPr>
        <w:t>immediacy</w:t>
      </w:r>
      <w:r w:rsidR="00652C1E" w:rsidRPr="00D678CF">
        <w:rPr>
          <w:rFonts w:eastAsia="Arial" w:cs="Arial"/>
          <w:sz w:val="24"/>
          <w:szCs w:val="24"/>
        </w:rPr>
        <w:t xml:space="preserve"> of these articles, </w:t>
      </w:r>
      <w:r w:rsidR="000A3AD9" w:rsidRPr="00D678CF">
        <w:rPr>
          <w:rFonts w:eastAsia="Arial" w:cs="Arial"/>
          <w:sz w:val="24"/>
          <w:szCs w:val="24"/>
        </w:rPr>
        <w:t>it was expected that these would cover publications that may not yet have been reference</w:t>
      </w:r>
      <w:r w:rsidR="009C2BCA" w:rsidRPr="00D678CF">
        <w:rPr>
          <w:rFonts w:eastAsia="Arial" w:cs="Arial"/>
          <w:sz w:val="24"/>
          <w:szCs w:val="24"/>
        </w:rPr>
        <w:t>d</w:t>
      </w:r>
      <w:r w:rsidR="000A3AD9" w:rsidRPr="00D678CF">
        <w:rPr>
          <w:rFonts w:eastAsia="Arial" w:cs="Arial"/>
          <w:sz w:val="24"/>
          <w:szCs w:val="24"/>
        </w:rPr>
        <w:t xml:space="preserve"> elsewhere, whilst still generating a tree of historical publications where a pharmacodynamic target was derived</w:t>
      </w:r>
      <w:r w:rsidR="00334781" w:rsidRPr="00D678CF">
        <w:rPr>
          <w:rFonts w:eastAsia="Arial" w:cs="Arial"/>
          <w:sz w:val="24"/>
          <w:szCs w:val="24"/>
        </w:rPr>
        <w:t xml:space="preserve">. </w:t>
      </w:r>
      <w:r w:rsidRPr="00D678CF">
        <w:rPr>
          <w:rFonts w:eastAsia="Arial" w:cs="Arial"/>
          <w:sz w:val="24"/>
          <w:szCs w:val="24"/>
        </w:rPr>
        <w:t xml:space="preserve">A Python </w:t>
      </w:r>
      <w:r w:rsidR="6EFD0990" w:rsidRPr="00D678CF">
        <w:rPr>
          <w:rFonts w:eastAsia="Arial" w:cs="Arial"/>
          <w:sz w:val="24"/>
          <w:szCs w:val="24"/>
        </w:rPr>
        <w:t>algorithm</w:t>
      </w:r>
      <w:r w:rsidRPr="00D678CF">
        <w:rPr>
          <w:rFonts w:eastAsia="Arial" w:cs="Arial"/>
          <w:sz w:val="24"/>
          <w:szCs w:val="24"/>
        </w:rPr>
        <w:t xml:space="preserve"> (v.3.11.4) was then used to graphically demonstrate connections between articles featuring a </w:t>
      </w:r>
      <w:r w:rsidR="0083316C" w:rsidRPr="00D678CF">
        <w:rPr>
          <w:rFonts w:eastAsia="Arial" w:cs="Arial"/>
          <w:sz w:val="24"/>
          <w:szCs w:val="24"/>
        </w:rPr>
        <w:t>pharmacodynamic</w:t>
      </w:r>
      <w:r w:rsidRPr="00D678CF">
        <w:rPr>
          <w:rFonts w:eastAsia="Arial" w:cs="Arial"/>
          <w:sz w:val="24"/>
          <w:szCs w:val="24"/>
        </w:rPr>
        <w:t xml:space="preserve"> target magnitude. </w:t>
      </w:r>
      <w:r w:rsidR="00334781" w:rsidRPr="00D678CF">
        <w:rPr>
          <w:rFonts w:eastAsia="Arial" w:cs="Arial"/>
          <w:sz w:val="24"/>
          <w:szCs w:val="24"/>
        </w:rPr>
        <w:t>All articles within the tree-like network</w:t>
      </w:r>
      <w:r w:rsidRPr="00D678CF">
        <w:rPr>
          <w:rFonts w:eastAsia="Arial" w:cs="Arial"/>
          <w:sz w:val="24"/>
          <w:szCs w:val="24"/>
        </w:rPr>
        <w:t xml:space="preserve"> </w:t>
      </w:r>
      <w:r w:rsidR="00334781" w:rsidRPr="00D678CF">
        <w:rPr>
          <w:rFonts w:eastAsia="Arial" w:cs="Arial"/>
          <w:sz w:val="24"/>
          <w:szCs w:val="24"/>
        </w:rPr>
        <w:t xml:space="preserve">where a pharmacodynamic target magnitude was experimentally or clinically determined were </w:t>
      </w:r>
      <w:r w:rsidR="002A11D1" w:rsidRPr="00D678CF">
        <w:rPr>
          <w:rFonts w:eastAsia="Arial" w:cs="Arial"/>
          <w:sz w:val="24"/>
          <w:szCs w:val="24"/>
        </w:rPr>
        <w:t xml:space="preserve">then </w:t>
      </w:r>
      <w:r w:rsidR="00334781" w:rsidRPr="00D678CF">
        <w:rPr>
          <w:rFonts w:eastAsia="Arial" w:cs="Arial"/>
          <w:sz w:val="24"/>
          <w:szCs w:val="24"/>
        </w:rPr>
        <w:t>reviewed in full</w:t>
      </w:r>
      <w:r w:rsidR="002A11D1" w:rsidRPr="00D678CF">
        <w:rPr>
          <w:rFonts w:eastAsia="Arial" w:cs="Arial"/>
          <w:sz w:val="24"/>
          <w:szCs w:val="24"/>
        </w:rPr>
        <w:t xml:space="preserve"> and their methodology and results were tabulated </w:t>
      </w:r>
      <w:r w:rsidR="00CE5AAD">
        <w:rPr>
          <w:rFonts w:eastAsia="Arial" w:cs="Arial"/>
          <w:sz w:val="24"/>
          <w:szCs w:val="24"/>
        </w:rPr>
        <w:t>(Table 2).</w:t>
      </w:r>
    </w:p>
    <w:p w14:paraId="7E326A4F" w14:textId="77777777" w:rsidR="005202BB" w:rsidRDefault="005202BB" w:rsidP="00D678CF">
      <w:pPr>
        <w:spacing w:after="280" w:line="480" w:lineRule="auto"/>
        <w:jc w:val="both"/>
        <w:rPr>
          <w:rFonts w:eastAsia="Arial" w:cs="Arial"/>
        </w:rPr>
      </w:pPr>
    </w:p>
    <w:p w14:paraId="30514D0F" w14:textId="3B5DC5B1" w:rsidR="007118E0" w:rsidRPr="00D678CF" w:rsidRDefault="000B3610" w:rsidP="00D678CF">
      <w:pPr>
        <w:pStyle w:val="Heading1"/>
        <w:spacing w:line="480" w:lineRule="auto"/>
        <w:rPr>
          <w:rFonts w:cs="Times New Roman (Headings CS)"/>
          <w:caps/>
        </w:rPr>
      </w:pPr>
      <w:bookmarkStart w:id="10" w:name="_Toc154184989"/>
      <w:r w:rsidRPr="00D678CF">
        <w:rPr>
          <w:rFonts w:cs="Times New Roman (Headings CS)"/>
          <w:caps/>
        </w:rPr>
        <w:lastRenderedPageBreak/>
        <w:t xml:space="preserve">Results of systematic </w:t>
      </w:r>
      <w:r w:rsidR="00B77EAE">
        <w:rPr>
          <w:rFonts w:cs="Times New Roman (Headings CS)"/>
          <w:caps/>
        </w:rPr>
        <w:t>&amp;</w:t>
      </w:r>
      <w:r w:rsidRPr="00D678CF">
        <w:rPr>
          <w:rFonts w:cs="Times New Roman (Headings CS)"/>
          <w:caps/>
        </w:rPr>
        <w:t xml:space="preserve"> database reviews</w:t>
      </w:r>
      <w:bookmarkEnd w:id="10"/>
    </w:p>
    <w:p w14:paraId="5C887642" w14:textId="0A2234F3" w:rsidR="007118E0" w:rsidRPr="005E34FC" w:rsidRDefault="000B3610" w:rsidP="00D678CF">
      <w:pPr>
        <w:pStyle w:val="Heading2"/>
        <w:spacing w:line="480" w:lineRule="auto"/>
      </w:pPr>
      <w:bookmarkStart w:id="11" w:name="_Toc154184990"/>
      <w:r>
        <w:t>S</w:t>
      </w:r>
      <w:r w:rsidR="484FD49D" w:rsidRPr="6A4AE598">
        <w:t>ystematic</w:t>
      </w:r>
      <w:r w:rsidR="00C42C69" w:rsidRPr="6A4AE598">
        <w:t xml:space="preserve"> review</w:t>
      </w:r>
      <w:r w:rsidR="009747A3" w:rsidRPr="6A4AE598">
        <w:t xml:space="preserve"> of </w:t>
      </w:r>
      <w:proofErr w:type="spellStart"/>
      <w:r w:rsidR="009747A3" w:rsidRPr="6A4AE598">
        <w:t>PopPK</w:t>
      </w:r>
      <w:proofErr w:type="spellEnd"/>
      <w:r w:rsidR="6BBB5106" w:rsidRPr="6A4AE598">
        <w:t xml:space="preserve"> studies</w:t>
      </w:r>
      <w:bookmarkEnd w:id="11"/>
    </w:p>
    <w:p w14:paraId="18815671" w14:textId="1D16A403" w:rsidR="001C5750" w:rsidRPr="00D678CF" w:rsidRDefault="00CA1534" w:rsidP="00D678CF">
      <w:pPr>
        <w:spacing w:line="480" w:lineRule="auto"/>
        <w:jc w:val="both"/>
        <w:rPr>
          <w:rFonts w:eastAsia="Arial" w:cs="Arial"/>
          <w:sz w:val="24"/>
          <w:szCs w:val="24"/>
        </w:rPr>
      </w:pPr>
      <w:r w:rsidRPr="00D678CF">
        <w:rPr>
          <w:rFonts w:eastAsia="Arial" w:cs="Arial"/>
          <w:sz w:val="24"/>
          <w:szCs w:val="24"/>
        </w:rPr>
        <w:t xml:space="preserve">A total of </w:t>
      </w:r>
      <w:r w:rsidR="007118E0" w:rsidRPr="00D678CF">
        <w:rPr>
          <w:rFonts w:eastAsia="Arial" w:cs="Arial"/>
          <w:sz w:val="24"/>
          <w:szCs w:val="24"/>
        </w:rPr>
        <w:t xml:space="preserve">192 </w:t>
      </w:r>
      <w:proofErr w:type="spellStart"/>
      <w:r w:rsidR="007118E0" w:rsidRPr="00D678CF">
        <w:rPr>
          <w:rFonts w:eastAsia="Arial" w:cs="Arial"/>
          <w:sz w:val="24"/>
          <w:szCs w:val="24"/>
        </w:rPr>
        <w:t>PopPK</w:t>
      </w:r>
      <w:proofErr w:type="spellEnd"/>
      <w:r w:rsidR="007118E0" w:rsidRPr="00D678CF">
        <w:rPr>
          <w:rFonts w:eastAsia="Arial" w:cs="Arial"/>
          <w:sz w:val="24"/>
          <w:szCs w:val="24"/>
        </w:rPr>
        <w:t xml:space="preserve"> studies met the inclusion criteria (Figure </w:t>
      </w:r>
      <w:r w:rsidR="00024943" w:rsidRPr="00D678CF">
        <w:rPr>
          <w:rFonts w:eastAsia="Arial" w:cs="Arial"/>
          <w:sz w:val="24"/>
          <w:szCs w:val="24"/>
        </w:rPr>
        <w:t>3</w:t>
      </w:r>
      <w:r w:rsidR="007118E0" w:rsidRPr="00D678CF">
        <w:rPr>
          <w:rFonts w:eastAsia="Arial" w:cs="Arial"/>
          <w:sz w:val="24"/>
          <w:szCs w:val="24"/>
        </w:rPr>
        <w:t xml:space="preserve">a). </w:t>
      </w:r>
      <w:r w:rsidR="008471E4" w:rsidRPr="00D678CF">
        <w:rPr>
          <w:rFonts w:eastAsia="Arial" w:cs="Arial"/>
          <w:sz w:val="24"/>
          <w:szCs w:val="24"/>
        </w:rPr>
        <w:t xml:space="preserve">Amoxicillin and amoxicillin-clavulanate (co-amoxiclav) </w:t>
      </w:r>
      <w:r w:rsidR="00A0585F">
        <w:rPr>
          <w:rFonts w:eastAsia="Arial" w:cs="Arial"/>
          <w:sz w:val="24"/>
          <w:szCs w:val="24"/>
        </w:rPr>
        <w:t>we</w:t>
      </w:r>
      <w:r w:rsidR="00A0585F" w:rsidRPr="00D678CF">
        <w:rPr>
          <w:rFonts w:eastAsia="Arial" w:cs="Arial"/>
          <w:sz w:val="24"/>
          <w:szCs w:val="24"/>
        </w:rPr>
        <w:t xml:space="preserve">re </w:t>
      </w:r>
      <w:r w:rsidR="008471E4" w:rsidRPr="00D678CF">
        <w:rPr>
          <w:rFonts w:eastAsia="Arial" w:cs="Arial"/>
          <w:sz w:val="24"/>
          <w:szCs w:val="24"/>
        </w:rPr>
        <w:t>the most frequently used antibiotics in most countries</w:t>
      </w:r>
      <w:r w:rsidR="00A0585F">
        <w:rPr>
          <w:rFonts w:eastAsia="Arial" w:cs="Arial"/>
          <w:sz w:val="24"/>
          <w:szCs w:val="24"/>
        </w:rPr>
        <w:t xml:space="preserve"> </w:t>
      </w:r>
      <w:r w:rsidR="002425A2">
        <w:rPr>
          <w:rFonts w:eastAsia="Arial" w:cs="Arial"/>
          <w:sz w:val="24"/>
          <w:szCs w:val="24"/>
        </w:rPr>
        <w:fldChar w:fldCharType="begin"/>
      </w:r>
      <w:r w:rsidR="00F561F3">
        <w:rPr>
          <w:rFonts w:eastAsia="Arial" w:cs="Arial"/>
          <w:sz w:val="24"/>
          <w:szCs w:val="24"/>
        </w:rPr>
        <w:instrText xml:space="preserve"> ADDIN ZOTERO_ITEM CSL_CITATION {"citationID":"aWBEFmHU","properties":{"formattedCitation":"(18)","plainCitation":"(18)","noteIndex":0},"citationItems":[{"id":8858,"uris":["http://zotero.org/users/11114586/items/RGZ7IFUN"],"itemData":{"id":8858,"type":"book","event-place":"Geneva","ISBN":"978-92-4-151488-0","language":"en","number-of-pages":"113","publisher":"World Health Organization","publisher-place":"Geneva","source":"WHO IRIS","title":"WHO report on surveillance of antibiotic consumption: 2016-2018 early implementation","title-short":"WHO report on surveillance of antibiotic consumption","URL":"https://apps.who.int/iris/handle/10665/277359","author":[{"literal":"World Health Organization"}],"accessed":{"date-parts":[["2023",8,5]]},"issued":{"date-parts":[["2018"]]}}}],"schema":"https://github.com/citation-style-language/schema/raw/master/csl-citation.json"} </w:instrText>
      </w:r>
      <w:r w:rsidR="002425A2">
        <w:rPr>
          <w:rFonts w:eastAsia="Arial" w:cs="Arial"/>
          <w:sz w:val="24"/>
          <w:szCs w:val="24"/>
        </w:rPr>
        <w:fldChar w:fldCharType="separate"/>
      </w:r>
      <w:r w:rsidR="00F561F3">
        <w:rPr>
          <w:rFonts w:cs="Arial"/>
          <w:sz w:val="24"/>
        </w:rPr>
        <w:t>(18)</w:t>
      </w:r>
      <w:r w:rsidR="002425A2">
        <w:rPr>
          <w:rFonts w:eastAsia="Arial" w:cs="Arial"/>
          <w:sz w:val="24"/>
          <w:szCs w:val="24"/>
        </w:rPr>
        <w:fldChar w:fldCharType="end"/>
      </w:r>
      <w:r w:rsidR="008471E4" w:rsidRPr="00D678CF">
        <w:rPr>
          <w:rFonts w:eastAsia="Arial" w:cs="Arial"/>
          <w:sz w:val="24"/>
          <w:szCs w:val="24"/>
        </w:rPr>
        <w:t xml:space="preserve"> – however, only two studies for oral amoxicillin met the inclusion criteria for this review</w:t>
      </w:r>
      <w:r w:rsidR="00A0585F">
        <w:rPr>
          <w:rFonts w:eastAsia="Arial" w:cs="Arial"/>
          <w:sz w:val="24"/>
          <w:szCs w:val="24"/>
        </w:rPr>
        <w:t xml:space="preserve"> </w:t>
      </w:r>
      <w:r w:rsidR="002425A2">
        <w:rPr>
          <w:rFonts w:eastAsia="Arial" w:cs="Arial"/>
          <w:sz w:val="24"/>
          <w:szCs w:val="24"/>
        </w:rPr>
        <w:fldChar w:fldCharType="begin"/>
      </w:r>
      <w:r w:rsidR="00F561F3">
        <w:rPr>
          <w:rFonts w:eastAsia="Arial" w:cs="Arial"/>
          <w:sz w:val="24"/>
          <w:szCs w:val="24"/>
        </w:rPr>
        <w:instrText xml:space="preserve"> ADDIN ZOTERO_ITEM CSL_CITATION {"citationID":"VAXcH4Md","properties":{"formattedCitation":"(19, 20)","plainCitation":"(19, 20)","noteIndex":0},"citationItems":[{"id":66,"uris":["http://zotero.org/users/11114586/items/JHGSWLLW"],"itemData":{"id":66,"type":"article-journal","abstract":"Objectives: To describe the population pharmacokinetics of oral amoxicillin and to compare the PTA of current dosing regimens. Methods: Two groups, each with 14 healthy male volunteers, received oral amoxicillin/clavulanic acid tablets on two separate days 1 week apart. One group received 875/125 mg twice daily and 500/125 mg three times daily and the other group 500/125 mg twice daily and 250/125 mg three times daily. A total of 1428 amoxicillin blood samples were collected before and after administration. We analysed the concentration-time profiles using a non-compartmental pharmacokinetic method (PKSolver) and a population pharmacokinetic method (NONMEM). The PTA was computed using Monte Carlo simulations for several dosing regimens. Results: AUC0-24 and Cmax increased non-linearly with dose. The final model included the following components: Savic's transit compartment model, Michaelis-Menten absorption, two distribution compartments and first-order elimination. The mean central volume of distribution was 27.7 L and mean clearance was 21.3 L/h. We included variability for the central volume of distribution (34.4%), clearance (25.8%), transit compartment model parameters and Michaelis-Menten absorption parameters. For 40% fT&gt;MIC and &gt;97.5% PTA, the breakpoints were 0.125 mg/L (500 mg twice daily), 0.25 mg/L (250 mg three times daily and 875 mg twice daily), 0.5 mg/L (500 mg three times daily) and 1 mg/L (750, 875 or 1000 mg three times daily and 500 mg four times daily). Conclusions: The amoxicillin absorption rate appears to be saturable. The PTAs of high-dose as well as twice-daily regimens are less favourable than regimens with lower doses and higher frequency.","container-title":"Journal of Antimicrobial Chemotherapy","DOI":"10.1093/jac/dkw226","issue":"10","page":"2909-2917","title":"Non-linear absorption pharmacokinetics of amoxicillin: Consequences for dosing regimens and clinical breakpoints","volume":"71","author":[{"family":"Velde","given":"F.","non-dropping-particle":"de"},{"family":"Winter","given":"B.C.M.","non-dropping-particle":"de"},{"family":"Koch","given":"B.C.P."},{"family":"Gelder","given":"T.","non-dropping-particle":"van"},{"family":"Mouton","given":"J.W."}],"issued":{"date-parts":[["2016"]]}}},{"id":986,"uris":["http://zotero.org/users/11114586/items/QFW5KWJM"],"itemData":{"id":986,"type":"article-journal","abstract":"Cranberry juice consumption is often recommended along with low-dose oral antibiotics for prophylaxis for recurrent urinary tract infection (UTI). Because multiple membrane transporters are involved in the intestinal absorption and renal excretion of β-lactam antibiotics, we evaluated the potential risk of pharmacokinetic interactions between cranberry juice and the β-lactams amoxicillin (amoxicilline) and cefaclor. The amoxicillin-cranberry juice interaction was investigated in 18 healthy women who received on four separate occasions a single oral test dose of amoxicillin at 500 mg and 2 g with or without cranberry juice cocktail (8 oz) according to a crossover design. A parallel cefaclor-cranberry juice interaction study was also conducted in which 500 mg cefaclor was administered with or without cranberry juice cocktail (12 oz). Data were analyzed by noncompartmental methods and nonlinear mixed-effects compartmental modeling. We conclude that the concurrent use of cranberry juice has no significant effect on the extent of oral absorption or the renal clearance of amoxicillin and cefaclor. However, delays in the absorption of amoxicillin and cefaclor were observed. These results suggest that the use of cranberry juice at usual quantities as prophylaxis for UTI is not likely to alter the pharmacokinetics of these two oral antibiotics. Copyright © 2009, American Society for Microbiology. All Rights Reserved.","container-title":"Antimicrobial agents and chemotherapy","DOI":"10.1128/AAC.00774-08","ISSN":"1098-6596","issue":"7","note":"PMID: 19398645\npublisher: Antimicrob Agents Chemother","page":"2725-2732","title":"Effects of cranberry juice on pharmacokinetics of beta-lactam antibiotics following oral administration","volume":"53","author":[{"family":"Li","given":"Meng"},{"family":"Andrew","given":"Marilee A."},{"family":"Wang","given":"Joanne"},{"family":"Salinger","given":"David H."},{"family":"Vicini","given":"Paolo"},{"family":"Grady","given":"Richard W."},{"family":"Phillips","given":"Brian"},{"family":"Shen","given":"Danny D."},{"family":"Anderson","given":"Gail D."}],"issued":{"date-parts":[["2009",7]]}}}],"schema":"https://github.com/citation-style-language/schema/raw/master/csl-citation.json"} </w:instrText>
      </w:r>
      <w:r w:rsidR="002425A2">
        <w:rPr>
          <w:rFonts w:eastAsia="Arial" w:cs="Arial"/>
          <w:sz w:val="24"/>
          <w:szCs w:val="24"/>
        </w:rPr>
        <w:fldChar w:fldCharType="separate"/>
      </w:r>
      <w:r w:rsidR="00F561F3">
        <w:rPr>
          <w:rFonts w:cs="Arial"/>
          <w:sz w:val="24"/>
        </w:rPr>
        <w:t>(19, 20)</w:t>
      </w:r>
      <w:r w:rsidR="002425A2">
        <w:rPr>
          <w:rFonts w:eastAsia="Arial" w:cs="Arial"/>
          <w:sz w:val="24"/>
          <w:szCs w:val="24"/>
        </w:rPr>
        <w:fldChar w:fldCharType="end"/>
      </w:r>
      <w:r w:rsidR="00A0585F">
        <w:rPr>
          <w:rFonts w:eastAsia="Arial" w:cs="Arial"/>
          <w:sz w:val="24"/>
          <w:szCs w:val="24"/>
        </w:rPr>
        <w:t>.</w:t>
      </w:r>
      <w:r w:rsidR="008471E4" w:rsidRPr="00D678CF">
        <w:rPr>
          <w:rFonts w:eastAsia="Arial" w:cs="Arial"/>
          <w:sz w:val="24"/>
          <w:szCs w:val="24"/>
        </w:rPr>
        <w:t xml:space="preserve"> Nitrofurantoin and trimethoprim (without sulfamethoxazole), both of which are recommended first line agents (Figure </w:t>
      </w:r>
      <w:r w:rsidR="00024943" w:rsidRPr="00D678CF">
        <w:rPr>
          <w:rFonts w:eastAsia="Arial" w:cs="Arial"/>
          <w:sz w:val="24"/>
          <w:szCs w:val="24"/>
        </w:rPr>
        <w:t>1</w:t>
      </w:r>
      <w:r w:rsidR="008471E4" w:rsidRPr="00D678CF">
        <w:rPr>
          <w:rFonts w:eastAsia="Arial" w:cs="Arial"/>
          <w:sz w:val="24"/>
          <w:szCs w:val="24"/>
        </w:rPr>
        <w:t xml:space="preserve">), had no published </w:t>
      </w:r>
      <w:proofErr w:type="spellStart"/>
      <w:r w:rsidR="008471E4" w:rsidRPr="00D678CF">
        <w:rPr>
          <w:rFonts w:eastAsia="Arial" w:cs="Arial"/>
          <w:sz w:val="24"/>
          <w:szCs w:val="24"/>
        </w:rPr>
        <w:t>PopPK</w:t>
      </w:r>
      <w:proofErr w:type="spellEnd"/>
      <w:r w:rsidR="008471E4" w:rsidRPr="00D678CF">
        <w:rPr>
          <w:rFonts w:eastAsia="Arial" w:cs="Arial"/>
          <w:sz w:val="24"/>
          <w:szCs w:val="24"/>
        </w:rPr>
        <w:t xml:space="preserve"> models.</w:t>
      </w:r>
      <w:r w:rsidR="00372E3D" w:rsidRPr="00D678CF">
        <w:rPr>
          <w:rFonts w:eastAsia="Arial" w:cs="Arial"/>
          <w:sz w:val="24"/>
          <w:szCs w:val="24"/>
        </w:rPr>
        <w:t xml:space="preserve"> </w:t>
      </w:r>
      <w:r w:rsidR="001D267D" w:rsidRPr="00D678CF">
        <w:rPr>
          <w:rFonts w:eastAsia="Arial" w:cs="Arial"/>
          <w:sz w:val="24"/>
          <w:szCs w:val="24"/>
        </w:rPr>
        <w:t>Intravenous agents</w:t>
      </w:r>
      <w:r w:rsidR="007118E0" w:rsidRPr="00D678CF">
        <w:rPr>
          <w:rFonts w:eastAsia="Arial" w:cs="Arial"/>
          <w:sz w:val="24"/>
          <w:szCs w:val="24"/>
        </w:rPr>
        <w:t xml:space="preserve"> constituted the majority of included studies (n=169) and were primarily conducted in vancomycin (n=110) and gentamicin (n=48). </w:t>
      </w:r>
    </w:p>
    <w:p w14:paraId="5CC0FE44" w14:textId="4E3CA944" w:rsidR="00820D6E" w:rsidRPr="00D678CF" w:rsidRDefault="0E88A4BB" w:rsidP="00820D6E">
      <w:pPr>
        <w:spacing w:line="480" w:lineRule="auto"/>
        <w:jc w:val="both"/>
        <w:rPr>
          <w:rFonts w:eastAsia="Arial" w:cs="Arial"/>
          <w:sz w:val="24"/>
          <w:szCs w:val="24"/>
        </w:rPr>
      </w:pPr>
      <w:r w:rsidRPr="00D678CF">
        <w:rPr>
          <w:rFonts w:eastAsia="Arial" w:cs="Arial"/>
          <w:sz w:val="24"/>
          <w:szCs w:val="24"/>
        </w:rPr>
        <w:t>Only</w:t>
      </w:r>
      <w:r w:rsidR="002D0B92" w:rsidRPr="00D678CF">
        <w:rPr>
          <w:rFonts w:eastAsia="Arial" w:cs="Arial"/>
          <w:sz w:val="24"/>
          <w:szCs w:val="24"/>
        </w:rPr>
        <w:t xml:space="preserve"> </w:t>
      </w:r>
      <w:r w:rsidR="007118E0" w:rsidRPr="00D678CF">
        <w:rPr>
          <w:rFonts w:eastAsia="Arial" w:cs="Arial"/>
          <w:sz w:val="24"/>
          <w:szCs w:val="24"/>
        </w:rPr>
        <w:t xml:space="preserve">18 </w:t>
      </w:r>
      <w:proofErr w:type="spellStart"/>
      <w:r w:rsidR="007118E0" w:rsidRPr="00D678CF">
        <w:rPr>
          <w:rFonts w:eastAsia="Arial" w:cs="Arial"/>
          <w:sz w:val="24"/>
          <w:szCs w:val="24"/>
        </w:rPr>
        <w:t>PopPK</w:t>
      </w:r>
      <w:proofErr w:type="spellEnd"/>
      <w:r w:rsidR="007118E0" w:rsidRPr="00D678CF">
        <w:rPr>
          <w:rFonts w:eastAsia="Arial" w:cs="Arial"/>
          <w:sz w:val="24"/>
          <w:szCs w:val="24"/>
        </w:rPr>
        <w:t xml:space="preserve"> studies</w:t>
      </w:r>
      <w:r w:rsidR="53F24360" w:rsidRPr="00D678CF">
        <w:rPr>
          <w:rFonts w:eastAsia="Arial" w:cs="Arial"/>
          <w:sz w:val="24"/>
          <w:szCs w:val="24"/>
        </w:rPr>
        <w:t xml:space="preserve"> had been </w:t>
      </w:r>
      <w:r w:rsidR="007118E0" w:rsidRPr="00D678CF">
        <w:rPr>
          <w:rFonts w:eastAsia="Arial" w:cs="Arial"/>
          <w:sz w:val="24"/>
          <w:szCs w:val="24"/>
        </w:rPr>
        <w:t xml:space="preserve">conducted for the </w:t>
      </w:r>
      <w:r w:rsidR="00EE16C2" w:rsidRPr="00D678CF">
        <w:rPr>
          <w:rFonts w:eastAsia="Arial" w:cs="Arial"/>
          <w:sz w:val="24"/>
          <w:szCs w:val="24"/>
        </w:rPr>
        <w:t>1</w:t>
      </w:r>
      <w:r w:rsidR="00210F62" w:rsidRPr="00D678CF">
        <w:rPr>
          <w:rFonts w:eastAsia="Arial" w:cs="Arial"/>
          <w:sz w:val="24"/>
          <w:szCs w:val="24"/>
        </w:rPr>
        <w:t>6</w:t>
      </w:r>
      <w:r w:rsidR="73188191" w:rsidRPr="00D678CF">
        <w:rPr>
          <w:rFonts w:eastAsia="Arial" w:cs="Arial"/>
          <w:sz w:val="24"/>
          <w:szCs w:val="24"/>
        </w:rPr>
        <w:t xml:space="preserve"> </w:t>
      </w:r>
      <w:r w:rsidR="007118E0" w:rsidRPr="00D678CF">
        <w:rPr>
          <w:rFonts w:eastAsia="Arial" w:cs="Arial"/>
          <w:sz w:val="24"/>
          <w:szCs w:val="24"/>
        </w:rPr>
        <w:t xml:space="preserve">oral PHC </w:t>
      </w:r>
      <w:proofErr w:type="spellStart"/>
      <w:r w:rsidR="007118E0" w:rsidRPr="00D678CF">
        <w:rPr>
          <w:rFonts w:eastAsia="Arial" w:cs="Arial"/>
          <w:sz w:val="24"/>
          <w:szCs w:val="24"/>
        </w:rPr>
        <w:t>AWaRe</w:t>
      </w:r>
      <w:proofErr w:type="spellEnd"/>
      <w:r w:rsidR="007118E0" w:rsidRPr="00D678CF">
        <w:rPr>
          <w:rFonts w:eastAsia="Arial" w:cs="Arial"/>
          <w:sz w:val="24"/>
          <w:szCs w:val="24"/>
        </w:rPr>
        <w:t xml:space="preserve"> </w:t>
      </w:r>
      <w:r w:rsidR="153F3636" w:rsidRPr="00D678CF">
        <w:rPr>
          <w:rFonts w:eastAsia="Arial" w:cs="Arial"/>
          <w:sz w:val="24"/>
          <w:szCs w:val="24"/>
        </w:rPr>
        <w:t>a</w:t>
      </w:r>
      <w:r w:rsidR="74741331" w:rsidRPr="00D678CF">
        <w:rPr>
          <w:rFonts w:eastAsia="Arial" w:cs="Arial"/>
          <w:sz w:val="24"/>
          <w:szCs w:val="24"/>
        </w:rPr>
        <w:t>ntibiotics</w:t>
      </w:r>
      <w:r w:rsidR="003E49D4" w:rsidRPr="00D678CF">
        <w:rPr>
          <w:rFonts w:eastAsia="Arial" w:cs="Arial"/>
          <w:sz w:val="24"/>
          <w:szCs w:val="24"/>
        </w:rPr>
        <w:t xml:space="preserve"> </w:t>
      </w:r>
      <w:r w:rsidR="007118E0" w:rsidRPr="00D678CF">
        <w:rPr>
          <w:rFonts w:eastAsia="Arial" w:cs="Arial"/>
          <w:sz w:val="24"/>
          <w:szCs w:val="24"/>
        </w:rPr>
        <w:t>(Table 1)</w:t>
      </w:r>
      <w:r w:rsidR="00A0585F">
        <w:rPr>
          <w:rFonts w:eastAsia="Arial" w:cs="Arial"/>
          <w:sz w:val="24"/>
          <w:szCs w:val="24"/>
        </w:rPr>
        <w:t xml:space="preserve"> </w:t>
      </w:r>
      <w:r w:rsidR="00CB6D32">
        <w:rPr>
          <w:rFonts w:eastAsia="Arial" w:cs="Arial"/>
          <w:sz w:val="24"/>
          <w:szCs w:val="24"/>
        </w:rPr>
        <w:fldChar w:fldCharType="begin"/>
      </w:r>
      <w:r w:rsidR="00F561F3">
        <w:rPr>
          <w:rFonts w:eastAsia="Arial" w:cs="Arial"/>
          <w:sz w:val="24"/>
          <w:szCs w:val="24"/>
        </w:rPr>
        <w:instrText xml:space="preserve"> ADDIN ZOTERO_ITEM CSL_CITATION {"citationID":"E2dAGWu9","properties":{"formattedCitation":"(19\\uc0\\u8211{}36)","plainCitation":"(19–36)","noteIndex":0},"citationItems":[{"id":66,"uris":["http://zotero.org/users/11114586/items/JHGSWLLW"],"itemData":{"id":66,"type":"article-journal","abstract":"Objectives: To describe the population pharmacokinetics of oral amoxicillin and to compare the PTA of current dosing regimens. Methods: Two groups, each with 14 healthy male volunteers, received oral amoxicillin/clavulanic acid tablets on two separate days 1 week apart. One group received 875/125 mg twice daily and 500/125 mg three times daily and the other group 500/125 mg twice daily and 250/125 mg three times daily. A total of 1428 amoxicillin blood samples were collected before and after administration. We analysed the concentration-time profiles using a non-compartmental pharmacokinetic method (PKSolver) and a population pharmacokinetic method (NONMEM). The PTA was computed using Monte Carlo simulations for several dosing regimens. Results: AUC0-24 and Cmax increased non-linearly with dose. The final model included the following components: Savic's transit compartment model, Michaelis-Menten absorption, two distribution compartments and first-order elimination. The mean central volume of distribution was 27.7 L and mean clearance was 21.3 L/h. We included variability for the central volume of distribution (34.4%), clearance (25.8%), transit compartment model parameters and Michaelis-Menten absorption parameters. For 40% fT&gt;MIC and &gt;97.5% PTA, the breakpoints were 0.125 mg/L (500 mg twice daily), 0.25 mg/L (250 mg three times daily and 875 mg twice daily), 0.5 mg/L (500 mg three times daily) and 1 mg/L (750, 875 or 1000 mg three times daily and 500 mg four times daily). Conclusions: The amoxicillin absorption rate appears to be saturable. The PTAs of high-dose as well as twice-daily regimens are less favourable than regimens with lower doses and higher frequency.","container-title":"Journal of Antimicrobial Chemotherapy","DOI":"10.1093/jac/dkw226","issue":"10","page":"2909-2917","title":"Non-linear absorption pharmacokinetics of amoxicillin: Consequences for dosing regimens and clinical breakpoints","volume":"71","author":[{"family":"Velde","given":"F.","non-dropping-particle":"de"},{"family":"Winter","given":"B.C.M.","non-dropping-particle":"de"},{"family":"Koch","given":"B.C.P."},{"family":"Gelder","given":"T.","non-dropping-particle":"van"},{"family":"Mouton","given":"J.W."}],"issued":{"date-parts":[["2016"]]}}},{"id":986,"uris":["http://zotero.org/users/11114586/items/QFW5KWJM"],"itemData":{"id":986,"type":"article-journal","abstract":"Cranberry juice consumption is often recommended along with low-dose oral antibiotics for prophylaxis for recurrent urinary tract infection (UTI). Because multiple membrane transporters are involved in the intestinal absorption and renal excretion of β-lactam antibiotics, we evaluated the potential risk of pharmacokinetic interactions between cranberry juice and the β-lactams amoxicillin (amoxicilline) and cefaclor. The amoxicillin-cranberry juice interaction was investigated in 18 healthy women who received on four separate occasions a single oral test dose of amoxicillin at 500 mg and 2 g with or without cranberry juice cocktail (8 oz) according to a crossover design. A parallel cefaclor-cranberry juice interaction study was also conducted in which 500 mg cefaclor was administered with or without cranberry juice cocktail (12 oz). Data were analyzed by noncompartmental methods and nonlinear mixed-effects compartmental modeling. We conclude that the concurrent use of cranberry juice has no significant effect on the extent of oral absorption or the renal clearance of amoxicillin and cefaclor. However, delays in the absorption of amoxicillin and cefaclor were observed. These results suggest that the use of cranberry juice at usual quantities as prophylaxis for UTI is not likely to alter the pharmacokinetics of these two oral antibiotics. Copyright © 2009, American Society for Microbiology. All Rights Reserved.","container-title":"Antimicrobial agents and chemotherapy","DOI":"10.1128/AAC.00774-08","ISSN":"1098-6596","issue":"7","note":"PMID: 19398645\npublisher: Antimicrob Agents Chemother","page":"2725-2732","title":"Effects of cranberry juice on pharmacokinetics of beta-lactam antibiotics following oral administration","volume":"53","author":[{"family":"Li","given":"Meng"},{"family":"Andrew","given":"Marilee A."},{"family":"Wang","given":"Joanne"},{"family":"Salinger","given":"David H."},{"family":"Vicini","given":"Paolo"},{"family":"Grady","given":"Richard W."},{"family":"Phillips","given":"Brian"},{"family":"Shen","given":"Danny D."},{"family":"Anderson","given":"Gail D."}],"issued":{"date-parts":[["2009",7]]}}},{"id":889,"uris":["http://zotero.org/users/11114586/items/HFIMTZRA"],"itemData":{"id":889,"type":"article-journal","abstract":"Azithromycin (AZI), a broad-spectrum antibiotic, accumulates in polymorphonuclear cells and peripheral blood mononuclear cells. The distribution of AZI in proinflammatory cells may be important to the anti-inflammatory properties. Previous studies have described plasma AZI pharmacokinetics. The objective of this study was to describe the pharmacokinetics of AZI in whole blood (concentration in whole blood [Cb]) and plasma (concentration in plasma [Cp]) of healthy subjects. In this study, 12 subjects received AZI (500 mg once a day for 3 days). AZI Cb and Cp were quantified in serial samples collected up to 3 weeks after the last dose and analyzed using noncompartmental and compartmental methods. After the last dose, Cb was greater than Cp. Importantly, Cb, but not Cp, was quantifiable in all but one subject at 3 weeks. The blood area under the curve during a 24-h dosing interval (AUC24) was ~2-fold greater than the plasma AUC24, but simulations suggested that Cb was not at steady state by day 3. Upon exploration of numerous models, an empirical 3-compartment model adequately described Cp and Cb, but Cp was somewhat underestimated. Intercompartmental clearance (CL; likely representing cells) was lower than apparent oral CL (18 versus 118 liters/h). Plasma, peripheral, and cell compartmental volumes were 439 liters, 2,980 liters, and 3,084 liters, respectively. Interindividual variability in CL was low (26.2%), while the volume of distribution variability was high (107%). This is the first report to describe AZI Cb in healthy subjects, the distribution parameters between Cp and Cb, and AZI retention in blood for up to 3 weeks following 3 daily doses. The model can be used to predict Cb from Cp for AZI under various dosing regimens. (This study has been registered at ClinicalTrials.gov under registration no. NCT01026064.).","container-title":"Antimicrobial agents and chemotherapy","DOI":"https://dx.doi.org/10.1128/AAC.02430-12","ISSN":"1098-6596","issue":"7","note":"publisher-place: United States","page":"3194-3201","title":"Development of a population pharmacokinetic model to describe azithromycin whole-blood and plasma concentrations over time in healthy subjects.","volume":"57","author":[{"family":"Pene Dumitrescu","given":"T"},{"family":"Anic-Milic","given":"T"},{"family":"Oreskovic","given":"K"},{"family":"Padovan","given":"J"},{"family":"Brouwer","given":"K L R"},{"family":"Zuo","given":"P"},{"family":"Schmith","given":"V D"}],"issued":{"date-parts":[["2013"]]}}},{"id":752,"uris":["http://zotero.org/users/11114586/items/JQ85W8X2"],"itemData":{"id":752,"type":"article-journal","abstract":"OBJECTIVES: it is known that the efficacy of azithromycin, in animal infection models, is best correlated with AUC/MIC. The pharmacokinetic-pharmacodynamic (PK-PD) relationship for azithromycin, however, has not been previously confirmed with clinical data. The objectives of this PK-PD analysis were to characterize exposure-response relationships for the efficacy and safety of azithromycin extended release (ER) in Japanese patients, and to evaluate the effects of potential covariates on the prediction of response., METHODS: sparse serum azithromycin concentration, MIC, efficacy and safety data were collected from three Japanese Phase 3 studies of a 2 g single dose of azithromycin-ER for respiratory tract infections. These sparse concentration data were combined with data from eight Phase 1 PK studies in Japanese and Western populations, to develop a robust population PK model using a non-linear mixed effects approach. The exposure-response relationships for efficacy and safety were evaluated using logistic regression., RESULTS: a two-compartment model with first-order absorption and first-order elimination with a lag time adequately described the PK of azithromycin-ER, without any significant ethnic differences in AUC. The percentage of bacteriological and clinical success in patients with AUC/MIC &gt; 5 (95.8% and 100%, respectively) was much higher than in those with AUC/MIC &lt;= 5 (60.0% and 83.3%, respectively)., CONCLUSIONS: as expected, the probabilities of success in the clinical and bacteriological responses were positively associated with AUC/MIC, but not with AUC. For the exposure-safety relationship, the incidence of treatment-related diarrhoea was inversely associated with azithromycin exposure.","container-title":"The Journal of antimicrobial chemotherapy","DOI":"https://dx.doi.org/10.1093/jac/dkq398","ISSN":"1460-2091","issue":"1","note":"publisher-place: England","page":"165-174","title":"Pharmacokinetic-pharmacodynamic analysis of azithromycin extended release in Japanese patients with common respiratory tract infectious disease.","volume":"66","author":[{"family":"Muto","given":"Chieko"},{"family":"Liu","given":"Ping"},{"family":"Chiba","given":"Koji"},{"family":"Suwa","given":"Toshio"}],"issued":{"date-parts":[["2011"]]}}},{"id":911,"uris":["http://zotero.org/users/11114586/items/IA7BASHP"],"itemData":{"id":911,"type":"article-journal","abstract":"Azithromycin's extensive distribution to proinflammatory cells, including peripheral blood mononuclear cells (PBMCs) and polymorphonuclear cells (PMNs), may be important to its antimicrobial and anti-inflammatory properties. The need to simultaneously predict azithromycin concentrations in whole blood (\"blood\"), PBMCs, and PMNs motivated this investigation. A single-dose study in 20 healthy adults was conducted, and nonlinear mixed effects modeling was used to simultaneously describe azithromycin concentrations in blood, PBMCs, and PMNs (simultaneous PK model). Data were well described by a four-compartment mamillary model. Apparent central clearance and volume of distribution estimates were 67.3 l/hour and 336 l (interindividual variability of 114 and 122%, respectively). Bootstrapping and visual predictive checks showed adequate model performance. Azithromycin concentrations in blood, PBMCs, and PMNs from external studies of healthy adults and cystic fibrosis patients were within the 5th and 95th percentiles of model simulations. This novel empirical model can be used to predict azithromycin concentrations in blood, PBMCs, and PMNs with different dosing regimens.","container-title":"CPT: pharmacometrics &amp; systems pharmacology","DOI":"https://dx.doi.org/10.1038/psp.2013.80","ISSN":"2163-8306","note":"publisher-place: United States","page":"e103","title":"Population pharmacokinetics of azithromycin in whole blood, peripheral blood mononuclear cells, and polymorphonuclear cells in healthy adults.","volume":"3","author":[{"family":"Sampson","given":"M R"},{"family":"Dumitrescu","given":"T P"},{"family":"Brouwer","given":"K L R"},{"family":"Schmith","given":"V D"}],"issued":{"date-parts":[["2014"]]}}},{"id":982,"uris":["http://zotero.org/users/11114586/items/25RXIB7U"],"itemData":{"id":982,"type":"article-journal","container-title":"Acta Pharmaceutic Turcica","title":"Population pharmacokinetics of azithromycin after peroral administration to healthy volunteers","author":[{"family":"Idkaidek","given":"Nasir"},{"family":"Najib","given":"Naji"}],"accessed":{"date-parts":[["2023",1,31]]},"issued":{"date-parts":[["2001"]]}}},{"id":910,"uris":["http://zotero.org/users/11114586/items/CQTP2BAX"],"itemData":{"id":910,"type":"article-journal","abstract":"BACKGROUND: Population pharmacokinetics (PK) of azithromycin (AZ) and chloroquine (CQ) following administration of fixed-dose combination tablet formulations of AZ and CQ (AZCQ) was evaluated using data from two studies: 1) in children with symptomatic uncomplicated falciparum malaria in sub-Saharan Africa; and 2) in healthy adults in the United States., METHODS: Study 1 included paediatric subjects randomized to either AZCQ or artemether-lumefantrine treatment in Cohort 1 (age 5-12 years) and Cohort 2 (age 6-59 months). Dosing of AZCQ was approximately 30 mg/kg AZ and 10 mg/kg CQ once daily for 3 days (for &gt;=20 kg weight: AZ/CQ 300/100 mg per tablet; 5 to &lt;20 kg weight: AZ/CQ 150/50 mg per tablet). Study 2 included adults randomized to receive either two AZCQ tablets (AZ/CQ 250/155 mg per tablet) or individual commercial tablets of AZ 500 mg and CQ 300 mg. Serum AZ and plasma CQ concentrations from both studies were pooled. Population PK models were constructed using standard approaches to evaluate the concentration-time data for AZ and CQ and to identify any covariates predictive of PK behaviour., RESULTS: A three-compartment PK model with linear clearance and absorption adequately described AZ data, while a two-compartment model with linear clearance and absorption and an absorption lag adequately described CQ data. No overall bias or substantial model misspecification was evident using diagnostic plots and visual predictive checks. Body weight as an allometric function was the only covariate in the final AZ and CQ PK models. There were significantly lower AZ (0.488 vs 0.745 [mg*h/L]/[mg/kg], p &lt; 0.00001) and CQ (0.836 vs 1.27 [mg*h/L]/[mg/kg], p &lt; 0.00001) exposures (AUCinf) normalized by dose (mg/kg) in children compared with the adults., CONCLUSIONS: The PK of AZ and CQ following administration of AZCQ was well described using a three- and two-compartment model, respectively. AZ and CQ exhibited linear absorption and clearance; the model for CQ included an absorption lag. Weight was predictive of exposure for both AZ and CQ. Assuming equivalent dosing (mg/kg), AZ and CQ exposure in children would be expected to be lower than that in adults, suggesting that children may require a higher dose (mg/kg) than adults to achieve the same AZ and CQ exposure.","container-title":"Malaria journal","DOI":"https://dx.doi.org/10.1186/1475-2875-13-36","ISSN":"1475-2875","note":"publisher-place: England","page":"36","title":"Population pharmacokinetics of azithromycin and chloroquine in healthy adults and paediatric malaria subjects following oral administration of fixed-dose azithromycin and chloroquine combination tablets.","volume":"13","author":[{"family":"Zhao","given":"Qinying"},{"family":"Tensfeldt","given":"Thomas G"},{"family":"Chandra","given":"Richa"},{"family":"Mould","given":"Diane R"}],"issued":{"date-parts":[["2014"]]}}},{"id":980,"uris":["http://zotero.org/users/11114586/items/83URMWCB"],"itemData":{"id":980,"type":"article-journal","abstract":"Background: Cephalexin is used for the treatment of methicillin-susceptible Staphylococcus aureus (MSSA) infections in children. Although 4 times daily dosing is recommended, less frequent dosing regimens are often prescribed to improve treatment acceptability and adherence. We developed a population pharmacokinetic model of cephalexin in children to determine a twice-daily (BID) and thrice-daily (TID) cephalexin dosing regimen for MSSA infections. Methods: A population pharmacokinetic model was developed using a nonlinear mixed effects modeling approach. The dataset used was from a prospective open-label pharmacokinetic study of orally administered cephalexin in 12 children 1-16 years of age with bone and joint infections. Simulations were performed to determine a BID and TID dosing regimen so that ≥90% of children in this age group would achieve the pharmacodynamic target for MSSA (ie, time that the free drug concentration exceeds the minimum inhibitory concentration of the bacteria for at least 40% of the dosing interval). Results: The final model was 1 compartment with a transit compartment model to account for delay in oral absorption. For BID dosing, doses of 22-45 and 80 mg/kg were required for MSSA with minimum inhibitory concentrations of 1-2 and 4 mg/L, respectively. For TID dosing, the respective required doses were 15-25 and 45 mg/kg. Conclusions: Our study proposes a BID and TID cephalexin dosing regimen that can be prospectively evaluated. Through reducing the dose frequency of this widely prescribed antibiotic, we can reduce the medication burden for children and improve treatment compliance for MSSA infections.","container-title":"Pediatric Infectious Disease Journal","DOI":"10.1097/INF.0000000000002646","ISSN":"15320987","note":"PMID: 32412727\npublisher: Lippincott Williams and Wilkins","page":"519-522","title":"Twice- And Thrice-daily Cephalexin Dosing for Staphylococcus aureus Infections in Children","author":[{"family":"Gwee","given":"Amanda"},{"family":"Autmizguine","given":"Julie"},{"family":"Curtis","given":"Nigel"},{"family":"Duffull","given":"Stephen B."}],"issued":{"date-parts":[["2020"]]}}},{"id":979,"uris":["http://zotero.org/users/11114586/items/KMAYFSUF"],"itemData":{"id":979,"type":"article-journal","container-title":"Journal of Antimicrobial Chemotherapy","DOI":"10.1093/JAC/DKAB275","ISSN":"0305-7453","issue":"11","page":"2906-2913","title":"Ciprofloxacin population pharmacokinetics during long-term treatment of osteoarticular infections","volume":"76","author":[{"family":"Zahr","given":"Noël"},{"family":"Urien","given":"Saik"},{"family":"Aubry","given":"Alexandra"},{"family":"Chauvin","given":"Charlotte"},{"family":"Comets","given":"Emmanuelle"},{"family":"Llopis","given":"Benoit"},{"family":"Tissot","given":"Nadine"},{"family":"Noe","given":"Gaëlle"},{"family":"Fourniols","given":"Eric"},{"family":"Jaureguiberry","given":"Stéphane"},{"family":"Bleibtreu","given":"Alexandre"},{"family":"Funck-Brentano","given":"Christian"},{"family":"Barrut","given":"Nicolas"},{"family":"Bonnet","given":"Isabelle"},{"family":"Calin","given":"Ruxandra"},{"family":"Caumes","given":"Eric"},{"family":"Clarençon","given":"Frédéric"},{"family":"Daas","given":"Georges"},{"family":"Fautrel","given":"Bruno"},{"family":"Fustier","given":"Anne"},{"family":"Gandjbakhch","given":"Frédérique"},{"family":"Haddad","given":"Elie"},{"family":"Khiami","given":"Frédéric"},{"family":"Lazennec","given":"Jean Yves"},{"family":"Marchant","given":"Maxime"},{"family":"Mercy","given":"Guillaume"},{"family":"Metz","given":"Carole"},{"family":"Miu","given":"Mihaela"},{"family":"Mitrovic","given":"Stéphane"},{"family":"Monsel","given":"Gentiane"},{"family":"Monzani","given":"Quentin"},{"family":"Reubrecht","given":"Vanessa"},{"family":"Robert","given":"Jérôme"}],"issued":{"date-parts":[["2021",10,11]]}}},{"id":978,"uris":["http://zotero.org/users/11114586/items/V56GRWNN"],"itemData":{"id":978,"type":"article-journal","abstract":"Dried blood spot (DBS) antibiotic assays can facilitate pharmacokinetic (PK)/pharmacodynamic (PD) studies in situations where venous blood sampling is logistically difficult. We sought to develop, validate, and apply a DBS assay for rifampin (RIF), fusidic acid (FUS), and ciprofloxacin (CIP). These antibiotics are considered active against organisms in biofilms and are therefore commonly used for the treatment of infections associated with prosthetic implants. A liquid chromatography-mass spectroscopy DBS assay was developed and validated, including red cell partitioning and thermal stability for each drug and the rifampin metabolite desacetyl rifampin (Des-RIF). Plasma and DBS concentrations in 10 healthy adults were compared, and the concentration-time profiles were incorporated into population PK models. The limits of quantification for RIF, Des-RIF, CIP, and FUS in DBS were 15 μg/liter, 14 μg/liter, 25 μg/liter, and 153 μg/liter, respectively. Adjusting for hematocrit, red cell partitioning, and relative recovery, DBS-predicted plasma concentrations were comparable to measured plasma concentrations for each antibiotic (r &gt; 0.95; P &lt; 0.0001), and Bland-Altman plots showed no significant bias. The final population PK estimates of clearance, volume of distribution, and time above threshold MICs for measured and DBS-predicted plasma concentrations were comparable. These drugs were stable in DBSs for at least 10 days at room temperature and 1 month at 4°C. The present DBS antibiotic assays are robust and can be used as surrogates for plasma concentrations to provide valid PK and PK/PD data in a variety of clinical situations, including therapeutic drug monitoring or studies of implant infections.","container-title":"Antimicrobial Agents and Chemotherapy","DOI":"10.1128/AAC.00756-16","ISSN":"10986596","issue":"8","note":"PMID: 27270283\npublisher: American Society for Microbiology (ASM)","page":"4940","title":"Validation and Application of a Dried Blood Spot Assay for Biofilm-Active Antibiotics Commonly Used for Treatment of Prosthetic Implant Infections","volume":"60","author":[{"family":"Knippenberg","given":"Ben"},{"family":"Page-Sharp","given":"Madhu"},{"family":"Salman","given":"Sam"},{"family":"Clark","given":"Ben"},{"family":"Dyer","given":"John"},{"family":"Batty","given":"Kevin T."},{"family":"Davis","given":"Timothy M.E."},{"family":"Manning","given":"Laurens"}],"issued":{"date-parts":[["2016",8,1]]}}},{"id":976,"uris":["http://zotero.org/users/11114586/items/SM5TXKJT"],"itemData":{"id":976,"type":"article-journal","abstract":"Purpose: In the Big Data Era, it seems paradoxical that few drugs have a complete and available set of pharmacometric data. Thus, we have proposed to offer a useful procedure to improve them. Methods: As a result of combine two R-written routines, genetic algorithms (GA) and running simulations from ordinary differential equations based models (RxODE), we have elaborated a procedure capable to optimize raw or observed data in general, running in any computer. Results: We have applied GA-RxODE on pharmacokinetic (PK) raw data of clarithromycin sustained-release formulation, and the obtained final construct, called token data or para-data, maintains the original structure with less variability (e.g., raw tmax 7.85 ± 3.72 h; %CV = 47% vs. corresponding para-data 7.50 ± 1.73 h; %CV = 23%). In addition, the procedure can reconstruct any missing data through para-data genesis. Such para-data were evaluated and validated by population PK modelling. Conclusions: The results of using it on PK information demonstrated that para-data maintains the structure of raw data but with less variability. In addition, such para-data are suitable for further PK analysis or population modelling. This would place the GA-RxODE procedure as a proper tool for pharmacometrics.","container-title":"Journal of Pharmaceutical Innovation","DOI":"10.1007/S12247-020-09430-8/FIGURES/3","ISSN":"19398042","issue":"1","note":"publisher: Springer","page":"152-159","title":"Improving Population Pharmacokinetics Through the Use of Genetic Algorithms","volume":"16","author":[{"family":"Morozov","given":"Mikhail"},{"family":"Nuske","given":"Ezequiel"},{"family":"Serra","given":"Héctor Alejandro"}],"issued":{"date-parts":[["2021",3,1]]}}},{"id":975,"uris":["http://zotero.org/users/11114586/items/36V6KZM9"],"itemData":{"id":975,"type":"article-journal","abstract":"Clarithromycin decreases CYP3A4 activity and thus gradually inhibits its own metabolism as well as that of coadministered drugs. The aim of this study was to obtain an understanding of the time course of these changes. The plasma concentration-time profiles of clarithromycin and its active metabolite, 14(R)-hydroxyclarithromycin, in 12 young healthy volunteers after oral administration of a clarithromycin suspension (500 mg twice a day [b.i.d.] for seven doses) were modeled by population pharmacokinetic analysis in the NONMEM program. The nonlinearity of clarithromycin metabolism was considered during model development, and the metabolite disposition kinetics were assumed to be linear. The absorption kinetics of clarithromycin were best described by a Weibull function model. The pharmacokinetics of clarithromycin and its 14(R)-hydroxyl metabolite were adequately described by a one-compartment model each for clarithromycin and its metabolite as well as an inhibition compartment that reflects the autoinhibition of clarithromycin metabolism. Up to 90% of the apparent total clarithromycin clearance (60 liters/h) was susceptible to reversible autoinhibition, depending on the concentration in the inhibition compartment. The proposed semimechanistic population pharmacokinetic model successfully described the autoinhibition of clarithromycin metabolism and may be used to adjust the doses of other drugs that are metabolized by CYP3A4 and that are coadministered with clarithromycin. Simulations showed that for the standard dose of 500 mg b.i.d., no further increase in the level of exposure occurs after approximately 48 h of treatment. For a 1,000-mg b.i.d. dose, the achievement of steady state is expected to take several days and to achieve a 3.6-fold higher level of clarithromycin exposure than the 500-mg b.i.d. dose. This evaluation provides a rationale for safer and more effective therapy with clarithromycin. Copyright © 2009, American Society for Microbiology. All Rights Reserved.","container-title":"Antimicrobial agents and chemotherapy","DOI":"10.1128/AAC.01193-08","ISSN":"1098-6596","issue":"7","note":"PMID: 19414584\npublisher: Antimicrob Agents Chemother","page":"2892-2901","title":"Modeling the autoinhibition of clarithromycin metabolism during repeated oral administration","volume":"53","author":[{"family":"Abduljalil","given":"Khaled"},{"family":"Kinzig","given":"Martina"},{"family":"Bulitta","given":"Jürgen"},{"family":"Horkovics-Kovats","given":"Stefan"},{"family":"Sörgel","given":"Fritz"},{"family":"Rodamer","given":"Michael"},{"family":"Fuhr","given":"Uwe"}],"issued":{"date-parts":[["2009",7]]}}},{"id":73,"uris":["http://zotero.org/users/11114586/items/N7VU4LYL"],"itemData":{"id":73,"type":"article-journal","abstract":"Objectives: To calculate the clavulanic acid exposure of oral amoxicillin/clavulanic acid dosing regimens, to investigate variability using a population pharmacokinetic model and to explore target attainment using Monte Carlo simulations. Methods: Two groups of healthy male volunteers received amoxicillin/clavulanic acid tablets at the start of a standard meal on two separate days 1 week apart. One group (n=14) received 875/125mg q12h and 500/125mg q8h and the other group (n=15) received 500/125mg q12h and 250/125mg q8h. In total, 1479 blood samples were collected until 8-12 h after administration. Concentrations were analysed using non-compartmental (WinNonLin) and population pharmacokinetic (NONMEM) methods. Results: Median Cmax and AUC0-8 were 2.21mg/L (0.21-4.35) and 4.99 mg·h/L (0.44-8.31), respectively. In 40/58 daily concentration-time profiles, Cmax and AUC0-8 of the morning dose were higher than with later doses. The final population model included a lag time (0.447 h), first-order absorption (3.99 h-1 at 8:00 h, betweensubject variability 52.8%, between-occasion variability 48.5%), one distribution compartment (33.0 L, betweensubject variability 23.9%) and first-order elimination (24.6 L/h, between-subject variability 26.7%). Bioavailability (fixed at 1 at 8:00 h, between-occasion variability 28.2%) and absorption rate decreased over the day. For 97.5% of the simulated population after 125mg q12h or q8h, %fT &gt; Ct at 0.5mg/L was 8.33% (q12h) and 15.2% (q8h), %fT &gt; Ct at 1mg/Lwas 0%(q12h+q8h), and fAUC0-24 was 3.61 (q12h) and 5.56 (q8h) mg·h/L. Conclusions: Clavulanic acid absorption in healthy volunteers is highly variable. Bioavailability and absorption rate decrease over the day. The model developed here may serve to suggest clavulanic acid dosing regimens to optimize efficacy and prevent underdosing.","container-title":"Journal of Antimicrobial Chemotherapy","DOI":"10.1093/JAC/DKX376","issue":"2","page":"469-476","title":"Highly variable absorption of clavulanic acid during the day: A population pharmacokinetic analysis","volume":"73","author":[{"family":"Velde","given":"F.","non-dropping-particle":"de"},{"family":"Winter","given":"B.C.M.","non-dropping-particle":"de"},{"family":"Koch","given":"B.C.P."},{"family":"Van Gelder","given":"T."},{"family":"Mouton","given":"J.W."}],"issued":{"date-parts":[["2018"]]}}},{"id":972,"uris":["http://zotero.org/users/11114586/items/CY5XTXKN"],"itemData":{"id":972,"type":"article-journal","abstract":"The antibiotic combination trimethoprim (TMP)-sulfamethoxazole (SMX) has a broad spectrum of activity and is used for the treatment of numerous infections, but pediatric pharmacokinetic (PK) data are limited. We previously published population PK (popPK) models of oral TMP-SMX in pediatric patients based on sparse opportunistically collected data (POPS study) (J. Autmizguine, C. Melloni, C. P. Hornik, S. Dallefeld, et al., Antimicrob Agents Chemother 62:e01813-17, 2017, https://doi.org/10.1128/AAC.01813-17). We performed a separate PK study of oral TMP-SMX in infants and children with more-traditional PK sample collection and independently developed new popPK models of TMPSMX using this external data set. The POPS data set and the external data set were each used to evaluate both popPK models. The external TMP model had a model and error structure identical to those of the POPS TMP model, with typical values for PK parameters within 20%. The external SMX model did not identify the covariates in the POPS SMX model as significant. The external popPK models predicted higher exposures to TMP (median overprediction of 0.13mg/liter for the POPS data set and 0.061mg/liter for the external data set) and SMX (median overprediction of 1.7mg/liter and 0.90mg/liter) than the POPS TMP (median underprediction of 0.016mg/liter and 0.39mg/liter) and SMX (median underprediction of 1.2mg/liter and 14mg/liter) models. Nonetheless, both models supported TMP-SMX dose increases in infants and young children for resistant pathogens with a MIC of 1mg/liter, although the required dose increase based on the external model was lower.","container-title":"Antimicrobial agents and chemotherapy","DOI":"10.1128/AAC.02149-20","ISSN":"1098-6596","issue":"7","note":"PMID: 33903114\npublisher: Antimicrob Agents Chemother","title":"External Evaluation of Two Pediatric Population Pharmacokinetics Models of Oral Trimethoprim and Sulfamethoxazole","URL":"https://pubmed.ncbi.nlm.nih.gov/33903114/","volume":"65","author":[{"family":"Wu","given":"Yi Shuan S."},{"family":"Cohen-Wolkowiez","given":"Michael"},{"family":"Hornik","given":"Christoph P."},{"family":"Gerhart","given":"Jacqueline G."},{"family":"Autmizguine","given":"Julie"},{"family":"Cobbaert","given":"Marjan"},{"family":"Gonzalez","given":"Daniel"}],"accessed":{"date-parts":[["2023",1,31]]},"issued":{"date-parts":[["2021",7,1]]}}},{"id":971,"uris":["http://zotero.org/users/11114586/items/CLDIDYWA"],"itemData":{"id":971,"type":"article-journal","abstract":"For treatment of multidrug-resistant tuberculosis (MDR-TB), there is a scarcity of antituberculosis drugs. Co-trimoxazole is one of the available drug candidates, and it is already frequently coprescribed for TB-HIV-coinfected patients. However, only limited data are available on the pharmacokinetic (PK) and pharmacodynamic (PD) parameters of co-trimoxazole in TB patients. The objective of this study was to evaluate the PK parameters and in vitro PD data on the effective part of co-trimoxazole: sulfamethoxazole. In a prospective PK study in patients infected with drug-susceptible Mycobacterium tuberculosis (drug-susceptible TB patients) (age, &gt;18), sulfamethoxazole-trimethoprim (SXT) was administered orally at a dose of 960 mg once daily. One-compartment population pharmacokinetic modeling was performed using MW\\Pharm 3.81 (Mediware, Groningen, The Netherlands). The area under the concentration-time curve for the free, unbound fraction of a drug (fAUC)/MIC ratio and the period in which the free concentration exceeded the MIC (fT &gt; MIC) were calculated. Twelve patients received 960 mg co-trimoxazole in addition to first-line drugs. The pharmacokinetic parameters of the population model were as follows (geometric mean ± standard deviation [SD]): metabolic clearance (CLm), 1.57 ± 3.71 liters/h; volume of distribution (V), 0.30 ± 0.05 liters·kg lean body mass-1; drug clearance/creatinine clearance ratio (fr), 0.02 ± 0.13; gamma distribution rate constant (ktr-po), 2.18 ± 1.14; gamma distribution shape factor (n-po), 2.15 ± 0.39. The free fraction of sulfamethoxazole was 0.3, but ranged between 0.2 and 0.4. The median value of the MICs was 9.5 mg/liter (interquartile range [IQR], 4.75 to 9.5), and that of the fAUC/MIC ratio was 14.3 (IQR, 13.0 to 17.5). The percentage of fT &gt; MIC ranged between 43 and 100% of the dosing interval. The PK and PD data from this study are useful to explore a future dosing regimen of co-trimoxazole for MDR-TB treatment. (This study has been registered at ClinicalTrials.gov under registration no. NCT01832987.).","container-title":"Antimicrobial Agents and Chemotherapy","DOI":"10.1128/AAC.02175-15","ISSN":"10986596","issue":"7","note":"PMID: 27067336\npublisher: American Society for Microbiology","page":"3942-3947","title":"Pharmacokinetic evaluation of sulfamethoxazole at 800 milligrams once daily in the treatment of tuberculosis","volume":"60","author":[{"family":"Alsaad","given":"N."},{"family":"Dijkstra","given":"J. A."},{"family":"Akkerman","given":"O. W."},{"family":"De Lange","given":"W. C.M."},{"family":"Van Soolingen","given":"D."},{"family":"Kosterink","given":"J. G.W."},{"family":"Van Der Werf","given":"T. S."},{"family":"Alffenaar","given":"J. W.C."}],"issued":{"date-parts":[["2016",7,1]]}}},{"id":970,"uris":["http://zotero.org/users/11114586/items/QULERYDP"],"itemData":{"id":970,"type":"article-journal","abstract":"Trimethoprim (TMP)-sulfamethoxazole (SMX) is used to treat various types of infections, including community-acquired methicillin-resistant Staphylococcus aureus (CA-MRSA) and Pneumocystis jirovecii infections in children. Pharmacokinetic (PK) data for infants and children are limited, and the optimal dosing is not known. We performed a multicenter, prospective PK study of TMP-SMX in infants and children. Separate population PK models were developed for TMP and SMX administered by the enteral route using nonlinear mixed-effects modeling. Optimal dosing was determined on the basis of the matching adult TMP exposure and attainment of the surrogate pharmacodynamic (PD) target for efficacy, a free TMP concentration above the MIC over 50% of the dosing interval. Data for a total of 153 subjects (240 samples for PK analysis) with a median postnatal age of 8 years (range, 0.1 to 20 years) contributed to the analysis for both drugs. A one-compartment model with first-order absorption and elimination characterized the TMP and SMX PK data well. Weight was included in the base model for clearance (CL/F) and volume of distribution (V/F). Both TMP and SMX CL/F increased with age. In addition, TMP and SMX CL/F were inversely related to the serum creatinine and albumin concentrations, respectively. The exposure achieved in children after oral administration of TMP-SMX at 8/40 mg/kg of body weight/day divided into administration every 12 h matched the exposure achieved in adults after administration of TMP-SMX at 320/1,600 mg/day divided into administration every 12 h and achieved the PD target for bacteria with an MIC of 0.5 mg/liter in 90% of infants and children. The exposure achieved in children after oral administration of TMP-SMX at 12/60 and 15/75 mg/kg/ day divided into administration every 12 h matched the exposure achieved in adults after administration of TMP-SMX at 640/3,200 mg/day divided into administration every 12 h in subjects 6 to 21 years and 0 to 6 years of age, respectively, and was optimal for bacteria with an MIC of up to 1 mg/liter.","container-title":"Antimicrobial agents and chemotherapy","DOI":"10.1128/AAC.01813-17","ISSN":"1098-6596","issue":"1","note":"PMID: 29084742\npublisher: Antimicrob Agents Chemother","title":"Population Pharmacokinetics of Trimethoprim-Sulfamethoxazole in Infants and Children","URL":"https://pubmed.ncbi.nlm.nih.gov/29084742/","volume":"62","author":[{"family":"Autmizguine","given":"Julie"},{"family":"Melloni","given":"Chiara"},{"family":"Hornik","given":"Christoph P."},{"family":"Dallefeld","given":"Samantha"},{"family":"Harper","given":"Barrie"},{"family":"Yogev","given":"Ram"},{"family":"Sullivan","given":"Janice E."},{"family":"Atz","given":"Andrew M."},{"family":"Al-Uzri","given":"Amira"},{"family":"Mendley","given":"Susan"},{"family":"Poindexter","given":"Brenda"},{"family":"Mitchell","given":"Jeff"},{"family":"Lewandowski","given":"Andrew"},{"family":"Delmore","given":"Paula"},{"family":"Cohen-Wolkowiez","given":"Michael"},{"family":"Gonzalez","given":"Daniel"}],"accessed":{"date-parts":[["2023",1,31]]},"issued":{"date-parts":[["2017",1,1]]}}},{"id":969,"uris":["http://zotero.org/users/11114586/items/TJBUIQA6"],"itemData":{"id":969,"type":"article-journal","abstract":"The literature presently lacks a population pharmacokinetic analysis of doxycycline. This study aimed to develop a population pharmacokinetic model of doxycycline plasma concentrations that could be used to assess the power of bioequivalence between Doryx delayed-release tablets and Doryx MPC. Doxycycline pharmacokinetic data were available from eight phase 1 clinical trials following single/multiple doses of conventional-release doxycycline capsules, Doryx delayed-release tablets, and Doryx MPC under fed and fasted conditions. A population pharmacokinetic model was developed in a stepwise manner using NONMEM, version 7.3. The final covariate model was developed according to a forward inclusion (P &lt; 0.01) and then backward deletion (P &lt; 0.001) procedure. The final model was a two-compartment model with two-transit absorption compartments. Structural covariates in the base model included formulation effects on relative bioavailability (F), absorption lag (ALAG), and the transit absorption rate (KTR) under the fed status. An absorption delay (lag) for the fed status (FTLAG2 = 0.203 h) was also included in the model as a structural covariate. The fed status was observed to decrease F by 10.5%, and the effect of female sex was a 14.4% increase in clearance. The manuscript presents the first population pharmacokinetic model of doxycycline plasma concentrations following oral doxycycline administration. The model was used to assess the power of bioequivalence between Doryx delayed-release tablets and Doryx MPC, and it could potentially be used to critically examine and optimize doxycycline dose regimens.","container-title":"Antimicrobial Agents and Chemotherapy","DOI":"10.1128/AAC.02401-16","ISSN":"10986596","issue":"3","note":"PMID: 28052851\npublisher: American Society for Microbiology","title":"Population pharmacokinetic model of doxycycline plasma concentrations using pooled study data","volume":"61","author":[{"family":"Hopkins","given":"Ashley M."},{"family":"Wojciechowski","given":"Jessica"},{"family":"Abuhelwa","given":"Ahmad Y."},{"family":"Mudge","given":"Stuart"},{"family":"Upton","given":"Richard N."},{"family":"Foster","given":"David J.R."}],"accessed":{"date-parts":[["2023",1,31]]},"issued":{"date-parts":[["2017",3,1]]}}},{"id":968,"uris":["http://zotero.org/users/11114586/items/8UVIAQ8H"],"itemData":{"id":968,"type":"article-journal","abstract":"Oral flucloxacillin may be coadministered with probenecid to reduce flucloxacillin clearance and increase attainment of pharmacokinetic–pharmacodynamic (PK/PD) targets. The aims of this study were to develop a population PK model of free flucloxacillin when administered orally with probenecid, and to identify optimal dosing regimens for this combination. Methods: We performed a prospective observational study of adults (45 participants) treated with oral flucloxacillin 1000 mg and probenecid 500 mg 8-hourly for proven or probable staphylococcal infections. Steady-state mid-dose-interval flucloxacillin measurements (45 concentrations) were combined with existing data from a crossover study of healthy participants receiving flucloxacillin with and without probenecid (11 participants, 363 concentrations). We developed a population pharmacokinetic model of free flucloxacillin concentrations within Monolix, and used Monte Carlo simulation to explore optimal dosing regimens to attain PK/PD targets proposed in the literature (free drug time above minimum inhibitory concentration). Results: Flucloxacillin disposition was best described by a 1-compartment model with a lag time and first-order absorption. Free flucloxacillin clearance depended on probenecid, allometrically-scaled fat free mass (FFM) and estimated glomerular filtration rate (eGFR). Predicted PK/PD target attainment was suboptimal with standard dosing regimens with flucloxacillin alone, but substantially improved in the presence of probenecid. Conclusion: The simulation results reported can be used to identify dose regimens that optimise flucloxacillin exposure according to eGFR and FFM. Patients with higher FFM and eGFR may require the addition of probenecid and 6-hourly dosing to achieve PK/PD targets. The regimen was well-tolerated, suggesting a potential for further evaluation in controlled clinical trials to establish efficacy.","container-title":"British Journal of Clinical Pharmacology","DOI":"10.1111/BCP.14887","ISSN":"1365-2125","issue":"12","note":"PMID: 33963595\npublisher: John Wiley &amp; Sons, Ltd","page":"4681-4690","title":"Population pharmacokinetics of free flucloxacillin in patients treated with oral flucloxacillin plus probenecid","volume":"87","author":[{"family":"Drennan","given":"Philip G."},{"family":"Green","given":"Jared K."},{"family":"Gardiner","given":"Sharon J."},{"family":"Metcalf","given":"Sarah C.L."},{"family":"Kirkpatrick","given":"Carl M.J."},{"family":"Everts","given":"Richard J."},{"family":"Zhang","given":"Mei"},{"family":"Chambers","given":"Stephen T."}],"issued":{"date-parts":[["2021",12,1]]}}}],"schema":"https://github.com/citation-style-language/schema/raw/master/csl-citation.json"} </w:instrText>
      </w:r>
      <w:r w:rsidR="00CB6D32">
        <w:rPr>
          <w:rFonts w:eastAsia="Arial" w:cs="Arial"/>
          <w:sz w:val="24"/>
          <w:szCs w:val="24"/>
        </w:rPr>
        <w:fldChar w:fldCharType="separate"/>
      </w:r>
      <w:r w:rsidR="00F561F3" w:rsidRPr="00F561F3">
        <w:rPr>
          <w:rFonts w:cs="Arial"/>
          <w:sz w:val="24"/>
        </w:rPr>
        <w:t>(19–36)</w:t>
      </w:r>
      <w:r w:rsidR="00CB6D32">
        <w:rPr>
          <w:rFonts w:eastAsia="Arial" w:cs="Arial"/>
          <w:sz w:val="24"/>
          <w:szCs w:val="24"/>
        </w:rPr>
        <w:fldChar w:fldCharType="end"/>
      </w:r>
      <w:r w:rsidR="00A0585F">
        <w:rPr>
          <w:rFonts w:eastAsia="Arial" w:cs="Arial"/>
          <w:sz w:val="24"/>
          <w:szCs w:val="24"/>
        </w:rPr>
        <w:t>.</w:t>
      </w:r>
      <w:r w:rsidR="007118E0" w:rsidRPr="00D678CF">
        <w:rPr>
          <w:rFonts w:eastAsia="Arial" w:cs="Arial"/>
          <w:sz w:val="24"/>
          <w:szCs w:val="24"/>
          <w:vertAlign w:val="superscript"/>
        </w:rPr>
        <w:t xml:space="preserve"> </w:t>
      </w:r>
      <w:r w:rsidR="00820D6E">
        <w:rPr>
          <w:rFonts w:eastAsia="Arial" w:cs="Arial"/>
          <w:sz w:val="24"/>
          <w:szCs w:val="24"/>
        </w:rPr>
        <w:t xml:space="preserve">All included studies were conducted using serum or plasma antibiotic concentrations irrespective of the infection site for which the agents </w:t>
      </w:r>
      <w:r w:rsidR="00A0585F">
        <w:rPr>
          <w:rFonts w:eastAsia="Arial" w:cs="Arial"/>
          <w:sz w:val="24"/>
          <w:szCs w:val="24"/>
        </w:rPr>
        <w:t>were primarily</w:t>
      </w:r>
      <w:r w:rsidR="00820D6E">
        <w:rPr>
          <w:rFonts w:eastAsia="Arial" w:cs="Arial"/>
          <w:sz w:val="24"/>
          <w:szCs w:val="24"/>
        </w:rPr>
        <w:t xml:space="preserve"> indicated. </w:t>
      </w:r>
    </w:p>
    <w:p w14:paraId="7A2DAF12" w14:textId="083681E7" w:rsidR="007118E0" w:rsidRPr="00D678CF" w:rsidRDefault="007118E0" w:rsidP="00D678CF">
      <w:pPr>
        <w:spacing w:line="480" w:lineRule="auto"/>
        <w:jc w:val="both"/>
        <w:rPr>
          <w:rFonts w:eastAsia="Arial" w:cs="Arial"/>
          <w:sz w:val="24"/>
          <w:szCs w:val="24"/>
        </w:rPr>
      </w:pPr>
      <w:r w:rsidRPr="00D678CF">
        <w:rPr>
          <w:rFonts w:eastAsia="Arial" w:cs="Arial"/>
          <w:sz w:val="24"/>
          <w:szCs w:val="24"/>
        </w:rPr>
        <w:t>The grading of oral PHC studies</w:t>
      </w:r>
      <w:r w:rsidR="002C6153" w:rsidRPr="00D678CF">
        <w:rPr>
          <w:rFonts w:eastAsia="Arial" w:cs="Arial"/>
          <w:sz w:val="24"/>
          <w:szCs w:val="24"/>
        </w:rPr>
        <w:t xml:space="preserve">, which </w:t>
      </w:r>
      <w:r w:rsidR="00CC0803" w:rsidRPr="00D678CF">
        <w:rPr>
          <w:rFonts w:eastAsia="Arial" w:cs="Arial"/>
          <w:sz w:val="24"/>
          <w:szCs w:val="24"/>
        </w:rPr>
        <w:t>scored the</w:t>
      </w:r>
      <w:r w:rsidR="002C6153" w:rsidRPr="00D678CF">
        <w:rPr>
          <w:rFonts w:eastAsia="Arial" w:cs="Arial"/>
          <w:sz w:val="24"/>
          <w:szCs w:val="24"/>
        </w:rPr>
        <w:t xml:space="preserve"> methodology and </w:t>
      </w:r>
      <w:r w:rsidR="00CC0803" w:rsidRPr="00D678CF">
        <w:rPr>
          <w:rFonts w:eastAsia="Arial" w:cs="Arial"/>
          <w:sz w:val="24"/>
          <w:szCs w:val="24"/>
        </w:rPr>
        <w:t>results reporting of these studies</w:t>
      </w:r>
      <w:r w:rsidR="0000198D" w:rsidRPr="00D678CF">
        <w:rPr>
          <w:rFonts w:eastAsia="Arial" w:cs="Arial"/>
          <w:sz w:val="24"/>
          <w:szCs w:val="24"/>
        </w:rPr>
        <w:t xml:space="preserve"> (</w:t>
      </w:r>
      <w:r w:rsidR="00124CCD">
        <w:rPr>
          <w:rFonts w:eastAsia="Arial" w:cs="Arial"/>
          <w:sz w:val="24"/>
          <w:szCs w:val="24"/>
        </w:rPr>
        <w:t>Table</w:t>
      </w:r>
      <w:r w:rsidR="0000198D" w:rsidRPr="00D678CF">
        <w:rPr>
          <w:rFonts w:eastAsia="Arial" w:cs="Arial"/>
          <w:sz w:val="24"/>
          <w:szCs w:val="24"/>
        </w:rPr>
        <w:t xml:space="preserve"> </w:t>
      </w:r>
      <w:r w:rsidR="00124CCD">
        <w:rPr>
          <w:rFonts w:eastAsia="Arial" w:cs="Arial"/>
          <w:sz w:val="24"/>
          <w:szCs w:val="24"/>
        </w:rPr>
        <w:t>S</w:t>
      </w:r>
      <w:r w:rsidR="0000198D" w:rsidRPr="00D678CF">
        <w:rPr>
          <w:rFonts w:eastAsia="Arial" w:cs="Arial"/>
          <w:sz w:val="24"/>
          <w:szCs w:val="24"/>
        </w:rPr>
        <w:t>3)</w:t>
      </w:r>
      <w:r w:rsidR="00CC0803" w:rsidRPr="00D678CF">
        <w:rPr>
          <w:rFonts w:eastAsia="Arial" w:cs="Arial"/>
          <w:sz w:val="24"/>
          <w:szCs w:val="24"/>
        </w:rPr>
        <w:t>,</w:t>
      </w:r>
      <w:r w:rsidRPr="00D678CF">
        <w:rPr>
          <w:rFonts w:eastAsia="Arial" w:cs="Arial"/>
          <w:sz w:val="24"/>
          <w:szCs w:val="24"/>
        </w:rPr>
        <w:t xml:space="preserve"> ranged from 15 (31·9%) to 35 (74·5%) out of 47</w:t>
      </w:r>
      <w:r w:rsidR="0069598E" w:rsidRPr="00D678CF">
        <w:rPr>
          <w:rFonts w:eastAsia="Arial" w:cs="Arial"/>
          <w:sz w:val="24"/>
          <w:szCs w:val="24"/>
        </w:rPr>
        <w:t xml:space="preserve"> (mean </w:t>
      </w:r>
      <w:r w:rsidR="00A4049D" w:rsidRPr="00D678CF">
        <w:rPr>
          <w:rFonts w:eastAsia="Arial" w:cs="Arial"/>
          <w:sz w:val="24"/>
          <w:szCs w:val="24"/>
        </w:rPr>
        <w:t>44.9</w:t>
      </w:r>
      <w:r w:rsidR="7C25CBF4" w:rsidRPr="00D678CF">
        <w:rPr>
          <w:rFonts w:eastAsia="Arial" w:cs="Arial"/>
          <w:sz w:val="24"/>
          <w:szCs w:val="24"/>
        </w:rPr>
        <w:t>%)</w:t>
      </w:r>
      <w:r w:rsidR="007C616B" w:rsidRPr="00D678CF">
        <w:rPr>
          <w:rFonts w:eastAsia="Arial" w:cs="Arial"/>
          <w:sz w:val="24"/>
          <w:szCs w:val="24"/>
        </w:rPr>
        <w:t>, indicating that many of these studies did not comply with the Europe</w:t>
      </w:r>
      <w:r w:rsidR="000F4E2C" w:rsidRPr="00D678CF">
        <w:rPr>
          <w:rFonts w:eastAsia="Arial" w:cs="Arial"/>
          <w:sz w:val="24"/>
          <w:szCs w:val="24"/>
        </w:rPr>
        <w:t xml:space="preserve">an Medical Agency guidance </w:t>
      </w:r>
      <w:r w:rsidR="0015509F" w:rsidRPr="00D678CF">
        <w:rPr>
          <w:rFonts w:eastAsia="Arial" w:cs="Arial"/>
          <w:sz w:val="24"/>
          <w:szCs w:val="24"/>
        </w:rPr>
        <w:t xml:space="preserve">for </w:t>
      </w:r>
      <w:proofErr w:type="spellStart"/>
      <w:r w:rsidR="001C1C7C" w:rsidRPr="00D678CF">
        <w:rPr>
          <w:rFonts w:eastAsia="Arial" w:cs="Arial"/>
          <w:sz w:val="24"/>
          <w:szCs w:val="24"/>
        </w:rPr>
        <w:t>PopPK</w:t>
      </w:r>
      <w:proofErr w:type="spellEnd"/>
      <w:r w:rsidR="0015509F" w:rsidRPr="00D678CF">
        <w:rPr>
          <w:rFonts w:eastAsia="Arial" w:cs="Arial"/>
          <w:sz w:val="24"/>
          <w:szCs w:val="24"/>
        </w:rPr>
        <w:t xml:space="preserve"> reporting</w:t>
      </w:r>
      <w:r w:rsidR="00A0585F">
        <w:rPr>
          <w:rFonts w:eastAsia="Arial" w:cs="Arial"/>
          <w:sz w:val="24"/>
          <w:szCs w:val="24"/>
        </w:rPr>
        <w:t xml:space="preserve"> </w:t>
      </w:r>
      <w:r w:rsidR="00CB27A1">
        <w:rPr>
          <w:rFonts w:eastAsia="Arial" w:cs="Arial"/>
          <w:sz w:val="24"/>
          <w:szCs w:val="24"/>
        </w:rPr>
        <w:fldChar w:fldCharType="begin"/>
      </w:r>
      <w:r w:rsidR="00F561F3">
        <w:rPr>
          <w:rFonts w:eastAsia="Arial" w:cs="Arial"/>
          <w:sz w:val="24"/>
          <w:szCs w:val="24"/>
        </w:rPr>
        <w:instrText xml:space="preserve"> ADDIN ZOTERO_ITEM CSL_CITATION {"citationID":"bxUX9GkS","properties":{"formattedCitation":"(15)","plainCitation":"(15)","noteIndex":0},"citationItems":[{"id":1001,"uris":["http://zotero.org/users/11114586/items/4X3CLR4Q"],"itemData":{"id":1001,"type":"report","title":"Guideline on reporting the results of Population Pharmacokinetic analyses","URL":"http://www.emea.europa.eu","author":[{"literal":"Committee for Medicinal Products for Human USE (CHMP)"},{"literal":"European Medicines Agency"}],"accessed":{"date-parts":[["2023",1,1]]},"issued":{"date-parts":[["2007"]]}}}],"schema":"https://github.com/citation-style-language/schema/raw/master/csl-citation.json"} </w:instrText>
      </w:r>
      <w:r w:rsidR="00CB27A1">
        <w:rPr>
          <w:rFonts w:eastAsia="Arial" w:cs="Arial"/>
          <w:sz w:val="24"/>
          <w:szCs w:val="24"/>
        </w:rPr>
        <w:fldChar w:fldCharType="separate"/>
      </w:r>
      <w:r w:rsidR="00F561F3">
        <w:rPr>
          <w:rFonts w:cs="Arial"/>
          <w:sz w:val="24"/>
        </w:rPr>
        <w:t>(15)</w:t>
      </w:r>
      <w:r w:rsidR="00CB27A1">
        <w:rPr>
          <w:rFonts w:eastAsia="Arial" w:cs="Arial"/>
          <w:sz w:val="24"/>
          <w:szCs w:val="24"/>
        </w:rPr>
        <w:fldChar w:fldCharType="end"/>
      </w:r>
      <w:r w:rsidR="00A0585F">
        <w:rPr>
          <w:rFonts w:eastAsia="Arial" w:cs="Arial"/>
          <w:sz w:val="24"/>
          <w:szCs w:val="24"/>
        </w:rPr>
        <w:t>.</w:t>
      </w:r>
      <w:r w:rsidR="6A0DF453" w:rsidRPr="00D678CF">
        <w:rPr>
          <w:rFonts w:eastAsia="Arial" w:cs="Arial"/>
          <w:sz w:val="24"/>
          <w:szCs w:val="24"/>
        </w:rPr>
        <w:t xml:space="preserve"> The </w:t>
      </w:r>
      <w:r w:rsidR="00B04B75" w:rsidRPr="00D678CF">
        <w:rPr>
          <w:rFonts w:eastAsia="Arial" w:cs="Arial"/>
          <w:sz w:val="24"/>
          <w:szCs w:val="24"/>
        </w:rPr>
        <w:t>d</w:t>
      </w:r>
      <w:r w:rsidR="0EA32EA9" w:rsidRPr="00D678CF">
        <w:rPr>
          <w:rFonts w:eastAsia="Arial" w:cs="Arial"/>
          <w:sz w:val="24"/>
          <w:szCs w:val="24"/>
        </w:rPr>
        <w:t>omains</w:t>
      </w:r>
      <w:r w:rsidR="14CF4ED0" w:rsidRPr="00D678CF">
        <w:rPr>
          <w:rFonts w:eastAsia="Arial" w:cs="Arial"/>
          <w:sz w:val="24"/>
          <w:szCs w:val="24"/>
        </w:rPr>
        <w:t xml:space="preserve"> with </w:t>
      </w:r>
      <w:r w:rsidR="3A344539" w:rsidRPr="00D678CF">
        <w:rPr>
          <w:rFonts w:eastAsia="Arial" w:cs="Arial"/>
          <w:sz w:val="24"/>
          <w:szCs w:val="24"/>
        </w:rPr>
        <w:t xml:space="preserve">lowest scores </w:t>
      </w:r>
      <w:r w:rsidR="14CF4ED0" w:rsidRPr="00D678CF">
        <w:rPr>
          <w:rFonts w:eastAsia="Arial" w:cs="Arial"/>
          <w:sz w:val="24"/>
          <w:szCs w:val="24"/>
        </w:rPr>
        <w:t xml:space="preserve">included: </w:t>
      </w:r>
      <w:r w:rsidR="3200BBD6" w:rsidRPr="00D678CF">
        <w:rPr>
          <w:rFonts w:eastAsia="Arial" w:cs="Arial"/>
          <w:sz w:val="24"/>
          <w:szCs w:val="24"/>
        </w:rPr>
        <w:t>model generation</w:t>
      </w:r>
      <w:r w:rsidR="14CF4ED0" w:rsidRPr="00D678CF">
        <w:rPr>
          <w:rFonts w:eastAsia="Arial" w:cs="Arial"/>
          <w:sz w:val="24"/>
          <w:szCs w:val="24"/>
        </w:rPr>
        <w:t xml:space="preserve"> data </w:t>
      </w:r>
      <w:r w:rsidR="3200BBD6" w:rsidRPr="00D678CF">
        <w:rPr>
          <w:rFonts w:eastAsia="Arial" w:cs="Arial"/>
          <w:sz w:val="24"/>
          <w:szCs w:val="24"/>
        </w:rPr>
        <w:t>(with studies typically using single centre datasets alone</w:t>
      </w:r>
      <w:r w:rsidR="5A2F89A7" w:rsidRPr="00D678CF">
        <w:rPr>
          <w:rFonts w:eastAsia="Arial" w:cs="Arial"/>
          <w:sz w:val="24"/>
          <w:szCs w:val="24"/>
        </w:rPr>
        <w:t xml:space="preserve">, [mean </w:t>
      </w:r>
      <w:r w:rsidR="46339D0C" w:rsidRPr="00D678CF">
        <w:rPr>
          <w:rFonts w:eastAsia="Arial" w:cs="Arial"/>
          <w:sz w:val="24"/>
          <w:szCs w:val="24"/>
        </w:rPr>
        <w:t xml:space="preserve">= </w:t>
      </w:r>
      <w:r w:rsidR="46798953" w:rsidRPr="00D678CF">
        <w:rPr>
          <w:rFonts w:eastAsia="Arial" w:cs="Arial"/>
          <w:sz w:val="24"/>
          <w:szCs w:val="24"/>
        </w:rPr>
        <w:t>0.17/2]</w:t>
      </w:r>
      <w:r w:rsidR="3200BBD6" w:rsidRPr="00D678CF">
        <w:rPr>
          <w:rFonts w:eastAsia="Arial" w:cs="Arial"/>
          <w:sz w:val="24"/>
          <w:szCs w:val="24"/>
        </w:rPr>
        <w:t xml:space="preserve">), </w:t>
      </w:r>
      <w:r w:rsidR="1B4F06B0" w:rsidRPr="00D678CF">
        <w:rPr>
          <w:rFonts w:eastAsia="Arial" w:cs="Arial"/>
          <w:sz w:val="24"/>
          <w:szCs w:val="24"/>
        </w:rPr>
        <w:t>ethnic diversity (</w:t>
      </w:r>
      <w:r w:rsidR="14CF4ED0" w:rsidRPr="00D678CF">
        <w:rPr>
          <w:rFonts w:eastAsia="Arial" w:cs="Arial"/>
          <w:sz w:val="24"/>
          <w:szCs w:val="24"/>
        </w:rPr>
        <w:t xml:space="preserve">commonly </w:t>
      </w:r>
      <w:r w:rsidR="410522D6" w:rsidRPr="00D678CF">
        <w:rPr>
          <w:rFonts w:eastAsia="Arial" w:cs="Arial"/>
          <w:sz w:val="24"/>
          <w:szCs w:val="24"/>
        </w:rPr>
        <w:t>unreported or skewed</w:t>
      </w:r>
      <w:r w:rsidR="46798953" w:rsidRPr="00D678CF">
        <w:rPr>
          <w:rFonts w:eastAsia="Arial" w:cs="Arial"/>
          <w:sz w:val="24"/>
          <w:szCs w:val="24"/>
        </w:rPr>
        <w:t xml:space="preserve"> </w:t>
      </w:r>
      <w:r w:rsidR="46339D0C" w:rsidRPr="00D678CF">
        <w:rPr>
          <w:rFonts w:eastAsia="Arial" w:cs="Arial"/>
          <w:sz w:val="24"/>
          <w:szCs w:val="24"/>
        </w:rPr>
        <w:t>[</w:t>
      </w:r>
      <w:r w:rsidR="46798953" w:rsidRPr="00D678CF">
        <w:rPr>
          <w:rFonts w:eastAsia="Arial" w:cs="Arial"/>
          <w:sz w:val="24"/>
          <w:szCs w:val="24"/>
        </w:rPr>
        <w:t>mean</w:t>
      </w:r>
      <w:r w:rsidR="46339D0C" w:rsidRPr="00D678CF">
        <w:rPr>
          <w:rFonts w:eastAsia="Arial" w:cs="Arial"/>
          <w:sz w:val="24"/>
          <w:szCs w:val="24"/>
        </w:rPr>
        <w:t xml:space="preserve"> = </w:t>
      </w:r>
      <w:r w:rsidR="703F580F" w:rsidRPr="00D678CF">
        <w:rPr>
          <w:rFonts w:eastAsia="Arial" w:cs="Arial"/>
          <w:sz w:val="24"/>
          <w:szCs w:val="24"/>
        </w:rPr>
        <w:t>0.44/2]</w:t>
      </w:r>
      <w:r w:rsidR="14CF4ED0" w:rsidRPr="00D678CF">
        <w:rPr>
          <w:rFonts w:eastAsia="Arial" w:cs="Arial"/>
          <w:sz w:val="24"/>
          <w:szCs w:val="24"/>
        </w:rPr>
        <w:t>)</w:t>
      </w:r>
      <w:r w:rsidR="5A2F89A7" w:rsidRPr="00D678CF">
        <w:rPr>
          <w:rFonts w:eastAsia="Arial" w:cs="Arial"/>
          <w:sz w:val="24"/>
          <w:szCs w:val="24"/>
        </w:rPr>
        <w:t xml:space="preserve">, and representative population </w:t>
      </w:r>
      <w:r w:rsidR="7EA09C8E" w:rsidRPr="00D678CF">
        <w:rPr>
          <w:rFonts w:eastAsia="Arial" w:cs="Arial"/>
          <w:sz w:val="24"/>
          <w:szCs w:val="24"/>
        </w:rPr>
        <w:t xml:space="preserve">[mean </w:t>
      </w:r>
      <w:r w:rsidR="46339D0C" w:rsidRPr="00D678CF">
        <w:rPr>
          <w:rFonts w:eastAsia="Arial" w:cs="Arial"/>
          <w:sz w:val="24"/>
          <w:szCs w:val="24"/>
        </w:rPr>
        <w:t xml:space="preserve">= </w:t>
      </w:r>
      <w:r w:rsidR="7EA09C8E" w:rsidRPr="00D678CF">
        <w:rPr>
          <w:rFonts w:eastAsia="Arial" w:cs="Arial"/>
          <w:sz w:val="24"/>
          <w:szCs w:val="24"/>
        </w:rPr>
        <w:t xml:space="preserve">0.55/4, mode </w:t>
      </w:r>
      <w:r w:rsidR="46339D0C" w:rsidRPr="00D678CF">
        <w:rPr>
          <w:rFonts w:eastAsia="Arial" w:cs="Arial"/>
          <w:sz w:val="24"/>
          <w:szCs w:val="24"/>
        </w:rPr>
        <w:t xml:space="preserve">= </w:t>
      </w:r>
      <w:r w:rsidR="7EA09C8E" w:rsidRPr="00D678CF">
        <w:rPr>
          <w:rFonts w:eastAsia="Arial" w:cs="Arial"/>
          <w:sz w:val="24"/>
          <w:szCs w:val="24"/>
        </w:rPr>
        <w:t>0/4]).</w:t>
      </w:r>
    </w:p>
    <w:p w14:paraId="72B1EF96" w14:textId="72041738" w:rsidR="007118E0" w:rsidRPr="00D678CF" w:rsidRDefault="005D5075" w:rsidP="00D678CF">
      <w:pPr>
        <w:spacing w:line="480" w:lineRule="auto"/>
        <w:jc w:val="both"/>
        <w:rPr>
          <w:rStyle w:val="Hyperlink"/>
          <w:rFonts w:eastAsia="Arial" w:cs="Arial"/>
          <w:sz w:val="24"/>
          <w:szCs w:val="24"/>
          <w:u w:val="none"/>
          <w:vertAlign w:val="superscript"/>
        </w:rPr>
      </w:pPr>
      <w:r w:rsidRPr="00D678CF">
        <w:rPr>
          <w:rFonts w:eastAsia="Arial" w:cs="Arial"/>
          <w:sz w:val="24"/>
          <w:szCs w:val="24"/>
        </w:rPr>
        <w:t>T</w:t>
      </w:r>
      <w:r w:rsidR="007118E0" w:rsidRPr="00D678CF">
        <w:rPr>
          <w:rFonts w:eastAsia="Arial" w:cs="Arial"/>
          <w:sz w:val="24"/>
          <w:szCs w:val="24"/>
        </w:rPr>
        <w:t xml:space="preserve">he </w:t>
      </w:r>
      <w:proofErr w:type="spellStart"/>
      <w:r w:rsidR="007118E0" w:rsidRPr="00D678CF">
        <w:rPr>
          <w:rFonts w:eastAsia="Arial" w:cs="Arial"/>
          <w:sz w:val="24"/>
          <w:szCs w:val="24"/>
        </w:rPr>
        <w:t>PopPK</w:t>
      </w:r>
      <w:proofErr w:type="spellEnd"/>
      <w:r w:rsidR="007118E0" w:rsidRPr="00D678CF">
        <w:rPr>
          <w:rFonts w:eastAsia="Arial" w:cs="Arial"/>
          <w:sz w:val="24"/>
          <w:szCs w:val="24"/>
        </w:rPr>
        <w:t xml:space="preserve"> studies conducted in </w:t>
      </w:r>
      <w:r w:rsidR="3734FAA3" w:rsidRPr="00D678CF">
        <w:rPr>
          <w:rFonts w:eastAsia="Arial" w:cs="Arial"/>
          <w:sz w:val="24"/>
          <w:szCs w:val="24"/>
        </w:rPr>
        <w:t>patients</w:t>
      </w:r>
      <w:r w:rsidR="007118E0" w:rsidRPr="00D678CF">
        <w:rPr>
          <w:rFonts w:eastAsia="Arial" w:cs="Arial"/>
          <w:sz w:val="24"/>
          <w:szCs w:val="24"/>
        </w:rPr>
        <w:t xml:space="preserve"> were largely in hospitalised populations</w:t>
      </w:r>
      <w:r w:rsidR="00EA08E2" w:rsidRPr="00D678CF">
        <w:rPr>
          <w:rFonts w:eastAsia="Arial" w:cs="Arial"/>
          <w:sz w:val="24"/>
          <w:szCs w:val="24"/>
        </w:rPr>
        <w:t xml:space="preserve"> who </w:t>
      </w:r>
      <w:r w:rsidR="00AA4FD8" w:rsidRPr="00D678CF">
        <w:rPr>
          <w:rFonts w:eastAsia="Arial" w:cs="Arial"/>
          <w:sz w:val="24"/>
          <w:szCs w:val="24"/>
        </w:rPr>
        <w:t>may have</w:t>
      </w:r>
      <w:r w:rsidR="00EA08E2" w:rsidRPr="00D678CF">
        <w:rPr>
          <w:rFonts w:eastAsia="Arial" w:cs="Arial"/>
          <w:sz w:val="24"/>
          <w:szCs w:val="24"/>
        </w:rPr>
        <w:t xml:space="preserve"> different </w:t>
      </w:r>
      <w:r w:rsidR="00540BA6" w:rsidRPr="00D678CF">
        <w:rPr>
          <w:rFonts w:eastAsia="Arial" w:cs="Arial"/>
          <w:sz w:val="24"/>
          <w:szCs w:val="24"/>
        </w:rPr>
        <w:t>PK</w:t>
      </w:r>
      <w:r w:rsidR="4801CA28" w:rsidRPr="00D678CF">
        <w:rPr>
          <w:rFonts w:eastAsia="Arial" w:cs="Arial"/>
          <w:sz w:val="24"/>
          <w:szCs w:val="24"/>
        </w:rPr>
        <w:t xml:space="preserve"> parameters </w:t>
      </w:r>
      <w:r w:rsidR="009D7966" w:rsidRPr="00D678CF">
        <w:rPr>
          <w:rFonts w:eastAsia="Arial" w:cs="Arial"/>
          <w:sz w:val="24"/>
          <w:szCs w:val="24"/>
        </w:rPr>
        <w:t xml:space="preserve">compared with </w:t>
      </w:r>
      <w:r w:rsidR="77D74859" w:rsidRPr="00D678CF">
        <w:rPr>
          <w:rFonts w:eastAsia="Arial" w:cs="Arial"/>
          <w:sz w:val="24"/>
          <w:szCs w:val="24"/>
        </w:rPr>
        <w:t xml:space="preserve">generally less ill </w:t>
      </w:r>
      <w:r w:rsidR="009D7966" w:rsidRPr="00D678CF">
        <w:rPr>
          <w:rFonts w:eastAsia="Arial" w:cs="Arial"/>
          <w:sz w:val="24"/>
          <w:szCs w:val="24"/>
        </w:rPr>
        <w:t xml:space="preserve">patients treated in </w:t>
      </w:r>
      <w:r w:rsidR="009D7966" w:rsidRPr="00D678CF">
        <w:rPr>
          <w:rFonts w:eastAsia="Arial" w:cs="Arial"/>
          <w:sz w:val="24"/>
          <w:szCs w:val="24"/>
        </w:rPr>
        <w:lastRenderedPageBreak/>
        <w:t>PHC</w:t>
      </w:r>
      <w:r w:rsidR="00F43870" w:rsidRPr="00D678CF">
        <w:rPr>
          <w:rFonts w:eastAsia="Arial" w:cs="Arial"/>
          <w:sz w:val="24"/>
          <w:szCs w:val="24"/>
        </w:rPr>
        <w:t xml:space="preserve"> settings</w:t>
      </w:r>
      <w:r w:rsidR="007118E0" w:rsidRPr="00D678CF">
        <w:rPr>
          <w:rFonts w:eastAsia="Arial" w:cs="Arial"/>
          <w:sz w:val="24"/>
          <w:szCs w:val="24"/>
        </w:rPr>
        <w:t>. Conversely, twelve of the 18 studies were conducted partially (n=2) or entirely (n=10) in healthy individuals</w:t>
      </w:r>
      <w:r w:rsidR="00A0585F">
        <w:rPr>
          <w:rFonts w:eastAsia="Arial" w:cs="Arial"/>
          <w:sz w:val="24"/>
          <w:szCs w:val="24"/>
        </w:rPr>
        <w:t xml:space="preserve"> </w:t>
      </w:r>
      <w:r w:rsidR="00CB27A1">
        <w:rPr>
          <w:rFonts w:eastAsia="Arial" w:cs="Arial"/>
          <w:sz w:val="24"/>
          <w:szCs w:val="24"/>
        </w:rPr>
        <w:fldChar w:fldCharType="begin"/>
      </w:r>
      <w:r w:rsidR="00F561F3">
        <w:rPr>
          <w:rFonts w:eastAsia="Arial" w:cs="Arial"/>
          <w:sz w:val="24"/>
          <w:szCs w:val="24"/>
        </w:rPr>
        <w:instrText xml:space="preserve"> ADDIN ZOTERO_ITEM CSL_CITATION {"citationID":"GJMTsLAq","properties":{"formattedCitation":"(19\\uc0\\u8211{}25, 28\\uc0\\u8211{}31, 35)","plainCitation":"(19–25, 28–31, 35)","noteIndex":0},"citationItems":[{"id":66,"uris":["http://zotero.org/users/11114586/items/JHGSWLLW"],"itemData":{"id":66,"type":"article-journal","abstract":"Objectives: To describe the population pharmacokinetics of oral amoxicillin and to compare the PTA of current dosing regimens. Methods: Two groups, each with 14 healthy male volunteers, received oral amoxicillin/clavulanic acid tablets on two separate days 1 week apart. One group received 875/125 mg twice daily and 500/125 mg three times daily and the other group 500/125 mg twice daily and 250/125 mg three times daily. A total of 1428 amoxicillin blood samples were collected before and after administration. We analysed the concentration-time profiles using a non-compartmental pharmacokinetic method (PKSolver) and a population pharmacokinetic method (NONMEM). The PTA was computed using Monte Carlo simulations for several dosing regimens. Results: AUC0-24 and Cmax increased non-linearly with dose. The final model included the following components: Savic's transit compartment model, Michaelis-Menten absorption, two distribution compartments and first-order elimination. The mean central volume of distribution was 27.7 L and mean clearance was 21.3 L/h. We included variability for the central volume of distribution (34.4%), clearance (25.8%), transit compartment model parameters and Michaelis-Menten absorption parameters. For 40% fT&gt;MIC and &gt;97.5% PTA, the breakpoints were 0.125 mg/L (500 mg twice daily), 0.25 mg/L (250 mg three times daily and 875 mg twice daily), 0.5 mg/L (500 mg three times daily) and 1 mg/L (750, 875 or 1000 mg three times daily and 500 mg four times daily). Conclusions: The amoxicillin absorption rate appears to be saturable. The PTAs of high-dose as well as twice-daily regimens are less favourable than regimens with lower doses and higher frequency.","container-title":"Journal of Antimicrobial Chemotherapy","DOI":"10.1093/jac/dkw226","issue":"10","page":"2909-2917","title":"Non-linear absorption pharmacokinetics of amoxicillin: Consequences for dosing regimens and clinical breakpoints","volume":"71","author":[{"family":"Velde","given":"F.","non-dropping-particle":"de"},{"family":"Winter","given":"B.C.M.","non-dropping-particle":"de"},{"family":"Koch","given":"B.C.P."},{"family":"Gelder","given":"T.","non-dropping-particle":"van"},{"family":"Mouton","given":"J.W."}],"issued":{"date-parts":[["2016"]]}}},{"id":986,"uris":["http://zotero.org/users/11114586/items/QFW5KWJM"],"itemData":{"id":986,"type":"article-journal","abstract":"Cranberry juice consumption is often recommended along with low-dose oral antibiotics for prophylaxis for recurrent urinary tract infection (UTI). Because multiple membrane transporters are involved in the intestinal absorption and renal excretion of β-lactam antibiotics, we evaluated the potential risk of pharmacokinetic interactions between cranberry juice and the β-lactams amoxicillin (amoxicilline) and cefaclor. The amoxicillin-cranberry juice interaction was investigated in 18 healthy women who received on four separate occasions a single oral test dose of amoxicillin at 500 mg and 2 g with or without cranberry juice cocktail (8 oz) according to a crossover design. A parallel cefaclor-cranberry juice interaction study was also conducted in which 500 mg cefaclor was administered with or without cranberry juice cocktail (12 oz). Data were analyzed by noncompartmental methods and nonlinear mixed-effects compartmental modeling. We conclude that the concurrent use of cranberry juice has no significant effect on the extent of oral absorption or the renal clearance of amoxicillin and cefaclor. However, delays in the absorption of amoxicillin and cefaclor were observed. These results suggest that the use of cranberry juice at usual quantities as prophylaxis for UTI is not likely to alter the pharmacokinetics of these two oral antibiotics. Copyright © 2009, American Society for Microbiology. All Rights Reserved.","container-title":"Antimicrobial agents and chemotherapy","DOI":"10.1128/AAC.00774-08","ISSN":"1098-6596","issue":"7","note":"PMID: 19398645\npublisher: Antimicrob Agents Chemother","page":"2725-2732","title":"Effects of cranberry juice on pharmacokinetics of beta-lactam antibiotics following oral administration","volume":"53","author":[{"family":"Li","given":"Meng"},{"family":"Andrew","given":"Marilee A."},{"family":"Wang","given":"Joanne"},{"family":"Salinger","given":"David H."},{"family":"Vicini","given":"Paolo"},{"family":"Grady","given":"Richard W."},{"family":"Phillips","given":"Brian"},{"family":"Shen","given":"Danny D."},{"family":"Anderson","given":"Gail D."}],"issued":{"date-parts":[["2009",7]]}}},{"id":889,"uris":["http://zotero.org/users/11114586/items/HFIMTZRA"],"itemData":{"id":889,"type":"article-journal","abstract":"Azithromycin (AZI), a broad-spectrum antibiotic, accumulates in polymorphonuclear cells and peripheral blood mononuclear cells. The distribution of AZI in proinflammatory cells may be important to the anti-inflammatory properties. Previous studies have described plasma AZI pharmacokinetics. The objective of this study was to describe the pharmacokinetics of AZI in whole blood (concentration in whole blood [Cb]) and plasma (concentration in plasma [Cp]) of healthy subjects. In this study, 12 subjects received AZI (500 mg once a day for 3 days). AZI Cb and Cp were quantified in serial samples collected up to 3 weeks after the last dose and analyzed using noncompartmental and compartmental methods. After the last dose, Cb was greater than Cp. Importantly, Cb, but not Cp, was quantifiable in all but one subject at 3 weeks. The blood area under the curve during a 24-h dosing interval (AUC24) was ~2-fold greater than the plasma AUC24, but simulations suggested that Cb was not at steady state by day 3. Upon exploration of numerous models, an empirical 3-compartment model adequately described Cp and Cb, but Cp was somewhat underestimated. Intercompartmental clearance (CL; likely representing cells) was lower than apparent oral CL (18 versus 118 liters/h). Plasma, peripheral, and cell compartmental volumes were 439 liters, 2,980 liters, and 3,084 liters, respectively. Interindividual variability in CL was low (26.2%), while the volume of distribution variability was high (107%). This is the first report to describe AZI Cb in healthy subjects, the distribution parameters between Cp and Cb, and AZI retention in blood for up to 3 weeks following 3 daily doses. The model can be used to predict Cb from Cp for AZI under various dosing regimens. (This study has been registered at ClinicalTrials.gov under registration no. NCT01026064.).","container-title":"Antimicrobial agents and chemotherapy","DOI":"https://dx.doi.org/10.1128/AAC.02430-12","ISSN":"1098-6596","issue":"7","note":"publisher-place: United States","page":"3194-3201","title":"Development of a population pharmacokinetic model to describe azithromycin whole-blood and plasma concentrations over time in healthy subjects.","volume":"57","author":[{"family":"Pene Dumitrescu","given":"T"},{"family":"Anic-Milic","given":"T"},{"family":"Oreskovic","given":"K"},{"family":"Padovan","given":"J"},{"family":"Brouwer","given":"K L R"},{"family":"Zuo","given":"P"},{"family":"Schmith","given":"V D"}],"issued":{"date-parts":[["2013"]]}}},{"id":752,"uris":["http://zotero.org/users/11114586/items/JQ85W8X2"],"itemData":{"id":752,"type":"article-journal","abstract":"OBJECTIVES: it is known that the efficacy of azithromycin, in animal infection models, is best correlated with AUC/MIC. The pharmacokinetic-pharmacodynamic (PK-PD) relationship for azithromycin, however, has not been previously confirmed with clinical data. The objectives of this PK-PD analysis were to characterize exposure-response relationships for the efficacy and safety of azithromycin extended release (ER) in Japanese patients, and to evaluate the effects of potential covariates on the prediction of response., METHODS: sparse serum azithromycin concentration, MIC, efficacy and safety data were collected from three Japanese Phase 3 studies of a 2 g single dose of azithromycin-ER for respiratory tract infections. These sparse concentration data were combined with data from eight Phase 1 PK studies in Japanese and Western populations, to develop a robust population PK model using a non-linear mixed effects approach. The exposure-response relationships for efficacy and safety were evaluated using logistic regression., RESULTS: a two-compartment model with first-order absorption and first-order elimination with a lag time adequately described the PK of azithromycin-ER, without any significant ethnic differences in AUC. The percentage of bacteriological and clinical success in patients with AUC/MIC &gt; 5 (95.8% and 100%, respectively) was much higher than in those with AUC/MIC &lt;= 5 (60.0% and 83.3%, respectively)., CONCLUSIONS: as expected, the probabilities of success in the clinical and bacteriological responses were positively associated with AUC/MIC, but not with AUC. For the exposure-safety relationship, the incidence of treatment-related diarrhoea was inversely associated with azithromycin exposure.","container-title":"The Journal of antimicrobial chemotherapy","DOI":"https://dx.doi.org/10.1093/jac/dkq398","ISSN":"1460-2091","issue":"1","note":"publisher-place: England","page":"165-174","title":"Pharmacokinetic-pharmacodynamic analysis of azithromycin extended release in Japanese patients with common respiratory tract infectious disease.","volume":"66","author":[{"family":"Muto","given":"Chieko"},{"family":"Liu","given":"Ping"},{"family":"Chiba","given":"Koji"},{"family":"Suwa","given":"Toshio"}],"issued":{"date-parts":[["2011"]]}}},{"id":911,"uris":["http://zotero.org/users/11114586/items/IA7BASHP"],"itemData":{"id":911,"type":"article-journal","abstract":"Azithromycin's extensive distribution to proinflammatory cells, including peripheral blood mononuclear cells (PBMCs) and polymorphonuclear cells (PMNs), may be important to its antimicrobial and anti-inflammatory properties. The need to simultaneously predict azithromycin concentrations in whole blood (\"blood\"), PBMCs, and PMNs motivated this investigation. A single-dose study in 20 healthy adults was conducted, and nonlinear mixed effects modeling was used to simultaneously describe azithromycin concentrations in blood, PBMCs, and PMNs (simultaneous PK model). Data were well described by a four-compartment mamillary model. Apparent central clearance and volume of distribution estimates were 67.3 l/hour and 336 l (interindividual variability of 114 and 122%, respectively). Bootstrapping and visual predictive checks showed adequate model performance. Azithromycin concentrations in blood, PBMCs, and PMNs from external studies of healthy adults and cystic fibrosis patients were within the 5th and 95th percentiles of model simulations. This novel empirical model can be used to predict azithromycin concentrations in blood, PBMCs, and PMNs with different dosing regimens.","container-title":"CPT: pharmacometrics &amp; systems pharmacology","DOI":"https://dx.doi.org/10.1038/psp.2013.80","ISSN":"2163-8306","note":"publisher-place: United States","page":"e103","title":"Population pharmacokinetics of azithromycin in whole blood, peripheral blood mononuclear cells, and polymorphonuclear cells in healthy adults.","volume":"3","author":[{"family":"Sampson","given":"M R"},{"family":"Dumitrescu","given":"T P"},{"family":"Brouwer","given":"K L R"},{"family":"Schmith","given":"V D"}],"issued":{"date-parts":[["2014"]]}}},{"id":982,"uris":["http://zotero.org/users/11114586/items/25RXIB7U"],"itemData":{"id":982,"type":"article-journal","container-title":"Acta Pharmaceutic Turcica","title":"Population pharmacokinetics of azithromycin after peroral administration to healthy volunteers","author":[{"family":"Idkaidek","given":"Nasir"},{"family":"Najib","given":"Naji"}],"accessed":{"date-parts":[["2023",1,31]]},"issued":{"date-parts":[["2001"]]}}},{"id":910,"uris":["http://zotero.org/users/11114586/items/CQTP2BAX"],"itemData":{"id":910,"type":"article-journal","abstract":"BACKGROUND: Population pharmacokinetics (PK) of azithromycin (AZ) and chloroquine (CQ) following administration of fixed-dose combination tablet formulations of AZ and CQ (AZCQ) was evaluated using data from two studies: 1) in children with symptomatic uncomplicated falciparum malaria in sub-Saharan Africa; and 2) in healthy adults in the United States., METHODS: Study 1 included paediatric subjects randomized to either AZCQ or artemether-lumefantrine treatment in Cohort 1 (age 5-12 years) and Cohort 2 (age 6-59 months). Dosing of AZCQ was approximately 30 mg/kg AZ and 10 mg/kg CQ once daily for 3 days (for &gt;=20 kg weight: AZ/CQ 300/100 mg per tablet; 5 to &lt;20 kg weight: AZ/CQ 150/50 mg per tablet). Study 2 included adults randomized to receive either two AZCQ tablets (AZ/CQ 250/155 mg per tablet) or individual commercial tablets of AZ 500 mg and CQ 300 mg. Serum AZ and plasma CQ concentrations from both studies were pooled. Population PK models were constructed using standard approaches to evaluate the concentration-time data for AZ and CQ and to identify any covariates predictive of PK behaviour., RESULTS: A three-compartment PK model with linear clearance and absorption adequately described AZ data, while a two-compartment model with linear clearance and absorption and an absorption lag adequately described CQ data. No overall bias or substantial model misspecification was evident using diagnostic plots and visual predictive checks. Body weight as an allometric function was the only covariate in the final AZ and CQ PK models. There were significantly lower AZ (0.488 vs 0.745 [mg*h/L]/[mg/kg], p &lt; 0.00001) and CQ (0.836 vs 1.27 [mg*h/L]/[mg/kg], p &lt; 0.00001) exposures (AUCinf) normalized by dose (mg/kg) in children compared with the adults., CONCLUSIONS: The PK of AZ and CQ following administration of AZCQ was well described using a three- and two-compartment model, respectively. AZ and CQ exhibited linear absorption and clearance; the model for CQ included an absorption lag. Weight was predictive of exposure for both AZ and CQ. Assuming equivalent dosing (mg/kg), AZ and CQ exposure in children would be expected to be lower than that in adults, suggesting that children may require a higher dose (mg/kg) than adults to achieve the same AZ and CQ exposure.","container-title":"Malaria journal","DOI":"https://dx.doi.org/10.1186/1475-2875-13-36","ISSN":"1475-2875","note":"publisher-place: England","page":"36","title":"Population pharmacokinetics of azithromycin and chloroquine in healthy adults and paediatric malaria subjects following oral administration of fixed-dose azithromycin and chloroquine combination tablets.","volume":"13","author":[{"family":"Zhao","given":"Qinying"},{"family":"Tensfeldt","given":"Thomas G"},{"family":"Chandra","given":"Richa"},{"family":"Mould","given":"Diane R"}],"issued":{"date-parts":[["2014"]]}}},{"id":978,"uris":["http://zotero.org/users/11114586/items/V56GRWNN"],"itemData":{"id":978,"type":"article-journal","abstract":"Dried blood spot (DBS) antibiotic assays can facilitate pharmacokinetic (PK)/pharmacodynamic (PD) studies in situations where venous blood sampling is logistically difficult. We sought to develop, validate, and apply a DBS assay for rifampin (RIF), fusidic acid (FUS), and ciprofloxacin (CIP). These antibiotics are considered active against organisms in biofilms and are therefore commonly used for the treatment of infections associated with prosthetic implants. A liquid chromatography-mass spectroscopy DBS assay was developed and validated, including red cell partitioning and thermal stability for each drug and the rifampin metabolite desacetyl rifampin (Des-RIF). Plasma and DBS concentrations in 10 healthy adults were compared, and the concentration-time profiles were incorporated into population PK models. The limits of quantification for RIF, Des-RIF, CIP, and FUS in DBS were 15 μg/liter, 14 μg/liter, 25 μg/liter, and 153 μg/liter, respectively. Adjusting for hematocrit, red cell partitioning, and relative recovery, DBS-predicted plasma concentrations were comparable to measured plasma concentrations for each antibiotic (r &gt; 0.95; P &lt; 0.0001), and Bland-Altman plots showed no significant bias. The final population PK estimates of clearance, volume of distribution, and time above threshold MICs for measured and DBS-predicted plasma concentrations were comparable. These drugs were stable in DBSs for at least 10 days at room temperature and 1 month at 4°C. The present DBS antibiotic assays are robust and can be used as surrogates for plasma concentrations to provide valid PK and PK/PD data in a variety of clinical situations, including therapeutic drug monitoring or studies of implant infections.","container-title":"Antimicrobial Agents and Chemotherapy","DOI":"10.1128/AAC.00756-16","ISSN":"10986596","issue":"8","note":"PMID: 27270283\npublisher: American Society for Microbiology (ASM)","page":"4940","title":"Validation and Application of a Dried Blood Spot Assay for Biofilm-Active Antibiotics Commonly Used for Treatment of Prosthetic Implant Infections","volume":"60","author":[{"family":"Knippenberg","given":"Ben"},{"family":"Page-Sharp","given":"Madhu"},{"family":"Salman","given":"Sam"},{"family":"Clark","given":"Ben"},{"family":"Dyer","given":"John"},{"family":"Batty","given":"Kevin T."},{"family":"Davis","given":"Timothy M.E."},{"family":"Manning","given":"Laurens"}],"issued":{"date-parts":[["2016",8,1]]}}},{"id":976,"uris":["http://zotero.org/users/11114586/items/SM5TXKJT"],"itemData":{"id":976,"type":"article-journal","abstract":"Purpose: In the Big Data Era, it seems paradoxical that few drugs have a complete and available set of pharmacometric data. Thus, we have proposed to offer a useful procedure to improve them. Methods: As a result of combine two R-written routines, genetic algorithms (GA) and running simulations from ordinary differential equations based models (RxODE), we have elaborated a procedure capable to optimize raw or observed data in general, running in any computer. Results: We have applied GA-RxODE on pharmacokinetic (PK) raw data of clarithromycin sustained-release formulation, and the obtained final construct, called token data or para-data, maintains the original structure with less variability (e.g., raw tmax 7.85 ± 3.72 h; %CV = 47% vs. corresponding para-data 7.50 ± 1.73 h; %CV = 23%). In addition, the procedure can reconstruct any missing data through para-data genesis. Such para-data were evaluated and validated by population PK modelling. Conclusions: The results of using it on PK information demonstrated that para-data maintains the structure of raw data but with less variability. In addition, such para-data are suitable for further PK analysis or population modelling. This would place the GA-RxODE procedure as a proper tool for pharmacometrics.","container-title":"Journal of Pharmaceutical Innovation","DOI":"10.1007/S12247-020-09430-8/FIGURES/3","ISSN":"19398042","issue":"1","note":"publisher: Springer","page":"152-159","title":"Improving Population Pharmacokinetics Through the Use of Genetic Algorithms","volume":"16","author":[{"family":"Morozov","given":"Mikhail"},{"family":"Nuske","given":"Ezequiel"},{"family":"Serra","given":"Héctor Alejandro"}],"issued":{"date-parts":[["2021",3,1]]}}},{"id":975,"uris":["http://zotero.org/users/11114586/items/36V6KZM9"],"itemData":{"id":975,"type":"article-journal","abstract":"Clarithromycin decreases CYP3A4 activity and thus gradually inhibits its own metabolism as well as that of coadministered drugs. The aim of this study was to obtain an understanding of the time course of these changes. The plasma concentration-time profiles of clarithromycin and its active metabolite, 14(R)-hydroxyclarithromycin, in 12 young healthy volunteers after oral administration of a clarithromycin suspension (500 mg twice a day [b.i.d.] for seven doses) were modeled by population pharmacokinetic analysis in the NONMEM program. The nonlinearity of clarithromycin metabolism was considered during model development, and the metabolite disposition kinetics were assumed to be linear. The absorption kinetics of clarithromycin were best described by a Weibull function model. The pharmacokinetics of clarithromycin and its 14(R)-hydroxyl metabolite were adequately described by a one-compartment model each for clarithromycin and its metabolite as well as an inhibition compartment that reflects the autoinhibition of clarithromycin metabolism. Up to 90% of the apparent total clarithromycin clearance (60 liters/h) was susceptible to reversible autoinhibition, depending on the concentration in the inhibition compartment. The proposed semimechanistic population pharmacokinetic model successfully described the autoinhibition of clarithromycin metabolism and may be used to adjust the doses of other drugs that are metabolized by CYP3A4 and that are coadministered with clarithromycin. Simulations showed that for the standard dose of 500 mg b.i.d., no further increase in the level of exposure occurs after approximately 48 h of treatment. For a 1,000-mg b.i.d. dose, the achievement of steady state is expected to take several days and to achieve a 3.6-fold higher level of clarithromycin exposure than the 500-mg b.i.d. dose. This evaluation provides a rationale for safer and more effective therapy with clarithromycin. Copyright © 2009, American Society for Microbiology. All Rights Reserved.","container-title":"Antimicrobial agents and chemotherapy","DOI":"10.1128/AAC.01193-08","ISSN":"1098-6596","issue":"7","note":"PMID: 19414584\npublisher: Antimicrob Agents Chemother","page":"2892-2901","title":"Modeling the autoinhibition of clarithromycin metabolism during repeated oral administration","volume":"53","author":[{"family":"Abduljalil","given":"Khaled"},{"family":"Kinzig","given":"Martina"},{"family":"Bulitta","given":"Jürgen"},{"family":"Horkovics-Kovats","given":"Stefan"},{"family":"Sörgel","given":"Fritz"},{"family":"Rodamer","given":"Michael"},{"family":"Fuhr","given":"Uwe"}],"issued":{"date-parts":[["2009",7]]}}},{"id":73,"uris":["http://zotero.org/users/11114586/items/N7VU4LYL"],"itemData":{"id":73,"type":"article-journal","abstract":"Objectives: To calculate the clavulanic acid exposure of oral amoxicillin/clavulanic acid dosing regimens, to investigate variability using a population pharmacokinetic model and to explore target attainment using Monte Carlo simulations. Methods: Two groups of healthy male volunteers received amoxicillin/clavulanic acid tablets at the start of a standard meal on two separate days 1 week apart. One group (n=14) received 875/125mg q12h and 500/125mg q8h and the other group (n=15) received 500/125mg q12h and 250/125mg q8h. In total, 1479 blood samples were collected until 8-12 h after administration. Concentrations were analysed using non-compartmental (WinNonLin) and population pharmacokinetic (NONMEM) methods. Results: Median Cmax and AUC0-8 were 2.21mg/L (0.21-4.35) and 4.99 mg·h/L (0.44-8.31), respectively. In 40/58 daily concentration-time profiles, Cmax and AUC0-8 of the morning dose were higher than with later doses. The final population model included a lag time (0.447 h), first-order absorption (3.99 h-1 at 8:00 h, betweensubject variability 52.8%, between-occasion variability 48.5%), one distribution compartment (33.0 L, betweensubject variability 23.9%) and first-order elimination (24.6 L/h, between-subject variability 26.7%). Bioavailability (fixed at 1 at 8:00 h, between-occasion variability 28.2%) and absorption rate decreased over the day. For 97.5% of the simulated population after 125mg q12h or q8h, %fT &gt; Ct at 0.5mg/L was 8.33% (q12h) and 15.2% (q8h), %fT &gt; Ct at 1mg/Lwas 0%(q12h+q8h), and fAUC0-24 was 3.61 (q12h) and 5.56 (q8h) mg·h/L. Conclusions: Clavulanic acid absorption in healthy volunteers is highly variable. Bioavailability and absorption rate decrease over the day. The model developed here may serve to suggest clavulanic acid dosing regimens to optimize efficacy and prevent underdosing.","container-title":"Journal of Antimicrobial Chemotherapy","DOI":"10.1093/JAC/DKX376","issue":"2","page":"469-476","title":"Highly variable absorption of clavulanic acid during the day: A population pharmacokinetic analysis","volume":"73","author":[{"family":"Velde","given":"F.","non-dropping-particle":"de"},{"family":"Winter","given":"B.C.M.","non-dropping-particle":"de"},{"family":"Koch","given":"B.C.P."},{"family":"Van Gelder","given":"T."},{"family":"Mouton","given":"J.W."}],"issued":{"date-parts":[["2018"]]}}},{"id":969,"uris":["http://zotero.org/users/11114586/items/TJBUIQA6"],"itemData":{"id":969,"type":"article-journal","abstract":"The literature presently lacks a population pharmacokinetic analysis of doxycycline. This study aimed to develop a population pharmacokinetic model of doxycycline plasma concentrations that could be used to assess the power of bioequivalence between Doryx delayed-release tablets and Doryx MPC. Doxycycline pharmacokinetic data were available from eight phase 1 clinical trials following single/multiple doses of conventional-release doxycycline capsules, Doryx delayed-release tablets, and Doryx MPC under fed and fasted conditions. A population pharmacokinetic model was developed in a stepwise manner using NONMEM, version 7.3. The final covariate model was developed according to a forward inclusion (P &lt; 0.01) and then backward deletion (P &lt; 0.001) procedure. The final model was a two-compartment model with two-transit absorption compartments. Structural covariates in the base model included formulation effects on relative bioavailability (F), absorption lag (ALAG), and the transit absorption rate (KTR) under the fed status. An absorption delay (lag) for the fed status (FTLAG2 = 0.203 h) was also included in the model as a structural covariate. The fed status was observed to decrease F by 10.5%, and the effect of female sex was a 14.4% increase in clearance. The manuscript presents the first population pharmacokinetic model of doxycycline plasma concentrations following oral doxycycline administration. The model was used to assess the power of bioequivalence between Doryx delayed-release tablets and Doryx MPC, and it could potentially be used to critically examine and optimize doxycycline dose regimens.","container-title":"Antimicrobial Agents and Chemotherapy","DOI":"10.1128/AAC.02401-16","ISSN":"10986596","issue":"3","note":"PMID: 28052851\npublisher: American Society for Microbiology","title":"Population pharmacokinetic model of doxycycline plasma concentrations using pooled study data","volume":"61","author":[{"family":"Hopkins","given":"Ashley M."},{"family":"Wojciechowski","given":"Jessica"},{"family":"Abuhelwa","given":"Ahmad Y."},{"family":"Mudge","given":"Stuart"},{"family":"Upton","given":"Richard N."},{"family":"Foster","given":"David J.R."}],"accessed":{"date-parts":[["2023",1,31]]},"issued":{"date-parts":[["2017",3,1]]}}}],"schema":"https://github.com/citation-style-language/schema/raw/master/csl-citation.json"} </w:instrText>
      </w:r>
      <w:r w:rsidR="00CB27A1">
        <w:rPr>
          <w:rFonts w:eastAsia="Arial" w:cs="Arial"/>
          <w:sz w:val="24"/>
          <w:szCs w:val="24"/>
        </w:rPr>
        <w:fldChar w:fldCharType="separate"/>
      </w:r>
      <w:r w:rsidR="00F561F3" w:rsidRPr="00F561F3">
        <w:rPr>
          <w:rFonts w:cs="Arial"/>
          <w:sz w:val="24"/>
        </w:rPr>
        <w:t>(19–25, 28–31, 35)</w:t>
      </w:r>
      <w:r w:rsidR="00CB27A1">
        <w:rPr>
          <w:rFonts w:eastAsia="Arial" w:cs="Arial"/>
          <w:sz w:val="24"/>
          <w:szCs w:val="24"/>
        </w:rPr>
        <w:fldChar w:fldCharType="end"/>
      </w:r>
      <w:r w:rsidR="007118E0" w:rsidRPr="00D678CF">
        <w:rPr>
          <w:rFonts w:eastAsia="Arial" w:cs="Arial"/>
          <w:sz w:val="24"/>
          <w:szCs w:val="24"/>
        </w:rPr>
        <w:t xml:space="preserve"> (Table 1). </w:t>
      </w:r>
      <w:r w:rsidR="00242EED" w:rsidRPr="00D678CF">
        <w:rPr>
          <w:rFonts w:eastAsia="Arial" w:cs="Arial"/>
          <w:sz w:val="24"/>
          <w:szCs w:val="24"/>
        </w:rPr>
        <w:t>The included studies, especially those conducted in healthy volunteers, disproportionately represent young adult males. Four studies were conducted exclusively in males</w:t>
      </w:r>
      <w:r w:rsidR="00A0585F">
        <w:rPr>
          <w:rFonts w:eastAsia="Arial" w:cs="Arial"/>
          <w:sz w:val="24"/>
          <w:szCs w:val="24"/>
        </w:rPr>
        <w:t xml:space="preserve"> </w:t>
      </w:r>
      <w:r w:rsidR="00CB27A1">
        <w:rPr>
          <w:rFonts w:eastAsia="Arial" w:cs="Arial"/>
          <w:sz w:val="24"/>
          <w:szCs w:val="24"/>
        </w:rPr>
        <w:fldChar w:fldCharType="begin"/>
      </w:r>
      <w:r w:rsidR="00F561F3">
        <w:rPr>
          <w:rFonts w:eastAsia="Arial" w:cs="Arial"/>
          <w:sz w:val="24"/>
          <w:szCs w:val="24"/>
        </w:rPr>
        <w:instrText xml:space="preserve"> ADDIN ZOTERO_ITEM CSL_CITATION {"citationID":"XPV3Z4xk","properties":{"formattedCitation":"(19, 21, 24, 31)","plainCitation":"(19, 21, 24, 31)","noteIndex":0},"citationItems":[{"id":66,"uris":["http://zotero.org/users/11114586/items/JHGSWLLW"],"itemData":{"id":66,"type":"article-journal","abstract":"Objectives: To describe the population pharmacokinetics of oral amoxicillin and to compare the PTA of current dosing regimens. Methods: Two groups, each with 14 healthy male volunteers, received oral amoxicillin/clavulanic acid tablets on two separate days 1 week apart. One group received 875/125 mg twice daily and 500/125 mg three times daily and the other group 500/125 mg twice daily and 250/125 mg three times daily. A total of 1428 amoxicillin blood samples were collected before and after administration. We analysed the concentration-time profiles using a non-compartmental pharmacokinetic method (PKSolver) and a population pharmacokinetic method (NONMEM). The PTA was computed using Monte Carlo simulations for several dosing regimens. Results: AUC0-24 and Cmax increased non-linearly with dose. The final model included the following components: Savic's transit compartment model, Michaelis-Menten absorption, two distribution compartments and first-order elimination. The mean central volume of distribution was 27.7 L and mean clearance was 21.3 L/h. We included variability for the central volume of distribution (34.4%), clearance (25.8%), transit compartment model parameters and Michaelis-Menten absorption parameters. For 40% fT&gt;MIC and &gt;97.5% PTA, the breakpoints were 0.125 mg/L (500 mg twice daily), 0.25 mg/L (250 mg three times daily and 875 mg twice daily), 0.5 mg/L (500 mg three times daily) and 1 mg/L (750, 875 or 1000 mg three times daily and 500 mg four times daily). Conclusions: The amoxicillin absorption rate appears to be saturable. The PTAs of high-dose as well as twice-daily regimens are less favourable than regimens with lower doses and higher frequency.","container-title":"Journal of Antimicrobial Chemotherapy","DOI":"10.1093/jac/dkw226","issue":"10","page":"2909-2917","title":"Non-linear absorption pharmacokinetics of amoxicillin: Consequences for dosing regimens and clinical breakpoints","volume":"71","author":[{"family":"Velde","given":"F.","non-dropping-particle":"de"},{"family":"Winter","given":"B.C.M.","non-dropping-particle":"de"},{"family":"Koch","given":"B.C.P."},{"family":"Gelder","given":"T.","non-dropping-particle":"van"},{"family":"Mouton","given":"J.W."}],"issued":{"date-parts":[["2016"]]}}},{"id":889,"uris":["http://zotero.org/users/11114586/items/HFIMTZRA"],"itemData":{"id":889,"type":"article-journal","abstract":"Azithromycin (AZI), a broad-spectrum antibiotic, accumulates in polymorphonuclear cells and peripheral blood mononuclear cells. The distribution of AZI in proinflammatory cells may be important to the anti-inflammatory properties. Previous studies have described plasma AZI pharmacokinetics. The objective of this study was to describe the pharmacokinetics of AZI in whole blood (concentration in whole blood [Cb]) and plasma (concentration in plasma [Cp]) of healthy subjects. In this study, 12 subjects received AZI (500 mg once a day for 3 days). AZI Cb and Cp were quantified in serial samples collected up to 3 weeks after the last dose and analyzed using noncompartmental and compartmental methods. After the last dose, Cb was greater than Cp. Importantly, Cb, but not Cp, was quantifiable in all but one subject at 3 weeks. The blood area under the curve during a 24-h dosing interval (AUC24) was ~2-fold greater than the plasma AUC24, but simulations suggested that Cb was not at steady state by day 3. Upon exploration of numerous models, an empirical 3-compartment model adequately described Cp and Cb, but Cp was somewhat underestimated. Intercompartmental clearance (CL; likely representing cells) was lower than apparent oral CL (18 versus 118 liters/h). Plasma, peripheral, and cell compartmental volumes were 439 liters, 2,980 liters, and 3,084 liters, respectively. Interindividual variability in CL was low (26.2%), while the volume of distribution variability was high (107%). This is the first report to describe AZI Cb in healthy subjects, the distribution parameters between Cp and Cb, and AZI retention in blood for up to 3 weeks following 3 daily doses. The model can be used to predict Cb from Cp for AZI under various dosing regimens. (This study has been registered at ClinicalTrials.gov under registration no. NCT01026064.).","container-title":"Antimicrobial agents and chemotherapy","DOI":"https://dx.doi.org/10.1128/AAC.02430-12","ISSN":"1098-6596","issue":"7","note":"publisher-place: United States","page":"3194-3201","title":"Development of a population pharmacokinetic model to describe azithromycin whole-blood and plasma concentrations over time in healthy subjects.","volume":"57","author":[{"family":"Pene Dumitrescu","given":"T"},{"family":"Anic-Milic","given":"T"},{"family":"Oreskovic","given":"K"},{"family":"Padovan","given":"J"},{"family":"Brouwer","given":"K L R"},{"family":"Zuo","given":"P"},{"family":"Schmith","given":"V D"}],"issued":{"date-parts":[["2013"]]}}},{"id":982,"uris":["http://zotero.org/users/11114586/items/25RXIB7U"],"itemData":{"id":982,"type":"article-journal","container-title":"Acta Pharmaceutic Turcica","title":"Population pharmacokinetics of azithromycin after peroral administration to healthy volunteers","author":[{"family":"Idkaidek","given":"Nasir"},{"family":"Najib","given":"Naji"}],"accessed":{"date-parts":[["2023",1,31]]},"issued":{"date-parts":[["2001"]]}}},{"id":73,"uris":["http://zotero.org/users/11114586/items/N7VU4LYL"],"itemData":{"id":73,"type":"article-journal","abstract":"Objectives: To calculate the clavulanic acid exposure of oral amoxicillin/clavulanic acid dosing regimens, to investigate variability using a population pharmacokinetic model and to explore target attainment using Monte Carlo simulations. Methods: Two groups of healthy male volunteers received amoxicillin/clavulanic acid tablets at the start of a standard meal on two separate days 1 week apart. One group (n=14) received 875/125mg q12h and 500/125mg q8h and the other group (n=15) received 500/125mg q12h and 250/125mg q8h. In total, 1479 blood samples were collected until 8-12 h after administration. Concentrations were analysed using non-compartmental (WinNonLin) and population pharmacokinetic (NONMEM) methods. Results: Median Cmax and AUC0-8 were 2.21mg/L (0.21-4.35) and 4.99 mg·h/L (0.44-8.31), respectively. In 40/58 daily concentration-time profiles, Cmax and AUC0-8 of the morning dose were higher than with later doses. The final population model included a lag time (0.447 h), first-order absorption (3.99 h-1 at 8:00 h, betweensubject variability 52.8%, between-occasion variability 48.5%), one distribution compartment (33.0 L, betweensubject variability 23.9%) and first-order elimination (24.6 L/h, between-subject variability 26.7%). Bioavailability (fixed at 1 at 8:00 h, between-occasion variability 28.2%) and absorption rate decreased over the day. For 97.5% of the simulated population after 125mg q12h or q8h, %fT &gt; Ct at 0.5mg/L was 8.33% (q12h) and 15.2% (q8h), %fT &gt; Ct at 1mg/Lwas 0%(q12h+q8h), and fAUC0-24 was 3.61 (q12h) and 5.56 (q8h) mg·h/L. Conclusions: Clavulanic acid absorption in healthy volunteers is highly variable. Bioavailability and absorption rate decrease over the day. The model developed here may serve to suggest clavulanic acid dosing regimens to optimize efficacy and prevent underdosing.","container-title":"Journal of Antimicrobial Chemotherapy","DOI":"10.1093/JAC/DKX376","issue":"2","page":"469-476","title":"Highly variable absorption of clavulanic acid during the day: A population pharmacokinetic analysis","volume":"73","author":[{"family":"Velde","given":"F.","non-dropping-particle":"de"},{"family":"Winter","given":"B.C.M.","non-dropping-particle":"de"},{"family":"Koch","given":"B.C.P."},{"family":"Van Gelder","given":"T."},{"family":"Mouton","given":"J.W."}],"issued":{"date-parts":[["2018"]]}}}],"schema":"https://github.com/citation-style-language/schema/raw/master/csl-citation.json"} </w:instrText>
      </w:r>
      <w:r w:rsidR="00CB27A1">
        <w:rPr>
          <w:rFonts w:eastAsia="Arial" w:cs="Arial"/>
          <w:sz w:val="24"/>
          <w:szCs w:val="24"/>
        </w:rPr>
        <w:fldChar w:fldCharType="separate"/>
      </w:r>
      <w:r w:rsidR="00F561F3">
        <w:rPr>
          <w:rFonts w:cs="Arial"/>
          <w:sz w:val="24"/>
        </w:rPr>
        <w:t>(19, 21, 24, 31)</w:t>
      </w:r>
      <w:r w:rsidR="00CB27A1">
        <w:rPr>
          <w:rFonts w:eastAsia="Arial" w:cs="Arial"/>
          <w:sz w:val="24"/>
          <w:szCs w:val="24"/>
        </w:rPr>
        <w:fldChar w:fldCharType="end"/>
      </w:r>
      <w:r w:rsidR="00242EED" w:rsidRPr="00D678CF">
        <w:rPr>
          <w:rFonts w:eastAsia="Arial" w:cs="Arial"/>
          <w:sz w:val="24"/>
          <w:szCs w:val="24"/>
        </w:rPr>
        <w:t xml:space="preserve"> and a further nine had a minority of females</w:t>
      </w:r>
      <w:r w:rsidR="00A0585F">
        <w:rPr>
          <w:rFonts w:eastAsia="Arial" w:cs="Arial"/>
          <w:sz w:val="24"/>
          <w:szCs w:val="24"/>
        </w:rPr>
        <w:t xml:space="preserve"> </w:t>
      </w:r>
      <w:r w:rsidR="00CB27A1">
        <w:rPr>
          <w:rFonts w:eastAsia="Arial" w:cs="Arial"/>
          <w:sz w:val="24"/>
          <w:szCs w:val="24"/>
        </w:rPr>
        <w:fldChar w:fldCharType="begin"/>
      </w:r>
      <w:r w:rsidR="00F561F3">
        <w:rPr>
          <w:rFonts w:eastAsia="Arial" w:cs="Arial"/>
          <w:sz w:val="24"/>
          <w:szCs w:val="24"/>
        </w:rPr>
        <w:instrText xml:space="preserve"> ADDIN ZOTERO_ITEM CSL_CITATION {"citationID":"Pxvw3C40","properties":{"formattedCitation":"(23, 26\\uc0\\u8211{}28, 30, 32, 33, 35, 36)","plainCitation":"(23, 26–28, 30, 32, 33, 35, 36)","noteIndex":0},"citationItems":[{"id":911,"uris":["http://zotero.org/users/11114586/items/IA7BASHP"],"itemData":{"id":911,"type":"article-journal","abstract":"Azithromycin's extensive distribution to proinflammatory cells, including peripheral blood mononuclear cells (PBMCs) and polymorphonuclear cells (PMNs), may be important to its antimicrobial and anti-inflammatory properties. The need to simultaneously predict azithromycin concentrations in whole blood (\"blood\"), PBMCs, and PMNs motivated this investigation. A single-dose study in 20 healthy adults was conducted, and nonlinear mixed effects modeling was used to simultaneously describe azithromycin concentrations in blood, PBMCs, and PMNs (simultaneous PK model). Data were well described by a four-compartment mamillary model. Apparent central clearance and volume of distribution estimates were 67.3 l/hour and 336 l (interindividual variability of 114 and 122%, respectively). Bootstrapping and visual predictive checks showed adequate model performance. Azithromycin concentrations in blood, PBMCs, and PMNs from external studies of healthy adults and cystic fibrosis patients were within the 5th and 95th percentiles of model simulations. This novel empirical model can be used to predict azithromycin concentrations in blood, PBMCs, and PMNs with different dosing regimens.","container-title":"CPT: pharmacometrics &amp; systems pharmacology","DOI":"https://dx.doi.org/10.1038/psp.2013.80","ISSN":"2163-8306","note":"publisher-place: United States","page":"e103","title":"Population pharmacokinetics of azithromycin in whole blood, peripheral blood mononuclear cells, and polymorphonuclear cells in healthy adults.","volume":"3","author":[{"family":"Sampson","given":"M R"},{"family":"Dumitrescu","given":"T P"},{"family":"Brouwer","given":"K L R"},{"family":"Schmith","given":"V D"}],"issued":{"date-parts":[["2014"]]}}},{"id":980,"uris":["http://zotero.org/users/11114586/items/83URMWCB"],"itemData":{"id":980,"type":"article-journal","abstract":"Background: Cephalexin is used for the treatment of methicillin-susceptible Staphylococcus aureus (MSSA) infections in children. Although 4 times daily dosing is recommended, less frequent dosing regimens are often prescribed to improve treatment acceptability and adherence. We developed a population pharmacokinetic model of cephalexin in children to determine a twice-daily (BID) and thrice-daily (TID) cephalexin dosing regimen for MSSA infections. Methods: A population pharmacokinetic model was developed using a nonlinear mixed effects modeling approach. The dataset used was from a prospective open-label pharmacokinetic study of orally administered cephalexin in 12 children 1-16 years of age with bone and joint infections. Simulations were performed to determine a BID and TID dosing regimen so that ≥90% of children in this age group would achieve the pharmacodynamic target for MSSA (ie, time that the free drug concentration exceeds the minimum inhibitory concentration of the bacteria for at least 40% of the dosing interval). Results: The final model was 1 compartment with a transit compartment model to account for delay in oral absorption. For BID dosing, doses of 22-45 and 80 mg/kg were required for MSSA with minimum inhibitory concentrations of 1-2 and 4 mg/L, respectively. For TID dosing, the respective required doses were 15-25 and 45 mg/kg. Conclusions: Our study proposes a BID and TID cephalexin dosing regimen that can be prospectively evaluated. Through reducing the dose frequency of this widely prescribed antibiotic, we can reduce the medication burden for children and improve treatment compliance for MSSA infections.","container-title":"Pediatric Infectious Disease Journal","DOI":"10.1097/INF.0000000000002646","ISSN":"15320987","note":"PMID: 32412727\npublisher: Lippincott Williams and Wilkins","page":"519-522","title":"Twice- And Thrice-daily Cephalexin Dosing for Staphylococcus aureus Infections in Children","author":[{"family":"Gwee","given":"Amanda"},{"family":"Autmizguine","given":"Julie"},{"family":"Curtis","given":"Nigel"},{"family":"Duffull","given":"Stephen B."}],"issued":{"date-parts":[["2020"]]}}},{"id":979,"uris":["http://zotero.org/users/11114586/items/KMAYFSUF"],"itemData":{"id":979,"type":"article-journal","container-title":"Journal of Antimicrobial Chemotherapy","DOI":"10.1093/JAC/DKAB275","ISSN":"0305-7453","issue":"11","page":"2906-2913","title":"Ciprofloxacin population pharmacokinetics during long-term treatment of osteoarticular infections","volume":"76","author":[{"family":"Zahr","given":"Noël"},{"family":"Urien","given":"Saik"},{"family":"Aubry","given":"Alexandra"},{"family":"Chauvin","given":"Charlotte"},{"family":"Comets","given":"Emmanuelle"},{"family":"Llopis","given":"Benoit"},{"family":"Tissot","given":"Nadine"},{"family":"Noe","given":"Gaëlle"},{"family":"Fourniols","given":"Eric"},{"family":"Jaureguiberry","given":"Stéphane"},{"family":"Bleibtreu","given":"Alexandre"},{"family":"Funck-Brentano","given":"Christian"},{"family":"Barrut","given":"Nicolas"},{"family":"Bonnet","given":"Isabelle"},{"family":"Calin","given":"Ruxandra"},{"family":"Caumes","given":"Eric"},{"family":"Clarençon","given":"Frédéric"},{"family":"Daas","given":"Georges"},{"family":"Fautrel","given":"Bruno"},{"family":"Fustier","given":"Anne"},{"family":"Gandjbakhch","given":"Frédérique"},{"family":"Haddad","given":"Elie"},{"family":"Khiami","given":"Frédéric"},{"family":"Lazennec","given":"Jean Yves"},{"family":"Marchant","given":"Maxime"},{"family":"Mercy","given":"Guillaume"},{"family":"Metz","given":"Carole"},{"family":"Miu","given":"Mihaela"},{"family":"Mitrovic","given":"Stéphane"},{"family":"Monsel","given":"Gentiane"},{"family":"Monzani","given":"Quentin"},{"family":"Reubrecht","given":"Vanessa"},{"family":"Robert","given":"Jérôme"}],"issued":{"date-parts":[["2021",10,11]]}}},{"id":978,"uris":["http://zotero.org/users/11114586/items/V56GRWNN"],"itemData":{"id":978,"type":"article-journal","abstract":"Dried blood spot (DBS) antibiotic assays can facilitate pharmacokinetic (PK)/pharmacodynamic (PD) studies in situations where venous blood sampling is logistically difficult. We sought to develop, validate, and apply a DBS assay for rifampin (RIF), fusidic acid (FUS), and ciprofloxacin (CIP). These antibiotics are considered active against organisms in biofilms and are therefore commonly used for the treatment of infections associated with prosthetic implants. A liquid chromatography-mass spectroscopy DBS assay was developed and validated, including red cell partitioning and thermal stability for each drug and the rifampin metabolite desacetyl rifampin (Des-RIF). Plasma and DBS concentrations in 10 healthy adults were compared, and the concentration-time profiles were incorporated into population PK models. The limits of quantification for RIF, Des-RIF, CIP, and FUS in DBS were 15 μg/liter, 14 μg/liter, 25 μg/liter, and 153 μg/liter, respectively. Adjusting for hematocrit, red cell partitioning, and relative recovery, DBS-predicted plasma concentrations were comparable to measured plasma concentrations for each antibiotic (r &gt; 0.95; P &lt; 0.0001), and Bland-Altman plots showed no significant bias. The final population PK estimates of clearance, volume of distribution, and time above threshold MICs for measured and DBS-predicted plasma concentrations were comparable. These drugs were stable in DBSs for at least 10 days at room temperature and 1 month at 4°C. The present DBS antibiotic assays are robust and can be used as surrogates for plasma concentrations to provide valid PK and PK/PD data in a variety of clinical situations, including therapeutic drug monitoring or studies of implant infections.","container-title":"Antimicrobial Agents and Chemotherapy","DOI":"10.1128/AAC.00756-16","ISSN":"10986596","issue":"8","note":"PMID: 27270283\npublisher: American Society for Microbiology (ASM)","page":"4940","title":"Validation and Application of a Dried Blood Spot Assay for Biofilm-Active Antibiotics Commonly Used for Treatment of Prosthetic Implant Infections","volume":"60","author":[{"family":"Knippenberg","given":"Ben"},{"family":"Page-Sharp","given":"Madhu"},{"family":"Salman","given":"Sam"},{"family":"Clark","given":"Ben"},{"family":"Dyer","given":"John"},{"family":"Batty","given":"Kevin T."},{"family":"Davis","given":"Timothy M.E."},{"family":"Manning","given":"Laurens"}],"issued":{"date-parts":[["2016",8,1]]}}},{"id":975,"uris":["http://zotero.org/users/11114586/items/36V6KZM9"],"itemData":{"id":975,"type":"article-journal","abstract":"Clarithromycin decreases CYP3A4 activity and thus gradually inhibits its own metabolism as well as that of coadministered drugs. The aim of this study was to obtain an understanding of the time course of these changes. The plasma concentration-time profiles of clarithromycin and its active metabolite, 14(R)-hydroxyclarithromycin, in 12 young healthy volunteers after oral administration of a clarithromycin suspension (500 mg twice a day [b.i.d.] for seven doses) were modeled by population pharmacokinetic analysis in the NONMEM program. The nonlinearity of clarithromycin metabolism was considered during model development, and the metabolite disposition kinetics were assumed to be linear. The absorption kinetics of clarithromycin were best described by a Weibull function model. The pharmacokinetics of clarithromycin and its 14(R)-hydroxyl metabolite were adequately described by a one-compartment model each for clarithromycin and its metabolite as well as an inhibition compartment that reflects the autoinhibition of clarithromycin metabolism. Up to 90% of the apparent total clarithromycin clearance (60 liters/h) was susceptible to reversible autoinhibition, depending on the concentration in the inhibition compartment. The proposed semimechanistic population pharmacokinetic model successfully described the autoinhibition of clarithromycin metabolism and may be used to adjust the doses of other drugs that are metabolized by CYP3A4 and that are coadministered with clarithromycin. Simulations showed that for the standard dose of 500 mg b.i.d., no further increase in the level of exposure occurs after approximately 48 h of treatment. For a 1,000-mg b.i.d. dose, the achievement of steady state is expected to take several days and to achieve a 3.6-fold higher level of clarithromycin exposure than the 500-mg b.i.d. dose. This evaluation provides a rationale for safer and more effective therapy with clarithromycin. Copyright © 2009, American Society for Microbiology. All Rights Reserved.","container-title":"Antimicrobial agents and chemotherapy","DOI":"10.1128/AAC.01193-08","ISSN":"1098-6596","issue":"7","note":"PMID: 19414584\npublisher: Antimicrob Agents Chemother","page":"2892-2901","title":"Modeling the autoinhibition of clarithromycin metabolism during repeated oral administration","volume":"53","author":[{"family":"Abduljalil","given":"Khaled"},{"family":"Kinzig","given":"Martina"},{"family":"Bulitta","given":"Jürgen"},{"family":"Horkovics-Kovats","given":"Stefan"},{"family":"Sörgel","given":"Fritz"},{"family":"Rodamer","given":"Michael"},{"family":"Fuhr","given":"Uwe"}],"issued":{"date-parts":[["2009",7]]}}},{"id":972,"uris":["http://zotero.org/users/11114586/items/CY5XTXKN"],"itemData":{"id":972,"type":"article-journal","abstract":"The antibiotic combination trimethoprim (TMP)-sulfamethoxazole (SMX) has a broad spectrum of activity and is used for the treatment of numerous infections, but pediatric pharmacokinetic (PK) data are limited. We previously published population PK (popPK) models of oral TMP-SMX in pediatric patients based on sparse opportunistically collected data (POPS study) (J. Autmizguine, C. Melloni, C. P. Hornik, S. Dallefeld, et al., Antimicrob Agents Chemother 62:e01813-17, 2017, https://doi.org/10.1128/AAC.01813-17). We performed a separate PK study of oral TMP-SMX in infants and children with more-traditional PK sample collection and independently developed new popPK models of TMPSMX using this external data set. The POPS data set and the external data set were each used to evaluate both popPK models. The external TMP model had a model and error structure identical to those of the POPS TMP model, with typical values for PK parameters within 20%. The external SMX model did not identify the covariates in the POPS SMX model as significant. The external popPK models predicted higher exposures to TMP (median overprediction of 0.13mg/liter for the POPS data set and 0.061mg/liter for the external data set) and SMX (median overprediction of 1.7mg/liter and 0.90mg/liter) than the POPS TMP (median underprediction of 0.016mg/liter and 0.39mg/liter) and SMX (median underprediction of 1.2mg/liter and 14mg/liter) models. Nonetheless, both models supported TMP-SMX dose increases in infants and young children for resistant pathogens with a MIC of 1mg/liter, although the required dose increase based on the external model was lower.","container-title":"Antimicrobial agents and chemotherapy","DOI":"10.1128/AAC.02149-20","ISSN":"1098-6596","issue":"7","note":"PMID: 33903114\npublisher: Antimicrob Agents Chemother","title":"External Evaluation of Two Pediatric Population Pharmacokinetics Models of Oral Trimethoprim and Sulfamethoxazole","URL":"https://pubmed.ncbi.nlm.nih.gov/33903114/","volume":"65","author":[{"family":"Wu","given":"Yi Shuan S."},{"family":"Cohen-Wolkowiez","given":"Michael"},{"family":"Hornik","given":"Christoph P."},{"family":"Gerhart","given":"Jacqueline G."},{"family":"Autmizguine","given":"Julie"},{"family":"Cobbaert","given":"Marjan"},{"family":"Gonzalez","given":"Daniel"}],"accessed":{"date-parts":[["2023",1,31]]},"issued":{"date-parts":[["2021",7,1]]}}},{"id":971,"uris":["http://zotero.org/users/11114586/items/CLDIDYWA"],"itemData":{"id":971,"type":"article-journal","abstract":"For treatment of multidrug-resistant tuberculosis (MDR-TB), there is a scarcity of antituberculosis drugs. Co-trimoxazole is one of the available drug candidates, and it is already frequently coprescribed for TB-HIV-coinfected patients. However, only limited data are available on the pharmacokinetic (PK) and pharmacodynamic (PD) parameters of co-trimoxazole in TB patients. The objective of this study was to evaluate the PK parameters and in vitro PD data on the effective part of co-trimoxazole: sulfamethoxazole. In a prospective PK study in patients infected with drug-susceptible Mycobacterium tuberculosis (drug-susceptible TB patients) (age, &gt;18), sulfamethoxazole-trimethoprim (SXT) was administered orally at a dose of 960 mg once daily. One-compartment population pharmacokinetic modeling was performed using MW\\Pharm 3.81 (Mediware, Groningen, The Netherlands). The area under the concentration-time curve for the free, unbound fraction of a drug (fAUC)/MIC ratio and the period in which the free concentration exceeded the MIC (fT &gt; MIC) were calculated. Twelve patients received 960 mg co-trimoxazole in addition to first-line drugs. The pharmacokinetic parameters of the population model were as follows (geometric mean ± standard deviation [SD]): metabolic clearance (CLm), 1.57 ± 3.71 liters/h; volume of distribution (V), 0.30 ± 0.05 liters·kg lean body mass-1; drug clearance/creatinine clearance ratio (fr), 0.02 ± 0.13; gamma distribution rate constant (ktr-po), 2.18 ± 1.14; gamma distribution shape factor (n-po), 2.15 ± 0.39. The free fraction of sulfamethoxazole was 0.3, but ranged between 0.2 and 0.4. The median value of the MICs was 9.5 mg/liter (interquartile range [IQR], 4.75 to 9.5), and that of the fAUC/MIC ratio was 14.3 (IQR, 13.0 to 17.5). The percentage of fT &gt; MIC ranged between 43 and 100% of the dosing interval. The PK and PD data from this study are useful to explore a future dosing regimen of co-trimoxazole for MDR-TB treatment. (This study has been registered at ClinicalTrials.gov under registration no. NCT01832987.).","container-title":"Antimicrobial Agents and Chemotherapy","DOI":"10.1128/AAC.02175-15","ISSN":"10986596","issue":"7","note":"PMID: 27067336\npublisher: American Society for Microbiology","page":"3942-3947","title":"Pharmacokinetic evaluation of sulfamethoxazole at 800 milligrams once daily in the treatment of tuberculosis","volume":"60","author":[{"family":"Alsaad","given":"N."},{"family":"Dijkstra","given":"J. A."},{"family":"Akkerman","given":"O. W."},{"family":"De Lange","given":"W. C.M."},{"family":"Van Soolingen","given":"D."},{"family":"Kosterink","given":"J. G.W."},{"family":"Van Der Werf","given":"T. S."},{"family":"Alffenaar","given":"J. W.C."}],"issued":{"date-parts":[["2016",7,1]]}}},{"id":969,"uris":["http://zotero.org/users/11114586/items/TJBUIQA6"],"itemData":{"id":969,"type":"article-journal","abstract":"The literature presently lacks a population pharmacokinetic analysis of doxycycline. This study aimed to develop a population pharmacokinetic model of doxycycline plasma concentrations that could be used to assess the power of bioequivalence between Doryx delayed-release tablets and Doryx MPC. Doxycycline pharmacokinetic data were available from eight phase 1 clinical trials following single/multiple doses of conventional-release doxycycline capsules, Doryx delayed-release tablets, and Doryx MPC under fed and fasted conditions. A population pharmacokinetic model was developed in a stepwise manner using NONMEM, version 7.3. The final covariate model was developed according to a forward inclusion (P &lt; 0.01) and then backward deletion (P &lt; 0.001) procedure. The final model was a two-compartment model with two-transit absorption compartments. Structural covariates in the base model included formulation effects on relative bioavailability (F), absorption lag (ALAG), and the transit absorption rate (KTR) under the fed status. An absorption delay (lag) for the fed status (FTLAG2 = 0.203 h) was also included in the model as a structural covariate. The fed status was observed to decrease F by 10.5%, and the effect of female sex was a 14.4% increase in clearance. The manuscript presents the first population pharmacokinetic model of doxycycline plasma concentrations following oral doxycycline administration. The model was used to assess the power of bioequivalence between Doryx delayed-release tablets and Doryx MPC, and it could potentially be used to critically examine and optimize doxycycline dose regimens.","container-title":"Antimicrobial Agents and Chemotherapy","DOI":"10.1128/AAC.02401-16","ISSN":"10986596","issue":"3","note":"PMID: 28052851\npublisher: American Society for Microbiology","title":"Population pharmacokinetic model of doxycycline plasma concentrations using pooled study data","volume":"61","author":[{"family":"Hopkins","given":"Ashley M."},{"family":"Wojciechowski","given":"Jessica"},{"family":"Abuhelwa","given":"Ahmad Y."},{"family":"Mudge","given":"Stuart"},{"family":"Upton","given":"Richard N."},{"family":"Foster","given":"David J.R."}],"accessed":{"date-parts":[["2023",1,31]]},"issued":{"date-parts":[["2017",3,1]]}}},{"id":968,"uris":["http://zotero.org/users/11114586/items/8UVIAQ8H"],"itemData":{"id":968,"type":"article-journal","abstract":"Oral flucloxacillin may be coadministered with probenecid to reduce flucloxacillin clearance and increase attainment of pharmacokinetic–pharmacodynamic (PK/PD) targets. The aims of this study were to develop a population PK model of free flucloxacillin when administered orally with probenecid, and to identify optimal dosing regimens for this combination. Methods: We performed a prospective observational study of adults (45 participants) treated with oral flucloxacillin 1000 mg and probenecid 500 mg 8-hourly for proven or probable staphylococcal infections. Steady-state mid-dose-interval flucloxacillin measurements (45 concentrations) were combined with existing data from a crossover study of healthy participants receiving flucloxacillin with and without probenecid (11 participants, 363 concentrations). We developed a population pharmacokinetic model of free flucloxacillin concentrations within Monolix, and used Monte Carlo simulation to explore optimal dosing regimens to attain PK/PD targets proposed in the literature (free drug time above minimum inhibitory concentration). Results: Flucloxacillin disposition was best described by a 1-compartment model with a lag time and first-order absorption. Free flucloxacillin clearance depended on probenecid, allometrically-scaled fat free mass (FFM) and estimated glomerular filtration rate (eGFR). Predicted PK/PD target attainment was suboptimal with standard dosing regimens with flucloxacillin alone, but substantially improved in the presence of probenecid. Conclusion: The simulation results reported can be used to identify dose regimens that optimise flucloxacillin exposure according to eGFR and FFM. Patients with higher FFM and eGFR may require the addition of probenecid and 6-hourly dosing to achieve PK/PD targets. The regimen was well-tolerated, suggesting a potential for further evaluation in controlled clinical trials to establish efficacy.","container-title":"British Journal of Clinical Pharmacology","DOI":"10.1111/BCP.14887","ISSN":"1365-2125","issue":"12","note":"PMID: 33963595\npublisher: John Wiley &amp; Sons, Ltd","page":"4681-4690","title":"Population pharmacokinetics of free flucloxacillin in patients treated with oral flucloxacillin plus probenecid","volume":"87","author":[{"family":"Drennan","given":"Philip G."},{"family":"Green","given":"Jared K."},{"family":"Gardiner","given":"Sharon J."},{"family":"Metcalf","given":"Sarah C.L."},{"family":"Kirkpatrick","given":"Carl M.J."},{"family":"Everts","given":"Richard J."},{"family":"Zhang","given":"Mei"},{"family":"Chambers","given":"Stephen T."}],"issued":{"date-parts":[["2021",12,1]]}}}],"schema":"https://github.com/citation-style-language/schema/raw/master/csl-citation.json"} </w:instrText>
      </w:r>
      <w:r w:rsidR="00CB27A1">
        <w:rPr>
          <w:rFonts w:eastAsia="Arial" w:cs="Arial"/>
          <w:sz w:val="24"/>
          <w:szCs w:val="24"/>
        </w:rPr>
        <w:fldChar w:fldCharType="separate"/>
      </w:r>
      <w:r w:rsidR="00F561F3" w:rsidRPr="00F561F3">
        <w:rPr>
          <w:rFonts w:cs="Arial"/>
          <w:sz w:val="24"/>
        </w:rPr>
        <w:t>(23, 26–28, 30, 32, 33, 35, 36)</w:t>
      </w:r>
      <w:r w:rsidR="00CB27A1">
        <w:rPr>
          <w:rFonts w:eastAsia="Arial" w:cs="Arial"/>
          <w:sz w:val="24"/>
          <w:szCs w:val="24"/>
        </w:rPr>
        <w:fldChar w:fldCharType="end"/>
      </w:r>
      <w:r w:rsidR="00CB27A1">
        <w:rPr>
          <w:rFonts w:eastAsia="Arial" w:cs="Arial"/>
          <w:sz w:val="24"/>
          <w:szCs w:val="24"/>
        </w:rPr>
        <w:t xml:space="preserve"> </w:t>
      </w:r>
      <w:r w:rsidR="00242EED" w:rsidRPr="00D678CF">
        <w:rPr>
          <w:rFonts w:eastAsia="Arial" w:cs="Arial"/>
          <w:sz w:val="24"/>
          <w:szCs w:val="24"/>
        </w:rPr>
        <w:t xml:space="preserve">(Table 1). </w:t>
      </w:r>
      <w:r w:rsidR="00A553A2" w:rsidRPr="00D678CF">
        <w:rPr>
          <w:rFonts w:eastAsia="Arial" w:cs="Arial"/>
          <w:sz w:val="24"/>
          <w:szCs w:val="24"/>
        </w:rPr>
        <w:t>There were striking regional imbalances with</w:t>
      </w:r>
      <w:r w:rsidR="007118E0" w:rsidRPr="00D678CF">
        <w:rPr>
          <w:rFonts w:eastAsia="Arial" w:cs="Arial"/>
          <w:sz w:val="24"/>
          <w:szCs w:val="24"/>
        </w:rPr>
        <w:t xml:space="preserve"> the Middle East and North Africa (MENA), Sub-Saharan Africa, Southeast Asia, and South America </w:t>
      </w:r>
      <w:r w:rsidR="00A553A2" w:rsidRPr="00D678CF">
        <w:rPr>
          <w:rFonts w:eastAsia="Arial" w:cs="Arial"/>
          <w:sz w:val="24"/>
          <w:szCs w:val="24"/>
        </w:rPr>
        <w:t xml:space="preserve">being </w:t>
      </w:r>
      <w:r w:rsidR="007118E0" w:rsidRPr="00D678CF">
        <w:rPr>
          <w:rFonts w:eastAsia="Arial" w:cs="Arial"/>
          <w:sz w:val="24"/>
          <w:szCs w:val="24"/>
        </w:rPr>
        <w:t xml:space="preserve">underrepresented (Figure 4b). </w:t>
      </w:r>
      <w:r w:rsidR="00A553A2" w:rsidRPr="00D678CF">
        <w:rPr>
          <w:rFonts w:eastAsia="Arial" w:cs="Arial"/>
          <w:sz w:val="24"/>
          <w:szCs w:val="24"/>
        </w:rPr>
        <w:t xml:space="preserve">Moreover, ethnicity </w:t>
      </w:r>
      <w:r w:rsidR="007118E0" w:rsidRPr="00D678CF">
        <w:rPr>
          <w:rFonts w:eastAsia="Arial" w:cs="Arial"/>
          <w:sz w:val="24"/>
          <w:szCs w:val="24"/>
        </w:rPr>
        <w:t>was often not reported or investigated by studies – where ethnicity was reported, Europeans or Caucasians represented a majority of participants</w:t>
      </w:r>
      <w:r w:rsidR="00A0585F">
        <w:rPr>
          <w:rFonts w:eastAsia="Arial" w:cs="Arial"/>
          <w:sz w:val="24"/>
          <w:szCs w:val="24"/>
        </w:rPr>
        <w:t xml:space="preserve"> </w:t>
      </w:r>
      <w:r w:rsidR="00CB27A1">
        <w:rPr>
          <w:rFonts w:eastAsia="Arial" w:cs="Arial"/>
          <w:sz w:val="24"/>
          <w:szCs w:val="24"/>
        </w:rPr>
        <w:fldChar w:fldCharType="begin"/>
      </w:r>
      <w:r w:rsidR="00F561F3">
        <w:rPr>
          <w:rFonts w:eastAsia="Arial" w:cs="Arial"/>
          <w:sz w:val="24"/>
          <w:szCs w:val="24"/>
        </w:rPr>
        <w:instrText xml:space="preserve"> ADDIN ZOTERO_ITEM CSL_CITATION {"citationID":"XNW2G2Sz","properties":{"formattedCitation":"(33\\uc0\\u8211{}35)","plainCitation":"(33–35)","noteIndex":0},"citationItems":[{"id":971,"uris":["http://zotero.org/users/11114586/items/CLDIDYWA"],"itemData":{"id":971,"type":"article-journal","abstract":"For treatment of multidrug-resistant tuberculosis (MDR-TB), there is a scarcity of antituberculosis drugs. Co-trimoxazole is one of the available drug candidates, and it is already frequently coprescribed for TB-HIV-coinfected patients. However, only limited data are available on the pharmacokinetic (PK) and pharmacodynamic (PD) parameters of co-trimoxazole in TB patients. The objective of this study was to evaluate the PK parameters and in vitro PD data on the effective part of co-trimoxazole: sulfamethoxazole. In a prospective PK study in patients infected with drug-susceptible Mycobacterium tuberculosis (drug-susceptible TB patients) (age, &gt;18), sulfamethoxazole-trimethoprim (SXT) was administered orally at a dose of 960 mg once daily. One-compartment population pharmacokinetic modeling was performed using MW\\Pharm 3.81 (Mediware, Groningen, The Netherlands). The area under the concentration-time curve for the free, unbound fraction of a drug (fAUC)/MIC ratio and the period in which the free concentration exceeded the MIC (fT &gt; MIC) were calculated. Twelve patients received 960 mg co-trimoxazole in addition to first-line drugs. The pharmacokinetic parameters of the population model were as follows (geometric mean ± standard deviation [SD]): metabolic clearance (CLm), 1.57 ± 3.71 liters/h; volume of distribution (V), 0.30 ± 0.05 liters·kg lean body mass-1; drug clearance/creatinine clearance ratio (fr), 0.02 ± 0.13; gamma distribution rate constant (ktr-po), 2.18 ± 1.14; gamma distribution shape factor (n-po), 2.15 ± 0.39. The free fraction of sulfamethoxazole was 0.3, but ranged between 0.2 and 0.4. The median value of the MICs was 9.5 mg/liter (interquartile range [IQR], 4.75 to 9.5), and that of the fAUC/MIC ratio was 14.3 (IQR, 13.0 to 17.5). The percentage of fT &gt; MIC ranged between 43 and 100% of the dosing interval. The PK and PD data from this study are useful to explore a future dosing regimen of co-trimoxazole for MDR-TB treatment. (This study has been registered at ClinicalTrials.gov under registration no. NCT01832987.).","container-title":"Antimicrobial Agents and Chemotherapy","DOI":"10.1128/AAC.02175-15","ISSN":"10986596","issue":"7","note":"PMID: 27067336\npublisher: American Society for Microbiology","page":"3942-3947","title":"Pharmacokinetic evaluation of sulfamethoxazole at 800 milligrams once daily in the treatment of tuberculosis","volume":"60","author":[{"family":"Alsaad","given":"N."},{"family":"Dijkstra","given":"J. A."},{"family":"Akkerman","given":"O. W."},{"family":"De Lange","given":"W. C.M."},{"family":"Van Soolingen","given":"D."},{"family":"Kosterink","given":"J. G.W."},{"family":"Van Der Werf","given":"T. S."},{"family":"Alffenaar","given":"J. W.C."}],"issued":{"date-parts":[["2016",7,1]]}}},{"id":970,"uris":["http://zotero.org/users/11114586/items/QULERYDP"],"itemData":{"id":970,"type":"article-journal","abstract":"Trimethoprim (TMP)-sulfamethoxazole (SMX) is used to treat various types of infections, including community-acquired methicillin-resistant Staphylococcus aureus (CA-MRSA) and Pneumocystis jirovecii infections in children. Pharmacokinetic (PK) data for infants and children are limited, and the optimal dosing is not known. We performed a multicenter, prospective PK study of TMP-SMX in infants and children. Separate population PK models were developed for TMP and SMX administered by the enteral route using nonlinear mixed-effects modeling. Optimal dosing was determined on the basis of the matching adult TMP exposure and attainment of the surrogate pharmacodynamic (PD) target for efficacy, a free TMP concentration above the MIC over 50% of the dosing interval. Data for a total of 153 subjects (240 samples for PK analysis) with a median postnatal age of 8 years (range, 0.1 to 20 years) contributed to the analysis for both drugs. A one-compartment model with first-order absorption and elimination characterized the TMP and SMX PK data well. Weight was included in the base model for clearance (CL/F) and volume of distribution (V/F). Both TMP and SMX CL/F increased with age. In addition, TMP and SMX CL/F were inversely related to the serum creatinine and albumin concentrations, respectively. The exposure achieved in children after oral administration of TMP-SMX at 8/40 mg/kg of body weight/day divided into administration every 12 h matched the exposure achieved in adults after administration of TMP-SMX at 320/1,600 mg/day divided into administration every 12 h and achieved the PD target for bacteria with an MIC of 0.5 mg/liter in 90% of infants and children. The exposure achieved in children after oral administration of TMP-SMX at 12/60 and 15/75 mg/kg/ day divided into administration every 12 h matched the exposure achieved in adults after administration of TMP-SMX at 640/3,200 mg/day divided into administration every 12 h in subjects 6 to 21 years and 0 to 6 years of age, respectively, and was optimal for bacteria with an MIC of up to 1 mg/liter.","container-title":"Antimicrobial agents and chemotherapy","DOI":"10.1128/AAC.01813-17","ISSN":"1098-6596","issue":"1","note":"PMID: 29084742\npublisher: Antimicrob Agents Chemother","title":"Population Pharmacokinetics of Trimethoprim-Sulfamethoxazole in Infants and Children","URL":"https://pubmed.ncbi.nlm.nih.gov/29084742/","volume":"62","author":[{"family":"Autmizguine","given":"Julie"},{"family":"Melloni","given":"Chiara"},{"family":"Hornik","given":"Christoph P."},{"family":"Dallefeld","given":"Samantha"},{"family":"Harper","given":"Barrie"},{"family":"Yogev","given":"Ram"},{"family":"Sullivan","given":"Janice E."},{"family":"Atz","given":"Andrew M."},{"family":"Al-Uzri","given":"Amira"},{"family":"Mendley","given":"Susan"},{"family":"Poindexter","given":"Brenda"},{"family":"Mitchell","given":"Jeff"},{"family":"Lewandowski","given":"Andrew"},{"family":"Delmore","given":"Paula"},{"family":"Cohen-Wolkowiez","given":"Michael"},{"family":"Gonzalez","given":"Daniel"}],"accessed":{"date-parts":[["2023",1,31]]},"issued":{"date-parts":[["2017",1,1]]}}},{"id":969,"uris":["http://zotero.org/users/11114586/items/TJBUIQA6"],"itemData":{"id":969,"type":"article-journal","abstract":"The literature presently lacks a population pharmacokinetic analysis of doxycycline. This study aimed to develop a population pharmacokinetic model of doxycycline plasma concentrations that could be used to assess the power of bioequivalence between Doryx delayed-release tablets and Doryx MPC. Doxycycline pharmacokinetic data were available from eight phase 1 clinical trials following single/multiple doses of conventional-release doxycycline capsules, Doryx delayed-release tablets, and Doryx MPC under fed and fasted conditions. A population pharmacokinetic model was developed in a stepwise manner using NONMEM, version 7.3. The final covariate model was developed according to a forward inclusion (P &lt; 0.01) and then backward deletion (P &lt; 0.001) procedure. The final model was a two-compartment model with two-transit absorption compartments. Structural covariates in the base model included formulation effects on relative bioavailability (F), absorption lag (ALAG), and the transit absorption rate (KTR) under the fed status. An absorption delay (lag) for the fed status (FTLAG2 = 0.203 h) was also included in the model as a structural covariate. The fed status was observed to decrease F by 10.5%, and the effect of female sex was a 14.4% increase in clearance. The manuscript presents the first population pharmacokinetic model of doxycycline plasma concentrations following oral doxycycline administration. The model was used to assess the power of bioequivalence between Doryx delayed-release tablets and Doryx MPC, and it could potentially be used to critically examine and optimize doxycycline dose regimens.","container-title":"Antimicrobial Agents and Chemotherapy","DOI":"10.1128/AAC.02401-16","ISSN":"10986596","issue":"3","note":"PMID: 28052851\npublisher: American Society for Microbiology","title":"Population pharmacokinetic model of doxycycline plasma concentrations using pooled study data","volume":"61","author":[{"family":"Hopkins","given":"Ashley M."},{"family":"Wojciechowski","given":"Jessica"},{"family":"Abuhelwa","given":"Ahmad Y."},{"family":"Mudge","given":"Stuart"},{"family":"Upton","given":"Richard N."},{"family":"Foster","given":"David J.R."}],"accessed":{"date-parts":[["2023",1,31]]},"issued":{"date-parts":[["2017",3,1]]}}}],"schema":"https://github.com/citation-style-language/schema/raw/master/csl-citation.json"} </w:instrText>
      </w:r>
      <w:r w:rsidR="00CB27A1">
        <w:rPr>
          <w:rFonts w:eastAsia="Arial" w:cs="Arial"/>
          <w:sz w:val="24"/>
          <w:szCs w:val="24"/>
        </w:rPr>
        <w:fldChar w:fldCharType="separate"/>
      </w:r>
      <w:r w:rsidR="00F561F3" w:rsidRPr="00F561F3">
        <w:rPr>
          <w:rFonts w:cs="Arial"/>
          <w:sz w:val="24"/>
        </w:rPr>
        <w:t>(33–35)</w:t>
      </w:r>
      <w:r w:rsidR="00CB27A1">
        <w:rPr>
          <w:rFonts w:eastAsia="Arial" w:cs="Arial"/>
          <w:sz w:val="24"/>
          <w:szCs w:val="24"/>
        </w:rPr>
        <w:fldChar w:fldCharType="end"/>
      </w:r>
      <w:r w:rsidR="00A0585F">
        <w:rPr>
          <w:rFonts w:eastAsia="Arial" w:cs="Arial"/>
          <w:sz w:val="24"/>
          <w:szCs w:val="24"/>
        </w:rPr>
        <w:t>.</w:t>
      </w:r>
      <w:r w:rsidR="007118E0" w:rsidRPr="00D678CF">
        <w:rPr>
          <w:rStyle w:val="Hyperlink"/>
          <w:rFonts w:eastAsia="Arial" w:cs="Arial"/>
          <w:sz w:val="24"/>
          <w:szCs w:val="24"/>
          <w:u w:val="none"/>
          <w:vertAlign w:val="superscript"/>
        </w:rPr>
        <w:t xml:space="preserve"> </w:t>
      </w:r>
    </w:p>
    <w:p w14:paraId="5365EA06" w14:textId="7A3FF6AD" w:rsidR="007118E0" w:rsidRDefault="007118E0" w:rsidP="00D678CF">
      <w:pPr>
        <w:spacing w:line="480" w:lineRule="auto"/>
        <w:jc w:val="both"/>
        <w:rPr>
          <w:rFonts w:eastAsia="Arial" w:cs="Arial"/>
          <w:sz w:val="24"/>
          <w:szCs w:val="24"/>
        </w:rPr>
      </w:pPr>
      <w:r w:rsidRPr="00D678CF">
        <w:rPr>
          <w:rFonts w:eastAsia="Arial" w:cs="Arial"/>
          <w:sz w:val="24"/>
          <w:szCs w:val="24"/>
        </w:rPr>
        <w:t xml:space="preserve">Body composition, malnutrition, and obesity </w:t>
      </w:r>
      <w:r w:rsidR="00A553A2" w:rsidRPr="00D678CF">
        <w:rPr>
          <w:rFonts w:eastAsia="Arial" w:cs="Arial"/>
          <w:sz w:val="24"/>
          <w:szCs w:val="24"/>
        </w:rPr>
        <w:t>may</w:t>
      </w:r>
      <w:r w:rsidRPr="00D678CF">
        <w:rPr>
          <w:rFonts w:eastAsia="Arial" w:cs="Arial"/>
          <w:sz w:val="24"/>
          <w:szCs w:val="24"/>
        </w:rPr>
        <w:t xml:space="preserve"> affect PK</w:t>
      </w:r>
      <w:r w:rsidR="00A0585F">
        <w:rPr>
          <w:rFonts w:eastAsia="Arial" w:cs="Arial"/>
          <w:sz w:val="24"/>
          <w:szCs w:val="24"/>
        </w:rPr>
        <w:t xml:space="preserve"> </w:t>
      </w:r>
      <w:r w:rsidR="00CB27A1">
        <w:rPr>
          <w:rFonts w:eastAsia="Arial" w:cs="Arial"/>
          <w:sz w:val="24"/>
          <w:szCs w:val="24"/>
        </w:rPr>
        <w:fldChar w:fldCharType="begin"/>
      </w:r>
      <w:r w:rsidR="00F561F3">
        <w:rPr>
          <w:rFonts w:eastAsia="Arial" w:cs="Arial"/>
          <w:sz w:val="24"/>
          <w:szCs w:val="24"/>
        </w:rPr>
        <w:instrText xml:space="preserve"> ADDIN ZOTERO_ITEM CSL_CITATION {"citationID":"9tIgvOqC","properties":{"formattedCitation":"(37\\uc0\\u8211{}42)","plainCitation":"(37–42)","noteIndex":0},"citationItems":[{"id":963,"uris":["http://zotero.org/users/11114586/items/S8HSGR5J"],"itemData":{"id":963,"type":"article-journal","container-title":"Infection and Drug Resistance","DOI":"10.2147/IDR.S389442","ISSN":"1178-6973","page":"6839-6852","title":"Population Pharmacokinetics of Levofloxacin and Moxifloxacin, and the Probability of Target Attainment in Ethiopian Patients with Multidrug-Resistant Tuberculosis","volume":"Volume 15","author":[{"family":"Sidamo","given":"Temesgen"},{"family":"Rao","given":"Prakruti S"},{"family":"Aklillu","given":"Eleni"},{"family":"Shibeshi","given":"Workineh"},{"family":"Park","given":"Yumi"},{"family":"Cho","given":"Yong-soon"},{"family":"Shin","given":"Jae-Gook"},{"family":"Heysell","given":"Scott K"},{"family":"Mpagama","given":"Stellah G"},{"family":"Engidawork","given":"Ephrem"}],"issued":{"date-parts":[["2022",11]]}}},{"id":759,"uris":["http://zotero.org/users/11114586/items/KHJXWL5A"],"itemData":{"id":759,"type":"article-journal","abstract":"The treatment of infections in critically ill obese and morbidly obese patients is challenging because of the combined physiological changes that result from obesity and critical illness. The aim of this study was to describe the population pharmacokinetics of piperacillin in a cohort of critically ill patients, including obese and morbidly obese patients. Critically ill patients who received piperacillin-tazobactam were classified according to their body mass index (BMI) as nonobese, obese, and morbidly obese. Plasma samples were collected, and piperacillin concentrations were determined by a validated chromatographic method. Population pharmacokinetic analysis and Monte Carlo dosing simulations were performed using Pmetrics software. Thirty-seven critically ill patients (including 12 obese patients and 12 morbidly obese patients) were enrolled. The patients' mean +/- standard deviation age, weight, and BMI were 50 +/- 15 years, 104 +/- 35 kg, and 38.0 +/- 15.0 kg/m2, respectively. The concentration-time data were best described by a two-compartment linear model. The mean +/- SD parameter estimates for the final covariate model were a clearance of 14.0 +/- 7.1 liters/h, a volume of distribution of the central compartment of 49.0 +/- 19.0 liters, an intercompartmental clearance from the central compartment to the peripheral compartment of 0.9 +/- 0.6 liters . h-1, and an intercompartmental clearance from the peripheral compartment to the central compartment of 2.3 +/- 2.8 liters . h-1 A higher measured creatinine clearance and shorter-duration infusions were associated with a lower likelihood of achieving therapeutic piperacillin exposures in patients in all BMI categories. Piperacillin pharmacokinetics are altered in the presence of obesity and critical illness. As with nonobese patients, prolonged infusions increase the likelihood of achieving therapeutic concentrations. Copyright © 2017 American Society for Microbiology.","container-title":"Antimicrobial agents and chemotherapy","DOI":"https://dx.doi.org/10.1128/AAC.01276-16","ISSN":"1098-6596","issue":"3","note":"publisher-place: United States","title":"Population Pharmacokinetics of Piperacillin in Nonobese, Obese, and Morbidly Obese Critically Ill Patients.","URL":"http://ovidsp.ovid.com/ovidweb.cgi?T=JS&amp;PAGE=reference&amp;D=med14&amp;NEWS=N&amp;AN=28052849","volume":"61","author":[{"family":"Alobaid","given":"Abdulaziz S"},{"family":"Wallis","given":"Steven C"},{"family":"Jarrett","given":"Paul"},{"family":"Starr","given":"Therese"},{"family":"Stuart","given":"Janine"},{"family":"Lassig-Smith","given":"Melissa"},{"family":"Mejia","given":"Jenny Lisette Ordonez"},{"family":"Roberts","given":"Michael S"},{"family":"Roger","given":"Claire"},{"family":"Udy","given":"Andrew A"},{"family":"Lipman","given":"Jeffrey"},{"family":"Roberts","given":"Jason A"}],"issued":{"date-parts":[["2017"]]}}},{"id":962,"uris":["http://zotero.org/users/11114586/items/WLQKHRF4"],"itemData":{"id":962,"type":"article-journal","abstract":"Background: The energy requirement of species at each trophic level in an ecological pyramid is a function of the number of organisms and their average mass. Regarding human populations, although considerable attention is given to estimating the number of people, much less is given to estimating average mass, despite evidence that average body mass is increasing. We estimate global human biomass, its distribution by region and the proportion of biomass due to overweight and obesity. Methods: For each country we used data on body mass index (BMI) and height distribution to estimate average adult body mass. We calculated total biomass as the product of population size and average body mass. We estimated the percentage of the population that is overweight (BMI≤25) and obese (BMI≤30) and the biomass due to overweight and obesity. Results: In 2005, global adult human biomass was approximately 287 million tonnes, of which 15 million tonnes were due to overweight (BMI ≤ 25), a mass equivalent to that of 242 million people of average body mass (5% of global human biomass). Biomass due to obesity was 3.5 million tonnes, the mass equivalent of 56 million people of average body mass (1.2% of human biomass). North America has 6% of the world population but 34% of biomass due to obesity. Asia has 61% of the world population but 13% of biomass due to obesity. One tonne of human biomass corresponds to approximately 12 adults in North America and 17 adults in Asia. If all countries had the BMI distribution of the USA, the increase in human biomass of 58 million tonnes would be equivalent in mass to an extra 935 million people of average body mass, and have energy requirements equivalent to that of 473 million adults. Conclusions: Increasing population fatness could have the same implications for world food energy demands as an extra half a billion people living on the earth. © 2012 Walpole et al.; licensee BioMed Central Ltd.","container-title":"BMC Public Health","DOI":"10.1186/1471-2458-12-439","ISSN":"14712458","issue":"1","note":"PMID: 22709383","title":"The weight of nations: An estimation of adult human biomass","URL":"https://click.endnote.com/viewer?doi=10.1186%2F1471-2458-12-439&amp;token=WzM1NjM2ODAsIjEwLjExODYvMTQ3MS0yNDU4LTEyLTQzOSJd.P4f5xUB6TnpVBa-5pUlbW0WOFMU","volume":"12","author":[{"family":"Walpole","given":"Sarah Catherine"},{"family":"Prieto-Merino","given":"David"},{"family":"Edwards","given":"Phil"},{"family":"Cleland","given":"John"},{"family":"Stevens","given":"Gretchen"},{"family":"Roberts","given":"Ian"}],"accessed":{"date-parts":[["2023",2,1]]},"issued":{"date-parts":[["2012"]]}}},{"id":960,"uris":["http://zotero.org/users/11114586/items/PVUWVJM8"],"itemData":{"id":960,"type":"article-journal","abstract":"Summary: Levels of overweight and obesity across low- and middle-income countries (LMIC) have approached levels found in higher-income countries. This is particularly true in the Middle East and North Africa and in Latin America and the Caribbean. Using nationally representative samples of women aged 19-49, n=815,609, this paper documents the annualized rate of increase of overweight from the first survey in early 1990 to the last survey in the present millennium. Overweight increases ranged from 0.31% per year to 0.92% per year for Latin America and the Caribbean and for the Middle East and North Africa, respectively. For a sample of eight countries, using quantile regression, we further demonstrate that mean body mass index (BMI) at the 95th percentile has increased significantly across all regions, representing predicted weight increases of 5-10kg. Furthermore we highlight a major new concern in LMICs, documenting waist circumference increases of 2-4cm at the same BMI (e.g. 25) over an 18-year period. In sum, this paper indicates growing potential for increased cardiometabolic problems linked with a large rightward shift in the BMI distribution and increased waist circumference at each BMI level. © 2013 The Authors. Obesity Reviews published by John Wiley &amp; Sons Ltd on behalf of the International Association for the Study of Obesity.","container-title":"Obesity Reviews","DOI":"10.1111/OBR.12102","ISSN":"14677881","issue":"S2","note":"PMID: 24102717","page":"11-20","title":"New dynamics in global obesity facing low- and middle-income countries","volume":"14","author":[{"family":"Popkin","given":"B. M."},{"family":"Slining","given":"M. M."}],"issued":{"date-parts":[["2013",11]]}}},{"id":959,"uris":["http://zotero.org/users/11114586/items/KS3EUUDY"],"itemData":{"id":959,"type":"article-journal","abstract":"IMPORTANCE: Body mass index (BMI) lower than 16 is the most severe category of adult undernutrition and is associated with substantial morbidity, increased mortality, and poor maternal-fetal outcomes such as low-birth-weight newborns. Little is known about the prevalence and distribution of BMI lower than 16 in low- and middle-income countries (LMIC). OBJECTIVE: To determine the prevalence and distribution of BMI lower than 16 and its change in prevalence over time in women in LMIC. DESIGN, SETTINGS, AND PARTICIPANTS: Cross-sectional data analysis composed of nationally representative surveys from 1993 through 2012 from the Demographic and Health Surveys Program.Women aged 20 through 49 years from 60 LMIC (N = 500 761) and a subset of 40 countries with repeated surveys (N = 604 144) were examined. EXPOSURES: Wealth was measured using a validated asset index, age was categorized in deciles, education by highest completed level (none, primary, secondary, or greater), and place of residence as urban vs rural. MAIN OUTCOMES AND MEASURES: The primary outcomewas BMI lower than 16. Analyses assessed the prevalence of BMI lower than 16, its association with sociodemographic factors, and change in prevalence. Logistic regression models were used to calculate odds ratios (ORs), adjusting for survey design and age structure. RESULTS: Among countries examined, the pooled, weighted, and age-standardized prevalence of BMI lower than 16 was 1.8%(95% CI, 1.7%to 1.8%) with the highest prevalence in India (6.2%[95% CI, 5.9% to 6.5%]), followed by Bangladesh (3.9%[95% CI, 3.4%to 4.3%]), Madagascar (3.4%[95% CI, 2.8% to 4.0%], Timor-Leste (2.9% [95% CI, 2.4% to 3.2%]), Senegal (2.5%[95% CI, 1.9% to 3.2%]), and Sierra Leone (2.2%[95% CI, 1.3% to 3.0%]); and 6 countries had prevalences lower than 0.1% (Albania, Bolivia, Egypt, Peru, Swaziland, and Turkey). The prevalence of BMI lower than 16 in women with a secondary or higher education level was 0.51%(95% CI, 0.47% to 0.55%), and in mutually adjusted models, a less than primary education level was associated with an OR of 1.4 (95% CI, 1.2 to 1.6). The prevalence of BMI lower than 16 was 0.43%(95% CI, 0.37% to 0.48%) in the highest wealth quintile with an OR of 3.0 (95% CI, 2.4 to 3.7) in the lowest wealth quintile. Among the 24 of 39 countries with repeated surveys, there was no decrease in prevalence. In Bangladesh and India, rates were declining with an average absolute change annually of -0.52%(95% CI, -0.58% to -0.46%) in Bangladesh and -0.11% (95% CI, -0.12% to -0.10%) in India. CONCLUSIONS AND RELEVANCE: Among women in 60 LMIC, the prevalence of BMI lower than 16 was 1.8%, and was associated with poverty and low education levels. Prevalence of BMI lower than 16 did not decrease over time in most countries studied.","container-title":"JAMA - Journal of the American Medical Association","DOI":"10.1001/JAMA.2015.15666","ISSN":"15383598","issue":"20","note":"PMID: 26599184\npublisher: American Medical Association","page":"2164-2171","title":"Prevalence of body mass index lower than 16 among women in low- and middle-income countries","volume":"314","author":[{"family":"Razak","given":"Fahad"},{"family":"Corsi","given":"Daniel J."},{"family":"Slutsky","given":"Arthur S."},{"family":"Kurpad","given":"Anura"},{"family":"Berkman","given":"Lisa"},{"family":"Laupacis","given":"Andreas"},{"family":"Subramanian","given":"S. V."}],"issued":{"date-parts":[["2015",11,24]]}}},{"id":961,"uris":["http://zotero.org/users/11114586/items/UFXF94D5"],"itemData":{"id":961,"type":"article-journal","container-title":"Energy Balance and Obesity","note":"PMID: 33534469\npublisher: International Agency for Research on Cancer\nISBN: 9789283225195","title":"Global trends in overweight and obesity","URL":"https://www.ncbi.nlm.nih.gov/books/NBK565817/","author":[{"family":"Nishida","given":"Chizuru"},{"family":"Borghi","given":"Elaine"},{"family":"Branca","given":"Francesco"},{"family":"Onis","given":"Mercedes","dropping-particle":"de"}],"accessed":{"date-parts":[["2023",2,1]]},"issued":{"date-parts":[["2017"]]}}}],"schema":"https://github.com/citation-style-language/schema/raw/master/csl-citation.json"} </w:instrText>
      </w:r>
      <w:r w:rsidR="00CB27A1">
        <w:rPr>
          <w:rFonts w:eastAsia="Arial" w:cs="Arial"/>
          <w:sz w:val="24"/>
          <w:szCs w:val="24"/>
        </w:rPr>
        <w:fldChar w:fldCharType="separate"/>
      </w:r>
      <w:r w:rsidR="00F561F3" w:rsidRPr="00F561F3">
        <w:rPr>
          <w:rFonts w:cs="Arial"/>
          <w:sz w:val="24"/>
        </w:rPr>
        <w:t>(37–42)</w:t>
      </w:r>
      <w:r w:rsidR="00CB27A1">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In low- and middle- income countries (LMICs) (Figure 4a), malnutrition is persistently prevalent and obesity rates are rising</w:t>
      </w:r>
      <w:r w:rsidR="00A0585F">
        <w:rPr>
          <w:rFonts w:eastAsia="Arial" w:cs="Arial"/>
          <w:sz w:val="24"/>
          <w:szCs w:val="24"/>
        </w:rPr>
        <w:t xml:space="preserve"> </w:t>
      </w:r>
      <w:r w:rsidR="00E37ACE">
        <w:rPr>
          <w:rFonts w:eastAsia="Arial" w:cs="Arial"/>
          <w:sz w:val="24"/>
          <w:szCs w:val="24"/>
        </w:rPr>
        <w:fldChar w:fldCharType="begin"/>
      </w:r>
      <w:r w:rsidR="00F561F3">
        <w:rPr>
          <w:rFonts w:eastAsia="Arial" w:cs="Arial"/>
          <w:sz w:val="24"/>
          <w:szCs w:val="24"/>
        </w:rPr>
        <w:instrText xml:space="preserve"> ADDIN ZOTERO_ITEM CSL_CITATION {"citationID":"GKB8rz7B","properties":{"formattedCitation":"(41, 42)","plainCitation":"(41, 42)","noteIndex":0},"citationItems":[{"id":959,"uris":["http://zotero.org/users/11114586/items/KS3EUUDY"],"itemData":{"id":959,"type":"article-journal","abstract":"IMPORTANCE: Body mass index (BMI) lower than 16 is the most severe category of adult undernutrition and is associated with substantial morbidity, increased mortality, and poor maternal-fetal outcomes such as low-birth-weight newborns. Little is known about the prevalence and distribution of BMI lower than 16 in low- and middle-income countries (LMIC). OBJECTIVE: To determine the prevalence and distribution of BMI lower than 16 and its change in prevalence over time in women in LMIC. DESIGN, SETTINGS, AND PARTICIPANTS: Cross-sectional data analysis composed of nationally representative surveys from 1993 through 2012 from the Demographic and Health Surveys Program.Women aged 20 through 49 years from 60 LMIC (N = 500 761) and a subset of 40 countries with repeated surveys (N = 604 144) were examined. EXPOSURES: Wealth was measured using a validated asset index, age was categorized in deciles, education by highest completed level (none, primary, secondary, or greater), and place of residence as urban vs rural. MAIN OUTCOMES AND MEASURES: The primary outcomewas BMI lower than 16. Analyses assessed the prevalence of BMI lower than 16, its association with sociodemographic factors, and change in prevalence. Logistic regression models were used to calculate odds ratios (ORs), adjusting for survey design and age structure. RESULTS: Among countries examined, the pooled, weighted, and age-standardized prevalence of BMI lower than 16 was 1.8%(95% CI, 1.7%to 1.8%) with the highest prevalence in India (6.2%[95% CI, 5.9% to 6.5%]), followed by Bangladesh (3.9%[95% CI, 3.4%to 4.3%]), Madagascar (3.4%[95% CI, 2.8% to 4.0%], Timor-Leste (2.9% [95% CI, 2.4% to 3.2%]), Senegal (2.5%[95% CI, 1.9% to 3.2%]), and Sierra Leone (2.2%[95% CI, 1.3% to 3.0%]); and 6 countries had prevalences lower than 0.1% (Albania, Bolivia, Egypt, Peru, Swaziland, and Turkey). The prevalence of BMI lower than 16 in women with a secondary or higher education level was 0.51%(95% CI, 0.47% to 0.55%), and in mutually adjusted models, a less than primary education level was associated with an OR of 1.4 (95% CI, 1.2 to 1.6). The prevalence of BMI lower than 16 was 0.43%(95% CI, 0.37% to 0.48%) in the highest wealth quintile with an OR of 3.0 (95% CI, 2.4 to 3.7) in the lowest wealth quintile. Among the 24 of 39 countries with repeated surveys, there was no decrease in prevalence. In Bangladesh and India, rates were declining with an average absolute change annually of -0.52%(95% CI, -0.58% to -0.46%) in Bangladesh and -0.11% (95% CI, -0.12% to -0.10%) in India. CONCLUSIONS AND RELEVANCE: Among women in 60 LMIC, the prevalence of BMI lower than 16 was 1.8%, and was associated with poverty and low education levels. Prevalence of BMI lower than 16 did not decrease over time in most countries studied.","container-title":"JAMA - Journal of the American Medical Association","DOI":"10.1001/JAMA.2015.15666","ISSN":"15383598","issue":"20","note":"PMID: 26599184\npublisher: American Medical Association","page":"2164-2171","title":"Prevalence of body mass index lower than 16 among women in low- and middle-income countries","volume":"314","author":[{"family":"Razak","given":"Fahad"},{"family":"Corsi","given":"Daniel J."},{"family":"Slutsky","given":"Arthur S."},{"family":"Kurpad","given":"Anura"},{"family":"Berkman","given":"Lisa"},{"family":"Laupacis","given":"Andreas"},{"family":"Subramanian","given":"S. V."}],"issued":{"date-parts":[["2015",11,24]]}}},{"id":961,"uris":["http://zotero.org/users/11114586/items/UFXF94D5"],"itemData":{"id":961,"type":"article-journal","container-title":"Energy Balance and Obesity","note":"PMID: 33534469\npublisher: International Agency for Research on Cancer\nISBN: 9789283225195","title":"Global trends in overweight and obesity","URL":"https://www.ncbi.nlm.nih.gov/books/NBK565817/","author":[{"family":"Nishida","given":"Chizuru"},{"family":"Borghi","given":"Elaine"},{"family":"Branca","given":"Francesco"},{"family":"Onis","given":"Mercedes","dropping-particle":"de"}],"accessed":{"date-parts":[["2023",2,1]]},"issued":{"date-parts":[["2017"]]}}}],"schema":"https://github.com/citation-style-language/schema/raw/master/csl-citation.json"} </w:instrText>
      </w:r>
      <w:r w:rsidR="00E37ACE">
        <w:rPr>
          <w:rFonts w:eastAsia="Arial" w:cs="Arial"/>
          <w:sz w:val="24"/>
          <w:szCs w:val="24"/>
        </w:rPr>
        <w:fldChar w:fldCharType="separate"/>
      </w:r>
      <w:r w:rsidR="00F561F3">
        <w:rPr>
          <w:rFonts w:cs="Arial"/>
          <w:sz w:val="24"/>
        </w:rPr>
        <w:t>(41, 42)</w:t>
      </w:r>
      <w:r w:rsidR="00E37ACE">
        <w:rPr>
          <w:rFonts w:eastAsia="Arial" w:cs="Arial"/>
          <w:sz w:val="24"/>
          <w:szCs w:val="24"/>
        </w:rPr>
        <w:fldChar w:fldCharType="end"/>
      </w:r>
      <w:r w:rsidRPr="00D678CF">
        <w:rPr>
          <w:rFonts w:eastAsia="Arial" w:cs="Arial"/>
          <w:sz w:val="24"/>
          <w:szCs w:val="24"/>
        </w:rPr>
        <w:t>– however, only two of the included studies were conducted in LMICs</w:t>
      </w:r>
      <w:r w:rsidR="00A0585F">
        <w:rPr>
          <w:rFonts w:eastAsia="Arial" w:cs="Arial"/>
          <w:sz w:val="24"/>
          <w:szCs w:val="24"/>
        </w:rPr>
        <w:t xml:space="preserve"> </w:t>
      </w:r>
      <w:r w:rsidR="00E37ACE">
        <w:rPr>
          <w:rFonts w:eastAsia="Arial" w:cs="Arial"/>
          <w:sz w:val="24"/>
          <w:szCs w:val="24"/>
        </w:rPr>
        <w:fldChar w:fldCharType="begin"/>
      </w:r>
      <w:r w:rsidR="00F561F3">
        <w:rPr>
          <w:rFonts w:eastAsia="Arial" w:cs="Arial"/>
          <w:sz w:val="24"/>
          <w:szCs w:val="24"/>
        </w:rPr>
        <w:instrText xml:space="preserve"> ADDIN ZOTERO_ITEM CSL_CITATION {"citationID":"fDwa2FUw","properties":{"formattedCitation":"(24, 25)","plainCitation":"(24, 25)","noteIndex":0},"citationItems":[{"id":982,"uris":["http://zotero.org/users/11114586/items/25RXIB7U"],"itemData":{"id":982,"type":"article-journal","container-title":"Acta Pharmaceutic Turcica","title":"Population pharmacokinetics of azithromycin after peroral administration to healthy volunteers","author":[{"family":"Idkaidek","given":"Nasir"},{"family":"Najib","given":"Naji"}],"accessed":{"date-parts":[["2023",1,31]]},"issued":{"date-parts":[["2001"]]}}},{"id":910,"uris":["http://zotero.org/users/11114586/items/CQTP2BAX"],"itemData":{"id":910,"type":"article-journal","abstract":"BACKGROUND: Population pharmacokinetics (PK) of azithromycin (AZ) and chloroquine (CQ) following administration of fixed-dose combination tablet formulations of AZ and CQ (AZCQ) was evaluated using data from two studies: 1) in children with symptomatic uncomplicated falciparum malaria in sub-Saharan Africa; and 2) in healthy adults in the United States., METHODS: Study 1 included paediatric subjects randomized to either AZCQ or artemether-lumefantrine treatment in Cohort 1 (age 5-12 years) and Cohort 2 (age 6-59 months). Dosing of AZCQ was approximately 30 mg/kg AZ and 10 mg/kg CQ once daily for 3 days (for &gt;=20 kg weight: AZ/CQ 300/100 mg per tablet; 5 to &lt;20 kg weight: AZ/CQ 150/50 mg per tablet). Study 2 included adults randomized to receive either two AZCQ tablets (AZ/CQ 250/155 mg per tablet) or individual commercial tablets of AZ 500 mg and CQ 300 mg. Serum AZ and plasma CQ concentrations from both studies were pooled. Population PK models were constructed using standard approaches to evaluate the concentration-time data for AZ and CQ and to identify any covariates predictive of PK behaviour., RESULTS: A three-compartment PK model with linear clearance and absorption adequately described AZ data, while a two-compartment model with linear clearance and absorption and an absorption lag adequately described CQ data. No overall bias or substantial model misspecification was evident using diagnostic plots and visual predictive checks. Body weight as an allometric function was the only covariate in the final AZ and CQ PK models. There were significantly lower AZ (0.488 vs 0.745 [mg*h/L]/[mg/kg], p &lt; 0.00001) and CQ (0.836 vs 1.27 [mg*h/L]/[mg/kg], p &lt; 0.00001) exposures (AUCinf) normalized by dose (mg/kg) in children compared with the adults., CONCLUSIONS: The PK of AZ and CQ following administration of AZCQ was well described using a three- and two-compartment model, respectively. AZ and CQ exhibited linear absorption and clearance; the model for CQ included an absorption lag. Weight was predictive of exposure for both AZ and CQ. Assuming equivalent dosing (mg/kg), AZ and CQ exposure in children would be expected to be lower than that in adults, suggesting that children may require a higher dose (mg/kg) than adults to achieve the same AZ and CQ exposure.","container-title":"Malaria journal","DOI":"https://dx.doi.org/10.1186/1475-2875-13-36","ISSN":"1475-2875","note":"publisher-place: England","page":"36","title":"Population pharmacokinetics of azithromycin and chloroquine in healthy adults and paediatric malaria subjects following oral administration of fixed-dose azithromycin and chloroquine combination tablets.","volume":"13","author":[{"family":"Zhao","given":"Qinying"},{"family":"Tensfeldt","given":"Thomas G"},{"family":"Chandra","given":"Richa"},{"family":"Mould","given":"Diane R"}],"issued":{"date-parts":[["2014"]]}}}],"schema":"https://github.com/citation-style-language/schema/raw/master/csl-citation.json"} </w:instrText>
      </w:r>
      <w:r w:rsidR="00E37ACE">
        <w:rPr>
          <w:rFonts w:eastAsia="Arial" w:cs="Arial"/>
          <w:sz w:val="24"/>
          <w:szCs w:val="24"/>
        </w:rPr>
        <w:fldChar w:fldCharType="separate"/>
      </w:r>
      <w:r w:rsidR="00F561F3">
        <w:rPr>
          <w:rFonts w:cs="Arial"/>
          <w:sz w:val="24"/>
        </w:rPr>
        <w:t>(24, 25)</w:t>
      </w:r>
      <w:r w:rsidR="00E37ACE">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w:t>
      </w:r>
      <w:proofErr w:type="spellStart"/>
      <w:r w:rsidRPr="00D678CF">
        <w:rPr>
          <w:rFonts w:eastAsia="Arial" w:cs="Arial"/>
          <w:sz w:val="24"/>
          <w:szCs w:val="24"/>
        </w:rPr>
        <w:t>AWaRe</w:t>
      </w:r>
      <w:proofErr w:type="spellEnd"/>
      <w:r w:rsidRPr="00D678CF">
        <w:rPr>
          <w:rFonts w:eastAsia="Arial" w:cs="Arial"/>
          <w:sz w:val="24"/>
          <w:szCs w:val="24"/>
        </w:rPr>
        <w:t xml:space="preserve"> Book recommendations apply to children and over-65s, but these age groups are even scarcer in existing datasets. Only four studies were conducted at least in part in paediatric populations</w:t>
      </w:r>
      <w:r w:rsidR="00A0585F">
        <w:rPr>
          <w:rFonts w:eastAsia="Arial" w:cs="Arial"/>
          <w:sz w:val="24"/>
          <w:szCs w:val="24"/>
        </w:rPr>
        <w:t xml:space="preserve"> </w:t>
      </w:r>
      <w:r w:rsidR="00E37ACE">
        <w:rPr>
          <w:rFonts w:eastAsia="Arial" w:cs="Arial"/>
          <w:sz w:val="24"/>
          <w:szCs w:val="24"/>
        </w:rPr>
        <w:fldChar w:fldCharType="begin"/>
      </w:r>
      <w:r w:rsidR="00F561F3">
        <w:rPr>
          <w:rFonts w:eastAsia="Arial" w:cs="Arial"/>
          <w:sz w:val="24"/>
          <w:szCs w:val="24"/>
        </w:rPr>
        <w:instrText xml:space="preserve"> ADDIN ZOTERO_ITEM CSL_CITATION {"citationID":"A7qHgnjU","properties":{"formattedCitation":"(25, 26, 32, 34)","plainCitation":"(25, 26, 32, 34)","noteIndex":0},"citationItems":[{"id":910,"uris":["http://zotero.org/users/11114586/items/CQTP2BAX"],"itemData":{"id":910,"type":"article-journal","abstract":"BACKGROUND: Population pharmacokinetics (PK) of azithromycin (AZ) and chloroquine (CQ) following administration of fixed-dose combination tablet formulations of AZ and CQ (AZCQ) was evaluated using data from two studies: 1) in children with symptomatic uncomplicated falciparum malaria in sub-Saharan Africa; and 2) in healthy adults in the United States., METHODS: Study 1 included paediatric subjects randomized to either AZCQ or artemether-lumefantrine treatment in Cohort 1 (age 5-12 years) and Cohort 2 (age 6-59 months). Dosing of AZCQ was approximately 30 mg/kg AZ and 10 mg/kg CQ once daily for 3 days (for &gt;=20 kg weight: AZ/CQ 300/100 mg per tablet; 5 to &lt;20 kg weight: AZ/CQ 150/50 mg per tablet). Study 2 included adults randomized to receive either two AZCQ tablets (AZ/CQ 250/155 mg per tablet) or individual commercial tablets of AZ 500 mg and CQ 300 mg. Serum AZ and plasma CQ concentrations from both studies were pooled. Population PK models were constructed using standard approaches to evaluate the concentration-time data for AZ and CQ and to identify any covariates predictive of PK behaviour., RESULTS: A three-compartment PK model with linear clearance and absorption adequately described AZ data, while a two-compartment model with linear clearance and absorption and an absorption lag adequately described CQ data. No overall bias or substantial model misspecification was evident using diagnostic plots and visual predictive checks. Body weight as an allometric function was the only covariate in the final AZ and CQ PK models. There were significantly lower AZ (0.488 vs 0.745 [mg*h/L]/[mg/kg], p &lt; 0.00001) and CQ (0.836 vs 1.27 [mg*h/L]/[mg/kg], p &lt; 0.00001) exposures (AUCinf) normalized by dose (mg/kg) in children compared with the adults., CONCLUSIONS: The PK of AZ and CQ following administration of AZCQ was well described using a three- and two-compartment model, respectively. AZ and CQ exhibited linear absorption and clearance; the model for CQ included an absorption lag. Weight was predictive of exposure for both AZ and CQ. Assuming equivalent dosing (mg/kg), AZ and CQ exposure in children would be expected to be lower than that in adults, suggesting that children may require a higher dose (mg/kg) than adults to achieve the same AZ and CQ exposure.","container-title":"Malaria journal","DOI":"https://dx.doi.org/10.1186/1475-2875-13-36","ISSN":"1475-2875","note":"publisher-place: England","page":"36","title":"Population pharmacokinetics of azithromycin and chloroquine in healthy adults and paediatric malaria subjects following oral administration of fixed-dose azithromycin and chloroquine combination tablets.","volume":"13","author":[{"family":"Zhao","given":"Qinying"},{"family":"Tensfeldt","given":"Thomas G"},{"family":"Chandra","given":"Richa"},{"family":"Mould","given":"Diane R"}],"issued":{"date-parts":[["2014"]]}}},{"id":980,"uris":["http://zotero.org/users/11114586/items/83URMWCB"],"itemData":{"id":980,"type":"article-journal","abstract":"Background: Cephalexin is used for the treatment of methicillin-susceptible Staphylococcus aureus (MSSA) infections in children. Although 4 times daily dosing is recommended, less frequent dosing regimens are often prescribed to improve treatment acceptability and adherence. We developed a population pharmacokinetic model of cephalexin in children to determine a twice-daily (BID) and thrice-daily (TID) cephalexin dosing regimen for MSSA infections. Methods: A population pharmacokinetic model was developed using a nonlinear mixed effects modeling approach. The dataset used was from a prospective open-label pharmacokinetic study of orally administered cephalexin in 12 children 1-16 years of age with bone and joint infections. Simulations were performed to determine a BID and TID dosing regimen so that ≥90% of children in this age group would achieve the pharmacodynamic target for MSSA (ie, time that the free drug concentration exceeds the minimum inhibitory concentration of the bacteria for at least 40% of the dosing interval). Results: The final model was 1 compartment with a transit compartment model to account for delay in oral absorption. For BID dosing, doses of 22-45 and 80 mg/kg were required for MSSA with minimum inhibitory concentrations of 1-2 and 4 mg/L, respectively. For TID dosing, the respective required doses were 15-25 and 45 mg/kg. Conclusions: Our study proposes a BID and TID cephalexin dosing regimen that can be prospectively evaluated. Through reducing the dose frequency of this widely prescribed antibiotic, we can reduce the medication burden for children and improve treatment compliance for MSSA infections.","container-title":"Pediatric Infectious Disease Journal","DOI":"10.1097/INF.0000000000002646","ISSN":"15320987","note":"PMID: 32412727\npublisher: Lippincott Williams and Wilkins","page":"519-522","title":"Twice- And Thrice-daily Cephalexin Dosing for Staphylococcus aureus Infections in Children","author":[{"family":"Gwee","given":"Amanda"},{"family":"Autmizguine","given":"Julie"},{"family":"Curtis","given":"Nigel"},{"family":"Duffull","given":"Stephen B."}],"issued":{"date-parts":[["2020"]]}}},{"id":972,"uris":["http://zotero.org/users/11114586/items/CY5XTXKN"],"itemData":{"id":972,"type":"article-journal","abstract":"The antibiotic combination trimethoprim (TMP)-sulfamethoxazole (SMX) has a broad spectrum of activity and is used for the treatment of numerous infections, but pediatric pharmacokinetic (PK) data are limited. We previously published population PK (popPK) models of oral TMP-SMX in pediatric patients based on sparse opportunistically collected data (POPS study) (J. Autmizguine, C. Melloni, C. P. Hornik, S. Dallefeld, et al., Antimicrob Agents Chemother 62:e01813-17, 2017, https://doi.org/10.1128/AAC.01813-17). We performed a separate PK study of oral TMP-SMX in infants and children with more-traditional PK sample collection and independently developed new popPK models of TMPSMX using this external data set. The POPS data set and the external data set were each used to evaluate both popPK models. The external TMP model had a model and error structure identical to those of the POPS TMP model, with typical values for PK parameters within 20%. The external SMX model did not identify the covariates in the POPS SMX model as significant. The external popPK models predicted higher exposures to TMP (median overprediction of 0.13mg/liter for the POPS data set and 0.061mg/liter for the external data set) and SMX (median overprediction of 1.7mg/liter and 0.90mg/liter) than the POPS TMP (median underprediction of 0.016mg/liter and 0.39mg/liter) and SMX (median underprediction of 1.2mg/liter and 14mg/liter) models. Nonetheless, both models supported TMP-SMX dose increases in infants and young children for resistant pathogens with a MIC of 1mg/liter, although the required dose increase based on the external model was lower.","container-title":"Antimicrobial agents and chemotherapy","DOI":"10.1128/AAC.02149-20","ISSN":"1098-6596","issue":"7","note":"PMID: 33903114\npublisher: Antimicrob Agents Chemother","title":"External Evaluation of Two Pediatric Population Pharmacokinetics Models of Oral Trimethoprim and Sulfamethoxazole","URL":"https://pubmed.ncbi.nlm.nih.gov/33903114/","volume":"65","author":[{"family":"Wu","given":"Yi Shuan S."},{"family":"Cohen-Wolkowiez","given":"Michael"},{"family":"Hornik","given":"Christoph P."},{"family":"Gerhart","given":"Jacqueline G."},{"family":"Autmizguine","given":"Julie"},{"family":"Cobbaert","given":"Marjan"},{"family":"Gonzalez","given":"Daniel"}],"accessed":{"date-parts":[["2023",1,31]]},"issued":{"date-parts":[["2021",7,1]]}}},{"id":970,"uris":["http://zotero.org/users/11114586/items/QULERYDP"],"itemData":{"id":970,"type":"article-journal","abstract":"Trimethoprim (TMP)-sulfamethoxazole (SMX) is used to treat various types of infections, including community-acquired methicillin-resistant Staphylococcus aureus (CA-MRSA) and Pneumocystis jirovecii infections in children. Pharmacokinetic (PK) data for infants and children are limited, and the optimal dosing is not known. We performed a multicenter, prospective PK study of TMP-SMX in infants and children. Separate population PK models were developed for TMP and SMX administered by the enteral route using nonlinear mixed-effects modeling. Optimal dosing was determined on the basis of the matching adult TMP exposure and attainment of the surrogate pharmacodynamic (PD) target for efficacy, a free TMP concentration above the MIC over 50% of the dosing interval. Data for a total of 153 subjects (240 samples for PK analysis) with a median postnatal age of 8 years (range, 0.1 to 20 years) contributed to the analysis for both drugs. A one-compartment model with first-order absorption and elimination characterized the TMP and SMX PK data well. Weight was included in the base model for clearance (CL/F) and volume of distribution (V/F). Both TMP and SMX CL/F increased with age. In addition, TMP and SMX CL/F were inversely related to the serum creatinine and albumin concentrations, respectively. The exposure achieved in children after oral administration of TMP-SMX at 8/40 mg/kg of body weight/day divided into administration every 12 h matched the exposure achieved in adults after administration of TMP-SMX at 320/1,600 mg/day divided into administration every 12 h and achieved the PD target for bacteria with an MIC of 0.5 mg/liter in 90% of infants and children. The exposure achieved in children after oral administration of TMP-SMX at 12/60 and 15/75 mg/kg/ day divided into administration every 12 h matched the exposure achieved in adults after administration of TMP-SMX at 640/3,200 mg/day divided into administration every 12 h in subjects 6 to 21 years and 0 to 6 years of age, respectively, and was optimal for bacteria with an MIC of up to 1 mg/liter.","container-title":"Antimicrobial agents and chemotherapy","DOI":"10.1128/AAC.01813-17","ISSN":"1098-6596","issue":"1","note":"PMID: 29084742\npublisher: Antimicrob Agents Chemother","title":"Population Pharmacokinetics of Trimethoprim-Sulfamethoxazole in Infants and Children","URL":"https://pubmed.ncbi.nlm.nih.gov/29084742/","volume":"62","author":[{"family":"Autmizguine","given":"Julie"},{"family":"Melloni","given":"Chiara"},{"family":"Hornik","given":"Christoph P."},{"family":"Dallefeld","given":"Samantha"},{"family":"Harper","given":"Barrie"},{"family":"Yogev","given":"Ram"},{"family":"Sullivan","given":"Janice E."},{"family":"Atz","given":"Andrew M."},{"family":"Al-Uzri","given":"Amira"},{"family":"Mendley","given":"Susan"},{"family":"Poindexter","given":"Brenda"},{"family":"Mitchell","given":"Jeff"},{"family":"Lewandowski","given":"Andrew"},{"family":"Delmore","given":"Paula"},{"family":"Cohen-Wolkowiez","given":"Michael"},{"family":"Gonzalez","given":"Daniel"}],"accessed":{"date-parts":[["2023",1,31]]},"issued":{"date-parts":[["2017",1,1]]}}}],"schema":"https://github.com/citation-style-language/schema/raw/master/csl-citation.json"} </w:instrText>
      </w:r>
      <w:r w:rsidR="00E37ACE">
        <w:rPr>
          <w:rFonts w:eastAsia="Arial" w:cs="Arial"/>
          <w:sz w:val="24"/>
          <w:szCs w:val="24"/>
        </w:rPr>
        <w:fldChar w:fldCharType="separate"/>
      </w:r>
      <w:r w:rsidR="00F561F3">
        <w:rPr>
          <w:rFonts w:cs="Arial"/>
          <w:sz w:val="24"/>
        </w:rPr>
        <w:t>(25, 26, 32, 34)</w:t>
      </w:r>
      <w:r w:rsidR="00E37ACE">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There were only four studies where participant age extended above 65 years, and only two studies where it extended above 80 years</w:t>
      </w:r>
      <w:r w:rsidR="00A0585F">
        <w:rPr>
          <w:rFonts w:eastAsia="Arial" w:cs="Arial"/>
          <w:sz w:val="24"/>
          <w:szCs w:val="24"/>
        </w:rPr>
        <w:t xml:space="preserve"> </w:t>
      </w:r>
      <w:r w:rsidR="00E37ACE">
        <w:rPr>
          <w:rFonts w:eastAsia="Arial" w:cs="Arial"/>
          <w:sz w:val="24"/>
          <w:szCs w:val="24"/>
        </w:rPr>
        <w:fldChar w:fldCharType="begin"/>
      </w:r>
      <w:r w:rsidR="00F561F3">
        <w:rPr>
          <w:rFonts w:eastAsia="Arial" w:cs="Arial"/>
          <w:sz w:val="24"/>
          <w:szCs w:val="24"/>
        </w:rPr>
        <w:instrText xml:space="preserve"> ADDIN ZOTERO_ITEM CSL_CITATION {"citationID":"nICxqfTE","properties":{"formattedCitation":"(22, 27, 35, 36)","plainCitation":"(22, 27, 35, 36)","noteIndex":0},"citationItems":[{"id":752,"uris":["http://zotero.org/users/11114586/items/JQ85W8X2"],"itemData":{"id":752,"type":"article-journal","abstract":"OBJECTIVES: it is known that the efficacy of azithromycin, in animal infection models, is best correlated with AUC/MIC. The pharmacokinetic-pharmacodynamic (PK-PD) relationship for azithromycin, however, has not been previously confirmed with clinical data. The objectives of this PK-PD analysis were to characterize exposure-response relationships for the efficacy and safety of azithromycin extended release (ER) in Japanese patients, and to evaluate the effects of potential covariates on the prediction of response., METHODS: sparse serum azithromycin concentration, MIC, efficacy and safety data were collected from three Japanese Phase 3 studies of a 2 g single dose of azithromycin-ER for respiratory tract infections. These sparse concentration data were combined with data from eight Phase 1 PK studies in Japanese and Western populations, to develop a robust population PK model using a non-linear mixed effects approach. The exposure-response relationships for efficacy and safety were evaluated using logistic regression., RESULTS: a two-compartment model with first-order absorption and first-order elimination with a lag time adequately described the PK of azithromycin-ER, without any significant ethnic differences in AUC. The percentage of bacteriological and clinical success in patients with AUC/MIC &gt; 5 (95.8% and 100%, respectively) was much higher than in those with AUC/MIC &lt;= 5 (60.0% and 83.3%, respectively)., CONCLUSIONS: as expected, the probabilities of success in the clinical and bacteriological responses were positively associated with AUC/MIC, but not with AUC. For the exposure-safety relationship, the incidence of treatment-related diarrhoea was inversely associated with azithromycin exposure.","container-title":"The Journal of antimicrobial chemotherapy","DOI":"https://dx.doi.org/10.1093/jac/dkq398","ISSN":"1460-2091","issue":"1","note":"publisher-place: England","page":"165-174","title":"Pharmacokinetic-pharmacodynamic analysis of azithromycin extended release in Japanese patients with common respiratory tract infectious disease.","volume":"66","author":[{"family":"Muto","given":"Chieko"},{"family":"Liu","given":"Ping"},{"family":"Chiba","given":"Koji"},{"family":"Suwa","given":"Toshio"}],"issued":{"date-parts":[["2011"]]}}},{"id":979,"uris":["http://zotero.org/users/11114586/items/KMAYFSUF"],"itemData":{"id":979,"type":"article-journal","container-title":"Journal of Antimicrobial Chemotherapy","DOI":"10.1093/JAC/DKAB275","ISSN":"0305-7453","issue":"11","page":"2906-2913","title":"Ciprofloxacin population pharmacokinetics during long-term treatment of osteoarticular infections","volume":"76","author":[{"family":"Zahr","given":"Noël"},{"family":"Urien","given":"Saik"},{"family":"Aubry","given":"Alexandra"},{"family":"Chauvin","given":"Charlotte"},{"family":"Comets","given":"Emmanuelle"},{"family":"Llopis","given":"Benoit"},{"family":"Tissot","given":"Nadine"},{"family":"Noe","given":"Gaëlle"},{"family":"Fourniols","given":"Eric"},{"family":"Jaureguiberry","given":"Stéphane"},{"family":"Bleibtreu","given":"Alexandre"},{"family":"Funck-Brentano","given":"Christian"},{"family":"Barrut","given":"Nicolas"},{"family":"Bonnet","given":"Isabelle"},{"family":"Calin","given":"Ruxandra"},{"family":"Caumes","given":"Eric"},{"family":"Clarençon","given":"Frédéric"},{"family":"Daas","given":"Georges"},{"family":"Fautrel","given":"Bruno"},{"family":"Fustier","given":"Anne"},{"family":"Gandjbakhch","given":"Frédérique"},{"family":"Haddad","given":"Elie"},{"family":"Khiami","given":"Frédéric"},{"family":"Lazennec","given":"Jean Yves"},{"family":"Marchant","given":"Maxime"},{"family":"Mercy","given":"Guillaume"},{"family":"Metz","given":"Carole"},{"family":"Miu","given":"Mihaela"},{"family":"Mitrovic","given":"Stéphane"},{"family":"Monsel","given":"Gentiane"},{"family":"Monzani","given":"Quentin"},{"family":"Reubrecht","given":"Vanessa"},{"family":"Robert","given":"Jérôme"}],"issued":{"date-parts":[["2021",10,11]]}}},{"id":969,"uris":["http://zotero.org/users/11114586/items/TJBUIQA6"],"itemData":{"id":969,"type":"article-journal","abstract":"The literature presently lacks a population pharmacokinetic analysis of doxycycline. This study aimed to develop a population pharmacokinetic model of doxycycline plasma concentrations that could be used to assess the power of bioequivalence between Doryx delayed-release tablets and Doryx MPC. Doxycycline pharmacokinetic data were available from eight phase 1 clinical trials following single/multiple doses of conventional-release doxycycline capsules, Doryx delayed-release tablets, and Doryx MPC under fed and fasted conditions. A population pharmacokinetic model was developed in a stepwise manner using NONMEM, version 7.3. The final covariate model was developed according to a forward inclusion (P &lt; 0.01) and then backward deletion (P &lt; 0.001) procedure. The final model was a two-compartment model with two-transit absorption compartments. Structural covariates in the base model included formulation effects on relative bioavailability (F), absorption lag (ALAG), and the transit absorption rate (KTR) under the fed status. An absorption delay (lag) for the fed status (FTLAG2 = 0.203 h) was also included in the model as a structural covariate. The fed status was observed to decrease F by 10.5%, and the effect of female sex was a 14.4% increase in clearance. The manuscript presents the first population pharmacokinetic model of doxycycline plasma concentrations following oral doxycycline administration. The model was used to assess the power of bioequivalence between Doryx delayed-release tablets and Doryx MPC, and it could potentially be used to critically examine and optimize doxycycline dose regimens.","container-title":"Antimicrobial Agents and Chemotherapy","DOI":"10.1128/AAC.02401-16","ISSN":"10986596","issue":"3","note":"PMID: 28052851\npublisher: American Society for Microbiology","title":"Population pharmacokinetic model of doxycycline plasma concentrations using pooled study data","volume":"61","author":[{"family":"Hopkins","given":"Ashley M."},{"family":"Wojciechowski","given":"Jessica"},{"family":"Abuhelwa","given":"Ahmad Y."},{"family":"Mudge","given":"Stuart"},{"family":"Upton","given":"Richard N."},{"family":"Foster","given":"David J.R."}],"accessed":{"date-parts":[["2023",1,31]]},"issued":{"date-parts":[["2017",3,1]]}}},{"id":968,"uris":["http://zotero.org/users/11114586/items/8UVIAQ8H"],"itemData":{"id":968,"type":"article-journal","abstract":"Oral flucloxacillin may be coadministered with probenecid to reduce flucloxacillin clearance and increase attainment of pharmacokinetic–pharmacodynamic (PK/PD) targets. The aims of this study were to develop a population PK model of free flucloxacillin when administered orally with probenecid, and to identify optimal dosing regimens for this combination. Methods: We performed a prospective observational study of adults (45 participants) treated with oral flucloxacillin 1000 mg and probenecid 500 mg 8-hourly for proven or probable staphylococcal infections. Steady-state mid-dose-interval flucloxacillin measurements (45 concentrations) were combined with existing data from a crossover study of healthy participants receiving flucloxacillin with and without probenecid (11 participants, 363 concentrations). We developed a population pharmacokinetic model of free flucloxacillin concentrations within Monolix, and used Monte Carlo simulation to explore optimal dosing regimens to attain PK/PD targets proposed in the literature (free drug time above minimum inhibitory concentration). Results: Flucloxacillin disposition was best described by a 1-compartment model with a lag time and first-order absorption. Free flucloxacillin clearance depended on probenecid, allometrically-scaled fat free mass (FFM) and estimated glomerular filtration rate (eGFR). Predicted PK/PD target attainment was suboptimal with standard dosing regimens with flucloxacillin alone, but substantially improved in the presence of probenecid. Conclusion: The simulation results reported can be used to identify dose regimens that optimise flucloxacillin exposure according to eGFR and FFM. Patients with higher FFM and eGFR may require the addition of probenecid and 6-hourly dosing to achieve PK/PD targets. The regimen was well-tolerated, suggesting a potential for further evaluation in controlled clinical trials to establish efficacy.","container-title":"British Journal of Clinical Pharmacology","DOI":"10.1111/BCP.14887","ISSN":"1365-2125","issue":"12","note":"PMID: 33963595\npublisher: John Wiley &amp; Sons, Ltd","page":"4681-4690","title":"Population pharmacokinetics of free flucloxacillin in patients treated with oral flucloxacillin plus probenecid","volume":"87","author":[{"family":"Drennan","given":"Philip G."},{"family":"Green","given":"Jared K."},{"family":"Gardiner","given":"Sharon J."},{"family":"Metcalf","given":"Sarah C.L."},{"family":"Kirkpatrick","given":"Carl M.J."},{"family":"Everts","given":"Richard J."},{"family":"Zhang","given":"Mei"},{"family":"Chambers","given":"Stephen T."}],"issued":{"date-parts":[["2021",12,1]]}}}],"schema":"https://github.com/citation-style-language/schema/raw/master/csl-citation.json"} </w:instrText>
      </w:r>
      <w:r w:rsidR="00E37ACE">
        <w:rPr>
          <w:rFonts w:eastAsia="Arial" w:cs="Arial"/>
          <w:sz w:val="24"/>
          <w:szCs w:val="24"/>
        </w:rPr>
        <w:fldChar w:fldCharType="separate"/>
      </w:r>
      <w:r w:rsidR="00F561F3">
        <w:rPr>
          <w:rFonts w:cs="Arial"/>
          <w:sz w:val="24"/>
        </w:rPr>
        <w:t>(22, 27, 35, 36)</w:t>
      </w:r>
      <w:r w:rsidR="00E37ACE">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despite the increasing global prevalence of these age groups</w:t>
      </w:r>
      <w:r w:rsidR="00A0585F">
        <w:rPr>
          <w:rFonts w:eastAsia="Arial" w:cs="Arial"/>
          <w:sz w:val="24"/>
          <w:szCs w:val="24"/>
        </w:rPr>
        <w:t xml:space="preserve"> </w:t>
      </w:r>
      <w:r w:rsidR="00E37ACE">
        <w:rPr>
          <w:rFonts w:eastAsia="Arial" w:cs="Arial"/>
          <w:sz w:val="24"/>
          <w:szCs w:val="24"/>
        </w:rPr>
        <w:fldChar w:fldCharType="begin"/>
      </w:r>
      <w:r w:rsidR="00F561F3">
        <w:rPr>
          <w:rFonts w:eastAsia="Arial" w:cs="Arial"/>
          <w:sz w:val="24"/>
          <w:szCs w:val="24"/>
        </w:rPr>
        <w:instrText xml:space="preserve"> ADDIN ZOTERO_ITEM CSL_CITATION {"citationID":"j8n57ci7","properties":{"formattedCitation":"(43)","plainCitation":"(43)","noteIndex":0},"citationItems":[{"id":956,"uris":["http://zotero.org/users/11114586/items/LTJ73P8V"],"itemData":{"id":956,"type":"webpage","title":"Age Structure - Our World in Data","URL":"https://ourworldindata.org/age-structure","accessed":{"date-parts":[["2023",2,3]]}}}],"schema":"https://github.com/citation-style-language/schema/raw/master/csl-citation.json"} </w:instrText>
      </w:r>
      <w:r w:rsidR="00E37ACE">
        <w:rPr>
          <w:rFonts w:eastAsia="Arial" w:cs="Arial"/>
          <w:sz w:val="24"/>
          <w:szCs w:val="24"/>
        </w:rPr>
        <w:fldChar w:fldCharType="separate"/>
      </w:r>
      <w:r w:rsidR="00F561F3">
        <w:rPr>
          <w:rFonts w:cs="Arial"/>
          <w:sz w:val="24"/>
        </w:rPr>
        <w:t>(43)</w:t>
      </w:r>
      <w:r w:rsidR="00E37ACE">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Age-related physiological changes, multi-morbidity and polypharmacy have a well-recognised impact on PK</w:t>
      </w:r>
      <w:r w:rsidR="00176C45" w:rsidRPr="00D678CF">
        <w:rPr>
          <w:rFonts w:eastAsia="Arial" w:cs="Arial"/>
          <w:sz w:val="24"/>
          <w:szCs w:val="24"/>
        </w:rPr>
        <w:t xml:space="preserve"> and vary globally</w:t>
      </w:r>
      <w:r w:rsidR="00A0585F">
        <w:rPr>
          <w:rFonts w:eastAsia="Arial" w:cs="Arial"/>
          <w:sz w:val="24"/>
          <w:szCs w:val="24"/>
        </w:rPr>
        <w:t xml:space="preserve"> </w:t>
      </w:r>
      <w:r w:rsidR="00E37ACE">
        <w:rPr>
          <w:rFonts w:eastAsia="Arial" w:cs="Arial"/>
          <w:sz w:val="24"/>
          <w:szCs w:val="24"/>
        </w:rPr>
        <w:fldChar w:fldCharType="begin"/>
      </w:r>
      <w:r w:rsidR="00F561F3">
        <w:rPr>
          <w:rFonts w:eastAsia="Arial" w:cs="Arial"/>
          <w:sz w:val="24"/>
          <w:szCs w:val="24"/>
        </w:rPr>
        <w:instrText xml:space="preserve"> ADDIN ZOTERO_ITEM CSL_CITATION {"citationID":"3LTwyOyU","properties":{"formattedCitation":"(44, 45)","plainCitation":"(44, 45)","noteIndex":0},"citationItems":[{"id":1245,"uris":["http://zotero.org/users/11114586/items/N72M3PJ9"],"itemData":{"id":1245,"type":"article-journal","abstract":"Infectious diseases are more prevalent in older people than in younger adults, and represent a major healthcare issue in older populations. Indeed, infections in the elderly are often associated with higher morbidity and mortality, and may present atypically. Additionally, older patients are generally treated with polypharmacy regimens, which increase the likelihood of drug-drug interactions when the prescription of an antimicrobial agent is needed. A progressive impairment in the functional reserve of multiple organs may affect either pharmacokinetics or pharmacodynamics during aging. Changes in body composition occurring with advancing age, reduced liver mass and perfusion, and reduced renal excretion may affect either pharmacokinetics or pharmacodynamics. These issues need to be taken into account when prescribing antimicrobial agents to older complex patients taking multiple drugs. Interventions aimed at improving the appropriateness and safety of antimicrobial prescriptions have been proposed. Educational interventions targeting physicians may improve antimicrobial prescriptions. Antimicrobial stewardship programmes have been found to reduce the length of hospital stay and improve safety in hospitalized patients, and their use in long-term care facilities is worth testing. Computerized prescription and decision support systems, as well as interventions aimed at improving antimicrobial agents dosage in relation to kidney function, may also help to reduce the burden of interactions and inherent costs.","container-title":"Clinical Microbiology and Infection","DOI":"10.1016/J.CMI.2014.09.011","ISSN":"14690691","issue":"1","note":"PMID: 25636922\npublisher: Elsevier B.V.","page":"20-26","title":"The impact of drug interactions and polypharmacy on antimicrobial therapy in the elderly","volume":"21","author":[{"family":"Corsonello","given":"A."},{"family":"Abbatecola","given":"A. M."},{"family":"Fusco","given":"S."},{"family":"Luciani","given":"F."},{"family":"Marino","given":"A."},{"family":"Catalano","given":"S."},{"family":"Maggio","given":"M. G."},{"family":"Lattanzio","given":"F."}],"issued":{"date-parts":[["2015"]]}}},{"id":1244,"uris":["http://zotero.org/users/11114586/items/9WDHFSLZ"],"itemData":{"id":1244,"type":"article-journal","abstract":"Elderly persons consume a significant proportion of health care resources. Antimicrobials are just one class among many pharmaceuticals that are prescribed more frequently to elderly patients than to younger patients. There are unique aspects of antimicrobial use in elderly persons that make prescribing complicated and monitoring unpredictable. Physiologic changes associated with aging result in altered pharmacokinetics, and accurate estimates of renal function cannot be made with standard methods. Together, these qualities make antimicrobial dosing difficult. Because of a higher prevalence of other chronic diseases, there is a greater propensity for polypharmacy and a resulting risk of an adverse event or a significant drug interaction. Lastly, irrespective of altered pharmacokinetics, adverse effects of many antimicrobials are more common in elderly persons, which introduces an added dimension to ensuring safety with antimicrobial therapy. In addition to medicines used for other conditions, an 83-year-old woman takes verapamil and hydrochlorothiazide for hy-pertension. She goes to her podiatrist because of a small ulcer on the bottom of her foot. The podiatrist realizes that the patient is economically disadvantaged and prescribes erythro-mycin to treat the ulcer. One week later, the woman reports to her primary care physician with dizziness, weakness, hy-potension, and bradycardia. The primary care physician stops treatment with verapamil and erythromycin. After a washout period of a few days, verapamil therapy is successfully restarted without complications. The adverse event occurred because both verapamil and erythromycin are substrates and inhibitors of the cytochrome P450 3A4 enzyme; a 2-way interaction exists, resulting in potentially toxic concentrations of these drugs. Several factors contribute to such unexpected or unfortunate outcomes. The risk of polypharmacy, the involvement of multiple health care professionals capable of prescribing medication, the likelihood of an adverse drug event, and the chance of a harmful drug interaction are all increased in elderly persons.","container-title":"Clinical Infectious Diseases","page":"997-1004","title":"Unique Aspects of Antimicrobial Use in Older Adults","volume":"997","author":[{"family":"Faulkner","given":"Carmen M"},{"family":"Cox","given":"Heather L"},{"family":"Williamson","given":"John C"}],"issued":{"date-parts":[["2005"]]}}}],"schema":"https://github.com/citation-style-language/schema/raw/master/csl-citation.json"} </w:instrText>
      </w:r>
      <w:r w:rsidR="00E37ACE">
        <w:rPr>
          <w:rFonts w:eastAsia="Arial" w:cs="Arial"/>
          <w:sz w:val="24"/>
          <w:szCs w:val="24"/>
        </w:rPr>
        <w:fldChar w:fldCharType="separate"/>
      </w:r>
      <w:r w:rsidR="00F561F3">
        <w:rPr>
          <w:rFonts w:cs="Arial"/>
          <w:sz w:val="24"/>
        </w:rPr>
        <w:t>(44, 45)</w:t>
      </w:r>
      <w:r w:rsidR="00E37ACE">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w:t>
      </w:r>
    </w:p>
    <w:p w14:paraId="317AE975" w14:textId="77777777" w:rsidR="00820D6E" w:rsidRDefault="00820D6E" w:rsidP="00D678CF">
      <w:pPr>
        <w:spacing w:line="480" w:lineRule="auto"/>
        <w:jc w:val="both"/>
        <w:rPr>
          <w:rFonts w:eastAsia="Arial" w:cs="Arial"/>
          <w:sz w:val="24"/>
          <w:szCs w:val="24"/>
        </w:rPr>
      </w:pPr>
    </w:p>
    <w:p w14:paraId="5EE017DE" w14:textId="6E2B0DF8" w:rsidR="009B4B24" w:rsidRDefault="009B4B24" w:rsidP="00D678CF">
      <w:pPr>
        <w:spacing w:line="480" w:lineRule="auto"/>
        <w:jc w:val="both"/>
        <w:rPr>
          <w:rFonts w:eastAsia="Arial" w:cs="Arial"/>
        </w:rPr>
      </w:pPr>
    </w:p>
    <w:p w14:paraId="56007AFC" w14:textId="77777777" w:rsidR="009B4B24" w:rsidRPr="006E5117" w:rsidRDefault="009B4B24" w:rsidP="00D678CF">
      <w:pPr>
        <w:spacing w:line="480" w:lineRule="auto"/>
        <w:jc w:val="center"/>
        <w:rPr>
          <w:rFonts w:eastAsia="Arial" w:cs="Arial"/>
          <w:i/>
          <w:iCs/>
          <w:sz w:val="24"/>
          <w:szCs w:val="24"/>
        </w:rPr>
      </w:pPr>
      <w:r w:rsidRPr="006E5117">
        <w:rPr>
          <w:rFonts w:eastAsia="Arial" w:cs="Arial"/>
          <w:i/>
          <w:iCs/>
          <w:sz w:val="24"/>
          <w:szCs w:val="24"/>
        </w:rPr>
        <w:lastRenderedPageBreak/>
        <w:t>NA = not applicable, I = intensive, S = sparse, MSSA = methicillin sensitive Staphylococcus aureus, TB = tuberculosis, TBW = total body weight, FFM = fat free mass, serum Cr = serum creatinine</w:t>
      </w:r>
    </w:p>
    <w:p w14:paraId="2962FEEC" w14:textId="69E1C330" w:rsidR="009B4B24" w:rsidRDefault="009B4B24" w:rsidP="00D678CF">
      <w:pPr>
        <w:spacing w:line="480" w:lineRule="auto"/>
        <w:jc w:val="both"/>
        <w:rPr>
          <w:rFonts w:eastAsia="Arial" w:cs="Arial"/>
          <w:i/>
          <w:iCs/>
          <w:sz w:val="24"/>
          <w:szCs w:val="24"/>
        </w:rPr>
      </w:pPr>
      <w:r w:rsidRPr="006E5117">
        <w:rPr>
          <w:rFonts w:eastAsia="Arial" w:cs="Arial"/>
          <w:b/>
          <w:bCs/>
          <w:i/>
          <w:iCs/>
          <w:sz w:val="24"/>
          <w:szCs w:val="24"/>
        </w:rPr>
        <w:t xml:space="preserve">Table 1. </w:t>
      </w:r>
      <w:r w:rsidRPr="006E5117">
        <w:rPr>
          <w:rFonts w:eastAsia="Arial" w:cs="Arial"/>
          <w:i/>
          <w:iCs/>
          <w:sz w:val="24"/>
          <w:szCs w:val="24"/>
        </w:rPr>
        <w:t xml:space="preserve">Summary of eighteen literature published population pharmacokinetic studies for WHO </w:t>
      </w:r>
      <w:proofErr w:type="spellStart"/>
      <w:r w:rsidRPr="006E5117">
        <w:rPr>
          <w:rFonts w:eastAsia="Arial" w:cs="Arial"/>
          <w:i/>
          <w:iCs/>
          <w:sz w:val="24"/>
          <w:szCs w:val="24"/>
        </w:rPr>
        <w:t>AWaRe</w:t>
      </w:r>
      <w:proofErr w:type="spellEnd"/>
      <w:r w:rsidRPr="006E5117">
        <w:rPr>
          <w:rFonts w:eastAsia="Arial" w:cs="Arial"/>
          <w:i/>
          <w:iCs/>
          <w:sz w:val="24"/>
          <w:szCs w:val="24"/>
        </w:rPr>
        <w:t xml:space="preserve"> Book PHC oral antibiotic.</w:t>
      </w:r>
    </w:p>
    <w:p w14:paraId="7B40F494" w14:textId="77777777" w:rsidR="00507D89" w:rsidRDefault="00507D89" w:rsidP="00D678CF">
      <w:pPr>
        <w:spacing w:line="480" w:lineRule="auto"/>
        <w:jc w:val="both"/>
        <w:rPr>
          <w:rFonts w:eastAsia="Arial" w:cs="Arial"/>
          <w:i/>
          <w:iCs/>
          <w:sz w:val="24"/>
          <w:szCs w:val="24"/>
        </w:rPr>
      </w:pPr>
    </w:p>
    <w:p w14:paraId="3F42B37B" w14:textId="77777777" w:rsidR="00507D89" w:rsidRPr="00507D89" w:rsidRDefault="00507D89" w:rsidP="00D678CF">
      <w:pPr>
        <w:spacing w:line="480" w:lineRule="auto"/>
        <w:jc w:val="both"/>
        <w:rPr>
          <w:rFonts w:eastAsia="Arial" w:cs="Arial"/>
          <w:i/>
          <w:iCs/>
          <w:sz w:val="24"/>
          <w:szCs w:val="24"/>
        </w:rPr>
      </w:pPr>
    </w:p>
    <w:p w14:paraId="7F07D8C3" w14:textId="4C38657D" w:rsidR="00507D89" w:rsidRDefault="00507D89" w:rsidP="00507D89">
      <w:pPr>
        <w:spacing w:line="480" w:lineRule="auto"/>
        <w:jc w:val="center"/>
        <w:rPr>
          <w:noProof/>
          <w14:ligatures w14:val="standardContextual"/>
        </w:rPr>
      </w:pPr>
      <w:r>
        <w:rPr>
          <w:noProof/>
          <w14:ligatures w14:val="standardContextual"/>
        </w:rPr>
        <w:t xml:space="preserve"> </w:t>
      </w:r>
    </w:p>
    <w:p w14:paraId="0D161198" w14:textId="266D7D93" w:rsidR="00B14BA4" w:rsidRPr="00634DDE" w:rsidRDefault="00A16202" w:rsidP="00634DDE">
      <w:pPr>
        <w:spacing w:line="480" w:lineRule="auto"/>
        <w:jc w:val="center"/>
        <w:rPr>
          <w:noProof/>
          <w14:ligatures w14:val="standardContextual"/>
        </w:rPr>
      </w:pPr>
      <w:r w:rsidRPr="00A16202">
        <w:rPr>
          <w:noProof/>
          <w14:ligatures w14:val="standardContextual"/>
        </w:rPr>
        <w:t xml:space="preserve"> </w:t>
      </w:r>
    </w:p>
    <w:p w14:paraId="698A4C6C" w14:textId="77777777" w:rsidR="006D479A" w:rsidRPr="006E5117" w:rsidRDefault="006D479A" w:rsidP="00D678CF">
      <w:pPr>
        <w:spacing w:line="480" w:lineRule="auto"/>
        <w:jc w:val="center"/>
        <w:rPr>
          <w:rFonts w:eastAsia="Arial" w:cs="Arial"/>
          <w:i/>
          <w:iCs/>
          <w:sz w:val="24"/>
          <w:szCs w:val="24"/>
        </w:rPr>
      </w:pPr>
      <w:r w:rsidRPr="006E5117">
        <w:rPr>
          <w:rFonts w:eastAsia="Arial" w:cs="Arial"/>
          <w:i/>
          <w:iCs/>
          <w:sz w:val="24"/>
          <w:szCs w:val="24"/>
        </w:rPr>
        <w:t xml:space="preserve">LIC = </w:t>
      </w:r>
      <w:proofErr w:type="gramStart"/>
      <w:r w:rsidRPr="006E5117">
        <w:rPr>
          <w:rFonts w:eastAsia="Arial" w:cs="Arial"/>
          <w:i/>
          <w:iCs/>
          <w:sz w:val="24"/>
          <w:szCs w:val="24"/>
        </w:rPr>
        <w:t>low income</w:t>
      </w:r>
      <w:proofErr w:type="gramEnd"/>
      <w:r w:rsidRPr="006E5117">
        <w:rPr>
          <w:rFonts w:eastAsia="Arial" w:cs="Arial"/>
          <w:i/>
          <w:iCs/>
          <w:sz w:val="24"/>
          <w:szCs w:val="24"/>
        </w:rPr>
        <w:t xml:space="preserve"> country, LMIC = lower-middle income country, UMIC = upper-middle income country, HIC = high income country, NA= unclassified</w:t>
      </w:r>
    </w:p>
    <w:p w14:paraId="79A2AA2A" w14:textId="3C188AA2" w:rsidR="006D479A" w:rsidRPr="006E5117" w:rsidRDefault="006D479A" w:rsidP="00D678CF">
      <w:pPr>
        <w:spacing w:line="480" w:lineRule="auto"/>
        <w:jc w:val="both"/>
        <w:rPr>
          <w:rFonts w:eastAsia="Arial" w:cs="Arial"/>
          <w:i/>
          <w:iCs/>
          <w:sz w:val="24"/>
          <w:szCs w:val="24"/>
        </w:rPr>
      </w:pPr>
      <w:r w:rsidRPr="006E5117">
        <w:rPr>
          <w:rFonts w:eastAsia="Arial" w:cs="Arial"/>
          <w:b/>
          <w:bCs/>
          <w:i/>
          <w:iCs/>
          <w:sz w:val="24"/>
          <w:szCs w:val="24"/>
        </w:rPr>
        <w:t>Figure 4a.</w:t>
      </w:r>
      <w:r w:rsidRPr="006E5117">
        <w:rPr>
          <w:rFonts w:eastAsia="Arial" w:cs="Arial"/>
          <w:i/>
          <w:iCs/>
          <w:sz w:val="24"/>
          <w:szCs w:val="24"/>
        </w:rPr>
        <w:t xml:space="preserve"> Countries by World Bank Income Classification;</w:t>
      </w:r>
      <w:r w:rsidR="0033320D">
        <w:rPr>
          <w:rFonts w:eastAsia="Arial" w:cs="Arial"/>
          <w:i/>
          <w:iCs/>
          <w:sz w:val="24"/>
          <w:szCs w:val="24"/>
        </w:rPr>
        <w:fldChar w:fldCharType="begin"/>
      </w:r>
      <w:r w:rsidR="00F561F3">
        <w:rPr>
          <w:rFonts w:eastAsia="Arial" w:cs="Arial"/>
          <w:i/>
          <w:iCs/>
          <w:sz w:val="24"/>
          <w:szCs w:val="24"/>
        </w:rPr>
        <w:instrText xml:space="preserve"> ADDIN ZOTERO_ITEM CSL_CITATION {"citationID":"KLdyUaf7","properties":{"formattedCitation":"(46)","plainCitation":"(46)","noteIndex":0},"citationItems":[{"id":8862,"uris":["http://zotero.org/users/11114586/items/DWJCCYL3"],"itemData":{"id":8862,"type":"webpage","abstract":"The World Bank assigns the world’s economies to four income groups—low, lower-middle, upper-middle, and high income. The classifications are updated each year on July 1 and are based on the GNI per capita of the previous year (2021).","language":"en","title":"New World Bank country classifications by income level: 2022-2023","title-short":"New World Bank country classifications by income level","URL":"https://blogs.worldbank.org/opendata/new-world-bank-country-classifications-income-level-2022-2023","accessed":{"date-parts":[["2023",8,5]]},"issued":{"date-parts":[["2022",7,1]]}}}],"schema":"https://github.com/citation-style-language/schema/raw/master/csl-citation.json"} </w:instrText>
      </w:r>
      <w:r w:rsidR="0033320D">
        <w:rPr>
          <w:rFonts w:eastAsia="Arial" w:cs="Arial"/>
          <w:i/>
          <w:iCs/>
          <w:sz w:val="24"/>
          <w:szCs w:val="24"/>
        </w:rPr>
        <w:fldChar w:fldCharType="separate"/>
      </w:r>
      <w:r w:rsidR="00F561F3">
        <w:rPr>
          <w:rFonts w:cs="Arial"/>
          <w:sz w:val="24"/>
        </w:rPr>
        <w:t>(46)</w:t>
      </w:r>
      <w:r w:rsidR="0033320D">
        <w:rPr>
          <w:rFonts w:eastAsia="Arial" w:cs="Arial"/>
          <w:i/>
          <w:iCs/>
          <w:sz w:val="24"/>
          <w:szCs w:val="24"/>
        </w:rPr>
        <w:fldChar w:fldCharType="end"/>
      </w:r>
      <w:r w:rsidRPr="006E5117">
        <w:rPr>
          <w:rFonts w:eastAsia="Arial" w:cs="Arial"/>
          <w:i/>
          <w:iCs/>
          <w:sz w:val="24"/>
          <w:szCs w:val="24"/>
        </w:rPr>
        <w:t xml:space="preserve"> </w:t>
      </w:r>
      <w:r w:rsidRPr="006E5117">
        <w:rPr>
          <w:rFonts w:eastAsia="Arial" w:cs="Arial"/>
          <w:b/>
          <w:bCs/>
          <w:i/>
          <w:iCs/>
          <w:sz w:val="24"/>
          <w:szCs w:val="24"/>
        </w:rPr>
        <w:t xml:space="preserve">b. </w:t>
      </w:r>
      <w:r w:rsidRPr="006E5117">
        <w:rPr>
          <w:rFonts w:eastAsia="Arial" w:cs="Arial"/>
          <w:i/>
          <w:iCs/>
          <w:sz w:val="24"/>
          <w:szCs w:val="24"/>
        </w:rPr>
        <w:t xml:space="preserve">Published </w:t>
      </w:r>
      <w:proofErr w:type="spellStart"/>
      <w:r w:rsidRPr="006E5117">
        <w:rPr>
          <w:rFonts w:eastAsia="Arial" w:cs="Arial"/>
          <w:i/>
          <w:iCs/>
          <w:sz w:val="24"/>
          <w:szCs w:val="24"/>
        </w:rPr>
        <w:t>PopPK</w:t>
      </w:r>
      <w:proofErr w:type="spellEnd"/>
      <w:r w:rsidRPr="006E5117">
        <w:rPr>
          <w:rFonts w:eastAsia="Arial" w:cs="Arial"/>
          <w:i/>
          <w:iCs/>
          <w:sz w:val="24"/>
          <w:szCs w:val="24"/>
        </w:rPr>
        <w:t xml:space="preserve"> studies for </w:t>
      </w:r>
      <w:proofErr w:type="spellStart"/>
      <w:r w:rsidRPr="006E5117">
        <w:rPr>
          <w:rFonts w:eastAsia="Arial" w:cs="Arial"/>
          <w:i/>
          <w:iCs/>
          <w:sz w:val="24"/>
          <w:szCs w:val="24"/>
        </w:rPr>
        <w:t>AWaRe</w:t>
      </w:r>
      <w:proofErr w:type="spellEnd"/>
      <w:r w:rsidRPr="006E5117">
        <w:rPr>
          <w:rFonts w:eastAsia="Arial" w:cs="Arial"/>
          <w:i/>
          <w:iCs/>
          <w:sz w:val="24"/>
          <w:szCs w:val="24"/>
        </w:rPr>
        <w:t xml:space="preserve"> Book PHC antibiotics (all routes) meeting the systematic review inclusion criteria by participant country(</w:t>
      </w:r>
      <w:proofErr w:type="spellStart"/>
      <w:r w:rsidRPr="006E5117">
        <w:rPr>
          <w:rFonts w:eastAsia="Arial" w:cs="Arial"/>
          <w:i/>
          <w:iCs/>
          <w:sz w:val="24"/>
          <w:szCs w:val="24"/>
        </w:rPr>
        <w:t>ies</w:t>
      </w:r>
      <w:proofErr w:type="spellEnd"/>
      <w:r w:rsidRPr="006E5117">
        <w:rPr>
          <w:rFonts w:eastAsia="Arial" w:cs="Arial"/>
          <w:i/>
          <w:iCs/>
          <w:sz w:val="24"/>
          <w:szCs w:val="24"/>
        </w:rPr>
        <w:t xml:space="preserve">) of origin; </w:t>
      </w:r>
      <w:r w:rsidRPr="006E5117">
        <w:rPr>
          <w:rFonts w:eastAsia="Arial" w:cs="Arial"/>
          <w:b/>
          <w:bCs/>
          <w:i/>
          <w:iCs/>
          <w:sz w:val="24"/>
          <w:szCs w:val="24"/>
        </w:rPr>
        <w:t xml:space="preserve">c. </w:t>
      </w:r>
      <w:r w:rsidRPr="006E5117">
        <w:rPr>
          <w:rFonts w:eastAsia="Arial" w:cs="Arial"/>
          <w:i/>
          <w:iCs/>
          <w:sz w:val="24"/>
          <w:szCs w:val="24"/>
        </w:rPr>
        <w:t>Individual MIC</w:t>
      </w:r>
      <w:r w:rsidR="00615331" w:rsidRPr="006E5117">
        <w:rPr>
          <w:rFonts w:eastAsia="Arial" w:cs="Arial"/>
          <w:i/>
          <w:iCs/>
          <w:sz w:val="24"/>
          <w:szCs w:val="24"/>
        </w:rPr>
        <w:t xml:space="preserve"> datapoints</w:t>
      </w:r>
      <w:r w:rsidRPr="006E5117">
        <w:rPr>
          <w:rFonts w:eastAsia="Arial" w:cs="Arial"/>
          <w:i/>
          <w:iCs/>
          <w:sz w:val="24"/>
          <w:szCs w:val="24"/>
        </w:rPr>
        <w:t xml:space="preserve"> (all organism and antibiotic combinations) within the ATLAS database added </w:t>
      </w:r>
      <w:r w:rsidR="00620836" w:rsidRPr="006E5117">
        <w:rPr>
          <w:rFonts w:eastAsia="Arial" w:cs="Arial"/>
          <w:i/>
          <w:iCs/>
          <w:sz w:val="24"/>
          <w:szCs w:val="24"/>
        </w:rPr>
        <w:t>in 2016-2020</w:t>
      </w:r>
      <w:r w:rsidRPr="006E5117">
        <w:rPr>
          <w:rFonts w:eastAsia="Arial" w:cs="Arial"/>
          <w:i/>
          <w:iCs/>
          <w:sz w:val="24"/>
          <w:szCs w:val="24"/>
        </w:rPr>
        <w:t xml:space="preserve"> by country of origin.</w:t>
      </w:r>
    </w:p>
    <w:p w14:paraId="24BBD7D0" w14:textId="19F7C289" w:rsidR="000B3610" w:rsidRPr="000A1190" w:rsidRDefault="000B3610" w:rsidP="00D678CF">
      <w:pPr>
        <w:pStyle w:val="Heading2"/>
        <w:spacing w:line="480" w:lineRule="auto"/>
      </w:pPr>
      <w:bookmarkStart w:id="12" w:name="_Toc154184991"/>
      <w:r>
        <w:t>Database review of a</w:t>
      </w:r>
      <w:r w:rsidRPr="00E14307">
        <w:t xml:space="preserve">ntibiotic </w:t>
      </w:r>
      <w:r>
        <w:t xml:space="preserve">susceptibility testing and </w:t>
      </w:r>
      <w:r w:rsidRPr="00E14307">
        <w:t xml:space="preserve">MIC </w:t>
      </w:r>
      <w:r>
        <w:rPr>
          <w:bCs/>
          <w:iCs/>
        </w:rPr>
        <w:t>distributions</w:t>
      </w:r>
      <w:bookmarkEnd w:id="12"/>
    </w:p>
    <w:p w14:paraId="55531337" w14:textId="292DEBF5" w:rsidR="000B3610" w:rsidRPr="00D678CF" w:rsidRDefault="000B3610" w:rsidP="00D678CF">
      <w:pPr>
        <w:spacing w:line="480" w:lineRule="auto"/>
        <w:jc w:val="both"/>
        <w:rPr>
          <w:rFonts w:eastAsia="Arial" w:cs="Arial"/>
          <w:sz w:val="24"/>
          <w:szCs w:val="24"/>
        </w:rPr>
      </w:pPr>
      <w:r w:rsidRPr="00D678CF">
        <w:rPr>
          <w:rFonts w:eastAsia="Arial" w:cs="Arial"/>
          <w:sz w:val="24"/>
          <w:szCs w:val="24"/>
        </w:rPr>
        <w:t xml:space="preserve">Most surveillance databases only report sensitive vs resistant (S/R) susceptibility data that is based on currently recommended breakpoints from the European Committee on Antimicrobial Susceptibility Testing (EUCAST) and/or the Clinical and Laboratory Standards Institute (CLSI)—this includes the WHO Global Antimicrobial Resistance and </w:t>
      </w:r>
      <w:r w:rsidRPr="00D678CF">
        <w:rPr>
          <w:rFonts w:eastAsia="Arial" w:cs="Arial"/>
          <w:sz w:val="24"/>
          <w:szCs w:val="24"/>
        </w:rPr>
        <w:lastRenderedPageBreak/>
        <w:t>Use Surveillance System (GLASS)</w:t>
      </w:r>
      <w:r w:rsidR="00A0585F">
        <w:rPr>
          <w:rFonts w:eastAsia="Arial" w:cs="Arial"/>
          <w:sz w:val="24"/>
          <w:szCs w:val="24"/>
        </w:rPr>
        <w:t xml:space="preserve"> </w:t>
      </w:r>
      <w:r w:rsidR="0033320D">
        <w:rPr>
          <w:rFonts w:eastAsia="Arial" w:cs="Arial"/>
          <w:sz w:val="24"/>
          <w:szCs w:val="24"/>
        </w:rPr>
        <w:fldChar w:fldCharType="begin"/>
      </w:r>
      <w:r w:rsidR="00F561F3">
        <w:rPr>
          <w:rFonts w:eastAsia="Arial" w:cs="Arial"/>
          <w:sz w:val="24"/>
          <w:szCs w:val="24"/>
        </w:rPr>
        <w:instrText xml:space="preserve"> ADDIN ZOTERO_ITEM CSL_CITATION {"citationID":"Muro8l2b","properties":{"formattedCitation":"(5, 47, 48)","plainCitation":"(5, 47, 48)","noteIndex":0},"citationItems":[{"id":8848,"uris":["http://zotero.org/users/11114586/items/87XEPV5Z"],"itemData":{"id":8848,"type":"document","title":"Global Antimicrobial Resistance and Use Surveillance System (GLASS) Report 2022","URL":"https://www.who.int/publications/i/item/9789240062702","author":[{"literal":"WHO"}]}},{"id":9061,"uris":["http://zotero.org/users/11114586/items/KUWCQRIC"],"itemData":{"id":9061,"type":"webpage","title":"eucast: Clinical breakpoints and dosing of antibiotics","URL":"https://www.eucast.org/clinical_breakpoints","accessed":{"date-parts":[["2023",8,31]]}}},{"id":9059,"uris":["http://zotero.org/users/11114586/items/WA4TFK5S"],"itemData":{"id":9059,"type":"webpage","abstract":"The Clinical &amp; Laboratory Standards Institute (CLSI) provides standards and guidelines for medical professionals through its unique consensus process.","container-title":"Clinical &amp; Laboratory Standards Institute","language":"en","title":"Clinical &amp; Laboratory Standards Institute: CLSI Guidelines","title-short":"Clinical &amp; Laboratory Standards Institute","URL":"https://clsi.org/","accessed":{"date-parts":[["2023",8,31]]}}}],"schema":"https://github.com/citation-style-language/schema/raw/master/csl-citation.json"} </w:instrText>
      </w:r>
      <w:r w:rsidR="0033320D">
        <w:rPr>
          <w:rFonts w:eastAsia="Arial" w:cs="Arial"/>
          <w:sz w:val="24"/>
          <w:szCs w:val="24"/>
        </w:rPr>
        <w:fldChar w:fldCharType="separate"/>
      </w:r>
      <w:r w:rsidR="00F561F3">
        <w:rPr>
          <w:rFonts w:cs="Arial"/>
          <w:sz w:val="24"/>
        </w:rPr>
        <w:t>(5, 47, 48)</w:t>
      </w:r>
      <w:r w:rsidR="0033320D">
        <w:rPr>
          <w:rFonts w:eastAsia="Arial" w:cs="Arial"/>
          <w:sz w:val="24"/>
          <w:szCs w:val="24"/>
        </w:rPr>
        <w:fldChar w:fldCharType="end"/>
      </w:r>
      <w:r w:rsidR="00A0585F">
        <w:rPr>
          <w:rFonts w:eastAsia="Arial" w:cs="Arial"/>
          <w:sz w:val="24"/>
          <w:szCs w:val="24"/>
        </w:rPr>
        <w:t>.</w:t>
      </w:r>
      <w:r w:rsidR="0033320D">
        <w:rPr>
          <w:rFonts w:cs="Arial"/>
          <w:sz w:val="24"/>
          <w:szCs w:val="24"/>
          <w:vertAlign w:val="superscript"/>
        </w:rPr>
        <w:t xml:space="preserve"> </w:t>
      </w:r>
      <w:r w:rsidRPr="00D678CF">
        <w:rPr>
          <w:rFonts w:eastAsia="Arial" w:cs="Arial"/>
          <w:sz w:val="24"/>
          <w:szCs w:val="24"/>
        </w:rPr>
        <w:t xml:space="preserve">GLASS reports AMR rates for </w:t>
      </w:r>
      <w:r w:rsidRPr="00D678CF">
        <w:rPr>
          <w:rFonts w:eastAsia="Arial" w:cs="Arial"/>
          <w:i/>
          <w:iCs/>
          <w:sz w:val="24"/>
          <w:szCs w:val="24"/>
        </w:rPr>
        <w:t>Streptococcus pneumoniae</w:t>
      </w:r>
      <w:r w:rsidRPr="00D678CF">
        <w:rPr>
          <w:rFonts w:eastAsia="Arial" w:cs="Arial"/>
          <w:sz w:val="24"/>
          <w:szCs w:val="24"/>
        </w:rPr>
        <w:t xml:space="preserve">, the most common causative pathogen of community infections (Figure </w:t>
      </w:r>
      <w:r w:rsidR="00024943" w:rsidRPr="00D678CF">
        <w:rPr>
          <w:rFonts w:eastAsia="Arial" w:cs="Arial"/>
          <w:sz w:val="24"/>
          <w:szCs w:val="24"/>
        </w:rPr>
        <w:t>1</w:t>
      </w:r>
      <w:r w:rsidRPr="00D678CF">
        <w:rPr>
          <w:rFonts w:eastAsia="Arial" w:cs="Arial"/>
          <w:sz w:val="24"/>
          <w:szCs w:val="24"/>
        </w:rPr>
        <w:t xml:space="preserve">), and notes generally very low penicillin resistance rates </w:t>
      </w:r>
      <w:r w:rsidR="00A0585F" w:rsidRPr="00D678CF">
        <w:rPr>
          <w:rFonts w:eastAsia="Arial" w:cs="Arial"/>
          <w:sz w:val="24"/>
          <w:szCs w:val="24"/>
        </w:rPr>
        <w:t>(&lt;5%)</w:t>
      </w:r>
      <w:r w:rsidR="00A0585F">
        <w:rPr>
          <w:rFonts w:eastAsia="Arial" w:cs="Arial"/>
          <w:sz w:val="24"/>
          <w:szCs w:val="24"/>
        </w:rPr>
        <w:t xml:space="preserve"> </w:t>
      </w:r>
      <w:r w:rsidRPr="00D678CF">
        <w:rPr>
          <w:rFonts w:eastAsia="Arial" w:cs="Arial"/>
          <w:sz w:val="24"/>
          <w:szCs w:val="24"/>
        </w:rPr>
        <w:t xml:space="preserve">in the context of bloodstream infection </w:t>
      </w:r>
      <w:r w:rsidR="0033320D">
        <w:rPr>
          <w:rFonts w:eastAsia="Arial" w:cs="Arial"/>
          <w:sz w:val="24"/>
          <w:szCs w:val="24"/>
        </w:rPr>
        <w:fldChar w:fldCharType="begin"/>
      </w:r>
      <w:r w:rsidR="00F561F3">
        <w:rPr>
          <w:rFonts w:eastAsia="Arial" w:cs="Arial"/>
          <w:sz w:val="24"/>
          <w:szCs w:val="24"/>
        </w:rPr>
        <w:instrText xml:space="preserve"> ADDIN ZOTERO_ITEM CSL_CITATION {"citationID":"6G2t82uY","properties":{"formattedCitation":"(5)","plainCitation":"(5)","noteIndex":0},"citationItems":[{"id":8848,"uris":["http://zotero.org/users/11114586/items/87XEPV5Z"],"itemData":{"id":8848,"type":"document","title":"Global Antimicrobial Resistance and Use Surveillance System (GLASS) Report 2022","URL":"https://www.who.int/publications/i/item/9789240062702","author":[{"literal":"WHO"}]}}],"schema":"https://github.com/citation-style-language/schema/raw/master/csl-citation.json"} </w:instrText>
      </w:r>
      <w:r w:rsidR="0033320D">
        <w:rPr>
          <w:rFonts w:eastAsia="Arial" w:cs="Arial"/>
          <w:sz w:val="24"/>
          <w:szCs w:val="24"/>
        </w:rPr>
        <w:fldChar w:fldCharType="separate"/>
      </w:r>
      <w:r w:rsidR="00F561F3">
        <w:rPr>
          <w:rFonts w:cs="Arial"/>
          <w:sz w:val="24"/>
        </w:rPr>
        <w:t>(5)</w:t>
      </w:r>
      <w:r w:rsidR="0033320D">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However, the GLASS Report (2022) highlights that despite increasing enrolment in the programme, convenient selection and therefore representativeness of AMR surveillance is a limitation in the global interpretation of resistance data. Additionally, there was limited antimicrobial </w:t>
      </w:r>
      <w:r w:rsidR="002044F0" w:rsidRPr="00D678CF">
        <w:rPr>
          <w:rFonts w:eastAsia="Arial" w:cs="Arial"/>
          <w:sz w:val="24"/>
          <w:szCs w:val="24"/>
        </w:rPr>
        <w:t xml:space="preserve">susceptibility test (AST) </w:t>
      </w:r>
      <w:r w:rsidRPr="00D678CF">
        <w:rPr>
          <w:rFonts w:eastAsia="Arial" w:cs="Arial"/>
          <w:sz w:val="24"/>
          <w:szCs w:val="24"/>
        </w:rPr>
        <w:t xml:space="preserve">reporting for key PHC pathogen-antibiotic combinations (e.g., </w:t>
      </w:r>
      <w:r w:rsidRPr="00D678CF">
        <w:rPr>
          <w:rFonts w:eastAsia="Arial" w:cs="Arial"/>
          <w:i/>
          <w:iCs/>
          <w:sz w:val="24"/>
          <w:szCs w:val="24"/>
        </w:rPr>
        <w:t>Streptococcus pneumoniae</w:t>
      </w:r>
      <w:r w:rsidRPr="00D678CF">
        <w:rPr>
          <w:rFonts w:eastAsia="Arial" w:cs="Arial"/>
          <w:sz w:val="24"/>
          <w:szCs w:val="24"/>
        </w:rPr>
        <w:t xml:space="preserve"> </w:t>
      </w:r>
      <w:r w:rsidR="00A0585F">
        <w:rPr>
          <w:rFonts w:eastAsia="Arial" w:cs="Arial"/>
          <w:sz w:val="24"/>
          <w:szCs w:val="24"/>
        </w:rPr>
        <w:t>versus</w:t>
      </w:r>
      <w:r w:rsidR="00A0585F" w:rsidRPr="00D678CF">
        <w:rPr>
          <w:rFonts w:eastAsia="Arial" w:cs="Arial"/>
          <w:sz w:val="24"/>
          <w:szCs w:val="24"/>
        </w:rPr>
        <w:t xml:space="preserve"> </w:t>
      </w:r>
      <w:proofErr w:type="spellStart"/>
      <w:r w:rsidRPr="00D678CF">
        <w:rPr>
          <w:rFonts w:eastAsia="Arial" w:cs="Arial"/>
          <w:sz w:val="24"/>
          <w:szCs w:val="24"/>
        </w:rPr>
        <w:t>penicillins</w:t>
      </w:r>
      <w:proofErr w:type="spellEnd"/>
      <w:r w:rsidRPr="00D678CF">
        <w:rPr>
          <w:rFonts w:eastAsia="Arial" w:cs="Arial"/>
          <w:sz w:val="24"/>
          <w:szCs w:val="24"/>
        </w:rPr>
        <w:t xml:space="preserve"> (&lt;80%), </w:t>
      </w:r>
      <w:r w:rsidRPr="00D678CF">
        <w:rPr>
          <w:rFonts w:eastAsia="Arial" w:cs="Arial"/>
          <w:i/>
          <w:iCs/>
          <w:sz w:val="24"/>
          <w:szCs w:val="24"/>
        </w:rPr>
        <w:t xml:space="preserve">Salmonella </w:t>
      </w:r>
      <w:r w:rsidR="00A0585F" w:rsidRPr="001B7760">
        <w:rPr>
          <w:rFonts w:eastAsia="Arial" w:cs="Arial"/>
          <w:sz w:val="24"/>
          <w:szCs w:val="24"/>
        </w:rPr>
        <w:t>spp.</w:t>
      </w:r>
      <w:r w:rsidR="00A0585F">
        <w:rPr>
          <w:rFonts w:eastAsia="Arial" w:cs="Arial"/>
          <w:i/>
          <w:iCs/>
          <w:sz w:val="24"/>
          <w:szCs w:val="24"/>
        </w:rPr>
        <w:t xml:space="preserve"> </w:t>
      </w:r>
      <w:r w:rsidRPr="00D678CF">
        <w:rPr>
          <w:rFonts w:eastAsia="Arial" w:cs="Arial"/>
          <w:i/>
          <w:iCs/>
          <w:sz w:val="24"/>
          <w:szCs w:val="24"/>
        </w:rPr>
        <w:t xml:space="preserve">and fluoroquinolones </w:t>
      </w:r>
      <w:r w:rsidRPr="00D678CF">
        <w:rPr>
          <w:rFonts w:eastAsia="Arial" w:cs="Arial"/>
          <w:sz w:val="24"/>
          <w:szCs w:val="24"/>
        </w:rPr>
        <w:t xml:space="preserve">(&lt;80%), </w:t>
      </w:r>
      <w:r w:rsidRPr="00D678CF">
        <w:rPr>
          <w:rFonts w:eastAsia="Arial" w:cs="Arial"/>
          <w:i/>
          <w:iCs/>
          <w:sz w:val="24"/>
          <w:szCs w:val="24"/>
        </w:rPr>
        <w:t xml:space="preserve">Escherichia coli </w:t>
      </w:r>
      <w:r w:rsidRPr="00D678CF">
        <w:rPr>
          <w:rFonts w:eastAsia="Arial" w:cs="Arial"/>
          <w:sz w:val="24"/>
          <w:szCs w:val="24"/>
        </w:rPr>
        <w:t xml:space="preserve">and </w:t>
      </w:r>
      <w:proofErr w:type="spellStart"/>
      <w:r w:rsidRPr="00D678CF">
        <w:rPr>
          <w:rFonts w:eastAsia="Arial" w:cs="Arial"/>
          <w:sz w:val="24"/>
          <w:szCs w:val="24"/>
        </w:rPr>
        <w:t>sulfonamides</w:t>
      </w:r>
      <w:proofErr w:type="spellEnd"/>
      <w:r w:rsidRPr="00D678CF">
        <w:rPr>
          <w:rFonts w:eastAsia="Arial" w:cs="Arial"/>
          <w:sz w:val="24"/>
          <w:szCs w:val="24"/>
        </w:rPr>
        <w:t xml:space="preserve">/trimethoprim (&lt;50%) – see Figure </w:t>
      </w:r>
      <w:r w:rsidR="00024943" w:rsidRPr="00D678CF">
        <w:rPr>
          <w:rFonts w:eastAsia="Arial" w:cs="Arial"/>
          <w:sz w:val="24"/>
          <w:szCs w:val="24"/>
        </w:rPr>
        <w:t>1</w:t>
      </w:r>
      <w:r w:rsidRPr="00D678CF">
        <w:rPr>
          <w:rFonts w:eastAsia="Arial" w:cs="Arial"/>
          <w:sz w:val="24"/>
          <w:szCs w:val="24"/>
        </w:rPr>
        <w:t>)</w:t>
      </w:r>
      <w:r w:rsidR="00A0585F">
        <w:rPr>
          <w:rFonts w:eastAsia="Arial" w:cs="Arial"/>
          <w:sz w:val="24"/>
          <w:szCs w:val="24"/>
        </w:rPr>
        <w:t xml:space="preserve"> </w:t>
      </w:r>
      <w:r w:rsidR="0033320D">
        <w:rPr>
          <w:rFonts w:eastAsia="Arial" w:cs="Arial"/>
          <w:sz w:val="24"/>
          <w:szCs w:val="24"/>
        </w:rPr>
        <w:fldChar w:fldCharType="begin"/>
      </w:r>
      <w:r w:rsidR="00F561F3">
        <w:rPr>
          <w:rFonts w:eastAsia="Arial" w:cs="Arial"/>
          <w:sz w:val="24"/>
          <w:szCs w:val="24"/>
        </w:rPr>
        <w:instrText xml:space="preserve"> ADDIN ZOTERO_ITEM CSL_CITATION {"citationID":"03imKcDb","properties":{"formattedCitation":"(5)","plainCitation":"(5)","noteIndex":0},"citationItems":[{"id":8848,"uris":["http://zotero.org/users/11114586/items/87XEPV5Z"],"itemData":{"id":8848,"type":"document","title":"Global Antimicrobial Resistance and Use Surveillance System (GLASS) Report 2022","URL":"https://www.who.int/publications/i/item/9789240062702","author":[{"literal":"WHO"}]}}],"schema":"https://github.com/citation-style-language/schema/raw/master/csl-citation.json"} </w:instrText>
      </w:r>
      <w:r w:rsidR="0033320D">
        <w:rPr>
          <w:rFonts w:eastAsia="Arial" w:cs="Arial"/>
          <w:sz w:val="24"/>
          <w:szCs w:val="24"/>
        </w:rPr>
        <w:fldChar w:fldCharType="separate"/>
      </w:r>
      <w:r w:rsidR="00F561F3">
        <w:rPr>
          <w:rFonts w:cs="Arial"/>
          <w:sz w:val="24"/>
        </w:rPr>
        <w:t>(5)</w:t>
      </w:r>
      <w:r w:rsidR="0033320D">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Furthermore, due to periodic revision of breakpoints by EUCAST and CLSI, the same MIC value can result in variation between S and R within GLASS and other S/R datasets over time</w:t>
      </w:r>
      <w:r w:rsidR="00A0585F">
        <w:rPr>
          <w:rFonts w:eastAsia="Arial" w:cs="Arial"/>
          <w:sz w:val="24"/>
          <w:szCs w:val="24"/>
        </w:rPr>
        <w:t xml:space="preserve"> </w:t>
      </w:r>
      <w:r w:rsidR="0033320D">
        <w:rPr>
          <w:rFonts w:eastAsia="Arial" w:cs="Arial"/>
          <w:sz w:val="24"/>
          <w:szCs w:val="24"/>
        </w:rPr>
        <w:fldChar w:fldCharType="begin"/>
      </w:r>
      <w:r w:rsidR="00F561F3">
        <w:rPr>
          <w:rFonts w:eastAsia="Arial" w:cs="Arial"/>
          <w:sz w:val="24"/>
          <w:szCs w:val="24"/>
        </w:rPr>
        <w:instrText xml:space="preserve"> ADDIN ZOTERO_ITEM CSL_CITATION {"citationID":"aDezLrlR","properties":{"formattedCitation":"(49)","plainCitation":"(49)","noteIndex":0},"citationItems":[{"id":1013,"uris":["http://zotero.org/users/11114586/items/EMJR8SXI"],"itemData":{"id":1013,"type":"article-journal","abstract":"Antibiotic resistance represents a growing medical concern where raw, clinical datasets are under-exploited as a means to track the scale of the problem. We therefore sought patterns of antibiotic resistance in the Antimicrobial Testing Leadership and Surveillance (ATLAS) database. ATLAS holds 6.5M minimal inhibitory concentrations (MICs) for 3,919 pathogen-antibiotic pairs isolated from 633k patients in 70 countries between 2004 and 2017. We show most pairs form coherent, although not stationary, timeseries whose frequencies of resistance are higher than other databases, although we identified no systematic bias towards including more resistant strains in ATLAS. We sought data anomalies whereby MICs could shift for methodological and not clinical or microbiological reasons and found artefacts in over 100 pathogen-antibiotic pairs. Using an information-optimal clustering methodology to classify pathogens into low and high antibiotic susceptibilities, we used ATLAS to predict changes in resistance. Dynamics of the latter exhibit complex patterns with MIC increases, and some decreases, whereby subpopulations’ MICs can diverge. We also identify pathogens at risk of developing clinical resistance in the near future.","container-title":"Nature Communications","DOI":"10.1038/S41467-022-30635-7","issue":"1","note":"publisher: Springer Science and Business Media LLC","title":"Seeking patterns of antibiotic resistance in ATLAS, an open, raw MIC database with patient metadata","volume":"13","author":[{"family":"Catalán","given":"Pablo"},{"family":"Wood","given":"Emily"},{"family":"Blair","given":"Jessica M. A."},{"family":"Gudelj","given":"Ivana"},{"family":"Iredell","given":"Jonathan R."},{"family":"Beardmore","given":"Robert E."}],"accessed":{"date-parts":[["2022",7,30]]},"issued":{"date-parts":[["2022",12]]}}}],"schema":"https://github.com/citation-style-language/schema/raw/master/csl-citation.json"} </w:instrText>
      </w:r>
      <w:r w:rsidR="0033320D">
        <w:rPr>
          <w:rFonts w:eastAsia="Arial" w:cs="Arial"/>
          <w:sz w:val="24"/>
          <w:szCs w:val="24"/>
        </w:rPr>
        <w:fldChar w:fldCharType="separate"/>
      </w:r>
      <w:r w:rsidR="00F561F3">
        <w:rPr>
          <w:rFonts w:cs="Arial"/>
          <w:sz w:val="24"/>
        </w:rPr>
        <w:t>(49)</w:t>
      </w:r>
      <w:r w:rsidR="0033320D">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w:t>
      </w:r>
    </w:p>
    <w:p w14:paraId="6F14F7D9" w14:textId="61C1F0E4" w:rsidR="000B3610" w:rsidRPr="00D678CF" w:rsidRDefault="000B3610" w:rsidP="00D678CF">
      <w:pPr>
        <w:spacing w:line="480" w:lineRule="auto"/>
        <w:jc w:val="both"/>
        <w:rPr>
          <w:rFonts w:eastAsia="Arial" w:cs="Arial"/>
          <w:sz w:val="24"/>
          <w:szCs w:val="24"/>
        </w:rPr>
      </w:pPr>
      <w:r w:rsidRPr="00D678CF">
        <w:rPr>
          <w:rFonts w:eastAsia="Arial" w:cs="Arial"/>
          <w:sz w:val="24"/>
          <w:szCs w:val="24"/>
        </w:rPr>
        <w:t xml:space="preserve">Established open-access databases of MIC distributions for key drug-pathogen combinations include EUCAST, the </w:t>
      </w:r>
      <w:proofErr w:type="spellStart"/>
      <w:r w:rsidRPr="00D678CF">
        <w:rPr>
          <w:rFonts w:eastAsia="Arial" w:cs="Arial"/>
          <w:sz w:val="24"/>
          <w:szCs w:val="24"/>
        </w:rPr>
        <w:t>Centers</w:t>
      </w:r>
      <w:proofErr w:type="spellEnd"/>
      <w:r w:rsidRPr="00D678CF">
        <w:rPr>
          <w:rFonts w:eastAsia="Arial" w:cs="Arial"/>
          <w:sz w:val="24"/>
          <w:szCs w:val="24"/>
        </w:rPr>
        <w:t xml:space="preserve"> for Disease Control and Prevention (CDC), and the Antimicrobial Testing Leadership and Surveillance (ATLAS) published by the </w:t>
      </w:r>
      <w:proofErr w:type="spellStart"/>
      <w:r w:rsidRPr="00D678CF">
        <w:rPr>
          <w:rFonts w:eastAsia="Arial" w:cs="Arial"/>
          <w:sz w:val="24"/>
          <w:szCs w:val="24"/>
        </w:rPr>
        <w:t>Wellcome</w:t>
      </w:r>
      <w:proofErr w:type="spellEnd"/>
      <w:r w:rsidRPr="00D678CF">
        <w:rPr>
          <w:rFonts w:eastAsia="Arial" w:cs="Arial"/>
          <w:sz w:val="24"/>
          <w:szCs w:val="24"/>
        </w:rPr>
        <w:t xml:space="preserve"> Trust and Open Data Institute. Only EUCAST and ATLAS include global data sources</w:t>
      </w:r>
      <w:r w:rsidR="00A0585F">
        <w:rPr>
          <w:rFonts w:eastAsia="Arial" w:cs="Arial"/>
          <w:sz w:val="24"/>
          <w:szCs w:val="24"/>
        </w:rPr>
        <w:t xml:space="preserve"> </w:t>
      </w:r>
      <w:r w:rsidR="00306752">
        <w:rPr>
          <w:rFonts w:eastAsia="Arial" w:cs="Arial"/>
          <w:sz w:val="24"/>
          <w:szCs w:val="24"/>
        </w:rPr>
        <w:fldChar w:fldCharType="begin"/>
      </w:r>
      <w:r w:rsidR="00F561F3">
        <w:rPr>
          <w:rFonts w:eastAsia="Arial" w:cs="Arial"/>
          <w:sz w:val="24"/>
          <w:szCs w:val="24"/>
        </w:rPr>
        <w:instrText xml:space="preserve"> ADDIN ZOTERO_ITEM CSL_CITATION {"citationID":"HGrMY9au","properties":{"formattedCitation":"(50, 51)","plainCitation":"(50, 51)","noteIndex":0},"citationItems":[{"id":1159,"uris":["http://zotero.org/users/11114586/items/Z4SH46C2"],"itemData":{"id":1159,"type":"webpage","title":"MIC EUCAST","URL":"https://mic.eucast.org/","accessed":{"date-parts":[["2023",2,24]]}}},{"id":1158,"uris":["http://zotero.org/users/11114586/items/ISQSQB5X"],"itemData":{"id":1158,"type":"webpage","title":"Atlas","URL":"https://atlas-surveillance.com/#/login","accessed":{"date-parts":[["2023",2,24]]}}}],"schema":"https://github.com/citation-style-language/schema/raw/master/csl-citation.json"} </w:instrText>
      </w:r>
      <w:r w:rsidR="00306752">
        <w:rPr>
          <w:rFonts w:eastAsia="Arial" w:cs="Arial"/>
          <w:sz w:val="24"/>
          <w:szCs w:val="24"/>
        </w:rPr>
        <w:fldChar w:fldCharType="separate"/>
      </w:r>
      <w:r w:rsidR="00F561F3">
        <w:rPr>
          <w:rFonts w:cs="Arial"/>
          <w:sz w:val="24"/>
        </w:rPr>
        <w:t>(50, 51)</w:t>
      </w:r>
      <w:r w:rsidR="00306752">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ATLAS has been repurposed from Pfizer/AstraZeneca surveillance of tigecycline and ceftazidime/avibactam resistance</w:t>
      </w:r>
      <w:r w:rsidR="00A0585F">
        <w:rPr>
          <w:rFonts w:eastAsia="Arial" w:cs="Arial"/>
          <w:sz w:val="24"/>
          <w:szCs w:val="24"/>
        </w:rPr>
        <w:t xml:space="preserve"> </w:t>
      </w:r>
      <w:r w:rsidR="0033320D">
        <w:rPr>
          <w:rFonts w:eastAsia="Arial" w:cs="Arial"/>
          <w:sz w:val="24"/>
          <w:szCs w:val="24"/>
        </w:rPr>
        <w:fldChar w:fldCharType="begin"/>
      </w:r>
      <w:r w:rsidR="00F561F3">
        <w:rPr>
          <w:rFonts w:eastAsia="Arial" w:cs="Arial"/>
          <w:sz w:val="24"/>
          <w:szCs w:val="24"/>
        </w:rPr>
        <w:instrText xml:space="preserve"> ADDIN ZOTERO_ITEM CSL_CITATION {"citationID":"I36ItMcv","properties":{"formattedCitation":"(49, 51)","plainCitation":"(49, 51)","noteIndex":0},"citationItems":[{"id":1013,"uris":["http://zotero.org/users/11114586/items/EMJR8SXI"],"itemData":{"id":1013,"type":"article-journal","abstract":"Antibiotic resistance represents a growing medical concern where raw, clinical datasets are under-exploited as a means to track the scale of the problem. We therefore sought patterns of antibiotic resistance in the Antimicrobial Testing Leadership and Surveillance (ATLAS) database. ATLAS holds 6.5M minimal inhibitory concentrations (MICs) for 3,919 pathogen-antibiotic pairs isolated from 633k patients in 70 countries between 2004 and 2017. We show most pairs form coherent, although not stationary, timeseries whose frequencies of resistance are higher than other databases, although we identified no systematic bias towards including more resistant strains in ATLAS. We sought data anomalies whereby MICs could shift for methodological and not clinical or microbiological reasons and found artefacts in over 100 pathogen-antibiotic pairs. Using an information-optimal clustering methodology to classify pathogens into low and high antibiotic susceptibilities, we used ATLAS to predict changes in resistance. Dynamics of the latter exhibit complex patterns with MIC increases, and some decreases, whereby subpopulations’ MICs can diverge. We also identify pathogens at risk of developing clinical resistance in the near future.","container-title":"Nature Communications","DOI":"10.1038/S41467-022-30635-7","issue":"1","note":"publisher: Springer Science and Business Media LLC","title":"Seeking patterns of antibiotic resistance in ATLAS, an open, raw MIC database with patient metadata","volume":"13","author":[{"family":"Catalán","given":"Pablo"},{"family":"Wood","given":"Emily"},{"family":"Blair","given":"Jessica M. A."},{"family":"Gudelj","given":"Ivana"},{"family":"Iredell","given":"Jonathan R."},{"family":"Beardmore","given":"Robert E."}],"accessed":{"date-parts":[["2022",7,30]]},"issued":{"date-parts":[["2022",12]]}}},{"id":1158,"uris":["http://zotero.org/users/11114586/items/ISQSQB5X"],"itemData":{"id":1158,"type":"webpage","title":"Atlas","URL":"https://atlas-surveillance.com/#/login","accessed":{"date-parts":[["2023",2,24]]}}}],"schema":"https://github.com/citation-style-language/schema/raw/master/csl-citation.json"} </w:instrText>
      </w:r>
      <w:r w:rsidR="0033320D">
        <w:rPr>
          <w:rFonts w:eastAsia="Arial" w:cs="Arial"/>
          <w:sz w:val="24"/>
          <w:szCs w:val="24"/>
        </w:rPr>
        <w:fldChar w:fldCharType="separate"/>
      </w:r>
      <w:r w:rsidR="00F561F3">
        <w:rPr>
          <w:rFonts w:cs="Arial"/>
          <w:sz w:val="24"/>
        </w:rPr>
        <w:t>(49, 51)</w:t>
      </w:r>
      <w:r w:rsidR="0033320D">
        <w:rPr>
          <w:rFonts w:eastAsia="Arial" w:cs="Arial"/>
          <w:sz w:val="24"/>
          <w:szCs w:val="24"/>
        </w:rPr>
        <w:fldChar w:fldCharType="end"/>
      </w:r>
      <w:r w:rsidRPr="00D678CF">
        <w:rPr>
          <w:rFonts w:eastAsia="Arial" w:cs="Arial"/>
          <w:sz w:val="24"/>
          <w:szCs w:val="24"/>
        </w:rPr>
        <w:t xml:space="preserve"> – the MICs are therefore limited to just ten </w:t>
      </w:r>
      <w:r w:rsidR="00CE5AAD">
        <w:rPr>
          <w:rFonts w:eastAsia="Arial" w:cs="Arial"/>
          <w:sz w:val="24"/>
          <w:szCs w:val="24"/>
        </w:rPr>
        <w:t xml:space="preserve">of the </w:t>
      </w:r>
      <w:r w:rsidRPr="00D678CF">
        <w:rPr>
          <w:rFonts w:eastAsia="Arial" w:cs="Arial"/>
          <w:sz w:val="24"/>
          <w:szCs w:val="24"/>
        </w:rPr>
        <w:t xml:space="preserve">common pathogen-antibiotic combinations (Figure </w:t>
      </w:r>
      <w:r w:rsidR="00024943" w:rsidRPr="00D678CF">
        <w:rPr>
          <w:rFonts w:eastAsia="Arial" w:cs="Arial"/>
          <w:sz w:val="24"/>
          <w:szCs w:val="24"/>
        </w:rPr>
        <w:t>1</w:t>
      </w:r>
      <w:r w:rsidRPr="00D678CF">
        <w:rPr>
          <w:rFonts w:eastAsia="Arial" w:cs="Arial"/>
          <w:sz w:val="24"/>
          <w:szCs w:val="24"/>
        </w:rPr>
        <w:t xml:space="preserve">), and MICs for amoxicillin , which is the key agent for treatment of many PHC diseases (Figure </w:t>
      </w:r>
      <w:r w:rsidR="00024943" w:rsidRPr="00D678CF">
        <w:rPr>
          <w:rFonts w:eastAsia="Arial" w:cs="Arial"/>
          <w:sz w:val="24"/>
          <w:szCs w:val="24"/>
        </w:rPr>
        <w:t>1</w:t>
      </w:r>
      <w:r w:rsidRPr="00D678CF">
        <w:rPr>
          <w:rFonts w:eastAsia="Arial" w:cs="Arial"/>
          <w:sz w:val="24"/>
          <w:szCs w:val="24"/>
        </w:rPr>
        <w:t xml:space="preserve">) are not captured. Compared to GLASS, </w:t>
      </w:r>
      <w:r w:rsidRPr="00D678CF">
        <w:rPr>
          <w:rFonts w:eastAsia="Arial" w:cs="Arial"/>
          <w:i/>
          <w:sz w:val="24"/>
          <w:szCs w:val="24"/>
        </w:rPr>
        <w:t>Streptococcus pneumoniae</w:t>
      </w:r>
      <w:r w:rsidRPr="00D678CF">
        <w:rPr>
          <w:rFonts w:eastAsia="Arial" w:cs="Arial"/>
          <w:sz w:val="24"/>
          <w:szCs w:val="24"/>
        </w:rPr>
        <w:t xml:space="preserve"> sensitivity to penicillin is significantly less frequent in ATLAS (62.5%) even when stratified for community samples (59.0%) and respiratory tract infection (59.2%). </w:t>
      </w:r>
    </w:p>
    <w:p w14:paraId="12753BFE" w14:textId="3F8C0DA8" w:rsidR="000B3610" w:rsidRPr="00D678CF" w:rsidRDefault="000B3610" w:rsidP="00D678CF">
      <w:pPr>
        <w:spacing w:line="480" w:lineRule="auto"/>
        <w:jc w:val="both"/>
        <w:rPr>
          <w:rFonts w:eastAsia="Arial" w:cs="Arial"/>
          <w:sz w:val="24"/>
          <w:szCs w:val="24"/>
        </w:rPr>
      </w:pPr>
      <w:r w:rsidRPr="00D678CF">
        <w:rPr>
          <w:rFonts w:eastAsia="Arial" w:cs="Arial"/>
          <w:sz w:val="24"/>
          <w:szCs w:val="24"/>
        </w:rPr>
        <w:lastRenderedPageBreak/>
        <w:t>Despite the reported global provenance of ATLAS and EUCAST data, the specific regional/healthcare setting(s) and time periods used to generate EUCAST MIC distributions are not reported</w:t>
      </w:r>
      <w:r w:rsidR="00A0585F">
        <w:rPr>
          <w:rFonts w:eastAsia="Arial" w:cs="Arial"/>
          <w:sz w:val="24"/>
          <w:szCs w:val="24"/>
        </w:rPr>
        <w:t xml:space="preserve"> </w:t>
      </w:r>
      <w:r w:rsidR="0033320D">
        <w:rPr>
          <w:rFonts w:eastAsia="Arial" w:cs="Arial"/>
          <w:sz w:val="24"/>
          <w:szCs w:val="24"/>
        </w:rPr>
        <w:fldChar w:fldCharType="begin"/>
      </w:r>
      <w:r w:rsidR="00F561F3">
        <w:rPr>
          <w:rFonts w:eastAsia="Arial" w:cs="Arial"/>
          <w:sz w:val="24"/>
          <w:szCs w:val="24"/>
        </w:rPr>
        <w:instrText xml:space="preserve"> ADDIN ZOTERO_ITEM CSL_CITATION {"citationID":"KHfAZxyk","properties":{"formattedCitation":"(50)","plainCitation":"(50)","noteIndex":0},"citationItems":[{"id":1159,"uris":["http://zotero.org/users/11114586/items/Z4SH46C2"],"itemData":{"id":1159,"type":"webpage","title":"MIC EUCAST","URL":"https://mic.eucast.org/","accessed":{"date-parts":[["2023",2,24]]}}}],"schema":"https://github.com/citation-style-language/schema/raw/master/csl-citation.json"} </w:instrText>
      </w:r>
      <w:r w:rsidR="0033320D">
        <w:rPr>
          <w:rFonts w:eastAsia="Arial" w:cs="Arial"/>
          <w:sz w:val="24"/>
          <w:szCs w:val="24"/>
        </w:rPr>
        <w:fldChar w:fldCharType="separate"/>
      </w:r>
      <w:r w:rsidR="00F561F3">
        <w:rPr>
          <w:rFonts w:cs="Arial"/>
          <w:sz w:val="24"/>
        </w:rPr>
        <w:t>(50)</w:t>
      </w:r>
      <w:r w:rsidR="0033320D">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This may result in geographical regions being over- or under- represented in datasets. Data in repositories may be old and out-of-date. Geographical sources are specified in ATLAS, but the database only contains MIC values for 70 nations – data from parts of Asia, MENA, and sub-Saharan Africa are sparse (Figure 4c)</w:t>
      </w:r>
      <w:r w:rsidR="00A0585F">
        <w:rPr>
          <w:rFonts w:eastAsia="Arial" w:cs="Arial"/>
          <w:sz w:val="24"/>
          <w:szCs w:val="24"/>
        </w:rPr>
        <w:t xml:space="preserve"> </w:t>
      </w:r>
      <w:r w:rsidR="0033320D">
        <w:rPr>
          <w:rFonts w:eastAsia="Arial" w:cs="Arial"/>
          <w:sz w:val="24"/>
          <w:szCs w:val="24"/>
        </w:rPr>
        <w:fldChar w:fldCharType="begin"/>
      </w:r>
      <w:r w:rsidR="00F561F3">
        <w:rPr>
          <w:rFonts w:eastAsia="Arial" w:cs="Arial"/>
          <w:sz w:val="24"/>
          <w:szCs w:val="24"/>
        </w:rPr>
        <w:instrText xml:space="preserve"> ADDIN ZOTERO_ITEM CSL_CITATION {"citationID":"c4cgFRgQ","properties":{"formattedCitation":"(51)","plainCitation":"(51)","noteIndex":0},"citationItems":[{"id":1158,"uris":["http://zotero.org/users/11114586/items/ISQSQB5X"],"itemData":{"id":1158,"type":"webpage","title":"Atlas","URL":"https://atlas-surveillance.com/#/login","accessed":{"date-parts":[["2023",2,24]]}}}],"schema":"https://github.com/citation-style-language/schema/raw/master/csl-citation.json"} </w:instrText>
      </w:r>
      <w:r w:rsidR="0033320D">
        <w:rPr>
          <w:rFonts w:eastAsia="Arial" w:cs="Arial"/>
          <w:sz w:val="24"/>
          <w:szCs w:val="24"/>
        </w:rPr>
        <w:fldChar w:fldCharType="separate"/>
      </w:r>
      <w:r w:rsidR="00F561F3">
        <w:rPr>
          <w:rFonts w:cs="Arial"/>
          <w:sz w:val="24"/>
        </w:rPr>
        <w:t>(51)</w:t>
      </w:r>
      <w:r w:rsidR="0033320D">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w:t>
      </w:r>
      <w:proofErr w:type="gramStart"/>
      <w:r w:rsidRPr="00D678CF">
        <w:rPr>
          <w:rFonts w:eastAsia="Arial" w:cs="Arial"/>
          <w:sz w:val="24"/>
          <w:szCs w:val="24"/>
        </w:rPr>
        <w:t>Similar to</w:t>
      </w:r>
      <w:proofErr w:type="gramEnd"/>
      <w:r w:rsidRPr="00D678CF">
        <w:rPr>
          <w:rFonts w:eastAsia="Arial" w:cs="Arial"/>
          <w:sz w:val="24"/>
          <w:szCs w:val="24"/>
        </w:rPr>
        <w:t xml:space="preserve"> </w:t>
      </w:r>
      <w:proofErr w:type="spellStart"/>
      <w:r w:rsidRPr="00D678CF">
        <w:rPr>
          <w:rFonts w:eastAsia="Arial" w:cs="Arial"/>
          <w:sz w:val="24"/>
          <w:szCs w:val="24"/>
        </w:rPr>
        <w:t>PopPK</w:t>
      </w:r>
      <w:proofErr w:type="spellEnd"/>
      <w:r w:rsidRPr="00D678CF">
        <w:rPr>
          <w:rFonts w:eastAsia="Arial" w:cs="Arial"/>
          <w:sz w:val="24"/>
          <w:szCs w:val="24"/>
        </w:rPr>
        <w:t xml:space="preserve"> studies, MIC values are primarily generated from hospital settings, potentially skewing MIC distributions to less susceptible values (Figure </w:t>
      </w:r>
      <w:r w:rsidR="00024943" w:rsidRPr="00D678CF">
        <w:rPr>
          <w:rFonts w:eastAsia="Arial" w:cs="Arial"/>
          <w:sz w:val="24"/>
          <w:szCs w:val="24"/>
        </w:rPr>
        <w:t>2</w:t>
      </w:r>
      <w:r w:rsidRPr="00D678CF">
        <w:rPr>
          <w:rFonts w:eastAsia="Arial" w:cs="Arial"/>
          <w:sz w:val="24"/>
          <w:szCs w:val="24"/>
        </w:rPr>
        <w:t>c). In the ATLAS database, 4.1% of all isolates values are from PHC settings– this may account for MIC values within ATLAS that more frequently correspond to breakpoint definitions of AMR compared to other databases, where the same drug-pathogen combinations have been found to be sensitive</w:t>
      </w:r>
      <w:r w:rsidR="00A0585F">
        <w:rPr>
          <w:rFonts w:eastAsia="Arial" w:cs="Arial"/>
          <w:sz w:val="24"/>
          <w:szCs w:val="24"/>
        </w:rPr>
        <w:t xml:space="preserve"> </w:t>
      </w:r>
      <w:r w:rsidR="0033320D">
        <w:rPr>
          <w:rFonts w:eastAsia="Arial" w:cs="Arial"/>
          <w:sz w:val="24"/>
          <w:szCs w:val="24"/>
        </w:rPr>
        <w:fldChar w:fldCharType="begin"/>
      </w:r>
      <w:r w:rsidR="00F561F3">
        <w:rPr>
          <w:rFonts w:eastAsia="Arial" w:cs="Arial"/>
          <w:sz w:val="24"/>
          <w:szCs w:val="24"/>
        </w:rPr>
        <w:instrText xml:space="preserve"> ADDIN ZOTERO_ITEM CSL_CITATION {"citationID":"OYdDvkLU","properties":{"formattedCitation":"(49, 51)","plainCitation":"(49, 51)","noteIndex":0},"citationItems":[{"id":1013,"uris":["http://zotero.org/users/11114586/items/EMJR8SXI"],"itemData":{"id":1013,"type":"article-journal","abstract":"Antibiotic resistance represents a growing medical concern where raw, clinical datasets are under-exploited as a means to track the scale of the problem. We therefore sought patterns of antibiotic resistance in the Antimicrobial Testing Leadership and Surveillance (ATLAS) database. ATLAS holds 6.5M minimal inhibitory concentrations (MICs) for 3,919 pathogen-antibiotic pairs isolated from 633k patients in 70 countries between 2004 and 2017. We show most pairs form coherent, although not stationary, timeseries whose frequencies of resistance are higher than other databases, although we identified no systematic bias towards including more resistant strains in ATLAS. We sought data anomalies whereby MICs could shift for methodological and not clinical or microbiological reasons and found artefacts in over 100 pathogen-antibiotic pairs. Using an information-optimal clustering methodology to classify pathogens into low and high antibiotic susceptibilities, we used ATLAS to predict changes in resistance. Dynamics of the latter exhibit complex patterns with MIC increases, and some decreases, whereby subpopulations’ MICs can diverge. We also identify pathogens at risk of developing clinical resistance in the near future.","container-title":"Nature Communications","DOI":"10.1038/S41467-022-30635-7","issue":"1","note":"publisher: Springer Science and Business Media LLC","title":"Seeking patterns of antibiotic resistance in ATLAS, an open, raw MIC database with patient metadata","volume":"13","author":[{"family":"Catalán","given":"Pablo"},{"family":"Wood","given":"Emily"},{"family":"Blair","given":"Jessica M. A."},{"family":"Gudelj","given":"Ivana"},{"family":"Iredell","given":"Jonathan R."},{"family":"Beardmore","given":"Robert E."}],"accessed":{"date-parts":[["2022",7,30]]},"issued":{"date-parts":[["2022",12]]}}},{"id":1158,"uris":["http://zotero.org/users/11114586/items/ISQSQB5X"],"itemData":{"id":1158,"type":"webpage","title":"Atlas","URL":"https://atlas-surveillance.com/#/login","accessed":{"date-parts":[["2023",2,24]]}}}],"schema":"https://github.com/citation-style-language/schema/raw/master/csl-citation.json"} </w:instrText>
      </w:r>
      <w:r w:rsidR="0033320D">
        <w:rPr>
          <w:rFonts w:eastAsia="Arial" w:cs="Arial"/>
          <w:sz w:val="24"/>
          <w:szCs w:val="24"/>
        </w:rPr>
        <w:fldChar w:fldCharType="separate"/>
      </w:r>
      <w:r w:rsidR="00F561F3">
        <w:rPr>
          <w:rFonts w:cs="Arial"/>
          <w:sz w:val="24"/>
        </w:rPr>
        <w:t>(49, 51)</w:t>
      </w:r>
      <w:r w:rsidR="0033320D">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w:t>
      </w:r>
    </w:p>
    <w:p w14:paraId="1DCDB37D" w14:textId="77777777" w:rsidR="001C1C7C" w:rsidRDefault="001C1C7C" w:rsidP="00D678CF">
      <w:pPr>
        <w:spacing w:line="480" w:lineRule="auto"/>
        <w:jc w:val="both"/>
        <w:rPr>
          <w:rFonts w:eastAsia="Arial" w:cs="Arial"/>
        </w:rPr>
      </w:pPr>
    </w:p>
    <w:p w14:paraId="27E2A097" w14:textId="07AE27D2" w:rsidR="000B3610" w:rsidRPr="00333A9F" w:rsidRDefault="00DC7D3D" w:rsidP="00D678CF">
      <w:pPr>
        <w:pStyle w:val="Heading2"/>
        <w:spacing w:line="480" w:lineRule="auto"/>
      </w:pPr>
      <w:bookmarkStart w:id="13" w:name="_Toc154184992"/>
      <w:r w:rsidRPr="6A4AE598">
        <w:t>Systematic</w:t>
      </w:r>
      <w:r w:rsidR="000B3610" w:rsidRPr="6A4AE598">
        <w:t xml:space="preserve"> review</w:t>
      </w:r>
      <w:r w:rsidR="000B3610">
        <w:t xml:space="preserve"> of pharmacodynamic targets</w:t>
      </w:r>
      <w:r w:rsidR="000B3610" w:rsidRPr="6A4AE598">
        <w:t xml:space="preserve"> and citation tracing</w:t>
      </w:r>
      <w:bookmarkEnd w:id="13"/>
    </w:p>
    <w:p w14:paraId="3C3793CD" w14:textId="1C7148AB" w:rsidR="000B3610" w:rsidRPr="00D678CF" w:rsidRDefault="000B3610" w:rsidP="00D678CF">
      <w:pPr>
        <w:spacing w:line="480" w:lineRule="auto"/>
        <w:jc w:val="both"/>
        <w:rPr>
          <w:rFonts w:eastAsia="Arial" w:cs="Arial"/>
          <w:sz w:val="24"/>
          <w:szCs w:val="24"/>
        </w:rPr>
      </w:pPr>
      <w:r w:rsidRPr="00D678CF">
        <w:rPr>
          <w:rFonts w:eastAsia="Arial" w:cs="Arial"/>
          <w:sz w:val="24"/>
          <w:szCs w:val="24"/>
        </w:rPr>
        <w:t xml:space="preserve">A second systematic review evaluating pharmacodynamic targets for </w:t>
      </w:r>
      <w:proofErr w:type="spellStart"/>
      <w:r w:rsidRPr="00D678CF">
        <w:rPr>
          <w:rFonts w:eastAsia="Arial" w:cs="Arial"/>
          <w:sz w:val="24"/>
          <w:szCs w:val="24"/>
        </w:rPr>
        <w:t>AWaRe</w:t>
      </w:r>
      <w:proofErr w:type="spellEnd"/>
      <w:r w:rsidRPr="00D678CF">
        <w:rPr>
          <w:rFonts w:eastAsia="Arial" w:cs="Arial"/>
          <w:sz w:val="24"/>
          <w:szCs w:val="24"/>
        </w:rPr>
        <w:t xml:space="preserve"> Book PHC antibiotics yielded 880 results meeting the inclusion criteria (Figure </w:t>
      </w:r>
      <w:r w:rsidR="00024943" w:rsidRPr="00D678CF">
        <w:rPr>
          <w:rFonts w:eastAsia="Arial" w:cs="Arial"/>
          <w:sz w:val="24"/>
          <w:szCs w:val="24"/>
        </w:rPr>
        <w:t>3</w:t>
      </w:r>
      <w:r w:rsidRPr="00D678CF">
        <w:rPr>
          <w:rFonts w:eastAsia="Arial" w:cs="Arial"/>
          <w:sz w:val="24"/>
          <w:szCs w:val="24"/>
        </w:rPr>
        <w:t xml:space="preserve">b); however, at screening most articles did not determine a target magnitude within their study. Ten of these studies were conducted for ß-lactam antibiotics from January 2022 to present. When values for a pharmacodynamic target were manually traced back through serial citations to establish their origins, the network (Figure </w:t>
      </w:r>
      <w:r w:rsidR="009C7A37" w:rsidRPr="00D678CF">
        <w:rPr>
          <w:rFonts w:eastAsia="Arial" w:cs="Arial"/>
          <w:sz w:val="24"/>
          <w:szCs w:val="24"/>
        </w:rPr>
        <w:t>5</w:t>
      </w:r>
      <w:r w:rsidRPr="00D678CF">
        <w:rPr>
          <w:rFonts w:eastAsia="Arial" w:cs="Arial"/>
          <w:sz w:val="24"/>
          <w:szCs w:val="24"/>
        </w:rPr>
        <w:t>) generated from these ten articles yielded 567 articles citing a target magnitude, of which 80 defined a target magnitude within (Table 2)</w:t>
      </w:r>
      <w:r w:rsidR="00A0585F">
        <w:rPr>
          <w:rFonts w:eastAsia="Arial" w:cs="Arial"/>
          <w:sz w:val="24"/>
          <w:szCs w:val="24"/>
        </w:rPr>
        <w:t xml:space="preserve"> </w:t>
      </w:r>
      <w:r w:rsidR="0033320D">
        <w:rPr>
          <w:rFonts w:eastAsia="Arial" w:cs="Arial"/>
          <w:sz w:val="24"/>
          <w:szCs w:val="24"/>
        </w:rPr>
        <w:fldChar w:fldCharType="begin"/>
      </w:r>
      <w:r w:rsidR="00F561F3">
        <w:rPr>
          <w:rFonts w:eastAsia="Arial" w:cs="Arial"/>
          <w:sz w:val="24"/>
          <w:szCs w:val="24"/>
        </w:rPr>
        <w:instrText xml:space="preserve"> ADDIN ZOTERO_ITEM CSL_CITATION {"citationID":"u24Ztf4O","properties":{"formattedCitation":"(52\\uc0\\u8211{}131)","plainCitation":"(52–131)","noteIndex":0},"citationItems":[{"id":8881,"uris":["http://zotero.org/users/11114586/items/4TNLEQNQ"],"itemData":{"id":8881,"type":"article-journal","abstract":"Piperacillin-tazobactam has been proposed as an alternative to carbapenems for the treatment of infections caused by extended-spectrum-β-lactamase (ESBL)-producing\n              Enterobacteriaceae\n              . However, limited understanding of optimal dosing strategies for this combination may curtail its utility.\n            \n          , \n            ABSTRACT\n            \n              Piperacillin-tazobactam has been proposed as an alternative to carbapenems for the treatment of infections caused by extended-spectrum-β-lactamase (ESBL)-producing\n              Enterobacteriaceae\n              . However, limited understanding of optimal dosing strategies for this combination may curtail its utility. In this study, we correlated various exposures of piperacillin-tazobactam to efficacy, using a modified pharmacokinetic/pharmacodynamic index. Using a clinical\n              Klebsiella pneumoniae\n              isolate expressing CTX-M-15, piperacillin MIC values were determined with increasing tazobactam concentrations and fitted to a sigmoid inhibitory maximum effect (\n              E\n              max\n              ) model. A hollow-fiber infection model (HFIM) was used to evaluate the efficacy of escalating tazobactam dosing with a fixed piperacillin exposure. Simulated drug concentrations from the HFIM were incorporated in the\n              E\n              max\n              model to determine the percentage of free time above instantaneous MIC (%\n              f\n              T&gt;MICi) associated with each experimental exposure. The target %\n              f\n              T&gt;MICi associated with growth suppression was prospectively validated using an SHV-12-producing isolate of\n              Escherichia coli\n              and 2 other CTX-M-15-producing\n              K. pneumoniae\n              isolates. Based on our reference isolate, piperacillin-tazobactam exposures of %\n              f\n              T&gt;MICi of ≥55.1% were associated with growth suppression. Despite underlying differences, these findings were consistent with prospective observations in 3 other clinical isolates. Our modeling approach can be applied relatively easily in the clinical setting, and it appeared to be robust in predicting the effectiveness of various piperacillin-tazobactam exposures. This modified pharmacokinetic/pharmacodynamic index could be used to characterize response to other β-lactam/β-lactamase inhibitor combinations.","container-title":"Antimicrobial Agents and Chemotherapy","DOI":"10.1128/AAC.01906-18","ISSN":"0066-4804, 1098-6596","issue":"2","journalAbbreviation":"Antimicrob Agents Chemother","language":"en","page":"e01906-18","source":"DOI.org (Crossref)","title":"Optimal Piperacillin-Tazobactam Dosing Strategies against Extended-Spectrum-β-Lactamase-Producing &lt;i&gt;Enterobacteriaceae&lt;/i&gt;","volume":"63","author":[{"family":"Abodakpi","given":"Henrietta"},{"family":"Chang","given":"Kai-Tai"},{"family":"Gao","given":"Song"},{"family":"Sánchez-Díaz","given":"Ana María"},{"family":"Cantón","given":"Rafael"},{"family":"Tam","given":"Vincent H."}],"issued":{"date-parts":[["2019",2]]}}},{"id":8883,"uris":["http://zotero.org/users/11114586/items/Z5XGDWCG"],"itemData":{"id":8883,"type":"article-journal","container-title":"International Journal of Antimicrobial Agents","DOI":"10.1016/j.ijantimicag.2014.12.018","ISSN":"09248579","issue":"5","journalAbbreviation":"International Journal of Antimicrobial Agents","language":"en","page":"541-544","source":"DOI.org (Crossref)","title":"Cefepime free minimum concentration to minimum inhibitory concentration (fCmin/MIC) ratio predicts clinical failure in patients with Gram-negative bacterial pneumonia","volume":"45","author":[{"family":"Aitken","given":"Samuel L."},{"family":"Altshuler","given":"Jerry"},{"family":"Guervil","given":"David J."},{"family":"Hirsch","given":"Elizabeth B."},{"family":"Ostrosky-Zeichner","given":"Luis L."},{"family":"Ericsson","given":"Charles D."},{"family":"Tam","given":"Vincent H."}],"issued":{"date-parts":[["2015",5]]}}},{"id":8884,"uris":["http://zotero.org/users/11114586/items/4TQRA48E"],"itemData":{"id":8884,"type":"article-journal","container-title":"Journal of Antimicrobial Chemotherapy","DOI":"10.1093/jac/dkh536","ISSN":"1460-2091, 0305-7453","issue":"2","language":"en","page":"209-213","source":"DOI.org (Crossref)","title":"Is there a pharmacodynamic need for the use of continuous versus intermittent infusion with ceftazidime against Pseudomonas aeruginosa? An in vitro pharmacodynamic model","title-short":"Is there a pharmacodynamic need for the use of continuous versus intermittent infusion with ceftazidime against Pseudomonas aeruginosa?","volume":"55","author":[{"family":"Alou","given":"Luis"},{"family":"Aguilar","given":"Lorenzo"},{"family":"Sevillano","given":"David"},{"family":"Giménez","given":"María-José"},{"family":"Echeverría","given":"Olatz"},{"family":"Gómez-Lus","given":"María-Luisa"},{"family":"Prieto","given":"José"}],"issued":{"date-parts":[["2005",2,1]]}}},{"id":8885,"uris":["http://zotero.org/users/11114586/items/FP8LAU9T"],"itemData":{"id":8885,"type":"article-journal","abstract":"ABSTRACT\n            \n              The in vivo activities of amoxicillin and amoxicillin-clavulanate against 17 strains of\n              Streptococcus pneumoniae\n              with penicillin MICs of 0.12–8.0 mg/liter were assessed in a cyclophosphamide-induced neutropenic murine thigh infection model. Renal impairment was produced by administration of uranyl nitrate to prolong the amoxicillin half-life in the mice from 21 to 65 min, simulating human pharmacokinetics. Two hours after thigh infection with 10\n              5\n              to 10\n              6\n              CFU, groups of mice were treated with 7 mg of amoxicillin per kg of body weight alone or combined with clavulanate (ratio, 4:1) every 8 h for 1 and 4 days. There was an excellent correlation between the MIC of amoxicillin (0.03 to 5.6 mg/liter) and (i) the change in log\n              10\n              CFU/thigh at 24 h and (ii) survival after 4 days of therapy. Organisms for which MICs were 2 mg/liter or less were killed at 1.4 to 4.2 and 1.6 to 4.1 log\n              10\n              CFU/thigh at 24 h by amoxicillin and amoxicillin-clavulanate, respectively. The four strains for which MICs were &gt;4 mg/liter grew 0.2 to 2.6 and 0.6 to 2.3 logs at 24 h despite therapy with amoxicillin and amoxicillin-clavulanate, respectively. Infection was uniformly fatal by 72 h in untreated mice. Amoxicillin therapy resulted in no mortality with organisms for which MICs were 1 mg/liter or less, 20 to 40% mortality with organisms for which MICs were 2 mg/liter, and 80 to 100% mortality with organisms for which MICs were 4.0–5.6 mg/liter. Lower and higher doses (0.5, 2, and 20 mg/kg) of amoxicillin were studied against organisms for which MICs were near the breakpoint. These studies demonstrate that a reduction of 1 log\n              10\n              or greater in CFU/thigh at 24 h is consistently observed when amoxicillin levels exceed the MIC for 25 to 30% of the dosing interval. These studies would support amoxicillin (and amoxicillin-clavulanate) MIC breakpoints of 1 mg/liter for susceptible, 2 mg/liter for intermediate, and 4 mg/liter for resistant strains of\n              S. pneumoniae\n              .","container-title":"Antimicrobial Agents and Chemotherapy","DOI":"10.1128/AAC.42.9.2375","ISSN":"0066-4804, 1098-6596","issue":"9","journalAbbreviation":"Antimicrob Agents Chemother","language":"en","page":"2375-2379","source":"DOI.org (Crossref)","title":"In Vivo Activities of Amoxicillin and Amoxicillin-Clavulanate against &lt;i&gt;Streptococcus pneumoniae&lt;/i&gt; : Application to Breakpoint Determinations","title-short":"In Vivo Activities of Amoxicillin and Amoxicillin-Clavulanate against &lt;i&gt;Streptococcus pneumoniae&lt;/i&gt;","volume":"42","author":[{"family":"Andes","given":"D."},{"family":"Craig","given":"W. A."}],"issued":{"date-parts":[["1998",9]]}}},{"id":6338,"uris":["http://zotero.org/users/11114586/items/CTCT55N3"],"itemData":{"id":6338,"type":"article-journal","abstract":"Animals have been extensively used in the evaluation of antimicrobials. The value of animals in the pharmacokinetic and pharmacodynamic characterization of antimicrobials is critically reviewed. Animal studies have demonstrated that the pharmacokinetic/pharmacodynamic (PK/PD) target determining efficacy can vary for different classes of antimicrobials. However, the magnitude of the target required for bacteriological efficacy is relatively similar for various sites of infection, various pathogens and various drugs within the same class, provided free drug levels are used. Copyright © 2002 Elsevier Science B.V.","container-title":"International Journal of Antimicrobial Agents","DOI":"10.1016/S0924-8579(02)00022-5","ISSN":"09248579 (ISSN)","issue":"4","language":"English","note":"publisher-place: University of Wisconsin, Madison, WI, 600 Highland Avenue, United States","page":"261-268","title":"Animal model pharmacokinetics and pharmacodynamics: A critical review","volume":"19","author":[{"family":"Andes","given":"D."},{"family":"Craig","given":"W.A."}],"issued":{"date-parts":[["2002"]]}}},{"id":8888,"uris":["http://zotero.org/users/11114586/items/9YT9JZP6"],"itemData":{"id":8888,"type":"article-journal","abstract":"ABSTRACT\n            \n              PPI-0903 is a new cephalosporin with broad-spectrum activity, including beta-lactam-resistant\n              Streptococcus pneumoniae\n              and\n              Staphylococcus aureus\n              . We used the neutropenic murine thigh and lung infection models to examine the pharmacodynamic characteristics of PPI-0903. Serum drug levels following four fourfold-escalating single doses of PPI-0903 were measured by microbiologic assay. In vivo postantibiotic effects (PAEs) were determined after doses of 1.56, 6.25, 25, and 100 mg/kg of body weight in mice infected with\n              S. pneumoniae\n              ATCC 10813,\n              S. aureus\n              ATCC 29213, or\n              Escherichia coli\n              ATCC 25922. Dose fractionation studies over a 24-h dose range of 0.39 to 1,600 mg/kg were administered every 3, 6, 12, or 24 hours. Nonlinear regression analysis was used to determine which pharmacokinetic-pharmacodynamic (PK-PD) index (total and free 65% drug) best correlated with CFU/thigh at 24 h. Similar to other beta-lactam antibiotics, PPI-0903 produced short to modest in vivo PAEs with either\n              S. pneumoniae\n              or\n              E. coli\n              . The percent time that serum concentrations were above the MIC (%T&gt;MIC) was the PK-PD index that best correlated with efficacy (\n              R\n              2\n              = 84 to 88% for the three organisms, compared with 9 to 41% for peak/MIC and 30 to 82% for the area under the concentration-time curve/MIC). In subsequent studies we used the neutropenic murine thigh infection model to determine if the magnitude of the free-drug %T&gt;MIC needed for efficacy of PPI-0903 varied among pathogens (including resistant strains). Mice infected with one of five isolates of\n              S. pneumoniae\n              , four isolates of\n              S. aureus\n              , or four gram-negative bacilli were treated for 24 h with 0.10 to 400 mg/kg of PPI-0903 every 6 h. A sigmoid dose-response model was used to estimate the doses (mg/kg/24 h) required to achieve a net bacteriostatic affect over 24 h and to produce a reduction in the burden of organisms from the start of therapy by 1 and 2 log\n              10\n              CFU/thigh. MICs ranged from 0.008 to 1 μg/ml. Mean free-drug %T&gt;MICs ± the standard deviation associated with the static effect endpoint for\n              S. pneumoniae\n              ,\n              S. aureus\n              , and gram-negative isolates were 39 ± 9, 26 ± 8, and 32 ± 6, respectively. Methicillin and penicillin resistance did not alter the magnitude of free-drug %T&gt;MIC required for efficacy. The free-drug %T&gt;MIC necessary for efficacy was slightly reduced in animals with normal neutrophil counts. Treatment effect was similar in both the thigh and lung infection models. The pharmacodynamic characteristics of PPI-0903 are similar to those of other compounds within the cephalosporin class.","container-title":"Antimicrobial Agents and Chemotherapy","DOI":"10.1128/AAC.50.4.1376-1383.2006","ISSN":"0066-4804, 1098-6596","issue":"4","journalAbbreviation":"Antimicrob Agents Chemother","language":"en","page":"1376-1383","source":"DOI.org (Crossref)","title":"Pharmacodynamics of a New Cephalosporin, PPI-0903 (TAK-599), Active against Methicillin-Resistant &lt;i&gt;Staphylococcus aureus&lt;/i&gt; in Murine Thigh and Lung Infection Models: Identification of an In Vivo Pharmacokinetic-Pharmacodynamic Target","title-short":"Pharmacodynamics of a New Cephalosporin, PPI-0903 (TAK-599), Active against Methicillin-Resistant &lt;i&gt;Staphylococcus aureus&lt;/i&gt; in Murine Thigh and Lung Infection Models","volume":"50","author":[{"family":"Andes","given":"D."},{"family":"Craig","given":"W. A."}],"issued":{"date-parts":[["2006",4]]}}},{"id":8890,"uris":["http://zotero.org/users/11114586/items/ICGQHYYX"],"itemData":{"id":8890,"type":"article-journal","abstract":"BACKGROUND:\n              Pharmacodynamic investigations with antimicrobials define the relationship between the infecting organism and achievable drug concentrations with clinical outcome.\n            \n            \n              OBJECTIVE:\n              To examine this relationship for meropenem in a population of patients who are at high risk of infection-related morbidity and mortality.\n            \n            \n              METHODS:\n              \n                The study was a retrospective analysis of a multicenter, randomized, blinded clinical trial. A population-based predictive model was created using data from adults with febrile neutropenia and the nonparametric modeling program, NPEM. Patient age, body weight, and serum creatinine level were covariates in the model used to predict unbound concentrations for each patient. Pathogen susceptibility was estimated using product literature minimum inhibitory concentrations for effectiveness against 50% of microorganisms (MIC\n                50\n                ) for specific organisms. The pharmacodynamic index of percent time above MIC (% T&gt;MIC) was analyzed for its association with clinical outcome.\n              \n            \n            \n              RESULTS:\n              A 2-compartment pharmacokinetic model using patient covariates of body weight and renal function best described the pharmacokinetics of meropenem in febrile neutropenic patients. Sixty patients with confirmed gram-positive or -negative bacteremia were studied. An average of 83% T&gt;MIC was identified for the 42 clinical responders compared with 59% T&gt;MIC for the 18 nonresponders (p = 0.04). An 80% clinical response rate was evident when the % T&gt;MIC for meropenem exceeded 75% of the dosing interval (p = 0.01).\n            \n            \n              CONCLUSIONS:\n              To our knowledge, this is the first published report of a relationship between a pharmacodynamic index and clinical outcome in a febrile neutropenic population. Based on this relationship, dosing with intravenous meropenem 500 mg every 6 hours is predicted to be comparable to the currently recommended 1 g every 8 hours for serious infections. Our model provides further justification for a prospective clinical trial to evaluate a pharmacodynamically targeted meropenem dosing schedule as to its ability to improve clinical outcome in these patients.","container-title":"Annals of Pharmacotherapy","DOI":"10.1345/aph.1E271","ISSN":"1060-0280, 1542-6270","issue":"1","journalAbbreviation":"Ann Pharmacother","language":"en","page":"32-38","source":"DOI.org (Crossref)","title":"Pharmacokinetics and Pharmacodynamics of Meropenem in Febrile Neutropenic Patients with Bacteremia","volume":"39","author":[{"family":"Ariano","given":"Robert E"},{"family":"Nyhlén","given":"Anna"},{"family":"Donnelly","given":"J Peter"},{"family":"Sitar","given":"Daniel S"},{"family":"Harding","given":"Godfrey Km"},{"family":"Zelenitsky","given":"Sheryl A"}],"issued":{"date-parts":[["2005",1]]}}},{"id":8891,"uris":["http://zotero.org/users/11114586/items/5D6CWMJC"],"itemData":{"id":8891,"type":"article-journal","abstract":"ABSTRACT\n            \n              BAL5788 is a water-soluble prodrug of BAL9141, a new broad-spectrum cephalosporin with high levels of in vitro activity against methicillin- and vancomycin-resistant staphylococci and penicillin-resistant streptococci. In plasma BAL5788 is rapidly converted to BAL9141. We studied the activity of BAL5788 in a mouse model of acute pneumococcal pneumonia. Leukopenic female Swiss albino mice were challenged intratracheally with 10\n              7\n              CFU of clinical\n              Streptococcus pneumoniae\n              strains P-52181 (Pen\n              s\n              Cro\n              s\n              Ctx\n              s\n              ), P-15986 (Pen\n              r\n              Cro\n              s\n              Ctx\n              s\n              ), P-40422 (Pen\n              r\n              Cro\n              r\n              Ctx\n              r\n              ), and P-40984 (Pen\n              r\n              Cro\n              r\n              Ctx\n              r\n              ). Infected mice received subcutaneous (s.c.) injections of BAL5788 or ceftriaxone starting 3 h after pneumococcal challenge. Uninfected nonleukopenic mice received single s.c. doses of BAL5788 to determine the BAL9141 concentration-time profiles in serum and lungs. Untreated control mice died within 5 days postinfection. Ten-day cumulative survival rates for infected mice receiving BAL5788 (total daily doses of BAL9141 equivalents, 2.1 to 75 mg/kg of body weight) ranged from 57 to 100%, whereas with ceftriaxone (total daily doses, 10 to 400 mg/kg), the survival rates varied between 13 and 100%. In mice infected with P-15986, the survival rates achieved with BAL5788 (BAL9141 equivalent, 8.4 mg/kg) and those achieved with ceftriaxone (50 mg/kg) were significantly different (93 versus 13%;\n              P\n              &lt; 0.0001) in favor of BAL5788; the outcomes of the trials with all other strains were not significantly different between the two antibiotics, but markedly lower doses of BAL5788 than ceftriaxone were required to obtain similar survival rates. Pharmacokinetic data showed that BAL9141 was effective against the four pneumococcal strains tested at very low values of the time above the MIC (\n              T\n              &gt; MIC), which ranged from 9 to 18% of the dosing interval, whereas the values of\n              T\n              &gt; MICs for ceftriaxone ranged from 30 to 50% of the dosing interval.","container-title":"Antimicrobial Agents and Chemotherapy","DOI":"10.1128/AAC.48.4.1105-1111.2004","ISSN":"0066-4804, 1098-6596","issue":"4","journalAbbreviation":"Antimicrob Agents Chemother","language":"en","page":"1105-1111","source":"DOI.org (Crossref)","title":"Efficacy of BAL5788, a Prodrug of Cephalosporin BAL9141, in a Mouse Model of Acute Pneumococcal Pneumonia","volume":"48","author":[{"family":"Azoulay-Dupuis","given":"E."},{"family":"Bédos","given":"J. P."},{"family":"Mohler","given":"J."},{"family":"Schmitt-Hoffmann","given":"A."},{"family":"Schleimer","given":"M."},{"family":"Shapiro","given":"S."}],"issued":{"date-parts":[["2004",4]]}}},{"id":6760,"uris":["http://zotero.org/users/11114586/items/FTYQHHIH"],"itemData":{"id":6760,"type":"article-journal","abstract":"The pharmacokinetic/pharmacodynamic (PK/PD) indexes that define the therapeutic effect of the beta-lactam ceftazidime in a rat model of Klebsiella pneumoniae lung infection were investigated in relation to treatment duration and treatment endpoint. Treatment was started 24 h after infection with dosing regimens of 3.1 up to 1,600 mg/kg of body weight/day and dosing every 6, 12, or 24 h. When animals were treated for a relatively short period of 48 h, the duration of time that unbound plasma ceftazidime levels exceeded the MIC of the antibiotic for the infecting strain was the index that best correlated with therapeutic efficacy in terms of significant bacterial killing in the infected lung (microbiol. effect). The maximum effect was reached when plasma ceftazidime levels were above the MIC for 60 to 70% of the dosing interval. However, when the treatment duration was extended to a relatively long period of 18 days instead of 48 h and animal survival rate instead of microbiol. efficacy was taken as the endpoint, the fAUC/MIC ratio (where AUC is the area under the concentration-time curve) was the PK/PD index that best correlated with therapeutic efficacy. The PK/PD indexes that effect 50% survival of rats for the fAUC/MIC ratios were 18.0 (95% confidence interval [95% CI], 16.3 to 19.9), 20.2 (95% CI, 13.8 to 29.4), and 27.9 (95% CI, 21.3 to 36.5) for the schedules of administration of every 6, 12, and 24 h, resp. The fAUC/MIC needed for 100% survival was &gt; 100. We conclude that the PK/PD index that best correlates with outcome is dependent on the duration of treatment and/or the parameter of outcome. The effect of long-term treatment should be studied more extensively in other models of infection.","container-title":"Antimicrobial Agents and Chemotherapy","DOI":"10.1128/aac.00859-05 CO - AMACCQ","ISSN":"[\"0066-4804\", \"0066-4804\"]","issue":"9","note":"publisher: American Society for Microbiology","page":"2919-2925","title":"Effect of treatment duration on pharmacokinetic/pharmacodynamic indices correlating with therapeutic efficacy of ceftazidime in experimental Klebsiella pneumoniae lung infection","volume":"50","author":[{"family":"Bakker-Woudenberg","given":"Irma A. J. M."},{"family":"Kate","given":"Marian T.","non-dropping-particle":"ten"},{"family":"Goessens","given":"Wil H. F."},{"family":"Mouton","given":"Johan W."}],"issued":{"date-parts":[["2006"]]}}},{"id":8895,"uris":["http://zotero.org/users/11114586/items/BUZ8QAJC"],"itemData":{"id":8895,"type":"article-journal","container-title":"Journal of Antimicrobial Chemotherapy","DOI":"10.1093/jac/dkw153","ISSN":"0305-7453, 1460-2091","issue":"9","journalAbbreviation":"J. Antimicrob. Chemother.","language":"en","page":"2509-2520","source":"DOI.org (Crossref)","title":"Effect of different renal function on antibacterial effects of piperacillin against &lt;i&gt;Pseudomonas aeruginosa&lt;/i&gt; evaluated via the hollow-fibre infection model and mechanism-based modelling","volume":"71","author":[{"family":"Bergen","given":"Phillip J."},{"family":"Bulitta","given":"Jürgen B."},{"family":"Kirkpatrick","given":"Carl M. J."},{"family":"Rogers","given":"Kate E."},{"family":"McGregor","given":"Megan J."},{"family":"Wallis","given":"Steven C."},{"family":"Paterson","given":"David L."},{"family":"Lipman","given":"Jeffrey"},{"family":"Roberts","given":"Jason A."},{"family":"Landersdorfer","given":"Cornelia B."}],"issued":{"date-parts":[["2016",9]]}}},{"id":8897,"uris":["http://zotero.org/users/11114586/items/QL4X96HC"],"itemData":{"id":8897,"type":"article-journal","abstract":"ABSTRACT\n            \n              Critically ill patients frequently have substantially altered pharmacokinetics compared to non-critically ill patients. We investigated the impact of pharmacokinetic alterations on bacterial killing and resistance for commonly used meropenem dosing regimens. A\n              Pseudomonas aeruginosa\n              isolate (MIC\n              meropenem\n              0.25 mg/liter) was studied in the hollow-fiber infection model (inoculum </w:instrText>
      </w:r>
      <w:r w:rsidR="00F561F3">
        <w:rPr>
          <w:rFonts w:ascii="Cambria Math" w:eastAsia="Arial" w:hAnsi="Cambria Math" w:cs="Cambria Math"/>
          <w:sz w:val="24"/>
          <w:szCs w:val="24"/>
        </w:rPr>
        <w:instrText>∼</w:instrText>
      </w:r>
      <w:r w:rsidR="00F561F3">
        <w:rPr>
          <w:rFonts w:eastAsia="Arial" w:cs="Arial"/>
          <w:sz w:val="24"/>
          <w:szCs w:val="24"/>
        </w:rPr>
        <w:instrText xml:space="preserve">10\n              7.5\n              CFU/ml; 10 days). Pharmacokinetic profiles representing critically ill patients with augmented renal clearance (ARC), normal, or impaired renal function (creatinine clearances of 285, 120, or </w:instrText>
      </w:r>
      <w:r w:rsidR="00F561F3">
        <w:rPr>
          <w:rFonts w:ascii="Cambria Math" w:eastAsia="Arial" w:hAnsi="Cambria Math" w:cs="Cambria Math"/>
          <w:sz w:val="24"/>
          <w:szCs w:val="24"/>
        </w:rPr>
        <w:instrText>∼</w:instrText>
      </w:r>
      <w:r w:rsidR="00F561F3">
        <w:rPr>
          <w:rFonts w:eastAsia="Arial" w:cs="Arial"/>
          <w:sz w:val="24"/>
          <w:szCs w:val="24"/>
        </w:rPr>
        <w:instrText>10 ml/min, respectively) were generated for three meropenem regimens (2, 1, and 0.5 g administered as 8-hourly 30-min infusions), plus 1 g given 12 hourly with impaired renal function. The time course of total and less-susceptible populations and MICs were determined. Mechanism-based modeling (MBM) was performed using S-ADAPT. All dosing regimens across all renal functions produced similar initial bacterial killing (≤</w:instrText>
      </w:r>
      <w:r w:rsidR="00F561F3">
        <w:rPr>
          <w:rFonts w:ascii="Cambria Math" w:eastAsia="Arial" w:hAnsi="Cambria Math" w:cs="Cambria Math"/>
          <w:sz w:val="24"/>
          <w:szCs w:val="24"/>
        </w:rPr>
        <w:instrText>∼</w:instrText>
      </w:r>
      <w:r w:rsidR="00F561F3">
        <w:rPr>
          <w:rFonts w:eastAsia="Arial" w:cs="Arial"/>
          <w:sz w:val="24"/>
          <w:szCs w:val="24"/>
        </w:rPr>
        <w:instrText>2.5 log\n              10\n              ). For all regimens subjected to ARC, regrowth occurred after 7 h. For normal and impaired renal function, bacterial killing continued until 23 to 47 h; regrowth then occurred with 0.5- and 1-g regimens with normal renal function (\n              fT\n              &gt;5×MIC\n              = 56 and 69%,\n              fC\n              min\n              /MIC &lt; 2); the emergence of less-susceptible populations (≥32-fold increases in MIC) accompanied all regrowth. Bacterial counts remained suppressed across 10 days with normal (2-g 8-hourly regimen) and impaired (all regimens) renal function (\n              fT\n              &gt;5×MIC\n              ≥ 82%,\n              fC\n              min\n              /MIC ≥ 2). The MBM successfully described bacterial killing and regrowth for all renal functions and regimens simultaneously. Optimized dosing regimens, including extended infusions and/or combinations, supported by MBM and Monte Carlo simulations, should be evaluated in the context of ARC to maximize bacterial killing and suppress resistance emergence.","container-title":"Antimicrobial Agents and Chemotherapy","DOI":"10.1128/AAC.02642-16","ISSN":"0066-4804, 1098-6596","issue":"5","journalAbbreviation":"Antimicrob Agents Chemother","language":"en","page":"e02642-16","source":"DOI.org (Crossref)","title":"Substantial Impact of Altered Pharmacokinetics in Critically Ill Patients on the Antibacterial Effects of Meropenem Evaluated via the Dynamic Hollow-Fiber Infection Model","volume":"61","author":[{"family":"Bergen","given":"Phillip J."},{"family":"Bulitta","given":"Jürgen B."},{"family":"Kirkpatrick","given":"Carl M. J."},{"family":"Rogers","given":"Kate E."},{"family":"McGregor","given":"Megan J."},{"family":"Wallis","given":"Steven C."},{"family":"Paterson","given":"David L."},{"family":"Nation","given":"Roger L."},{"family":"Lipman","given":"Jeffrey"},{"family":"Roberts","given":"Jason A."},{"family":"Landersdorfer","given":"Cornelia B."}],"issued":{"date-parts":[["2017",5]]}}},{"id":8899,"uris":["http://zotero.org/users/11114586/items/LVNEQ459"],"itemData":{"id":8899,"type":"article-journal","abstract":"ABSTRACT\n            \n              Avibactam is a new non-β-lactam β-lactamase inhibitor that shows promising restoration of ceftazidime activity against microorganisms producing Ambler class A extended-spectrum β-lactamases (ESBLs) and carbapenemases such as KPCs, class C β-lactamases (AmpC), and some class D enzymes. To determine optimal dosing combinations of ceftazidime-avibactam for treating infections with ceftazidime-resistant\n              Pseudomonas aeruginosa\n              , pharmacodynamic responses were explored in murine neutropenic thigh and lung infection models. Exposure-response relationships for ceftazidime monotherapy were determined first. Subsequently, the efficacy of adding avibactam every 2 h (q2h) or q8h to a fixed q2h dose of ceftazidime was determined in lung infection for two strains. Dosing avibactam q2h was significantly more efficacious, reducing the avibactam daily dose for static effect by factors of 2.7 and 10.1, whereas the mean percentage of the dosing interval that free drug concentrations remain above the threshold concentration of 1 mg/liter (%\n              f\n              T&gt;C\n              T\n              1 mg/liter) yielding bacteriostasis was similar for both regimens, with mean values of 21.6 (q2h) and 18.5 (q8h). Dose fractionation studies of avibactam in both the thigh and lung models indicated that the effect of avibactam correlated well with %\n              f\n              T&gt;C\n              T\n              1 mg/liter. This parameter of avibactam was further explored for four\n              P. aeruginosa\n              strains in the lung model and six in the thigh model. Parameter estimates of %\n              f\n              T&gt;C\n              T\n              1 mg/liter for avibactam ranged from 0 to 21.4% in the lung model and from 14.1 to 62.5% in the thigh model to achieve stasis. In conclusion, addition of avibactam enhanced the effect of ceftazidime, which was more pronounced at frequent dosing and well related with %\n              f\n              T&gt;C\n              T\n              1 mg/liter. The thigh model appeared more stringent, with higher values, ranging up to 62.5%\n              f\n              T&gt;C\n              T\n              1 mg/liter, required for a static effect.","container-title":"Antimicrobial Agents and Chemotherapy","DOI":"10.1128/AAC.01269-15","ISSN":"0066-4804, 1098-6596","issue":"1","journalAbbreviation":"Antimicrob Agents Chemother","language":"en","page":"368-375","source":"DOI.org (Crossref)","title":"Pharmacodynamics of Ceftazidime and Avibactam in Neutropenic Mice with Thigh or Lung Infection","volume":"60","author":[{"family":"Berkhout","given":"Johanna"},{"family":"Melchers","given":"Maria J."},{"family":"Van Mil","given":"Anita C."},{"family":"Seyedmousavi","given":"Seyedmojtaba"},{"family":"Lagarde","given":"Claudia M."},{"family":"Schuck","given":"Virna J."},{"family":"Nichols","given":"Wright W."},{"family":"Mouton","given":"Johan W."}],"issued":{"date-parts":[["2016",1]]}}},{"id":8901,"uris":["http://zotero.org/users/11114586/items/46JB9QGF"],"itemData":{"id":8901,"type":"article-journal","abstract":"ABSTRACT\n            \n              Ceftaroline is a cephalosporin with broad-spectrum\n              in vitro\n              activity against pathogens commonly associated with acute bacterial skin and skin structure infections (ABSSSI), including methicillin-resistant\n              Staphylococcus aureus\n              . Ceftaroline fosamil, the prodrug of ceftaroline, is approved for the treatment of patients with ABSSSI. Using data from the microbiologically evaluable population from two phase 2 and two phase 3 randomized, multicenter, double-blind studies of patients with ABSSSI, an analysis examining the relationship between drug exposure, as measured by the percentage of time during the dosing interval that free-drug steady-state concentrations remain above the MIC (\n              f\n              %\n              T\n              &gt;MIC), and clinical and microbiological responses was undertaken. The analysis population included 526 patients, of whom 423 had infections associated with\n              S. aureus\n              . Clinical and microbiological success percentages were 94.7 and 94.5%, respectively, among all of the patients and 95.3 and 95.7%, respectively, among those with\n              S. aureus\n              infections. Univariable analysis based on data from all of the patients and those with\n              S. aureus\n              infections demonstrated significant relationships between\n              f\n              %\n              T\n              &gt;MIC and microbiological response (\n              P\n              &lt; 0.001 and\n              P\n              = 0.026, respectively). Multivariable logistic regression analyses demonstrated other patient factors in addition to\n              f\n              %\n              T\n              &gt;MIC to be significant predictors of microbiological response, including age and infection type for all of the patients evaluated and age, infection type, and the presence of diabetes mellitus for patients with\n              S. aureus\n              infections. Results of these analyses confirm that a ceftaroline fosamil dosing regimen of 600 mg every 12 h provides exposures associated with the upper plateau of the pharmacokinetic-pharmacodynamic relationship for efficacy.","container-title":"Antimicrobial Agents and Chemotherapy","DOI":"10.1128/AAC.02531-14","ISSN":"0066-4804, 1098-6596","issue":"1","journalAbbreviation":"Antimicrob Agents Chemother","language":"en","page":"372-380","source":"DOI.org (Crossref)","title":"Pharmacokinetic-Pharmacodynamic Analysis for Efficacy of Ceftaroline Fosamil in Patients with Acute Bacterial Skin and Skin Structure Infections","volume":"59","author":[{"family":"Bhavnani","given":"Sujata M."},{"family":"Hammel","given":"Jeffrey P."},{"family":"Van Wart","given":"Scott A."},{"family":"Rubino","given":"Christopher M."},{"family":"Reynolds","given":"Daniel K."},{"family":"Forrest","given":"Alan"},{"family":"Drusano","given":"George L."},{"family":"Khariton","given":"Tatiana"},{"family":"Friedland","given":"H. David"},{"family":"Riccobene","given":"Todd A."},{"family":"Ambrose","given":"Paul G."}],"issued":{"date-parts":[["2015",1]]}}},{"id":8903,"uris":["http://zotero.org/users/11114586/items/ZDUJFTF9"],"itemData":{"id":8903,"type":"article-journal","abstract":"ABSTRACT\n            \n              CXA-101 is a novel antipseudomonal cephalosporin with enhanced activity against Gram-negative organisms displaying various resistance mechanisms. This study evaluates the efficacy of exposures approximating human percent free time above the MIC (%fT &gt; MIC) of CXA-101 with or without tazobactam and piperacillin-tazobactam (TZP) against target Gram-negative organisms, including those expressing extended-spectrum β-lactamases (ESBLs). Sixteen clinical Gram-negative isolates (6\n              Pseudomonas aeruginosa\n              isolates [piperacillin-tazobactam MIC range, 8 to 64 μg/ml], 4\n              Escherichia coli\n              isolates (2 ESBL and 2 non-ESBL expressing), and 4\n              Klebsiella pneumoniae\n              isolates (3 ESBL and 1 non-ESBL expressing) were used in an immunocompetent murine thigh infection model. After infection, groups of mice were administered doses of CXA-101 with or without tazobactam (2:1) designed to approximate the %fT &gt; MIC observed in humans given 1 g of CXA-101 with or without tazobactam every 8 h as a 1-h infusion. As a comparison, groups of mice were administered piperacillin-tazobactam doses designed to approximate the %fT &gt; MIC observed in humans given 4.5 g piperacillin-tazobactam every 6 h as a 30-min infusion. Predicted piperacillin-tazobactam %fT &gt; MIC exposures of greater than 40% resulted in static to &gt;1 log decreases in CFU in non-ESBL-expressing organisms with MICs of ≤32 μg/ml after 24 h of therapy. Predicted CXA-101 with or without tazobactam %fT &gt; MIC exposures of ≥37.5% resulted in 1- to 3-log-unit decreases in CFU in non-ESBL-expressing organisms, with MICs of ≤16 μg/ml after 24 h of therapy. With regard to the ESBL-expressing organisms, the inhibitor combinations showed enhanced CFU decreases versus CXA-101 alone. Due to enhanced\n              in vitro\n              potency and resultant increased\n              in vivo\n              exposure, CXA-101 produced statistically significant reductions in CFU in 9 isolates compared with piperacillin-tazobactam. The addition of tazobactam to CXA-101 produced significant reductions in CFU for 7 isolates compared with piperacillin-tazobactam. Overall, human simulated exposures of CXA-101 with or without tazobactam demonstrated improved efficacy versus piperacillin-tazobactam.","container-title":"Antimicrobial Agents and Chemotherapy","DOI":"10.1128/AAC.01752-10","ISSN":"0066-4804, 1098-6596","issue":"1","journalAbbreviation":"Antimicrob Agents Chemother","language":"en","page":"544-549","source":"DOI.org (Crossref)","title":"&lt;i&gt;In Vivo&lt;/i&gt; Comparison of CXA-101 (FR264205) with and without Tazobactam versus Piperacillin-Tazobactam Using Human Simulated Exposures against Phenotypically Diverse Gram-Negative Organisms","volume":"56","author":[{"family":"Bulik","given":"Catharine C."},{"family":"Tessier","given":"Pamela R."},{"family":"Keel","given":"Rebecca A."},{"family":"Sutherland","given":"Christina A."},{"family":"Nicolau","given":"David P."}],"issued":{"date-parts":[["2012",1]]}}},{"id":5250,"uris":["http://zotero.org/users/11114586/items/7KBA4LXR"],"itemData":{"id":5250,"type":"article-journal","abstract":"The broad-spectrum cephalosporins exhibit time-dependent bactericidal activity and produce prolonged postantibiotic effects only with staphylococci. The duration of time that serum levels exceed the minimum inhibitory concentration (MIC) is the important pharmacodynamic parameter correlating with efficacy for these drugs. Maximal efficacy for cephalosporins in several animal infection models is approached when serum levels are above the MIC for 60%–70% of the dosing interval for Enterobacteriaceae and streptococci and for 40%–50% of the dosing interval for Staphylococcus aureus. Based on MIC90 values of 0.5 μg/ml for enteric bacilli and 4 μg/ml for S. aureus, these time above MIC goals can be easily met in infected and/or elderly patients following 1–2 g of cefotaxime at 12-h intervals. Full knowledge of the interrelationships between pharmacokinetics and pharmacodynamics is important for determining effective dosage regimens for the broad-spectrum cephalosporins.","collection-title":"Cefotaxime in the 90's: A Workshop for Appropriate Broad-Spectrum Cephalosporin Utilization","container-title":"Diagnostic Microbiology and Infectious Disease","DOI":"10.1016/0732-8893(95)00053-D","ISSN":"0732-8893","issue":"1","journalAbbreviation":"Diagnostic Microbiology and Infectious Disease","language":"en","page":"89-96","source":"ScienceDirect","title":"Interrelationship between pharmacokinetics and pharmacodynamics in determining dosage regimens for broad-spectrum cephalosporins","volume":"22","author":[{"family":"Craig","given":"William A."}],"issued":{"date-parts":[["1995",5,1]]}}},{"id":8907,"uris":["http://zotero.org/users/11114586/items/7ZNEYHQM"],"itemData":{"id":8907,"type":"article-journal","container-title":"The Pediatric Infectious Disease Journal","DOI":"10.1097/00006454-199603000-00015","ISSN":"0891-3668","issue":"3","journalAbbreviation":"The Pediatric Infectious Disease Journal","language":"en","page":"255-259","source":"DOI.org (Crossref)","title":"Pharmacokinetics and pharmacodynamics of antibiotics in otitis media:","title-short":"Pharmacokinetics and pharmacodynamics of antibiotics in otitis media","volume":"15","author":[{"family":"Craig","given":"William A."},{"family":"Andes","given":"David"}],"issued":{"date-parts":[["1996",3]]}}},{"id":1201,"uris":["http://zotero.org/users/11114586/items/GVNJRXRH"],"itemData":{"id":1201,"type":"article-journal","abstract":"In Program and Abstracts of the 32nd Interscience Conference on Antimicrobial Agents and Chemotherapy. Washington, DC: American Society for Microbiology.","container-title":"Diagnostic Microbiology and Infectious Disease","DOI":"10.1016/S0732-8893(96)00162-9","ISSN":"07328893","issue":"4","journalAbbreviation":"Diagnostic Microbiology and Infectious Disease","language":"en","page":"213-217","source":"DOI.org (Crossref)","title":"Antimicrobial resistance issues of the future","volume":"25","author":[{"family":"Craig","given":"William A."}],"issued":{"date-parts":[["1996",8]]}}},{"id":8908,"uris":["http://zotero.org/users/11114586/items/6PI62BEM"],"itemData":{"id":8908,"type":"article-journal","container-title":"Infectious Disease Clinics of North America","DOI":"10.1016/S0891-5520(03)00065-5","ISSN":"08915520","issue":"3","journalAbbreviation":"Infectious Disease Clinics of North America","language":"en","page":"479-501","source":"DOI.org (Crossref)","title":"Basic pharmacodynamics of antibacterials with clinical applications to the use of β-lactams, glycopeptides, and linezolid","volume":"17","author":[{"family":"Craig","given":"William A"}],"issued":{"date-parts":[["2003",9]]}}},{"id":6322,"uris":["http://zotero.org/users/11114586/items/EGIM4V4M"],"itemData":{"id":6322,"type":"article-journal","abstract":"For antibiotics to exert their action on bacteria, both the bacteria and the drug need to be in the same place at the same time. The pharmacodynamics of antibiotics, measured as the ratio of area under the concentration-time curve:minimum inhibitory concentration (AUC:MIC), the ratio of plasma concentration:MIC, or time above MIC, indexes the pharmacokinetic properties of an antibiotic (in vivo) to a measure of microbiologic (antimicrobial) activity. Antimicrobial activity is measured as the MIC, and the pharmacokinetics generally used are those in the blood. However, if the infection is not in the blood but in some peripheral tissue such as the lung, it is the concentration of the drug in the lung that the pathogen sees, and thus the concentration in the blood (serum or plasma) is not important. Both in vitro and in vivo studies can aid in the development of pharmacodynamic parameters that characterize the drug-pathogen interaction, resulting in the determination of a dose or dosage regimen capable of curing an infection clinically.","container-title":"Pharmacotherapy","DOI":"10.1592/phco.2005.25.12part2.146S","ISSN":"02770008 (ISSN)","issue":"12","language":"English","note":"publisher-place: [\"Center for Anti-Infective Research and Development, Hartford Hospital, Hartford, CT, United States\", \"University of Connecticut, Storrs, CT, United States\", \"Hartford Hospital, Center for Anti-Infective Research and Development, Hartford, CT 06102-5037, 80 Seymour Street, United States\"]","page":"146S-149S","title":"Future in vitro and animal studies: Development of pharmacokinetic and pharmacodynamic efficacy predictors for tissue-based antibiotics","volume":"25","author":[{"family":"Nightingale","given":"C.H."}],"issued":{"date-parts":[["2005"]]}}},{"id":8911,"uris":["http://zotero.org/users/11114586/items/833HQ6PB"],"itemData":{"id":8911,"type":"article-journal","abstract":"ABSTRACT\n            \n              Ceftobiprole medocaril is the parenteral prodrug of ceftobiprole, a novel pyrrolidinone broad-spectrum cephalosporin with in vitro and in vivo bactericidal activities against methicillin-resistant\n              Staphylococcus aureus\n              (MRSA) and penicillin-resistant\n              Streptococcus pneumoniae\n              (PRSP). We have used murine thigh and lung infection models in neutropenic and normal mice to characterize the in vivo pharmacokinetic (PK)-pharmacodynamic (PD) activities of ceftobiprole against multiple strains of\n              S. aureus\n              (including MRSA),\n              S. pneumoniae\n              (including PRSP), and gram-negative bacilli. Serum levels of ceftobiprole following the administration of multiple doses were determined by a microbiological assay. In vivo bactericidal activities and postantibiotic effects (PAEs) of ceftobiprole against MRSA and PRSP strains were determined from serial CFU/thigh values following single doses of ceftobiprole (40 and 160 mg/kg of body weight). Dose fractionation studies were used to determine which PK-PD index correlated best with activity. Magnitudes of the PK-PD indices were calculated from MICs and PK parameters. A sigmoid dose-response model was used to estimate the dose (mg/kg/24 h) required to achieve a static and 2-log\n              10\n              kill effects over 24 h. PK results showed area under the concentration-time curve/dose values of 1.8 to 2.8 and half-lives of 0.29 to 0.51 h. MICs ranged from 0.015 to 2 μg/ml. Ceftobiprole demonstrated time-dependent killing; its in vivo PAEs varied from 3.8 h to 4.8 h for MRSA and from 0 to 0.8 h for PRSP. The time above MIC (\n              T\n              &gt; MIC) correlated best with efficacy for both MRSA and PRSP. The\n              T\n              &gt; MIC values required for the static doses were significantly longer (\n              P\n              &lt; 0.001) for\n              Enterobacteriaceae\n              (36 to 45%) than for\n              S. aureus\n              (14 to 28%) and\n              S. pneumoniae\n              (15 to 22%). The drug showed activities in the lung model similar to those in the thigh model. The presence of neutrophils significantly enhanced the activity of ceftobiprole against\n              S. pneumoniae\n              but only slightly against\n              Klebsiella pneumoniae\n              . Based on its PD profile, ceftobiprole is a promising new β-lactam agent with activity against gram-negative and gram-positive organisms including MRSA and PRSP.","container-title":"Antimicrobial Agents and Chemotherapy","DOI":"10.1128/AAC.01273-07","ISSN":"0066-4804, 1098-6596","issue":"10","journalAbbreviation":"Antimicrob Agents Chemother","language":"en","page":"3492-3496","source":"DOI.org (Crossref)","title":"In Vivo Pharmacodynamics of Ceftobiprole against Multiple Bacterial Pathogens in Murine Thigh and Lung Infection Models","volume":"52","author":[{"family":"Craig","given":"W. A."},{"family":"Andes","given":"D. R."}],"issued":{"date-parts":[["2008",10]]}}},{"id":8909,"uris":["http://zotero.org/users/11114586/items/3BW7JRJ9"],"itemData":{"id":8909,"type":"article-journal","abstract":"ABSTRACT\n            \n              Ceftolozane is a new cephalosporin with potent activity against\n              Pseudomonas aeruginosa\n              and\n              Enterobacteriaceae\n              . A neutropenic murine thigh infection model was used to determine which pharmacokinetic/pharmacodynamic index and magnitude drives the efficacy of ceftolozane with Gram-negative bacilli, to compare the rates of\n              in vivo\n              killing of\n              P. aeruginosa\n              by ceftolozane and ceftazidime, and to determine the impact of different ratios of ceftolozane plus tazobactam on\n              Enterobacteriaceae\n              containing extended-spectrum β-lactamases (ESBLs). Neutropenic mice had 10\n              6.2-7.1\n              CFU/thigh when treated with ceftolozane for 24 h with (i) various doses (3.12 to 1,600 mg/kg) and dosage intervals (3, 6, 12, and 24 h) against two\n              Enterobacteriaceae\n              strains, (ii) 0.39 to 800 mg/kg every 6 h for four\n              Enterobacteriaceae\n              and four\n              P. aeruginosa\n              strains, and (iii) 400 or 800 mg/kg with 2:1. 4:1, and 8:1 ratios of tazobactam against five\n              Enterobacteriaceae\n              strains with ESBLs. The pharmacokinetics of ceftolozane at 25, 100, and 400 mg/kg were linear with peak/dose values of 1.0 to 1.4 and half-lives of 12 to 14 min. T&gt;MIC was the primary index driving efficacy. For stasis (1 log kill), T&gt;MIC was 26.3% ± 2.1% (31.6% ± 1.6%) for wild-type\n              Enterobacteriaceae\n              , 31.1% ± 4.9% (34.8% ± 4.4%) for\n              Enterobacteriaceae\n              with ESBLs, and 24.0% ± 3.3% (31.5% ± 3.9%) for\n              P. aeruginosa\n              . At 200 mg/kg every 3 h, the rate of\n              in vivo\n              killing of\n              P. aeruginosa\n              was faster with ceftolozane than with ceftazidime (−0.34 to −0.41 log\n              10\n              CFU/thigh/h versus −0.21 to −0.24 log\n              10\n              CFU/thigh/h). The 2:1 ratio of ceftolozane with tazobactam was the most potent combination studied. The T&gt;MIC required for ceftolozane is less than with other cephalosporins and may be due to more rapid killing.","container-title":"Antimicrobial Agents and Chemotherapy","DOI":"10.1128/AAC.01590-12","ISSN":"0066-4804, 1098-6596","issue":"4","journalAbbreviation":"Antimicrob Agents Chemother","language":"en","page":"1577-1582","source":"DOI.org (Crossref)","title":"&lt;i&gt;In Vivo&lt;/i&gt; Activities of Ceftolozane, a New Cephalosporin, with and without Tazobactam against Pseudomonas aeruginosa and Enterobacteriaceae, Including Strains with Extended-Spectrum β-Lactamases, in the Thighs of Neutropenic Mice","volume":"57","author":[{"family":"Craig","given":"W. A."},{"family":"Andes","given":"D. R."}],"issued":{"date-parts":[["2013",4]]}}},{"id":8913,"uris":["http://zotero.org/users/11114586/items/PI6PW7MV"],"itemData":{"id":8913,"type":"article-journal","abstract":"ABSTRACT\n            \n              We evaluated cefepime exposures in patients infected with\n              Pseudomonas aeruginosa\n              to identify the pharmacodynamic relationship predictive of microbiological response. Patients with non-urinary tract\n              P. aeruginosa\n              infections and treated with cefepime were included. Free cefepime exposures were estimated by using a validated population pharmacokinetic model.\n              P. aeruginosa\n              MICs were determined by Etest and pharmacodynamic indices (the percentage of the dosing interval that the free drug concentration remains above the MIC of the infecting organism [\n              f\n              T\n              &gt; MIC], the ratio of the minimum concentration of free drug to the MIC [\n              f\n              C\n              min\n              /MIC], and the ratio of the area under the concentration-time curve for free drug to the MIC [\n              f\n              AUC/MIC]) were calculated for each patient. Classification and regression tree analysis was used to partition the pharmacodynamic parameters for prediction of the microbiological response. Monte Carlo simulation was utilized to determine the optimal dosing regimens needed to achieve the pharmacodynamic target. Fifty-six patients with pneumonia (66.1%), skin and skin structure infections (SSSIs) (25%), and bacteremia (8.9%) were included. Twenty-four (42.9%) patients failed cefepime therapy. The MICs ranged from 0.75 to 96 μg/ml, resulting in median\n              f\n              T\n              &gt; MIC,\n              f\n              C\n              m\n              in\n              /MIC, and\n              f\n              AUC/MIC exposures of 100% (range, 0.8 to 100%), 4.3 (range, 0.1 to 27.3), and 206.2 (range, 4.2 to 1,028.7), respectively. Microbiological failure was associated with an\n              f\n              T\n              &gt; MIC of ≤60% (77.8% failed cefepime therapy when\n              f\n              T\n              &gt; MIC was ≤60%, whereas 36.2% failed cefepime therapy when\n              f\n              T\n              &gt; MIC was &gt;60%;\n              P\n              = 0.013). A similar\n              f\n              T\n              &gt; MIC target of ≤63.9% (\n              P\n              = 0.009) was identified when skin and skin structure infections were excluded. While controlling for the SSSI source (odds ratio [OR], 0.18 [95% confidence interval, 0.03 to 1.19];\n              P\n              = 0.07) and combination therapy (OR, 2.15 [95% confidence interval, 0.59 to 7.88];\n              P\n              = 0.25), patients with\n              f\n              T\n              &gt; MIC values of ≤60% were 8.1 times (95% confidence interval, 1.2 to 55.6 times) more likely to experience a poor microbiological response. Cefepime doses of at least 2 g every 8 h are required to achieve this target against CLSI-defined susceptible\n              P. aeruginosa\n              organisms in patients with normal renal function. In patients with non-urinary tract infections caused by\n              P. aeruginosa\n              , achievement of cefepime exposures of &gt;60%\n              f\n              T\n              &gt; MIC will minimize the possibility of a poor microbiological response.","container-title":"Antimicrobial Agents and Chemotherapy","DOI":"10.1128/AAC.01183-09","ISSN":"0066-4804, 1098-6596","issue":"3","journalAbbreviation":"Antimicrob Agents Chemother","language":"en","page":"1111-1116","source":"DOI.org (Crossref)","title":"Clinical Pharmacodynamics of Cefepime in Patients Infected with &lt;i&gt;Pseudomonas aeruginosa&lt;/i&gt;","volume":"54","author":[{"family":"Crandon","given":"Jared L."},{"family":"Bulik","given":"Catharine C."},{"family":"Kuti","given":"Joseph L."},{"family":"Nicolau","given":"David P."}],"issued":{"date-parts":[["2010",3]]}}},{"id":8915,"uris":["http://zotero.org/users/11114586/items/XQEHREUA"],"itemData":{"id":8915,"type":"article-journal","container-title":"Journal of Antimicrobial Chemotherapy","DOI":"10.1093/jac/dkw200","ISSN":"0305-7453, 1460-2091","issue":"9","journalAbbreviation":"J. Antimicrob. Chemother.","language":"en","page":"2534-2537","source":"DOI.org (Crossref)","title":"Pharmacodynamics of carbapenems for the treatment of &lt;i&gt;Pseudomonas aeruginosa&lt;/i&gt; ventilator-associated pneumonia: associations with clinical outcome and recurrence","title-short":"Pharmacodynamics of carbapenems for the treatment of &lt;i&gt;Pseudomonas aeruginosa&lt;/i&gt; ventilator-associated pneumonia","volume":"71","author":[{"family":"Crandon","given":"Jared L."},{"family":"Luyt","given":"Charles-Edouard"},{"family":"Aubry","given":"Alexandra"},{"family":"Chastre","given":"Jean"},{"family":"Nicolau","given":"David P."}],"issued":{"date-parts":[["2016",9]]}}},{"id":8871,"uris":["http://zotero.org/users/11114586/items/3ELP8F8G"],"itemData":{"id":8871,"type":"article-journal","abstract":"Drug-resistant microorganisms have become a major problem around the world. In nosocomial and community settings, many important pathogens have demonstrated high-grade resistance to many of our most important agents. In addition, the adverse impact of resistance has not been limited to the bacterial realm. In chemotherapy to treat human immunodeficiency virus (HIV) and other viral diseases, resistance has become a major problem. We are starting to see the beginnings of a resistance problem, even among fungi. Strangely, little attention has been focused on the impact of dosing on the probability with which emergence of resistance occurs. After delineation of the pharmacodynamically linked variable, it is possible to generate dosing regimens that can lower the probability of resistance. In addition, circumstances exist in which combination therapy may be required (e.g., therapy of HIV and tuberculosis). Here, too, it is possible to optimize therapy to prevent resistance by understanding how the drugs in the regimen interact. We can do better with our choices of dose, schedule, and combinations of agents. We will need to lower the probability of resistance and maintain the utility of the drugs currently in our therapeutic armamentarium.","container-title":"Clinical Infectious Diseases","DOI":"10.1086/344653","ISSN":"1058-4838","issue":"Supplement_1","journalAbbreviation":"Clinical Infectious Diseases","page":"S42-S50","source":"Silverchair","title":"Prevention of Resistance: A Goal for Dose Selection for Antimicrobial Agents","title-short":"Prevention of Resistance","volume":"36","author":[{"family":"Drusano","given":"G. L."}],"issued":{"date-parts":[["2003",1,15]]}}},{"id":8919,"uris":["http://zotero.org/users/11114586/items/97HTKRUC"],"itemData":{"id":8919,"type":"article-journal","abstract":"ABSTRACT\n            \n              Pseudomonas aeruginosa\n              pneumonia remains a most-difficult-to-treat nosocomial bacterial infection. We used mathematical modeling to identify drug exposure targets for meropenem in the epithelial lining fluid (ELF) of mice with\n              Pseudomonas\n              pneumonia driving substantial [2 to 3 log\n              10\n              (CFU/g)] killing and which suppressed resistant subpopulation amplification. We bridged to humans to estimate the frequency with which the largest licensed meropenem dose would achieve these exposure targets. Cell kills of 2 and 3 log\n              10\n              (CFU/g) and resistant subpopulation suppression were mediated by achieving time &gt; MIC in ELF of 32%, 50%, and 50%. Substantial variability in meropenem's ability to penetrate into ELF of both mice and humans was observed. Penetration variability and high exposure targets combined to prevent even the largest licensed meropenem dose from achieving the targets at an acceptable frequency. Even a highly potent agent such as meropenem does not adequately suppress resistant subpopulation amplification as single-agent therapy administered at maximal dose and optimal schedule. Combination chemotherapy is likely required in humans if we are to minimize resistance emergence in\n              Pseudomonas aeruginosa\n              pneumonia. This combination needs evaluation both in the murine pneumonia model and in humans.","container-title":"Antimicrobial Agents and Chemotherapy","DOI":"10.1128/AAC.01559-10","ISSN":"0066-4804, 1098-6596","issue":"7","journalAbbreviation":"Antimicrob Agents Chemother","language":"en","page":"3406-3412","source":"DOI.org (Crossref)","title":"Meropenem Penetration into Epithelial Lining Fluid in Mice and Humans and Delineation of Exposure Targets","volume":"55","author":[{"family":"Drusano","given":"G. L."},{"family":"Lodise","given":"T. P."},{"family":"Melnick","given":"D."},{"family":"Liu","given":"W."},{"family":"Oliver","given":"A."},{"family":"Mena","given":"A."},{"family":"VanScoy","given":"B."},{"family":"Louie","given":"A."}],"issued":{"date-parts":[["2011",7]]}}},{"id":8921,"uris":["http://zotero.org/users/11114586/items/EPAQGS3Y"],"itemData":{"id":8921,"type":"article-journal","abstract":"ABSTRACT\n            \n              Clinical and animal studies indicate that with optimal dosing, penicillin may still be effective against penicillin-nonsusceptible pneumococci (PNSP). The present study examined whether the same strains of penicillin-susceptible pneumococci (PSP) and PNSP differed in their pharmacodynamic responses to penicillin by using comparable penicillin dosing regimens in four animal models: peritonitis, pneumonia, and thigh infection in mice and tissue cage infection in rabbits. Two multidrug-resistant isolates of\n              Streptococcus pneumoniae\n              type 6B were used, one for which the penicillin MIC was 0.016 μg/ml and the other for which the penicillin MIC was 1.0 μg/ml. Two additional strains of PNSP were studied in the rabbit. The animals were treated with five different penicillin regimens resulting in different maximum concentrations of drugs in serum (\n              C\n              max\n              s) and times that the concentrations were greater than the MIC (\n              T\n              &gt;MIC\n              s). The endpoints were bacterial viability counts after 6 h of treatment in the mice and 24 h of treatment in the rabbits. Similar pharmacodynamic effects were observed in all models. In the mouse models bactericidal activity depended on the\n              T\n              &gt;MIC\n              and to a lesser extent on the\n              C\n              max\n              /MIC and the generation time but not on the area under the concentration-time curve (AUC)/MIC. Maximal bactericidal activities were similar for both PSP and PNSP, being the highest in the peritoneum and blood (</w:instrText>
      </w:r>
      <w:r w:rsidR="00F561F3">
        <w:rPr>
          <w:rFonts w:ascii="Cambria Math" w:eastAsia="Arial" w:hAnsi="Cambria Math" w:cs="Cambria Math"/>
          <w:sz w:val="24"/>
          <w:szCs w:val="24"/>
        </w:rPr>
        <w:instrText>∼</w:instrText>
      </w:r>
      <w:r w:rsidR="00F561F3">
        <w:rPr>
          <w:rFonts w:eastAsia="Arial" w:cs="Arial"/>
          <w:sz w:val="24"/>
          <w:szCs w:val="24"/>
        </w:rPr>
        <w:instrText>6 log\n              10\n              CFU/ml), followed by the thigh (</w:instrText>
      </w:r>
      <w:r w:rsidR="00F561F3">
        <w:rPr>
          <w:rFonts w:ascii="Cambria Math" w:eastAsia="Arial" w:hAnsi="Cambria Math" w:cs="Cambria Math"/>
          <w:sz w:val="24"/>
          <w:szCs w:val="24"/>
        </w:rPr>
        <w:instrText>∼</w:instrText>
      </w:r>
      <w:r w:rsidR="00F561F3">
        <w:rPr>
          <w:rFonts w:eastAsia="Arial" w:cs="Arial"/>
          <w:sz w:val="24"/>
          <w:szCs w:val="24"/>
        </w:rPr>
        <w:instrText>3 log\n              10\n              CFU/thigh), and being the lowest in the lung (</w:instrText>
      </w:r>
      <w:r w:rsidR="00F561F3">
        <w:rPr>
          <w:rFonts w:ascii="Cambria Math" w:eastAsia="Arial" w:hAnsi="Cambria Math" w:cs="Cambria Math"/>
          <w:sz w:val="24"/>
          <w:szCs w:val="24"/>
        </w:rPr>
        <w:instrText>∼</w:instrText>
      </w:r>
      <w:r w:rsidR="00F561F3">
        <w:rPr>
          <w:rFonts w:eastAsia="Arial" w:cs="Arial"/>
          <w:sz w:val="24"/>
          <w:szCs w:val="24"/>
        </w:rPr>
        <w:instrText xml:space="preserve">1 log\n              10\n              CFU/lung). In the rabbit model the maximal effect was </w:instrText>
      </w:r>
      <w:r w:rsidR="00F561F3">
        <w:rPr>
          <w:rFonts w:ascii="Cambria Math" w:eastAsia="Arial" w:hAnsi="Cambria Math" w:cs="Cambria Math"/>
          <w:sz w:val="24"/>
          <w:szCs w:val="24"/>
        </w:rPr>
        <w:instrText>∼</w:instrText>
      </w:r>
      <w:r w:rsidR="00F561F3">
        <w:rPr>
          <w:rFonts w:eastAsia="Arial" w:cs="Arial"/>
          <w:sz w:val="24"/>
          <w:szCs w:val="24"/>
        </w:rPr>
        <w:instrText xml:space="preserve">6 log\n              10\n              CFU/ml after 24 h. In the mouse models bactericidal activity became marked when\n              T\n              &gt;MIC\n              was ≥65% of the experimental time and\n              C\n              max\n              was ≥15 times the MIC, and in the rabbit model bactericidal activity became marked when\n              T\n              &gt;MIC\n              was ≥35%,\n              C\n              max\n              was ≥5 times the MIC, and the AUC at 24 h/MIC exceeded 25. By optimization of the\n              C\n              max\n              /MIC ratio and\n              T\n              &gt;MIC\n              , the MIC of penicillin for pneumococci can be used to guide therapy and maximize therapeutic efficacy in nonmeningeal infections caused by PNSP.","container-title":"Antimicrobial Agents and Chemotherapy","DOI":"10.1128/AAC.45.4.1078-1085.2001","ISSN":"0066-4804, 1098-6596","issue":"4","journalAbbreviation":"Antimicrob Agents Chemother","language":"en","page":"1078-1085","source":"DOI.org (Crossref)","title":"Penicillin Pharmacodynamics in Four Experimental Pneumococcal Infection Models","volume":"45","author":[{"family":"Erlendsdottir","given":"Helga"},{"family":"Knudsen","given":"Jenny Dahl"},{"family":"Odenholt","given":"Inga"},{"family":"Cars","given":"Otto"},{"family":"Espersen","given":"Frank"},{"family":"Frimodt-Møller","given":"Niels"},{"family":"Fuursted","given":"Kurt"},{"family":"Kristinsson","given":"Karl G."},{"family":"Gudmundsson","given":"Sigurdur"}],"issued":{"date-parts":[["2001",4]]}}},{"id":8923,"uris":["http://zotero.org/users/11114586/items/9DVV7NM9"],"itemData":{"id":8923,"type":"article-journal","container-title":"Journal of Antimicrobial Chemotherapy","DOI":"10.1093/jac/33.3.563","ISSN":"0305-7453, 1460-2091","issue":"3","journalAbbreviation":"J Antimicrob Chemother","language":"en","page":"563-569","source":"DOI.org (Crossref)","title":"Conditions for the emergence of resistance to cefpirome and ceftazidime in experimental endocarditis due to &lt;i&gt;Pseudomonas aeruginosa&lt;/i&gt;","volume":"33","author":[{"family":"Fantin","given":"Bruno"},{"family":"Farinotti","given":"R."},{"family":"Thabaut","given":"A."},{"family":"Carbon","given":"C."}],"issued":{"date-parts":[["1994"]]}}},{"id":758,"uris":["http://zotero.org/users/11114586/items/9YMLU7MY"],"itemData":{"id":758,"type":"article-journal","abstract":"While extended infusions of piperacillin-tazobactam (TZP) are increasingly used in practice, the effect of infusion on the pharmacokinetic (PK) profile of TZP has not been widely assessed. To assess its effect on the pharmacokinetic profile of TZP, seven serum samples were collected from 11 hospitalized patients who received 3.375 g TZP intravenously for 4 h every 8 h. Population pharmacokinetic models were fit to the PK data utilizing first-order, Michaelis-Menten (MM), and parallel first-order/MM clearance. A population PK model with first-order clearance was fit to the tazobactam PK data. Monte Carlo simulations (MCSs) were used to determine the most effective administration schedule to ensure that free piperacillin concentrations were above the MIC for at least 50% of the dosing interval (50% fT&gt;MIC) and to quantify the extent of the nonlinear clearance. The model incorporating parallel linear/MM clearance best fit the piperacillin PK data. The MCSs demonstrated that approximately 50% of the administered piperacillin is cleared by the nonlinear clearance mechanism. The results of the MCSs also revealed that more intensive TZP extended infusion dosing schemes (3.375 to 4.5 g intravenously [3-h infusion] every 6 h) than those commonly used in clinical practice were needed to maximize the 50% fT&gt;MIC for MICs of &gt;=8 mg/liter. This study suggests that extended infusion of TZP is the most effective method of administration for patients with nosocomial infections. Due to the hyperclearance nature of the hospitalized patient populations studied, more intensive TZP dosing regimens may be needed to maximize fT&gt;MIC in certain hospitalized populations.","container-title":"Antimicrobial agents and chemotherapy","DOI":"https://dx.doi.org/10.1128/AAC.00521-12","ISSN":"1098-6596","issue":"8","note":"publisher-place: United States","page":"4087-4094","title":"Population pharmacokinetics of extended-infusion piperacillin-tazobactam in hospitalized patients with nosocomial infections.","volume":"56","author":[{"family":"Felton","given":"T W"},{"family":"Hope","given":"W W"},{"family":"Lomaestro","given":"B M"},{"family":"Butterfield","given":"J M"},{"family":"Kwa","given":"A L"},{"family":"Drusano","given":"G L"},{"family":"Lodise","given":"T P"}],"issued":{"date-parts":[["2012"]]}}},{"id":6878,"uris":["http://zotero.org/users/11114586/items/6P5UUTJS"],"itemData":{"id":6878,"type":"article-journal","abstract":"To compare the antimicrobial effects of clin. achievable ratios of area under the curve (AUC) to MIC, a clin. isolate of Moraxella catarrhalis was selected with MICs corresponding to the MIC50s of four quinolones. Monoexponentially declining concentrations observed in human plasma after oral administration of 1,000 mg of ciprofloxacin (as 2 500-mg doses at a 12-h interval), 320 mg gemifloxacin, 500 mg levofloxacin, or 400 mg moxifloxacin (each as a single dose) and were simulated in an in vitro dynamic model. The resp. half-lives were 4, 7.4, 6.8 and 12.1 h, and the AUC/MICs were 730, 1,130, 920 and 690 h. The time-kill/regrowth curves yielded similar patterns with the four quinolones: a rapid reduction in bacterial numbers followed by bacterial regrowth that occurred later with moxifloxacin than with ciprofloxacin, gemifloxacin, and levofloxacin. The total antimicrobial effect of moxifloxacin as expressed by the /E parameter (area between the control growth and time-kill curves from time zero to the time when bacterial counts on the regrowth curve achieve the same maximal numbers as in the absence of antimicrobial) was 30, 55, and 120% greater than gemifloxacin, levofloxacin, and ciprofloxacin, resp. Unlike IE, the other integral indexes determined over a fixed time (24 h) - the area between the control growth and time-kill curves, area above the time-kill curve and area under the time-kill curve were similar for the 4 fluoroquinolones, thus precluding their differentiation.","container-title":"Chemotherapy (Basel, Switzerland)","DOI":"10.1159/000069709 CO - CHTHBK","ISSN":"[\"0009-3157\", \"0009-3157\"]","issue":"6","note":"publisher: S. Karger AG","page":"275-279","title":"Simulated in vitro Quinolone Pharmacodynamics at Clinically Achievable AUC/MIC Ratios: Advantage of /E over Other Integral Parameters","volume":"48","author":[{"family":"Firsov","given":"A. A."},{"family":"Zinner","given":"S. H."},{"family":"Lubenko","given":"I. Y."},{"family":"Portnoy","given":"Y. A."},{"family":"Vostrov","given":"S. N."}],"issued":{"date-parts":[["2002"]]}}},{"id":8928,"uris":["http://zotero.org/users/11114586/items/WEM5JL6D"],"itemData":{"id":8928,"type":"article-journal","abstract":"ABSTRACT\n            \n              An in vitro kinetic model was used to study the relation between pharmacokinetic and pharmacodynamic (PK-PD) parameters for antimicrobial effect, e.g., the time above MIC (T&gt;MIC), maximum concentration in serum (\n              C\n              max\n              ), and area under the concentration-time curve (AUC).\n              Streptococcus pyogenes\n              and\n              Escherichia coli\n              were exposed to cefotaxime, and the activity of amoxicillin against four strains of\n              Streptococcus pneumoniae\n              with different susceptibilities to penicillin was studied. The drug elimination rate varied so that the T&gt;MIC ranged from 20 to 100% during 24 h, while the AUC and/or the initial concentration (\n              C\n              max\n              ) were kept constant. For\n              S. pyogenes\n              and\n              E. coli\n              , the maximal antimicrobial effect (\n              E\n              max\n              ) at 24 h occurred when the antimicrobial concentration exceeded the MIC for 50 and 80% of the strains tested, respectively. The penicillin-susceptible pneumococci (MIC, 0.03 mg/liter) and the penicillin-intermediate strain (MIC, 0.25 mg/liter) showed maximal killing by amoxicillin at a T&gt;MIC of 50%. For a strain for which the MIC was 2 mg/liter,\n              C\n              max\n              needed to be increased to achieve the\n              E\n              max\n              . Under the condition that\n              C\n              max\n              was 10 times the MIC,\n              E\n              max\n              was obtained at a T&gt;MIC of 60%, indicating that\n              C\n              max\n              , in addition to T&gt;MIC, may be an important parameter for antimicrobial effect on moderately penicillin-resistant pneumococci. For the strain for which the MIC was 4 mg/liter, the reduction of bacteria varied from −0.4 to −3.6 log\n              10\n              CFU/ml at a T&gt;MIC of 100%, despite an initial antimicrobial concentration of 10 times the MIC. Our studies have shown that the in vitro kinetic model is a useful complement to animal models for studying the PK-PD relationship for antimicrobial effect of antibiotics.","container-title":"Antimicrobial Agents and Chemotherapy","DOI":"10.1128/AAC.45.9.2436-2440.2001","ISSN":"0066-4804, 1098-6596","issue":"9","journalAbbreviation":"Antimicrob Agents Chemother","language":"en","page":"2436-2440","source":"DOI.org (Crossref)","title":"Pharmacokinetic and Pharmacodynamic Parameters for Antimicrobial Effects of Cefotaxime and Amoxicillin in an In Vitro Kinetic Model","volume":"45","author":[{"family":"Gustafsson","given":"I."},{"family":"Löwdin","given":"E."},{"family":"Odenholt","given":"I."},{"family":"Cars","given":"O."}],"issued":{"date-parts":[["2001",9]]}}},{"id":8930,"uris":["http://zotero.org/users/11114586/items/BPQLWCJ5"],"itemData":{"id":8930,"type":"article-journal","abstract":"In an in vitro dynamic model we compared the antimicrobial effects of two carbapenems, imipenem (MIC, 1 microg/ml) and meropenem (MIC, 0.25 microg/ml) on Pseudomonas aeruginosa. The antibiotics were administered either as short-time infusions once or three times a day or as continuous infusions with steady-state levels ranging from 0.5 to 20 microg/ml. From the resulting kill curves the period of time until the onset of bacterial death (dt), the rate constant of bacterial death (ka), the maximal reduction of CFU (mr), and the period of time until bacterial regrowth occurred (tr) were determined. Additionally, the occurrence of bacterial resistance during the simulations (rq) and the postantibiotic effect (PAE) were recorded. For both investigated carbapenems no significant difference in dt, ka, mr, and PAE values between the short-time infusions and continuous infusions with steady-state levels above 2 microg/ml could be detected. The tr was longest with continuous infusions of over approximately 24 h, corresponding to steady-state levels of 3 microg/ml for imipenem and 2.5 microg/ml for meropenem. An increase in MIC was observed only during continuous infusions with steady-state levels below 2 microg/ml. Independent of the chosen method of application and despite the lower MIC of meropenem, imipenem was slightly more effective than meropenem.","container-title":"Antimicrobial Agents and Chemotherapy","DOI":"10.1128/AAC.41.6.1215","ISSN":"0066-4804, 1098-6596","issue":"6","journalAbbreviation":"Antimicrob Agents Chemother","language":"en","page":"1215-1219","source":"DOI.org (Crossref)","title":"Antimicrobial effects of continuous versus intermittent administration of carbapenem antibiotics in an in vitro dynamic model","volume":"41","author":[{"family":"Keil","given":"S"},{"family":"Wiedemann","given":"B"}],"issued":{"date-parts":[["1997",6]]}}},{"id":8932,"uris":["http://zotero.org/users/11114586/items/7ZR6QWL8"],"itemData":{"id":8932,"type":"article-journal","abstract":"ABSTRACT\n            \n              Doripenem is a new broad-spectrum carbapenem with activity against a range of gram-negative pathogens, including nonfermenting bacteria such as\n              Pseudomonas aeruginosa\n              . The objective of this study was to evaluate simulated human exposures to doripenem using a neutropenic murine thigh infection model against 24 clinical\n              P. aeruginosa\n              isolates with a wide range of MICs. Dosing regimens in mice were designed to approximate the free time above MIC (\n              f\n              T&gt;MIC) observed with 500 mg doripenem every 8 h given as either a 1-h or 4-h intravenous infusion in humans. Maximal antibacterial killing was associated with doripenem exposures of ≥40%\n              f\n              T&gt;MIC; bacteriostatic effects were noted at ≈20%\n              f\n              T&gt;MIC. The simulated 1-h infusion provided bactericidal effects for isolates with MICs of ≤2 μg/ml, while variable killing was noted for isolates with MICs of 4 to 8 μg/ml and regrowth for isolates with an MIC of 16 μg/ml. The 4-h infusion regimen displayed similar killing for isolates with MICs of ≤2 μg/ml and enhanced activity for two of the four isolates with an MIC of 4 μg/ml. Given that the 4-h regimen yields negligible\n              f\n              T&gt;MIC for MICs of ≥8 μg/ml, regrowth was generally observed. Simulated doses of 500 mg doripenem every 8 h infused over 1 h demonstrated antibacterial killing for\n              P. aeruginosa\n              isolates with MICs of 0.125 to 8 μg/ml. Exposures of ≥40%\n              f\n              T&gt;MIC resulted in the most pronounced bactericidal effects, while killing was variable for 20 to 30%\n              f\n              T&gt;MIC. Infusing doses over 4 h enhanced efficacy against selected pseudomonal isolates with an MIC of 4 μg/ml.","container-title":"Antimicrobial Agents and Chemotherapy","DOI":"10.1128/AAC.01252-07","ISSN":"0066-4804, 1098-6596","issue":"7","journalAbbreviation":"Antimicrob Agents Chemother","language":"en","page":"2497-2502","source":"DOI.org (Crossref)","title":"In Vivo Pharmacodynamic Profiling of Doripenem against &lt;i&gt;Pseudomonas aeruginosa&lt;/i&gt; by Simulating Human Exposures","volume":"52","author":[{"family":"Kim","given":"Aryun"},{"family":"Banevicius","given":"Mary Anne"},{"family":"Nicolau","given":"David P."}],"issued":{"date-parts":[["2008",7]]}}},{"id":8934,"uris":["http://zotero.org/users/11114586/items/46CHE5E2"],"itemData":{"id":8934,"type":"article-journal","abstract":"ABSTRACT\n            \n              Pharmacokinetic (PK) and pharmacodynamic (PD) properties for the selection of resistant pneumococci were studied by using three strains of the same serotype (6B) for mixed-culture infection in time-kill experiments in vitro and in three different animal models, the mouse peritonitis, the mouse thigh, and the rabbit tissue cage models. Treatment regimens with penicillin were designed to give a wide range of T\n              &gt;MIC\n              s, the amounts of time for which the drug concentrations in serum were above the MIC. The mixed culture of the three pneumococcal strains, 10\n              7\n              CFU of strain A (MIC of penicillin, 0.016 μg/ml; erythromycin resistant)/ml, 10\n              6\n              CFU of strain B (MIC of penicillin, 0.25 μg/ml)/ml, and 10\n              5\n              CFU of strain C (MIC of penicillin, 4 μg/ml)/ml, was used in the two mouse models, and a mixture of 10\n              5\n              CFU of strain A/ml, 10\n              4\n              CFU of strain B/ml, and 10\n              3\n              CFU of strain C/ml was used in the rabbit tissue cage model. During the different treatment regimens, the differences in numbers of CFU between treated and control animals were calculated to measure the efficacies of the regimens. Selective media with erythromycin or different penicillin concentrations were used to quantify the strains separately. The efficacies of penicillin in vitro were similar when individual strains or mixed cultures were studied. The eradication of the bacteria, independent of the susceptibility of the strain or strains or the presence of the strains in a mixture or on their own, followed the well-known PK and PD rules for treatment with β-lactams: a maximum efficacy was seen when the T\n              &gt;MIC\n              was &gt;40 to 50% of the observation time and the ratio of the maximum concentration of the drug in serum to the MIC was &gt;10. It was possible in all three models to select for the less-susceptible strains by using insufficient treatments. In the rabbit tissue cage model, a regrowth of pneumococci was observed; in the mouse thigh model, the ratio between the different strains changed in favor of the less-susceptible strains; and in the mouse peritonitis model, the susceptible strain disappeared and was overgrown by the less-susceptible strains. These findings with the experimental infection models confirm the importance of eradicating all the bacteria taking part in the infectious process in order to avoid selection of resistant clones.","container-title":"Antimicrobial Agents and Chemotherapy","DOI":"10.1128/AAC.47.8.2499-2506.2003","ISSN":"0066-4804, 1098-6596","issue":"8","journalAbbreviation":"Antimicrob Agents Chemother","language":"en","page":"2499-2506","source":"DOI.org (Crossref)","title":"Selection of Resistant &lt;i&gt;Streptococcus pneumoniae&lt;/i&gt; during Penicillin Treatment In Vitro and in Three Animal Models","volume":"47","author":[{"family":"Knudsen","given":"Jenny Dahl"},{"family":"Odenholt","given":"Inga"},{"family":"Erlendsdottir","given":"Helga"},{"family":"Gottfredsson","given":"Magnus"},{"family":"Cars","given":"Otto"},{"family":"Frimodt-Møller","given":"Niels"},{"family":"Espersen","given":"Frank"},{"family":"Kristinsson","given":"Karl G."},{"family":"Gudmundsson","given":"Sigurdur"}],"issued":{"date-parts":[["2003",8]]}}},{"id":8936,"uris":["http://zotero.org/users/11114586/items/3949IIDD"],"itemData":{"id":8936,"type":"article-journal","container-title":"Diagnostic Microbiology and Infectious Disease","DOI":"10.1016/j.diagmicrobio.2018.01.020","ISSN":"07328893","issue":"3","journalAbbreviation":"Diagnostic Microbiology and Infectious Disease","language":"en","page":"294-297","source":"DOI.org (Crossref)","title":"Meropenem time above the MIC exposure is predictive of response in cystic fibrosis children with acute pulmonary exacerbations","volume":"91","author":[{"family":"Kuti","given":"Joseph L."},{"family":"Pettit","given":"Rebecca S."},{"family":"Neu","given":"Natalie"},{"family":"Cies","given":"Jeffrey J."},{"family":"Lapin","given":"Craig"},{"family":"Muhlebach","given":"Marianne S."},{"family":"Novak","given":"Kimberly J."},{"family":"Nguyen","given":"Sean T."},{"family":"Saiman","given":"Lisa"},{"family":"Nicolau","given":"David P."}],"issued":{"date-parts":[["2018",7]]}}},{"id":8937,"uris":["http://zotero.org/users/11114586/items/5ETE5W58"],"itemData":{"id":8937,"type":"article-journal","abstract":"ABSTRACT\n            \n              The activity of ampicillin-sulbactam against β-lactamase-producing\n              Escherichia coli\n              has been questioned. Therefore, in this study, the killing activity of ampicillin-sulbactam was investigated in an in vitro infection model which simulates human pharmacokinetics. One ampicillin-sensitive strain (\n              E. coli\n              ATCC 25922, ampicillin-sulbactam MIC = 4/2 μg/ml) and three ampicillin-resistant TEM-1-producing strains with various levels of ampicillin-sulbactam resistance (EC11, MIC = 4/2 μg/ml; TIM2, MIC = 12/6 μg/ml; and GB85, MIC &gt; 128/64 μg/ml) were studied. The\n              E. coli\n              strains were exposed to ampicillin-sulbactam at a starting inoculum of 6 to 7 log\n              10\n              CFU/ml. Ampicillin-sulbactam was infused over 30 min to simulate doses of 3 and 1.5 g every 6 h for 24 h. The 3-g ampicillin-sulbactam dose was bactericidal against\n              E. coli\n              ATCC 25922, EC11, and TIM2. The 1.5-g dose displayed bactericidal activity against ATCC 25922 and EC11 similar to that of the higher dose but failed to kill TIM2 due to inadequate time above the MIC and increased MICs over 24 h. GB85 was highly resistant and grew similarly to controls. Despite an MIC at 10\n              7\n              CFU/ml indicating resistance (20/10 μg/ml), TIM2 was killed by the 3-g dose of ampicillin-sulbactam. Current MIC breakpoints may not adequately portray the activity of ampicillin-sulbactam, considering both the activity in in vitro infection models and clinical data.","container-title":"Antimicrobial Agents and Chemotherapy","DOI":"10.1128/AAC.42.2.231","ISSN":"0066-4804, 1098-6596","issue":"2","journalAbbreviation":"Antimicrob Agents Chemother","language":"en","page":"231-235","source":"DOI.org (Crossref)","title":"Pharmacodynamics of Ampicillin-Sulbactam in an In Vitro Infection Model against &lt;i&gt;Escherichia coli&lt;/i&gt; Strains with Various Levels of Resistance","volume":"42","author":[{"family":"Lamp","given":"Kenneth C."},{"family":"Vickers","given":"Mary K."}],"issued":{"date-parts":[["1998",2]]}}},{"id":8939,"uris":["http://zotero.org/users/11114586/items/G5VVMHIQ"],"itemData":{"id":8939,"type":"article-journal","container-title":"Journal of Infection","DOI":"10.1016/j.jinf.2006.09.004","ISSN":"01634453","issue":"5","journalAbbreviation":"Journal of Infection","language":"en","page":"463-468","source":"DOI.org (Crossref)","title":"Cefepime pharmacodynamics in patients with extended spectrum β-lactamase (ESBL) and non-ESBL infections","volume":"54","author":[{"family":"Lee","given":"Su Young"},{"family":"Kuti","given":"Joseph L."},{"family":"Nicolau","given":"David P."}],"issued":{"date-parts":[["2007",5]]}}},{"id":8940,"uris":["http://zotero.org/users/11114586/items/IB7Y8QKP"],"itemData":{"id":8940,"type":"article-journal","abstract":"ABSTRACT\n            \n              Ceftolozane is a novel cephalosporin with activity against drug-resistant pathogens, including\n              Pseudomonas aeruginosa\n              and\n              Streptococcus pneumoniae\n              . The\n              in vivo\n              investigation reported here tested the limits of this drug against 20\n              P. aeruginosa\n              and\n              S. pneumoniae\n              isolates across a wide MIC range and defined resistance mechanisms. The times above the MIC (\n              T\n              &gt;MIC) targets for stasis and 1- and 2-log reductions were 31%, 39%, and 42% for\n              P. aeruginosa\n              and 18%, 24%, and 27% for\n              S. pneumoniae\n              , respectively. The 1-log endpoint was achieved for strains with MICs as high as 16 μg/ml.","container-title":"Antimicrobial Agents and Chemotherapy","DOI":"10.1128/AAC.03572-14","ISSN":"0066-4804, 1098-6596","issue":"10","journalAbbreviation":"Antimicrob Agents Chemother","language":"en","page":"6311-6314","source":"DOI.org (Crossref)","title":"Impact of MIC Range for Pseudomonas aeruginosa and Streptococcus pneumoniae on the Ceftolozane &lt;i&gt;In Vivo&lt;/i&gt; Pharmacokinetic/Pharmacodynamic Target","volume":"58","author":[{"family":"Lepak","given":"A. J."},{"family":"Reda","given":"A."},{"family":"Marchillo","given":"K."},{"family":"Van Hecker","given":"J."},{"family":"Craig","given":"W. A."},{"family":"Andes","given":"D."}],"issued":{"date-parts":[["2014",10]]}}},{"id":8942,"uris":["http://zotero.org/users/11114586/items/4PZU5SVN"],"itemData":{"id":8942,"type":"article-journal","abstract":"ABSTRACT\n            \n              Studies of β-lactam pharmacodynamics in infected patients are sparse. In this study, classification and regression tree (CART) and logistic regression analyses were used to identify which pharmacodynamic indices and magnitudes were significant predictors of meropenem efficacy for 101 adult patients with lower respiratory tract infections (LRTI). Using demographic data, a validated population pharmacokinetic model was employed to predict pharmacokinetic parameters and free serum concentrations in the studied patients. Pharmacodynamic indices [percentage of the dosing interval that free drug concentrations remain above the MIC (%\n              fT\n              &gt; MIC),\n              f\n              (maximum concentration of drug in serum) (\n              fC\n              max\n              )/MIC,\n              fC\n              min\n              /MIC, and\n              f\n              (area under the concentration-time curve) (\n              f\n              AUC)/MIC] were calculated based on the baseline pathogen with the highest drug MIC for each patient. The median (range) of percent\n              fT\n              &gt; MIC,\n              fC\n              max\n              /MIC,\n              fC\n              min\n              /MIC, and\n              f\n              AUC/MIC were 100% (0 to 100%), 728.8 (0.8 to 15,777), 19.9 (0.01 to 278), and 3,605.4 (2.7 to 60,865.9), respectively. CART identified the following breakpoints as significant predictors for microbiological response: &gt;54%\n              fT\n              &gt; MIC, a\n              fC\n              max\n              /MIC &gt; 383, and a\n              fC\n              min\n              /MIC &gt; 5;\n              fC\n              min\n              /MIC &gt; 5 was the only significant predictor of clinical response. Due to 100%\n              fT\n              &gt; MIC achieved in the majority of LRTI patients,\n              fC\n              min\n              /MIC was the statistically significant parameter associated with meropenem clinical and microbiological response in the adults with LRTI. The findings for LRTI patients can be applied to optimize meropenem dose regimens to achieve clinical success and microbiological eradication in clinical practice.","container-title":"Antimicrobial Agents and Chemotherapy","DOI":"10.1128/AAC.00294-06","ISSN":"0066-4804, 1098-6596","issue":"5","journalAbbreviation":"Antimicrob Agents Chemother","language":"en","page":"1725-1730","source":"DOI.org (Crossref)","title":"Clinical Pharmacodynamics of Meropenem in Patients with Lower Respiratory Tract Infections","volume":"51","author":[{"family":"Li","given":"Chonghua"},{"family":"Du","given":"Xiaoli"},{"family":"Kuti","given":"Joseph L."},{"family":"Nicolau","given":"David P."}],"issued":{"date-parts":[["2007",5]]}}},{"id":8944,"uris":["http://zotero.org/users/11114586/items/X2G6ZCAI"],"itemData":{"id":8944,"type":"article-journal","abstract":"ABSTRACT\n            \n              The emergence of resistance to carbapenems in\n              Pseudomonas aeruginosa\n              can be suppressed by optimizing the administration of meropenem. However, whether the same is true for\n              Acinetobacter baumannii\n              is not fully understood. We assessed the bactericidal activity of meropenem and its potency to suppress the emergence of resistance in\n              A. baumannii\n              with human simulated exposure in an\n              in vitro\n              intravenous-infusion hollow-fiber infection model (HFIM). Two clinical strains of carbapenem-susceptible multidrug-resistant\n              A. baumannii\n              (CS-MDRAB), CSRA24 and CSRA91, were used, and their MICs and mutant prevention concentrations (MPCs) were determined. Six meropenem dosage regimens (0.5, 1.0, or 2.0 g given every 8 h [q8h] with a 0.5-h or 3-h infusion for seven consecutive days) were simulated and then evaluated in the HFIM. Both the total population and resistant subpopulations of the two strains were quantified. Drug concentrations were measured by high-performance liquid chromatography. All dosage regimens, except for the lowest dosage (0.5 g for both the 0.5-h and 3-h infusions), showed 3-log CFU/ml bacterial killing. Dosage regimens of 2.0 g with 0.5-h and 3-h infusions exhibited an obvious bactericidal effect and suppressed resistance. Selective amplification of subpopulations with reduced susceptibility to meropenem was suppressed with a percentage of the dosage interval in which meropenem concentrations exceeded the MPC (\n              T\n              &gt;MPC) of ≥20% or with a ratio of\n              T\n              &gt;MPC to the percentage of the dosage interval in which drug concentrations are within the mutant selection window of ≥0.25. Our\n              in vitro\n              data support the use of a high dosage of meropenem (2.0 g q8h) for the treatment of severe infection caused by CS-MDRAB.","container-title":"Antimicrobial Agents and Chemotherapy","DOI":"10.1128/AAC.03505-14","ISSN":"0066-4804, 1098-6596","issue":"11","journalAbbreviation":"Antimicrob Agents Chemother","language":"en","page":"6773-6781","source":"DOI.org (Crossref)","title":"Evaluation of Meropenem Regimens Suppressing Emergence of Resistance in Acinetobacter baumannii with Human Simulated Exposure in an &lt;i&gt;In Vitro&lt;/i&gt; Intravenous-Infusion Hollow-Fiber Infection Model","volume":"58","author":[{"family":"Li","given":"Xin"},{"family":"Wang","given":"Lin"},{"family":"Zhang","given":"Xian-Jia"},{"family":"Yang","given":"Yang"},{"family":"Gong","given":"Wei-Tao"},{"family":"Xu","given":"Bin"},{"family":"Zhu","given":"Ying-Qun"},{"family":"Liu","given":"Wei"}],"issued":{"date-parts":[["2014",11]]}}},{"id":8946,"uris":["http://zotero.org/users/11114586/items/WJYDUWUY"],"itemData":{"id":8946,"type":"article-journal","abstract":"ABSTRACT\n            \n              We compared drugs (imipenem and doripenem), doses (500 mg and 1 g), and infusion times (0.5 and 1.0 [imipenem], 1.0 and 4.0 h [doripenem]) in our hollow-fiber model, examining cell kill and resistance suppression for three isogenic strains of\n              Pseudomonas aeruginosa\n              PAO1. The experiments ran for 10 days. Serial samples were taken for total organism and resistant subpopulation counts. Drug concentrations were determined by high-pressure liquid chromatography-tandem mass spectrometry (LC/MS/MS). Free time above the MIC (time &gt; MIC) was calculated using ADAPT II. Time to resistance emergence was examined with Cox modeling. Cell kill and resistance emergence differences were explained, in the main, by differences in potency (MIC) between doripenem and imipenem. Prolonged infusion increased free drug time &gt; MIC and improved cell kill. For resistance suppression, the 1-g, 4-h infusion was able to completely suppress resistance for the full period of observation for the wild-type isolate. For the mutants, control was ultimately lost, but in all cases, this was the best regimen. Doripenem gave longer free time &gt; MIC than imipenem and, therefore, better cell kill and resistance suppression. For the wild-type organism, the 1-g, 4-h infusion regimen is preferred. For organisms with resistance mutations, larger doses or addition of a second drug should be studied.","container-title":"Antimicrobial Agents and Chemotherapy","DOI":"10.1128/AAC.01721-09","ISSN":"0066-4804, 1098-6596","issue":"6","journalAbbreviation":"Antimicrob Agents Chemother","language":"en","page":"2638-2645","source":"DOI.org (Crossref)","title":"Impact of Different Carbapenems and Regimens of Administration on Resistance Emergence for Three Isogenic &lt;i&gt;Pseudomonas aeruginosa&lt;/i&gt; Strains with Differing Mechanisms of Resistance","volume":"54","author":[{"family":"Louie","given":"Arnold"},{"family":"Bied","given":"Adam"},{"family":"Fregeau","given":"Christine"},{"family":"Van Scoy","given":"Brian"},{"family":"Brown","given":"David"},{"family":"Liu","given":"Weiguo"},{"family":"Bush","given":"Karen"},{"family":"Queenan","given":"Anne-Marie"},{"family":"Morrow","given":"Brian"},{"family":"Khashab","given":"Mohammed"},{"family":"Kahn","given":"James B."},{"family":"Nicholson","given":"Susan"},{"family":"Kulawy","given":"Robert"},{"family":"Drusano","given":"G. L."}],"issued":{"date-parts":[["2010",6]]}}},{"id":6462,"uris":["http://zotero.org/users/11114586/items/WYJ7JFXX"],"itemData":{"id":6462,"type":"article-journal","abstract":"Adequate cerebrospinal fluid (CSF) concentrations and activity of β-lactam antibiotics are difficult to achieve in meningitis caused by drug-resistant Streptococcus pneumonias. Aim: To compare the pharmacodynamic and bacteriologic effectiveness of different dosing regimens of CRO in experimental CRSP meningitis. Methods: Meningitis was induced in rabbits by intracisternal inoculation of CRSP (MIC &amp; MBC = 4μg/ml). CRO (150-400 mg/kg/day) was given IV in one or two doses. The correlation between bacterial killing rate (BKR) (Δ log 10 CFU/ml/h) and percentage of time that CRO conc, exceeded the MBC (T &gt; MBC), C peak/MBC or AUC/MBC in CSF was determined. Results: CSF CRO conc exceeded the MBC within 30 minutes of administration in all animals. In the first 24 hours the 200 mg/kg/q12h regimen, compared with 400 mg/kg/q24h regimen, was associated with a greater T &gt; MBC (87 ± 10% vs 60 ± 22%; p = 0.03) and greater BKR (0.2 ± 0.04 vs 0.13 ± 0.07; p = 0.003). However, CSF bacterial concentrations were similar by 48 h. By stepwise multiple regression only T &gt; MBC in CSF during the first 24 h of therapy correlated independently with the BKR (p = 0.001); other indices (C peak/MBC and AUC/MBC) were strongly related to T &gt; MBC and did not correlate independently with BKR. T &gt; MBC of 95-100% was needed for sterilization of the CSF in 24 h. Conclusion: The T &gt; MBC of CRO in CSF is the most important determinant of bacteriologic effictiveness in experimental highly CRSP meningitis. In the first 24 h twice daily dosing of CRO was more rapidly bactericidal than daily dosing.","container-title":"Clinical Infectious Diseases","ISSN":"10584838 (ISSN)","issue":"2","language":"English","note":"publisher-place: Southwestern Medical Center at Dallas, United States","page":"487","title":"Pharmacodynamics and bactericidal activity of ceftriaxone (CRO) therapy in eiperimental cephalosporin-resistant pneumococcal (CRSP) meningitis","volume":"25","author":[{"family":"Lutsar","given":"I."},{"family":"Ahmed","given":"A."},{"family":"Freedland","given":"I.R."},{"family":"Wubbel","given":"L."},{"family":"Trujillo","given":"M."},{"family":"Olsen","given":"K."},{"family":"McCracken","given":"G.H."}],"issued":{"date-parts":[["1997"]]}}},{"id":8949,"uris":["http://zotero.org/users/11114586/items/SLSTZYQU"],"itemData":{"id":8949,"type":"article-journal","abstract":"ABSTRACT\n            \n              The antibacterial effects (ABE) of tomopenem (formerly RO4908463/CS-023) against seven\n              Staphylococcus aureus\n              strains (methicillin-resistant\n              S. aureus\n              [MRSA] strain tomopenem MICs, 0.5 to 16 mg/liter; methicillin-sensitive\n              S. aureus\n              [MSSA] strain tomopenem MIC, 0.06 mg/liter) were studied in an in vitro pharmacokinetic model. Initially, two human doses were simulated, 750 mg every 8 hours (8hly) and 1,500 mg 8hly intravenously, using\n              S. aureus\n              at a standard inoculum of 10\n              6\n              CFU/ml. There was a rapid clearance of bacteria from the model by 12 h after drug exposure with most strains. Clearance was not related to the tomopenem MIC. The ABE of these two tomopenem dose regimens were also tested at a high inoculum, 10\n              8\n              CFU/ml; in all simulations, there was a &gt;4-log drop in viable count at 24 h. Strains were not cleared from the model at 10\n              8\n              CFU/ml, in contrast to what was seen for the standard inoculum. When the ABE of tomopenem at 750 mg 8hly was compared to those of vancomycin, tomopenem was seen to have a superior effect, as measured by the area under the bacterial kill curve at 24 h (AUBKC\n              24\n              ) and 48 h (\n              P\n              &lt; 0.05). Dose ranging studies were performed to provide time-above-MIC (T&gt;MIC) drug exposures of 0 to 100% (8 to 10 doses per strain) with five MRSA/MSSA strains. The T&gt;MIC for a 24-h bacteriostatic effect was 8% ± 5% (range, 1.3% to 15.4%); the T&gt;MIC for a 4-log drop in viable count was 32% ± 18% (range, 12.8% to 36.2%). The T&gt;MIC for a 90% maximum response using AUBKC\n              24\n              as ABE was 24.9% ± 15.7%. Inoculum had little impact on T&gt;MIC exposures for ABE. There was emergence of resistance to tomopenem in the dose ranging studies, with increased growth of subpopulations on plates containing tomopenem at 2× and 4× the MIC compared to what was seen for preexposure population analysis at T&gt;MICs of &lt;20%. The pharmacodynamics of tomopenem against\n              S. aureus\n              is similar to those of other members of the carbapenem class, with the exception that MRSA is included. These data indicate that tomopenem will have clinically useful activity against MRSA at T&gt;MICs achievable in humans.","container-title":"Antimicrobial Agents and Chemotherapy","DOI":"10.1128/AAC.01153-07","ISSN":"0066-4804, 1098-6596","issue":"4","journalAbbreviation":"Antimicrob Agents Chemother","language":"en","page":"1401-1406","source":"DOI.org (Crossref)","title":"Pharmacodynamics of the Antibacterial Effect and Emergence of Resistance to Tomopenem, Formerly RO4908463/CS-023, in an In Vitro Pharmacokinetic Model of &lt;i&gt;Staphylococcus aureus&lt;/i&gt; Infection","volume":"52","author":[{"family":"MacGowan","given":"Alasdair P."},{"family":"Bowker","given":"Karen E."},{"family":"Noel","given":"Alan R."}],"issued":{"date-parts":[["2008",4]]}}},{"id":8951,"uris":["http://zotero.org/users/11114586/items/CFSCLALP"],"itemData":{"id":8951,"type":"article-journal","abstract":"ABSTRACT\n            \n              Ceftolozane plus tazobactam is an antipseudomonal cephalosporin combined with tazobactam, an established beta-lactamase inhibitor, and has\n              in vitro\n              potency against a range of clinically important β-lactamase-producing bacteria, including most extended-spectrum-β-lactamase (ESBL)-positive\n              Enterobacteriaceae\n              . The pharmacodynamics of β-lactam–β-lactamase inhibitor combinations presents a number of theoretical and practical challenges, including modeling different half-lives of the compounds. In this study, we studied the pharmacodynamics of ceftolozane plus tazobactam against\n              Escherichia coli\n              and\n              Pseudomonas aeruginosa\n              using an\n              in vitro\n              pharmacokinetic model of infection. Five strains of\n              E. coli\n              , including three clinical strains plus two CTX-M-15 (one high and one moderate) producers, and five strains of\n              P. aeruginosa\n              , including two with OprD overexpression and AmpC β-lactamases, were employed. Ceftolozane MICs (\n              E. coli\n              , 0.12 to 0.25 mg/liter, and\n              P. aeruginosa\n              , 0.38 to 8 mg/liter) were determined in the presence of 4 mg/liter tazobactam. Dose ranging of ceftolozane (percentage of time in which the free-drug concentration exceeds the MIC [\n              fT\n              &gt;MIC], 0 to 100%) plus tazobactam (human pharmacokinetics) was simulated every 8 hours, with half-lives (\n              t\n              1/2\n              ) of 2.5 and 1 h, respectively. Ceftolozane and tazobactam concentrations were confirmed by high-performance liquid chromatography (HPLC). The ceftolozane-plus-tazobactam\n              fT\n              &gt;MIC values at 24 h for a static effect and a 1-log and 2-log drop in initial inoculum for\n              E. coli\n              were 27.8% ± 5.6%, 33.0% ± 5.6%, and 39.6% ± 8.5%, respectively. CTX-M-15 production did not affect the 24-h\n              fT\n              &gt;MIC for\n              E. coli\n              strains. The ceftolozane-plus-tazobactam\n              fT\n              &gt;MIC values for a 24-h static effect and a 1-log and 2-log drop for\n              P. aeruginosa\n              were 24.9% ± 3.0%, 26.6% ± 3.9%, and 31.2% ± 3.6%. Despite a wide range of absolute MICs, the killing remained predictable as long as the MICs were normalized to the corresponding\n              fT\n              &gt;MIC. Emergence of resistance on 4× MIC plates and 8× MIC plates occurred maximally at an\n              f\n              T\n              &gt;MIC of 10 to 30% and increased as time of exposure increased. The\n              fT\n              &gt;MIC for a static effect for ceftolozane plus tazobactam is less than that observed with other cephalosporins against\n              E. coli\n              and\n              P. aeruginosa\n              and is more similar to the\n              fT\n              &gt;MIC reported for carbapenems.","container-title":"Antimicrobial Agents and Chemotherapy","DOI":"10.1128/AAC.00727-15","ISSN":"0066-4804, 1098-6596","issue":"1","journalAbbreviation":"Antimicrob Agents Chemother","language":"en","page":"515-521","source":"DOI.org (Crossref)","title":"Pharmacodynamics of Ceftolozane plus Tazobactam Studied in an &lt;i&gt;In Vitro&lt;/i&gt; Pharmacokinetic Model of Infection","volume":"60","author":[{"family":"MacGowan","given":"Alasdair P."},{"family":"Noel","given":"Alan R."},{"family":"Tomaselli","given":"Sharon G."},{"family":"Nicholls","given":"Donna"},{"family":"Bowker","given":"Karen E."}],"issued":{"date-parts":[["2016",1]]}}},{"id":5362,"uris":["http://zotero.org/users/11114586/items/WU95MHA6"],"itemData":{"id":5362,"type":"article-journal","abstract":"Advanced-generation cephalosporins are frequently used for empirical coverage of ventilator-associated pneumonia (VAP) due to their activity against a broad spectrum of Gram-positive and Gram-negative aerobic bacteria, including Pseudomonas aeruginosa and Enterobacteriaceae. Providing optimal antibiotic exposure is essential to achieving successful response in patients with VAP. We evaluated exposures of two antipseudomonal cephalosporins, ceftazidime and cefepime, in patients with VAP due to Gram-negative bacilli to identify the pharmacodynamic parameter predictive of microbiological success. Population pharmacokinetic models were used to estimate individual free drug exposures. Pharmacodynamic indices were determined for each patient using the baseline Gram-negative bacilli with the highest drug MIC. Classification and regression tree analysis was utilized to partition exposure breakpoints, and multivariate logistic regression was conducted to identify predictors of microbiological success. A total of 73 patients (18 receiving ceftazidime therapy and 55 receiving cefepime therapy) were included. MICs ranged widely from 0.047 to 96 mug/ml. The microbiological success rate was 58.9%. Predictive breakpoints were identified for all pharmacodynamic parameters, including a serum fT&gt;MIC greater than 53% (P=0.02). When controlling for APACHE II (odds ratio [OR], 1.01; 95% confidence interval, 0.93 to 1.09; P=0.85) and combination therapy (OR, 0.74; 95% confidence interval, 0.25 to 2.19; P=0.59), achieving a greater than 53% fT&gt;MIC remained a significant predictor of success (OR, 10.3; 95% confidence interval, 1.1 to 92.3; P=0.04). In patients with VAP due to Gram-negative bacilli, serum exposure of greater than 53% fT&gt;MIC was found to be a significant predictor of favorable microbiological response for antipseudomonal cephalosporins. These data are useful when determining dosing regimens for cephalosporin agents under development for pneumonia.","container-title":"Antimicrobial agents and chemotherapy","DOI":"https://dx.doi.org/10.1128/AAC.01463-13 PT - Journal Article","ISSN":"[\"1098-6596\", \"0066-4804\"]","issue":"3","note":"publisher-place: United States","page":"1359-64","title":"Clinical pharmacodynamics of antipseudomonal cephalosporins in patients with ventilator-associated pneumonia.","volume":"58","author":[{"family":"MacVane","given":"Shawn H"},{"family":"Kuti","given":"Joseph L"},{"family":"Nicolau","given":"David P"}],"issued":{"date-parts":[["2014"]]}}},{"id":8955,"uris":["http://zotero.org/users/11114586/items/CZED76IM"],"itemData":{"id":8955,"type":"article-journal","abstract":"ABSTRACT\n            \n              Cefepime was evaluated in vivo against two inoculum sizes of four strains of\n              Escherichia coli\n              that produced extended-spectrum beta-lactamases (ESBLs) in a murine neutropenic thigh infection model to characterize the pharmacodynamic activity of cefepime in the presence of ESBL-producing bacteria and to evaluate if differences in lengths of cefepime exposure are required with various inocula. Three strains possessed a single enzyme each: TEM-10, TEM-12, and TEM-26. The fourth strain possessed two TEM-derived ESBLs and a third uncharacterized enzyme. Two non-ESBL-producing\n              E. coli\n              strains were included for comparison. Mice received various doses of cefepime to achieve a spectrum of percentages of time the drug was above the MIC (%\n              T\n              &gt;MICs) for each isolate at both inocula. No significant difference in cefepime exposure was required to achieve similar bactericidal effects for ESBL- and non-ESBL-producing isolates when the starting inoculum was 10\n              5\n              CFU of\n              E. coli\n              per thigh. The increased MICs observed in vitro for the ESBL-producing strains at 10\n              7\n              CFU/ml did not predict the amount of exposure required to achieve a comparable level of bactericidal activity in vivo at the corresponding starting inoculum of 10\n              7\n              CFU/thigh. Compared to the cefepime exposure in tests with the lower inoculum (10\n              5\n              CFU/thigh), less exposure was required when the starting inoculum was 10\n              7\n              CFU/thigh (%\n              T\n              &gt;MIC, 6% versus 26%), such that similar doses (in milligrams per kilogram of body weight) produced similar bactericidal effects with both inocula of ESBL-producing isolates. Equivalent exposures of cefepime produced similar effects against the microorganisms regardless of the presence of ESBL production. Pharmacodynamic profiling undertaken with conventional cefepime MIC determinations predicted in vivo microbial outcomes at both inoculum sizes for the ESBL-producing isolates evaluated in this study. These data support the use of conventional MIC determinations in the pharmacodynamic assessment of cefepime.","container-title":"Antimicrobial Agents and Chemotherapy","DOI":"10.1128/AAC.48.6.1941-1947.2004","ISSN":"0066-4804, 1098-6596","issue":"6","journalAbbreviation":"Antimicrob Agents Chemother","language":"en","page":"1941-1947","source":"DOI.org (Crossref)","title":"Determination of the In Vivo Pharmacodynamic Profile of Cefepime against Extended-Spectrum-Beta-Lactamase-Producing &lt;i&gt;Escherichia coli&lt;/i&gt; at Various Inocula","volume":"48","author":[{"family":"Maglio","given":"Dana"},{"family":"Ong","given":"Christine"},{"family":"Banevicius","given":"Mary Anne"},{"family":"Geng","given":"Qiuming"},{"family":"Nightingale","given":"Charles H."},{"family":"Nicolau","given":"David P."}],"issued":{"date-parts":[["2004",6]]}}},{"id":8957,"uris":["http://zotero.org/users/11114586/items/NKSJYAYQ"],"itemData":{"id":8957,"type":"article-journal","abstract":"ABSTRACT\n            \n              The pharmacodynamic profile of ertapenem was evaluated in a neutropenic mouse thigh infection model. Extended-spectrum beta-lactamase (ESBL)-positive and ESBL-negative clinical strains of\n              Escherichia coli\n              and\n              Klebsiella pneumoniae\n              were studied. MICs ranged from 0.0078 to 0.06 μg/ml with standard inoculum tests. Ertapenem doses were administered once to five times daily to achieve various exposures, reported as the percentage of the dosing interval that the concentration of free ertapenem was in excess of the MIC (%\n              T\n              &gt;MIC\n              free\n              ). Mean values for the static exposure and 80% maximally effective exposure (ED\n              80\n              ) were 19% (range, 2 to 38%) and 33% (range, 13 to 65%)\n              T\n              &gt;MIC\n              free\n              , respectively. Differences in exposure requirements based on the presence of an ESBL resistance mechanism or bacterial species were not evident. In addition, experiments using a 100-fold higher inoculum did not decrease the magnitude of the reduction in bacterial density from baseline achieved compared to lower-inoculum studies. The pharmacodynamic parameter of %\n              T\n              &gt;MIC\n              free\n              correlated well with bactericidal activity for all isolates, and the static and ED\n              80\n              exposures are consistent with those reported previously for carbapenems.","container-title":"Antimicrobial Agents and Chemotherapy","DOI":"10.1128/AAC.49.1.276-280.2005","ISSN":"0066-4804, 1098-6596","issue":"1","journalAbbreviation":"Antimicrob Agents Chemother","language":"en","page":"276-280","source":"DOI.org (Crossref)","title":"Pharmacodynamic Profile of Ertapenem against &lt;i&gt;Klebsiella pneumoniae&lt;/i&gt; and &lt;i&gt;Escherichia coli&lt;/i&gt; in a Murine Thigh Model","volume":"49","author":[{"family":"Maglio","given":"Dana"},{"family":"Banevicius","given":"Mary Anne"},{"family":"Sutherland","given":"Christina"},{"family":"Babalola","given":"Chinedum"},{"family":"Nightingale","given":"Charles H."},{"family":"Nicolau","given":"David P."}],"issued":{"date-parts":[["2005",1]]}}},{"id":8959,"uris":["http://zotero.org/users/11114586/items/F8EIQVAU"],"itemData":{"id":8959,"type":"article-journal","abstract":"The concentration/MIC (C/MIC) ratio maximizing the bactericidal activity of ceftazidime against 10 Pseudomonas aeruginosa isolates from cystic fibrosis patients was identified. Bactericidal activity was assessed by determining the percent difference in the area under the killing curve at each C/MIC ratio for all of the isolates from that of their growth control. The percent effect at each C/MIC ratio was fitted to a sigmoidal Emax model with maximum bactericidal activity defined as the C/MIC ratio that produced an effect that was 90% of the Emax. Our results suggest that at least some isolates may require higher C/MIC ratios than previously reported for maximal activity.","container-title":"Antimicrobial Agents and Chemotherapy","DOI":"10.1128/AAC.41.9.2053","ISSN":"0066-4804, 1098-6596","issue":"9","journalAbbreviation":"Antimicrob Agents Chemother","language":"en","page":"2053-2056","source":"DOI.org (Crossref)","title":"In vitro pharmacodynamics of ceftazidime against Pseudomonas aeruginosa isolates from cystic fibrosis patients","volume":"41","author":[{"family":"Manduru","given":"M"},{"family":"Mihm","given":"L B"},{"family":"White","given":"R L"},{"family":"Friedrich","given":"L V"},{"family":"Flume","given":"P A"},{"family":"Bosso","given":"J A"}],"issued":{"date-parts":[["1997",9]]}}},{"id":5253,"uris":["http://zotero.org/users/11114586/items/VSAER98W"],"itemData":{"id":5253,"type":"article-journal","abstract":"The objective of this study was to evaluate the relationship of the predicted pharmacodynamic parameters 24-h area under the inhibitory curve (AUIC=area under the concentration−time curve for 24h of dosing/minimum inhibitory concentration (AUC0–24/MIC)) and time above the minimum inhibitory concentration (T&gt;MIC) with clinical and microbiological outcomes in patients with bacteraemia and sepsis treated with cefepime or ceftazidime. Pharmacokinetic and pharmacodynamic parameters were derived for 76 of 107 patients enrolled in two prospective, randomised, clinical trials comparing cefepime with ceftazidime for the treatment of sepsis with bacteraemia, lower respiratory tract infection or complicated urinary tract infection. The relationships between the pharmacodynamic parameters and outcomes were examined. Whilst no significant differences in clinical outcomes were observed between cefepime and ceftazidime, there were significant differences in the pharmacodynamic analysis. Patients with an AUIC≥250 had significantly greater clinical cure (79% vs. 33%; P=0.002) and bacteriological eradication (96% vs. 44%; P&lt;0.001) than patients with an AUIC&lt;250. Patients with T&gt;MIC of 100% had significantly greater clinical cure (82% vs. 33%; P=0.002) and bacteriological eradication (97% vs. 44%; P&lt;0.001) than patients with T&gt;MIC of &lt;100%. Both microbiological and clinical cure rates were suboptimal in patients receiving cefepime or ceftazidime for the treatment of serious infections if the AUIC was &lt;250 or T&gt;MIC was &lt;100%.","container-title":"International Journal of Antimicrobial Agents","DOI":"10.1016/j.ijantimicag.2007.12.009","ISSN":"0924-8579","issue":"4","journalAbbreviation":"International Journal of Antimicrobial Agents","language":"en","page":"345-351","source":"ScienceDirect","title":"Evaluation of area under the inhibitory curve (AUIC) and time above the minimum inhibitory concentration (T&gt;MIC) as predictors of outcome for cefepime and ceftazidime in serious bacterial infections","volume":"31","author":[{"family":"McKinnon","given":"Peggy S."},{"family":"Paladino","given":"Joseph A."},{"family":"Schentag","given":"Jerome J."}],"issued":{"date-parts":[["2008",4,1]]}}},{"id":8966,"uris":["http://zotero.org/users/11114586/items/BKXX9YHK"],"itemData":{"id":8966,"type":"article-journal","title":"[Clinical investigation on target value of T&gt;MIC in carbapenems]","author":[{"literal":"Mikamo"}],"issued":{"date-parts":[["2008"]]}}},{"id":8968,"uris":["http://zotero.org/users/11114586/items/T8NR6B3R"],"itemData":{"id":8968,"type":"article-journal","abstract":"An in vitro pharmacokinetic model mimicking human serum drug concentrations, based on a dialyzer unit, was developed to study the efficacies of continuous infusion and intermittent administration of ceftazidime over a period of 36 h. The daily dose of ceftazidime was 300 mg/liter/24 h given either as a continuous infusion or as three bolus doses. The intermittent dosing regimen yielded peak and trough concentrations after the fourth dose of 92.3 (standard deviation, 8.0) and 1.4 (standard deviation, 0.9) mg/liter, respectively. Continuous administration yielded concentrations of approximately 20 mg/liter. To study efficacy, three Pseudomonas aeruginosa strains, ATCC 27853, CF4, and CF16, were used. The MICs of ceftazidime for these strains were 1, 4, and 16 mg/liter, respectively. Strain CF16 was killed initially during both regimens and then started to regrow. At the end of the fourth dosing interval, i.e., after 32 h, viable counts showed no difference between the regimens. Strains ATCC 27853 and CF4 were killed initially during both dosing schedules, and after the first dosing interval viable counts were similar. However, after the fourth interval, there was a marked difference between bacterial counts during continuous and intermittent infusion, being 2.2 and 2.8 log10, respectively, demonstrating a greater efficacy during continuous infusion. The results indicate that, in the absence of other factors, a sustained level of ceftazidime around or slightly above the MIC is not high enough to maintain efficacy over more than one (8-h) dosing interval. When sustained concentrations higher than four times the MIC are employed, continuous administration in this model is more efficacious than intermittent dosing.","container-title":"Antimicrobial Agents and Chemotherapy","DOI":"10.1128/AAC.38.5.931","ISSN":"0066-4804, 1098-6596","issue":"5","journalAbbreviation":"Antimicrob Agents Chemother","language":"en","page":"931-936","source":"DOI.org (Crossref)","title":"Killing of Pseudomonas aeruginosa during continuous and intermittent infusion of ceftazidime in an in vitro pharmacokinetic model","volume":"38","author":[{"family":"Mouton","given":"J W"},{"family":"Den Hollander","given":"J G"}],"issued":{"date-parts":[["1994",5]]}}},{"id":8970,"uris":["http://zotero.org/users/11114586/items/32LHPUJA"],"itemData":{"id":8970,"type":"article-journal","abstract":"ABSTRACT\n            Growth-kill dynamics were characterized in vitro, and the parameter estimates were used to simulate bacterial growth and kill in vivo using both mouse and human pharmacokinetics. The parameter estimates obtained in vitro predicted a time above the MIC of between 35 and 38% for a static effect in mice after 24 h of treatment.","container-title":"Antimicrobial Agents and Chemotherapy","DOI":"10.1128/AAC.01586-06","ISSN":"0066-4804, 1098-6596","issue":"9","journalAbbreviation":"Antimicrob Agents Chemother","language":"en","page":"3449-3451","source":"DOI.org (Crossref)","title":"Concentration-Effect Relationship of Ceftazidime Explains Why the Time above the MIC Is 40 Percent for a Static Effect In Vivo","volume":"51","author":[{"family":"Mouton","given":"Johan W."},{"family":"Punt","given":"Nieko"},{"family":"Vinks","given":"Alexander A."}],"issued":{"date-parts":[["2007",9]]}}},{"id":6408,"uris":["http://zotero.org/users/11114586/items/ACEA4LAC"],"itemData":{"id":6408,"type":"article-journal","abstract":"Objectives: The %fT.MIC of ceftazidime has been shown to correlate with microbiological outcome of Gramnegative bacteria (GNB) in preclinical studies. However, clinical data are still lacking. We explored the relationship of ceftazidime exposure and outcome in patients with nosocomial pneumonia using data from a recent randomized, double-blind Phase 3 clinical trial. Patients and methods: Pharmacokinetic (PK) and demographic data from three clinical trials were used to construct a population PK model using non-linear mixed-effects modelling. Individual concentration-time curves and PK/pharmacodynamic indices were determined for individual patients. The MICs used in the analyses were the highest MICs for any GNB cultured at baseline or end of therapy. Results: A two-compartment model best fit the data, with creatinine clearance as covariate on clearance and age on the central compartment. Classification and regression tree analysis showed a breakpoint value of 44.9% (P,0.0001) for GNB in 154 patients. The Emax model showed a good fit (R20.93). The benefit of adequate treatment increased from an eradication rate of 0.4848 at %fT.MIC of 0% to 0.9971 at 100%. The EC50 was 46.8% and the EC90 was 95.5% for %fT.MIC. Exposure correlated significantly with both microbiological and clinical outcome at test-of-cure. Conclusions: We conclude that exposures to ceftazidime predict microbiological as well as clinical outcome, and the %fT.MIC required to result in a likely favourable outcome is.45% of the dosing interval. This value is similar to that observed in animal models and underscores the principle that adequate dosing can be predicted and is beneficial to patient care.","container-title":"Journal of Antimicrobial Chemotherapy","DOI":"10.1093/jac/dks468","ISSN":"14602091 (ISSN)","issue":"4","language":"English","note":"publisher-place: [\"Department of Medical Microbiology, Radboud University Nijmegen Medical Centre, 6500 HB, Nijmegen, PO Box 9101, Netherlands\", \"Department of Medical Microbiology and Infectious Diseases, Erasmus Medical Centre, 3000 CA, Rotterdam, PO Box 2040, Netherlands\", \"Department of Medical Microbiology, St Elisabeth Hospital, 5000 LC, Tilburg, PO Box 90151, Netherlands\", \"Medimatics, 6229 HR, Maastricht, Praaglaan 131, Netherlands\"]","page":"900-906","title":"Optimal exposures of ceftazidime predict the probability of microbiological and clinical outcome in the treatment of nosocomial pneumonia","volume":"68","author":[{"family":"Muller","given":"A.E."},{"family":"Punt","given":"N."},{"family":"Mouton","given":"J.W."}],"issued":{"date-parts":[["2013"]]}}},{"id":8974,"uris":["http://zotero.org/users/11114586/items/XA46Z2SW"],"itemData":{"id":8974,"type":"article-journal","abstract":"ABSTRACT\n            \n              The percentage of the dosing interval that the non-protein-bound plasma concentration is above the MIC (%\n              f\n              T&gt;MIC) for cephalosporins has been shown to correlate with microbiological outcomes in preclinical studies. However, clinical data are scarce. Using data from a randomized double-blind phase 3 clinical trial, we explored the relationship of ceftobiprole exposure with microbiological and clinical outcomes in patients with nosocomial pneumonia. The individual ceftobiprole exposure was determined for different pharmacokinetic (PK)/pharmacodynamic (PD) indices using individual pharmacokinetic data and a previously published population model. The MICs used in the analysis were the highest MICs for any bacterium cultured at baseline or the end of treatment (EOT). Outcomes were microbiological cure at EOT and clinical cure at test of cure (TOC). Multiple logistic regression (MLR) and classification and regression tree (CART) analyses were applied to determine the relationships among exposure, patient characteristics, and outcomes. MLR indicated that the %\n              f\n              T&gt;MIC of ceftobiprole was the best predictor for both microbiological eradication and clinical cure. CART analysis showed a breakpoint value of 51.1% (\n              n\n              = 159;\n              P\n              = 0.0024) for clinical cure, whereas it was 62.2% (\n              n\n              = 251;\n              P\n              &lt; 0.0001) for microbiological eradication. Other factors also contributed, particularly to clinical outcome. These included the difference between VAP and non-VAP patients, systemic inflammatory response syndrome (SIRS), creatinine clearance, the use of anti-\n              Pseudomonas\n              combination therapy, and Acute Physiology and Chronic Health Evaluation II (APACHE-II) score. There is a strong correlation between microbiological eradication and clinical cure with exposure to ceftobiprole. The %\n              f\n              T&gt;MIC required to result in a favorable clinical outcome is &gt;51% of the dosing interval, which is in line with the values found for microbiological eradication, the comparator ceftazidime, and preclinical models.","container-title":"Antimicrobial Agents and Chemotherapy","DOI":"10.1128/AAC.02611-13","ISSN":"0066-4804, 1098-6596","issue":"5","journalAbbreviation":"Antimicrob Agents Chemother","language":"en","page":"2512-2519","source":"DOI.org (Crossref)","title":"Exposure to Ceftobiprole Is Associated with Microbiological Eradication and Clinical Cure in Patients with Nosocomial Pneumonia","volume":"58","author":[{"family":"Muller","given":"A. E."},{"family":"Punt","given":"N."},{"family":"Mouton","given":"J. W."}],"issued":{"date-parts":[["2014",5]]}}},{"id":8976,"uris":["http://zotero.org/users/11114586/items/FNQNU66S"],"itemData":{"id":8976,"type":"article-journal","abstract":"The pharmacokinetic (PK) and pharmacodynamic (PD) parameters which correlated with the\n              in vivo\n              efficacy of cefiderocol were evaluated using neutropenic murine thigh and lung infection models in which the infections were caused by a variety of Gram-negative bacilli.\n            \n          , \n            ABSTRACT\n            \n              The pharmacokinetic (PK) and pharmacodynamic (PD) parameters which correlated with the\n              in vivo\n              efficacy of cefiderocol were evaluated using neutropenic murine thigh and lung infection models in which the infections were caused by a variety of Gram-negative bacilli. The dose fractionation study using the thigh infection model in which the infection was caused by\n              Pseudomonas aeruginosa\n              showed that the cumulative percentage of a 24-h period that the free drug concentration in plasma exceeds the MIC (%\n              fT\n              &gt;MIC\n              ) rather than the free peak level divided by the MIC (\n              fC\n              max\n              /MIC) and the area under the free concentration-time curve over 24 h divided by the MIC (\n              f\n              AUC/MIC) was the PK/PD parameter that best correlated with efficacy. The study with multiple carbapenem-resistant strains revealed that the %\n              fT\n              &gt;MIC\n              determined in iron-depleted cation-adjusted Mueller-Hinton broth (ID-CAMHB) better reflected the\n              in vivo\n              efficacy of cefiderocol than the %\n              fT\n              &gt;MIC\n              determined in cation-adjusted Mueller-Hinton broth (CAMHB). The mean %\n              fT\n              &gt;MIC\n              of cefiderocol required for a 1-log\n              10\n              reduction against 10 strains of\n              Enterobacteriaceae\n              and 3 strains of\n              Pseudomonas aeruginosa\n              in the thigh infection models were 73.3% and 77.2%, respectively. The mean %\n              fT\n              &gt;MIC\n              for\n              Enterobacteriaceae\n              ,\n              P. aeruginosa\n              ,\n              Acinetobacter baumannii\n              , and\n              Stenotrophomonas maltophilia\n              in the lung infection model were 64.4%, 70.3%, 88.1%, and 53.9%, respectively. These results indicate that cefiderocol has potent efficacy against Gram-negative bacilli, including carbapenem-resistant strains, irrespective of the bacterial species, in neutropenic thigh and lung infection models and that the\n              in vivo\n              efficacy correlated with the\n              in vitro\n              MIC under iron-deficient conditions.","container-title":"Antimicrobial Agents and Chemotherapy","DOI":"10.1128/AAC.02031-18","ISSN":"0066-4804, 1098-6596","issue":"9","journalAbbreviation":"Antimicrob Agents Chemother","language":"en","page":"e02031-18","source":"DOI.org (Crossref)","title":"&lt;i&gt;In Vivo&lt;/i&gt; Pharmacodynamic Study of Cefiderocol, a Novel Parenteral Siderophore Cephalosporin, in Murine Thigh and Lung Infection Models","volume":"63","author":[{"family":"Nakamura","given":"Rio"},{"family":"Ito-Horiyama","given":"Tsukasa"},{"family":"Takemura","given":"Miki"},{"family":"Toba","given":"Shinsuke"},{"family":"Matsumoto","given":"Shuhei"},{"family":"Ikehara","given":"Tatsuya"},{"family":"Tsuji","given":"Masakatsu"},{"family":"Sato","given":"Takafumi"},{"family":"Yamano","given":"Yoshinori"}],"issued":{"date-parts":[["2019",9]]}}},{"id":8978,"uris":["http://zotero.org/users/11114586/items/C63PNCEQ"],"itemData":{"id":8978,"type":"article-journal","container-title":"Journal of Antimicrobial Chemotherapy","DOI":"10.1093/jac/dkh381","ISSN":"1460-2091","issue":"4","journalAbbreviation":"Journal of Antimicrobial Chemotherapy","language":"en","page":"767-771","source":"DOI.org (Crossref)","title":"Comparison of in vivo intrinsic activity of cefepime and imipenem in a Pseudomonas aeruginosa rabbit endocarditis model: effect of combination with tobramycin simulating human serum pharmacokinetics","title-short":"Comparison of in vivo intrinsic activity of cefepime and imipenem in a Pseudomonas aeruginosa rabbit endocarditis model","volume":"54","author":[{"family":"Navas","given":"D."}],"issued":{"date-parts":[["2004",8,25]]}}},{"id":8980,"uris":["http://zotero.org/users/11114586/items/XCIR4FD2"],"itemData":{"id":8980,"type":"article-journal","abstract":"ABSTRACT\n            \n              Cefprozil, an oral semisynthetic cephalosporin, is commonly utilized in the treatment of respiratory-tract infections in children. While this agent has provided acceptable clinical success over a number of years, this study was undertaken to better define its pharmacodynamic profile against\n              Streptococcus pneumoniae\n              . Nineteen clinical isolates of\n              S. pneumoniae\n              were utilized in the neutropenic murine thigh infection model. To simulate the pharmacokinetic profile of cefprozil in children, the renal function of mice was impaired with uranyl nitrate, and a commercially available cefprozil suspension (6 mg/kg of body weight) was administered orally every 12 h. Mice were infected with 10\n              6\n              to 10\n              7\n              CFU per thigh, and therapy was initiated 2 h later. At 0 and 24 h postinfection, thighs were harvested to determine bacterial density. Survival was assessed during 96 h of therapy. The magnitude of bacterial kill ranged from 0.5 to 4.4 log\n              10\n              CFU per thigh over 24 h, and the extent of microbial eradication was dependent on the MIC. Killing of more than 2.6 log\n              10\n              CFU per thigh was observed with MICs of ≤3 μg/ml, while either minimal killing or growth was detected with MICs of ≥4 μg/ml. Mortality in untreated control animals was 100%. Animals infected with strains for which the MICs were ≤2 μg/ml survived the infection, whereas MICs exceeding 2 μg/ml resulted in substantial mortality. These studies demonstrate the effectiveness of cefprozil against isolates of the pneumococcus for which the MICs are ≤2 μg/ml using a drug exposure typically observed in children. These data support a susceptibility breakpoint of ≤2 μg/ml for cefprozil.","container-title":"Antimicrobial Agents and Chemotherapy","DOI":"10.1128/AAC.44.5.1291-1295.2000","ISSN":"0066-4804, 1098-6596","issue":"5","journalAbbreviation":"Antimicrob Agents Chemother","language":"en","page":"1291-1295","source":"DOI.org (Crossref)","title":"Pharmacodynamic Assessment of Cefprozil against &lt;i&gt;Streptococcus pneumoniae&lt;/i&gt; : Implications for Breakpoint Determinations","title-short":"Pharmacodynamic Assessment of Cefprozil against &lt;i&gt;Streptococcus pneumoniae&lt;/i&gt;","volume":"44","author":[{"family":"Nicolau","given":"David P."},{"family":"Onyeji","given":"Cyprian O."},{"family":"Zhong","given":"Mingkang"},{"family":"Tessier","given":"Pamela R."},{"family":"Banevicius","given":"Mary Anne"},{"family":"Nightingale","given":"Charles H."}],"issued":{"date-parts":[["2000",5]]}}},{"id":1034,"uris":["http://zotero.org/users/11114586/items/UISF8DM7"],"itemData":{"id":1034,"type":"article-journal","abstract":"A pharmacokinetic-pharmacodynamic (PKPD) model that characterizes the full time course of in vitro time-kill curve experiments of antibacterial drugs was here evaluated in its capacity to predict the previously determined PK/PD indices. Six drugs (benzylpenicillin, cefuroxime, erythromycin, gentamicin, moxifloxacin, and vancomycin), representing a broad selection of mechanisms of action and PK and PD characteristics, were investigated. For each drug, a dose fractionation study was simulated, using a wide range of total daily doses given as intermittent doses (dosing intervals of 4, 8, 12, or 24 h) or as a constant drug exposure. The time course of the drug concentration (PK model) as well as the bacterial response to drug exposure (in vitro PKPD model) was predicted. Nonlinear least-squares regression analyses determined the PK/PD index (the maximal unbound drug concentration [fC max]/MIC, the area under the unbound drug concentration-time curve [fAUC]/ MIC, or the percentage of a 24-h time period that the unbound drug concentration exceeds the MIC [fT &gt;MIC]) that was most predictive of the effect. The in silico predictions based on the in vitro PKPD model identified the previously determined PK/PD indices, with fT &gt;MIC being the best predictor of the effect for β-lactams and fAUC/MIC being the best predictor for the four remaining evaluated drugs. The selection and magnitude of the PK/PD index were, however, shown to be sensitive to differences in PK in subpopulations, uncertainty in MICs, and investigated dosing intervals. In comparison with the use of the PK/PD indices, a model-based approach, where the full time course of effect can be predicted, has a lower sensitivity to study design and allows for PK differences in subpopulations to be considered directly. This study supports the use of PKPD models built from in vitro time-kill curves in the development of optimal dosing regimens for antibacterial drugs. Copyright © 2011, American Society for Microbiology. All Rights Reserved.","container-title":"Antimicrobial Agents and Chemotherapy","DOI":"10.1128/AAC.00182-11/ASSET/74F2849E-2B39-474D-8507-3C5A96DEDFE1/ASSETS/GRAPHIC/ZAC9991002520004.JPEG","ISSN":"00664804","issue":"10","note":"PMID: 21807983\npublisher: \nAmerican Society for Microbiology\n1752 N St., N.W., Washington, DC","page":"4619-4630","title":"Pharmacokinetic/Pharmacodynamic (PK/PD) indices of antibiotics predicted by a semimechanistic PKPD model: A step toward model-based dose optimization","volume":"55","author":[{"family":"Nielsen","given":"Elisabet I."},{"family":"Cars","given":"Otto"},{"family":"Friberg","given":"Lena E."}],"issued":{"date-parts":[["2011",10]]}}},{"id":8984,"uris":["http://zotero.org/users/11114586/items/U32HVGL4"],"itemData":{"id":8984,"type":"article-journal","container-title":"Diagnostic Microbiology and Infectious Disease","DOI":"10.1016/j.diagmicrobio.2006.06.014","ISSN":"07328893","issue":"2","journalAbbreviation":"Diagnostic Microbiology and Infectious Disease","language":"en","page":"153-161","source":"DOI.org (Crossref)","title":"Comparative in vivo efficacy of meropenem, imipenem, and cefepime against Pseudomonas aeruginosa expressing MexA-MexB-OprM efflux pumps","volume":"57","author":[{"family":"Ong","given":"Christine T."},{"family":"Tessier","given":"Pamela R."},{"family":"Li","given":"Chonghua"},{"family":"Nightingale","given":"Charles H."},{"family":"Nicolau","given":"David P."}],"issued":{"date-parts":[["2007",2]]}}},{"id":8985,"uris":["http://zotero.org/users/11114586/items/TY6VN4KT"],"itemData":{"id":8985,"type":"article-journal","abstract":"ABSTRACT\n            \n              The percentage of time that free drug concentrations remain above the MIC (\n              f\n              T\n              &gt;MIC\n              ) that is necessary to prevent mortality among cefepime-treated patients with Gram-negative bloodstream infections (GNBSI) is poorly defined. We conducted a retrospective study of adult patients with GNBSI. Eligible cases were frequency matched to ensure categorical representation from all MICs. Organism, MIC, infection source, gender, age, serum creatinine, weight, antibiotic history, and modified APACHE II score were collected from hospital records. Two population pharmacokinetic models (models 1 and 2) were used to impute exposures over the first 24 h in each patient from mean model parameters, covariates, and dosing history. From the imputed exposures, survival thresholds for\n              f\n              T\n              &gt;MIC\n              were identified using classification and regression tree (CART) analysis and analyzed as nominal variables for univariate and multivariate regressions. A total of 180 patients were included in the analysis, of whom 13.9% died and 86.1% survived. Many patients (46.7% [\n              n\n              = 84/180]) received combination therapy with cefepime. Survivors had higher mean (standard deviation [SD])\n              f\n              T\n              &gt;MIC\n              than those who died (model 1, 74.2% [29.6%] versus 52.1% [33.8%],\n              P\n              &lt; 0.001; model 2, 85.9% [24.0%] versus 64.4% [31.4%],\n              P\n              &lt; 0.001). CART identified\n              f\n              T\n              &gt;MIC\n              threshold values for greater survival according to models 1 and 2 at &gt;68% and &gt;74%, respectively. Survival was improved for those with\n              f\n              T\n              &gt;MIC\n              of &gt;68% (model 1 adjusted odds ratio [aOR], 7.12; 95% confidence interval [CI], 1.90 to 26.7;\n              P\n              = 0.004) and &gt;74% (model 2 aOR, 6.48; 95% CI, 1.90 to 22.1) after controlling for clinical covariates. Similarly, each 1% increase in cefepime\n              f\n              T\n              &gt;MIC\n              resulted in a 2% improvement in multivariate survival probability (\n              P\n              = 0.015). Achieving a cefepime\n              f\n              T\n              &gt;MIC\n              of 68 to 74% was associated with a higher odds of survival for patients with GNBSI. Regimens targeting this exposure should be aggressively pursued.","container-title":"Antimicrobial Agents and Chemotherapy","DOI":"10.1128/AAC.01956-15","ISSN":"0066-4804, 1098-6596","issue":"3","journalAbbreviation":"Antimicrob Agents Chemother","language":"en","page":"1401-1410","source":"DOI.org (Crossref)","title":"Defining Clinical Exposures of Cefepime for Gram-Negative Bloodstream Infections That Are Associated with Improved Survival","volume":"60","author":[{"family":"Rhodes","given":"Nathaniel J."},{"family":"Kuti","given":"Joseph L."},{"family":"Nicolau","given":"David P."},{"family":"Van Wart","given":"Scott"},{"family":"Nicasio","given":"Anthony M."},{"family":"Liu","given":"Jiajun"},{"family":"Lee","given":"Benjamin J."},{"family":"Neely","given":"Michael N."},{"family":"Scheetz","given":"Marc H."}],"issued":{"date-parts":[["2016",3]]}}},{"id":28,"uris":["http://zotero.org/users/11114586/items/RT46SPNF"],"itemData":{"id":28,"type":"article-journal","abstract":"Background: The clinical effects of varying pharmacokinetic exposures of antibiotics (antibacterials and antifungals) on outcome in infected critically ill patients are poorly described. A large-scale multi-centre study (DALI Study) is currently underway describing the clinical outcomes of patients achieving pre-defined antibiotic exposures. This report describes the protocol.Methods: DALI will recruit over 500 patients administered a wide range of either beta-lactam or glycopeptide antibiotics or triazole or echinocandin antifungals in a pharmacokinetic point-prevalence study. It is anticipated that over 60 European intensive care units (ICUs) will participate. The primary aim will be to determine whether contemporary antibiotic dosing for critically ill patients achieves plasma concentrations associated with maximal activity. Secondary aims will compare antibiotic pharmacokinetic exposures with patient outcome and will describe the population pharmacokinetics of the antibiotics included. Various subgroup analyses will be conducted to determine patient groups that may be at risk of very low or very high concentrations of antibiotics.Discussion: The DALI study should inform clinicians of the potential clinical advantages of achieving certain antibiotic pharmacokinetic exposures in infected critically ill patients. © 2012 Roberts et al.; licensee BioMed Central Ltd.","container-title":"BMC Infectious Diseases","DOI":"10.1186/1471-2334-12-152","title":"DALI: Defining Antibiotic Levels in Intensive care unit patients: a multi-centre point of prevalence study to determine whether contemporary antibiotic dosing for critically ill patients is therapeutic","volume":"12","author":[{"family":"Roberts","given":"J.A."},{"family":"De Waele","given":"J.J."},{"family":"Dimopoulos","given":"G."},{"family":"Koulenti","given":"D."},{"family":"Martin","given":"C."},{"family":"Montravers","given":"P."},{"family":"Rello","given":"J."},{"family":"Rhodes","given":"A."},{"family":"Starr","given":"T."},{"family":"Wallis","given":"S.C."},{"family":"Wallis","given":"S.C."},{"family":"Lipman","given":"J."}],"issued":{"date-parts":[["2012"]]}}},{"id":8989,"uris":["http://zotero.org/users/11114586/items/NBPYHYXT"],"itemData":{"id":8989,"type":"article-journal","container-title":"European Journal of Clinical Microbiology &amp; Infectious Diseases","DOI":"10.1007/BF01963774","ISSN":"0934-9723, 1435-4373","issue":"10","journalAbbreviation":"Eur. J. Clin. Microbiol. Infect. Dis.","language":"en","page":"878-887","source":"DOI.org (Crossref)","title":"Impact of the dosage schedule on the efficacy of ceftazidime, gentamicin and ciprofloxacin inKlebsiella pneumoniae pneumonia and septicemia in leukopenic rats","volume":"8","author":[{"family":"Roosendaal","given":"R."},{"family":"Bakker-Woudenberg","given":"I. A. J."},{"family":"Berghe-van Raffe","given":"M."},{"family":"Vink-van Den Berg","given":"J. C."},{"family":"Michel","given":"M. F."}],"issued":{"date-parts":[["1989",10]]}}},{"id":5262,"uris":["http://zotero.org/users/11114586/items/E4RK6Y3U"],"itemData":{"id":5262,"type":"article-journal","abstract":"Traditional antibiotic dosage adjustments target predetermined serum concentrations, whereas a host of in vitro studies and recent clinical trials establish that bacteria vary in their susceptibility. Dual individualization, which considers the variance in both antibiotic pharmacokinetics and bacterial susceptibility, has been employed to describe different rates of bacterial eradication in relation to varying serum concentrations. In patients with nosocomial pneumonia, one of the model compounds studied was cefmenoxime, where a target six-hour area under the serum concentration-time curve (AUC) of 140 micrograms.h/mL above minimum inhibitory concentration (MIC) was previously associated with bacterial eradication in an average of four days. The target AUC value of 140 micrograms.h/mL above MIC is unique to cefmenoxime. Ideally, there should be a dual individualized target useful to adjust the dose of any antibiotic. Computer simulations performed to evaluate this hypothesis suggested that each antibiotic had a unique value for target AUC above MIC. These simulations indicated that an optimal AUC above MIC was about 80 percent of the total AUC above the MIC. Predictable rates of bacterial eradication would presumably result from maintaining these relationships across the range of bacterial susceptibility and the range of serum concentration profiles. Each antibiotic has a unique and different 24-hour AUC over MIC value associated with bacterial eradication in 4 days. For cefmenoxime, the target was 540 area units over MIC per 24 hours, tobramycin with 34 area units, and ciprofloxacin with 23 area units per 24 hours.(ABSTRACT TRUNCATED AT 250 WORDS)","container-title":"DICP: the annals of pharmacotherapy","DOI":"10.1177/106002809102501003","ISSN":"1042-9611","issue":"10","journalAbbreviation":"DICP","language":"eng","note":"PMID: 1803788","page":"1050-1057","source":"PubMed","title":"Mathematical examination of dual individualization principles (I): Relationships between AUC above MIC and area under the inhibitory curve for cefmenoxime, ciprofloxacin, and tobramycin","title-short":"Mathematical examination of dual individualization principles (I)","volume":"25","author":[{"family":"Schentag","given":"J. J."},{"family":"Nix","given":"D. E."},{"family":"Adelman","given":"M. H."}],"issued":{"date-parts":[["1991",10]]}}},{"id":8991,"uris":["http://zotero.org/users/11114586/items/9NJK245C"],"itemData":{"id":8991,"type":"article-journal","abstract":"Abstract\n            \n              Objectives\n              Temocillin is a 6α-methoxy derivative of ticarcillin that is resilient to ESBLs. Prospective data about its in vivo activity remain scarce. Our aims were: (i) to evaluate the activity of temocillin in a urinary tract infection (UTI) model due to ESBL-producing Escherichia coli and compare it with that of imipenem; and (ii) to define in vivo susceptibility breakpoints.\n            \n            \n              Methods\n              Mice were infected with a susceptible E. coli CFT073-RR or its transconjugant (CFT073-RR Tc) harbouring a blaCTX-M-15-carrying plasmid, using an ascending UTI model. Therapeutic regimens were chosen in order to reproduce percentage of time of free drug concentrations above MIC (fT&amp;gt;MIC) obtained in humans with standard regimens of temocillin (200 mg/kg every 2 h for 2 g every 12 h) or imipenem (100 mg/kg every 2 h for 1 g every 8 h). Additional regimens of temocillin (200 mg/kg every 4 and 6 h) with reduced fT&amp;gt;MIC were studied.\n            \n            \n              Results\n              MICs of temocillin and imipenem were 4/8 and 0.5/0.5 mg/L, for CFT073-RR and CFT073-RR Tc, respectively. In vivo, when given every 2 h (fT&amp;gt;MIC = 82% and 70%), temocillin was bactericidal and as effective as imipenem in kidneys against both strains without selecting resistant mutants. Temocillin remained active even when given every 4 h, generating an fT&amp;gt;MIC of 41% and 35%, which corresponded to a breakpoint of 16 mg/L in humans with the standard regimen.\n            \n            \n              Conclusions\n              Our observations support the consideration of a standard regimen of temocillin as an alternative to carbapenems for the treatment of UTI due to CTX-M-producing E. coli strains with an MIC of 16 mg/L or less.","container-title":"Journal of Antimicrobial Chemotherapy","DOI":"10.1093/jac/dku542","ISSN":"1460-2091, 0305-7453","issue":"5","language":"en","page":"1466-1472","source":"DOI.org (Crossref)","title":"Activity of temocillin in a murine model of urinary tract infection due to &lt;i&gt;Escherichia coli&lt;/i&gt; producing or not producing the ESBL CTX-M-15","volume":"70","author":[{"family":"Soubirou","given":"J. F."},{"family":"Rossi","given":"B."},{"family":"Couffignal","given":"C."},{"family":"Ruppé","given":"E."},{"family":"Chau","given":"F."},{"family":"Massias","given":"L."},{"family":"Lepeule","given":"R."},{"family":"Mentre","given":"F."},{"family":"Fantin","given":"B."}],"issued":{"date-parts":[["2015",5,1]]}}},{"id":8993,"uris":["http://zotero.org/users/11114586/items/9FFX6HUZ"],"itemData":{"id":8993,"type":"article-journal","abstract":"ABSTRACT\n            \n              The efficacy of β-lactams is thought to be dependent on the time that the unbound concentrations exceed the MIC (\n              fT\n              &gt;MIC). However, the pharmacokinetic/pharmacodynamic index (PDI) that correlates best to the selection of resistance is not yet clear. The selection of ceftizoxime (CZX)-resistant\n              Enterobacter cloacae\n              mutant strains during the development of murine mixed-infection abscesses was studied to determine the PDI that is important for the emergence of resistance and the PDI value needed for the prevention of resistance. Studies were carried out 24 h after inoculation with\n              Bacteroides fragilis\n              ATCC 23745 and\n              E. cloacae\n              22491. Six to 1,536 mg of CZX/kg of body weight/day given every 2 h (q2h), q4h, q6h, or q8h was started 30 min before inoculation and continued for 24 h. Resistant mutants were isolated to determine mutant frequencies (MF). The\n              fT\n              &gt;MIC varied from 9 to 98% for\n              E. cloacae\n              , the peak concentration (unbound fraction) was 0.6 to 578 mg/liter, and the area under the concentration-time curve (unbound fraction) (\n              f\n              AUC) was 1.9 to 553 mg·h/liter. The\n              f\n              AUC-to-MIC ratio best explained the in vivo efficacy. CZX-resistant\n              B. fragilis\n              and\n              E. cloacae\n              mutants were isolated from untreated controls at an MF of 10\n              −5\n              to 10\n              −7\n              . The MF of resistant\n              B. fragilis\n              did not increase during therapy. The selection of resistant\n              E. cloacae\n              strains at an MF of 10\n              −1\n              to 10\n              −2\n              was related to the\n              fT\n              &gt;MIC and the ratio of\n              f\n              AUC to MIC following an inverse U shape. However, the ratio of\n              f\n              AUC to MIC was the stronger driver of resistance. The highest MFs were 0.7 to 0.9 at an\n              f\n              AUC-to-MIC ratio of approximately 250. We conclude that the ratio of\n              f\n              AUC to MIC is the PDI that correlated best to the in vivo efficacy of CZX and probably also to the emergence of resistant\n              E. cloacae\n              mutants. An\n              f\n              AUC-to-MIC ratio of 1,000 was needed to prevent the emergence of this resistance.","container-title":"Antimicrobial Agents and Chemotherapy","DOI":"10.1128/AAC.01486-06","ISSN":"0066-4804, 1098-6596","issue":"10","journalAbbreviation":"Antimicrob Agents Chemother","language":"en","page":"3605-3611","source":"DOI.org (Crossref)","title":"Effect of Dosing and Dosing Frequency on the Efficacy of Ceftizoxime and the Emergence of Ceftizoxime Resistance during the Early Development of Murine Abscesses Caused by &lt;i&gt;Bacteroides fragilis&lt;/i&gt; and &lt;i&gt;Enterobacter cloacae&lt;/i&gt; Mixed Infection","volume":"51","author":[{"family":"Stearne","given":"Lorna E. T."},{"family":"Goessens","given":"Wil H. F."},{"family":"Mouton","given":"Johan W."},{"family":"Gyssens","given":"Inge C."}],"issued":{"date-parts":[["2007",10]]}}},{"id":8995,"uris":["http://zotero.org/users/11114586/items/DCHXQ2ZM"],"itemData":{"id":8995,"type":"article-journal","container-title":"Journal of Infection and Chemotherapy","DOI":"10.1007/s10156-003-0292-0","ISSN":"1341321X","issue":"2","journalAbbreviation":"Journal of Infection and Chemotherapy","language":"en","page":"76-85","source":"DOI.org (Crossref)","title":"Optimization of dose and dose regimen of biapenem based on pharmacokinetic and pharmacodynamic analysis","volume":"10","author":[{"family":"Takata","given":"Toshihiko"},{"family":"Shimizu","given":"Atsuyuki"},{"family":"Sakakibara","given":"Shiro"},{"family":"Watabe","given":"Hiroomi"},{"family":"Aizawa","given":"Kazumasa"},{"family":"Totsuka","given":"Kyoichi"}],"issued":{"date-parts":[["2004"]]}}},{"id":8998,"uris":["http://zotero.org/users/11114586/items/GGLBUV2F"],"itemData":{"id":8998,"type":"article-journal","container-title":"Journal of Antimicrobial Chemotherapy","DOI":"10.1093/jac/dkf130","ISSN":"14602091","issue":"3","page":"425-428","source":"DOI.org (Crossref)","title":"Pharmacodynamics of cefepime in patients with Gram-negative infections","volume":"50","author":[{"family":"Tam","given":"V. H."}],"issued":{"date-parts":[["2002",9,1]]}}},{"id":8996,"uris":["http://zotero.org/users/11114586/items/TVYD28IG"],"itemData":{"id":8996,"type":"article-journal","abstract":"ABSTRACT\n            \n              Suppression of resistance in a dense\n              Pseudomonas aeruginosa\n              population has previously been shown with optimized quinolone exposures. However, the relevance to β-lactams is unknown. We investigated the bactericidal activity of meropenem and its propensity to suppress\n              P. aeruginosa\n              resistance in an in vitro hollow-fiber infection model (HFIM). Two isogenic strains of\n              P. aeruginosa\n              (wild type and an AmpC stably derepressed mutant [MIC = 1 mg/liter]) were used. An HFIM inoculated with approximately 1 × 10\n              8\n              CFU/ml of bacteria was subjected to various meropenem exposures. Maintenance doses were given every 8 h to simulate the maximum concentration achieved after a 1-g dose in all regimens, but escalating unbound minimum concentrations (\n              C\n              mi\n              n\n              s) were simulated with different clearances. Serial samples were obtained over 5 days to quantify the meropenem concentrations, the total bacterial population, and subpopulations with reduced susceptibilities to meropenem (&gt;3× the MIC). For both strains, a significant bacterial burden reduction was seen with all regimens at 24 h. Regrowth was apparent after 3 days, with the\n              C\n              min\n              /MIC ratio being ≤1.7 (time above the MIC, 100%). Selective amplification of subpopulations with reduced susceptibilities to meropenem was suppressed with a\n              C\n              min\n              /MIC of ≥6.2 or by adding tobramycin to meropenem (\n              C\n              min\n              /MIC = 1.7). Investigations that were longer than 24 h and that used high inocula may be necessary to fully evaluate the relationship between drug exposures and the likelihood of resistance suppression. These results suggest that the\n              C\n              min\n              /MIC of meropenem can be optimized to suppress the emergence of non-plasmid-mediated\n              P. aeruginosa\n              resistance. Our in vitro data support the use of an extended duration of meropenem infusion for the treatment of severe nosocomial infections in combination with an aminoglycoside.","container-title":"Antimicrobial Agents and Chemotherapy","DOI":"10.1128/AAC.49.12.4920-4927.2005","ISSN":"0066-4804, 1098-6596","issue":"12","journalAbbreviation":"Antimicrob Agents Chemother","language":"en","page":"4920-4927","source":"DOI.org (Crossref)","title":"Optimization of Meropenem Minimum Concentration/MIC Ratio To Suppress In Vitro Resistance of &lt;i&gt;Pseudomonas aeruginosa&lt;/i&gt;","volume":"49","author":[{"family":"Tam","given":"Vincent H."},{"family":"Schilling","given":"Amy N."},{"family":"Neshat","given":"Shadi"},{"family":"Poole","given":"Keith"},{"family":"Melnick","given":"David A."},{"family":"Coyle","given":"Elizabeth A."}],"issued":{"date-parts":[["2005",12]]}}},{"id":8999,"uris":["http://zotero.org/users/11114586/items/5GA9FNR4"],"itemData":{"id":8999,"type":"article-journal","container-title":"Journal of Antimicrobial Chemotherapy","DOI":"10.1093/jac/dkm370","ISSN":"0305-7453, 1460-2091","issue":"6","journalAbbreviation":"Journal of Antimicrobial Chemotherapy","language":"en","page":"1302-1309","source":"DOI.org (Crossref)","title":"Mathematical modelling response of Pseudomonas aeruginosa to meropenem","volume":"60","author":[{"family":"Tam","given":"V. H."},{"family":"Schilling","given":"A. N."},{"family":"Poole","given":"K."},{"family":"Nikolaou","given":"M."}],"issued":{"date-parts":[["2007",10,3]]}}},{"id":9001,"uris":["http://zotero.org/users/11114586/items/I5WSXW4X"],"itemData":{"id":9001,"type":"article-journal","abstract":"Pseudomonas aeruginosa\n              bacteremia is an infection associated with a high mortality rate. Piperacillin-tazobactam is a β-lactam–β-lactamase inhibitor combination that is frequently used for the management of\n              Pseudomonas aeruginosa\n              infections. The pharmacokinetic-pharmacodynamic index associated with\n              in vitro\n              maximal bacterial killing for piperacillin-tazobactam is the percentage of the time between doses at which the free fraction concentration remains above the MIC (%\n              fT\n              &gt;MIC\n              ).\n            \n          , \n            ABSTRACT\n            \n              Pseudomonas aeruginosa\n              bacteremia is an infection associated with a high mortality rate. Piperacillin-tazobactam is a β-lactam–β-lactamase inhibitor combination that is frequently used for the management of\n              Pseudomonas aeruginosa\n              infections. The pharmacokinetic-pharmacodynamic index associated with\n              in vitro\n              maximal bacterial killing for piperacillin-tazobactam is the percentage of the time between doses at which the free fraction concentration remains above the MIC (%\n              fT\n              &gt;MIC\n              ). However, the precise %\n              fT\n              &gt;MIC\n              target associated with improved clinical outcomes is unknown. The aim of this study was to investigate the correlation between the survival of patients with\n              Pseudomonas aeruginosa\n              bacteremia and the threshold of the piperacillin-tazobactam %\n              fT\n              &gt;MIC\n              . This retrospective study included all adult patients hospitalized over an 82-month period with\n              Pseudomonas aeruginosa\n              bacteremia and treated with piperacillin-tazobactam. Patients with a polymicrobial infection or those who died within 72 h of the time of collection of a sample for culture were excluded. The %\n              fT\n              &gt;MIC\n              of piperacillin-tazobactam associated with in-hospital survival was derived using classification and regression tree analysis. After screening 270 patients, 78 were eligible for inclusion in the study; 18% died during hospitalization. Classification and regression tree analysis identified a %\n              fT\n              &gt;MIC\n              of &gt;60.68% to be associated with improved survival, and this remained statistically significant after controlling for clinical covariates (odds ratio = 7.74, 95% confidence interval = 1.32 to 45.2). In conclusion, the findings recommend dosing of piperacillin-tazobactam with the aim of achieving a pharmacodynamic target %\n              fT\n              &gt;MIC\n              of at least 60% in these patients.","container-title":"Antimicrobial Agents and Chemotherapy","DOI":"10.1128/AAC.02571-19","ISSN":"0066-4804, 1098-6596","issue":"8","journalAbbreviation":"Antimicrob Agents Chemother","language":"en","page":"e02571-19","source":"DOI.org (Crossref)","title":"Time above the MIC of Piperacillin-Tazobactam as a Predictor of Outcome in Pseudomonas aeruginosa Bacteremia","volume":"64","author":[{"family":"Tannous","given":"Elias"},{"family":"Lipman","given":"Shelly"},{"family":"Tonna","given":"Antonella"},{"family":"Hector","given":"Emma"},{"family":"Hussein","given":"Ziad"},{"family":"Stein","given":"Michal"},{"family":"Reisfeld","given":"Sharon"}],"issued":{"date-parts":[["2020",7,22]]}}},{"id":1179,"uris":["http://zotero.org/users/11114586/items/AQWVULD8"],"itemData":{"id":1179,"type":"article-journal","abstract":"The selection of bacterial resistance was examined in relationship to antibiotic pharmacokinetics (PK) and organism MICs in the patients from four nosocomial lower respiratory tract infection clinical trials. The evaluable database included 107 acutely ill patients, 128 pathogens, and five antimicrobial regimens. Antimicrobial pharmacokinetics were characterized by using serum concentrations, and culture and Sensitivity tests were performed daily on tracheal aspirates to examine resistance. Pharmacodynamic (PD) models were developed to identify factors associated with the probability of developing bacterial resistance. Overall, in 32 of 128 (25%) initially susceptible cases resistance developed during therapy. An initial univariate screen and a classification and regression tree analysis identified the ratio of the area under the concentration-time Curve from 0 to 24 h to the MIC (AUC0-24/MIC) as a significant predictor of the development of resistance (P &lt; 0.001). The final PK/PD model, a variant of the Hill equation, demonstrated that the probability of developing resistance during therapy increased significantly when antimicrobial exposure was at an AUC0-24/MIC ratio of less than 100. This relationship was observed across all treatments and within all organism groupings, with the exception of β-lactamase- producing gram-negative organisms (consistent with type I β-lactamase producers) treated with β-lactam monotherapy. Combination therapy resulted in much lower rates Of resistance than monotherapy, probably because all of the combination regimens examined had an AUC0-24/MIC ratio in excess of 100. In summary, the selection of antimicrobial resistance appears to be strongly associated with suboptimal antimicrobial exposure, defined as an AUC0-24/MIC ratio of less than 100.","container-title":"Antimicrobial Agents and Chemotherapy","DOI":"10.1128/AAC.42.3.521","ISSN":"00664804","issue":"3","note":"PMID: 9517926\npublisher: American Society for Microbiology (ASM)","page":"521","title":"Pharmacodynamic Evaluation of Factors Associated with the Development of Bacterial Resistance in Acutely  Ill Patients during Therapy","volume":"42","author":[{"family":"Thomas","given":"Jennifer K."},{"family":"Forrest","given":"Alan"},{"family":"Bhavnani","given":"Sujata M."},{"family":"Hyatt","given":"Judith M."},{"family":"Cheng","given":"Angela"},{"family":"Ballow","given":"Charles H."},{"family":"Schentag","given":"Jerome J."}],"issued":{"date-parts":[["1998"]]}}},{"id":9005,"uris":["http://zotero.org/users/11114586/items/GCZYQETM"],"itemData":{"id":9005,"type":"article-journal","abstract":"ABSTRACT\n            \n              Despite β-lactamase inhibitors being available for clinical use for nearly 30 years, a paucity of data exists describing the pharmacokinetic-pharmacodynamic (PK-PD) determinants of efficacy for these agents. Herein, we describe dose fractionation studies designed to determine the exposure measure most predictive of tazobactam efficacy in combination with ceftolozane and the magnitude of this measure necessary for efficacy in a PK-PD\n              in vitro\n              infection model. The challenge organism panel was comprised of an isogenic CTX-M-15-producing\n              Escherichia coli\n              triplet set, genetically engineered to transcribe different levels of\n              bla\n              CTX-M-15\n              . These recombinant strains exhibited ceftolozane MIC values of 4, 16, and 64 μg/ml representing low, moderate, and high levels of CTX-M-15, respectively. Different\n              bla\n              CTX-M-15\n              transcription levels were confirmed by relative quantitative real-time PCR (qRT-PCR) and β-lactamase hydrolytic assays. The exposure measure associated with efficacy was the percentage of the dosing interval that tazobactam concentrations remained above a threshold (%Time&gt;threshold), regardless of enzyme expression (\n              r\n              2\n              = 0.938). The threshold concentrations identified were 0.05 μg/ml for low and moderate and 0.25 μg/ml for the high-β-lactamase expression strain constructs. The magnitudes of %Time&gt;threshold for tazobactam associated with net bacterial stasis and a 1- and 2-log\n              10\n              CFU reduction in bacteria at 24 h were approximately 35, 50, and 70%, respectively. These data provide an initial target tazobactam concentration-time profile and a paradigm to optimize tazobactam dosing when combined with ceftolozane.","container-title":"Antimicrobial Agents and Chemotherapy","DOI":"10.1128/AAC.02513-12","ISSN":"0066-4804, 1098-6596","issue":"6","journalAbbreviation":"Antimicrob Agents Chemother","language":"en","page":"2809-2814","source":"DOI.org (Crossref)","title":"Pharmacokinetics-Pharmacodynamics of Tazobactam in Combination with Ceftolozane in an &lt;i&gt;In Vitro&lt;/i&gt; Infection Model","volume":"57","author":[{"family":"VanScoy","given":"Brian"},{"family":"Mendes","given":"Rodrigo E."},{"family":"Nicasio","given":"Anthony M."},{"family":"Castanheira","given":"Mariana"},{"family":"Bulik","given":"Catharine C."},{"family":"Okusanya","given":"Olanrewaju O."},{"family":"Bhavnani","given":"Sujata M."},{"family":"Forrest","given":"Alan"},{"family":"Jones","given":"Ronald N."},{"family":"Friedrich","given":"Lawrence V."},{"family":"Steenbergen","given":"Judith N."},{"family":"Ambrose","given":"Paul G."}],"issued":{"date-parts":[["2013",6]]}}},{"id":9007,"uris":["http://zotero.org/users/11114586/items/JDH9Y9TM"],"itemData":{"id":9007,"type":"article-journal","container-title":"The Journal of Infectious Diseases","DOI":"10.1093/infdis/158.4.831","ISSN":"1537-6613, 0022-1899","issue":"4","language":"en","page":"831-847","source":"DOI.org (Crossref)","title":"Correlation of Antimicrobial Pharmacokinetic Parameters with Therapeutic Efficacy in an Animal Model","volume":"158","author":[{"family":"Vogelman","given":"B."},{"family":"Gudmundsson","given":"S."},{"family":"Leggett","given":"J."},{"family":"Turnidge","given":"J."},{"family":"Ebert","given":"S."},{"family":"Craig","given":"W. A."}],"issued":{"date-parts":[["1988",10]]}}},{"id":9008,"uris":["http://zotero.org/users/11114586/items/4BYFRY4H"],"itemData":{"id":9008,"type":"article-journal","abstract":"MICs are commonly used to assess the in vitro activities of antimicrobial agents; however, they provide minimal information on the pattern of bacterial activities. Time-kill studies with extensive sampling allow assessment of both the rate and extent of bacterial killing and regrowth. We compared imipenem and meropenem by both MIC-MBC testing and a time-kill study with P. aeruginosa 27853. In the time-kill study, concentration/MIC ratios ranging from 0.0625 to 32 times the MIC were studied. The kill rate, time to 99.9% kill, doubling time of regrowth, and area under the bacterial killing curve (AUKC) were evaluated. Degradation during the testing procedure was accounted for by assessing actual drug exposure as determined by the area under the concentration-time curve. Pharmacodynamic parameters were compared by using the Wilcoxon signed-rank test. The modal MIC and MBC for imipenem were 2 and 4 micrograms/ml, respectively, and those for meropenem were 0.25 and 0.5 microgram/ml, respectively. In the time-kill study, both agents displayed concentration-dependent activity over a range of 0.25 to 4 times the MIC. Initial killing (0 to 1 h) was faster with imipenem at the same concentration/MIC ratios (P = 0.0506). The time to 99.9% kill was approximately 5 h for both agents. When regrowth occurred, the doubling rate for imipenem, which was the same as that for the growth control, was twice as rapid as that for meropenem. At the same concentrations, the AUKCs over 24 h were lower for meropenem than for imipenem (P = 0.0280); however, when normalized by MIC, imipenem resulted in smaller AUKCs. Comparison of plots of area under the concentration-time curve versus AUKC, which accounted for drug degradation and actual drug exposure, revealed that meropenem was three times more active than imipenem, rather than the eightfold difference suggested by MICs. Time-kill curves with extensive sampling and measurement of actual drug exposure, rather than traditional MIC testing, may more accurately assess differences in the in vitro activities of antimicrobial agents.","container-title":"Antimicrobial Agents and Chemotherapy","DOI":"10.1128/AAC.40.4.904","ISSN":"0066-4804, 1098-6596","issue":"4","journalAbbreviation":"Antimicrob Agents Chemother","language":"en","page":"904-908","source":"DOI.org (Crossref)","title":"Comparative in vitro pharmacodynamics of imipenem and meropenem against Pseudomonas aeruginosa","volume":"40","author":[{"family":"White","given":"R"},{"family":"Friedrich","given":"L"},{"family":"Burgess","given":"D"},{"family":"Warkentin","given":"D"},{"family":"Bosso","given":"J"}],"issued":{"date-parts":[["1996",4]]}}},{"id":6382,"uris":["http://zotero.org/users/11114586/items/L2RPABJ5"],"itemData":{"id":6382,"type":"article-journal","abstract":"Objectives: To determine the β-lactam exposure associated with positive clinical outcomes for Gram-negative blood stream infection (BSI) in critically ill patients. Patients and methods: Pooled data of critically ill patients with mono-microbial Gram-negative BSI treated with β-lactams were collected from two databases. Free minimum concentrations (fCmin) of aztreonam, cefepime, ceftazidime, ceftriaxone, piperacillin (co-administered with tazobactam) and meropenem were interpreted in relation to the measured MIC for targeted bacteria (fCmin/MIC). A positive clinical outcome was defined as completion of the treatment course or de-escalation, without other change of antibiotic therapy, and with no additional antibiotics commenced within 48 h of cessation. Drug exposure breakpoints associated with positive clinical outcome were determined by classification and regression tree (CART) analysis. Results: Data from 98 patients were included. Meropenem (46.9%) and piperacillin/tazobactam (36.7%) were the most commonly prescribed antibiotics. The most common pathogens were Escherichia coli (28.6%), Pseudomonas aeruginosa (19.4%) and Klebsiella pneumoniae (13.3%). In all patients, 87.8% and 71.4% achieved fCmin/MIC ≥1 and fCmin/MIC &gt;5, respectively. Seventy-eight patients (79.6%) achieved positive clinical outcome. Two drug exposure breakpoints were identified: fCmin/MIC &gt;1.3 for all β-lactams (predicted difference in positive outcome 84.5% versus 15.5%, P &lt; 0.05) and fCmin/MIC &gt;4.95 for meropenem, aztreonam or ceftriaxone (predicted difference in positive outcome 97.7% versus 2.3%, P &lt; 0.05). Conclusions: A β-lactam fCmin/MIC &gt;1.3 was a significant predictor of a positive clinical outcome in critically ill patients with Gram-negative BSI and could be considered an antibiotic dosing target. © 2019 The Author(s) 2019. Published by Oxford University Press on behalf of the British Society for Antimicrobial Chemotherapy. All rights reserved. For permissions, please email: journals.permissions@oup.com.","container-title":"Journal of Antimicrobial Chemotherapy","DOI":"10.1093/jac/dkz437","ISSN":"03057453 (ISSN)","issue":"2","language":"English","note":"publisher-place: [\"UQ Centre for Clinical Research, University of Queensland, Brisbane, QLD, Australia\", \"Royal Brisbane and Women's Hospital, Brisbane, QLD, Australia\", \"Department of Intensive Care, Erasme Hospital, Université Libre de Bruxelles, Brussels, Belgium\", \"Department of Pharmacy, Northwestern Memorial Hospital, Chicago, IL, United States\", \"Department of Pharmacy Practice and Pharmacometrics Center of Excellence, Midwestern University, Chicago College of Pharmacy, Downers Grove, IL, United States\", \"Department of Pharmacology, College of Graduate Studies, Midwestern University, Downers Grove, IL, United States\", \"Chemical Pathology, Pathology Queensland, Brisbane, QLD, Australia\", \"Department of Pharmacy and Department of Infectious Diseases, University Hospital San Cecilio, Granada, Spain\", \"Faculty of Medicine, University of Queensland, Brisbane, QLD, Australia\", \"Division of Anaesthesiology Critical Care Emergency and Pain Medicine, Nîmes University Hospital, University of Montpellier, Nîmes, France\", \"Centre for Translational Anti-infective Pharmacodynamics, School of Pharmacy, University of Queensland, Brisbane, QLD, Australia\"]\npublisher: Oxford University Press","page":"429-433","title":"Lactam pharmacodynamics in Gram-negative bloodstream infections in the critically ill","volume":"75","author":[{"family":"Wong","given":"G."},{"family":"Taccone","given":"F."},{"family":"Villois","given":"P."},{"family":"Scheetz","given":"M.H."},{"family":"Rhodes","given":"N.J."},{"family":"Briscoe","given":"S."},{"family":"McWhinney","given":"B."},{"family":"Nunez-Nunez","given":"M."},{"family":"Ungerer","given":"J."},{"family":"Lipman","given":"J."},{"family":"Roberts","given":"J.A."}],"issued":{"date-parts":[["2020"]]}}},{"id":9012,"uris":["http://zotero.org/users/11114586/items/99PHRN7Z"],"itemData":{"id":9012,"type":"article-journal","abstract":"ABSTRACT\n            \n              The purpose of the present investigation was to determine if the efficacy of amoxicillin-clavulanate against penicillin-resistant\n              Streptococcus pneumoniae\n              could be improved by increasing the pediatric amoxicillin unit dose (90 versus 45 mg/kg of body weight/day) while maintaining the clavulanate unit dose at 6.4 mg/kg/day. A rat pneumonia model was used. In that model approximately 6 log\n              10\n              CFU of one of four strains of\n              S. pneumoniae\n              (amoxicillin MICs, 2 μg/ml [one strain], 4 μg/ml [two strains], and 8 μg/ml [one strain]) were instilled into the bronchi of rats. Amoxicillin-clavulanate was given by computer-controlled intravenous infusion to approximate the concentrations achieved in the plasma of children following the administration of oral doses of 45/6.4 mg/kg/day or 90/6.4 mg/kg/g/day divided every 12 h or saline as a control for a total of 3 days. Infusions continued for 3 days, and 2 h after the cessation of infusion, bacterial numbers in the lungs were significantly reduced by the 90/6.4-mg/kg/day equivalent dosage for strains for which amoxicillin MICs were 2 or 4 μg/ml. The 45/6.4-mg/kg/day equivalent dosage was fully effective only against the strain for which the amoxicillin MIC was 2 μg/ml and had marginal efficacy against one of the two strains for which amoxicillin MICs were 4 μg/ml. The bacterial load for the strain for which the amoxicillin MIC was 8 μg/ml was not reduced with either dosage. These data demonstrate that regimens which achieved concentrations in plasma above the MIC for at least 34% of a 24-h dosing period resulted in significant reductions in the number of viable bacteria, indicating that the efficacy of amoxicillin-clavulanate can be extended to include efficacy against less susceptible strains of\n              S. pneumoniae\n              by increasing the amoxicillin dose.","container-title":"Antimicrobial Agents and Chemotherapy","DOI":"10.1128/AAC.43.1.35","ISSN":"0066-4804, 1098-6596","issue":"1","journalAbbreviation":"Antimicrob Agents Chemother","language":"en","page":"35-40","source":"DOI.org (Crossref)","title":"Efficacy of High-Dose Amoxicillin-Clavulanate against Experimental Respiratory Tract Infections Caused by Strains of &lt;i&gt;Streptococcus pneumoniae&lt;/i&gt;","volume":"43","author":[{"family":"Woodnutt","given":"Gary"},{"family":"Berry","given":"Valerie"}],"issued":{"date-parts":[["1999",1]]}}},{"id":9014,"uris":["http://zotero.org/users/11114586/items/TQVZ6SXX"],"itemData":{"id":9014,"type":"article-journal","abstract":"ABSTRACT\n            \n              Two models of respiratory tract infection were used to investigate the pharmacodynamics of amoxicillin-clavulanate against\n              Streptococcus pneumoniae\n              . Eight strains of\n              S. pneumoniae\n              were used in a mouse model in which the animals were infected intranasally and were then treated with a range of doses and dose intervals. The time that the plasma amoxicillin concentration remained above the MIC (\n              T\n              &gt;MIC) correlated well with bacterial killing, such that if\n              T\n              &gt;MIC was below 20% there was no effect on bacterial numbers in the lungs. As\n              T\n              &gt;MIC increased, the response, in terms of decreased bacterial load, improved and at\n              T\n              &gt;MICs of greater than 35 to 40% of the dosing interval, bacteriological cure was maximal. On the basis of equivalent\n              T\n              &gt;MICs, these data would suggest that in humans a dosage of 500 mg three times daily (t.i.d.) should have efficacy equal to that of a dosage of 875 mg twice daily (b.i.d.). This hypothesis was evaluated in a rat model in which amoxicillin-clavulanate was given by computer-controlled intravenous infusion to achieve concentrations that approximate the concentrations achieved in the plasma of humans following oral administration of 500/125 mg t.i.d. or 875/125 mg b.i.d. Infusions continued for 3 days and bacterial numbers in the lungs 2 h after the cessation of the infusion were significantly reduced (\n              P\n              &lt; 0.01) by both treatments in strains of\n              S. pneumoniae\n              for which amoxicillin MICs were below 2 μg/ml. When tested against a strain of\n              S. pneumoniae\n              for which the amoxicillin MIC was 4 μg/ml, the simulated 500/125-mg dose was ineffective but the 875/125-mg dose demonstrated a small but significant (\n              P\n              &lt; 0.01) reduction in bacterial numbers. These data confirm the findings in the mouse and indicate that amoxicillin-clavulanate administered at 875/125 mg b.i.d. would be as effective clinically as amoxicillin-clavulanate administered at 500/125 mg t.i.d.","container-title":"Antimicrobial Agents and Chemotherapy","DOI":"10.1128/AAC.43.1.29","ISSN":"0066-4804, 1098-6596","issue":"1","journalAbbreviation":"Antimicrob Agents Chemother","language":"en","page":"29-34","source":"DOI.org (Crossref)","title":"Two Pharmacodynamic Models for Assessing the Efficacy of Amoxicillin-Clavulanate against Experimental Respiratory Tract Infections Caused by Strains of &lt;i&gt;Streptococcus pneumoniae&lt;/i&gt;","volume":"43","author":[{"family":"Woodnutt","given":"Gary"},{"family":"Berry","given":"Valerie"}],"issued":{"date-parts":[["1999",1]]}}},{"id":9016,"uris":["http://zotero.org/users/11114586/items/5PW536IQ"],"itemData":{"id":9016,"type":"article-journal","abstract":"ABSTRACT\n            \n              The objective of this study was to determine the susceptibility breakpoint of a new carbapenem, ertapenem (MK-0826), against\n              Streptococcus pneumoniae\n              strains based on bacterial density and survival studies in a murine thigh infection model. Sixteen\n              S. pneumoniae\n              isolates for which MICs ranged from 0.015 to 4.0 mg/liter were tested with neutropenic ICR mice. Animals were infected with bacteria at 10\n              5\n              to 10\n              6\n              CFU per thigh and were treated with ertapenem starting at 2 h postinfection for 4 days. Ertapenem was given subcutaneously at 50 mg/kg of body weight every 6 h, which simulates the human pharmacodynamic profile (in particular, the duration of time that the concentration of free drug remains above the MIC of 2 mg/liter). At 0 and 24 h postinfection, thighs were harvested for bacterial density determination. Survival was assessed during 4 days of therapy and 3 days after the therapy. A protein binding study was conducted with mice by use of the ultrafiltration method. Protein binding in mice was approximately 95%, which is comparable to that in humans. The average change in bacterial density ranged from −0.22 to −4.4 log CFU per thigh over 24 h compared to 0-h controls. The extent of microbial eradication was dependent on the MIC for the\n              S. pneumoniae\n              isolate. Substantial bactericidal activities (i.e., killing of approximately 2 log CFU per thigh) were consistently observed against isolates for which MICs were ≤2 mg/liter, which also resulted in nearly 100% survival during the 4 days of drug dosing and 3 days after the therapy. Less-pronounced and highly variable bactericidal activities were detected against isolates for which the MIC was 4 mg/liter. Substantial enhancement in bactericidal activity was observed for CBA/J mice and is attributed to the contribution of the host defenses in the immunocompetent species. Assessment of the effectiveness of ertapenem by bacterial-density reduction over 24 h and by survival over 4 days of therapy in the murine thigh infection model reveals that the drug maintains maximal efficacy against\n              S. pneumoniae\n              isolates for which the MIC of this agent is ≤2 mg/liter.","container-title":"Antimicrobial Agents and Chemotherapy","DOI":"10.1128/AAC.46.9.2990-2995.2002","ISSN":"0066-4804, 1098-6596","issue":"9","journalAbbreviation":"Antimicrob Agents Chemother","language":"en","page":"2990-2995","source":"DOI.org (Crossref)","title":"Pharmacodynamic Assessment of Ertapenem (MK-0826) against &lt;i&gt;Streptococcus&lt;/i&gt; &lt;i&gt;pneumoniae&lt;/i&gt; in a Murine Neutropenic Thigh Infection Model","volume":"46","author":[{"family":"Xuan","given":"Dawei"},{"family":"Banevicius","given":"Maryanne"},{"family":"Capitano","given":"Blair"},{"family":"Kim","given":"Myo-Kyoung"},{"family":"Nightingale","given":"Charles"},{"family":"Nicolau","given":"David"}],"issued":{"date-parts":[["2002",9]]}}},{"id":791,"uris":["http://zotero.org/users/11114586/items/Y59ARCJS"],"itemData":{"id":791,"type":"article-journal","abstract":"Given the inconsistent clinical findings, our goal was to characterize the pharmacodynamics (PDs) of prolonged-infusion piperacillin-tazobactam (TZP) in an in vitro pharmacodynamic model of Pseudomonas aeruginosa. Specifically, the study was designed to investigate the influence of MIC on the activity of prolonged-infusion TZP using pharmacokinetics (PKs) consistent with a non-critically ill patient population. There was no benefit with prolonged- compared with standard-infusion TZP against isolates with susceptible MICs of 8 or 16 mg/L. However, prolonged-infusion TZP produced more than two times the final bacterial kill against less susceptible isolates with an intermediate MIC of 32 mg/L. The PDs of TZP were well described by a sigmoid Emax model (r(2) = 0.84) where %fT&gt;MIC thresholds of 27 and 75% were associated with bacteriostatic and bactericidal effects, respectively. However, the well-established PD relationship with %fT&gt;MIC was not observed with prolonged-infusion TZP. In conclusion, this study characterizes the targeted benefits of prolong-infusion TZP based on pathogen MIC, and supports the assertion that the benefits are selective and most likely observed in patients with less susceptible pathogens or altered PKs.","container-title":"Journal of chemotherapy (Florence, Italy)","DOI":"https://dx.doi.org/10.1080/1120009X.2016.1140858","ISSN":"1973-9478","issue":"5","note":"publisher-place: England","page":"390-394","title":"Targeted benefits of prolonged-infusion piperacillin-tazobactam in an in vitro infection model of Pseudomonas aeruginosa.","volume":"28","author":[{"family":"Zelenitsky","given":"S"},{"family":"Nash","given":"J"},{"family":"Weber","given":"Z"},{"family":"Iacovides","given":"H"},{"family":"Ariano","given":"R"}],"issued":{"date-parts":[["2016"]]}}},{"id":9019,"uris":["http://zotero.org/users/11114586/items/H65TAC4C"],"itemData":{"id":9019,"type":"article-journal","container-title":"Drugs &amp; Aging","DOI":"10.2165/11595960-000000000-00000","ISSN":"1170-229X","issue":"11","journalAbbreviation":"Drugs &amp; Aging","language":"en","page":"903-912","source":"DOI.org (Crossref)","title":"Pharmacokinetics and Pharmacodynamics of Meropenem in Elderly Chinese with Lower Respiratory Tract Infections: Population Pharmacokinetics Analysis Using Nonlinear Mixed-Effects Modelling and Clinical Pharmacodynamics Study","title-short":"Pharmacokinetics and Pharmacodynamics of Meropenem in Elderly Chinese with Lower Respiratory Tract Infections","volume":"28","author":[{"family":"Zhou","given":"Qt"},{"family":"He","given":"Bei"},{"family":"Zhang","given":"Chao"},{"family":"Zhai","given":"Sd"},{"family":"Liu","given":"Zy"},{"family":"Zhang","given":"Jie"}],"issued":{"date-parts":[["2011",11]]}}},{"id":9020,"uris":["http://zotero.org/users/11114586/items/IL4JM6ZL"],"itemData":{"id":9020,"type":"article-journal","container-title":"Journal of Antimicrobial Chemotherapy","DOI":"10.1093/jac/dks463","ISSN":"0305-7453, 1460-2091","issue":"4","journalAbbreviation":"Journal of Antimicrobial Chemotherapy","language":"en","page":"881-887","source":"DOI.org (Crossref)","title":"Concentration-resistance relationships with Pseudomonas aeruginosa exposed to doripenem and ciprofloxacin in an in vitro model","volume":"68","author":[{"family":"Zinner","given":"S. H."},{"family":"Gilbert","given":"D."},{"family":"Greer","given":"K."},{"family":"Portnoy","given":"Y. A."},{"family":"Firsov","given":"A. A."}],"issued":{"date-parts":[["2013",4,1]]}}}],"schema":"https://github.com/citation-style-language/schema/raw/master/csl-citation.json"} </w:instrText>
      </w:r>
      <w:r w:rsidR="0033320D">
        <w:rPr>
          <w:rFonts w:eastAsia="Arial" w:cs="Arial"/>
          <w:sz w:val="24"/>
          <w:szCs w:val="24"/>
        </w:rPr>
        <w:fldChar w:fldCharType="separate"/>
      </w:r>
      <w:r w:rsidR="00F561F3" w:rsidRPr="00F561F3">
        <w:rPr>
          <w:rFonts w:cs="Arial"/>
          <w:sz w:val="24"/>
        </w:rPr>
        <w:t>(52–131)</w:t>
      </w:r>
      <w:r w:rsidR="0033320D">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The most frequently cited article within the network was cited </w:t>
      </w:r>
      <w:r w:rsidRPr="00D678CF">
        <w:rPr>
          <w:rFonts w:eastAsia="Arial" w:cs="Arial"/>
          <w:sz w:val="24"/>
          <w:szCs w:val="24"/>
        </w:rPr>
        <w:lastRenderedPageBreak/>
        <w:t>82 times, and cited a target magnitude from another article</w:t>
      </w:r>
      <w:r w:rsidR="00A0585F">
        <w:rPr>
          <w:rFonts w:eastAsia="Arial" w:cs="Arial"/>
          <w:sz w:val="24"/>
          <w:szCs w:val="24"/>
        </w:rPr>
        <w:t xml:space="preserve"> </w:t>
      </w:r>
      <w:r w:rsidR="00D45C98">
        <w:rPr>
          <w:rFonts w:eastAsia="Arial" w:cs="Arial"/>
          <w:sz w:val="24"/>
          <w:szCs w:val="24"/>
        </w:rPr>
        <w:fldChar w:fldCharType="begin"/>
      </w:r>
      <w:r w:rsidR="00F561F3">
        <w:rPr>
          <w:rFonts w:eastAsia="Arial" w:cs="Arial"/>
          <w:sz w:val="24"/>
          <w:szCs w:val="24"/>
        </w:rPr>
        <w:instrText xml:space="preserve"> ADDIN ZOTERO_ITEM CSL_CITATION {"citationID":"MdH6bjo8","properties":{"formattedCitation":"(132)","plainCitation":"(132)","noteIndex":0},"citationItems":[{"id":5247,"uris":["http://zotero.org/users/11114586/items/WQUV34J7"],"itemData":{"id":5247,"type":"article-journal","container-title":"Clinical Infectious Diseases","DOI":"10.1086/516284","ISSN":"1058-4838, 1537-6591","issue":"1","journalAbbreviation":"CLIN INFECT DIS","language":"en","page":"1-10","source":"DOI.org (Crossref)","title":"Pharmacokinetic/Pharmacodynamic Parameters: Rationale for Antibacterial Dosing of Mice and Men","title-short":"State</w:instrText>
      </w:r>
      <w:r w:rsidR="00F561F3">
        <w:rPr>
          <w:rFonts w:ascii="Cambria Math" w:eastAsia="Arial" w:hAnsi="Cambria Math" w:cs="Cambria Math"/>
          <w:sz w:val="24"/>
          <w:szCs w:val="24"/>
        </w:rPr>
        <w:instrText>‐</w:instrText>
      </w:r>
      <w:r w:rsidR="00F561F3">
        <w:rPr>
          <w:rFonts w:eastAsia="Arial" w:cs="Arial"/>
          <w:sz w:val="24"/>
          <w:szCs w:val="24"/>
        </w:rPr>
        <w:instrText>of</w:instrText>
      </w:r>
      <w:r w:rsidR="00F561F3">
        <w:rPr>
          <w:rFonts w:ascii="Cambria Math" w:eastAsia="Arial" w:hAnsi="Cambria Math" w:cs="Cambria Math"/>
          <w:sz w:val="24"/>
          <w:szCs w:val="24"/>
        </w:rPr>
        <w:instrText>‐</w:instrText>
      </w:r>
      <w:r w:rsidR="00F561F3">
        <w:rPr>
          <w:rFonts w:eastAsia="Arial" w:cs="Arial"/>
          <w:sz w:val="24"/>
          <w:szCs w:val="24"/>
        </w:rPr>
        <w:instrText>the</w:instrText>
      </w:r>
      <w:r w:rsidR="00F561F3">
        <w:rPr>
          <w:rFonts w:ascii="Cambria Math" w:eastAsia="Arial" w:hAnsi="Cambria Math" w:cs="Cambria Math"/>
          <w:sz w:val="24"/>
          <w:szCs w:val="24"/>
        </w:rPr>
        <w:instrText>‐</w:instrText>
      </w:r>
      <w:r w:rsidR="00F561F3">
        <w:rPr>
          <w:rFonts w:eastAsia="Arial" w:cs="Arial"/>
          <w:sz w:val="24"/>
          <w:szCs w:val="24"/>
        </w:rPr>
        <w:instrText xml:space="preserve">Art Clinical Article","volume":"26","author":[{"family":"Craig","given":"William A."}],"issued":{"date-parts":[["1998",1]]}}}],"schema":"https://github.com/citation-style-language/schema/raw/master/csl-citation.json"} </w:instrText>
      </w:r>
      <w:r w:rsidR="00D45C98">
        <w:rPr>
          <w:rFonts w:eastAsia="Arial" w:cs="Arial"/>
          <w:sz w:val="24"/>
          <w:szCs w:val="24"/>
        </w:rPr>
        <w:fldChar w:fldCharType="separate"/>
      </w:r>
      <w:r w:rsidR="00F561F3">
        <w:rPr>
          <w:rFonts w:cs="Arial"/>
          <w:sz w:val="24"/>
        </w:rPr>
        <w:t>(132)</w:t>
      </w:r>
      <w:r w:rsidR="00D45C98">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Of the 25 most cited articles, nine (36%) did not define a target magnitude. </w:t>
      </w:r>
    </w:p>
    <w:p w14:paraId="3B2DFC3C" w14:textId="3913C7F4" w:rsidR="000B3610" w:rsidRDefault="000B3610" w:rsidP="00D678CF">
      <w:pPr>
        <w:spacing w:line="480" w:lineRule="auto"/>
        <w:jc w:val="both"/>
        <w:rPr>
          <w:rFonts w:eastAsia="Arial" w:cs="Arial"/>
        </w:rPr>
      </w:pPr>
    </w:p>
    <w:p w14:paraId="6E325EB0" w14:textId="5B5578CF" w:rsidR="000B3610" w:rsidRPr="006E5117" w:rsidRDefault="000B3610" w:rsidP="00D678CF">
      <w:pPr>
        <w:spacing w:line="480" w:lineRule="auto"/>
        <w:jc w:val="both"/>
        <w:rPr>
          <w:rFonts w:eastAsia="Arial" w:cs="Arial"/>
          <w:i/>
          <w:iCs/>
          <w:sz w:val="24"/>
          <w:szCs w:val="24"/>
        </w:rPr>
      </w:pPr>
      <w:r w:rsidRPr="006E5117">
        <w:rPr>
          <w:rFonts w:eastAsia="Arial" w:cs="Arial"/>
          <w:b/>
          <w:bCs/>
          <w:i/>
          <w:iCs/>
          <w:sz w:val="24"/>
          <w:szCs w:val="24"/>
        </w:rPr>
        <w:t xml:space="preserve">Figure </w:t>
      </w:r>
      <w:r w:rsidR="009C7A37" w:rsidRPr="006E5117">
        <w:rPr>
          <w:rFonts w:eastAsia="Arial" w:cs="Arial"/>
          <w:b/>
          <w:bCs/>
          <w:i/>
          <w:iCs/>
          <w:sz w:val="24"/>
          <w:szCs w:val="24"/>
        </w:rPr>
        <w:t>5</w:t>
      </w:r>
      <w:r w:rsidRPr="006E5117">
        <w:rPr>
          <w:rFonts w:eastAsia="Arial" w:cs="Arial"/>
          <w:b/>
          <w:bCs/>
          <w:i/>
          <w:iCs/>
          <w:sz w:val="24"/>
          <w:szCs w:val="24"/>
        </w:rPr>
        <w:t>.</w:t>
      </w:r>
      <w:r w:rsidRPr="006E5117">
        <w:rPr>
          <w:rFonts w:eastAsia="Arial" w:cs="Arial"/>
          <w:i/>
          <w:iCs/>
          <w:sz w:val="24"/>
          <w:szCs w:val="24"/>
        </w:rPr>
        <w:t xml:space="preserve"> Graphic representation of the network of citation links between literature articles specifying a PK-PD target magnitude for </w:t>
      </w:r>
      <w:r w:rsidR="005202BB" w:rsidRPr="006E5117">
        <w:rPr>
          <w:rFonts w:eastAsia="Arial" w:cs="Arial"/>
          <w:i/>
          <w:iCs/>
          <w:sz w:val="24"/>
          <w:szCs w:val="24"/>
        </w:rPr>
        <w:t xml:space="preserve">ß-lactam </w:t>
      </w:r>
      <w:r w:rsidRPr="006E5117">
        <w:rPr>
          <w:rFonts w:eastAsia="Arial" w:cs="Arial"/>
          <w:i/>
          <w:iCs/>
          <w:sz w:val="24"/>
          <w:szCs w:val="24"/>
        </w:rPr>
        <w:t>antibiotics derived from an original corpus of ten articles published 2022/2023 (</w:t>
      </w:r>
      <w:r w:rsidR="00124CCD">
        <w:rPr>
          <w:rFonts w:eastAsia="Arial" w:cs="Arial"/>
          <w:i/>
          <w:iCs/>
          <w:sz w:val="24"/>
          <w:szCs w:val="24"/>
        </w:rPr>
        <w:t>Table</w:t>
      </w:r>
      <w:r w:rsidRPr="006E5117">
        <w:rPr>
          <w:rFonts w:eastAsia="Arial" w:cs="Arial"/>
          <w:i/>
          <w:iCs/>
          <w:sz w:val="24"/>
          <w:szCs w:val="24"/>
        </w:rPr>
        <w:t xml:space="preserve"> </w:t>
      </w:r>
      <w:r w:rsidR="00124CCD">
        <w:rPr>
          <w:rFonts w:eastAsia="Arial" w:cs="Arial"/>
          <w:i/>
          <w:iCs/>
          <w:sz w:val="24"/>
          <w:szCs w:val="24"/>
        </w:rPr>
        <w:t>S</w:t>
      </w:r>
      <w:r w:rsidRPr="006E5117">
        <w:rPr>
          <w:rFonts w:eastAsia="Arial" w:cs="Arial"/>
          <w:i/>
          <w:iCs/>
          <w:sz w:val="24"/>
          <w:szCs w:val="24"/>
        </w:rPr>
        <w:t>4). Yellow labelled nodes (n=10) represent the original corpus. Red nodes (n=80) represent articles which define a target in vitro, in vivo or from clinical studies. Blue nodes (n=477) represent studies citing target(s) from preceding literature evidence. The 25 most cited nodes (cited 10-82 times within the network) are labelled in white (</w:t>
      </w:r>
      <w:r w:rsidR="00124CCD">
        <w:rPr>
          <w:rFonts w:eastAsia="Arial" w:cs="Arial"/>
          <w:i/>
          <w:iCs/>
          <w:sz w:val="24"/>
          <w:szCs w:val="24"/>
        </w:rPr>
        <w:t>Table</w:t>
      </w:r>
      <w:r w:rsidRPr="006E5117">
        <w:rPr>
          <w:rFonts w:eastAsia="Arial" w:cs="Arial"/>
          <w:i/>
          <w:iCs/>
          <w:sz w:val="24"/>
          <w:szCs w:val="24"/>
        </w:rPr>
        <w:t xml:space="preserve"> </w:t>
      </w:r>
      <w:r w:rsidR="00124CCD">
        <w:rPr>
          <w:rFonts w:eastAsia="Arial" w:cs="Arial"/>
          <w:i/>
          <w:iCs/>
          <w:sz w:val="24"/>
          <w:szCs w:val="24"/>
        </w:rPr>
        <w:t>S</w:t>
      </w:r>
      <w:r w:rsidRPr="006E5117">
        <w:rPr>
          <w:rFonts w:eastAsia="Arial" w:cs="Arial"/>
          <w:i/>
          <w:iCs/>
          <w:sz w:val="24"/>
          <w:szCs w:val="24"/>
        </w:rPr>
        <w:t xml:space="preserve">5). </w:t>
      </w:r>
    </w:p>
    <w:p w14:paraId="1D677E6D" w14:textId="77777777" w:rsidR="000B3610" w:rsidRDefault="000B3610" w:rsidP="00D678CF">
      <w:pPr>
        <w:spacing w:line="480" w:lineRule="auto"/>
        <w:jc w:val="both"/>
        <w:rPr>
          <w:rFonts w:eastAsia="Arial" w:cs="Arial"/>
        </w:rPr>
      </w:pPr>
    </w:p>
    <w:p w14:paraId="2669D213" w14:textId="40FD7681" w:rsidR="000B3610" w:rsidRPr="00D678CF" w:rsidRDefault="000B3610" w:rsidP="00D678CF">
      <w:pPr>
        <w:spacing w:line="480" w:lineRule="auto"/>
        <w:jc w:val="both"/>
        <w:rPr>
          <w:rFonts w:eastAsia="Arial" w:cs="Arial"/>
          <w:sz w:val="24"/>
          <w:szCs w:val="24"/>
        </w:rPr>
      </w:pPr>
      <w:r w:rsidRPr="00D678CF">
        <w:rPr>
          <w:rFonts w:eastAsia="Arial" w:cs="Arial"/>
          <w:sz w:val="24"/>
          <w:szCs w:val="24"/>
        </w:rPr>
        <w:t xml:space="preserve">From the 80 studies defining a target magnitude (Table 2), only 10 ((12.5%) were conducted using an oral PHC </w:t>
      </w:r>
      <w:proofErr w:type="spellStart"/>
      <w:r w:rsidRPr="00D678CF">
        <w:rPr>
          <w:rFonts w:eastAsia="Arial" w:cs="Arial"/>
          <w:sz w:val="24"/>
          <w:szCs w:val="24"/>
        </w:rPr>
        <w:t>AWaRe</w:t>
      </w:r>
      <w:proofErr w:type="spellEnd"/>
      <w:r w:rsidRPr="00D678CF">
        <w:rPr>
          <w:rFonts w:eastAsia="Arial" w:cs="Arial"/>
          <w:sz w:val="24"/>
          <w:szCs w:val="24"/>
        </w:rPr>
        <w:t xml:space="preserve"> agent (e.g., amoxicillin, co-amoxiclav) with the vast majority using an </w:t>
      </w:r>
      <w:proofErr w:type="spellStart"/>
      <w:r w:rsidR="00A0585F">
        <w:rPr>
          <w:rFonts w:eastAsia="Arial" w:cs="Arial"/>
          <w:sz w:val="24"/>
          <w:szCs w:val="24"/>
        </w:rPr>
        <w:t>i.v.</w:t>
      </w:r>
      <w:proofErr w:type="spellEnd"/>
      <w:r w:rsidR="00A0585F" w:rsidRPr="00D678CF">
        <w:rPr>
          <w:rFonts w:eastAsia="Arial" w:cs="Arial"/>
          <w:sz w:val="24"/>
          <w:szCs w:val="24"/>
        </w:rPr>
        <w:t xml:space="preserve"> </w:t>
      </w:r>
      <w:r w:rsidRPr="00D678CF">
        <w:rPr>
          <w:rFonts w:eastAsia="Arial" w:cs="Arial"/>
          <w:sz w:val="24"/>
          <w:szCs w:val="24"/>
        </w:rPr>
        <w:t xml:space="preserve">administered </w:t>
      </w:r>
      <w:r w:rsidR="005202BB" w:rsidRPr="00D678CF">
        <w:rPr>
          <w:rFonts w:eastAsia="Arial" w:cs="Arial"/>
          <w:sz w:val="24"/>
          <w:szCs w:val="24"/>
        </w:rPr>
        <w:t>ß-lactam</w:t>
      </w:r>
      <w:r w:rsidRPr="00D678CF">
        <w:rPr>
          <w:rFonts w:eastAsia="Arial" w:cs="Arial"/>
          <w:sz w:val="24"/>
          <w:szCs w:val="24"/>
        </w:rPr>
        <w:t xml:space="preserve">. A total of 34 articles included an </w:t>
      </w:r>
      <w:r w:rsidRPr="00D678CF">
        <w:rPr>
          <w:rFonts w:eastAsia="Arial" w:cs="Arial"/>
          <w:i/>
          <w:iCs/>
          <w:sz w:val="24"/>
          <w:szCs w:val="24"/>
        </w:rPr>
        <w:t>in vitro</w:t>
      </w:r>
      <w:r w:rsidRPr="00D678CF">
        <w:rPr>
          <w:rFonts w:eastAsia="Arial" w:cs="Arial"/>
          <w:sz w:val="24"/>
          <w:szCs w:val="24"/>
        </w:rPr>
        <w:t xml:space="preserve"> component, 35 included an animal model, and 23 were conducted using clinical data.  26/35 (74.3%) of animal studies were conducted only in murine thigh or lung models. </w:t>
      </w:r>
    </w:p>
    <w:p w14:paraId="44ACD867" w14:textId="77777777" w:rsidR="000B3610" w:rsidRPr="00D678CF" w:rsidRDefault="000B3610" w:rsidP="00D678CF">
      <w:pPr>
        <w:spacing w:line="480" w:lineRule="auto"/>
        <w:jc w:val="both"/>
        <w:rPr>
          <w:rFonts w:eastAsia="Arial" w:cs="Arial"/>
          <w:sz w:val="24"/>
          <w:szCs w:val="24"/>
        </w:rPr>
      </w:pPr>
    </w:p>
    <w:p w14:paraId="351C4131" w14:textId="1C7D0660" w:rsidR="007757FA" w:rsidRPr="001C4EFC" w:rsidRDefault="000B3610" w:rsidP="00D678CF">
      <w:pPr>
        <w:spacing w:line="480" w:lineRule="auto"/>
        <w:jc w:val="both"/>
        <w:rPr>
          <w:rFonts w:eastAsia="Arial" w:cs="Arial"/>
          <w:sz w:val="24"/>
          <w:szCs w:val="24"/>
        </w:rPr>
      </w:pPr>
      <w:r w:rsidRPr="00D678CF">
        <w:rPr>
          <w:rFonts w:eastAsia="Arial" w:cs="Arial"/>
          <w:sz w:val="24"/>
          <w:szCs w:val="24"/>
        </w:rPr>
        <w:t xml:space="preserve">A total of 42/80 (52.5%) articles determined the optimal target magnitude to be something other than 30-50% </w:t>
      </w:r>
      <w:proofErr w:type="spellStart"/>
      <w:r w:rsidRPr="00D678CF">
        <w:rPr>
          <w:rFonts w:eastAsia="Arial" w:cs="Arial"/>
          <w:i/>
          <w:iCs/>
          <w:sz w:val="24"/>
          <w:szCs w:val="24"/>
        </w:rPr>
        <w:t>f</w:t>
      </w:r>
      <w:r w:rsidRPr="00D678CF">
        <w:rPr>
          <w:rFonts w:eastAsia="Arial" w:cs="Arial"/>
          <w:sz w:val="24"/>
          <w:szCs w:val="24"/>
        </w:rPr>
        <w:t>T</w:t>
      </w:r>
      <w:proofErr w:type="spellEnd"/>
      <w:r w:rsidRPr="00D678CF">
        <w:rPr>
          <w:rFonts w:eastAsia="Arial" w:cs="Arial"/>
          <w:sz w:val="24"/>
          <w:szCs w:val="24"/>
        </w:rPr>
        <w:t xml:space="preserve">&gt;MIC. 100% </w:t>
      </w:r>
      <w:proofErr w:type="spellStart"/>
      <w:r w:rsidRPr="00D678CF">
        <w:rPr>
          <w:rFonts w:eastAsia="Arial" w:cs="Arial"/>
          <w:i/>
          <w:iCs/>
          <w:sz w:val="24"/>
          <w:szCs w:val="24"/>
        </w:rPr>
        <w:t>f</w:t>
      </w:r>
      <w:r w:rsidRPr="00D678CF">
        <w:rPr>
          <w:rFonts w:eastAsia="Arial" w:cs="Arial"/>
          <w:sz w:val="24"/>
          <w:szCs w:val="24"/>
        </w:rPr>
        <w:t>T</w:t>
      </w:r>
      <w:proofErr w:type="spellEnd"/>
      <w:r w:rsidRPr="00D678CF">
        <w:rPr>
          <w:rFonts w:eastAsia="Arial" w:cs="Arial"/>
          <w:sz w:val="24"/>
          <w:szCs w:val="24"/>
        </w:rPr>
        <w:t xml:space="preserve">&gt;MIC </w:t>
      </w:r>
      <w:r w:rsidR="006478DB" w:rsidRPr="00D678CF">
        <w:rPr>
          <w:rFonts w:eastAsia="Arial" w:cs="Arial"/>
          <w:sz w:val="24"/>
          <w:szCs w:val="24"/>
        </w:rPr>
        <w:t>and</w:t>
      </w:r>
      <w:r w:rsidRPr="00D678CF">
        <w:rPr>
          <w:rFonts w:eastAsia="Arial" w:cs="Arial"/>
          <w:sz w:val="24"/>
          <w:szCs w:val="24"/>
        </w:rPr>
        <w:t xml:space="preserve"> 100% </w:t>
      </w:r>
      <w:proofErr w:type="spellStart"/>
      <w:r w:rsidRPr="00D678CF">
        <w:rPr>
          <w:rFonts w:eastAsia="Arial" w:cs="Arial"/>
          <w:i/>
          <w:iCs/>
          <w:sz w:val="24"/>
          <w:szCs w:val="24"/>
        </w:rPr>
        <w:t>f</w:t>
      </w:r>
      <w:r w:rsidRPr="00D678CF">
        <w:rPr>
          <w:rFonts w:eastAsia="Arial" w:cs="Arial"/>
          <w:sz w:val="24"/>
          <w:szCs w:val="24"/>
        </w:rPr>
        <w:t>T</w:t>
      </w:r>
      <w:proofErr w:type="spellEnd"/>
      <w:r w:rsidRPr="00D678CF">
        <w:rPr>
          <w:rFonts w:eastAsia="Arial" w:cs="Arial"/>
          <w:sz w:val="24"/>
          <w:szCs w:val="24"/>
        </w:rPr>
        <w:t xml:space="preserve"> &gt; 4xMIC were both frequently cited target magnitudes</w:t>
      </w:r>
      <w:r w:rsidR="00A0585F">
        <w:rPr>
          <w:rFonts w:eastAsia="Arial" w:cs="Arial"/>
          <w:sz w:val="24"/>
          <w:szCs w:val="24"/>
        </w:rPr>
        <w:t xml:space="preserve"> </w:t>
      </w:r>
      <w:r w:rsidR="00A72598">
        <w:rPr>
          <w:rFonts w:eastAsia="Arial" w:cs="Arial"/>
          <w:sz w:val="24"/>
          <w:szCs w:val="24"/>
        </w:rPr>
        <w:fldChar w:fldCharType="begin"/>
      </w:r>
      <w:r w:rsidR="00F561F3">
        <w:rPr>
          <w:rFonts w:eastAsia="Arial" w:cs="Arial"/>
          <w:sz w:val="24"/>
          <w:szCs w:val="24"/>
        </w:rPr>
        <w:instrText xml:space="preserve"> ADDIN ZOTERO_ITEM CSL_CITATION {"citationID":"wEZcVPF0","properties":{"formattedCitation":"(101, 111, 112, 118, 119, 123)","plainCitation":"(101, 111, 112, 118, 119, 123)","noteIndex":0},"citationItems":[{"id":8968,"uris":["http://zotero.org/users/11114586/items/T8NR6B3R"],"itemData":{"id":8968,"type":"article-journal","abstract":"An in vitro pharmacokinetic model mimicking human serum drug concentrations, based on a dialyzer unit, was developed to study the efficacies of continuous infusion and intermittent administration of ceftazidime over a period of 36 h. The daily dose of ceftazidime was 300 mg/liter/24 h given either as a continuous infusion or as three bolus doses. The intermittent dosing regimen yielded peak and trough concentrations after the fourth dose of 92.3 (standard deviation, 8.0) and 1.4 (standard deviation, 0.9) mg/liter, respectively. Continuous administration yielded concentrations of approximately 20 mg/liter. To study efficacy, three Pseudomonas aeruginosa strains, ATCC 27853, CF4, and CF16, were used. The MICs of ceftazidime for these strains were 1, 4, and 16 mg/liter, respectively. Strain CF16 was killed initially during both regimens and then started to regrow. At the end of the fourth dosing interval, i.e., after 32 h, viable counts showed no difference between the regimens. Strains ATCC 27853 and CF4 were killed initially during both dosing schedules, and after the first dosing interval viable counts were similar. However, after the fourth interval, there was a marked difference between bacterial counts during continuous and intermittent infusion, being 2.2 and 2.8 log10, respectively, demonstrating a greater efficacy during continuous infusion. The results indicate that, in the absence of other factors, a sustained level of ceftazidime around or slightly above the MIC is not high enough to maintain efficacy over more than one (8-h) dosing interval. When sustained concentrations higher than four times the MIC are employed, continuous administration in this model is more efficacious than intermittent dosing.","container-title":"Antimicrobial Agents and Chemotherapy","DOI":"10.1128/AAC.38.5.931","ISSN":"0066-4804, 1098-6596","issue":"5","journalAbbreviation":"Antimicrob Agents Chemother","language":"en","page":"931-936","source":"DOI.org (Crossref)","title":"Killing of Pseudomonas aeruginosa during continuous and intermittent infusion of ceftazidime in an in vitro pharmacokinetic model","volume":"38","author":[{"family":"Mouton","given":"J W"},{"family":"Den Hollander","given":"J G"}],"issued":{"date-parts":[["1994",5]]}}},{"id":28,"uris":["http://zotero.org/users/11114586/items/RT46SPNF"],"itemData":{"id":28,"type":"article-journal","abstract":"Background: The clinical effects of varying pharmacokinetic exposures of antibiotics (antibacterials and antifungals) on outcome in infected critically ill patients are poorly described. A large-scale multi-centre study (DALI Study) is currently underway describing the clinical outcomes of patients achieving pre-defined antibiotic exposures. This report describes the protocol.Methods: DALI will recruit over 500 patients administered a wide range of either beta-lactam or glycopeptide antibiotics or triazole or echinocandin antifungals in a pharmacokinetic point-prevalence study. It is anticipated that over 60 European intensive care units (ICUs) will participate. The primary aim will be to determine whether contemporary antibiotic dosing for critically ill patients achieves plasma concentrations associated with maximal activity. Secondary aims will compare antibiotic pharmacokinetic exposures with patient outcome and will describe the population pharmacokinetics of the antibiotics included. Various subgroup analyses will be conducted to determine patient groups that may be at risk of very low or very high concentrations of antibiotics.Discussion: The DALI study should inform clinicians of the potential clinical advantages of achieving certain antibiotic pharmacokinetic exposures in infected critically ill patients. © 2012 Roberts et al.; licensee BioMed Central Ltd.","container-title":"BMC Infectious Diseases","DOI":"10.1186/1471-2334-12-152","title":"DALI: Defining Antibiotic Levels in Intensive care unit patients: a multi-centre point of prevalence study to determine whether contemporary antibiotic dosing for critically ill patients is therapeutic","volume":"12","author":[{"family":"Roberts","given":"J.A."},{"family":"De Waele","given":"J.J."},{"family":"Dimopoulos","given":"G."},{"family":"Koulenti","given":"D."},{"family":"Martin","given":"C."},{"family":"Montravers","given":"P."},{"family":"Rello","given":"J."},{"family":"Rhodes","given":"A."},{"family":"Starr","given":"T."},{"family":"Wallis","given":"S.C."},{"family":"Wallis","given":"S.C."},{"family":"Lipman","given":"J."}],"issued":{"date-parts":[["2012"]]}}},{"id":8989,"uris":["http://zotero.org/users/11114586/items/NBPYHYXT"],"itemData":{"id":8989,"type":"article-journal","container-title":"European Journal of Clinical Microbiology &amp; Infectious Diseases","DOI":"10.1007/BF01963774","ISSN":"0934-9723, 1435-4373","issue":"10","journalAbbreviation":"Eur. J. Clin. Microbiol. Infect. Dis.","language":"en","page":"878-887","source":"DOI.org (Crossref)","title":"Impact of the dosage schedule on the efficacy of ceftazidime, gentamicin and ciprofloxacin inKlebsiella pneumoniae pneumonia and septicemia in leukopenic rats","volume":"8","author":[{"family":"Roosendaal","given":"R."},{"family":"Bakker-Woudenberg","given":"I. A. J."},{"family":"Berghe-van Raffe","given":"M."},{"family":"Vink-van Den Berg","given":"J. C."},{"family":"Michel","given":"M. F."}],"issued":{"date-parts":[["1989",10]]}}},{"id":8996,"uris":["http://zotero.org/users/11114586/items/TVYD28IG"],"itemData":{"id":8996,"type":"article-journal","abstract":"ABSTRACT\n            \n              Suppression of resistance in a dense\n              Pseudomonas aeruginosa\n              population has previously been shown with optimized quinolone exposures. However, the relevance to β-lactams is unknown. We investigated the bactericidal activity of meropenem and its propensity to suppress\n              P. aeruginosa\n              resistance in an in vitro hollow-fiber infection model (HFIM). Two isogenic strains of\n              P. aeruginosa\n              (wild type and an AmpC stably derepressed mutant [MIC = 1 mg/liter]) were used. An HFIM inoculated with approximately 1 × 10\n              8\n              CFU/ml of bacteria was subjected to various meropenem exposures. Maintenance doses were given every 8 h to simulate the maximum concentration achieved after a 1-g dose in all regimens, but escalating unbound minimum concentrations (\n              C\n              mi\n              n\n              s) were simulated with different clearances. Serial samples were obtained over 5 days to quantify the meropenem concentrations, the total bacterial population, and subpopulations with reduced susceptibilities to meropenem (&gt;3× the MIC). For both strains, a significant bacterial burden reduction was seen with all regimens at 24 h. Regrowth was apparent after 3 days, with the\n              C\n              min\n              /MIC ratio being ≤1.7 (time above the MIC, 100%). Selective amplification of subpopulations with reduced susceptibilities to meropenem was suppressed with a\n              C\n              min\n              /MIC of ≥6.2 or by adding tobramycin to meropenem (\n              C\n              min\n              /MIC = 1.7). Investigations that were longer than 24 h and that used high inocula may be necessary to fully evaluate the relationship between drug exposures and the likelihood of resistance suppression. These results suggest that the\n              C\n              min\n              /MIC of meropenem can be optimized to suppress the emergence of non-plasmid-mediated\n              P. aeruginosa\n              resistance. Our in vitro data support the use of an extended duration of meropenem infusion for the treatment of severe nosocomial infections in combination with an aminoglycoside.","container-title":"Antimicrobial Agents and Chemotherapy","DOI":"10.1128/AAC.49.12.4920-4927.2005","ISSN":"0066-4804, 1098-6596","issue":"12","journalAbbreviation":"Antimicrob Agents Chemother","language":"en","page":"4920-4927","source":"DOI.org (Crossref)","title":"Optimization of Meropenem Minimum Concentration/MIC Ratio To Suppress In Vitro Resistance of &lt;i&gt;Pseudomonas aeruginosa&lt;/i&gt;","volume":"49","author":[{"family":"Tam","given":"Vincent H."},{"family":"Schilling","given":"Amy N."},{"family":"Neshat","given":"Shadi"},{"family":"Poole","given":"Keith"},{"family":"Melnick","given":"David A."},{"family":"Coyle","given":"Elizabeth A."}],"issued":{"date-parts":[["2005",12]]}}},{"id":8999,"uris":["http://zotero.org/users/11114586/items/5GA9FNR4"],"itemData":{"id":8999,"type":"article-journal","container-title":"Journal of Antimicrobial Chemotherapy","DOI":"10.1093/jac/dkm370","ISSN":"0305-7453, 1460-2091","issue":"6","journalAbbreviation":"Journal of Antimicrobial Chemotherapy","language":"en","page":"1302-1309","source":"DOI.org (Crossref)","title":"Mathematical modelling response of Pseudomonas aeruginosa to meropenem","volume":"60","author":[{"family":"Tam","given":"V. H."},{"family":"Schilling","given":"A. N."},{"family":"Poole","given":"K."},{"family":"Nikolaou","given":"M."}],"issued":{"date-parts":[["2007",10,3]]}}},{"id":9007,"uris":["http://zotero.org/users/11114586/items/JDH9Y9TM"],"itemData":{"id":9007,"type":"article-journal","container-title":"The Journal of Infectious Diseases","DOI":"10.1093/infdis/158.4.831","ISSN":"1537-6613, 0022-1899","issue":"4","language":"en","page":"831-847","source":"DOI.org (Crossref)","title":"Correlation of Antimicrobial Pharmacokinetic Parameters with Therapeutic Efficacy in an Animal Model","volume":"158","author":[{"family":"Vogelman","given":"B."},{"family":"Gudmundsson","given":"S."},{"family":"Leggett","given":"J."},{"family":"Turnidge","given":"J."},{"family":"Ebert","given":"S."},{"family":"Craig","given":"W. A."}],"issued":{"date-parts":[["1988",10]]}}}],"schema":"https://github.com/citation-style-language/schema/raw/master/csl-citation.json"} </w:instrText>
      </w:r>
      <w:r w:rsidR="00A72598">
        <w:rPr>
          <w:rFonts w:eastAsia="Arial" w:cs="Arial"/>
          <w:sz w:val="24"/>
          <w:szCs w:val="24"/>
        </w:rPr>
        <w:fldChar w:fldCharType="separate"/>
      </w:r>
      <w:r w:rsidR="00F561F3">
        <w:rPr>
          <w:rFonts w:cs="Arial"/>
          <w:sz w:val="24"/>
        </w:rPr>
        <w:t>(101, 111, 112, 118, 119, 123)</w:t>
      </w:r>
      <w:r w:rsidR="00A72598">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Variability in target magnitudes occurred based on study type (e.g. </w:t>
      </w:r>
      <w:r w:rsidRPr="00D678CF">
        <w:rPr>
          <w:rFonts w:eastAsia="Arial" w:cs="Arial"/>
          <w:i/>
          <w:iCs/>
          <w:sz w:val="24"/>
          <w:szCs w:val="24"/>
        </w:rPr>
        <w:t>in vitro</w:t>
      </w:r>
      <w:r w:rsidRPr="00D678CF">
        <w:rPr>
          <w:rFonts w:eastAsia="Arial" w:cs="Arial"/>
          <w:sz w:val="24"/>
          <w:szCs w:val="24"/>
        </w:rPr>
        <w:t xml:space="preserve"> vs animal model vs clinical) and the pharmacodynamic endpoints/outcomes used. For example, for meropenem, 40% T&gt;MIC </w:t>
      </w:r>
      <w:r w:rsidRPr="00D678CF">
        <w:rPr>
          <w:rFonts w:eastAsia="Arial" w:cs="Arial"/>
          <w:sz w:val="24"/>
          <w:szCs w:val="24"/>
        </w:rPr>
        <w:lastRenderedPageBreak/>
        <w:t>correlated with logarithmic and maximal bacterial killing in two neutropenic murine models</w:t>
      </w:r>
      <w:r w:rsidR="00A0585F">
        <w:rPr>
          <w:rFonts w:eastAsia="Arial" w:cs="Arial"/>
          <w:sz w:val="24"/>
          <w:szCs w:val="24"/>
        </w:rPr>
        <w:t xml:space="preserve"> </w:t>
      </w:r>
      <w:r w:rsidR="00A72598">
        <w:rPr>
          <w:rFonts w:eastAsia="Arial" w:cs="Arial"/>
          <w:sz w:val="24"/>
          <w:szCs w:val="24"/>
        </w:rPr>
        <w:fldChar w:fldCharType="begin"/>
      </w:r>
      <w:r w:rsidR="00F561F3">
        <w:rPr>
          <w:rFonts w:eastAsia="Arial" w:cs="Arial"/>
          <w:sz w:val="24"/>
          <w:szCs w:val="24"/>
        </w:rPr>
        <w:instrText xml:space="preserve"> ADDIN ZOTERO_ITEM CSL_CITATION {"citationID":"gzenf2ms","properties":{"formattedCitation":"(75, 109)","plainCitation":"(75, 109)","noteIndex":0},"citationItems":[{"id":8871,"uris":["http://zotero.org/users/11114586/items/3ELP8F8G"],"itemData":{"id":8871,"type":"article-journal","abstract":"Drug-resistant microorganisms have become a major problem around the world. In nosocomial and community settings, many important pathogens have demonstrated high-grade resistance to many of our most important agents. In addition, the adverse impact of resistance has not been limited to the bacterial realm. In chemotherapy to treat human immunodeficiency virus (HIV) and other viral diseases, resistance has become a major problem. We are starting to see the beginnings of a resistance problem, even among fungi. Strangely, little attention has been focused on the impact of dosing on the probability with which emergence of resistance occurs. After delineation of the pharmacodynamically linked variable, it is possible to generate dosing regimens that can lower the probability of resistance. In addition, circumstances exist in which combination therapy may be required (e.g., therapy of HIV and tuberculosis). Here, too, it is possible to optimize therapy to prevent resistance by understanding how the drugs in the regimen interact. We can do better with our choices of dose, schedule, and combinations of agents. We will need to lower the probability of resistance and maintain the utility of the drugs currently in our therapeutic armamentarium.","container-title":"Clinical Infectious Diseases","DOI":"10.1086/344653","ISSN":"1058-4838","issue":"Supplement_1","journalAbbreviation":"Clinical Infectious Diseases","page":"S42-S50","source":"Silverchair","title":"Prevention of Resistance: A Goal for Dose Selection for Antimicrobial Agents","title-short":"Prevention of Resistance","volume":"36","author":[{"family":"Drusano","given":"G. L."}],"issued":{"date-parts":[["2003",1,15]]}}},{"id":8984,"uris":["http://zotero.org/users/11114586/items/U32HVGL4"],"itemData":{"id":8984,"type":"article-journal","container-title":"Diagnostic Microbiology and Infectious Disease","DOI":"10.1016/j.diagmicrobio.2006.06.014","ISSN":"07328893","issue":"2","journalAbbreviation":"Diagnostic Microbiology and Infectious Disease","language":"en","page":"153-161","source":"DOI.org (Crossref)","title":"Comparative in vivo efficacy of meropenem, imipenem, and cefepime against Pseudomonas aeruginosa expressing MexA-MexB-OprM efflux pumps","volume":"57","author":[{"family":"Ong","given":"Christine T."},{"family":"Tessier","given":"Pamela R."},{"family":"Li","given":"Chonghua"},{"family":"Nightingale","given":"Charles H."},{"family":"Nicolau","given":"David P."}],"issued":{"date-parts":[["2007",2]]}}}],"schema":"https://github.com/citation-style-language/schema/raw/master/csl-citation.json"} </w:instrText>
      </w:r>
      <w:r w:rsidR="00A72598">
        <w:rPr>
          <w:rFonts w:eastAsia="Arial" w:cs="Arial"/>
          <w:sz w:val="24"/>
          <w:szCs w:val="24"/>
        </w:rPr>
        <w:fldChar w:fldCharType="separate"/>
      </w:r>
      <w:r w:rsidR="00F561F3">
        <w:rPr>
          <w:rFonts w:cs="Arial"/>
          <w:sz w:val="24"/>
        </w:rPr>
        <w:t>(75, 109)</w:t>
      </w:r>
      <w:r w:rsidR="00A72598">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which was similar to the 35% </w:t>
      </w:r>
      <w:commentRangeStart w:id="14"/>
      <w:r w:rsidRPr="00D678CF">
        <w:rPr>
          <w:rFonts w:eastAsia="Arial" w:cs="Arial"/>
          <w:sz w:val="24"/>
          <w:szCs w:val="24"/>
        </w:rPr>
        <w:t xml:space="preserve">T&gt;MIC </w:t>
      </w:r>
      <w:commentRangeEnd w:id="14"/>
      <w:r w:rsidR="00A0585F">
        <w:rPr>
          <w:rStyle w:val="CommentReference"/>
        </w:rPr>
        <w:commentReference w:id="14"/>
      </w:r>
      <w:r w:rsidRPr="00D678CF">
        <w:rPr>
          <w:rFonts w:eastAsia="Arial" w:cs="Arial"/>
          <w:sz w:val="24"/>
          <w:szCs w:val="24"/>
        </w:rPr>
        <w:t>required for clinical cure in pelvic inflammatory disease patients</w:t>
      </w:r>
      <w:r w:rsidR="00A0585F">
        <w:rPr>
          <w:rFonts w:eastAsia="Arial" w:cs="Arial"/>
          <w:sz w:val="24"/>
          <w:szCs w:val="24"/>
        </w:rPr>
        <w:t xml:space="preserve"> </w:t>
      </w:r>
      <w:r w:rsidR="00A72598">
        <w:rPr>
          <w:rFonts w:eastAsia="Arial" w:cs="Arial"/>
          <w:sz w:val="24"/>
          <w:szCs w:val="24"/>
        </w:rPr>
        <w:fldChar w:fldCharType="begin"/>
      </w:r>
      <w:r w:rsidR="00F561F3">
        <w:rPr>
          <w:rFonts w:eastAsia="Arial" w:cs="Arial"/>
          <w:sz w:val="24"/>
          <w:szCs w:val="24"/>
        </w:rPr>
        <w:instrText xml:space="preserve"> ADDIN ZOTERO_ITEM CSL_CITATION {"citationID":"2la52tSR","properties":{"formattedCitation":"(100)","plainCitation":"(100)","noteIndex":0},"citationItems":[{"id":8966,"uris":["http://zotero.org/users/11114586/items/BKXX9YHK"],"itemData":{"id":8966,"type":"article-journal","title":"[Clinical investigation on target value of T&gt;MIC in carbapenems]","author":[{"literal":"Mikamo"}],"issued":{"date-parts":[["2008"]]}}}],"schema":"https://github.com/citation-style-language/schema/raw/master/csl-citation.json"} </w:instrText>
      </w:r>
      <w:r w:rsidR="00A72598">
        <w:rPr>
          <w:rFonts w:eastAsia="Arial" w:cs="Arial"/>
          <w:sz w:val="24"/>
          <w:szCs w:val="24"/>
        </w:rPr>
        <w:fldChar w:fldCharType="separate"/>
      </w:r>
      <w:r w:rsidR="00F561F3">
        <w:rPr>
          <w:rFonts w:cs="Arial"/>
          <w:sz w:val="24"/>
        </w:rPr>
        <w:t>(100)</w:t>
      </w:r>
      <w:r w:rsidR="00A72598">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however a much larger magnitude of 82-83% </w:t>
      </w:r>
      <w:commentRangeStart w:id="15"/>
      <w:r w:rsidRPr="00D678CF">
        <w:rPr>
          <w:rFonts w:eastAsia="Arial" w:cs="Arial"/>
          <w:sz w:val="24"/>
          <w:szCs w:val="24"/>
        </w:rPr>
        <w:t xml:space="preserve">T&gt;MIC </w:t>
      </w:r>
      <w:commentRangeEnd w:id="15"/>
      <w:r w:rsidR="00A0585F">
        <w:rPr>
          <w:rStyle w:val="CommentReference"/>
        </w:rPr>
        <w:commentReference w:id="15"/>
      </w:r>
      <w:r w:rsidRPr="00D678CF">
        <w:rPr>
          <w:rFonts w:eastAsia="Arial" w:cs="Arial"/>
          <w:sz w:val="24"/>
          <w:szCs w:val="24"/>
        </w:rPr>
        <w:t xml:space="preserve">was determined for regrowth suppression  and in treatment of </w:t>
      </w:r>
      <w:proofErr w:type="spellStart"/>
      <w:r w:rsidRPr="00D678CF">
        <w:rPr>
          <w:rFonts w:eastAsia="Arial" w:cs="Arial"/>
          <w:sz w:val="24"/>
          <w:szCs w:val="24"/>
        </w:rPr>
        <w:t>bacteraemic</w:t>
      </w:r>
      <w:proofErr w:type="spellEnd"/>
      <w:r w:rsidRPr="00D678CF">
        <w:rPr>
          <w:rFonts w:eastAsia="Arial" w:cs="Arial"/>
          <w:sz w:val="24"/>
          <w:szCs w:val="24"/>
        </w:rPr>
        <w:t xml:space="preserve"> neutropenic patients</w:t>
      </w:r>
      <w:r w:rsidR="00A0585F">
        <w:rPr>
          <w:rFonts w:eastAsia="Arial" w:cs="Arial"/>
          <w:sz w:val="24"/>
          <w:szCs w:val="24"/>
        </w:rPr>
        <w:t xml:space="preserve"> </w:t>
      </w:r>
      <w:r w:rsidR="005C6AF9">
        <w:rPr>
          <w:rFonts w:eastAsia="Arial" w:cs="Arial"/>
          <w:sz w:val="24"/>
          <w:szCs w:val="24"/>
        </w:rPr>
        <w:fldChar w:fldCharType="begin"/>
      </w:r>
      <w:r w:rsidR="00F561F3">
        <w:rPr>
          <w:rFonts w:eastAsia="Arial" w:cs="Arial"/>
          <w:sz w:val="24"/>
          <w:szCs w:val="24"/>
        </w:rPr>
        <w:instrText xml:space="preserve"> ADDIN ZOTERO_ITEM CSL_CITATION {"citationID":"F4IKtP2v","properties":{"formattedCitation":"(58, 62)","plainCitation":"(58, 62)","noteIndex":0},"citationItems":[{"id":8890,"uris":["http://zotero.org/users/11114586/items/ICGQHYYX"],"itemData":{"id":8890,"type":"article-journal","abstract":"BACKGROUND:\n              Pharmacodynamic investigations with antimicrobials define the relationship between the infecting organism and achievable drug concentrations with clinical outcome.\n            \n            \n              OBJECTIVE:\n              To examine this relationship for meropenem in a population of patients who are at high risk of infection-related morbidity and mortality.\n            \n            \n              METHODS:\n              \n                The study was a retrospective analysis of a multicenter, randomized, blinded clinical trial. A population-based predictive model was created using data from adults with febrile neutropenia and the nonparametric modeling program, NPEM. Patient age, body weight, and serum creatinine level were covariates in the model used to predict unbound concentrations for each patient. Pathogen susceptibility was estimated using product literature minimum inhibitory concentrations for effectiveness against 50% of microorganisms (MIC\n                50\n                ) for specific organisms. The pharmacodynamic index of percent time above MIC (% T&gt;MIC) was analyzed for its association with clinical outcome.\n              \n            \n            \n              RESULTS:\n              A 2-compartment pharmacokinetic model using patient covariates of body weight and renal function best described the pharmacokinetics of meropenem in febrile neutropenic patients. Sixty patients with confirmed gram-positive or -negative bacteremia were studied. An average of 83% T&gt;MIC was identified for the 42 clinical responders compared with 59% T&gt;MIC for the 18 nonresponders (p = 0.04). An 80% clinical response rate was evident when the % T&gt;MIC for meropenem exceeded 75% of the dosing interval (p = 0.01).\n            \n            \n              CONCLUSIONS:\n              To our knowledge, this is the first published report of a relationship between a pharmacodynamic index and clinical outcome in a febrile neutropenic population. Based on this relationship, dosing with intravenous meropenem 500 mg every 6 hours is predicted to be comparable to the currently recommended 1 g every 8 hours for serious infections. Our model provides further justification for a prospective clinical trial to evaluate a pharmacodynamically targeted meropenem dosing schedule as to its ability to improve clinical outcome in these patients.","container-title":"Annals of Pharmacotherapy","DOI":"10.1345/aph.1E271","ISSN":"1060-0280, 1542-6270","issue":"1","journalAbbreviation":"Ann Pharmacother","language":"en","page":"32-38","source":"DOI.org (Crossref)","title":"Pharmacokinetics and Pharmacodynamics of Meropenem in Febrile Neutropenic Patients with Bacteremia","volume":"39","author":[{"family":"Ariano","given":"Robert E"},{"family":"Nyhlén","given":"Anna"},{"family":"Donnelly","given":"J Peter"},{"family":"Sitar","given":"Daniel S"},{"family":"Harding","given":"Godfrey Km"},{"family":"Zelenitsky","given":"Sheryl A"}],"issued":{"date-parts":[["2005",1]]}}},{"id":8897,"uris":["http://zotero.org/users/11114586/items/QL4X96HC"],"itemData":{"id":8897,"type":"article-journal","abstract":"ABSTRACT\n            \n              Critically ill patients frequently have substantially altered pharmacokinetics compared to non-critically ill patients. We investigated the impact of pharmacokinetic alterations on bacterial killing and resistance for commonly used meropenem dosing regimens. A\n              Pseudomonas aeruginosa\n              isolate (MIC\n              meropenem\n              0.25 mg/liter) was studied in the hollow-fiber infection model (inoculum </w:instrText>
      </w:r>
      <w:r w:rsidR="00F561F3">
        <w:rPr>
          <w:rFonts w:ascii="Cambria Math" w:eastAsia="Arial" w:hAnsi="Cambria Math" w:cs="Cambria Math"/>
          <w:sz w:val="24"/>
          <w:szCs w:val="24"/>
        </w:rPr>
        <w:instrText>∼</w:instrText>
      </w:r>
      <w:r w:rsidR="00F561F3">
        <w:rPr>
          <w:rFonts w:eastAsia="Arial" w:cs="Arial"/>
          <w:sz w:val="24"/>
          <w:szCs w:val="24"/>
        </w:rPr>
        <w:instrText xml:space="preserve">10\n              7.5\n              CFU/ml; 10 days). Pharmacokinetic profiles representing critically ill patients with augmented renal clearance (ARC), normal, or impaired renal function (creatinine clearances of 285, 120, or </w:instrText>
      </w:r>
      <w:r w:rsidR="00F561F3">
        <w:rPr>
          <w:rFonts w:ascii="Cambria Math" w:eastAsia="Arial" w:hAnsi="Cambria Math" w:cs="Cambria Math"/>
          <w:sz w:val="24"/>
          <w:szCs w:val="24"/>
        </w:rPr>
        <w:instrText>∼</w:instrText>
      </w:r>
      <w:r w:rsidR="00F561F3">
        <w:rPr>
          <w:rFonts w:eastAsia="Arial" w:cs="Arial"/>
          <w:sz w:val="24"/>
          <w:szCs w:val="24"/>
        </w:rPr>
        <w:instrText>10 ml/min, respectively) were generated for three meropenem regimens (2, 1, and 0.5 g administered as 8-hourly 30-min infusions), plus 1 g given 12 hourly with impaired renal function. The time course of total and less-susceptible populations and MICs were determined. Mechanism-based modeling (MBM) was performed using S-ADAPT. All dosing regimens across all renal functions produced similar initial bacterial killing (≤</w:instrText>
      </w:r>
      <w:r w:rsidR="00F561F3">
        <w:rPr>
          <w:rFonts w:ascii="Cambria Math" w:eastAsia="Arial" w:hAnsi="Cambria Math" w:cs="Cambria Math"/>
          <w:sz w:val="24"/>
          <w:szCs w:val="24"/>
        </w:rPr>
        <w:instrText>∼</w:instrText>
      </w:r>
      <w:r w:rsidR="00F561F3">
        <w:rPr>
          <w:rFonts w:eastAsia="Arial" w:cs="Arial"/>
          <w:sz w:val="24"/>
          <w:szCs w:val="24"/>
        </w:rPr>
        <w:instrText xml:space="preserve">2.5 log\n              10\n              ). For all regimens subjected to ARC, regrowth occurred after 7 h. For normal and impaired renal function, bacterial killing continued until 23 to 47 h; regrowth then occurred with 0.5- and 1-g regimens with normal renal function (\n              fT\n              &gt;5×MIC\n              = 56 and 69%,\n              fC\n              min\n              /MIC &lt; 2); the emergence of less-susceptible populations (≥32-fold increases in MIC) accompanied all regrowth. Bacterial counts remained suppressed across 10 days with normal (2-g 8-hourly regimen) and impaired (all regimens) renal function (\n              fT\n              &gt;5×MIC\n              ≥ 82%,\n              fC\n              min\n              /MIC ≥ 2). The MBM successfully described bacterial killing and regrowth for all renal functions and regimens simultaneously. Optimized dosing regimens, including extended infusions and/or combinations, supported by MBM and Monte Carlo simulations, should be evaluated in the context of ARC to maximize bacterial killing and suppress resistance emergence.","container-title":"Antimicrobial Agents and Chemotherapy","DOI":"10.1128/AAC.02642-16","ISSN":"0066-4804, 1098-6596","issue":"5","journalAbbreviation":"Antimicrob Agents Chemother","language":"en","page":"e02642-16","source":"DOI.org (Crossref)","title":"Substantial Impact of Altered Pharmacokinetics in Critically Ill Patients on the Antibacterial Effects of Meropenem Evaluated via the Dynamic Hollow-Fiber Infection Model","volume":"61","author":[{"family":"Bergen","given":"Phillip J."},{"family":"Bulitta","given":"Jürgen B."},{"family":"Kirkpatrick","given":"Carl M. J."},{"family":"Rogers","given":"Kate E."},{"family":"McGregor","given":"Megan J."},{"family":"Wallis","given":"Steven C."},{"family":"Paterson","given":"David L."},{"family":"Nation","given":"Roger L."},{"family":"Lipman","given":"Jeffrey"},{"family":"Roberts","given":"Jason A."},{"family":"Landersdorfer","given":"Cornelia B."}],"issued":{"date-parts":[["2017",5]]}}}],"schema":"https://github.com/citation-style-language/schema/raw/master/csl-citation.json"} </w:instrText>
      </w:r>
      <w:r w:rsidR="005C6AF9">
        <w:rPr>
          <w:rFonts w:eastAsia="Arial" w:cs="Arial"/>
          <w:sz w:val="24"/>
          <w:szCs w:val="24"/>
        </w:rPr>
        <w:fldChar w:fldCharType="separate"/>
      </w:r>
      <w:r w:rsidR="00F561F3">
        <w:rPr>
          <w:rFonts w:cs="Arial"/>
          <w:sz w:val="24"/>
        </w:rPr>
        <w:t>(58, 62)</w:t>
      </w:r>
      <w:r w:rsidR="005C6AF9">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Conversely, similar target magnitudes were at times derived from different endpoints (e.g., for </w:t>
      </w:r>
      <w:r w:rsidRPr="00D678CF">
        <w:rPr>
          <w:rFonts w:eastAsia="Arial" w:cs="Arial"/>
          <w:i/>
          <w:iCs/>
          <w:sz w:val="24"/>
          <w:szCs w:val="24"/>
        </w:rPr>
        <w:t>Pseudomonas aeruginosa</w:t>
      </w:r>
      <w:r w:rsidRPr="00D678CF">
        <w:rPr>
          <w:rFonts w:eastAsia="Arial" w:cs="Arial"/>
          <w:sz w:val="24"/>
          <w:szCs w:val="24"/>
        </w:rPr>
        <w:t xml:space="preserve"> and ceftazidime in animal models, 40-50% </w:t>
      </w:r>
      <w:proofErr w:type="spellStart"/>
      <w:r w:rsidRPr="00D678CF">
        <w:rPr>
          <w:rFonts w:eastAsia="Arial" w:cs="Arial"/>
          <w:i/>
          <w:iCs/>
          <w:sz w:val="24"/>
          <w:szCs w:val="24"/>
        </w:rPr>
        <w:t>f</w:t>
      </w:r>
      <w:r w:rsidRPr="00D678CF">
        <w:rPr>
          <w:rFonts w:eastAsia="Arial" w:cs="Arial"/>
          <w:sz w:val="24"/>
          <w:szCs w:val="24"/>
        </w:rPr>
        <w:t>T</w:t>
      </w:r>
      <w:proofErr w:type="spellEnd"/>
      <w:r w:rsidRPr="00D678CF">
        <w:rPr>
          <w:rFonts w:eastAsia="Arial" w:cs="Arial"/>
          <w:sz w:val="24"/>
          <w:szCs w:val="24"/>
        </w:rPr>
        <w:t>&gt;MIC was determined optimal for stasis, logarithmic killing, and regrowth suppression)</w:t>
      </w:r>
      <w:r w:rsidR="00A0585F">
        <w:rPr>
          <w:rFonts w:eastAsia="Arial" w:cs="Arial"/>
          <w:sz w:val="24"/>
          <w:szCs w:val="24"/>
        </w:rPr>
        <w:t xml:space="preserve"> </w:t>
      </w:r>
      <w:r w:rsidR="005C6AF9">
        <w:rPr>
          <w:rFonts w:cs="Arial"/>
          <w:sz w:val="24"/>
          <w:szCs w:val="24"/>
          <w:vertAlign w:val="superscript"/>
        </w:rPr>
        <w:fldChar w:fldCharType="begin"/>
      </w:r>
      <w:r w:rsidR="00F561F3">
        <w:rPr>
          <w:rFonts w:cs="Arial"/>
          <w:sz w:val="24"/>
          <w:szCs w:val="24"/>
          <w:vertAlign w:val="superscript"/>
        </w:rPr>
        <w:instrText xml:space="preserve"> ADDIN ZOTERO_ITEM CSL_CITATION {"citationID":"aS1JYzFH","properties":{"formattedCitation":"(54, 69, 72, 101)","plainCitation":"(54, 69, 72, 101)","noteIndex":0},"citationItems":[{"id":8884,"uris":["http://zotero.org/users/11114586/items/4TQRA48E"],"itemData":{"id":8884,"type":"article-journal","container-title":"Journal of Antimicrobial Chemotherapy","DOI":"10.1093/jac/dkh536","ISSN":"1460-2091, 0305-7453","issue":"2","language":"en","page":"209-213","source":"DOI.org (Crossref)","title":"Is there a pharmacodynamic need for the use of continuous versus intermittent infusion with ceftazidime against Pseudomonas aeruginosa? An in vitro pharmacodynamic model","title-short":"Is there a pharmacodynamic need for the use of continuous versus intermittent infusion with ceftazidime against Pseudomonas aeruginosa?","volume":"55","author":[{"family":"Alou","given":"Luis"},{"family":"Aguilar","given":"Lorenzo"},{"family":"Sevillano","given":"David"},{"family":"Giménez","given":"María-José"},{"family":"Echeverría","given":"Olatz"},{"family":"Gómez-Lus","given":"María-Luisa"},{"family":"Prieto","given":"José"}],"issued":{"date-parts":[["2005",2,1]]}}},{"id":8908,"uris":["http://zotero.org/users/11114586/items/6PI62BEM"],"itemData":{"id":8908,"type":"article-journal","container-title":"Infectious Disease Clinics of North America","DOI":"10.1016/S0891-5520(03)00065-5","ISSN":"08915520","issue":"3","journalAbbreviation":"Infectious Disease Clinics of North America","language":"en","page":"479-501","source":"DOI.org (Crossref)","title":"Basic pharmacodynamics of antibacterials with clinical applications to the use of β-lactams, glycopeptides, and linezolid","volume":"17","author":[{"family":"Craig","given":"William A"}],"issued":{"date-parts":[["2003",9]]}}},{"id":8909,"uris":["http://zotero.org/users/11114586/items/3BW7JRJ9"],"itemData":{"id":8909,"type":"article-journal","abstract":"ABSTRACT\n            \n              Ceftolozane is a new cephalosporin with potent activity against\n              Pseudomonas aeruginosa\n              and\n              Enterobacteriaceae\n              . A neutropenic murine thigh infection model was used to determine which pharmacokinetic/pharmacodynamic index and magnitude drives the efficacy of ceftolozane with Gram-negative bacilli, to compare the rates of\n              in vivo\n              killing of\n              P. aeruginosa\n              by ceftolozane and ceftazidime, and to determine the impact of different ratios of ceftolozane plus tazobactam on\n              Enterobacteriaceae\n              containing extended-spectrum β-lactamases (ESBLs). Neutropenic mice had 10\n              6.2-7.1\n              CFU/thigh when treated with ceftolozane for 24 h with (i) various doses (3.12 to 1,600 mg/kg) and dosage intervals (3, 6, 12, and 24 h) against two\n              Enterobacteriaceae\n              strains, (ii) 0.39 to 800 mg/kg every 6 h for four\n              Enterobacteriaceae\n              and four\n              P. aeruginosa\n              strains, and (iii) 400 or 800 mg/kg with 2:1. 4:1, and 8:1 ratios of tazobactam against five\n              Enterobacteriaceae\n              strains with ESBLs. The pharmacokinetics of ceftolozane at 25, 100, and 400 mg/kg were linear with peak/dose values of 1.0 to 1.4 and half-lives of 12 to 14 min. T&gt;MIC was the primary index driving efficacy. For stasis (1 log kill), T&gt;MIC was 26.3% ± 2.1% (31.6% ± 1.6%) for wild-type\n              Enterobacteriaceae\n              , 31.1% ± 4.9% (34.8% ± 4.4%) for\n              Enterobacteriaceae\n              with ESBLs, and 24.0% ± 3.3% (31.5% ± 3.9%) for\n              P. aeruginosa\n              . At 200 mg/kg every 3 h, the rate of\n              in vivo\n              killing of\n              P. aeruginosa\n              was faster with ceftolozane than with ceftazidime (−0.34 to −0.41 log\n              10\n              CFU/thigh/h versus −0.21 to −0.24 log\n              10\n              CFU/thigh/h). The 2:1 ratio of ceftolozane with tazobactam was the most potent combination studied. The T&gt;MIC required for ceftolozane is less than with other cephalosporins and may be due to more rapid killing.","container-title":"Antimicrobial Agents and Chemotherapy","DOI":"10.1128/AAC.01590-12","ISSN":"0066-4804, 1098-6596","issue":"4","journalAbbreviation":"Antimicrob Agents Chemother","language":"en","page":"1577-1582","source":"DOI.org (Crossref)","title":"&lt;i&gt;In Vivo&lt;/i&gt; Activities of Ceftolozane, a New Cephalosporin, with and without Tazobactam against Pseudomonas aeruginosa and Enterobacteriaceae, Including Strains with Extended-Spectrum β-Lactamases, in the Thighs of Neutropenic Mice","volume":"57","author":[{"family":"Craig","given":"W. A."},{"family":"Andes","given":"D. R."}],"issued":{"date-parts":[["2013",4]]}}},{"id":8968,"uris":["http://zotero.org/users/11114586/items/T8NR6B3R"],"itemData":{"id":8968,"type":"article-journal","abstract":"An in vitro pharmacokinetic model mimicking human serum drug concentrations, based on a dialyzer unit, was developed to study the efficacies of continuous infusion and intermittent administration of ceftazidime over a period of 36 h. The daily dose of ceftazidime was 300 mg/liter/24 h given either as a continuous infusion or as three bolus doses. The intermittent dosing regimen yielded peak and trough concentrations after the fourth dose of 92.3 (standard deviation, 8.0) and 1.4 (standard deviation, 0.9) mg/liter, respectively. Continuous administration yielded concentrations of approximately 20 mg/liter. To study efficacy, three Pseudomonas aeruginosa strains, ATCC 27853, CF4, and CF16, were used. The MICs of ceftazidime for these strains were 1, 4, and 16 mg/liter, respectively. Strain CF16 was killed initially during both regimens and then started to regrow. At the end of the fourth dosing interval, i.e., after 32 h, viable counts showed no difference between the regimens. Strains ATCC 27853 and CF4 were killed initially during both dosing schedules, and after the first dosing interval viable counts were similar. However, after the fourth interval, there was a marked difference between bacterial counts during continuous and intermittent infusion, being 2.2 and 2.8 log10, respectively, demonstrating a greater efficacy during continuous infusion. The results indicate that, in the absence of other factors, a sustained level of ceftazidime around or slightly above the MIC is not high enough to maintain efficacy over more than one (8-h) dosing interval. When sustained concentrations higher than four times the MIC are employed, continuous administration in this model is more efficacious than intermittent dosing.","container-title":"Antimicrobial Agents and Chemotherapy","DOI":"10.1128/AAC.38.5.931","ISSN":"0066-4804, 1098-6596","issue":"5","journalAbbreviation":"Antimicrob Agents Chemother","language":"en","page":"931-936","source":"DOI.org (Crossref)","title":"Killing of Pseudomonas aeruginosa during continuous and intermittent infusion of ceftazidime in an in vitro pharmacokinetic model","volume":"38","author":[{"family":"Mouton","given":"J W"},{"family":"Den Hollander","given":"J G"}],"issued":{"date-parts":[["1994",5]]}}}],"schema":"https://github.com/citation-style-language/schema/raw/master/csl-citation.json"} </w:instrText>
      </w:r>
      <w:r w:rsidR="005C6AF9">
        <w:rPr>
          <w:rFonts w:cs="Arial"/>
          <w:sz w:val="24"/>
          <w:szCs w:val="24"/>
          <w:vertAlign w:val="superscript"/>
        </w:rPr>
        <w:fldChar w:fldCharType="separate"/>
      </w:r>
      <w:r w:rsidR="00F561F3">
        <w:rPr>
          <w:rFonts w:cs="Arial"/>
          <w:sz w:val="24"/>
        </w:rPr>
        <w:t>(54, 69, 72, 101)</w:t>
      </w:r>
      <w:r w:rsidR="005C6AF9">
        <w:rPr>
          <w:rFonts w:cs="Arial"/>
          <w:sz w:val="24"/>
          <w:szCs w:val="24"/>
          <w:vertAlign w:val="superscript"/>
        </w:rPr>
        <w:fldChar w:fldCharType="end"/>
      </w:r>
      <w:r w:rsidR="00A0585F">
        <w:rPr>
          <w:rFonts w:cs="Arial"/>
          <w:sz w:val="24"/>
          <w:szCs w:val="24"/>
        </w:rPr>
        <w:t>.</w:t>
      </w:r>
      <w:r w:rsidRPr="00D678CF">
        <w:rPr>
          <w:rFonts w:eastAsia="Arial" w:cs="Arial"/>
          <w:sz w:val="24"/>
          <w:szCs w:val="24"/>
        </w:rPr>
        <w:t xml:space="preserve"> Infecting pathogen (especially Gram-positive vs Gram-negative)</w:t>
      </w:r>
      <w:r w:rsidR="00A0585F">
        <w:rPr>
          <w:rFonts w:eastAsia="Arial" w:cs="Arial"/>
          <w:sz w:val="24"/>
          <w:szCs w:val="24"/>
        </w:rPr>
        <w:t xml:space="preserve"> </w:t>
      </w:r>
      <w:r w:rsidR="005C6AF9">
        <w:rPr>
          <w:rFonts w:eastAsia="Arial" w:cs="Arial"/>
          <w:sz w:val="24"/>
          <w:szCs w:val="24"/>
        </w:rPr>
        <w:fldChar w:fldCharType="begin"/>
      </w:r>
      <w:r w:rsidR="00F561F3">
        <w:rPr>
          <w:rFonts w:eastAsia="Arial" w:cs="Arial"/>
          <w:sz w:val="24"/>
          <w:szCs w:val="24"/>
        </w:rPr>
        <w:instrText xml:space="preserve"> ADDIN ZOTERO_ITEM CSL_CITATION {"citationID":"2Vu7PiPa","properties":{"formattedCitation":"(71, 81, 97)","plainCitation":"(71, 81, 97)","noteIndex":0},"citationItems":[{"id":8911,"uris":["http://zotero.org/users/11114586/items/833HQ6PB"],"itemData":{"id":8911,"type":"article-journal","abstract":"ABSTRACT\n            \n              Ceftobiprole medocaril is the parenteral prodrug of ceftobiprole, a novel pyrrolidinone broad-spectrum cephalosporin with in vitro and in vivo bactericidal activities against methicillin-resistant\n              Staphylococcus aureus\n              (MRSA) and penicillin-resistant\n              Streptococcus pneumoniae\n              (PRSP). We have used murine thigh and lung infection models in neutropenic and normal mice to characterize the in vivo pharmacokinetic (PK)-pharmacodynamic (PD) activities of ceftobiprole against multiple strains of\n              S. aureus\n              (including MRSA),\n              S. pneumoniae\n              (including PRSP), and gram-negative bacilli. Serum levels of ceftobiprole following the administration of multiple doses were determined by a microbiological assay. In vivo bactericidal activities and postantibiotic effects (PAEs) of ceftobiprole against MRSA and PRSP strains were determined from serial CFU/thigh values following single doses of ceftobiprole (40 and 160 mg/kg of body weight). Dose fractionation studies were used to determine which PK-PD index correlated best with activity. Magnitudes of the PK-PD indices were calculated from MICs and PK parameters. A sigmoid dose-response model was used to estimate the dose (mg/kg/24 h) required to achieve a static and 2-log\n              10\n              kill effects over 24 h. PK results showed area under the concentration-time curve/dose values of 1.8 to 2.8 and half-lives of 0.29 to 0.51 h. MICs ranged from 0.015 to 2 μg/ml. Ceftobiprole demonstrated time-dependent killing; its in vivo PAEs varied from 3.8 h to 4.8 h for MRSA and from 0 to 0.8 h for PRSP. The time above MIC (\n              T\n              &gt; MIC) correlated best with efficacy for both MRSA and PRSP. The\n              T\n              &gt; MIC values required for the static doses were significantly longer (\n              P\n              &lt; 0.001) for\n              Enterobacteriaceae\n              (36 to 45%) than for\n              S. aureus\n              (14 to 28%) and\n              S. pneumoniae\n              (15 to 22%). The drug showed activities in the lung model similar to those in the thigh model. The presence of neutrophils significantly enhanced the activity of ceftobiprole against\n              S. pneumoniae\n              but only slightly against\n              Klebsiella pneumoniae\n              . Based on its PD profile, ceftobiprole is a promising new β-lactam agent with activity against gram-negative and gram-positive organisms including MRSA and PRSP.","container-title":"Antimicrobial Agents and Chemotherapy","DOI":"10.1128/AAC.01273-07","ISSN":"0066-4804, 1098-6596","issue":"10","journalAbbreviation":"Antimicrob Agents Chemother","language":"en","page":"3492-3496","source":"DOI.org (Crossref)","title":"In Vivo Pharmacodynamics of Ceftobiprole against Multiple Bacterial Pathogens in Murine Thigh and Lung Infection Models","volume":"52","author":[{"family":"Craig","given":"W. A."},{"family":"Andes","given":"D. R."}],"issued":{"date-parts":[["2008",10]]}}},{"id":8928,"uris":["http://zotero.org/users/11114586/items/WEM5JL6D"],"itemData":{"id":8928,"type":"article-journal","abstract":"ABSTRACT\n            \n              An in vitro kinetic model was used to study the relation between pharmacokinetic and pharmacodynamic (PK-PD) parameters for antimicrobial effect, e.g., the time above MIC (T&gt;MIC), maximum concentration in serum (\n              C\n              max\n              ), and area under the concentration-time curve (AUC).\n              Streptococcus pyogenes\n              and\n              Escherichia coli\n              were exposed to cefotaxime, and the activity of amoxicillin against four strains of\n              Streptococcus pneumoniae\n              with different susceptibilities to penicillin was studied. The drug elimination rate varied so that the T&gt;MIC ranged from 20 to 100% during 24 h, while the AUC and/or the initial concentration (\n              C\n              max\n              ) were kept constant. For\n              S. pyogenes\n              and\n              E. coli\n              , the maximal antimicrobial effect (\n              E\n              max\n              ) at 24 h occurred when the antimicrobial concentration exceeded the MIC for 50 and 80% of the strains tested, respectively. The penicillin-susceptible pneumococci (MIC, 0.03 mg/liter) and the penicillin-intermediate strain (MIC, 0.25 mg/liter) showed maximal killing by amoxicillin at a T&gt;MIC of 50%. For a strain for which the MIC was 2 mg/liter,\n              C\n              max\n              needed to be increased to achieve the\n              E\n              max\n              . Under the condition that\n              C\n              max\n              was 10 times the MIC,\n              E\n              max\n              was obtained at a T&gt;MIC of 60%, indicating that\n              C\n              max\n              , in addition to T&gt;MIC, may be an important parameter for antimicrobial effect on moderately penicillin-resistant pneumococci. For the strain for which the MIC was 4 mg/liter, the reduction of bacteria varied from −0.4 to −3.6 log\n              10\n              CFU/ml at a T&gt;MIC of 100%, despite an initial antimicrobial concentration of 10 times the MIC. Our studies have shown that the in vitro kinetic model is a useful complement to animal models for studying the PK-PD relationship for antimicrobial effect of antibiotics.","container-title":"Antimicrobial Agents and Chemotherapy","DOI":"10.1128/AAC.45.9.2436-2440.2001","ISSN":"0066-4804, 1098-6596","issue":"9","journalAbbreviation":"Antimicrob Agents Chemother","language":"en","page":"2436-2440","source":"DOI.org (Crossref)","title":"Pharmacokinetic and Pharmacodynamic Parameters for Antimicrobial Effects of Cefotaxime and Amoxicillin in an In Vitro Kinetic Model","volume":"45","author":[{"family":"Gustafsson","given":"I."},{"family":"Löwdin","given":"E."},{"family":"Odenholt","given":"I."},{"family":"Cars","given":"O."}],"issued":{"date-parts":[["2001",9]]}}},{"id":8957,"uris":["http://zotero.org/users/11114586/items/NKSJYAYQ"],"itemData":{"id":8957,"type":"article-journal","abstract":"ABSTRACT\n            \n              The pharmacodynamic profile of ertapenem was evaluated in a neutropenic mouse thigh infection model. Extended-spectrum beta-lactamase (ESBL)-positive and ESBL-negative clinical strains of\n              Escherichia coli\n              and\n              Klebsiella pneumoniae\n              were studied. MICs ranged from 0.0078 to 0.06 μg/ml with standard inoculum tests. Ertapenem doses were administered once to five times daily to achieve various exposures, reported as the percentage of the dosing interval that the concentration of free ertapenem was in excess of the MIC (%\n              T\n              &gt;MIC\n              free\n              ). Mean values for the static exposure and 80% maximally effective exposure (ED\n              80\n              ) were 19% (range, 2 to 38%) and 33% (range, 13 to 65%)\n              T\n              &gt;MIC\n              free\n              , respectively. Differences in exposure requirements based on the presence of an ESBL resistance mechanism or bacterial species were not evident. In addition, experiments using a 100-fold higher inoculum did not decrease the magnitude of the reduction in bacterial density from baseline achieved compared to lower-inoculum studies. The pharmacodynamic parameter of %\n              T\n              &gt;MIC\n              free\n              correlated well with bactericidal activity for all isolates, and the static and ED\n              80\n              exposures are consistent with those reported previously for carbapenems.","container-title":"Antimicrobial Agents and Chemotherapy","DOI":"10.1128/AAC.49.1.276-280.2005","ISSN":"0066-4804, 1098-6596","issue":"1","journalAbbreviation":"Antimicrob Agents Chemother","language":"en","page":"276-280","source":"DOI.org (Crossref)","title":"Pharmacodynamic Profile of Ertapenem against &lt;i&gt;Klebsiella pneumoniae&lt;/i&gt; and &lt;i&gt;Escherichia coli&lt;/i&gt; in a Murine Thigh Model","volume":"49","author":[{"family":"Maglio","given":"Dana"},{"family":"Banevicius","given":"Mary Anne"},{"family":"Sutherland","given":"Christina"},{"family":"Babalola","given":"Chinedum"},{"family":"Nightingale","given":"Charles H."},{"family":"Nicolau","given":"David P."}],"issued":{"date-parts":[["2005",1]]}}}],"schema":"https://github.com/citation-style-language/schema/raw/master/csl-citation.json"} </w:instrText>
      </w:r>
      <w:r w:rsidR="005C6AF9">
        <w:rPr>
          <w:rFonts w:eastAsia="Arial" w:cs="Arial"/>
          <w:sz w:val="24"/>
          <w:szCs w:val="24"/>
        </w:rPr>
        <w:fldChar w:fldCharType="separate"/>
      </w:r>
      <w:r w:rsidR="00F561F3">
        <w:rPr>
          <w:rFonts w:cs="Arial"/>
          <w:sz w:val="24"/>
        </w:rPr>
        <w:t>(71, 81, 97)</w:t>
      </w:r>
      <w:r w:rsidR="005C6AF9">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the bacterial inoculum</w:t>
      </w:r>
      <w:r w:rsidR="00A0585F">
        <w:rPr>
          <w:rFonts w:eastAsia="Arial" w:cs="Arial"/>
          <w:sz w:val="24"/>
          <w:szCs w:val="24"/>
        </w:rPr>
        <w:t xml:space="preserve"> </w:t>
      </w:r>
      <w:r w:rsidR="005C6AF9">
        <w:rPr>
          <w:rFonts w:eastAsia="Arial" w:cs="Arial"/>
          <w:sz w:val="24"/>
          <w:szCs w:val="24"/>
        </w:rPr>
        <w:fldChar w:fldCharType="begin"/>
      </w:r>
      <w:r w:rsidR="00F561F3">
        <w:rPr>
          <w:rFonts w:eastAsia="Arial" w:cs="Arial"/>
          <w:sz w:val="24"/>
          <w:szCs w:val="24"/>
        </w:rPr>
        <w:instrText xml:space="preserve"> ADDIN ZOTERO_ITEM CSL_CITATION {"citationID":"eP130bmM","properties":{"formattedCitation":"(96)","plainCitation":"(96)","noteIndex":0},"citationItems":[{"id":8955,"uris":["http://zotero.org/users/11114586/items/CZED76IM"],"itemData":{"id":8955,"type":"article-journal","abstract":"ABSTRACT\n            \n              Cefepime was evaluated in vivo against two inoculum sizes of four strains of\n              Escherichia coli\n              that produced extended-spectrum beta-lactamases (ESBLs) in a murine neutropenic thigh infection model to characterize the pharmacodynamic activity of cefepime in the presence of ESBL-producing bacteria and to evaluate if differences in lengths of cefepime exposure are required with various inocula. Three strains possessed a single enzyme each: TEM-10, TEM-12, and TEM-26. The fourth strain possessed two TEM-derived ESBLs and a third uncharacterized enzyme. Two non-ESBL-producing\n              E. coli\n              strains were included for comparison. Mice received various doses of cefepime to achieve a spectrum of percentages of time the drug was above the MIC (%\n              T\n              &gt;MICs) for each isolate at both inocula. No significant difference in cefepime exposure was required to achieve similar bactericidal effects for ESBL- and non-ESBL-producing isolates when the starting inoculum was 10\n              5\n              CFU of\n              E. coli\n              per thigh. The increased MICs observed in vitro for the ESBL-producing strains at 10\n              7\n              CFU/ml did not predict the amount of exposure required to achieve a comparable level of bactericidal activity in vivo at the corresponding starting inoculum of 10\n              7\n              CFU/thigh. Compared to the cefepime exposure in tests with the lower inoculum (10\n              5\n              CFU/thigh), less exposure was required when the starting inoculum was 10\n              7\n              CFU/thigh (%\n              T\n              &gt;MIC, 6% versus 26%), such that similar doses (in milligrams per kilogram of body weight) produced similar bactericidal effects with both inocula of ESBL-producing isolates. Equivalent exposures of cefepime produced similar effects against the microorganisms regardless of the presence of ESBL production. Pharmacodynamic profiling undertaken with conventional cefepime MIC determinations predicted in vivo microbial outcomes at both inoculum sizes for the ESBL-producing isolates evaluated in this study. These data support the use of conventional MIC determinations in the pharmacodynamic assessment of cefepime.","container-title":"Antimicrobial Agents and Chemotherapy","DOI":"10.1128/AAC.48.6.1941-1947.2004","ISSN":"0066-4804, 1098-6596","issue":"6","journalAbbreviation":"Antimicrob Agents Chemother","language":"en","page":"1941-1947","source":"DOI.org (Crossref)","title":"Determination of the In Vivo Pharmacodynamic Profile of Cefepime against Extended-Spectrum-Beta-Lactamase-Producing &lt;i&gt;Escherichia coli&lt;/i&gt; at Various Inocula","volume":"48","author":[{"family":"Maglio","given":"Dana"},{"family":"Ong","given":"Christine"},{"family":"Banevicius","given":"Mary Anne"},{"family":"Geng","given":"Qiuming"},{"family":"Nightingale","given":"Charles H."},{"family":"Nicolau","given":"David P."}],"issued":{"date-parts":[["2004",6]]}}}],"schema":"https://github.com/citation-style-language/schema/raw/master/csl-citation.json"} </w:instrText>
      </w:r>
      <w:r w:rsidR="005C6AF9">
        <w:rPr>
          <w:rFonts w:eastAsia="Arial" w:cs="Arial"/>
          <w:sz w:val="24"/>
          <w:szCs w:val="24"/>
        </w:rPr>
        <w:fldChar w:fldCharType="separate"/>
      </w:r>
      <w:r w:rsidR="00F561F3">
        <w:rPr>
          <w:rFonts w:cs="Arial"/>
          <w:sz w:val="24"/>
        </w:rPr>
        <w:t>(96)</w:t>
      </w:r>
      <w:r w:rsidR="005C6AF9">
        <w:rPr>
          <w:rFonts w:eastAsia="Arial" w:cs="Arial"/>
          <w:sz w:val="24"/>
          <w:szCs w:val="24"/>
        </w:rPr>
        <w:fldChar w:fldCharType="end"/>
      </w:r>
      <w:r w:rsidR="00A0585F">
        <w:rPr>
          <w:rFonts w:eastAsia="Arial" w:cs="Arial"/>
          <w:sz w:val="24"/>
          <w:szCs w:val="24"/>
        </w:rPr>
        <w:t>,</w:t>
      </w:r>
      <w:r w:rsidRPr="00D678CF">
        <w:rPr>
          <w:rFonts w:eastAsia="Arial" w:cs="Arial"/>
          <w:sz w:val="24"/>
          <w:szCs w:val="24"/>
        </w:rPr>
        <w:t xml:space="preserve"> and different strains</w:t>
      </w:r>
      <w:r w:rsidR="00A0585F">
        <w:rPr>
          <w:rFonts w:eastAsia="Arial" w:cs="Arial"/>
          <w:sz w:val="24"/>
          <w:szCs w:val="24"/>
        </w:rPr>
        <w:t xml:space="preserve"> </w:t>
      </w:r>
      <w:r w:rsidR="005C6AF9">
        <w:rPr>
          <w:rFonts w:cs="Arial"/>
          <w:sz w:val="24"/>
          <w:szCs w:val="24"/>
          <w:vertAlign w:val="superscript"/>
        </w:rPr>
        <w:fldChar w:fldCharType="begin"/>
      </w:r>
      <w:r w:rsidR="00F561F3">
        <w:rPr>
          <w:rFonts w:cs="Arial"/>
          <w:sz w:val="24"/>
          <w:szCs w:val="24"/>
          <w:vertAlign w:val="superscript"/>
        </w:rPr>
        <w:instrText xml:space="preserve"> ADDIN ZOTERO_ITEM CSL_CITATION {"citationID":"WTG3WarZ","properties":{"formattedCitation":"(91)","plainCitation":"(91)","noteIndex":0},"citationItems":[{"id":8946,"uris":["http://zotero.org/users/11114586/items/WJYDUWUY"],"itemData":{"id":8946,"type":"article-journal","abstract":"ABSTRACT\n            \n              We compared drugs (imipenem and doripenem), doses (500 mg and 1 g), and infusion times (0.5 and 1.0 [imipenem], 1.0 and 4.0 h [doripenem]) in our hollow-fiber model, examining cell kill and resistance suppression for three isogenic strains of\n              Pseudomonas aeruginosa\n              PAO1. The experiments ran for 10 days. Serial samples were taken for total organism and resistant subpopulation counts. Drug concentrations were determined by high-pressure liquid chromatography-tandem mass spectrometry (LC/MS/MS). Free time above the MIC (time &gt; MIC) was calculated using ADAPT II. Time to resistance emergence was examined with Cox modeling. Cell kill and resistance emergence differences were explained, in the main, by differences in potency (MIC) between doripenem and imipenem. Prolonged infusion increased free drug time &gt; MIC and improved cell kill. For resistance suppression, the 1-g, 4-h infusion was able to completely suppress resistance for the full period of observation for the wild-type isolate. For the mutants, control was ultimately lost, but in all cases, this was the best regimen. Doripenem gave longer free time &gt; MIC than imipenem and, therefore, better cell kill and resistance suppression. For the wild-type organism, the 1-g, 4-h infusion regimen is preferred. For organisms with resistance mutations, larger doses or addition of a second drug should be studied.","container-title":"Antimicrobial Agents and Chemotherapy","DOI":"10.1128/AAC.01721-09","ISSN":"0066-4804, 1098-6596","issue":"6","journalAbbreviation":"Antimicrob Agents Chemother","language":"en","page":"2638-2645","source":"DOI.org (Crossref)","title":"Impact of Different Carbapenems and Regimens of Administration on Resistance Emergence for Three Isogenic &lt;i&gt;Pseudomonas aeruginosa&lt;/i&gt; Strains with Differing Mechanisms of Resistance","volume":"54","author":[{"family":"Louie","given":"Arnold"},{"family":"Bied","given":"Adam"},{"family":"Fregeau","given":"Christine"},{"family":"Van Scoy","given":"Brian"},{"family":"Brown","given":"David"},{"family":"Liu","given":"Weiguo"},{"family":"Bush","given":"Karen"},{"family":"Queenan","given":"Anne-Marie"},{"family":"Morrow","given":"Brian"},{"family":"Khashab","given":"Mohammed"},{"family":"Kahn","given":"James B."},{"family":"Nicholson","given":"Susan"},{"family":"Kulawy","given":"Robert"},{"family":"Drusano","given":"G. L."}],"issued":{"date-parts":[["2010",6]]}}}],"schema":"https://github.com/citation-style-language/schema/raw/master/csl-citation.json"} </w:instrText>
      </w:r>
      <w:r w:rsidR="005C6AF9">
        <w:rPr>
          <w:rFonts w:cs="Arial"/>
          <w:sz w:val="24"/>
          <w:szCs w:val="24"/>
          <w:vertAlign w:val="superscript"/>
        </w:rPr>
        <w:fldChar w:fldCharType="separate"/>
      </w:r>
      <w:r w:rsidR="00F561F3">
        <w:rPr>
          <w:rFonts w:cs="Arial"/>
          <w:sz w:val="24"/>
        </w:rPr>
        <w:t>(91)</w:t>
      </w:r>
      <w:r w:rsidR="005C6AF9">
        <w:rPr>
          <w:rFonts w:cs="Arial"/>
          <w:sz w:val="24"/>
          <w:szCs w:val="24"/>
          <w:vertAlign w:val="superscript"/>
        </w:rPr>
        <w:fldChar w:fldCharType="end"/>
      </w:r>
      <w:r w:rsidR="00A0585F">
        <w:rPr>
          <w:rFonts w:cs="Arial"/>
          <w:sz w:val="24"/>
          <w:szCs w:val="24"/>
        </w:rPr>
        <w:t>,</w:t>
      </w:r>
      <w:r w:rsidRPr="00D678CF">
        <w:rPr>
          <w:rFonts w:eastAsia="Arial" w:cs="Arial"/>
          <w:sz w:val="24"/>
          <w:szCs w:val="24"/>
        </w:rPr>
        <w:t xml:space="preserve"> were all shown to cause variability in targets within studies. Few studies (18/80, 22.5%) used resistance or regrowth suppression as a pharmacodynamic endpoint, and for these studies, 50% utilised an alternative index to </w:t>
      </w:r>
      <w:proofErr w:type="spellStart"/>
      <w:r w:rsidRPr="00D678CF">
        <w:rPr>
          <w:rFonts w:eastAsia="Arial" w:cs="Arial"/>
          <w:i/>
          <w:iCs/>
          <w:sz w:val="24"/>
          <w:szCs w:val="24"/>
        </w:rPr>
        <w:t>f</w:t>
      </w:r>
      <w:r w:rsidRPr="00D678CF">
        <w:rPr>
          <w:rFonts w:eastAsia="Arial" w:cs="Arial"/>
          <w:sz w:val="24"/>
          <w:szCs w:val="24"/>
        </w:rPr>
        <w:t>T</w:t>
      </w:r>
      <w:proofErr w:type="spellEnd"/>
      <w:r w:rsidRPr="00D678CF">
        <w:rPr>
          <w:rFonts w:eastAsia="Arial" w:cs="Arial"/>
          <w:sz w:val="24"/>
          <w:szCs w:val="24"/>
        </w:rPr>
        <w:t xml:space="preserve">&gt;MIC. </w:t>
      </w:r>
    </w:p>
    <w:p w14:paraId="76780BE3" w14:textId="57B1EF21" w:rsidR="000B3610" w:rsidRPr="001C4EFC" w:rsidRDefault="00124CCD" w:rsidP="00D678CF">
      <w:pPr>
        <w:spacing w:line="480" w:lineRule="auto"/>
        <w:jc w:val="both"/>
        <w:rPr>
          <w14:ligatures w14:val="standardContextual"/>
        </w:rPr>
      </w:pPr>
      <w:r>
        <w:rPr>
          <w:noProof/>
        </w:rPr>
        <w:t xml:space="preserve"> </w:t>
      </w:r>
    </w:p>
    <w:p w14:paraId="766D0649" w14:textId="1A658203" w:rsidR="000B3610" w:rsidRPr="006E5117" w:rsidRDefault="000B3610" w:rsidP="006E5117">
      <w:pPr>
        <w:spacing w:line="480" w:lineRule="auto"/>
        <w:jc w:val="center"/>
        <w:rPr>
          <w:rFonts w:eastAsia="Arial" w:cs="Arial"/>
          <w:i/>
          <w:iCs/>
          <w:sz w:val="24"/>
          <w:szCs w:val="24"/>
        </w:rPr>
      </w:pPr>
      <w:r w:rsidRPr="006E5117">
        <w:rPr>
          <w:rFonts w:eastAsia="Arial" w:cs="Arial"/>
          <w:i/>
          <w:iCs/>
          <w:sz w:val="24"/>
          <w:szCs w:val="24"/>
        </w:rPr>
        <w:t xml:space="preserve">CFU = colony forming units, ESBL = extended spectrum </w:t>
      </w:r>
      <w:r w:rsidR="005202BB" w:rsidRPr="006E5117">
        <w:rPr>
          <w:rFonts w:eastAsia="Arial" w:cs="Arial"/>
          <w:i/>
          <w:iCs/>
          <w:sz w:val="24"/>
          <w:szCs w:val="24"/>
        </w:rPr>
        <w:t>ß</w:t>
      </w:r>
      <w:r w:rsidRPr="006E5117">
        <w:rPr>
          <w:rFonts w:eastAsia="Arial" w:cs="Arial"/>
          <w:i/>
          <w:iCs/>
          <w:sz w:val="24"/>
          <w:szCs w:val="24"/>
        </w:rPr>
        <w:t xml:space="preserve">-lactamase, HFIM = hollow fibre infection model, OD = once daily dosing, BD = twice daily dosing, TDS = three times daily dosing, IV = intravenous administration, PO = oral administration, AUIC = area under the inhibitory curve,  </w:t>
      </w:r>
      <w:proofErr w:type="spellStart"/>
      <w:r w:rsidRPr="006E5117">
        <w:rPr>
          <w:rFonts w:eastAsia="Arial" w:cs="Arial"/>
          <w:i/>
          <w:iCs/>
          <w:sz w:val="24"/>
          <w:szCs w:val="24"/>
        </w:rPr>
        <w:t>fC</w:t>
      </w:r>
      <w:r w:rsidRPr="006E5117">
        <w:rPr>
          <w:rFonts w:eastAsia="Arial" w:cs="Arial"/>
          <w:i/>
          <w:iCs/>
          <w:sz w:val="24"/>
          <w:szCs w:val="24"/>
          <w:vertAlign w:val="subscript"/>
        </w:rPr>
        <w:t>MIN</w:t>
      </w:r>
      <w:proofErr w:type="spellEnd"/>
      <w:r w:rsidRPr="006E5117">
        <w:rPr>
          <w:rFonts w:eastAsia="Arial" w:cs="Arial"/>
          <w:i/>
          <w:iCs/>
          <w:sz w:val="24"/>
          <w:szCs w:val="24"/>
        </w:rPr>
        <w:t xml:space="preserve"> = minimum free drug concentration, C</w:t>
      </w:r>
      <w:r w:rsidRPr="006E5117">
        <w:rPr>
          <w:rFonts w:eastAsia="Arial" w:cs="Arial"/>
          <w:i/>
          <w:iCs/>
          <w:sz w:val="24"/>
          <w:szCs w:val="24"/>
          <w:vertAlign w:val="subscript"/>
        </w:rPr>
        <w:t>SS</w:t>
      </w:r>
      <w:r w:rsidRPr="006E5117">
        <w:rPr>
          <w:rFonts w:eastAsia="Arial" w:cs="Arial"/>
          <w:i/>
          <w:iCs/>
          <w:sz w:val="24"/>
          <w:szCs w:val="24"/>
        </w:rPr>
        <w:t>= steady state drug concentration, LESCC = lowest effective steady-state concentration, MBC = minimum bactericidal concentration, MPC = mutant prevention concentration, MSW = mutant selection window</w:t>
      </w:r>
    </w:p>
    <w:p w14:paraId="711F13E5" w14:textId="03342C3E" w:rsidR="009B4B24" w:rsidRPr="001C4EFC" w:rsidRDefault="000B3610" w:rsidP="001C4EFC">
      <w:pPr>
        <w:spacing w:line="480" w:lineRule="auto"/>
        <w:jc w:val="both"/>
        <w:rPr>
          <w:rFonts w:eastAsia="Arial" w:cs="Arial"/>
          <w:i/>
          <w:iCs/>
          <w:sz w:val="24"/>
          <w:szCs w:val="24"/>
        </w:rPr>
      </w:pPr>
      <w:r w:rsidRPr="006E5117">
        <w:rPr>
          <w:rFonts w:eastAsia="Arial" w:cs="Arial"/>
          <w:b/>
          <w:bCs/>
          <w:i/>
          <w:iCs/>
          <w:sz w:val="24"/>
          <w:szCs w:val="24"/>
        </w:rPr>
        <w:t xml:space="preserve">Table 2. </w:t>
      </w:r>
      <w:r w:rsidRPr="006E5117">
        <w:rPr>
          <w:rFonts w:eastAsia="Arial" w:cs="Arial"/>
          <w:i/>
          <w:iCs/>
          <w:sz w:val="24"/>
          <w:szCs w:val="24"/>
        </w:rPr>
        <w:t xml:space="preserve">Summary of 80 published studies defining a pharmacodynamic target for any </w:t>
      </w:r>
      <w:r w:rsidR="005202BB" w:rsidRPr="006E5117">
        <w:rPr>
          <w:rFonts w:eastAsia="Arial" w:cs="Arial"/>
          <w:i/>
          <w:iCs/>
          <w:sz w:val="24"/>
          <w:szCs w:val="24"/>
        </w:rPr>
        <w:t xml:space="preserve">ß-lactam </w:t>
      </w:r>
      <w:r w:rsidRPr="006E5117">
        <w:rPr>
          <w:rFonts w:eastAsia="Arial" w:cs="Arial"/>
          <w:i/>
          <w:iCs/>
          <w:sz w:val="24"/>
          <w:szCs w:val="24"/>
        </w:rPr>
        <w:t xml:space="preserve">antibiotic. </w:t>
      </w:r>
    </w:p>
    <w:p w14:paraId="06FC43B2" w14:textId="7091F0A5" w:rsidR="00C31DA5" w:rsidRPr="00D678CF" w:rsidRDefault="00C31DA5" w:rsidP="00D678CF">
      <w:pPr>
        <w:pStyle w:val="Heading1"/>
        <w:spacing w:line="480" w:lineRule="auto"/>
        <w:rPr>
          <w:rFonts w:cs="Times New Roman (Headings CS)"/>
          <w:caps/>
        </w:rPr>
      </w:pPr>
      <w:bookmarkStart w:id="16" w:name="_Toc154184993"/>
      <w:r w:rsidRPr="00D678CF">
        <w:rPr>
          <w:rFonts w:cs="Times New Roman (Headings CS)"/>
          <w:caps/>
        </w:rPr>
        <w:lastRenderedPageBreak/>
        <w:t xml:space="preserve">Discussion: Challenges </w:t>
      </w:r>
      <w:r w:rsidR="00B77EAE">
        <w:rPr>
          <w:rFonts w:cs="Times New Roman (Headings CS)"/>
          <w:caps/>
        </w:rPr>
        <w:t>&amp;</w:t>
      </w:r>
      <w:r w:rsidRPr="00D678CF">
        <w:rPr>
          <w:rFonts w:cs="Times New Roman (Headings CS)"/>
          <w:caps/>
        </w:rPr>
        <w:t xml:space="preserve"> opportunities</w:t>
      </w:r>
      <w:bookmarkEnd w:id="16"/>
    </w:p>
    <w:p w14:paraId="286E01D7" w14:textId="7B2095FE" w:rsidR="001A3745" w:rsidRPr="00D678CF" w:rsidRDefault="009747A3" w:rsidP="00D678CF">
      <w:pPr>
        <w:pStyle w:val="Heading2"/>
        <w:spacing w:line="480" w:lineRule="auto"/>
      </w:pPr>
      <w:bookmarkStart w:id="17" w:name="_Toc154184994"/>
      <w:r w:rsidRPr="00D678CF">
        <w:t>Antibiotic regimen &amp; drug exposure</w:t>
      </w:r>
      <w:bookmarkEnd w:id="17"/>
      <w:r w:rsidR="001A3745" w:rsidRPr="00D678CF">
        <w:t xml:space="preserve"> </w:t>
      </w:r>
    </w:p>
    <w:p w14:paraId="553A778C" w14:textId="604C7F53" w:rsidR="00042F77" w:rsidRDefault="001A3745" w:rsidP="00D678CF">
      <w:pPr>
        <w:spacing w:line="480" w:lineRule="auto"/>
        <w:jc w:val="both"/>
        <w:rPr>
          <w:rFonts w:eastAsia="Arial" w:cs="Arial"/>
          <w:sz w:val="24"/>
          <w:szCs w:val="24"/>
        </w:rPr>
      </w:pPr>
      <w:r w:rsidRPr="00D678CF">
        <w:rPr>
          <w:rFonts w:eastAsia="Arial" w:cs="Arial"/>
          <w:sz w:val="24"/>
          <w:szCs w:val="24"/>
        </w:rPr>
        <w:t xml:space="preserve">The key concept </w:t>
      </w:r>
      <w:r w:rsidR="00156C49" w:rsidRPr="00D678CF">
        <w:rPr>
          <w:rFonts w:eastAsia="Arial" w:cs="Arial"/>
          <w:sz w:val="24"/>
          <w:szCs w:val="24"/>
        </w:rPr>
        <w:t xml:space="preserve">that </w:t>
      </w:r>
      <w:r w:rsidR="0089001F" w:rsidRPr="00D678CF">
        <w:rPr>
          <w:rFonts w:eastAsia="Arial" w:cs="Arial"/>
          <w:sz w:val="24"/>
          <w:szCs w:val="24"/>
        </w:rPr>
        <w:t>underpins</w:t>
      </w:r>
      <w:r w:rsidR="00156C49" w:rsidRPr="00D678CF">
        <w:rPr>
          <w:rFonts w:eastAsia="Arial" w:cs="Arial"/>
          <w:sz w:val="24"/>
          <w:szCs w:val="24"/>
        </w:rPr>
        <w:t xml:space="preserve"> </w:t>
      </w:r>
      <w:proofErr w:type="spellStart"/>
      <w:r w:rsidR="00E957CE" w:rsidRPr="00D678CF">
        <w:rPr>
          <w:rFonts w:eastAsia="Arial" w:cs="Arial"/>
          <w:sz w:val="24"/>
          <w:szCs w:val="24"/>
        </w:rPr>
        <w:t>P</w:t>
      </w:r>
      <w:r w:rsidR="00156C49" w:rsidRPr="00D678CF">
        <w:rPr>
          <w:rFonts w:eastAsia="Arial" w:cs="Arial"/>
          <w:sz w:val="24"/>
          <w:szCs w:val="24"/>
        </w:rPr>
        <w:t>opPK</w:t>
      </w:r>
      <w:proofErr w:type="spellEnd"/>
      <w:r w:rsidR="00156C49" w:rsidRPr="00D678CF">
        <w:rPr>
          <w:rFonts w:eastAsia="Arial" w:cs="Arial"/>
          <w:sz w:val="24"/>
          <w:szCs w:val="24"/>
        </w:rPr>
        <w:t xml:space="preserve"> studies</w:t>
      </w:r>
      <w:r w:rsidR="003A0A61" w:rsidRPr="00D678CF">
        <w:rPr>
          <w:rFonts w:eastAsia="Arial" w:cs="Arial"/>
          <w:sz w:val="24"/>
          <w:szCs w:val="24"/>
        </w:rPr>
        <w:t xml:space="preserve"> is that </w:t>
      </w:r>
      <w:r w:rsidR="00E44560" w:rsidRPr="00D678CF">
        <w:rPr>
          <w:rFonts w:eastAsia="Arial" w:cs="Arial"/>
          <w:sz w:val="24"/>
          <w:szCs w:val="24"/>
        </w:rPr>
        <w:t>robust estimates of</w:t>
      </w:r>
      <w:r w:rsidR="007118E0" w:rsidRPr="00D678CF">
        <w:rPr>
          <w:rFonts w:eastAsia="Arial" w:cs="Arial"/>
          <w:sz w:val="24"/>
          <w:szCs w:val="24"/>
        </w:rPr>
        <w:t xml:space="preserve"> variability </w:t>
      </w:r>
      <w:r w:rsidR="00E44560" w:rsidRPr="00D678CF">
        <w:rPr>
          <w:rFonts w:eastAsia="Arial" w:cs="Arial"/>
          <w:sz w:val="24"/>
          <w:szCs w:val="24"/>
        </w:rPr>
        <w:t xml:space="preserve">are </w:t>
      </w:r>
      <w:r w:rsidR="001B1043" w:rsidRPr="00D678CF">
        <w:rPr>
          <w:rFonts w:eastAsia="Arial" w:cs="Arial"/>
          <w:sz w:val="24"/>
          <w:szCs w:val="24"/>
        </w:rPr>
        <w:t>central</w:t>
      </w:r>
      <w:r w:rsidR="00E44560" w:rsidRPr="00D678CF">
        <w:rPr>
          <w:rFonts w:eastAsia="Arial" w:cs="Arial"/>
          <w:sz w:val="24"/>
          <w:szCs w:val="24"/>
        </w:rPr>
        <w:t xml:space="preserve"> </w:t>
      </w:r>
      <w:r w:rsidR="00156ADF" w:rsidRPr="00D678CF">
        <w:rPr>
          <w:rFonts w:eastAsia="Arial" w:cs="Arial"/>
          <w:sz w:val="24"/>
          <w:szCs w:val="24"/>
        </w:rPr>
        <w:t>to</w:t>
      </w:r>
      <w:r w:rsidR="00E44560" w:rsidRPr="00D678CF">
        <w:rPr>
          <w:rFonts w:eastAsia="Arial" w:cs="Arial"/>
          <w:sz w:val="24"/>
          <w:szCs w:val="24"/>
        </w:rPr>
        <w:t xml:space="preserve"> estimating the </w:t>
      </w:r>
      <w:r w:rsidR="00A721DA" w:rsidRPr="00D678CF">
        <w:rPr>
          <w:rFonts w:eastAsia="Arial" w:cs="Arial"/>
          <w:sz w:val="24"/>
          <w:szCs w:val="24"/>
        </w:rPr>
        <w:t xml:space="preserve">likely treatment effects </w:t>
      </w:r>
      <w:r w:rsidR="003673E6" w:rsidRPr="00D678CF">
        <w:rPr>
          <w:rFonts w:eastAsia="Arial" w:cs="Arial"/>
          <w:sz w:val="24"/>
          <w:szCs w:val="24"/>
        </w:rPr>
        <w:t xml:space="preserve">for any given </w:t>
      </w:r>
      <w:r w:rsidR="232CE3CB" w:rsidRPr="00D678CF">
        <w:rPr>
          <w:rFonts w:eastAsia="Arial" w:cs="Arial"/>
          <w:sz w:val="24"/>
          <w:szCs w:val="24"/>
        </w:rPr>
        <w:t>antibiotic</w:t>
      </w:r>
      <w:r w:rsidR="00AC27EF" w:rsidRPr="00D678CF">
        <w:rPr>
          <w:rFonts w:eastAsia="Arial" w:cs="Arial"/>
          <w:sz w:val="24"/>
          <w:szCs w:val="24"/>
        </w:rPr>
        <w:t xml:space="preserve"> </w:t>
      </w:r>
      <w:r w:rsidR="003673E6" w:rsidRPr="00D678CF">
        <w:rPr>
          <w:rFonts w:eastAsia="Arial" w:cs="Arial"/>
          <w:sz w:val="24"/>
          <w:szCs w:val="24"/>
        </w:rPr>
        <w:t>regimen.</w:t>
      </w:r>
      <w:r w:rsidR="00462B62" w:rsidRPr="00D678CF">
        <w:rPr>
          <w:rFonts w:eastAsia="Arial" w:cs="Arial"/>
          <w:sz w:val="24"/>
          <w:szCs w:val="24"/>
        </w:rPr>
        <w:t xml:space="preserve"> </w:t>
      </w:r>
      <w:r w:rsidR="004F3665" w:rsidRPr="00D678CF">
        <w:rPr>
          <w:rFonts w:eastAsia="Arial" w:cs="Arial"/>
          <w:sz w:val="24"/>
          <w:szCs w:val="24"/>
        </w:rPr>
        <w:t xml:space="preserve">Studying </w:t>
      </w:r>
      <w:r w:rsidR="007540CF" w:rsidRPr="00D678CF">
        <w:rPr>
          <w:rFonts w:eastAsia="Arial" w:cs="Arial"/>
          <w:sz w:val="24"/>
          <w:szCs w:val="24"/>
        </w:rPr>
        <w:t xml:space="preserve">homogenous patient populations </w:t>
      </w:r>
      <w:r w:rsidR="00CB520B" w:rsidRPr="00D678CF">
        <w:rPr>
          <w:rFonts w:eastAsia="Arial" w:cs="Arial"/>
          <w:sz w:val="24"/>
          <w:szCs w:val="24"/>
        </w:rPr>
        <w:t xml:space="preserve">generally results in </w:t>
      </w:r>
      <w:r w:rsidR="00315679" w:rsidRPr="00D678CF">
        <w:rPr>
          <w:rFonts w:eastAsia="Arial" w:cs="Arial"/>
          <w:sz w:val="24"/>
          <w:szCs w:val="24"/>
        </w:rPr>
        <w:t xml:space="preserve">measures of central tendency that approximate the </w:t>
      </w:r>
      <w:r w:rsidR="00593C84" w:rsidRPr="00D678CF">
        <w:rPr>
          <w:rFonts w:eastAsia="Arial" w:cs="Arial"/>
          <w:sz w:val="24"/>
          <w:szCs w:val="24"/>
        </w:rPr>
        <w:t xml:space="preserve">true population value but the </w:t>
      </w:r>
      <w:r w:rsidR="7C0D9093" w:rsidRPr="00D678CF">
        <w:rPr>
          <w:rFonts w:eastAsia="Arial" w:cs="Arial"/>
          <w:sz w:val="24"/>
          <w:szCs w:val="24"/>
        </w:rPr>
        <w:t>coefficient of variation (</w:t>
      </w:r>
      <w:r w:rsidR="00593C84" w:rsidRPr="00D678CF">
        <w:rPr>
          <w:rFonts w:eastAsia="Arial" w:cs="Arial"/>
          <w:sz w:val="24"/>
          <w:szCs w:val="24"/>
        </w:rPr>
        <w:t>CV%</w:t>
      </w:r>
      <w:r w:rsidR="4A42582E" w:rsidRPr="00D678CF">
        <w:rPr>
          <w:rFonts w:eastAsia="Arial" w:cs="Arial"/>
          <w:sz w:val="24"/>
          <w:szCs w:val="24"/>
        </w:rPr>
        <w:t>)</w:t>
      </w:r>
      <w:r w:rsidR="007118E0" w:rsidRPr="00D678CF">
        <w:rPr>
          <w:rFonts w:eastAsia="Arial" w:cs="Arial"/>
          <w:sz w:val="24"/>
          <w:szCs w:val="24"/>
        </w:rPr>
        <w:t xml:space="preserve"> is </w:t>
      </w:r>
      <w:r w:rsidR="00846775" w:rsidRPr="00D678CF">
        <w:rPr>
          <w:rFonts w:eastAsia="Arial" w:cs="Arial"/>
          <w:sz w:val="24"/>
          <w:szCs w:val="24"/>
        </w:rPr>
        <w:t>much lower</w:t>
      </w:r>
      <w:r w:rsidR="00CB7003" w:rsidRPr="00D678CF">
        <w:rPr>
          <w:rFonts w:eastAsia="Arial" w:cs="Arial"/>
          <w:sz w:val="24"/>
          <w:szCs w:val="24"/>
        </w:rPr>
        <w:t xml:space="preserve">. </w:t>
      </w:r>
      <w:r w:rsidR="004B33A5" w:rsidRPr="00D678CF">
        <w:rPr>
          <w:rFonts w:eastAsia="Arial" w:cs="Arial"/>
          <w:sz w:val="24"/>
          <w:szCs w:val="24"/>
        </w:rPr>
        <w:t xml:space="preserve">For example, the CV% for </w:t>
      </w:r>
      <w:r w:rsidR="00C31DA5" w:rsidRPr="00D678CF">
        <w:rPr>
          <w:rFonts w:eastAsia="Arial" w:cs="Arial"/>
          <w:sz w:val="24"/>
          <w:szCs w:val="24"/>
        </w:rPr>
        <w:t xml:space="preserve">antibiotic </w:t>
      </w:r>
      <w:r w:rsidR="004B33A5" w:rsidRPr="00D678CF">
        <w:rPr>
          <w:rFonts w:eastAsia="Arial" w:cs="Arial"/>
          <w:sz w:val="24"/>
          <w:szCs w:val="24"/>
        </w:rPr>
        <w:t xml:space="preserve">clearance (and hence </w:t>
      </w:r>
      <w:r w:rsidR="00173D1B" w:rsidRPr="00D678CF">
        <w:rPr>
          <w:rFonts w:eastAsia="Arial" w:cs="Arial"/>
          <w:sz w:val="24"/>
          <w:szCs w:val="24"/>
        </w:rPr>
        <w:t>area under the concentration time curve (</w:t>
      </w:r>
      <w:r w:rsidR="004B33A5" w:rsidRPr="00D678CF">
        <w:rPr>
          <w:rFonts w:eastAsia="Arial" w:cs="Arial"/>
          <w:sz w:val="24"/>
          <w:szCs w:val="24"/>
        </w:rPr>
        <w:t>AUC</w:t>
      </w:r>
      <w:r w:rsidR="00173D1B" w:rsidRPr="00D678CF">
        <w:rPr>
          <w:rFonts w:eastAsia="Arial" w:cs="Arial"/>
          <w:sz w:val="24"/>
          <w:szCs w:val="24"/>
        </w:rPr>
        <w:t>)</w:t>
      </w:r>
      <w:r w:rsidR="004B33A5" w:rsidRPr="00D678CF">
        <w:rPr>
          <w:rFonts w:eastAsia="Arial" w:cs="Arial"/>
          <w:sz w:val="24"/>
          <w:szCs w:val="24"/>
        </w:rPr>
        <w:t xml:space="preserve">) for </w:t>
      </w:r>
      <w:r w:rsidR="007C24E3" w:rsidRPr="00D678CF">
        <w:rPr>
          <w:rFonts w:eastAsia="Arial" w:cs="Arial"/>
          <w:sz w:val="24"/>
          <w:szCs w:val="24"/>
        </w:rPr>
        <w:t xml:space="preserve">human volunteers is generally </w:t>
      </w:r>
      <w:r w:rsidR="006C3357" w:rsidRPr="00D678CF">
        <w:rPr>
          <w:rFonts w:eastAsia="Arial" w:cs="Arial"/>
          <w:sz w:val="24"/>
          <w:szCs w:val="24"/>
        </w:rPr>
        <w:t>4</w:t>
      </w:r>
      <w:r w:rsidR="00770518" w:rsidRPr="00D678CF">
        <w:rPr>
          <w:rFonts w:eastAsia="Arial" w:cs="Arial"/>
          <w:sz w:val="24"/>
          <w:szCs w:val="24"/>
        </w:rPr>
        <w:t>0</w:t>
      </w:r>
      <w:r w:rsidR="007C24E3" w:rsidRPr="00D678CF">
        <w:rPr>
          <w:rFonts w:eastAsia="Arial" w:cs="Arial"/>
          <w:sz w:val="24"/>
          <w:szCs w:val="24"/>
        </w:rPr>
        <w:t>-50%</w:t>
      </w:r>
      <w:r w:rsidR="006C3357" w:rsidRPr="00D678CF">
        <w:rPr>
          <w:rFonts w:eastAsia="Arial" w:cs="Arial"/>
          <w:sz w:val="24"/>
          <w:szCs w:val="24"/>
        </w:rPr>
        <w:t xml:space="preserve">, </w:t>
      </w:r>
      <w:r w:rsidR="007C24E3" w:rsidRPr="00D678CF">
        <w:rPr>
          <w:rFonts w:eastAsia="Arial" w:cs="Arial"/>
          <w:sz w:val="24"/>
          <w:szCs w:val="24"/>
        </w:rPr>
        <w:t xml:space="preserve">but generally doubles in </w:t>
      </w:r>
      <w:r w:rsidR="00C35CD0" w:rsidRPr="00D678CF">
        <w:rPr>
          <w:rFonts w:eastAsia="Arial" w:cs="Arial"/>
          <w:sz w:val="24"/>
          <w:szCs w:val="24"/>
        </w:rPr>
        <w:t xml:space="preserve">patients and may be &gt;100% </w:t>
      </w:r>
      <w:r w:rsidR="00283554" w:rsidRPr="00D678CF">
        <w:rPr>
          <w:rFonts w:eastAsia="Arial" w:cs="Arial"/>
          <w:sz w:val="24"/>
          <w:szCs w:val="24"/>
        </w:rPr>
        <w:t xml:space="preserve">in </w:t>
      </w:r>
      <w:r w:rsidR="0048674E" w:rsidRPr="00D678CF">
        <w:rPr>
          <w:rFonts w:eastAsia="Arial" w:cs="Arial"/>
          <w:sz w:val="24"/>
          <w:szCs w:val="24"/>
        </w:rPr>
        <w:t>those with extreme physiology</w:t>
      </w:r>
      <w:r w:rsidR="002D2CEB">
        <w:rPr>
          <w:rFonts w:eastAsia="Arial" w:cs="Arial"/>
          <w:sz w:val="24"/>
          <w:szCs w:val="24"/>
        </w:rPr>
        <w:t xml:space="preserve"> (e.g. in critical care)</w:t>
      </w:r>
      <w:r w:rsidR="00A0585F">
        <w:rPr>
          <w:rFonts w:eastAsia="Arial" w:cs="Arial"/>
          <w:sz w:val="24"/>
          <w:szCs w:val="24"/>
        </w:rPr>
        <w:t xml:space="preserve"> </w:t>
      </w:r>
      <w:r w:rsidR="005C6AF9">
        <w:rPr>
          <w:rFonts w:eastAsia="Arial" w:cs="Arial"/>
          <w:sz w:val="24"/>
          <w:szCs w:val="24"/>
        </w:rPr>
        <w:fldChar w:fldCharType="begin"/>
      </w:r>
      <w:r w:rsidR="00F561F3">
        <w:rPr>
          <w:rFonts w:eastAsia="Arial" w:cs="Arial"/>
          <w:sz w:val="24"/>
          <w:szCs w:val="24"/>
        </w:rPr>
        <w:instrText xml:space="preserve"> ADDIN ZOTERO_ITEM CSL_CITATION {"citationID":"1HapE7aw","properties":{"formattedCitation":"(33)","plainCitation":"(33)","noteIndex":0},"citationItems":[{"id":971,"uris":["http://zotero.org/users/11114586/items/CLDIDYWA"],"itemData":{"id":971,"type":"article-journal","abstract":"For treatment of multidrug-resistant tuberculosis (MDR-TB), there is a scarcity of antituberculosis drugs. Co-trimoxazole is one of the available drug candidates, and it is already frequently coprescribed for TB-HIV-coinfected patients. However, only limited data are available on the pharmacokinetic (PK) and pharmacodynamic (PD) parameters of co-trimoxazole in TB patients. The objective of this study was to evaluate the PK parameters and in vitro PD data on the effective part of co-trimoxazole: sulfamethoxazole. In a prospective PK study in patients infected with drug-susceptible Mycobacterium tuberculosis (drug-susceptible TB patients) (age, &gt;18), sulfamethoxazole-trimethoprim (SXT) was administered orally at a dose of 960 mg once daily. One-compartment population pharmacokinetic modeling was performed using MW\\Pharm 3.81 (Mediware, Groningen, The Netherlands). The area under the concentration-time curve for the free, unbound fraction of a drug (fAUC)/MIC ratio and the period in which the free concentration exceeded the MIC (fT &gt; MIC) were calculated. Twelve patients received 960 mg co-trimoxazole in addition to first-line drugs. The pharmacokinetic parameters of the population model were as follows (geometric mean ± standard deviation [SD]): metabolic clearance (CLm), 1.57 ± 3.71 liters/h; volume of distribution (V), 0.30 ± 0.05 liters·kg lean body mass-1; drug clearance/creatinine clearance ratio (fr), 0.02 ± 0.13; gamma distribution rate constant (ktr-po), 2.18 ± 1.14; gamma distribution shape factor (n-po), 2.15 ± 0.39. The free fraction of sulfamethoxazole was 0.3, but ranged between 0.2 and 0.4. The median value of the MICs was 9.5 mg/liter (interquartile range [IQR], 4.75 to 9.5), and that of the fAUC/MIC ratio was 14.3 (IQR, 13.0 to 17.5). The percentage of fT &gt; MIC ranged between 43 and 100% of the dosing interval. The PK and PD data from this study are useful to explore a future dosing regimen of co-trimoxazole for MDR-TB treatment. (This study has been registered at ClinicalTrials.gov under registration no. NCT01832987.).","container-title":"Antimicrobial Agents and Chemotherapy","DOI":"10.1128/AAC.02175-15","ISSN":"10986596","issue":"7","note":"PMID: 27067336\npublisher: American Society for Microbiology","page":"3942-3947","title":"Pharmacokinetic evaluation of sulfamethoxazole at 800 milligrams once daily in the treatment of tuberculosis","volume":"60","author":[{"family":"Alsaad","given":"N."},{"family":"Dijkstra","given":"J. A."},{"family":"Akkerman","given":"O. W."},{"family":"De Lange","given":"W. C.M."},{"family":"Van Soolingen","given":"D."},{"family":"Kosterink","given":"J. G.W."},{"family":"Van Der Werf","given":"T. S."},{"family":"Alffenaar","given":"J. W.C."}],"issued":{"date-parts":[["2016",7,1]]}}}],"schema":"https://github.com/citation-style-language/schema/raw/master/csl-citation.json"} </w:instrText>
      </w:r>
      <w:r w:rsidR="005C6AF9">
        <w:rPr>
          <w:rFonts w:eastAsia="Arial" w:cs="Arial"/>
          <w:sz w:val="24"/>
          <w:szCs w:val="24"/>
        </w:rPr>
        <w:fldChar w:fldCharType="separate"/>
      </w:r>
      <w:r w:rsidR="00F561F3">
        <w:rPr>
          <w:rFonts w:cs="Arial"/>
          <w:sz w:val="24"/>
        </w:rPr>
        <w:t>(33)</w:t>
      </w:r>
      <w:r w:rsidR="005C6AF9">
        <w:rPr>
          <w:rFonts w:eastAsia="Arial" w:cs="Arial"/>
          <w:sz w:val="24"/>
          <w:szCs w:val="24"/>
        </w:rPr>
        <w:fldChar w:fldCharType="end"/>
      </w:r>
      <w:r w:rsidR="00A0585F">
        <w:rPr>
          <w:rFonts w:eastAsia="Arial" w:cs="Arial"/>
          <w:sz w:val="24"/>
          <w:szCs w:val="24"/>
        </w:rPr>
        <w:t>.</w:t>
      </w:r>
      <w:r w:rsidR="007974A0" w:rsidRPr="00D678CF">
        <w:rPr>
          <w:rFonts w:eastAsia="Arial" w:cs="Arial"/>
          <w:sz w:val="24"/>
          <w:szCs w:val="24"/>
        </w:rPr>
        <w:t xml:space="preserve"> </w:t>
      </w:r>
      <w:r w:rsidR="00CB7003" w:rsidRPr="00D678CF">
        <w:rPr>
          <w:rFonts w:eastAsia="Arial" w:cs="Arial"/>
          <w:sz w:val="24"/>
          <w:szCs w:val="24"/>
        </w:rPr>
        <w:t xml:space="preserve">Using </w:t>
      </w:r>
      <w:r w:rsidR="007E7285" w:rsidRPr="00D678CF">
        <w:rPr>
          <w:rFonts w:eastAsia="Arial" w:cs="Arial"/>
          <w:sz w:val="24"/>
          <w:szCs w:val="24"/>
        </w:rPr>
        <w:t>unrepresentative</w:t>
      </w:r>
      <w:r w:rsidR="00CB7003" w:rsidRPr="00D678CF">
        <w:rPr>
          <w:rFonts w:eastAsia="Arial" w:cs="Arial"/>
          <w:sz w:val="24"/>
          <w:szCs w:val="24"/>
        </w:rPr>
        <w:t xml:space="preserve"> </w:t>
      </w:r>
      <w:r w:rsidR="00BD67E2" w:rsidRPr="00D678CF">
        <w:rPr>
          <w:rFonts w:eastAsia="Arial" w:cs="Arial"/>
          <w:sz w:val="24"/>
          <w:szCs w:val="24"/>
        </w:rPr>
        <w:t>patient groups (and therefore</w:t>
      </w:r>
      <w:r w:rsidR="00CB7003" w:rsidRPr="00D678CF">
        <w:rPr>
          <w:rFonts w:eastAsia="Arial" w:cs="Arial"/>
          <w:sz w:val="24"/>
          <w:szCs w:val="24"/>
        </w:rPr>
        <w:t xml:space="preserve"> models</w:t>
      </w:r>
      <w:r w:rsidR="00BD67E2" w:rsidRPr="00D678CF">
        <w:rPr>
          <w:rFonts w:eastAsia="Arial" w:cs="Arial"/>
          <w:sz w:val="24"/>
          <w:szCs w:val="24"/>
        </w:rPr>
        <w:t>)</w:t>
      </w:r>
      <w:r w:rsidR="00CB7003" w:rsidRPr="00D678CF">
        <w:rPr>
          <w:rFonts w:eastAsia="Arial" w:cs="Arial"/>
          <w:sz w:val="24"/>
          <w:szCs w:val="24"/>
        </w:rPr>
        <w:t xml:space="preserve"> for regimen planning</w:t>
      </w:r>
      <w:r w:rsidR="00ED61D2" w:rsidRPr="00D678CF">
        <w:rPr>
          <w:rFonts w:eastAsia="Arial" w:cs="Arial"/>
          <w:sz w:val="24"/>
          <w:szCs w:val="24"/>
        </w:rPr>
        <w:t xml:space="preserve"> </w:t>
      </w:r>
      <w:r w:rsidR="00DA4C25" w:rsidRPr="00D678CF">
        <w:rPr>
          <w:rFonts w:eastAsia="Arial" w:cs="Arial"/>
          <w:sz w:val="24"/>
          <w:szCs w:val="24"/>
        </w:rPr>
        <w:t xml:space="preserve">generally results in </w:t>
      </w:r>
      <w:r w:rsidR="00687DB0" w:rsidRPr="00D678CF">
        <w:rPr>
          <w:rFonts w:eastAsia="Arial" w:cs="Arial"/>
          <w:sz w:val="24"/>
          <w:szCs w:val="24"/>
        </w:rPr>
        <w:t xml:space="preserve">underestimating </w:t>
      </w:r>
      <w:r w:rsidR="00D85E44" w:rsidRPr="00D678CF">
        <w:rPr>
          <w:rFonts w:eastAsia="Arial" w:cs="Arial"/>
          <w:sz w:val="24"/>
          <w:szCs w:val="24"/>
        </w:rPr>
        <w:t>variance</w:t>
      </w:r>
      <w:r w:rsidR="00687DB0" w:rsidRPr="00D678CF">
        <w:rPr>
          <w:rFonts w:eastAsia="Arial" w:cs="Arial"/>
          <w:sz w:val="24"/>
          <w:szCs w:val="24"/>
        </w:rPr>
        <w:t xml:space="preserve"> by a factor of </w:t>
      </w:r>
      <w:r w:rsidR="00B07B8F" w:rsidRPr="00D678CF">
        <w:rPr>
          <w:rFonts w:eastAsia="Arial" w:cs="Arial"/>
          <w:sz w:val="24"/>
          <w:szCs w:val="24"/>
        </w:rPr>
        <w:t>approximately</w:t>
      </w:r>
      <w:r w:rsidR="00687DB0" w:rsidRPr="00D678CF">
        <w:rPr>
          <w:rFonts w:eastAsia="Arial" w:cs="Arial"/>
          <w:sz w:val="24"/>
          <w:szCs w:val="24"/>
        </w:rPr>
        <w:t xml:space="preserve"> two, which </w:t>
      </w:r>
      <w:r w:rsidR="00731140" w:rsidRPr="00D678CF">
        <w:rPr>
          <w:rFonts w:eastAsia="Arial" w:cs="Arial"/>
          <w:sz w:val="24"/>
          <w:szCs w:val="24"/>
        </w:rPr>
        <w:t xml:space="preserve">translates </w:t>
      </w:r>
      <w:r w:rsidR="00B234AB" w:rsidRPr="00D678CF">
        <w:rPr>
          <w:rFonts w:eastAsia="Arial" w:cs="Arial"/>
          <w:sz w:val="24"/>
          <w:szCs w:val="24"/>
        </w:rPr>
        <w:t xml:space="preserve">to </w:t>
      </w:r>
      <w:r w:rsidR="006039A3" w:rsidRPr="00D678CF">
        <w:rPr>
          <w:rFonts w:eastAsia="Arial" w:cs="Arial"/>
          <w:sz w:val="24"/>
          <w:szCs w:val="24"/>
        </w:rPr>
        <w:t>being able to treat</w:t>
      </w:r>
      <w:r w:rsidR="006B6F5C" w:rsidRPr="00D678CF">
        <w:rPr>
          <w:rFonts w:eastAsia="Arial" w:cs="Arial"/>
          <w:sz w:val="24"/>
          <w:szCs w:val="24"/>
        </w:rPr>
        <w:t xml:space="preserve"> </w:t>
      </w:r>
      <w:r w:rsidR="002B5906" w:rsidRPr="00D678CF">
        <w:rPr>
          <w:rFonts w:eastAsia="Arial" w:cs="Arial"/>
          <w:sz w:val="24"/>
          <w:szCs w:val="24"/>
        </w:rPr>
        <w:t xml:space="preserve">a pathogen with one doubling dilution </w:t>
      </w:r>
      <w:r w:rsidR="007D5356" w:rsidRPr="00D678CF">
        <w:rPr>
          <w:rFonts w:eastAsia="Arial" w:cs="Arial"/>
          <w:sz w:val="24"/>
          <w:szCs w:val="24"/>
        </w:rPr>
        <w:t>lower</w:t>
      </w:r>
      <w:r w:rsidR="002B5906" w:rsidRPr="00D678CF">
        <w:rPr>
          <w:rFonts w:eastAsia="Arial" w:cs="Arial"/>
          <w:sz w:val="24"/>
          <w:szCs w:val="24"/>
        </w:rPr>
        <w:t xml:space="preserve"> MIC (</w:t>
      </w:r>
      <w:r w:rsidR="006B6F5C" w:rsidRPr="00D678CF">
        <w:rPr>
          <w:rFonts w:eastAsia="Arial" w:cs="Arial"/>
          <w:sz w:val="24"/>
          <w:szCs w:val="24"/>
        </w:rPr>
        <w:t xml:space="preserve">e.g. </w:t>
      </w:r>
      <w:r w:rsidR="003C4A5D" w:rsidRPr="00D678CF">
        <w:rPr>
          <w:rFonts w:eastAsia="Arial" w:cs="Arial"/>
          <w:sz w:val="24"/>
          <w:szCs w:val="24"/>
        </w:rPr>
        <w:t xml:space="preserve">for a volunteer </w:t>
      </w:r>
      <w:r w:rsidR="00FD1475" w:rsidRPr="00D678CF">
        <w:rPr>
          <w:rFonts w:eastAsia="Arial" w:cs="Arial"/>
          <w:sz w:val="24"/>
          <w:szCs w:val="24"/>
        </w:rPr>
        <w:t>population</w:t>
      </w:r>
      <w:r w:rsidR="00C370F4" w:rsidRPr="00D678CF">
        <w:rPr>
          <w:rFonts w:eastAsia="Arial" w:cs="Arial"/>
          <w:sz w:val="24"/>
          <w:szCs w:val="24"/>
        </w:rPr>
        <w:t xml:space="preserve"> an MIC of </w:t>
      </w:r>
      <w:r w:rsidR="0013400D" w:rsidRPr="00D678CF">
        <w:rPr>
          <w:rFonts w:eastAsia="Arial" w:cs="Arial"/>
          <w:sz w:val="24"/>
          <w:szCs w:val="24"/>
        </w:rPr>
        <w:t>4</w:t>
      </w:r>
      <w:r w:rsidR="00C370F4" w:rsidRPr="00D678CF">
        <w:rPr>
          <w:rFonts w:eastAsia="Arial" w:cs="Arial"/>
          <w:sz w:val="24"/>
          <w:szCs w:val="24"/>
        </w:rPr>
        <w:t xml:space="preserve"> mg/L can be covered; for a patient population</w:t>
      </w:r>
      <w:r w:rsidR="007768B2" w:rsidRPr="00D678CF">
        <w:rPr>
          <w:rFonts w:eastAsia="Arial" w:cs="Arial"/>
          <w:sz w:val="24"/>
          <w:szCs w:val="24"/>
        </w:rPr>
        <w:t>, only an MIC of 2 mg/L can be adequately treated</w:t>
      </w:r>
      <w:r w:rsidR="00127777" w:rsidRPr="00D678CF">
        <w:rPr>
          <w:rFonts w:eastAsia="Arial" w:cs="Arial"/>
          <w:sz w:val="24"/>
          <w:szCs w:val="24"/>
        </w:rPr>
        <w:t>—this is the cost of increased</w:t>
      </w:r>
      <w:r w:rsidR="007118E0" w:rsidRPr="00D678CF">
        <w:rPr>
          <w:rFonts w:eastAsia="Arial" w:cs="Arial"/>
          <w:sz w:val="24"/>
          <w:szCs w:val="24"/>
        </w:rPr>
        <w:t xml:space="preserve"> variability</w:t>
      </w:r>
      <w:r w:rsidR="007768B2" w:rsidRPr="00D678CF">
        <w:rPr>
          <w:rFonts w:eastAsia="Arial" w:cs="Arial"/>
          <w:sz w:val="24"/>
          <w:szCs w:val="24"/>
        </w:rPr>
        <w:t>)</w:t>
      </w:r>
      <w:r w:rsidR="00770518" w:rsidRPr="00D678CF">
        <w:rPr>
          <w:rFonts w:eastAsia="Arial" w:cs="Arial"/>
          <w:sz w:val="24"/>
          <w:szCs w:val="24"/>
        </w:rPr>
        <w:t xml:space="preserve"> (Figure </w:t>
      </w:r>
      <w:r w:rsidR="00FD3389" w:rsidRPr="00D678CF">
        <w:rPr>
          <w:rFonts w:eastAsia="Arial" w:cs="Arial"/>
          <w:sz w:val="24"/>
          <w:szCs w:val="24"/>
        </w:rPr>
        <w:t>6</w:t>
      </w:r>
      <w:r w:rsidR="00A13799" w:rsidRPr="00D678CF">
        <w:rPr>
          <w:rFonts w:eastAsia="Arial" w:cs="Arial"/>
          <w:sz w:val="24"/>
          <w:szCs w:val="24"/>
        </w:rPr>
        <w:t>a</w:t>
      </w:r>
      <w:r w:rsidR="00770518" w:rsidRPr="00D678CF">
        <w:rPr>
          <w:rFonts w:eastAsia="Arial" w:cs="Arial"/>
          <w:sz w:val="24"/>
          <w:szCs w:val="24"/>
        </w:rPr>
        <w:t>)</w:t>
      </w:r>
      <w:r w:rsidR="007768B2" w:rsidRPr="00D678CF">
        <w:rPr>
          <w:rFonts w:eastAsia="Arial" w:cs="Arial"/>
          <w:sz w:val="24"/>
          <w:szCs w:val="24"/>
        </w:rPr>
        <w:t>.</w:t>
      </w:r>
    </w:p>
    <w:p w14:paraId="550052AD" w14:textId="77777777" w:rsidR="00491FFD" w:rsidRDefault="00491FFD" w:rsidP="00D678CF">
      <w:pPr>
        <w:spacing w:line="480" w:lineRule="auto"/>
        <w:jc w:val="both"/>
        <w:rPr>
          <w:rFonts w:eastAsia="Arial" w:cs="Arial"/>
          <w:sz w:val="24"/>
          <w:szCs w:val="24"/>
        </w:rPr>
      </w:pPr>
    </w:p>
    <w:p w14:paraId="16DA9A53" w14:textId="75B37083" w:rsidR="001D7B7F" w:rsidRPr="00D678CF" w:rsidRDefault="00491FFD" w:rsidP="00D678CF">
      <w:pPr>
        <w:spacing w:line="480" w:lineRule="auto"/>
        <w:jc w:val="both"/>
        <w:rPr>
          <w:rFonts w:eastAsia="Arial" w:cs="Arial"/>
          <w:sz w:val="24"/>
          <w:szCs w:val="24"/>
        </w:rPr>
      </w:pPr>
      <w:r>
        <w:rPr>
          <w:rFonts w:eastAsia="Arial" w:cs="Arial"/>
          <w:sz w:val="24"/>
          <w:szCs w:val="24"/>
        </w:rPr>
        <w:t xml:space="preserve">There is a marked </w:t>
      </w:r>
      <w:r w:rsidR="00BD5B7A">
        <w:rPr>
          <w:rFonts w:eastAsia="Arial" w:cs="Arial"/>
          <w:sz w:val="24"/>
          <w:szCs w:val="24"/>
        </w:rPr>
        <w:t xml:space="preserve">inequity in current </w:t>
      </w:r>
      <w:proofErr w:type="spellStart"/>
      <w:r w:rsidR="00BD5B7A">
        <w:rPr>
          <w:rFonts w:eastAsia="Arial" w:cs="Arial"/>
          <w:sz w:val="24"/>
          <w:szCs w:val="24"/>
        </w:rPr>
        <w:t>PopPK</w:t>
      </w:r>
      <w:proofErr w:type="spellEnd"/>
      <w:r w:rsidR="00BD5B7A">
        <w:rPr>
          <w:rFonts w:eastAsia="Arial" w:cs="Arial"/>
          <w:sz w:val="24"/>
          <w:szCs w:val="24"/>
        </w:rPr>
        <w:t xml:space="preserve"> datasets for key </w:t>
      </w:r>
      <w:proofErr w:type="spellStart"/>
      <w:r w:rsidR="00BD5B7A">
        <w:rPr>
          <w:rFonts w:eastAsia="Arial" w:cs="Arial"/>
          <w:sz w:val="24"/>
          <w:szCs w:val="24"/>
        </w:rPr>
        <w:t>AWaRe</w:t>
      </w:r>
      <w:proofErr w:type="spellEnd"/>
      <w:r w:rsidR="00BD5B7A">
        <w:rPr>
          <w:rFonts w:eastAsia="Arial" w:cs="Arial"/>
          <w:sz w:val="24"/>
          <w:szCs w:val="24"/>
        </w:rPr>
        <w:t xml:space="preserve"> agents (Figure 4), the lack of data from LMIC settings </w:t>
      </w:r>
      <w:r w:rsidR="00744F66">
        <w:rPr>
          <w:rFonts w:eastAsia="Arial" w:cs="Arial"/>
          <w:sz w:val="24"/>
          <w:szCs w:val="24"/>
        </w:rPr>
        <w:t xml:space="preserve">may </w:t>
      </w:r>
      <w:r w:rsidR="00BD5B7A">
        <w:rPr>
          <w:rFonts w:eastAsia="Arial" w:cs="Arial"/>
          <w:sz w:val="24"/>
          <w:szCs w:val="24"/>
        </w:rPr>
        <w:t>underestimate</w:t>
      </w:r>
      <w:r w:rsidR="00A0585F">
        <w:rPr>
          <w:rFonts w:eastAsia="Arial" w:cs="Arial"/>
          <w:sz w:val="24"/>
          <w:szCs w:val="24"/>
        </w:rPr>
        <w:t xml:space="preserve"> true</w:t>
      </w:r>
      <w:r w:rsidR="00BD5B7A">
        <w:rPr>
          <w:rFonts w:eastAsia="Arial" w:cs="Arial"/>
          <w:sz w:val="24"/>
          <w:szCs w:val="24"/>
        </w:rPr>
        <w:t xml:space="preserve"> variance. Malnutrition and chronic infections </w:t>
      </w:r>
      <w:r w:rsidR="00A0585F">
        <w:rPr>
          <w:rFonts w:eastAsia="Arial" w:cs="Arial"/>
          <w:sz w:val="24"/>
          <w:szCs w:val="24"/>
        </w:rPr>
        <w:t xml:space="preserve">may result in </w:t>
      </w:r>
      <w:r w:rsidR="00CC2F67">
        <w:rPr>
          <w:rFonts w:eastAsia="Arial" w:cs="Arial"/>
          <w:sz w:val="24"/>
          <w:szCs w:val="24"/>
        </w:rPr>
        <w:t>higher pharmacokinetic variability</w:t>
      </w:r>
      <w:r w:rsidR="00BD5B7A">
        <w:rPr>
          <w:rFonts w:eastAsia="Arial" w:cs="Arial"/>
          <w:sz w:val="24"/>
          <w:szCs w:val="24"/>
        </w:rPr>
        <w:t xml:space="preserve">. </w:t>
      </w:r>
      <w:proofErr w:type="gramStart"/>
      <w:r w:rsidR="00BD5B7A">
        <w:rPr>
          <w:rFonts w:eastAsia="Arial" w:cs="Arial"/>
          <w:sz w:val="24"/>
          <w:szCs w:val="24"/>
        </w:rPr>
        <w:t>In particular, regions</w:t>
      </w:r>
      <w:proofErr w:type="gramEnd"/>
      <w:r w:rsidR="00BD5B7A">
        <w:rPr>
          <w:rFonts w:eastAsia="Arial" w:cs="Arial"/>
          <w:sz w:val="24"/>
          <w:szCs w:val="24"/>
        </w:rPr>
        <w:t xml:space="preserve"> with a high prevalence of HIV and tuberculosis may have altered pharmacokinetics due to the disease itself (e.g.  secondary to altered body composition, reduced renal function) or </w:t>
      </w:r>
      <w:r w:rsidR="00CC2F67">
        <w:rPr>
          <w:rFonts w:eastAsia="Arial" w:cs="Arial"/>
          <w:sz w:val="24"/>
          <w:szCs w:val="24"/>
        </w:rPr>
        <w:t>drug-drug interactions (DDIs)</w:t>
      </w:r>
      <w:r w:rsidR="00BD5B7A">
        <w:rPr>
          <w:rFonts w:eastAsia="Arial" w:cs="Arial"/>
          <w:sz w:val="24"/>
          <w:szCs w:val="24"/>
        </w:rPr>
        <w:t xml:space="preserve">. </w:t>
      </w:r>
      <w:r w:rsidR="00541415">
        <w:rPr>
          <w:rFonts w:eastAsia="Arial" w:cs="Arial"/>
          <w:sz w:val="24"/>
          <w:szCs w:val="24"/>
        </w:rPr>
        <w:t xml:space="preserve">A study of ciprofloxacin </w:t>
      </w:r>
      <w:proofErr w:type="spellStart"/>
      <w:r w:rsidR="00541415">
        <w:rPr>
          <w:rFonts w:eastAsia="Arial" w:cs="Arial"/>
          <w:sz w:val="24"/>
          <w:szCs w:val="24"/>
        </w:rPr>
        <w:t>PopPK</w:t>
      </w:r>
      <w:proofErr w:type="spellEnd"/>
      <w:r w:rsidR="00541415">
        <w:rPr>
          <w:rFonts w:eastAsia="Arial" w:cs="Arial"/>
          <w:sz w:val="24"/>
          <w:szCs w:val="24"/>
        </w:rPr>
        <w:t xml:space="preserve"> that met the inclusion criteria of our systematic review determined rifampicin treatment as a significant </w:t>
      </w:r>
      <w:r w:rsidR="00541415">
        <w:rPr>
          <w:rFonts w:eastAsia="Arial" w:cs="Arial"/>
          <w:sz w:val="24"/>
          <w:szCs w:val="24"/>
        </w:rPr>
        <w:lastRenderedPageBreak/>
        <w:t>covariate; indeed</w:t>
      </w:r>
      <w:r w:rsidR="00744F66">
        <w:rPr>
          <w:rFonts w:eastAsia="Arial" w:cs="Arial"/>
          <w:sz w:val="24"/>
          <w:szCs w:val="24"/>
        </w:rPr>
        <w:t>,</w:t>
      </w:r>
      <w:r w:rsidR="00541415">
        <w:rPr>
          <w:rFonts w:eastAsia="Arial" w:cs="Arial"/>
          <w:sz w:val="24"/>
          <w:szCs w:val="24"/>
        </w:rPr>
        <w:t xml:space="preserve"> rifampicin is well established to increase the metabolism of several key oral antibiotic classes recommended for community used within the </w:t>
      </w:r>
      <w:proofErr w:type="spellStart"/>
      <w:r w:rsidR="00744F66">
        <w:rPr>
          <w:rFonts w:eastAsia="Arial" w:cs="Arial"/>
          <w:sz w:val="24"/>
          <w:szCs w:val="24"/>
        </w:rPr>
        <w:t>AWaRe</w:t>
      </w:r>
      <w:proofErr w:type="spellEnd"/>
      <w:r w:rsidR="00541415">
        <w:rPr>
          <w:rFonts w:eastAsia="Arial" w:cs="Arial"/>
          <w:sz w:val="24"/>
          <w:szCs w:val="24"/>
        </w:rPr>
        <w:t xml:space="preserve"> </w:t>
      </w:r>
      <w:r w:rsidR="00744F66">
        <w:rPr>
          <w:rFonts w:eastAsia="Arial" w:cs="Arial"/>
          <w:sz w:val="24"/>
          <w:szCs w:val="24"/>
        </w:rPr>
        <w:t>B</w:t>
      </w:r>
      <w:r w:rsidR="00541415">
        <w:rPr>
          <w:rFonts w:eastAsia="Arial" w:cs="Arial"/>
          <w:sz w:val="24"/>
          <w:szCs w:val="24"/>
        </w:rPr>
        <w:t xml:space="preserve">ook, including quinolones, macrolides and </w:t>
      </w:r>
      <w:proofErr w:type="spellStart"/>
      <w:r w:rsidR="00541415">
        <w:rPr>
          <w:rFonts w:eastAsia="Arial" w:cs="Arial"/>
          <w:sz w:val="24"/>
          <w:szCs w:val="24"/>
        </w:rPr>
        <w:t>sulfonamides</w:t>
      </w:r>
      <w:proofErr w:type="spellEnd"/>
      <w:r w:rsidR="002D6A69">
        <w:rPr>
          <w:rFonts w:eastAsia="Arial" w:cs="Arial"/>
          <w:sz w:val="24"/>
          <w:szCs w:val="24"/>
        </w:rPr>
        <w:t xml:space="preserve"> </w:t>
      </w:r>
      <w:r w:rsidR="002D6A69">
        <w:rPr>
          <w:rFonts w:eastAsia="Arial" w:cs="Arial"/>
          <w:sz w:val="24"/>
          <w:szCs w:val="24"/>
        </w:rPr>
        <w:fldChar w:fldCharType="begin"/>
      </w:r>
      <w:r w:rsidR="002D6A69">
        <w:rPr>
          <w:rFonts w:eastAsia="Arial" w:cs="Arial"/>
          <w:sz w:val="24"/>
          <w:szCs w:val="24"/>
        </w:rPr>
        <w:instrText xml:space="preserve"> ADDIN ZOTERO_ITEM CSL_CITATION {"citationID":"LFPSCmoO","properties":{"formattedCitation":"(27, 133)","plainCitation":"(27, 133)","noteIndex":0},"citationItems":[{"id":979,"uris":["http://zotero.org/users/11114586/items/KMAYFSUF"],"itemData":{"id":979,"type":"article-journal","container-title":"Journal of Antimicrobial Chemotherapy","DOI":"10.1093/JAC/DKAB275","ISSN":"0305-7453","issue":"11","page":"2906-2913","title":"Ciprofloxacin population pharmacokinetics during long-term treatment of osteoarticular infections","volume":"76","author":[{"family":"Zahr","given":"Noël"},{"family":"Urien","given":"Saik"},{"family":"Aubry","given":"Alexandra"},{"family":"Chauvin","given":"Charlotte"},{"family":"Comets","given":"Emmanuelle"},{"family":"Llopis","given":"Benoit"},{"family":"Tissot","given":"Nadine"},{"family":"Noe","given":"Gaëlle"},{"family":"Fourniols","given":"Eric"},{"family":"Jaureguiberry","given":"Stéphane"},{"family":"Bleibtreu","given":"Alexandre"},{"family":"Funck-Brentano","given":"Christian"},{"family":"Barrut","given":"Nicolas"},{"family":"Bonnet","given":"Isabelle"},{"family":"Calin","given":"Ruxandra"},{"family":"Caumes","given":"Eric"},{"family":"Clarençon","given":"Frédéric"},{"family":"Daas","given":"Georges"},{"family":"Fautrel","given":"Bruno"},{"family":"Fustier","given":"Anne"},{"family":"Gandjbakhch","given":"Frédérique"},{"family":"Haddad","given":"Elie"},{"family":"Khiami","given":"Frédéric"},{"family":"Lazennec","given":"Jean Yves"},{"family":"Marchant","given":"Maxime"},{"family":"Mercy","given":"Guillaume"},{"family":"Metz","given":"Carole"},{"family":"Miu","given":"Mihaela"},{"family":"Mitrovic","given":"Stéphane"},{"family":"Monsel","given":"Gentiane"},{"family":"Monzani","given":"Quentin"},{"family":"Reubrecht","given":"Vanessa"},{"family":"Robert","given":"Jérôme"}],"issued":{"date-parts":[["2021",10,11]]}}},{"id":9150,"uris":["http://zotero.org/users/11114586/items/ESVJ6DCC"],"itemData":{"id":9150,"type":"webpage","title":"Rifampicin 300 mg Capsules - Summary of Product Characteristics (SmPC) - (emc)","URL":"https://www.medicines.org.uk/emc/product/8789/smpc#gref","accessed":{"date-parts":[["2023",12,24]]}},"locator":"300"}],"schema":"https://github.com/citation-style-language/schema/raw/master/csl-citation.json"} </w:instrText>
      </w:r>
      <w:r w:rsidR="002D6A69">
        <w:rPr>
          <w:rFonts w:eastAsia="Arial" w:cs="Arial"/>
          <w:sz w:val="24"/>
          <w:szCs w:val="24"/>
        </w:rPr>
        <w:fldChar w:fldCharType="separate"/>
      </w:r>
      <w:r w:rsidR="002D6A69">
        <w:rPr>
          <w:rFonts w:eastAsia="Arial" w:cs="Arial"/>
          <w:noProof/>
          <w:sz w:val="24"/>
          <w:szCs w:val="24"/>
        </w:rPr>
        <w:t>(27, 133)</w:t>
      </w:r>
      <w:r w:rsidR="002D6A69">
        <w:rPr>
          <w:rFonts w:eastAsia="Arial" w:cs="Arial"/>
          <w:sz w:val="24"/>
          <w:szCs w:val="24"/>
        </w:rPr>
        <w:fldChar w:fldCharType="end"/>
      </w:r>
      <w:r w:rsidR="00CC2F67">
        <w:rPr>
          <w:rFonts w:eastAsia="Arial" w:cs="Arial"/>
          <w:sz w:val="24"/>
          <w:szCs w:val="24"/>
        </w:rPr>
        <w:t>.</w:t>
      </w:r>
      <w:r w:rsidR="00541415">
        <w:rPr>
          <w:rFonts w:eastAsia="Arial" w:cs="Arial"/>
          <w:sz w:val="24"/>
          <w:szCs w:val="24"/>
        </w:rPr>
        <w:t xml:space="preserve"> </w:t>
      </w:r>
      <w:r w:rsidR="00744F66">
        <w:rPr>
          <w:rFonts w:eastAsia="Arial" w:cs="Arial"/>
          <w:sz w:val="24"/>
          <w:szCs w:val="24"/>
        </w:rPr>
        <w:t xml:space="preserve">Another </w:t>
      </w:r>
      <w:r w:rsidR="001D7B7F">
        <w:rPr>
          <w:rFonts w:eastAsia="Arial" w:cs="Arial"/>
          <w:sz w:val="24"/>
          <w:szCs w:val="24"/>
        </w:rPr>
        <w:t xml:space="preserve">quinolone </w:t>
      </w:r>
      <w:proofErr w:type="spellStart"/>
      <w:r w:rsidR="001D7B7F">
        <w:rPr>
          <w:rFonts w:eastAsia="Arial" w:cs="Arial"/>
          <w:sz w:val="24"/>
          <w:szCs w:val="24"/>
        </w:rPr>
        <w:t>PopPK</w:t>
      </w:r>
      <w:proofErr w:type="spellEnd"/>
      <w:r w:rsidR="001D7B7F">
        <w:rPr>
          <w:rFonts w:eastAsia="Arial" w:cs="Arial"/>
          <w:sz w:val="24"/>
          <w:szCs w:val="24"/>
        </w:rPr>
        <w:t xml:space="preserve"> model, found efavirenz to be a significant covariate</w:t>
      </w:r>
      <w:r w:rsidR="00CC2F67">
        <w:rPr>
          <w:rFonts w:eastAsia="Arial" w:cs="Arial"/>
          <w:sz w:val="24"/>
          <w:szCs w:val="24"/>
        </w:rPr>
        <w:t xml:space="preserve">, which is also well recognised to be responsible for clinically relevant </w:t>
      </w:r>
      <w:r w:rsidR="00CC2F67" w:rsidRPr="004C3B32">
        <w:rPr>
          <w:rFonts w:eastAsia="Arial" w:cs="Arial"/>
          <w:sz w:val="24"/>
          <w:szCs w:val="24"/>
        </w:rPr>
        <w:t>DDIs</w:t>
      </w:r>
      <w:r w:rsidR="004C3B32">
        <w:rPr>
          <w:rFonts w:eastAsia="Arial" w:cs="Arial"/>
          <w:sz w:val="24"/>
          <w:szCs w:val="24"/>
        </w:rPr>
        <w:t xml:space="preserve"> </w:t>
      </w:r>
      <w:r w:rsidR="002D6A69" w:rsidRPr="001B7760">
        <w:rPr>
          <w:rFonts w:eastAsia="Arial" w:cs="Arial"/>
          <w:sz w:val="24"/>
          <w:szCs w:val="24"/>
        </w:rPr>
        <w:fldChar w:fldCharType="begin"/>
      </w:r>
      <w:r w:rsidR="004C3B32" w:rsidRPr="001B7760">
        <w:rPr>
          <w:rFonts w:eastAsia="Arial" w:cs="Arial"/>
          <w:sz w:val="24"/>
          <w:szCs w:val="24"/>
        </w:rPr>
        <w:instrText xml:space="preserve"> ADDIN ZOTERO_ITEM CSL_CITATION {"citationID":"mnBQ5Mod","properties":{"formattedCitation":"(134)","plainCitation":"(134)","noteIndex":0},"citationItems":[{"id":1234,"uris":["http://zotero.org/users/11114586/items/AX8RGSLR"],"itemData":{"id":1234,"type":"article-journal","abstract":"Objectives: We compared the pharmacokinetics of moxifloxacin during rifampicin co-treatment or when dosed alone in African patients with drug-susceptible recurrent TB. Methods: Patients in the intervention arm of the Improving Retreatment Success (IMPRESS) randomized controlled TB trial received 400 mg of moxifloxacin, with rifampicin, isoniazid and pyrazinamide in the treatment regimen. Moxifloxacin concentrations were measured in plasma during rifampicin-based TB treatment and again 4 weeks after treatment completion, when given alone as a single dose. Moxifloxacin concentration-time data were analysed using non-linear mixed-effects models. Results: We included 58 patients; 42 (72.4%) were HIV co-infected and 40 (95%) of these were on efavirenz-based ART. Moxifloxacin pharmacokinetics was best described using a two-compartment disposition model with first-order lagged absorption and elimination using a semi-mechanistic model describing hepatic extraction. Oral clearance (CL/F) of moxifloxacin during rifampicin-based TB treatment was 24.3 L/h for a typical patient (fat-free mass of 47 kg), resulting in an AUC of 16.5 mgÁh/L. This exposure was 7.8% lower than the AUC following the single dose of moxifloxacin given alone after TB treatment completion. In HIV-co-infected patients taking efavirenz-based ART, CL/F of moxifloxacin was increased by 42.4%, resulting in a further 30% reduction in moxi-floxacin AUC. Conclusions: Moxifloxacin clearance was high and plasma concentrations low in our patients overall. Moxifloxacin AUC was further decreased by co-administration of efavirenz-based ART and, to a lesser extent, ri-fampicin. The clinical relevance of the low moxifloxacin concentrations for TB treatment outcomes and the need for moxifloxacin dose adjustment in the presence of rifampicin and efavirenz co-treatment need further investigation.","DOI":"10.1093/jac/dkx004","page":"27-31","title":"Effect of rifampicin and efavirenz on moxifloxacin concentrations when co-administered in patients with drug-susceptible TB","author":[{"family":"Naidoo","given":"Anushka"},{"family":"Chirehwa","given":"Maxwell"},{"family":"Mcilleron","given":"Helen"},{"family":"Naidoo","given":"Kogieleum"},{"family":"Essack","given":"Sabiha"},{"family":"Yende-Zuma","given":"Nonhlanhla"},{"family":"Kimba-Phongi","given":"Eddy"},{"family":"Adamson","given":"John"},{"family":"Govender","given":"Katya"},{"family":"Padayatchi","given":"Nesri"},{"family":"Denti","given":"Paolo"}]}}],"schema":"https://github.com/citation-style-language/schema/raw/master/csl-citation.json"} </w:instrText>
      </w:r>
      <w:r w:rsidR="002D6A69" w:rsidRPr="001B7760">
        <w:rPr>
          <w:rFonts w:eastAsia="Arial" w:cs="Arial"/>
          <w:sz w:val="24"/>
          <w:szCs w:val="24"/>
        </w:rPr>
        <w:fldChar w:fldCharType="separate"/>
      </w:r>
      <w:r w:rsidR="004C3B32" w:rsidRPr="001B7760">
        <w:rPr>
          <w:rFonts w:eastAsia="Arial" w:cs="Arial"/>
          <w:noProof/>
          <w:sz w:val="24"/>
          <w:szCs w:val="24"/>
        </w:rPr>
        <w:t>(134)</w:t>
      </w:r>
      <w:r w:rsidR="002D6A69" w:rsidRPr="001B7760">
        <w:rPr>
          <w:rFonts w:eastAsia="Arial" w:cs="Arial"/>
          <w:sz w:val="24"/>
          <w:szCs w:val="24"/>
        </w:rPr>
        <w:fldChar w:fldCharType="end"/>
      </w:r>
      <w:r w:rsidR="00CC2F67" w:rsidRPr="004C3B32">
        <w:rPr>
          <w:rFonts w:eastAsia="Arial" w:cs="Arial"/>
          <w:sz w:val="24"/>
          <w:szCs w:val="24"/>
        </w:rPr>
        <w:t>.</w:t>
      </w:r>
      <w:r w:rsidR="001D7B7F">
        <w:rPr>
          <w:rFonts w:eastAsia="Arial" w:cs="Arial"/>
          <w:sz w:val="24"/>
          <w:szCs w:val="24"/>
        </w:rPr>
        <w:t xml:space="preserve"> The co-administration of </w:t>
      </w:r>
      <w:proofErr w:type="spellStart"/>
      <w:r w:rsidR="001D7B7F">
        <w:rPr>
          <w:rFonts w:eastAsia="Arial" w:cs="Arial"/>
          <w:sz w:val="24"/>
          <w:szCs w:val="24"/>
        </w:rPr>
        <w:t>AWaRe</w:t>
      </w:r>
      <w:proofErr w:type="spellEnd"/>
      <w:r w:rsidR="001D7B7F">
        <w:rPr>
          <w:rFonts w:eastAsia="Arial" w:cs="Arial"/>
          <w:sz w:val="24"/>
          <w:szCs w:val="24"/>
        </w:rPr>
        <w:t xml:space="preserve"> Book antibiotics with any agents that reduce the magnitude of or alter the duration of antibiotic drug exposure may have </w:t>
      </w:r>
      <w:r w:rsidR="00CC2F67">
        <w:rPr>
          <w:rFonts w:eastAsia="Arial" w:cs="Arial"/>
          <w:sz w:val="24"/>
          <w:szCs w:val="24"/>
        </w:rPr>
        <w:t xml:space="preserve">a </w:t>
      </w:r>
      <w:r w:rsidR="001D7B7F">
        <w:rPr>
          <w:rFonts w:eastAsia="Arial" w:cs="Arial"/>
          <w:sz w:val="24"/>
          <w:szCs w:val="24"/>
        </w:rPr>
        <w:t xml:space="preserve">significant </w:t>
      </w:r>
      <w:r w:rsidR="00CC2F67">
        <w:rPr>
          <w:rFonts w:eastAsia="Arial" w:cs="Arial"/>
          <w:sz w:val="24"/>
          <w:szCs w:val="24"/>
        </w:rPr>
        <w:t>impact on the expected effect</w:t>
      </w:r>
      <w:r w:rsidR="001D7B7F">
        <w:rPr>
          <w:rFonts w:eastAsia="Arial" w:cs="Arial"/>
          <w:sz w:val="24"/>
          <w:szCs w:val="24"/>
        </w:rPr>
        <w:t xml:space="preserve"> </w:t>
      </w:r>
      <w:r w:rsidR="00CC2F67">
        <w:rPr>
          <w:rFonts w:eastAsia="Arial" w:cs="Arial"/>
          <w:sz w:val="24"/>
          <w:szCs w:val="24"/>
        </w:rPr>
        <w:t xml:space="preserve">and </w:t>
      </w:r>
      <w:r w:rsidR="001D7B7F">
        <w:rPr>
          <w:rFonts w:eastAsia="Arial" w:cs="Arial"/>
          <w:sz w:val="24"/>
          <w:szCs w:val="24"/>
        </w:rPr>
        <w:t>resistance</w:t>
      </w:r>
      <w:r w:rsidR="00CC2F67">
        <w:rPr>
          <w:rFonts w:eastAsia="Arial" w:cs="Arial"/>
          <w:sz w:val="24"/>
          <w:szCs w:val="24"/>
        </w:rPr>
        <w:t xml:space="preserve"> liabilities</w:t>
      </w:r>
      <w:r w:rsidR="001D7B7F">
        <w:rPr>
          <w:rFonts w:eastAsia="Arial" w:cs="Arial"/>
          <w:sz w:val="24"/>
          <w:szCs w:val="24"/>
        </w:rPr>
        <w:t xml:space="preserve">. </w:t>
      </w:r>
    </w:p>
    <w:p w14:paraId="6C3089B4" w14:textId="58C2A62F" w:rsidR="002756E1" w:rsidRPr="00D678CF" w:rsidRDefault="00042F77" w:rsidP="00D678CF">
      <w:pPr>
        <w:spacing w:line="480" w:lineRule="auto"/>
        <w:jc w:val="both"/>
        <w:rPr>
          <w:rFonts w:eastAsia="Arial" w:cs="Arial"/>
          <w:sz w:val="24"/>
          <w:szCs w:val="24"/>
        </w:rPr>
      </w:pPr>
      <w:r w:rsidRPr="00D678CF">
        <w:rPr>
          <w:rFonts w:eastAsia="Arial" w:cs="Arial"/>
          <w:sz w:val="24"/>
          <w:szCs w:val="24"/>
        </w:rPr>
        <w:t xml:space="preserve">The systematic review shows there is a striking paucity of </w:t>
      </w:r>
      <w:r w:rsidR="0E825AEC" w:rsidRPr="00D678CF">
        <w:rPr>
          <w:rFonts w:eastAsia="Arial" w:cs="Arial"/>
          <w:sz w:val="24"/>
          <w:szCs w:val="24"/>
        </w:rPr>
        <w:t>high</w:t>
      </w:r>
      <w:r w:rsidR="00EA71C8" w:rsidRPr="00D678CF">
        <w:rPr>
          <w:rFonts w:eastAsia="Arial" w:cs="Arial"/>
          <w:sz w:val="24"/>
          <w:szCs w:val="24"/>
        </w:rPr>
        <w:t>-</w:t>
      </w:r>
      <w:r w:rsidR="0E825AEC" w:rsidRPr="00D678CF">
        <w:rPr>
          <w:rFonts w:eastAsia="Arial" w:cs="Arial"/>
          <w:sz w:val="24"/>
          <w:szCs w:val="24"/>
        </w:rPr>
        <w:t xml:space="preserve">quality </w:t>
      </w:r>
      <w:r w:rsidR="00A04EE8" w:rsidRPr="00D678CF">
        <w:rPr>
          <w:rFonts w:eastAsia="Arial" w:cs="Arial"/>
          <w:sz w:val="24"/>
          <w:szCs w:val="24"/>
        </w:rPr>
        <w:t xml:space="preserve">population PK </w:t>
      </w:r>
      <w:r w:rsidRPr="00D678CF">
        <w:rPr>
          <w:rFonts w:eastAsia="Arial" w:cs="Arial"/>
          <w:sz w:val="24"/>
          <w:szCs w:val="24"/>
        </w:rPr>
        <w:t>data for amox</w:t>
      </w:r>
      <w:r w:rsidR="001560AD" w:rsidRPr="00D678CF">
        <w:rPr>
          <w:rFonts w:eastAsia="Arial" w:cs="Arial"/>
          <w:sz w:val="24"/>
          <w:szCs w:val="24"/>
        </w:rPr>
        <w:t>i</w:t>
      </w:r>
      <w:r w:rsidRPr="00D678CF">
        <w:rPr>
          <w:rFonts w:eastAsia="Arial" w:cs="Arial"/>
          <w:sz w:val="24"/>
          <w:szCs w:val="24"/>
        </w:rPr>
        <w:t>cillin +/- clavulanic acid</w:t>
      </w:r>
      <w:r w:rsidR="00A11CBF" w:rsidRPr="00D678CF">
        <w:rPr>
          <w:rFonts w:eastAsia="Arial" w:cs="Arial"/>
          <w:sz w:val="24"/>
          <w:szCs w:val="24"/>
        </w:rPr>
        <w:t xml:space="preserve">. </w:t>
      </w:r>
      <w:r w:rsidR="00002A02" w:rsidRPr="00D678CF">
        <w:rPr>
          <w:rFonts w:eastAsia="Arial" w:cs="Arial"/>
          <w:sz w:val="24"/>
          <w:szCs w:val="24"/>
        </w:rPr>
        <w:t xml:space="preserve">One of the studies was in healthy </w:t>
      </w:r>
      <w:r w:rsidR="009E6EFC" w:rsidRPr="00D678CF">
        <w:rPr>
          <w:rFonts w:eastAsia="Arial" w:cs="Arial"/>
          <w:sz w:val="24"/>
          <w:szCs w:val="24"/>
        </w:rPr>
        <w:t>European</w:t>
      </w:r>
      <w:r w:rsidR="00002A02" w:rsidRPr="00D678CF">
        <w:rPr>
          <w:rFonts w:eastAsia="Arial" w:cs="Arial"/>
          <w:sz w:val="24"/>
          <w:szCs w:val="24"/>
        </w:rPr>
        <w:t xml:space="preserve"> me</w:t>
      </w:r>
      <w:r w:rsidR="009E6EFC" w:rsidRPr="00D678CF">
        <w:rPr>
          <w:rFonts w:eastAsia="Arial" w:cs="Arial"/>
          <w:sz w:val="24"/>
          <w:szCs w:val="24"/>
        </w:rPr>
        <w:t>n</w:t>
      </w:r>
      <w:r w:rsidR="005C6AF9">
        <w:rPr>
          <w:rFonts w:eastAsia="Arial" w:cs="Arial"/>
          <w:sz w:val="24"/>
          <w:szCs w:val="24"/>
        </w:rPr>
        <w:t>,</w:t>
      </w:r>
      <w:r w:rsidR="005C6AF9">
        <w:rPr>
          <w:rFonts w:eastAsia="Arial" w:cs="Arial"/>
          <w:sz w:val="24"/>
          <w:szCs w:val="24"/>
        </w:rPr>
        <w:fldChar w:fldCharType="begin"/>
      </w:r>
      <w:r w:rsidR="00F561F3">
        <w:rPr>
          <w:rFonts w:eastAsia="Arial" w:cs="Arial"/>
          <w:sz w:val="24"/>
          <w:szCs w:val="24"/>
        </w:rPr>
        <w:instrText xml:space="preserve"> ADDIN ZOTERO_ITEM CSL_CITATION {"citationID":"uS3Hszwo","properties":{"formattedCitation":"(19)","plainCitation":"(19)","noteIndex":0},"citationItems":[{"id":66,"uris":["http://zotero.org/users/11114586/items/JHGSWLLW"],"itemData":{"id":66,"type":"article-journal","abstract":"Objectives: To describe the population pharmacokinetics of oral amoxicillin and to compare the PTA of current dosing regimens. Methods: Two groups, each with 14 healthy male volunteers, received oral amoxicillin/clavulanic acid tablets on two separate days 1 week apart. One group received 875/125 mg twice daily and 500/125 mg three times daily and the other group 500/125 mg twice daily and 250/125 mg three times daily. A total of 1428 amoxicillin blood samples were collected before and after administration. We analysed the concentration-time profiles using a non-compartmental pharmacokinetic method (PKSolver) and a population pharmacokinetic method (NONMEM). The PTA was computed using Monte Carlo simulations for several dosing regimens. Results: AUC0-24 and Cmax increased non-linearly with dose. The final model included the following components: Savic's transit compartment model, Michaelis-Menten absorption, two distribution compartments and first-order elimination. The mean central volume of distribution was 27.7 L and mean clearance was 21.3 L/h. We included variability for the central volume of distribution (34.4%), clearance (25.8%), transit compartment model parameters and Michaelis-Menten absorption parameters. For 40% fT&gt;MIC and &gt;97.5% PTA, the breakpoints were 0.125 mg/L (500 mg twice daily), 0.25 mg/L (250 mg three times daily and 875 mg twice daily), 0.5 mg/L (500 mg three times daily) and 1 mg/L (750, 875 or 1000 mg three times daily and 500 mg four times daily). Conclusions: The amoxicillin absorption rate appears to be saturable. The PTAs of high-dose as well as twice-daily regimens are less favourable than regimens with lower doses and higher frequency.","container-title":"Journal of Antimicrobial Chemotherapy","DOI":"10.1093/jac/dkw226","issue":"10","page":"2909-2917","title":"Non-linear absorption pharmacokinetics of amoxicillin: Consequences for dosing regimens and clinical breakpoints","volume":"71","author":[{"family":"Velde","given":"F.","non-dropping-particle":"de"},{"family":"Winter","given":"B.C.M.","non-dropping-particle":"de"},{"family":"Koch","given":"B.C.P."},{"family":"Gelder","given":"T.","non-dropping-particle":"van"},{"family":"Mouton","given":"J.W."}],"issued":{"date-parts":[["2016"]]}}}],"schema":"https://github.com/citation-style-language/schema/raw/master/csl-citation.json"} </w:instrText>
      </w:r>
      <w:r w:rsidR="005C6AF9">
        <w:rPr>
          <w:rFonts w:eastAsia="Arial" w:cs="Arial"/>
          <w:sz w:val="24"/>
          <w:szCs w:val="24"/>
        </w:rPr>
        <w:fldChar w:fldCharType="separate"/>
      </w:r>
      <w:r w:rsidR="00F561F3">
        <w:rPr>
          <w:rFonts w:cs="Arial"/>
          <w:sz w:val="24"/>
        </w:rPr>
        <w:t>(19)</w:t>
      </w:r>
      <w:r w:rsidR="005C6AF9">
        <w:rPr>
          <w:rFonts w:eastAsia="Arial" w:cs="Arial"/>
          <w:sz w:val="24"/>
          <w:szCs w:val="24"/>
        </w:rPr>
        <w:fldChar w:fldCharType="end"/>
      </w:r>
      <w:r w:rsidR="009E6EFC" w:rsidRPr="00D678CF">
        <w:rPr>
          <w:rFonts w:eastAsia="Arial" w:cs="Arial"/>
          <w:sz w:val="24"/>
          <w:szCs w:val="24"/>
        </w:rPr>
        <w:t xml:space="preserve"> who are </w:t>
      </w:r>
      <w:r w:rsidR="000475DA" w:rsidRPr="00D678CF">
        <w:rPr>
          <w:rFonts w:eastAsia="Arial" w:cs="Arial"/>
          <w:sz w:val="24"/>
          <w:szCs w:val="24"/>
        </w:rPr>
        <w:t xml:space="preserve">poorly </w:t>
      </w:r>
      <w:r w:rsidR="009E6EFC" w:rsidRPr="00D678CF">
        <w:rPr>
          <w:rFonts w:eastAsia="Arial" w:cs="Arial"/>
          <w:sz w:val="24"/>
          <w:szCs w:val="24"/>
        </w:rPr>
        <w:t xml:space="preserve">representative </w:t>
      </w:r>
      <w:r w:rsidR="00CE2BA0" w:rsidRPr="00D678CF">
        <w:rPr>
          <w:rFonts w:eastAsia="Arial" w:cs="Arial"/>
          <w:sz w:val="24"/>
          <w:szCs w:val="24"/>
        </w:rPr>
        <w:t xml:space="preserve">of the extensively diverse </w:t>
      </w:r>
      <w:r w:rsidR="00B878C7" w:rsidRPr="00D678CF">
        <w:rPr>
          <w:rFonts w:eastAsia="Arial" w:cs="Arial"/>
          <w:sz w:val="24"/>
          <w:szCs w:val="24"/>
        </w:rPr>
        <w:t>global populations</w:t>
      </w:r>
      <w:r w:rsidR="002A603A" w:rsidRPr="00D678CF">
        <w:rPr>
          <w:rFonts w:eastAsia="Arial" w:cs="Arial"/>
          <w:sz w:val="24"/>
          <w:szCs w:val="24"/>
        </w:rPr>
        <w:t xml:space="preserve"> that rely on amox</w:t>
      </w:r>
      <w:r w:rsidR="009B32F0" w:rsidRPr="00D678CF">
        <w:rPr>
          <w:rFonts w:eastAsia="Arial" w:cs="Arial"/>
          <w:sz w:val="24"/>
          <w:szCs w:val="24"/>
        </w:rPr>
        <w:t>i</w:t>
      </w:r>
      <w:r w:rsidR="00D66B3F" w:rsidRPr="00D678CF">
        <w:rPr>
          <w:rFonts w:eastAsia="Arial" w:cs="Arial"/>
          <w:sz w:val="24"/>
          <w:szCs w:val="24"/>
        </w:rPr>
        <w:t xml:space="preserve">cillin to treat the diseases shown in Figure </w:t>
      </w:r>
      <w:r w:rsidR="00024943" w:rsidRPr="00D678CF">
        <w:rPr>
          <w:rFonts w:eastAsia="Arial" w:cs="Arial"/>
          <w:sz w:val="24"/>
          <w:szCs w:val="24"/>
        </w:rPr>
        <w:t>1</w:t>
      </w:r>
      <w:r w:rsidR="00D66B3F" w:rsidRPr="00D678CF">
        <w:rPr>
          <w:rFonts w:eastAsia="Arial" w:cs="Arial"/>
          <w:sz w:val="24"/>
          <w:szCs w:val="24"/>
        </w:rPr>
        <w:t xml:space="preserve">. </w:t>
      </w:r>
      <w:r w:rsidR="00C63C9E" w:rsidRPr="00D678CF">
        <w:rPr>
          <w:rFonts w:eastAsia="Arial" w:cs="Arial"/>
          <w:sz w:val="24"/>
          <w:szCs w:val="24"/>
        </w:rPr>
        <w:t xml:space="preserve">At the present time, there is </w:t>
      </w:r>
      <w:r w:rsidR="006478DB" w:rsidRPr="00D678CF">
        <w:rPr>
          <w:rFonts w:eastAsia="Arial" w:cs="Arial"/>
          <w:sz w:val="24"/>
          <w:szCs w:val="24"/>
        </w:rPr>
        <w:t xml:space="preserve">little </w:t>
      </w:r>
      <w:r w:rsidR="00193428" w:rsidRPr="00D678CF">
        <w:rPr>
          <w:rFonts w:eastAsia="Arial" w:cs="Arial"/>
          <w:sz w:val="24"/>
          <w:szCs w:val="24"/>
        </w:rPr>
        <w:t>understanding of</w:t>
      </w:r>
      <w:r w:rsidR="00624D5A" w:rsidRPr="00D678CF">
        <w:rPr>
          <w:rFonts w:eastAsia="Arial" w:cs="Arial"/>
          <w:sz w:val="24"/>
          <w:szCs w:val="24"/>
        </w:rPr>
        <w:t xml:space="preserve"> the potential impact of </w:t>
      </w:r>
      <w:r w:rsidR="000D7836" w:rsidRPr="00D678CF">
        <w:rPr>
          <w:rFonts w:eastAsia="Arial" w:cs="Arial"/>
          <w:sz w:val="24"/>
          <w:szCs w:val="24"/>
        </w:rPr>
        <w:t>malnutrition, comorbidit</w:t>
      </w:r>
      <w:r w:rsidR="00193428" w:rsidRPr="00D678CF">
        <w:rPr>
          <w:rFonts w:eastAsia="Arial" w:cs="Arial"/>
          <w:sz w:val="24"/>
          <w:szCs w:val="24"/>
        </w:rPr>
        <w:t>y</w:t>
      </w:r>
      <w:r w:rsidR="005814A0" w:rsidRPr="00D678CF">
        <w:rPr>
          <w:rFonts w:eastAsia="Arial" w:cs="Arial"/>
          <w:sz w:val="24"/>
          <w:szCs w:val="24"/>
        </w:rPr>
        <w:t xml:space="preserve">, </w:t>
      </w:r>
      <w:r w:rsidR="00E82687" w:rsidRPr="00D678CF">
        <w:rPr>
          <w:rFonts w:eastAsia="Arial" w:cs="Arial"/>
          <w:sz w:val="24"/>
          <w:szCs w:val="24"/>
        </w:rPr>
        <w:t xml:space="preserve">body </w:t>
      </w:r>
      <w:r w:rsidR="005814A0" w:rsidRPr="00D678CF">
        <w:rPr>
          <w:rFonts w:eastAsia="Arial" w:cs="Arial"/>
          <w:sz w:val="24"/>
          <w:szCs w:val="24"/>
        </w:rPr>
        <w:t xml:space="preserve">size, </w:t>
      </w:r>
      <w:r w:rsidR="007739E8" w:rsidRPr="00D678CF">
        <w:rPr>
          <w:rFonts w:eastAsia="Arial" w:cs="Arial"/>
          <w:sz w:val="24"/>
          <w:szCs w:val="24"/>
        </w:rPr>
        <w:t>or</w:t>
      </w:r>
      <w:r w:rsidR="005814A0" w:rsidRPr="00D678CF">
        <w:rPr>
          <w:rFonts w:eastAsia="Arial" w:cs="Arial"/>
          <w:sz w:val="24"/>
          <w:szCs w:val="24"/>
        </w:rPr>
        <w:t xml:space="preserve"> illness on the </w:t>
      </w:r>
      <w:r w:rsidR="00193428" w:rsidRPr="00D678CF">
        <w:rPr>
          <w:rFonts w:eastAsia="Arial" w:cs="Arial"/>
          <w:sz w:val="24"/>
          <w:szCs w:val="24"/>
        </w:rPr>
        <w:t>absorption</w:t>
      </w:r>
      <w:r w:rsidR="005814A0" w:rsidRPr="00D678CF">
        <w:rPr>
          <w:rFonts w:eastAsia="Arial" w:cs="Arial"/>
          <w:sz w:val="24"/>
          <w:szCs w:val="24"/>
        </w:rPr>
        <w:t xml:space="preserve">, </w:t>
      </w:r>
      <w:r w:rsidR="00EA5A34" w:rsidRPr="00D678CF">
        <w:rPr>
          <w:rFonts w:eastAsia="Arial" w:cs="Arial"/>
          <w:sz w:val="24"/>
          <w:szCs w:val="24"/>
        </w:rPr>
        <w:t>distribution,</w:t>
      </w:r>
      <w:r w:rsidR="005814A0" w:rsidRPr="00D678CF">
        <w:rPr>
          <w:rFonts w:eastAsia="Arial" w:cs="Arial"/>
          <w:sz w:val="24"/>
          <w:szCs w:val="24"/>
        </w:rPr>
        <w:t xml:space="preserve"> and clearance </w:t>
      </w:r>
      <w:r w:rsidR="00193428" w:rsidRPr="00D678CF">
        <w:rPr>
          <w:rFonts w:eastAsia="Arial" w:cs="Arial"/>
          <w:sz w:val="24"/>
          <w:szCs w:val="24"/>
        </w:rPr>
        <w:t xml:space="preserve">of the world’s most </w:t>
      </w:r>
      <w:r w:rsidR="00284DE4" w:rsidRPr="00D678CF">
        <w:rPr>
          <w:rFonts w:eastAsia="Arial" w:cs="Arial"/>
          <w:sz w:val="24"/>
          <w:szCs w:val="24"/>
        </w:rPr>
        <w:t xml:space="preserve">widely used </w:t>
      </w:r>
      <w:r w:rsidR="57499436" w:rsidRPr="00D678CF">
        <w:rPr>
          <w:rFonts w:eastAsia="Arial" w:cs="Arial"/>
          <w:sz w:val="24"/>
          <w:szCs w:val="24"/>
        </w:rPr>
        <w:t>antibio</w:t>
      </w:r>
      <w:r w:rsidR="009D671F" w:rsidRPr="00D678CF">
        <w:rPr>
          <w:rFonts w:eastAsia="Arial" w:cs="Arial"/>
          <w:sz w:val="24"/>
          <w:szCs w:val="24"/>
        </w:rPr>
        <w:t>t</w:t>
      </w:r>
      <w:r w:rsidR="57499436" w:rsidRPr="00D678CF">
        <w:rPr>
          <w:rFonts w:eastAsia="Arial" w:cs="Arial"/>
          <w:sz w:val="24"/>
          <w:szCs w:val="24"/>
        </w:rPr>
        <w:t>ic</w:t>
      </w:r>
      <w:r w:rsidR="005C6AF9">
        <w:rPr>
          <w:rFonts w:cs="Arial"/>
          <w:sz w:val="24"/>
          <w:szCs w:val="24"/>
          <w:vertAlign w:val="superscript"/>
        </w:rPr>
        <w:fldChar w:fldCharType="begin"/>
      </w:r>
      <w:r w:rsidR="00F561F3">
        <w:rPr>
          <w:rFonts w:cs="Arial"/>
          <w:sz w:val="24"/>
          <w:szCs w:val="24"/>
          <w:vertAlign w:val="superscript"/>
        </w:rPr>
        <w:instrText xml:space="preserve"> ADDIN ZOTERO_ITEM CSL_CITATION {"citationID":"czOO2B6h","properties":{"formattedCitation":"(18)","plainCitation":"(18)","noteIndex":0},"citationItems":[{"id":8858,"uris":["http://zotero.org/users/11114586/items/RGZ7IFUN"],"itemData":{"id":8858,"type":"book","event-place":"Geneva","ISBN":"978-92-4-151488-0","language":"en","number-of-pages":"113","publisher":"World Health Organization","publisher-place":"Geneva","source":"WHO IRIS","title":"WHO report on surveillance of antibiotic consumption: 2016-2018 early implementation","title-short":"WHO report on surveillance of antibiotic consumption","URL":"https://apps.who.int/iris/handle/10665/277359","author":[{"literal":"World Health Organization"}],"accessed":{"date-parts":[["2023",8,5]]},"issued":{"date-parts":[["2018"]]}},"locator":"2016-2018"}],"schema":"https://github.com/citation-style-language/schema/raw/master/csl-citation.json"} </w:instrText>
      </w:r>
      <w:r w:rsidR="005C6AF9">
        <w:rPr>
          <w:rFonts w:cs="Arial"/>
          <w:sz w:val="24"/>
          <w:szCs w:val="24"/>
          <w:vertAlign w:val="superscript"/>
        </w:rPr>
        <w:fldChar w:fldCharType="separate"/>
      </w:r>
      <w:r w:rsidR="00F561F3">
        <w:rPr>
          <w:rFonts w:cs="Arial"/>
          <w:sz w:val="24"/>
        </w:rPr>
        <w:t>(18)</w:t>
      </w:r>
      <w:r w:rsidR="005C6AF9">
        <w:rPr>
          <w:rFonts w:cs="Arial"/>
          <w:sz w:val="24"/>
          <w:szCs w:val="24"/>
          <w:vertAlign w:val="superscript"/>
        </w:rPr>
        <w:fldChar w:fldCharType="end"/>
      </w:r>
      <w:r w:rsidR="57499436" w:rsidRPr="00D678CF">
        <w:rPr>
          <w:rFonts w:eastAsia="Arial" w:cs="Arial"/>
          <w:sz w:val="24"/>
          <w:szCs w:val="24"/>
        </w:rPr>
        <w:t xml:space="preserve"> </w:t>
      </w:r>
      <w:r w:rsidR="0058008A" w:rsidRPr="00D678CF">
        <w:rPr>
          <w:rFonts w:eastAsia="Arial" w:cs="Arial"/>
          <w:sz w:val="24"/>
          <w:szCs w:val="24"/>
        </w:rPr>
        <w:t>—this needs to be urgently rectified</w:t>
      </w:r>
      <w:r w:rsidR="00193428" w:rsidRPr="00D678CF">
        <w:rPr>
          <w:rFonts w:eastAsia="Arial" w:cs="Arial"/>
          <w:sz w:val="24"/>
          <w:szCs w:val="24"/>
        </w:rPr>
        <w:t>.</w:t>
      </w:r>
    </w:p>
    <w:p w14:paraId="73388BE3" w14:textId="4913A16E" w:rsidR="002C38BF" w:rsidRDefault="002C38BF" w:rsidP="00D678CF">
      <w:pPr>
        <w:spacing w:line="480" w:lineRule="auto"/>
        <w:jc w:val="both"/>
        <w:rPr>
          <w:rFonts w:eastAsia="Arial" w:cs="Arial"/>
        </w:rPr>
      </w:pPr>
    </w:p>
    <w:p w14:paraId="5B5B7820" w14:textId="5D938EB5" w:rsidR="002C38BF" w:rsidRPr="00306752" w:rsidRDefault="002C38BF" w:rsidP="00D678CF">
      <w:pPr>
        <w:spacing w:line="480" w:lineRule="auto"/>
        <w:jc w:val="both"/>
        <w:rPr>
          <w:rFonts w:eastAsia="Arial" w:cs="Arial"/>
          <w:i/>
          <w:iCs/>
          <w:sz w:val="24"/>
          <w:szCs w:val="24"/>
        </w:rPr>
      </w:pPr>
      <w:r w:rsidRPr="00306752">
        <w:rPr>
          <w:rFonts w:eastAsia="Arial" w:cs="Arial"/>
          <w:b/>
          <w:bCs/>
          <w:i/>
          <w:iCs/>
          <w:sz w:val="24"/>
          <w:szCs w:val="24"/>
        </w:rPr>
        <w:t xml:space="preserve">Figure </w:t>
      </w:r>
      <w:r w:rsidR="00FD3389" w:rsidRPr="00306752">
        <w:rPr>
          <w:rFonts w:eastAsia="Arial" w:cs="Arial"/>
          <w:b/>
          <w:bCs/>
          <w:i/>
          <w:iCs/>
          <w:sz w:val="24"/>
          <w:szCs w:val="24"/>
        </w:rPr>
        <w:t>6</w:t>
      </w:r>
      <w:r w:rsidR="0043249A" w:rsidRPr="00306752">
        <w:rPr>
          <w:rFonts w:eastAsia="Arial" w:cs="Arial"/>
          <w:b/>
          <w:bCs/>
          <w:i/>
          <w:iCs/>
          <w:sz w:val="24"/>
          <w:szCs w:val="24"/>
        </w:rPr>
        <w:t xml:space="preserve"> </w:t>
      </w:r>
      <w:r w:rsidR="00485EED" w:rsidRPr="00306752">
        <w:rPr>
          <w:rFonts w:eastAsia="Arial" w:cs="Arial"/>
          <w:i/>
          <w:iCs/>
          <w:sz w:val="24"/>
          <w:szCs w:val="24"/>
        </w:rPr>
        <w:t xml:space="preserve">Interdependent </w:t>
      </w:r>
      <w:r w:rsidR="0043249A" w:rsidRPr="00306752">
        <w:rPr>
          <w:rFonts w:eastAsia="Arial" w:cs="Arial"/>
          <w:i/>
          <w:iCs/>
          <w:sz w:val="24"/>
          <w:szCs w:val="24"/>
        </w:rPr>
        <w:t>elements of the triple lock</w:t>
      </w:r>
      <w:r w:rsidR="00217913" w:rsidRPr="00306752">
        <w:rPr>
          <w:rFonts w:eastAsia="Arial" w:cs="Arial"/>
          <w:i/>
          <w:iCs/>
          <w:sz w:val="24"/>
          <w:szCs w:val="24"/>
        </w:rPr>
        <w:t>:</w:t>
      </w:r>
      <w:r w:rsidR="0043249A" w:rsidRPr="00306752">
        <w:rPr>
          <w:rFonts w:eastAsia="Arial" w:cs="Arial"/>
          <w:b/>
          <w:bCs/>
          <w:i/>
          <w:iCs/>
          <w:sz w:val="24"/>
          <w:szCs w:val="24"/>
        </w:rPr>
        <w:t xml:space="preserve"> </w:t>
      </w:r>
      <w:r w:rsidRPr="00306752">
        <w:rPr>
          <w:rFonts w:eastAsia="Arial" w:cs="Arial"/>
          <w:b/>
          <w:bCs/>
          <w:i/>
          <w:iCs/>
          <w:sz w:val="24"/>
          <w:szCs w:val="24"/>
        </w:rPr>
        <w:t>a.</w:t>
      </w:r>
      <w:r w:rsidRPr="00306752">
        <w:rPr>
          <w:rFonts w:eastAsia="Arial" w:cs="Arial"/>
          <w:i/>
          <w:iCs/>
          <w:sz w:val="24"/>
          <w:szCs w:val="24"/>
        </w:rPr>
        <w:t xml:space="preserve"> Increased PK variability results in an antibiotic dose being inadequate to treat the whole population at higher MICs; </w:t>
      </w:r>
      <w:r w:rsidRPr="00306752">
        <w:rPr>
          <w:rFonts w:eastAsia="Arial" w:cs="Arial"/>
          <w:b/>
          <w:bCs/>
          <w:i/>
          <w:iCs/>
          <w:sz w:val="24"/>
          <w:szCs w:val="24"/>
        </w:rPr>
        <w:t>b.</w:t>
      </w:r>
      <w:r w:rsidRPr="00306752">
        <w:rPr>
          <w:rFonts w:eastAsia="Arial" w:cs="Arial"/>
          <w:i/>
          <w:iCs/>
          <w:sz w:val="24"/>
          <w:szCs w:val="24"/>
        </w:rPr>
        <w:t xml:space="preserve"> When the MIC distribution shifts to the right, the PD target is not met at higher wild-type </w:t>
      </w:r>
      <w:r w:rsidR="00F80FCF" w:rsidRPr="00306752">
        <w:rPr>
          <w:rFonts w:eastAsia="Arial" w:cs="Arial"/>
          <w:i/>
          <w:iCs/>
          <w:sz w:val="24"/>
          <w:szCs w:val="24"/>
        </w:rPr>
        <w:t>MICs</w:t>
      </w:r>
      <w:r w:rsidRPr="00306752">
        <w:rPr>
          <w:rFonts w:eastAsia="Arial" w:cs="Arial"/>
          <w:i/>
          <w:iCs/>
          <w:sz w:val="24"/>
          <w:szCs w:val="24"/>
        </w:rPr>
        <w:t xml:space="preserve">. </w:t>
      </w:r>
    </w:p>
    <w:p w14:paraId="1594E4A6" w14:textId="77777777" w:rsidR="00707D37" w:rsidRDefault="00707D37" w:rsidP="00D678CF">
      <w:pPr>
        <w:spacing w:line="480" w:lineRule="auto"/>
        <w:jc w:val="both"/>
        <w:rPr>
          <w:rFonts w:eastAsia="Arial" w:cs="Arial"/>
        </w:rPr>
      </w:pPr>
    </w:p>
    <w:p w14:paraId="338766AF" w14:textId="08EFFAF7" w:rsidR="007118E0" w:rsidRDefault="0064702B" w:rsidP="00D678CF">
      <w:pPr>
        <w:pStyle w:val="Heading2"/>
        <w:spacing w:line="480" w:lineRule="auto"/>
      </w:pPr>
      <w:bookmarkStart w:id="18" w:name="_Toc154184995"/>
      <w:r w:rsidRPr="006E6885">
        <w:lastRenderedPageBreak/>
        <w:t>Antibiotic potency &amp; MIC distribution</w:t>
      </w:r>
      <w:bookmarkEnd w:id="18"/>
    </w:p>
    <w:p w14:paraId="1B58E0E8" w14:textId="3F45841A" w:rsidR="001725D7" w:rsidRPr="00D678CF" w:rsidRDefault="002044F0" w:rsidP="00D678CF">
      <w:pPr>
        <w:spacing w:line="480" w:lineRule="auto"/>
        <w:jc w:val="both"/>
        <w:rPr>
          <w:rFonts w:eastAsia="Arial" w:cs="Arial"/>
          <w:sz w:val="24"/>
          <w:szCs w:val="24"/>
        </w:rPr>
      </w:pPr>
      <w:r w:rsidRPr="00D678CF">
        <w:rPr>
          <w:rFonts w:eastAsia="Arial" w:cs="Arial"/>
          <w:sz w:val="24"/>
          <w:szCs w:val="24"/>
        </w:rPr>
        <w:t xml:space="preserve">As with </w:t>
      </w:r>
      <w:proofErr w:type="spellStart"/>
      <w:r w:rsidRPr="00D678CF">
        <w:rPr>
          <w:rFonts w:eastAsia="Arial" w:cs="Arial"/>
          <w:sz w:val="24"/>
          <w:szCs w:val="24"/>
        </w:rPr>
        <w:t>PopPK</w:t>
      </w:r>
      <w:proofErr w:type="spellEnd"/>
      <w:r w:rsidRPr="00D678CF">
        <w:rPr>
          <w:rFonts w:eastAsia="Arial" w:cs="Arial"/>
          <w:sz w:val="24"/>
          <w:szCs w:val="24"/>
        </w:rPr>
        <w:t xml:space="preserve"> data, AST data shows inadequate representation of diverse global community settings. Regions previously determined to have a high burden of AMR are poorly represented in databases</w:t>
      </w:r>
      <w:r w:rsidR="00CC2F67">
        <w:rPr>
          <w:rFonts w:eastAsia="Arial" w:cs="Arial"/>
          <w:sz w:val="24"/>
          <w:szCs w:val="24"/>
        </w:rPr>
        <w:t xml:space="preserve"> </w:t>
      </w:r>
      <w:r w:rsidR="005C6AF9">
        <w:rPr>
          <w:rFonts w:eastAsia="Arial" w:cs="Arial"/>
          <w:sz w:val="24"/>
          <w:szCs w:val="24"/>
        </w:rPr>
        <w:fldChar w:fldCharType="begin"/>
      </w:r>
      <w:r w:rsidR="00F561F3">
        <w:rPr>
          <w:rFonts w:eastAsia="Arial" w:cs="Arial"/>
          <w:sz w:val="24"/>
          <w:szCs w:val="24"/>
        </w:rPr>
        <w:instrText xml:space="preserve"> ADDIN ZOTERO_ITEM CSL_CITATION {"citationID":"5ks3VTvC","properties":{"formattedCitation":"(1)","plainCitation":"(1)","noteIndex":0},"citationItems":[{"id":1033,"uris":["http://zotero.org/users/11114586/items/WFK63MEX"],"itemData":{"id":1033,"type":"article-journal","abstract":"Background: Antimicrobial resistance (AMR) poses a major threat to human health around the world. Previous publications have estimated the effect of AMR on incidence, deaths, hospital length of stay, and health-care costs for specific pathogen–drug combinations in select locations. To our knowledge, this study presents the most comprehensive estimates of AMR burden to date. Methods: We estimated deaths and disability-adjusted life-years (DALYs) attributable to and associated with bacterial AMR for 23 pathogens and 88 pathogen–drug combinations in 204 countries and territories in 2019. We obtained data from systematic literature reviews, hospital systems, surveillance systems, and other sources, covering 471 million individual records or isolates and 7585 study-location-years. We used predictive statistical modelling to produce estimates of AMR burden for all locations, including for locations with no data. Our approach can be divided into five broad components: number of deaths where infection played a role, proportion of infectious deaths attributable to a given infectious syndrome, proportion of infectious syndrome deaths attributable to a given pathogen, the percentage of a given pathogen resistant to an antibiotic of interest, and the excess risk of death or duration of an infection associated with this resistance. Using these components, we estimated disease burden based on two counterfactuals: deaths attributable to AMR (based on an alternative scenario in which all drug-resistant infections were replaced by drug-susceptible infections), and deaths associated with AMR (based on an alternative scenario in which all drug-resistant infections were replaced by no infection). We generated 95% uncertainty intervals (UIs) for final estimates as the 25th and 975th ordered values across 1000 posterior draws, and models were cross-validated for out-of-sample predictive validity. We present final estimates aggregated to the global and regional level. Findings: On the basis of our predictive statistical models, there were an estimated 4·95 million (3·62–6·57) deaths associated with bacterial AMR in 2019, including 1·27 million (95% UI 0·911–1·71) deaths attributable to bacterial AMR. At the regional level, we estimated the all-age death rate attributable to resistance to be highest in western sub-Saharan Africa, at 27·3 deaths per 100 000 (20·9–35·3), and lowest in Australasia, at 6·5 deaths (4·3–9·4) per 100 000. Lower respiratory infections accounted for more than 1·5 million deaths associated with resistance in 2019, making it the most burdensome infectious syndrome. The six leading pathogens for deaths associated with resistance (Escherichia coli, followed by Staphylococcus aureus, Klebsiella pneumoniae, Streptococcus pneumoniae, Acinetobacter baumannii, and Pseudomonas aeruginosa) were responsible for 929 000 (660 000–1 270 000) deaths attributable to AMR and 3·57 million (2·62–4·78) deaths associated with AMR in 2019. One pathogen–drug combination, meticillin-resistant S aureus, caused more than 100 000 deaths attributable to AMR in 2019, while six more each caused 50 000–100 000 deaths: multidrug-resistant excluding extensively drug-resistant tuberculosis, third-generation cephalosporin-resistant E coli, carbapenem-resistant A baumannii, fluoroquinolone-resistant E coli, carbapenem-resistant K pneumoniae, and third-generation cephalosporin-resistant K pneumoniae. Interpretation: To our knowledge, this study provides the first comprehensive assessment of the global burden of AMR, as well as an evaluation of the availability of data. AMR is a leading cause of death around the world, with the highest burdens in low-resource settings. Understanding the burden of AMR and the leading pathogen–drug combinations contributing to it is crucial to making informed and location-specific policy decisions, particularly about infection prevention and control programmes, access to essential antibiotics, and research and development of new vaccines and antibiotics. There are serious data gaps in many low-income settings, emphasising the need to expand microbiology laboratory capacity and data collection systems to improve our understanding of this important human health threat. Funding: Bill &amp; Melinda Gates Foundation, Wellcome Trust, and Department of Health and Social Care using UK aid funding managed by the Fleming Fund.","container-title":"The Lancet","DOI":"10.1016/S0140-6736(21)02724-0/ATTACHMENT/B227DEB3-FF04-497F-82AC-637D8AB7F679/MMC1.PDF","ISSN":"1474547X","issue":"10325","note":"PMID: 35065702\npublisher: Elsevier B.V.","page":"629-655","title":"Global burden of bacterial antimicrobial resistance in 2019: a systematic analysis","volume":"399","author":[{"family":"Murray","given":"Christopher JL"},{"family":"Ikuta","given":"Kevin Shunji"},{"family":"Sharara","given":"Fablina"},{"family":"Swetschinski","given":"Lucien"},{"family":"Robles Aguilar","given":"Gisela"},{"family":"Gray","given":"Authia"},{"family":"Han","given":"Chieh"},{"family":"Bisignano","given":"Catherine"},{"family":"Rao","given":"Puja"},{"family":"Wool","given":"Eve"},{"family":"Johnson","given":"Sarah C."},{"family":"Browne","given":"Annie J."},{"family":"Chipeta","given":"Michael Give"},{"family":"Fell","given":"Frederick"},{"family":"Hackett","given":"Sean"},{"family":"Haines-Woodhouse","given":"Georgina"},{"family":"Kashef Hamadani","given":"Bahar H."},{"family":"Kumaran","given":"Emmanuelle A.P."},{"family":"McManigal","given":"Barney"},{"family":"Agarwal","given":"Ramesh"},{"family":"Akech","given":"Samuel"},{"family":"Albertson","given":"Samuel"},{"family":"Amuasi","given":"John"},{"family":"Andrews","given":"Jason"},{"family":"Aravkin","given":"Aleskandr"},{"family":"Ashley","given":"Elizabeth"},{"family":"Bailey","given":"Freddie"},{"family":"Baker","given":"Stephen"},{"family":"Basnyat","given":"Buddha"},{"family":"Bekker","given":"Adrie"},{"family":"Bender","given":"Rose"},{"family":"Bethou","given":"Adhisivam"},{"family":"Bielicki","given":"Julia"},{"family":"Boonkasidecha","given":"Suppawat"},{"family":"Bukosia","given":"James"},{"family":"Carvalheiro","given":"Cristina"},{"family":"Castañeda-Orjuela","given":"Carlos"},{"family":"Chansamouth","given":"Vilada"},{"family":"Chaurasia","given":"Suman"},{"family":"Chiurchiù","given":"Sara"},{"family":"Chowdhury","given":"Fazle"},{"family":"Cook","given":"Aislinn J."},{"family":"Cooper","given":"Ben"},{"family":"Cressey","given":"Tim R."},{"family":"Criollo-Mora","given":"Elia"},{"family":"Cunningham","given":"Matthew"},{"family":"Darboe","given":"Saffiatou"},{"family":"Day","given":"Nicholas P.J."},{"family":"De Luca","given":"Maia"},{"family":"Dokova","given":"Klara"},{"family":"Dramowski","given":"Angela"},{"family":"Dunachie","given":"Susanna J."},{"family":"Eckmanns","given":"Tim"},{"family":"Eibach","given":"Daniel"},{"family":"Emami","given":"Amir"},{"family":"Feasey","given":"Nicholas"},{"family":"Fisher-Pearson","given":"Natasha"},{"family":"Forrest","given":"Karen"},{"family":"Garrett","given":"Denise"},{"family":"Gastmeier","given":"Petra"},{"family":"Giref","given":"Ababi Zergaw"},{"family":"Greer","given":"Rachel Claire"},{"family":"Gupta","given":"Vikas"},{"family":"Haller","given":"Sebastian"},{"family":"Haselbeck","given":"Andrea"},{"family":"Hay","given":"Simon I."},{"family":"Holm","given":"Marianne"},{"family":"Hopkins","given":"Susan"},{"family":"Iregbu","given":"Kenneth C."},{"family":"Jacobs","given":"Jan"},{"family":"Jarovsky","given":"Daniel"},{"family":"Javanmardi","given":"Fatemeh"},{"family":"Khorana","given":"Meera"},{"family":"Kissoon","given":"Niranjan"},{"family":"Kobeissi","given":"Elsa"},{"family":"Kostyanev","given":"Tomislav"},{"family":"Krapp","given":"Fiorella"},{"family":"Krumkamp","given":"Ralf"},{"family":"Kumar","given":"Ajay"},{"family":"Kyu","given":"Hmwe Hmwe"},{"family":"Lim","given":"Cherry"},{"family":"Limmathurotsakul","given":"Direk"},{"family":"Loftus","given":"Michael James"},{"family":"Lunn","given":"Miles"},{"family":"Ma","given":"Jianing"},{"family":"Mturi","given":"Neema"},{"family":"Munera-Huertas","given":"Tatiana"},{"family":"Musicha","given":"Patrick"},{"family":"Mussi-Pinhata","given":"Marisa Marcia"},{"family":"Nakamura","given":"Tomoka"},{"family":"Nanavati","given":"Ruchi"},{"family":"Nangia","given":"Sushma"},{"family":"Newton","given":"Paul"},{"family":"Ngoun","given":"Chanpheaktra"},{"family":"Novotney","given":"Amanda"},{"family":"Nwakanma","given":"Davis"},{"family":"Obiero","given":"Christina W."},{"family":"Olivas-Martinez","given":"Antonio"},{"family":"Olliaro","given":"Piero"},{"family":"Ooko","given":"Ednah"},{"family":"Ortiz-Brizuela","given":"Edgar"},{"family":"Peleg","given":"Anton Yariv"},{"family":"Perrone","given":"Carlo"},{"family":"Plakkal","given":"Nishad"},{"family":"Ponce-de-Leon","given":"Alfredo"},{"family":"Raad","given":"Mathieu"},{"family":"Ramdin","given":"Tanusha"},{"family":"Riddell","given":"Amy"},{"family":"Roberts","given":"Tamalee"},{"family":"Robotham","given":"Julie Victoria"},{"family":"Roca","given":"Anna"},{"family":"Rudd","given":"Kristina E."},{"family":"Russell","given":"Neal"},{"family":"Schnall","given":"Jesse"},{"family":"Scott","given":"John Anthony Gerard"},{"family":"Shivamallappa","given":"Madhusudhan"},{"family":"Sifuentes-Osornio","given":"Jose"},{"family":"Steenkeste","given":"Nicolas"},{"family":"Stewardson","given":"Andrew James"},{"family":"Stoeva","given":"Temenuga"},{"family":"Tasak","given":"Nidanuch"},{"family":"Thaiprakong","given":"Areerat"},{"family":"Thwaites","given":"Guy"},{"family":"Turner","given":"Claudia"},{"family":"Turner","given":"Paul"},{"family":"Doorn","given":"H. Rogier","non-dropping-particle":"van"},{"family":"Velaphi","given":"Sithembiso"},{"family":"Vongpradith","given":"Avina"},{"family":"Vu","given":"Huong"},{"family":"Walsh","given":"Timothy"},{"family":"Waner","given":"Seymour"},{"family":"Wangrangsimakul","given":"Tri"},{"family":"Wozniak","given":"Teresa"},{"family":"Zheng","given":"Peng"},{"family":"Sartorius","given":"Benn"},{"family":"Lopez","given":"Alan D."},{"family":"Stergachis","given":"Andy"},{"family":"Moore","given":"Catrin"},{"family":"Dolecek","given":"Christiane"},{"family":"Naghavi","given":"Mohsen"}],"issued":{"date-parts":[["2022",2,12]]}}}],"schema":"https://github.com/citation-style-language/schema/raw/master/csl-citation.json"} </w:instrText>
      </w:r>
      <w:r w:rsidR="005C6AF9">
        <w:rPr>
          <w:rFonts w:eastAsia="Arial" w:cs="Arial"/>
          <w:sz w:val="24"/>
          <w:szCs w:val="24"/>
        </w:rPr>
        <w:fldChar w:fldCharType="separate"/>
      </w:r>
      <w:r w:rsidR="00F561F3">
        <w:rPr>
          <w:rFonts w:cs="Arial"/>
          <w:sz w:val="24"/>
        </w:rPr>
        <w:t>(1)</w:t>
      </w:r>
      <w:r w:rsidR="005C6AF9">
        <w:rPr>
          <w:rFonts w:eastAsia="Arial" w:cs="Arial"/>
          <w:sz w:val="24"/>
          <w:szCs w:val="24"/>
        </w:rPr>
        <w:fldChar w:fldCharType="end"/>
      </w:r>
      <w:r w:rsidR="00CC2F67">
        <w:rPr>
          <w:rFonts w:eastAsia="Arial" w:cs="Arial"/>
          <w:sz w:val="24"/>
          <w:szCs w:val="24"/>
        </w:rPr>
        <w:t>.</w:t>
      </w:r>
      <w:r w:rsidRPr="00D678CF">
        <w:rPr>
          <w:rFonts w:eastAsia="Arial" w:cs="Arial"/>
          <w:sz w:val="24"/>
          <w:szCs w:val="24"/>
        </w:rPr>
        <w:t xml:space="preserve"> For regions where AST data is reported, sampling strategies may skew available results. </w:t>
      </w:r>
      <w:r w:rsidR="0009051F" w:rsidRPr="00D678CF">
        <w:rPr>
          <w:rFonts w:eastAsia="Arial" w:cs="Arial"/>
          <w:sz w:val="24"/>
          <w:szCs w:val="24"/>
        </w:rPr>
        <w:t xml:space="preserve">The disparity between reported penicillin resistance for </w:t>
      </w:r>
      <w:r w:rsidR="0009051F" w:rsidRPr="00D678CF">
        <w:rPr>
          <w:rFonts w:eastAsia="Arial" w:cs="Arial"/>
          <w:i/>
          <w:iCs/>
          <w:sz w:val="24"/>
          <w:szCs w:val="24"/>
        </w:rPr>
        <w:t>Streptococcus pneumoniae</w:t>
      </w:r>
      <w:r w:rsidR="0009051F" w:rsidRPr="00D678CF">
        <w:rPr>
          <w:rFonts w:eastAsia="Arial" w:cs="Arial"/>
          <w:sz w:val="24"/>
          <w:szCs w:val="24"/>
        </w:rPr>
        <w:t xml:space="preserve"> </w:t>
      </w:r>
      <w:r w:rsidR="006478DB" w:rsidRPr="00D678CF">
        <w:rPr>
          <w:rFonts w:eastAsia="Arial" w:cs="Arial"/>
          <w:sz w:val="24"/>
          <w:szCs w:val="24"/>
        </w:rPr>
        <w:t xml:space="preserve">in ATLAS </w:t>
      </w:r>
      <w:r w:rsidR="0009051F" w:rsidRPr="00D678CF">
        <w:rPr>
          <w:rFonts w:eastAsia="Arial" w:cs="Arial"/>
          <w:sz w:val="24"/>
          <w:szCs w:val="24"/>
        </w:rPr>
        <w:t>and GLASS highlight</w:t>
      </w:r>
      <w:r w:rsidR="006478DB" w:rsidRPr="00D678CF">
        <w:rPr>
          <w:rFonts w:eastAsia="Arial" w:cs="Arial"/>
          <w:sz w:val="24"/>
          <w:szCs w:val="24"/>
        </w:rPr>
        <w:t>s</w:t>
      </w:r>
      <w:r w:rsidR="0009051F" w:rsidRPr="00D678CF">
        <w:rPr>
          <w:rFonts w:eastAsia="Arial" w:cs="Arial"/>
          <w:sz w:val="24"/>
          <w:szCs w:val="24"/>
        </w:rPr>
        <w:t xml:space="preserve"> the need for </w:t>
      </w:r>
      <w:r w:rsidR="006478DB" w:rsidRPr="00D678CF">
        <w:rPr>
          <w:rFonts w:eastAsia="Arial" w:cs="Arial"/>
          <w:sz w:val="24"/>
          <w:szCs w:val="24"/>
        </w:rPr>
        <w:t xml:space="preserve">widened </w:t>
      </w:r>
      <w:r w:rsidR="0009051F" w:rsidRPr="00D678CF">
        <w:rPr>
          <w:rFonts w:eastAsia="Arial" w:cs="Arial"/>
          <w:sz w:val="24"/>
          <w:szCs w:val="24"/>
        </w:rPr>
        <w:t>surveillance</w:t>
      </w:r>
      <w:r w:rsidRPr="00D678CF">
        <w:rPr>
          <w:rFonts w:eastAsia="Arial" w:cs="Arial"/>
          <w:sz w:val="24"/>
          <w:szCs w:val="24"/>
        </w:rPr>
        <w:t xml:space="preserve"> with sampling representative of the global burden of disease. Community pathogens and infections and their corresponding </w:t>
      </w:r>
      <w:r w:rsidR="001725D7" w:rsidRPr="00D678CF">
        <w:rPr>
          <w:rFonts w:eastAsia="Arial" w:cs="Arial"/>
          <w:sz w:val="24"/>
          <w:szCs w:val="24"/>
        </w:rPr>
        <w:t xml:space="preserve">antibiotic treatments are inadequately reported in existing datasets. </w:t>
      </w:r>
      <w:r w:rsidRPr="00D678CF">
        <w:rPr>
          <w:rFonts w:eastAsia="Arial" w:cs="Arial"/>
          <w:sz w:val="24"/>
          <w:szCs w:val="24"/>
        </w:rPr>
        <w:t xml:space="preserve"> </w:t>
      </w:r>
    </w:p>
    <w:p w14:paraId="1F0C4F4C" w14:textId="0E749AFA" w:rsidR="00BB33B9" w:rsidRDefault="00BC0B85" w:rsidP="00D678CF">
      <w:pPr>
        <w:spacing w:line="480" w:lineRule="auto"/>
        <w:jc w:val="both"/>
        <w:rPr>
          <w:rFonts w:eastAsia="Arial" w:cs="Arial"/>
          <w:sz w:val="24"/>
          <w:szCs w:val="24"/>
        </w:rPr>
      </w:pPr>
      <w:r w:rsidRPr="00D678CF">
        <w:rPr>
          <w:rFonts w:eastAsia="Arial" w:cs="Arial"/>
          <w:sz w:val="24"/>
          <w:szCs w:val="24"/>
        </w:rPr>
        <w:t>Databases containing complete, representative and unbiased MIC distributions are significantly more useful for regimen planning than a simple S/R classification</w:t>
      </w:r>
      <w:r w:rsidR="001725D7" w:rsidRPr="00D678CF">
        <w:rPr>
          <w:rFonts w:eastAsia="Arial" w:cs="Arial"/>
          <w:sz w:val="24"/>
          <w:szCs w:val="24"/>
        </w:rPr>
        <w:t>, however these resources are scarcer</w:t>
      </w:r>
      <w:r w:rsidRPr="00D678CF">
        <w:rPr>
          <w:rFonts w:eastAsia="Arial" w:cs="Arial"/>
          <w:sz w:val="24"/>
          <w:szCs w:val="24"/>
        </w:rPr>
        <w:t xml:space="preserve">. Knowledge of the distribution of MICs enables overall target attainment rates for drug-pathogen combinations to be calculated (see Figure </w:t>
      </w:r>
      <w:r w:rsidR="00FD3389" w:rsidRPr="00D678CF">
        <w:rPr>
          <w:rFonts w:eastAsia="Arial" w:cs="Arial"/>
          <w:sz w:val="24"/>
          <w:szCs w:val="24"/>
        </w:rPr>
        <w:t>6</w:t>
      </w:r>
      <w:r w:rsidRPr="00D678CF">
        <w:rPr>
          <w:rFonts w:eastAsia="Arial" w:cs="Arial"/>
          <w:sz w:val="24"/>
          <w:szCs w:val="24"/>
        </w:rPr>
        <w:t xml:space="preserve">b). Probability of target attainment (PTA) plotted with the MIC distribution provide an indication whether the regimen is potentially close to a tipping point (see Figure </w:t>
      </w:r>
      <w:r w:rsidR="00FD3389" w:rsidRPr="00D678CF">
        <w:rPr>
          <w:rFonts w:eastAsia="Arial" w:cs="Arial"/>
          <w:sz w:val="24"/>
          <w:szCs w:val="24"/>
        </w:rPr>
        <w:t>6</w:t>
      </w:r>
      <w:r w:rsidRPr="00D678CF">
        <w:rPr>
          <w:rFonts w:eastAsia="Arial" w:cs="Arial"/>
          <w:sz w:val="24"/>
          <w:szCs w:val="24"/>
        </w:rPr>
        <w:t xml:space="preserve">b), which may prompt closer surveillance and monitoring. Ultimately, without open-access MIC databases encompassing a range of </w:t>
      </w:r>
      <w:r w:rsidR="7C5D195A" w:rsidRPr="00D678CF">
        <w:rPr>
          <w:rFonts w:eastAsia="Arial" w:cs="Arial"/>
          <w:sz w:val="24"/>
          <w:szCs w:val="24"/>
        </w:rPr>
        <w:t xml:space="preserve">populations, clinical infections, </w:t>
      </w:r>
      <w:r w:rsidRPr="00D678CF">
        <w:rPr>
          <w:rFonts w:eastAsia="Arial" w:cs="Arial"/>
          <w:sz w:val="24"/>
          <w:szCs w:val="24"/>
        </w:rPr>
        <w:t>geographical and healthcare settings, comprehensive MIC distributions cannot be described, which limits detailed regimen planning.</w:t>
      </w:r>
      <w:r w:rsidR="003C67CC">
        <w:rPr>
          <w:rFonts w:eastAsia="Arial" w:cs="Arial"/>
          <w:sz w:val="24"/>
          <w:szCs w:val="24"/>
        </w:rPr>
        <w:t xml:space="preserve"> </w:t>
      </w:r>
    </w:p>
    <w:p w14:paraId="28BEAF5C" w14:textId="4C3170C3" w:rsidR="00982FDC" w:rsidRDefault="000815E7" w:rsidP="00D678CF">
      <w:pPr>
        <w:spacing w:line="480" w:lineRule="auto"/>
        <w:jc w:val="both"/>
        <w:rPr>
          <w:rFonts w:eastAsia="Arial" w:cs="Arial"/>
          <w:sz w:val="24"/>
          <w:szCs w:val="24"/>
        </w:rPr>
      </w:pPr>
      <w:r>
        <w:rPr>
          <w:rFonts w:eastAsia="Arial" w:cs="Arial"/>
          <w:sz w:val="24"/>
          <w:szCs w:val="24"/>
        </w:rPr>
        <w:t xml:space="preserve">Even where surveillance data </w:t>
      </w:r>
      <w:r w:rsidR="00CC2F67">
        <w:rPr>
          <w:rFonts w:eastAsia="Arial" w:cs="Arial"/>
          <w:sz w:val="24"/>
          <w:szCs w:val="24"/>
        </w:rPr>
        <w:t>are</w:t>
      </w:r>
      <w:r>
        <w:rPr>
          <w:rFonts w:eastAsia="Arial" w:cs="Arial"/>
          <w:sz w:val="24"/>
          <w:szCs w:val="24"/>
        </w:rPr>
        <w:t xml:space="preserve"> available, laboratory antibiotic susceptibility testing, regimen guidance and prescribing practice are all slow to reflect right-shifts in MIC distributions and </w:t>
      </w:r>
      <w:r w:rsidR="00CC2F67">
        <w:rPr>
          <w:rFonts w:eastAsia="Arial" w:cs="Arial"/>
          <w:sz w:val="24"/>
          <w:szCs w:val="24"/>
        </w:rPr>
        <w:t xml:space="preserve">impact of alterations in </w:t>
      </w:r>
      <w:r>
        <w:rPr>
          <w:rFonts w:eastAsia="Arial" w:cs="Arial"/>
          <w:sz w:val="24"/>
          <w:szCs w:val="24"/>
        </w:rPr>
        <w:t xml:space="preserve">breakpoints. </w:t>
      </w:r>
      <w:r w:rsidR="00CC2F67">
        <w:rPr>
          <w:rFonts w:eastAsia="Arial" w:cs="Arial"/>
          <w:sz w:val="24"/>
          <w:szCs w:val="24"/>
        </w:rPr>
        <w:t>T</w:t>
      </w:r>
      <w:r>
        <w:rPr>
          <w:rFonts w:eastAsia="Arial" w:cs="Arial"/>
          <w:sz w:val="24"/>
          <w:szCs w:val="24"/>
        </w:rPr>
        <w:t xml:space="preserve">he </w:t>
      </w:r>
      <w:proofErr w:type="spellStart"/>
      <w:r>
        <w:rPr>
          <w:rFonts w:eastAsia="Arial" w:cs="Arial"/>
          <w:sz w:val="24"/>
          <w:szCs w:val="24"/>
        </w:rPr>
        <w:t>AWaRe</w:t>
      </w:r>
      <w:proofErr w:type="spellEnd"/>
      <w:r>
        <w:rPr>
          <w:rFonts w:eastAsia="Arial" w:cs="Arial"/>
          <w:sz w:val="24"/>
          <w:szCs w:val="24"/>
        </w:rPr>
        <w:t xml:space="preserve"> Book could provide a useful </w:t>
      </w:r>
      <w:r w:rsidR="00CC2F67">
        <w:rPr>
          <w:rFonts w:eastAsia="Arial" w:cs="Arial"/>
          <w:sz w:val="24"/>
          <w:szCs w:val="24"/>
        </w:rPr>
        <w:t xml:space="preserve">role to integrate </w:t>
      </w:r>
      <w:proofErr w:type="gramStart"/>
      <w:r w:rsidR="00CC2F67">
        <w:rPr>
          <w:rFonts w:eastAsia="Arial" w:cs="Arial"/>
          <w:sz w:val="24"/>
          <w:szCs w:val="24"/>
        </w:rPr>
        <w:t>this changes</w:t>
      </w:r>
      <w:proofErr w:type="gramEnd"/>
      <w:r w:rsidR="00CC2F67">
        <w:rPr>
          <w:rFonts w:eastAsia="Arial" w:cs="Arial"/>
          <w:sz w:val="24"/>
          <w:szCs w:val="24"/>
        </w:rPr>
        <w:t xml:space="preserve"> </w:t>
      </w:r>
      <w:r>
        <w:rPr>
          <w:rFonts w:eastAsia="Arial" w:cs="Arial"/>
          <w:sz w:val="24"/>
          <w:szCs w:val="24"/>
        </w:rPr>
        <w:t>if provided with a sufficient evidence-base.</w:t>
      </w:r>
    </w:p>
    <w:p w14:paraId="6D1B898C" w14:textId="66A9158B" w:rsidR="006478DB" w:rsidRPr="00D678CF" w:rsidRDefault="00CC2F67" w:rsidP="001B7760">
      <w:pPr>
        <w:spacing w:line="480" w:lineRule="auto"/>
        <w:jc w:val="both"/>
      </w:pPr>
      <w:r>
        <w:rPr>
          <w:rFonts w:eastAsia="Arial" w:cs="Arial"/>
          <w:sz w:val="24"/>
          <w:szCs w:val="24"/>
        </w:rPr>
        <w:lastRenderedPageBreak/>
        <w:t>There are well understood</w:t>
      </w:r>
      <w:r w:rsidR="00982FDC">
        <w:rPr>
          <w:rFonts w:eastAsia="Arial" w:cs="Arial"/>
          <w:sz w:val="24"/>
          <w:szCs w:val="24"/>
        </w:rPr>
        <w:t xml:space="preserve"> limitations of the MIC and therefore its role in </w:t>
      </w:r>
      <w:r>
        <w:rPr>
          <w:rFonts w:eastAsia="Arial" w:cs="Arial"/>
          <w:sz w:val="24"/>
          <w:szCs w:val="24"/>
        </w:rPr>
        <w:t>establishing the adequacy of a given regimen</w:t>
      </w:r>
      <w:r w:rsidR="00982FDC">
        <w:rPr>
          <w:rFonts w:eastAsia="Arial" w:cs="Arial"/>
          <w:sz w:val="24"/>
          <w:szCs w:val="24"/>
        </w:rPr>
        <w:t xml:space="preserve">. </w:t>
      </w:r>
      <w:r>
        <w:rPr>
          <w:rFonts w:eastAsia="Arial" w:cs="Arial"/>
          <w:sz w:val="24"/>
          <w:szCs w:val="24"/>
        </w:rPr>
        <w:t>While MIC is</w:t>
      </w:r>
      <w:r w:rsidR="00982FDC">
        <w:rPr>
          <w:rFonts w:eastAsia="Arial" w:cs="Arial"/>
          <w:sz w:val="24"/>
          <w:szCs w:val="24"/>
        </w:rPr>
        <w:t xml:space="preserve"> a </w:t>
      </w:r>
      <w:r>
        <w:rPr>
          <w:rFonts w:eastAsia="Arial" w:cs="Arial"/>
          <w:sz w:val="24"/>
          <w:szCs w:val="24"/>
        </w:rPr>
        <w:t>standard</w:t>
      </w:r>
      <w:r w:rsidR="00982FDC">
        <w:rPr>
          <w:rFonts w:eastAsia="Arial" w:cs="Arial"/>
          <w:sz w:val="24"/>
          <w:szCs w:val="24"/>
        </w:rPr>
        <w:t xml:space="preserve"> measure of antibiotic susceptibility</w:t>
      </w:r>
      <w:r>
        <w:rPr>
          <w:rFonts w:eastAsia="Arial" w:cs="Arial"/>
          <w:sz w:val="24"/>
          <w:szCs w:val="24"/>
        </w:rPr>
        <w:t>, it</w:t>
      </w:r>
      <w:r w:rsidR="00982FDC">
        <w:rPr>
          <w:rFonts w:eastAsia="Arial" w:cs="Arial"/>
          <w:sz w:val="24"/>
          <w:szCs w:val="24"/>
        </w:rPr>
        <w:t xml:space="preserve"> </w:t>
      </w:r>
      <w:r>
        <w:rPr>
          <w:rFonts w:eastAsia="Arial" w:cs="Arial"/>
          <w:sz w:val="24"/>
          <w:szCs w:val="24"/>
        </w:rPr>
        <w:t>may</w:t>
      </w:r>
      <w:r w:rsidR="00982FDC">
        <w:rPr>
          <w:rFonts w:eastAsia="Arial" w:cs="Arial"/>
          <w:sz w:val="24"/>
          <w:szCs w:val="24"/>
        </w:rPr>
        <w:t xml:space="preserve"> </w:t>
      </w:r>
      <w:r>
        <w:rPr>
          <w:rFonts w:eastAsia="Arial" w:cs="Arial"/>
          <w:sz w:val="24"/>
          <w:szCs w:val="24"/>
        </w:rPr>
        <w:t>not account for many of the progressive dynamic changes that occur with</w:t>
      </w:r>
      <w:r w:rsidR="00982FDC">
        <w:rPr>
          <w:rFonts w:eastAsia="Arial" w:cs="Arial"/>
          <w:sz w:val="24"/>
          <w:szCs w:val="24"/>
        </w:rPr>
        <w:t xml:space="preserve"> longer </w:t>
      </w:r>
      <w:r w:rsidR="000815E7">
        <w:rPr>
          <w:rFonts w:eastAsia="Arial" w:cs="Arial"/>
          <w:sz w:val="24"/>
          <w:szCs w:val="24"/>
        </w:rPr>
        <w:t xml:space="preserve">antibiotic </w:t>
      </w:r>
      <w:r w:rsidR="00982FDC">
        <w:rPr>
          <w:rFonts w:eastAsia="Arial" w:cs="Arial"/>
          <w:sz w:val="24"/>
          <w:szCs w:val="24"/>
        </w:rPr>
        <w:t xml:space="preserve">exposures. As such, at </w:t>
      </w:r>
      <w:r>
        <w:rPr>
          <w:rFonts w:eastAsia="Arial" w:cs="Arial"/>
          <w:sz w:val="24"/>
          <w:szCs w:val="24"/>
        </w:rPr>
        <w:t>the</w:t>
      </w:r>
      <w:r w:rsidR="00982FDC">
        <w:rPr>
          <w:rFonts w:eastAsia="Arial" w:cs="Arial"/>
          <w:sz w:val="24"/>
          <w:szCs w:val="24"/>
        </w:rPr>
        <w:t xml:space="preserve"> MIC </w:t>
      </w:r>
      <w:r>
        <w:rPr>
          <w:rFonts w:eastAsia="Arial" w:cs="Arial"/>
          <w:sz w:val="24"/>
          <w:szCs w:val="24"/>
        </w:rPr>
        <w:t>may not predict the</w:t>
      </w:r>
      <w:r w:rsidR="00982FDC">
        <w:rPr>
          <w:rFonts w:eastAsia="Arial" w:cs="Arial"/>
          <w:sz w:val="24"/>
          <w:szCs w:val="24"/>
        </w:rPr>
        <w:t xml:space="preserve"> potential for </w:t>
      </w:r>
      <w:r>
        <w:rPr>
          <w:rFonts w:eastAsia="Arial" w:cs="Arial"/>
          <w:sz w:val="24"/>
          <w:szCs w:val="24"/>
        </w:rPr>
        <w:t xml:space="preserve">rapid emergence of </w:t>
      </w:r>
      <w:r w:rsidR="00982FDC">
        <w:rPr>
          <w:rFonts w:eastAsia="Arial" w:cs="Arial"/>
          <w:sz w:val="24"/>
          <w:szCs w:val="24"/>
        </w:rPr>
        <w:t xml:space="preserve">resistance </w:t>
      </w:r>
      <w:r>
        <w:rPr>
          <w:rFonts w:eastAsia="Arial" w:cs="Arial"/>
          <w:sz w:val="24"/>
          <w:szCs w:val="24"/>
        </w:rPr>
        <w:t>that is characteristic of some drug-pathogen combinations</w:t>
      </w:r>
      <w:r w:rsidR="00982FDC">
        <w:rPr>
          <w:rFonts w:eastAsia="Arial" w:cs="Arial"/>
          <w:sz w:val="24"/>
          <w:szCs w:val="24"/>
        </w:rPr>
        <w:t>.</w:t>
      </w:r>
    </w:p>
    <w:p w14:paraId="76FD574D" w14:textId="6EC09100" w:rsidR="007118E0" w:rsidRPr="00D678CF" w:rsidRDefault="00895E7A" w:rsidP="00D678CF">
      <w:pPr>
        <w:pStyle w:val="Heading2"/>
        <w:spacing w:line="480" w:lineRule="auto"/>
        <w:rPr>
          <w:sz w:val="24"/>
          <w:szCs w:val="24"/>
        </w:rPr>
      </w:pPr>
      <w:bookmarkStart w:id="19" w:name="_Toc154184996"/>
      <w:r w:rsidRPr="00D678CF">
        <w:t>Pharmacodynamic target</w:t>
      </w:r>
      <w:r w:rsidR="00C775E4" w:rsidRPr="00D678CF">
        <w:t>s</w:t>
      </w:r>
      <w:bookmarkEnd w:id="19"/>
    </w:p>
    <w:p w14:paraId="4871C243" w14:textId="7CD94470" w:rsidR="00403D2F" w:rsidRDefault="0067568A" w:rsidP="00D678CF">
      <w:pPr>
        <w:spacing w:line="480" w:lineRule="auto"/>
        <w:jc w:val="both"/>
        <w:rPr>
          <w:rFonts w:eastAsia="Arial" w:cs="Arial"/>
          <w:sz w:val="24"/>
          <w:szCs w:val="24"/>
        </w:rPr>
      </w:pPr>
      <w:r w:rsidRPr="00D678CF">
        <w:rPr>
          <w:rFonts w:eastAsia="Arial" w:cs="Arial"/>
          <w:color w:val="000000" w:themeColor="text1"/>
          <w:sz w:val="24"/>
          <w:szCs w:val="24"/>
        </w:rPr>
        <w:t xml:space="preserve">Defining pharmacodynamic targets </w:t>
      </w:r>
      <w:r w:rsidR="005D6147" w:rsidRPr="00D678CF">
        <w:rPr>
          <w:rFonts w:eastAsia="Arial" w:cs="Arial"/>
          <w:color w:val="000000" w:themeColor="text1"/>
          <w:sz w:val="24"/>
          <w:szCs w:val="24"/>
        </w:rPr>
        <w:t xml:space="preserve">that are relevant for clinical care </w:t>
      </w:r>
      <w:r w:rsidRPr="00D678CF">
        <w:rPr>
          <w:rFonts w:eastAsia="Arial" w:cs="Arial"/>
          <w:color w:val="000000" w:themeColor="text1"/>
          <w:sz w:val="24"/>
          <w:szCs w:val="24"/>
        </w:rPr>
        <w:t>is challenging</w:t>
      </w:r>
      <w:r w:rsidR="00007560" w:rsidRPr="00D678CF">
        <w:rPr>
          <w:rFonts w:eastAsia="Arial" w:cs="Arial"/>
          <w:color w:val="000000" w:themeColor="text1"/>
          <w:sz w:val="24"/>
          <w:szCs w:val="24"/>
        </w:rPr>
        <w:t xml:space="preserve">. </w:t>
      </w:r>
      <w:r w:rsidR="000F0CA5" w:rsidRPr="00D678CF">
        <w:rPr>
          <w:rFonts w:eastAsia="Arial" w:cs="Arial"/>
          <w:color w:val="000000" w:themeColor="text1"/>
          <w:sz w:val="24"/>
          <w:szCs w:val="24"/>
        </w:rPr>
        <w:t xml:space="preserve">For </w:t>
      </w:r>
      <w:r w:rsidR="3F3CE079" w:rsidRPr="00D678CF">
        <w:rPr>
          <w:rFonts w:eastAsia="Arial" w:cs="Arial"/>
          <w:color w:val="000000" w:themeColor="text1"/>
          <w:sz w:val="24"/>
          <w:szCs w:val="24"/>
        </w:rPr>
        <w:t>antibiotic</w:t>
      </w:r>
      <w:r w:rsidR="000F0CA5" w:rsidRPr="00D678CF">
        <w:rPr>
          <w:rFonts w:eastAsia="Arial" w:cs="Arial"/>
          <w:color w:val="000000" w:themeColor="text1"/>
          <w:sz w:val="24"/>
          <w:szCs w:val="24"/>
        </w:rPr>
        <w:t xml:space="preserve"> drug development</w:t>
      </w:r>
      <w:r w:rsidR="00CC7949" w:rsidRPr="00D678CF">
        <w:rPr>
          <w:rFonts w:eastAsia="Arial" w:cs="Arial"/>
          <w:color w:val="000000" w:themeColor="text1"/>
          <w:sz w:val="24"/>
          <w:szCs w:val="24"/>
        </w:rPr>
        <w:t>, the drug exposure that is associated with</w:t>
      </w:r>
      <w:r w:rsidR="00E7048F" w:rsidRPr="00D678CF">
        <w:rPr>
          <w:rFonts w:eastAsia="Arial" w:cs="Arial"/>
          <w:color w:val="000000" w:themeColor="text1"/>
          <w:sz w:val="24"/>
          <w:szCs w:val="24"/>
        </w:rPr>
        <w:t xml:space="preserve"> stasis </w:t>
      </w:r>
      <w:r w:rsidR="000815E7">
        <w:rPr>
          <w:rFonts w:eastAsia="Arial" w:cs="Arial"/>
          <w:color w:val="000000" w:themeColor="text1"/>
          <w:sz w:val="24"/>
          <w:szCs w:val="24"/>
        </w:rPr>
        <w:t>or</w:t>
      </w:r>
      <w:r w:rsidR="000815E7" w:rsidRPr="00D678CF">
        <w:rPr>
          <w:rFonts w:eastAsia="Arial" w:cs="Arial"/>
          <w:color w:val="000000" w:themeColor="text1"/>
          <w:sz w:val="24"/>
          <w:szCs w:val="24"/>
        </w:rPr>
        <w:t xml:space="preserve"> </w:t>
      </w:r>
      <w:r w:rsidR="00E7048F" w:rsidRPr="00D678CF">
        <w:rPr>
          <w:rFonts w:eastAsia="Arial" w:cs="Arial"/>
          <w:color w:val="000000" w:themeColor="text1"/>
          <w:sz w:val="24"/>
          <w:szCs w:val="24"/>
        </w:rPr>
        <w:t xml:space="preserve">orders of logarithmic killing </w:t>
      </w:r>
      <w:r w:rsidR="0093706C" w:rsidRPr="00D678CF">
        <w:rPr>
          <w:rFonts w:eastAsia="Arial" w:cs="Arial"/>
          <w:color w:val="000000" w:themeColor="text1"/>
          <w:sz w:val="24"/>
          <w:szCs w:val="24"/>
        </w:rPr>
        <w:t xml:space="preserve">in murine models of infection </w:t>
      </w:r>
      <w:r w:rsidR="00CC7949" w:rsidRPr="00D678CF">
        <w:rPr>
          <w:rFonts w:eastAsia="Arial" w:cs="Arial"/>
          <w:color w:val="000000" w:themeColor="text1"/>
          <w:sz w:val="24"/>
          <w:szCs w:val="24"/>
        </w:rPr>
        <w:t>is</w:t>
      </w:r>
      <w:r w:rsidR="00E7048F" w:rsidRPr="00D678CF">
        <w:rPr>
          <w:rFonts w:eastAsia="Arial" w:cs="Arial"/>
          <w:color w:val="000000" w:themeColor="text1"/>
          <w:sz w:val="24"/>
          <w:szCs w:val="24"/>
        </w:rPr>
        <w:t xml:space="preserve"> used to define</w:t>
      </w:r>
      <w:r w:rsidR="00CC7949" w:rsidRPr="00D678CF">
        <w:rPr>
          <w:rFonts w:eastAsia="Arial" w:cs="Arial"/>
          <w:color w:val="000000" w:themeColor="text1"/>
          <w:sz w:val="24"/>
          <w:szCs w:val="24"/>
        </w:rPr>
        <w:t xml:space="preserve"> regimens of new drugs for c</w:t>
      </w:r>
      <w:r w:rsidR="00BE5D6C" w:rsidRPr="00D678CF">
        <w:rPr>
          <w:rFonts w:eastAsia="Arial" w:cs="Arial"/>
          <w:color w:val="000000" w:themeColor="text1"/>
          <w:sz w:val="24"/>
          <w:szCs w:val="24"/>
        </w:rPr>
        <w:t xml:space="preserve">omplicated </w:t>
      </w:r>
      <w:r w:rsidR="00727335" w:rsidRPr="00D678CF">
        <w:rPr>
          <w:rFonts w:eastAsia="Arial" w:cs="Arial"/>
          <w:color w:val="000000" w:themeColor="text1"/>
          <w:sz w:val="24"/>
          <w:szCs w:val="24"/>
        </w:rPr>
        <w:t>urinary tract infection (</w:t>
      </w:r>
      <w:proofErr w:type="spellStart"/>
      <w:r w:rsidR="00CC7949" w:rsidRPr="00D678CF">
        <w:rPr>
          <w:rFonts w:eastAsia="Arial" w:cs="Arial"/>
          <w:color w:val="000000" w:themeColor="text1"/>
          <w:sz w:val="24"/>
          <w:szCs w:val="24"/>
        </w:rPr>
        <w:t>cUTI</w:t>
      </w:r>
      <w:proofErr w:type="spellEnd"/>
      <w:r w:rsidR="00727335" w:rsidRPr="00D678CF">
        <w:rPr>
          <w:rFonts w:eastAsia="Arial" w:cs="Arial"/>
          <w:color w:val="000000" w:themeColor="text1"/>
          <w:sz w:val="24"/>
          <w:szCs w:val="24"/>
        </w:rPr>
        <w:t>)</w:t>
      </w:r>
      <w:r w:rsidR="00CC7949" w:rsidRPr="00D678CF">
        <w:rPr>
          <w:rFonts w:eastAsia="Arial" w:cs="Arial"/>
          <w:color w:val="000000" w:themeColor="text1"/>
          <w:sz w:val="24"/>
          <w:szCs w:val="24"/>
        </w:rPr>
        <w:t xml:space="preserve"> and pneumonia, respectively. </w:t>
      </w:r>
      <w:r w:rsidR="00783357" w:rsidRPr="00D678CF">
        <w:rPr>
          <w:rFonts w:eastAsia="Arial" w:cs="Arial"/>
          <w:sz w:val="24"/>
          <w:szCs w:val="24"/>
        </w:rPr>
        <w:t>Most articles meeting systematic review criteria (</w:t>
      </w:r>
      <w:r w:rsidR="00BE5D6C" w:rsidRPr="00D678CF">
        <w:rPr>
          <w:rFonts w:eastAsia="Arial" w:cs="Arial"/>
          <w:sz w:val="24"/>
          <w:szCs w:val="24"/>
        </w:rPr>
        <w:t xml:space="preserve">Figure </w:t>
      </w:r>
      <w:r w:rsidR="00024943" w:rsidRPr="00D678CF">
        <w:rPr>
          <w:rFonts w:eastAsia="Arial" w:cs="Arial"/>
          <w:sz w:val="24"/>
          <w:szCs w:val="24"/>
        </w:rPr>
        <w:t>3</w:t>
      </w:r>
      <w:r w:rsidR="008B52CF" w:rsidRPr="00D678CF">
        <w:rPr>
          <w:rFonts w:eastAsia="Arial" w:cs="Arial"/>
          <w:sz w:val="24"/>
          <w:szCs w:val="24"/>
        </w:rPr>
        <w:t>b</w:t>
      </w:r>
      <w:r w:rsidR="00BE5D6C" w:rsidRPr="00D678CF">
        <w:rPr>
          <w:rFonts w:eastAsia="Arial" w:cs="Arial"/>
          <w:sz w:val="24"/>
          <w:szCs w:val="24"/>
        </w:rPr>
        <w:t xml:space="preserve">) </w:t>
      </w:r>
      <w:r w:rsidR="00783357" w:rsidRPr="00D678CF">
        <w:rPr>
          <w:rFonts w:eastAsia="Arial" w:cs="Arial"/>
          <w:sz w:val="24"/>
          <w:szCs w:val="24"/>
        </w:rPr>
        <w:t xml:space="preserve">utilised a target magnitude defined in another study. </w:t>
      </w:r>
      <w:r w:rsidR="00BE5D6C" w:rsidRPr="00D678CF">
        <w:rPr>
          <w:rFonts w:eastAsia="Arial" w:cs="Arial"/>
          <w:color w:val="000000" w:themeColor="text1"/>
          <w:sz w:val="24"/>
          <w:szCs w:val="24"/>
        </w:rPr>
        <w:t>Citation tracing</w:t>
      </w:r>
      <w:r w:rsidR="003A3FCC" w:rsidRPr="00D678CF">
        <w:rPr>
          <w:rFonts w:eastAsia="Arial" w:cs="Arial"/>
          <w:color w:val="000000" w:themeColor="text1"/>
          <w:sz w:val="24"/>
          <w:szCs w:val="24"/>
        </w:rPr>
        <w:t xml:space="preserve"> </w:t>
      </w:r>
      <w:r w:rsidR="00F52F49" w:rsidRPr="00D678CF">
        <w:rPr>
          <w:rFonts w:eastAsia="Arial" w:cs="Arial"/>
          <w:color w:val="000000" w:themeColor="text1"/>
          <w:sz w:val="24"/>
          <w:szCs w:val="24"/>
        </w:rPr>
        <w:t xml:space="preserve">(Figure </w:t>
      </w:r>
      <w:r w:rsidR="00FD3389" w:rsidRPr="00D678CF">
        <w:rPr>
          <w:rFonts w:eastAsia="Arial" w:cs="Arial"/>
          <w:color w:val="000000" w:themeColor="text1"/>
          <w:sz w:val="24"/>
          <w:szCs w:val="24"/>
        </w:rPr>
        <w:t>5</w:t>
      </w:r>
      <w:r w:rsidR="00F52F49" w:rsidRPr="00D678CF">
        <w:rPr>
          <w:rFonts w:eastAsia="Arial" w:cs="Arial"/>
          <w:color w:val="000000" w:themeColor="text1"/>
          <w:sz w:val="24"/>
          <w:szCs w:val="24"/>
        </w:rPr>
        <w:t>)</w:t>
      </w:r>
      <w:r w:rsidR="003A3FCC" w:rsidRPr="00D678CF">
        <w:rPr>
          <w:rFonts w:eastAsia="Arial" w:cs="Arial"/>
          <w:color w:val="000000" w:themeColor="text1"/>
          <w:sz w:val="24"/>
          <w:szCs w:val="24"/>
        </w:rPr>
        <w:t xml:space="preserve"> demonstrates that </w:t>
      </w:r>
      <w:r w:rsidR="003425BF" w:rsidRPr="00D678CF">
        <w:rPr>
          <w:rFonts w:eastAsia="Arial" w:cs="Arial"/>
          <w:color w:val="000000" w:themeColor="text1"/>
          <w:sz w:val="24"/>
          <w:szCs w:val="24"/>
        </w:rPr>
        <w:t xml:space="preserve">old studies are </w:t>
      </w:r>
      <w:r w:rsidR="00E35F61" w:rsidRPr="00D678CF">
        <w:rPr>
          <w:rFonts w:eastAsia="Arial" w:cs="Arial"/>
          <w:color w:val="000000" w:themeColor="text1"/>
          <w:sz w:val="24"/>
          <w:szCs w:val="24"/>
        </w:rPr>
        <w:t>repeatedly</w:t>
      </w:r>
      <w:r w:rsidR="00461A14" w:rsidRPr="00D678CF">
        <w:rPr>
          <w:rFonts w:eastAsia="Arial" w:cs="Arial"/>
          <w:color w:val="000000" w:themeColor="text1"/>
          <w:sz w:val="24"/>
          <w:szCs w:val="24"/>
        </w:rPr>
        <w:t xml:space="preserve"> cited leading to widely held and self</w:t>
      </w:r>
      <w:r w:rsidR="009F30A5" w:rsidRPr="00D678CF">
        <w:rPr>
          <w:rFonts w:eastAsia="Arial" w:cs="Arial"/>
          <w:color w:val="000000" w:themeColor="text1"/>
          <w:sz w:val="24"/>
          <w:szCs w:val="24"/>
        </w:rPr>
        <w:t>-</w:t>
      </w:r>
      <w:r w:rsidR="00172AC1" w:rsidRPr="00D678CF">
        <w:rPr>
          <w:rFonts w:eastAsia="Arial" w:cs="Arial"/>
          <w:color w:val="000000" w:themeColor="text1"/>
          <w:sz w:val="24"/>
          <w:szCs w:val="24"/>
        </w:rPr>
        <w:t xml:space="preserve">propagating </w:t>
      </w:r>
      <w:r w:rsidR="02ECE528" w:rsidRPr="00D678CF">
        <w:rPr>
          <w:rFonts w:eastAsia="Arial" w:cs="Arial"/>
          <w:color w:val="000000" w:themeColor="text1"/>
          <w:sz w:val="24"/>
          <w:szCs w:val="24"/>
        </w:rPr>
        <w:t>constructs</w:t>
      </w:r>
      <w:r w:rsidR="009F30A5" w:rsidRPr="00D678CF">
        <w:rPr>
          <w:rFonts w:eastAsia="Arial" w:cs="Arial"/>
          <w:color w:val="000000" w:themeColor="text1"/>
          <w:sz w:val="24"/>
          <w:szCs w:val="24"/>
        </w:rPr>
        <w:t xml:space="preserve"> such as </w:t>
      </w:r>
      <w:proofErr w:type="spellStart"/>
      <w:r w:rsidR="00590A10" w:rsidRPr="00D678CF">
        <w:rPr>
          <w:rFonts w:eastAsia="Arial" w:cs="Arial"/>
          <w:i/>
          <w:iCs/>
          <w:sz w:val="24"/>
          <w:szCs w:val="24"/>
        </w:rPr>
        <w:t>f</w:t>
      </w:r>
      <w:r w:rsidR="00590A10" w:rsidRPr="00D678CF">
        <w:rPr>
          <w:rFonts w:eastAsia="Arial" w:cs="Arial"/>
          <w:sz w:val="24"/>
          <w:szCs w:val="24"/>
        </w:rPr>
        <w:t>T</w:t>
      </w:r>
      <w:proofErr w:type="spellEnd"/>
      <w:r w:rsidR="00590A10" w:rsidRPr="00D678CF">
        <w:rPr>
          <w:rFonts w:eastAsia="Arial" w:cs="Arial"/>
          <w:sz w:val="24"/>
          <w:szCs w:val="24"/>
        </w:rPr>
        <w:t>&gt;MIC</w:t>
      </w:r>
      <w:r w:rsidR="00590A10" w:rsidRPr="00D678CF">
        <w:rPr>
          <w:rFonts w:eastAsia="Arial" w:cs="Arial"/>
          <w:color w:val="000000" w:themeColor="text1"/>
          <w:sz w:val="24"/>
          <w:szCs w:val="24"/>
        </w:rPr>
        <w:t xml:space="preserve"> of 30-50% of the dosing interval </w:t>
      </w:r>
      <w:r w:rsidR="00973E42" w:rsidRPr="00D678CF">
        <w:rPr>
          <w:rFonts w:eastAsia="Arial" w:cs="Arial"/>
          <w:color w:val="000000" w:themeColor="text1"/>
          <w:sz w:val="24"/>
          <w:szCs w:val="24"/>
        </w:rPr>
        <w:t xml:space="preserve">is required for </w:t>
      </w:r>
      <w:r w:rsidR="007774FB" w:rsidRPr="00D678CF">
        <w:rPr>
          <w:rFonts w:eastAsia="Arial" w:cs="Arial"/>
          <w:color w:val="000000" w:themeColor="text1"/>
          <w:sz w:val="24"/>
          <w:szCs w:val="24"/>
        </w:rPr>
        <w:t xml:space="preserve">efficacy for </w:t>
      </w:r>
      <w:r w:rsidR="00973E42" w:rsidRPr="00D678CF">
        <w:rPr>
          <w:rFonts w:eastAsia="Arial" w:cs="Arial"/>
          <w:color w:val="000000" w:themeColor="text1"/>
          <w:sz w:val="24"/>
          <w:szCs w:val="24"/>
        </w:rPr>
        <w:t>the</w:t>
      </w:r>
      <w:r w:rsidR="00590A10" w:rsidRPr="00D678CF">
        <w:rPr>
          <w:rFonts w:eastAsia="Arial" w:cs="Arial"/>
          <w:color w:val="000000" w:themeColor="text1"/>
          <w:sz w:val="24"/>
          <w:szCs w:val="24"/>
        </w:rPr>
        <w:t xml:space="preserve"> </w:t>
      </w:r>
      <w:r w:rsidR="006770C4" w:rsidRPr="00D678CF">
        <w:rPr>
          <w:rFonts w:eastAsia="Arial" w:cs="Arial"/>
          <w:sz w:val="24"/>
          <w:szCs w:val="24"/>
        </w:rPr>
        <w:t>ß-lactam antibiotics</w:t>
      </w:r>
      <w:r w:rsidR="05E63915" w:rsidRPr="00D678CF">
        <w:rPr>
          <w:rFonts w:eastAsia="Arial" w:cs="Arial"/>
          <w:sz w:val="24"/>
          <w:szCs w:val="24"/>
        </w:rPr>
        <w:t>. W</w:t>
      </w:r>
      <w:r w:rsidR="00E572FB" w:rsidRPr="00D678CF">
        <w:rPr>
          <w:rFonts w:eastAsia="Arial" w:cs="Arial"/>
          <w:sz w:val="24"/>
          <w:szCs w:val="24"/>
        </w:rPr>
        <w:t xml:space="preserve">hile this is likely to be a </w:t>
      </w:r>
      <w:r w:rsidR="2FCFEE39" w:rsidRPr="00D678CF">
        <w:rPr>
          <w:rFonts w:eastAsia="Arial" w:cs="Arial"/>
          <w:sz w:val="24"/>
          <w:szCs w:val="24"/>
        </w:rPr>
        <w:t>reasonable</w:t>
      </w:r>
      <w:r w:rsidR="00E572FB" w:rsidRPr="00D678CF">
        <w:rPr>
          <w:rFonts w:eastAsia="Arial" w:cs="Arial"/>
          <w:sz w:val="24"/>
          <w:szCs w:val="24"/>
        </w:rPr>
        <w:t xml:space="preserve"> estimate </w:t>
      </w:r>
      <w:r w:rsidR="003A3236" w:rsidRPr="00D678CF">
        <w:rPr>
          <w:rFonts w:eastAsia="Arial" w:cs="Arial"/>
          <w:sz w:val="24"/>
          <w:szCs w:val="24"/>
        </w:rPr>
        <w:t xml:space="preserve">for </w:t>
      </w:r>
      <w:r w:rsidR="006D470E" w:rsidRPr="00D678CF">
        <w:rPr>
          <w:rFonts w:eastAsia="Arial" w:cs="Arial"/>
          <w:sz w:val="24"/>
          <w:szCs w:val="24"/>
        </w:rPr>
        <w:t>most</w:t>
      </w:r>
      <w:r w:rsidR="003A3236" w:rsidRPr="00D678CF">
        <w:rPr>
          <w:rFonts w:eastAsia="Arial" w:cs="Arial"/>
          <w:sz w:val="24"/>
          <w:szCs w:val="24"/>
        </w:rPr>
        <w:t xml:space="preserve"> patients, there are clearly </w:t>
      </w:r>
      <w:r w:rsidR="002B7A34" w:rsidRPr="00D678CF">
        <w:rPr>
          <w:rFonts w:eastAsia="Arial" w:cs="Arial"/>
          <w:sz w:val="24"/>
          <w:szCs w:val="24"/>
        </w:rPr>
        <w:t>circumstances</w:t>
      </w:r>
      <w:r w:rsidR="004D5422" w:rsidRPr="00D678CF">
        <w:rPr>
          <w:rFonts w:eastAsia="Arial" w:cs="Arial"/>
          <w:sz w:val="24"/>
          <w:szCs w:val="24"/>
        </w:rPr>
        <w:t xml:space="preserve"> where </w:t>
      </w:r>
      <w:r w:rsidR="001669B3" w:rsidRPr="00D678CF">
        <w:rPr>
          <w:rFonts w:eastAsia="Arial" w:cs="Arial"/>
          <w:sz w:val="24"/>
          <w:szCs w:val="24"/>
        </w:rPr>
        <w:t>this</w:t>
      </w:r>
      <w:r w:rsidR="004D5422" w:rsidRPr="00D678CF">
        <w:rPr>
          <w:rFonts w:eastAsia="Arial" w:cs="Arial"/>
          <w:sz w:val="24"/>
          <w:szCs w:val="24"/>
        </w:rPr>
        <w:t xml:space="preserve"> “one-size-fits-all</w:t>
      </w:r>
      <w:r w:rsidR="00E305E2" w:rsidRPr="00D678CF">
        <w:rPr>
          <w:rFonts w:eastAsia="Arial" w:cs="Arial"/>
          <w:sz w:val="24"/>
          <w:szCs w:val="24"/>
        </w:rPr>
        <w:t>”</w:t>
      </w:r>
      <w:r w:rsidR="004D5422" w:rsidRPr="00D678CF">
        <w:rPr>
          <w:rFonts w:eastAsia="Arial" w:cs="Arial"/>
          <w:sz w:val="24"/>
          <w:szCs w:val="24"/>
        </w:rPr>
        <w:t xml:space="preserve"> ta</w:t>
      </w:r>
      <w:r w:rsidR="00E305E2" w:rsidRPr="00D678CF">
        <w:rPr>
          <w:rFonts w:eastAsia="Arial" w:cs="Arial"/>
          <w:sz w:val="24"/>
          <w:szCs w:val="24"/>
        </w:rPr>
        <w:t xml:space="preserve">rget may </w:t>
      </w:r>
      <w:r w:rsidR="007626CC" w:rsidRPr="00D678CF">
        <w:rPr>
          <w:rFonts w:eastAsia="Arial" w:cs="Arial"/>
          <w:sz w:val="24"/>
          <w:szCs w:val="24"/>
        </w:rPr>
        <w:t>not be appropriate</w:t>
      </w:r>
      <w:r w:rsidR="007774FB" w:rsidRPr="00D678CF">
        <w:rPr>
          <w:rFonts w:eastAsia="Arial" w:cs="Arial"/>
          <w:sz w:val="24"/>
          <w:szCs w:val="24"/>
        </w:rPr>
        <w:t xml:space="preserve">. </w:t>
      </w:r>
      <w:r w:rsidR="00DC1A08" w:rsidRPr="00D678CF">
        <w:rPr>
          <w:rFonts w:eastAsia="Arial" w:cs="Arial"/>
          <w:sz w:val="24"/>
          <w:szCs w:val="24"/>
        </w:rPr>
        <w:t>For example</w:t>
      </w:r>
      <w:r w:rsidR="00401E5A" w:rsidRPr="00D678CF">
        <w:rPr>
          <w:rFonts w:eastAsia="Arial" w:cs="Arial"/>
          <w:sz w:val="24"/>
          <w:szCs w:val="24"/>
        </w:rPr>
        <w:t xml:space="preserve">, little is known about drug exposure targets that </w:t>
      </w:r>
      <w:r w:rsidR="00FD5425" w:rsidRPr="00D678CF">
        <w:rPr>
          <w:rFonts w:eastAsia="Arial" w:cs="Arial"/>
          <w:sz w:val="24"/>
          <w:szCs w:val="24"/>
        </w:rPr>
        <w:t>counter</w:t>
      </w:r>
      <w:r w:rsidR="00EB59DA" w:rsidRPr="00D678CF">
        <w:rPr>
          <w:rFonts w:eastAsia="Arial" w:cs="Arial"/>
          <w:sz w:val="24"/>
          <w:szCs w:val="24"/>
        </w:rPr>
        <w:t>-</w:t>
      </w:r>
      <w:r w:rsidR="00FD5425" w:rsidRPr="00D678CF">
        <w:rPr>
          <w:rFonts w:eastAsia="Arial" w:cs="Arial"/>
          <w:sz w:val="24"/>
          <w:szCs w:val="24"/>
        </w:rPr>
        <w:t>select</w:t>
      </w:r>
      <w:r w:rsidR="00401E5A" w:rsidRPr="00D678CF">
        <w:rPr>
          <w:rFonts w:eastAsia="Arial" w:cs="Arial"/>
          <w:sz w:val="24"/>
          <w:szCs w:val="24"/>
        </w:rPr>
        <w:t xml:space="preserve"> emergence of resistance </w:t>
      </w:r>
      <w:r w:rsidR="00A606EB" w:rsidRPr="00D678CF">
        <w:rPr>
          <w:rFonts w:eastAsia="Arial" w:cs="Arial"/>
          <w:sz w:val="24"/>
          <w:szCs w:val="24"/>
        </w:rPr>
        <w:t xml:space="preserve">in global settings </w:t>
      </w:r>
      <w:r w:rsidR="00401E5A" w:rsidRPr="00D678CF">
        <w:rPr>
          <w:rFonts w:eastAsia="Arial" w:cs="Arial"/>
          <w:sz w:val="24"/>
          <w:szCs w:val="24"/>
        </w:rPr>
        <w:t xml:space="preserve">(as opposed to treatment of </w:t>
      </w:r>
      <w:r w:rsidR="00F15A0A" w:rsidRPr="00D678CF">
        <w:rPr>
          <w:rFonts w:eastAsia="Arial" w:cs="Arial"/>
          <w:sz w:val="24"/>
          <w:szCs w:val="24"/>
        </w:rPr>
        <w:t xml:space="preserve">pathogens with </w:t>
      </w:r>
      <w:r w:rsidR="00401E5A" w:rsidRPr="00D678CF">
        <w:rPr>
          <w:rFonts w:eastAsia="Arial" w:cs="Arial"/>
          <w:sz w:val="24"/>
          <w:szCs w:val="24"/>
        </w:rPr>
        <w:t xml:space="preserve">established </w:t>
      </w:r>
      <w:r w:rsidR="00F15A0A" w:rsidRPr="00D678CF">
        <w:rPr>
          <w:rFonts w:eastAsia="Arial" w:cs="Arial"/>
          <w:sz w:val="24"/>
          <w:szCs w:val="24"/>
        </w:rPr>
        <w:t xml:space="preserve">resistance mechanisms), </w:t>
      </w:r>
      <w:r w:rsidR="0084602E" w:rsidRPr="00D678CF">
        <w:rPr>
          <w:rFonts w:eastAsia="Arial" w:cs="Arial"/>
          <w:sz w:val="24"/>
          <w:szCs w:val="24"/>
        </w:rPr>
        <w:t>appropriate</w:t>
      </w:r>
      <w:r w:rsidR="00416D16" w:rsidRPr="00D678CF">
        <w:rPr>
          <w:rFonts w:eastAsia="Arial" w:cs="Arial"/>
          <w:sz w:val="24"/>
          <w:szCs w:val="24"/>
        </w:rPr>
        <w:t xml:space="preserve"> </w:t>
      </w:r>
      <w:r w:rsidR="0084602E" w:rsidRPr="00D678CF">
        <w:rPr>
          <w:rFonts w:eastAsia="Arial" w:cs="Arial"/>
          <w:sz w:val="24"/>
          <w:szCs w:val="24"/>
        </w:rPr>
        <w:t xml:space="preserve">pharmacodynamic </w:t>
      </w:r>
      <w:r w:rsidR="00416D16" w:rsidRPr="00D678CF">
        <w:rPr>
          <w:rFonts w:eastAsia="Arial" w:cs="Arial"/>
          <w:sz w:val="24"/>
          <w:szCs w:val="24"/>
        </w:rPr>
        <w:t>targets for sequestered disease (e.g.</w:t>
      </w:r>
      <w:r w:rsidR="00AD5A6D" w:rsidRPr="00D678CF">
        <w:rPr>
          <w:rFonts w:eastAsia="Arial" w:cs="Arial"/>
          <w:sz w:val="24"/>
          <w:szCs w:val="24"/>
        </w:rPr>
        <w:t>,</w:t>
      </w:r>
      <w:r w:rsidR="00416D16" w:rsidRPr="00D678CF">
        <w:rPr>
          <w:rFonts w:eastAsia="Arial" w:cs="Arial"/>
          <w:sz w:val="24"/>
          <w:szCs w:val="24"/>
        </w:rPr>
        <w:t xml:space="preserve"> </w:t>
      </w:r>
      <w:r w:rsidR="0084602E" w:rsidRPr="00D678CF">
        <w:rPr>
          <w:rFonts w:eastAsia="Arial" w:cs="Arial"/>
          <w:sz w:val="24"/>
          <w:szCs w:val="24"/>
        </w:rPr>
        <w:t xml:space="preserve">sinusitis) and </w:t>
      </w:r>
      <w:r w:rsidR="00680CB3" w:rsidRPr="00D678CF">
        <w:rPr>
          <w:rFonts w:eastAsia="Arial" w:cs="Arial"/>
          <w:sz w:val="24"/>
          <w:szCs w:val="24"/>
        </w:rPr>
        <w:t xml:space="preserve">disease entities where </w:t>
      </w:r>
      <w:r w:rsidR="00FD7373" w:rsidRPr="00D678CF">
        <w:rPr>
          <w:rFonts w:eastAsia="Arial" w:cs="Arial"/>
          <w:sz w:val="24"/>
          <w:szCs w:val="24"/>
        </w:rPr>
        <w:t xml:space="preserve">drug partitioning may be compromised </w:t>
      </w:r>
      <w:r w:rsidR="00BD0593" w:rsidRPr="00D678CF">
        <w:rPr>
          <w:rFonts w:eastAsia="Arial" w:cs="Arial"/>
          <w:sz w:val="24"/>
          <w:szCs w:val="24"/>
        </w:rPr>
        <w:t xml:space="preserve">by anatomical constraints </w:t>
      </w:r>
      <w:r w:rsidR="00FD7373" w:rsidRPr="00D678CF">
        <w:rPr>
          <w:rFonts w:eastAsia="Arial" w:cs="Arial"/>
          <w:sz w:val="24"/>
          <w:szCs w:val="24"/>
        </w:rPr>
        <w:t>(e.g.</w:t>
      </w:r>
      <w:r w:rsidR="00AD5A6D" w:rsidRPr="00D678CF">
        <w:rPr>
          <w:rFonts w:eastAsia="Arial" w:cs="Arial"/>
          <w:sz w:val="24"/>
          <w:szCs w:val="24"/>
        </w:rPr>
        <w:t>,</w:t>
      </w:r>
      <w:r w:rsidR="00FD7373" w:rsidRPr="00D678CF">
        <w:rPr>
          <w:rFonts w:eastAsia="Arial" w:cs="Arial"/>
          <w:sz w:val="24"/>
          <w:szCs w:val="24"/>
        </w:rPr>
        <w:t xml:space="preserve"> </w:t>
      </w:r>
      <w:r w:rsidR="00BD0593" w:rsidRPr="00D678CF">
        <w:rPr>
          <w:rFonts w:eastAsia="Arial" w:cs="Arial"/>
          <w:sz w:val="24"/>
          <w:szCs w:val="24"/>
        </w:rPr>
        <w:t xml:space="preserve">ear and </w:t>
      </w:r>
      <w:r w:rsidR="00E10DE7" w:rsidRPr="00D678CF">
        <w:rPr>
          <w:rFonts w:eastAsia="Arial" w:cs="Arial"/>
          <w:sz w:val="24"/>
          <w:szCs w:val="24"/>
        </w:rPr>
        <w:t xml:space="preserve">acute </w:t>
      </w:r>
      <w:r w:rsidR="00FD7373" w:rsidRPr="00D678CF">
        <w:rPr>
          <w:rFonts w:eastAsia="Arial" w:cs="Arial"/>
          <w:sz w:val="24"/>
          <w:szCs w:val="24"/>
        </w:rPr>
        <w:t>otitis media)</w:t>
      </w:r>
      <w:r w:rsidR="00BD0593" w:rsidRPr="00D678CF">
        <w:rPr>
          <w:rFonts w:eastAsia="Arial" w:cs="Arial"/>
          <w:sz w:val="24"/>
          <w:szCs w:val="24"/>
        </w:rPr>
        <w:t xml:space="preserve"> or </w:t>
      </w:r>
      <w:r w:rsidR="009F37F9" w:rsidRPr="00D678CF">
        <w:rPr>
          <w:rFonts w:eastAsia="Arial" w:cs="Arial"/>
          <w:sz w:val="24"/>
          <w:szCs w:val="24"/>
        </w:rPr>
        <w:t>intense inflammation</w:t>
      </w:r>
      <w:r w:rsidR="007D2BE0" w:rsidRPr="00D678CF">
        <w:rPr>
          <w:rFonts w:eastAsia="Arial" w:cs="Arial"/>
          <w:sz w:val="24"/>
          <w:szCs w:val="24"/>
        </w:rPr>
        <w:t xml:space="preserve"> (e.g.</w:t>
      </w:r>
      <w:r w:rsidR="00E24283" w:rsidRPr="00D678CF">
        <w:rPr>
          <w:rFonts w:eastAsia="Arial" w:cs="Arial"/>
          <w:sz w:val="24"/>
          <w:szCs w:val="24"/>
        </w:rPr>
        <w:t>,</w:t>
      </w:r>
      <w:r w:rsidR="007D2BE0" w:rsidRPr="00D678CF">
        <w:rPr>
          <w:rFonts w:eastAsia="Arial" w:cs="Arial"/>
          <w:sz w:val="24"/>
          <w:szCs w:val="24"/>
        </w:rPr>
        <w:t xml:space="preserve"> pneumonia, complex ear </w:t>
      </w:r>
      <w:r w:rsidR="00E10DE7" w:rsidRPr="00D678CF">
        <w:rPr>
          <w:rFonts w:eastAsia="Arial" w:cs="Arial"/>
          <w:sz w:val="24"/>
          <w:szCs w:val="24"/>
        </w:rPr>
        <w:t>disease)</w:t>
      </w:r>
      <w:r w:rsidR="00FD7373" w:rsidRPr="00D678CF">
        <w:rPr>
          <w:rFonts w:eastAsia="Arial" w:cs="Arial"/>
          <w:sz w:val="24"/>
          <w:szCs w:val="24"/>
        </w:rPr>
        <w:t>.</w:t>
      </w:r>
      <w:r w:rsidR="00820D6E">
        <w:rPr>
          <w:rFonts w:eastAsia="Arial" w:cs="Arial"/>
          <w:sz w:val="24"/>
          <w:szCs w:val="24"/>
        </w:rPr>
        <w:t xml:space="preserve"> </w:t>
      </w:r>
      <w:r w:rsidR="008A250C">
        <w:rPr>
          <w:rFonts w:eastAsia="Arial" w:cs="Arial"/>
          <w:sz w:val="24"/>
          <w:szCs w:val="24"/>
        </w:rPr>
        <w:t xml:space="preserve">Current targets are entirely reliant on serum pharmacokinetics despite known differences </w:t>
      </w:r>
      <w:r w:rsidR="008A250C">
        <w:rPr>
          <w:rFonts w:eastAsia="Arial" w:cs="Arial"/>
          <w:sz w:val="24"/>
          <w:szCs w:val="24"/>
        </w:rPr>
        <w:lastRenderedPageBreak/>
        <w:t xml:space="preserve">in tissue </w:t>
      </w:r>
      <w:r w:rsidR="006F1AC3">
        <w:rPr>
          <w:rFonts w:eastAsia="Arial" w:cs="Arial"/>
          <w:sz w:val="24"/>
          <w:szCs w:val="24"/>
        </w:rPr>
        <w:t>partitioning</w:t>
      </w:r>
      <w:r w:rsidR="008A250C">
        <w:rPr>
          <w:rFonts w:eastAsia="Arial" w:cs="Arial"/>
          <w:sz w:val="24"/>
          <w:szCs w:val="24"/>
        </w:rPr>
        <w:t xml:space="preserve"> and further within-tissue spatial distributions of antibiotic</w:t>
      </w:r>
      <w:r w:rsidR="006F1AC3">
        <w:rPr>
          <w:rFonts w:eastAsia="Arial" w:cs="Arial"/>
          <w:sz w:val="24"/>
          <w:szCs w:val="24"/>
        </w:rPr>
        <w:t xml:space="preserve"> affected by pathogenesis</w:t>
      </w:r>
      <w:r w:rsidR="004C3B32" w:rsidDel="004C3B32">
        <w:rPr>
          <w:rFonts w:eastAsia="Arial" w:cs="Arial"/>
          <w:sz w:val="24"/>
          <w:szCs w:val="24"/>
        </w:rPr>
        <w:t xml:space="preserve"> </w:t>
      </w:r>
      <w:r w:rsidR="004C3B32">
        <w:rPr>
          <w:rFonts w:eastAsia="Arial" w:cs="Arial"/>
          <w:sz w:val="24"/>
          <w:szCs w:val="24"/>
        </w:rPr>
        <w:fldChar w:fldCharType="begin"/>
      </w:r>
      <w:r w:rsidR="004C3B32">
        <w:rPr>
          <w:rFonts w:eastAsia="Arial" w:cs="Arial"/>
          <w:sz w:val="24"/>
          <w:szCs w:val="24"/>
        </w:rPr>
        <w:instrText xml:space="preserve"> ADDIN ZOTERO_ITEM CSL_CITATION {"citationID":"yDsTl4dA","properties":{"formattedCitation":"(135, 136)","plainCitation":"(135, 136)","noteIndex":0},"citationItems":[{"id":9128,"uris":["http://zotero.org/users/11114586/items/FEXL8289"],"itemData":{"id":9128,"type":"article-journal","abstract":"BACKGROUND: Acute otitis media (AOM) is a common childhood infectious disease. The efficacy of antibiotic dosing regimens is usually assessed by antibiotic plasma pharmacokinetics or middle ear fluid (MEF) concentration at one or two time points. Viral coinfection in AOM reduced antibacterial efficacy of antibiotics.\nOBJECTIVE: To determine amoxicillin MEF penetration and pharmacokinetics in bacterial and combined bacterial and viral AOM.\nMETHODS: Thirty-four children with AOM were enrolled, and MEF was collected by tympanocentesis for bacterial culture and viral studies. Nasal wash and venous blood were also obtained for viral culture and serologic studies, respectively. Subjects were treated with amoxicillin 40 mg/kg/day orally, divided in equal doses every 8 h. During the second visit (48 to 72 h later) the subjects, with the regular morning amoxicillin dose withheld, were given an oral amoxicillin dose of 25 mg/kg. Thereafter two blood samples and one MEF sample by tympanocentesis were collected from each child at selected times between 0.5 and 4.0 h after dosing for bacterial and viral studies and amoxicillin concentration determination by high performance liquid chromatography.\nRESULTS: Eleven (37%) children had only bacterial infection, 6 (20%) had viral infection only, 6 (20%) had both bacterial and viral infections and in 7 (23%) neither bacterial nor viral pathogens were recovered. MEF bacterial culture was positive in 23 of 40 ears (57.5%) before treatment with amoxicillin (40 mg/kg/day) and was still positive in 4 of 38 ears (10.5%) after 2 to 3 days of treatment. Amoxicillin plasma concentration reached its peak at 1.0 to 1.5 h after a 25-mg/kg oral dose. The estimated MEF concentration peak occurred 3.0 h after the dose with MEF concentrations ranging from undetectable to 20.6 microg/ml and a mean of approximately 9.5 microg/ml. Geometric mean amoxicillin concentrations were lowest in virus-infected children (2.7 microg/ml), nearly the same in culture-negative samples from children without viral infection (2.9 microg/ml), higher in children with combined bacterial and viral infection (4.1 microg/ml) and highest in children with bacterial-only infection (5.7 microg/ml).\nCONCLUSIONS: MEF amoxicillin penetration tended to be lower in children with viral infection. The current amoxicillin dosing recommendation of 40 mg/kg/day in three divided dose is inadequate to effectively eradicate resistant Streptococcus pneumoniae, particularly during viral coinfection. A dosing regimen of 75 to 90 mg/kg/day is recommended for AOM.","container-title":"The Pediatric Infectious Disease Journal","DOI":"10.1097/00006454-199802000-00014","ISSN":"0891-3668","issue":"2","journalAbbreviation":"Pediatr Infect Dis J","language":"eng","note":"PMID: 9493813","page":"149-156","source":"PubMed","title":"Amoxicillin middle ear fluid penetration and pharmacokinetics in children with acute otitis media","volume":"17","author":[{"family":"Canafax","given":"D. M."},{"family":"Yuan","given":"Z."},{"family":"Chonmaitree","given":"T."},{"family":"Deka","given":"K."},{"family":"Russlie","given":"H. Q."},{"family":"Giebink","given":"G. S."}],"issued":{"date-parts":[["1998",2]]}}},{"id":9123,"uris":["http://zotero.org/users/11114586/items/XDFH2LYG"],"itemData":{"id":9123,"type":"article-journal","abstract":"Pharmacokinetic/pharmacodynamic (PK/PD) modeling and Monte Carlo simulations suggest that amoxicillin should rarely fail as therapy for Streptococcus pneumoniae and Haemophilus influenzae acute otitis media (AOM) infections except when the S. pneumoniae are highly penicillin resistant or the H. influenzae are beta-lactamase producing. However, important and not infrequent exceptions to this expectation have been described. The objective of this review was to define the biologic variations in amoxicillin PK/PD parameters for the treatment of AOM in children and assess whether these variations could explain why the commonly employed amoxicillin PK/PD model is imperfect in predicting outcome for every patient in this clinical setting. To this end, a literature search of MEDLINE (1966-2006) and EMBASE (1974-2006) was conducted to identify studies that evaluated ampicillin or amoxicillin intestinal absorption, serum concentrations, and/or middle ear fluid (MEF) concentrations. Analysis of studies identified for review showed that the intestinal bioavailability of amoxicillin depends on passive diffusion and a saturable 'pump' mechanism that produces variable serum concentrations of the antibacterial agent. Indeed, substantial differences from patient to patient in serum (5- to 30-fold) and MEF (up to 20-fold) concentrations of amoxicillin occur following oral administration, and 15-35% of children have no detectable amoxicillin in MEF. These findings suggest that variability in PK/PD parameters may impact amoxicillin concentrations in serum and MEF, possibly explaining some AOM treatment failures.","container-title":"Paediatric Drugs","DOI":"10.2165/00148581-200911040-00003","ISSN":"1174-5878","issue":"4","journalAbbreviation":"Paediatr Drugs","language":"eng","note":"PMID: 19566108","page":"243-249","source":"PubMed","title":"Variations in amoxicillin pharmacokinetic/pharmacodynamic parameters may explain treatment failures in acute otitis media","volume":"11","author":[{"family":"Pichichero","given":"Michael E."},{"family":"Reed","given":"Michael D."}],"issued":{"date-parts":[["2009"]]}}}],"schema":"https://github.com/citation-style-language/schema/raw/master/csl-citation.json"} </w:instrText>
      </w:r>
      <w:r w:rsidR="004C3B32">
        <w:rPr>
          <w:rFonts w:eastAsia="Arial" w:cs="Arial"/>
          <w:sz w:val="24"/>
          <w:szCs w:val="24"/>
        </w:rPr>
        <w:fldChar w:fldCharType="separate"/>
      </w:r>
      <w:r w:rsidR="004C3B32">
        <w:rPr>
          <w:rFonts w:eastAsia="Arial" w:cs="Arial"/>
          <w:noProof/>
          <w:sz w:val="24"/>
          <w:szCs w:val="24"/>
        </w:rPr>
        <w:t>(135, 136)</w:t>
      </w:r>
      <w:r w:rsidR="004C3B32">
        <w:rPr>
          <w:rFonts w:eastAsia="Arial" w:cs="Arial"/>
          <w:sz w:val="24"/>
          <w:szCs w:val="24"/>
        </w:rPr>
        <w:fldChar w:fldCharType="end"/>
      </w:r>
      <w:r w:rsidR="008A250C">
        <w:rPr>
          <w:rFonts w:eastAsia="Arial" w:cs="Arial"/>
          <w:sz w:val="24"/>
          <w:szCs w:val="24"/>
        </w:rPr>
        <w:t xml:space="preserve">. </w:t>
      </w:r>
    </w:p>
    <w:p w14:paraId="248CC5EA" w14:textId="77777777" w:rsidR="0003370D" w:rsidRPr="00D678CF" w:rsidRDefault="0003370D" w:rsidP="00D678CF">
      <w:pPr>
        <w:spacing w:line="480" w:lineRule="auto"/>
        <w:jc w:val="both"/>
        <w:rPr>
          <w:rFonts w:eastAsia="Arial" w:cs="Arial"/>
          <w:sz w:val="24"/>
          <w:szCs w:val="24"/>
        </w:rPr>
      </w:pPr>
    </w:p>
    <w:p w14:paraId="3DD4490C" w14:textId="362384FC" w:rsidR="00475119" w:rsidRDefault="00D94D1C" w:rsidP="00D678CF">
      <w:pPr>
        <w:spacing w:line="480" w:lineRule="auto"/>
        <w:jc w:val="both"/>
        <w:rPr>
          <w:rFonts w:eastAsia="Arial" w:cs="Arial"/>
          <w:sz w:val="24"/>
          <w:szCs w:val="24"/>
        </w:rPr>
      </w:pPr>
      <w:r w:rsidRPr="00D678CF">
        <w:rPr>
          <w:rFonts w:eastAsia="Arial" w:cs="Arial"/>
          <w:sz w:val="24"/>
          <w:szCs w:val="24"/>
        </w:rPr>
        <w:t>The systematic review revealed</w:t>
      </w:r>
      <w:r w:rsidR="001B0A2F" w:rsidRPr="00D678CF">
        <w:rPr>
          <w:rFonts w:eastAsia="Arial" w:cs="Arial"/>
          <w:sz w:val="24"/>
          <w:szCs w:val="24"/>
        </w:rPr>
        <w:t xml:space="preserve"> that the pharmacodynamic</w:t>
      </w:r>
      <w:r w:rsidRPr="00D678CF">
        <w:rPr>
          <w:rFonts w:eastAsia="Arial" w:cs="Arial"/>
          <w:sz w:val="24"/>
          <w:szCs w:val="24"/>
        </w:rPr>
        <w:t xml:space="preserve"> evidence </w:t>
      </w:r>
      <w:r w:rsidR="001B0A2F" w:rsidRPr="00D678CF">
        <w:rPr>
          <w:rFonts w:eastAsia="Arial" w:cs="Arial"/>
          <w:sz w:val="24"/>
          <w:szCs w:val="24"/>
        </w:rPr>
        <w:t xml:space="preserve">for targets </w:t>
      </w:r>
      <w:r w:rsidRPr="00D678CF">
        <w:rPr>
          <w:rFonts w:eastAsia="Arial" w:cs="Arial"/>
          <w:sz w:val="24"/>
          <w:szCs w:val="24"/>
        </w:rPr>
        <w:t>is not as homogenous as might be believed (Table 2)</w:t>
      </w:r>
      <w:r w:rsidR="0093525F" w:rsidRPr="00D678CF">
        <w:rPr>
          <w:rFonts w:eastAsia="Arial" w:cs="Arial"/>
          <w:sz w:val="24"/>
          <w:szCs w:val="24"/>
        </w:rPr>
        <w:t xml:space="preserve">, </w:t>
      </w:r>
      <w:r w:rsidR="005E0DFB" w:rsidRPr="00D678CF">
        <w:rPr>
          <w:rFonts w:eastAsia="Arial" w:cs="Arial"/>
          <w:sz w:val="24"/>
          <w:szCs w:val="24"/>
        </w:rPr>
        <w:t xml:space="preserve">largely contributed to </w:t>
      </w:r>
      <w:r w:rsidR="006F1AC3" w:rsidRPr="00D678CF">
        <w:rPr>
          <w:rFonts w:eastAsia="Arial" w:cs="Arial"/>
          <w:sz w:val="24"/>
          <w:szCs w:val="24"/>
        </w:rPr>
        <w:t>using</w:t>
      </w:r>
      <w:r w:rsidR="005E0DFB" w:rsidRPr="00D678CF">
        <w:rPr>
          <w:rFonts w:eastAsia="Arial" w:cs="Arial"/>
          <w:sz w:val="24"/>
          <w:szCs w:val="24"/>
        </w:rPr>
        <w:t xml:space="preserve"> different pharmacodynamic endpoints</w:t>
      </w:r>
      <w:r w:rsidR="00572516" w:rsidRPr="00D678CF">
        <w:rPr>
          <w:rFonts w:eastAsia="Arial" w:cs="Arial"/>
          <w:sz w:val="24"/>
          <w:szCs w:val="24"/>
        </w:rPr>
        <w:t xml:space="preserve"> and model systems, but also possibly due to organism, </w:t>
      </w:r>
      <w:proofErr w:type="gramStart"/>
      <w:r w:rsidR="00572516" w:rsidRPr="00D678CF">
        <w:rPr>
          <w:rFonts w:eastAsia="Arial" w:cs="Arial"/>
          <w:sz w:val="24"/>
          <w:szCs w:val="24"/>
        </w:rPr>
        <w:t>strain</w:t>
      </w:r>
      <w:proofErr w:type="gramEnd"/>
      <w:r w:rsidR="00572516" w:rsidRPr="00D678CF">
        <w:rPr>
          <w:rFonts w:eastAsia="Arial" w:cs="Arial"/>
          <w:sz w:val="24"/>
          <w:szCs w:val="24"/>
        </w:rPr>
        <w:t xml:space="preserve"> and </w:t>
      </w:r>
      <w:r w:rsidR="009433B0" w:rsidRPr="00D678CF">
        <w:rPr>
          <w:rFonts w:eastAsia="Arial" w:cs="Arial"/>
          <w:sz w:val="24"/>
          <w:szCs w:val="24"/>
        </w:rPr>
        <w:t>bacterial load</w:t>
      </w:r>
      <w:r w:rsidRPr="00D678CF">
        <w:rPr>
          <w:rFonts w:eastAsia="Arial" w:cs="Arial"/>
          <w:sz w:val="24"/>
          <w:szCs w:val="24"/>
        </w:rPr>
        <w:t>. This inconsistency is more evident when target magnitudes for AMR mitigation are considered.</w:t>
      </w:r>
      <w:r w:rsidR="002A2968" w:rsidRPr="00D678CF">
        <w:rPr>
          <w:rFonts w:eastAsia="Arial" w:cs="Arial"/>
          <w:sz w:val="24"/>
          <w:szCs w:val="24"/>
        </w:rPr>
        <w:t xml:space="preserve"> </w:t>
      </w:r>
      <w:r w:rsidR="007A3DA5" w:rsidRPr="00D678CF">
        <w:rPr>
          <w:rFonts w:eastAsia="Arial" w:cs="Arial"/>
          <w:sz w:val="24"/>
          <w:szCs w:val="24"/>
        </w:rPr>
        <w:t xml:space="preserve">Clearly </w:t>
      </w:r>
      <w:r w:rsidR="1134DDB6" w:rsidRPr="00D678CF">
        <w:rPr>
          <w:rFonts w:eastAsia="Arial" w:cs="Arial"/>
          <w:sz w:val="24"/>
          <w:szCs w:val="24"/>
        </w:rPr>
        <w:t xml:space="preserve">such wide </w:t>
      </w:r>
      <w:r w:rsidR="00AA62DF" w:rsidRPr="00D678CF">
        <w:rPr>
          <w:rFonts w:eastAsia="Arial" w:cs="Arial"/>
          <w:sz w:val="24"/>
          <w:szCs w:val="24"/>
        </w:rPr>
        <w:t xml:space="preserve">differences in these targets have significant implications for </w:t>
      </w:r>
      <w:r w:rsidR="009F5B1A" w:rsidRPr="00D678CF">
        <w:rPr>
          <w:rFonts w:eastAsia="Arial" w:cs="Arial"/>
          <w:sz w:val="24"/>
          <w:szCs w:val="24"/>
        </w:rPr>
        <w:t xml:space="preserve">regimen </w:t>
      </w:r>
      <w:r w:rsidR="00491748" w:rsidRPr="00D678CF">
        <w:rPr>
          <w:rFonts w:eastAsia="Arial" w:cs="Arial"/>
          <w:sz w:val="24"/>
          <w:szCs w:val="24"/>
        </w:rPr>
        <w:t>planning</w:t>
      </w:r>
      <w:r w:rsidR="00A6775D" w:rsidRPr="00D678CF">
        <w:rPr>
          <w:rFonts w:eastAsia="Arial" w:cs="Arial"/>
          <w:sz w:val="24"/>
          <w:szCs w:val="24"/>
        </w:rPr>
        <w:t xml:space="preserve"> with </w:t>
      </w:r>
      <w:r w:rsidR="00C61F02" w:rsidRPr="00D678CF">
        <w:rPr>
          <w:rFonts w:eastAsia="Arial" w:cs="Arial"/>
          <w:sz w:val="24"/>
          <w:szCs w:val="24"/>
        </w:rPr>
        <w:t xml:space="preserve">extreme estimates potentially producing contradictory and </w:t>
      </w:r>
      <w:r w:rsidR="00C24A55" w:rsidRPr="00D678CF">
        <w:rPr>
          <w:rFonts w:eastAsia="Arial" w:cs="Arial"/>
          <w:sz w:val="24"/>
          <w:szCs w:val="24"/>
        </w:rPr>
        <w:t>unrealistic</w:t>
      </w:r>
      <w:r w:rsidR="00C61F02" w:rsidRPr="00D678CF">
        <w:rPr>
          <w:rFonts w:eastAsia="Arial" w:cs="Arial"/>
          <w:sz w:val="24"/>
          <w:szCs w:val="24"/>
        </w:rPr>
        <w:t xml:space="preserve"> predictions. Further insight and agreement as to pharmacodynamic targets that are relevant for regimen planning for agents </w:t>
      </w:r>
      <w:r w:rsidR="00AD2593" w:rsidRPr="00D678CF">
        <w:rPr>
          <w:rFonts w:eastAsia="Arial" w:cs="Arial"/>
          <w:sz w:val="24"/>
          <w:szCs w:val="24"/>
        </w:rPr>
        <w:t xml:space="preserve">in the </w:t>
      </w:r>
      <w:proofErr w:type="spellStart"/>
      <w:r w:rsidR="00AD2593" w:rsidRPr="00D678CF">
        <w:rPr>
          <w:rFonts w:eastAsia="Arial" w:cs="Arial"/>
          <w:sz w:val="24"/>
          <w:szCs w:val="24"/>
        </w:rPr>
        <w:t>AWaRe</w:t>
      </w:r>
      <w:proofErr w:type="spellEnd"/>
      <w:r w:rsidR="00AD2593" w:rsidRPr="00D678CF">
        <w:rPr>
          <w:rFonts w:eastAsia="Arial" w:cs="Arial"/>
          <w:sz w:val="24"/>
          <w:szCs w:val="24"/>
        </w:rPr>
        <w:t xml:space="preserve"> </w:t>
      </w:r>
      <w:r w:rsidR="006607F8" w:rsidRPr="00D678CF">
        <w:rPr>
          <w:rFonts w:eastAsia="Arial" w:cs="Arial"/>
          <w:sz w:val="24"/>
          <w:szCs w:val="24"/>
        </w:rPr>
        <w:t>B</w:t>
      </w:r>
      <w:r w:rsidR="00AD2593" w:rsidRPr="00D678CF">
        <w:rPr>
          <w:rFonts w:eastAsia="Arial" w:cs="Arial"/>
          <w:sz w:val="24"/>
          <w:szCs w:val="24"/>
        </w:rPr>
        <w:t>ook</w:t>
      </w:r>
      <w:r w:rsidR="00C61F02" w:rsidRPr="00D678CF">
        <w:rPr>
          <w:rFonts w:eastAsia="Arial" w:cs="Arial"/>
          <w:sz w:val="24"/>
          <w:szCs w:val="24"/>
        </w:rPr>
        <w:t xml:space="preserve"> would be a significant advance</w:t>
      </w:r>
      <w:r w:rsidR="005D3AB5" w:rsidRPr="00D678CF">
        <w:rPr>
          <w:rFonts w:eastAsia="Arial" w:cs="Arial"/>
          <w:sz w:val="24"/>
          <w:szCs w:val="24"/>
        </w:rPr>
        <w:t xml:space="preserve"> for the global AMR agenda</w:t>
      </w:r>
      <w:r w:rsidR="00C61F02" w:rsidRPr="00D678CF">
        <w:rPr>
          <w:rFonts w:eastAsia="Arial" w:cs="Arial"/>
          <w:sz w:val="24"/>
          <w:szCs w:val="24"/>
        </w:rPr>
        <w:t>.</w:t>
      </w:r>
    </w:p>
    <w:p w14:paraId="21980B75" w14:textId="2194A363" w:rsidR="00D95AA4" w:rsidRPr="00D678CF" w:rsidRDefault="00D95AA4" w:rsidP="00D678CF">
      <w:pPr>
        <w:spacing w:line="480" w:lineRule="auto"/>
        <w:jc w:val="both"/>
        <w:rPr>
          <w:rFonts w:eastAsia="Arial" w:cs="Arial"/>
          <w:sz w:val="24"/>
          <w:szCs w:val="24"/>
        </w:rPr>
      </w:pPr>
      <w:r>
        <w:rPr>
          <w:rFonts w:eastAsia="Arial" w:cs="Arial"/>
          <w:sz w:val="24"/>
          <w:szCs w:val="24"/>
        </w:rPr>
        <w:t xml:space="preserve">Pharmacodynamic targets for widely used </w:t>
      </w:r>
      <w:r w:rsidRPr="00D678CF">
        <w:rPr>
          <w:rFonts w:eastAsia="Arial" w:cs="Arial"/>
          <w:sz w:val="24"/>
          <w:szCs w:val="24"/>
        </w:rPr>
        <w:t>ß</w:t>
      </w:r>
      <w:r>
        <w:rPr>
          <w:rFonts w:eastAsia="Arial" w:cs="Arial"/>
          <w:sz w:val="24"/>
          <w:szCs w:val="24"/>
        </w:rPr>
        <w:t xml:space="preserve"> -lactam antibiotics (e.g., amoxicillin, phenoxymethylpenicillin, flucloxacillin/cloxacillin/dicloxacillin, and cefalexin) are primarily extrapolated from </w:t>
      </w:r>
      <w:r w:rsidR="006F1AC3">
        <w:rPr>
          <w:rFonts w:eastAsia="Arial" w:cs="Arial"/>
          <w:sz w:val="24"/>
          <w:szCs w:val="24"/>
        </w:rPr>
        <w:t xml:space="preserve">data from </w:t>
      </w:r>
      <w:proofErr w:type="spellStart"/>
      <w:r w:rsidR="006F1AC3">
        <w:rPr>
          <w:rFonts w:eastAsia="Arial" w:cs="Arial"/>
          <w:sz w:val="24"/>
          <w:szCs w:val="24"/>
        </w:rPr>
        <w:t>i.v.</w:t>
      </w:r>
      <w:proofErr w:type="spellEnd"/>
      <w:r w:rsidR="006F1AC3">
        <w:rPr>
          <w:rFonts w:eastAsia="Arial" w:cs="Arial"/>
          <w:sz w:val="24"/>
          <w:szCs w:val="24"/>
        </w:rPr>
        <w:t xml:space="preserve"> formulations</w:t>
      </w:r>
      <w:r>
        <w:rPr>
          <w:rFonts w:eastAsia="Arial" w:cs="Arial"/>
          <w:sz w:val="24"/>
          <w:szCs w:val="24"/>
        </w:rPr>
        <w:t xml:space="preserve">. For these agents, a total of four </w:t>
      </w:r>
      <w:proofErr w:type="spellStart"/>
      <w:r>
        <w:rPr>
          <w:rFonts w:eastAsia="Arial" w:cs="Arial"/>
          <w:sz w:val="24"/>
          <w:szCs w:val="24"/>
        </w:rPr>
        <w:t>PopPK</w:t>
      </w:r>
      <w:proofErr w:type="spellEnd"/>
      <w:r>
        <w:rPr>
          <w:rFonts w:eastAsia="Arial" w:cs="Arial"/>
          <w:sz w:val="24"/>
          <w:szCs w:val="24"/>
        </w:rPr>
        <w:t xml:space="preserve"> and eight PD target studies were included within the systematic review</w:t>
      </w:r>
      <w:r w:rsidR="000815E7">
        <w:rPr>
          <w:rFonts w:eastAsia="Arial" w:cs="Arial"/>
          <w:sz w:val="24"/>
          <w:szCs w:val="24"/>
        </w:rPr>
        <w:t>s.</w:t>
      </w:r>
      <w:r>
        <w:rPr>
          <w:rFonts w:eastAsia="Arial" w:cs="Arial"/>
          <w:sz w:val="24"/>
          <w:szCs w:val="24"/>
        </w:rPr>
        <w:t xml:space="preserve"> </w:t>
      </w:r>
      <w:r w:rsidR="000815E7">
        <w:rPr>
          <w:rFonts w:eastAsia="Arial" w:cs="Arial"/>
          <w:sz w:val="24"/>
          <w:szCs w:val="24"/>
        </w:rPr>
        <w:t>I</w:t>
      </w:r>
      <w:r>
        <w:rPr>
          <w:rFonts w:eastAsia="Arial" w:cs="Arial"/>
          <w:sz w:val="24"/>
          <w:szCs w:val="24"/>
        </w:rPr>
        <w:t xml:space="preserve">mportantly, there were no studies establishing </w:t>
      </w:r>
      <w:r w:rsidR="000815E7">
        <w:rPr>
          <w:rFonts w:eastAsia="Arial" w:cs="Arial"/>
          <w:sz w:val="24"/>
          <w:szCs w:val="24"/>
        </w:rPr>
        <w:t>pharmacodynamic</w:t>
      </w:r>
      <w:r>
        <w:rPr>
          <w:rFonts w:eastAsia="Arial" w:cs="Arial"/>
          <w:sz w:val="24"/>
          <w:szCs w:val="24"/>
        </w:rPr>
        <w:t xml:space="preserve"> targets for cefalexin or the anti-staphylococcal </w:t>
      </w:r>
      <w:proofErr w:type="spellStart"/>
      <w:r>
        <w:rPr>
          <w:rFonts w:eastAsia="Arial" w:cs="Arial"/>
          <w:sz w:val="24"/>
          <w:szCs w:val="24"/>
        </w:rPr>
        <w:t>penicillins</w:t>
      </w:r>
      <w:proofErr w:type="spellEnd"/>
      <w:r>
        <w:rPr>
          <w:rFonts w:eastAsia="Arial" w:cs="Arial"/>
          <w:sz w:val="24"/>
          <w:szCs w:val="24"/>
        </w:rPr>
        <w:t xml:space="preserve">. </w:t>
      </w:r>
      <w:r w:rsidR="008C55B0">
        <w:rPr>
          <w:rFonts w:eastAsia="Arial" w:cs="Arial"/>
          <w:sz w:val="24"/>
          <w:szCs w:val="24"/>
        </w:rPr>
        <w:t>The dangers of poorly defined pharmacodynamic targets are clear: w</w:t>
      </w:r>
      <w:r>
        <w:rPr>
          <w:rFonts w:eastAsia="Arial" w:cs="Arial"/>
          <w:sz w:val="24"/>
          <w:szCs w:val="24"/>
        </w:rPr>
        <w:t xml:space="preserve">hen the traditional target of 30-50% </w:t>
      </w:r>
      <w:proofErr w:type="spellStart"/>
      <w:r w:rsidRPr="001B7760">
        <w:rPr>
          <w:rFonts w:eastAsia="Arial" w:cs="Arial"/>
          <w:i/>
          <w:iCs/>
          <w:sz w:val="24"/>
          <w:szCs w:val="24"/>
        </w:rPr>
        <w:t>f</w:t>
      </w:r>
      <w:r w:rsidR="006F1AC3">
        <w:rPr>
          <w:rFonts w:eastAsia="Arial" w:cs="Arial"/>
          <w:sz w:val="24"/>
          <w:szCs w:val="24"/>
        </w:rPr>
        <w:t>T</w:t>
      </w:r>
      <w:proofErr w:type="spellEnd"/>
      <w:r>
        <w:rPr>
          <w:rFonts w:eastAsia="Arial" w:cs="Arial"/>
          <w:sz w:val="24"/>
          <w:szCs w:val="24"/>
        </w:rPr>
        <w:t>&gt;MIC is used for a regimen of 1000mg cefalexin administered eight hourly, the PTA falls below 90% at MICs of 4-8</w:t>
      </w:r>
      <w:r w:rsidR="006F1AC3">
        <w:rPr>
          <w:rFonts w:eastAsia="Arial" w:cs="Arial"/>
          <w:sz w:val="24"/>
          <w:szCs w:val="24"/>
        </w:rPr>
        <w:t xml:space="preserve"> </w:t>
      </w:r>
      <w:r>
        <w:rPr>
          <w:rFonts w:eastAsia="Arial" w:cs="Arial"/>
          <w:sz w:val="24"/>
          <w:szCs w:val="24"/>
        </w:rPr>
        <w:sym w:font="Symbol" w:char="F06D"/>
      </w:r>
      <w:r>
        <w:rPr>
          <w:rFonts w:eastAsia="Arial" w:cs="Arial"/>
          <w:sz w:val="24"/>
          <w:szCs w:val="24"/>
        </w:rPr>
        <w:t>g/m</w:t>
      </w:r>
      <w:r w:rsidR="006F1AC3">
        <w:rPr>
          <w:rFonts w:eastAsia="Arial" w:cs="Arial"/>
          <w:sz w:val="24"/>
          <w:szCs w:val="24"/>
        </w:rPr>
        <w:t>L</w:t>
      </w:r>
      <w:r>
        <w:rPr>
          <w:rFonts w:eastAsia="Arial" w:cs="Arial"/>
          <w:sz w:val="24"/>
          <w:szCs w:val="24"/>
        </w:rPr>
        <w:t xml:space="preserve"> </w:t>
      </w:r>
      <w:r w:rsidR="004C3B32">
        <w:rPr>
          <w:rFonts w:eastAsia="Arial" w:cs="Arial"/>
          <w:sz w:val="24"/>
          <w:szCs w:val="24"/>
        </w:rPr>
        <w:fldChar w:fldCharType="begin"/>
      </w:r>
      <w:r w:rsidR="004C3B32">
        <w:rPr>
          <w:rFonts w:eastAsia="Arial" w:cs="Arial"/>
          <w:sz w:val="24"/>
          <w:szCs w:val="24"/>
        </w:rPr>
        <w:instrText xml:space="preserve"> ADDIN ZOTERO_ITEM CSL_CITATION {"citationID":"YwqU7c0P","properties":{"formattedCitation":"(137)","plainCitation":"(137)","noteIndex":0},"citationItems":[{"id":9152,"uris":["http://zotero.org/users/11114586/items/I34AGD7S"],"itemData":{"id":9152,"type":"article-journal","abstract":"Objectives: We evaluated the effects of probenecid on the Pharmaco Kinetics (PK) and pharmacodynamics (PD) of oral cephalexin in healthy volunteers. Methods: Cephalexin 1000 mg was administered orally to 11 healthy volunteers following a standardized meal, with and without probenecid 500 mg orally, on two separate days one week apart. Total plasma concentrations of cephalexin and probenecid over a 12 h period were measured by liquid chromatography tandem mass spectrometry. Standard pharmacokinetic measures and contemporary PK/PD targets were compared. Results: Probenecid increased the mean (95% CI) cephalexin area under the concentration-time curve (AUC0-∞) 1.73-fold (1.61–1.85, p &lt; 0.0001), peak concentration 1.37-fold (1.16–1.58, p &lt; 0.01), time to peak concentration 1.45-fold (1.1–1.8, p &lt; 0.01), and half-life 1.33-fold (1.03–1.62, p &lt; 0.05). The effects resulted in clinically meaningful increases in the probability of PK/PD target attainment (PTA). As an example, the PTA of total concentrations above the minimum inhibitory concentration required to inhibit methicillin-susceptible Staphylococcus aureus isolates (MIC ≤ 8 mg/L) for 70% of a 6 h dose interval approached 100% for cephalexin + probenecid while for cephalexin alone it was &lt;15%. Conclusions: Probenecid prolonged and flattened the plasma concentration-time curve, enhancing the probability of attaining PK/PD targets. Co-administration of probenecid may expand the clinical benefits of oral cephalexin.","container-title":"Journal of Infection","DOI":"10.1016/j.jinf.2021.05.037","ISSN":"0163-4453","issue":"2","journalAbbreviation":"Journal of Infection","page":"182-189","source":"ScienceDirect","title":"Probenecid effects on cephalexin pharmacokinetics and pharmacodynamics in healthy volunteers","volume":"83","author":[{"family":"Everts","given":"Richard J."},{"family":"Gardiner","given":"Sharon J."},{"family":"Zhang","given":"Mei"},{"family":"Begg","given":"Ronald"},{"family":"Chambers","given":"Stephen T."},{"family":"Turnidge","given":"John"},{"family":"Begg","given":"Evan J."}],"issued":{"date-parts":[["2021",8,1]]}}}],"schema":"https://github.com/citation-style-language/schema/raw/master/csl-citation.json"} </w:instrText>
      </w:r>
      <w:r w:rsidR="004C3B32">
        <w:rPr>
          <w:rFonts w:eastAsia="Arial" w:cs="Arial"/>
          <w:sz w:val="24"/>
          <w:szCs w:val="24"/>
        </w:rPr>
        <w:fldChar w:fldCharType="separate"/>
      </w:r>
      <w:r w:rsidR="004C3B32">
        <w:rPr>
          <w:rFonts w:eastAsia="Arial" w:cs="Arial"/>
          <w:noProof/>
          <w:sz w:val="24"/>
          <w:szCs w:val="24"/>
        </w:rPr>
        <w:t>(137)</w:t>
      </w:r>
      <w:r w:rsidR="004C3B32">
        <w:rPr>
          <w:rFonts w:eastAsia="Arial" w:cs="Arial"/>
          <w:sz w:val="24"/>
          <w:szCs w:val="24"/>
        </w:rPr>
        <w:fldChar w:fldCharType="end"/>
      </w:r>
      <w:r w:rsidR="004C3B32">
        <w:rPr>
          <w:rFonts w:eastAsia="Arial" w:cs="Arial"/>
          <w:sz w:val="24"/>
          <w:szCs w:val="24"/>
        </w:rPr>
        <w:t>;</w:t>
      </w:r>
      <w:r w:rsidR="008C55B0">
        <w:rPr>
          <w:rFonts w:eastAsia="Arial" w:cs="Arial"/>
          <w:sz w:val="24"/>
          <w:szCs w:val="24"/>
        </w:rPr>
        <w:t xml:space="preserve"> however</w:t>
      </w:r>
      <w:r w:rsidR="006F1AC3">
        <w:rPr>
          <w:rFonts w:eastAsia="Arial" w:cs="Arial"/>
          <w:sz w:val="24"/>
          <w:szCs w:val="24"/>
        </w:rPr>
        <w:t>,</w:t>
      </w:r>
      <w:r w:rsidR="008C55B0">
        <w:rPr>
          <w:rFonts w:eastAsia="Arial" w:cs="Arial"/>
          <w:sz w:val="24"/>
          <w:szCs w:val="24"/>
        </w:rPr>
        <w:t xml:space="preserve"> i</w:t>
      </w:r>
      <w:r>
        <w:rPr>
          <w:rFonts w:eastAsia="Arial" w:cs="Arial"/>
          <w:sz w:val="24"/>
          <w:szCs w:val="24"/>
        </w:rPr>
        <w:t xml:space="preserve">f a target of &gt;70% </w:t>
      </w:r>
      <w:proofErr w:type="spellStart"/>
      <w:r w:rsidRPr="001B7760">
        <w:rPr>
          <w:rFonts w:eastAsia="Arial" w:cs="Arial"/>
          <w:i/>
          <w:iCs/>
          <w:sz w:val="24"/>
          <w:szCs w:val="24"/>
        </w:rPr>
        <w:t>f</w:t>
      </w:r>
      <w:r>
        <w:rPr>
          <w:rFonts w:eastAsia="Arial" w:cs="Arial"/>
          <w:sz w:val="24"/>
          <w:szCs w:val="24"/>
        </w:rPr>
        <w:t>T</w:t>
      </w:r>
      <w:proofErr w:type="spellEnd"/>
      <w:r>
        <w:rPr>
          <w:rFonts w:eastAsia="Arial" w:cs="Arial"/>
          <w:sz w:val="24"/>
          <w:szCs w:val="24"/>
        </w:rPr>
        <w:t>&gt;MIC is used, the ‘tipping point’ (Figure 6a) occurs at an MIC of 2</w:t>
      </w:r>
      <w:r w:rsidR="006F1AC3">
        <w:rPr>
          <w:rFonts w:eastAsia="Arial" w:cs="Arial"/>
          <w:sz w:val="24"/>
          <w:szCs w:val="24"/>
        </w:rPr>
        <w:t xml:space="preserve"> </w:t>
      </w:r>
      <w:r>
        <w:rPr>
          <w:rFonts w:eastAsia="Arial" w:cs="Arial"/>
          <w:sz w:val="24"/>
          <w:szCs w:val="24"/>
        </w:rPr>
        <w:sym w:font="Symbol" w:char="F06D"/>
      </w:r>
      <w:r>
        <w:rPr>
          <w:rFonts w:eastAsia="Arial" w:cs="Arial"/>
          <w:sz w:val="24"/>
          <w:szCs w:val="24"/>
        </w:rPr>
        <w:t>g/</w:t>
      </w:r>
      <w:proofErr w:type="spellStart"/>
      <w:r>
        <w:rPr>
          <w:rFonts w:eastAsia="Arial" w:cs="Arial"/>
          <w:sz w:val="24"/>
          <w:szCs w:val="24"/>
        </w:rPr>
        <w:t>m</w:t>
      </w:r>
      <w:r w:rsidR="006F1AC3">
        <w:rPr>
          <w:rFonts w:eastAsia="Arial" w:cs="Arial"/>
          <w:sz w:val="24"/>
          <w:szCs w:val="24"/>
        </w:rPr>
        <w:t>L</w:t>
      </w:r>
      <w:r>
        <w:rPr>
          <w:rFonts w:eastAsia="Arial" w:cs="Arial"/>
          <w:sz w:val="24"/>
          <w:szCs w:val="24"/>
        </w:rPr>
        <w:t>.</w:t>
      </w:r>
      <w:proofErr w:type="spellEnd"/>
      <w:r>
        <w:rPr>
          <w:rFonts w:eastAsia="Arial" w:cs="Arial"/>
          <w:sz w:val="24"/>
          <w:szCs w:val="24"/>
        </w:rPr>
        <w:t xml:space="preserve"> </w:t>
      </w:r>
      <w:r w:rsidR="000C0B2C">
        <w:rPr>
          <w:rFonts w:eastAsia="Arial" w:cs="Arial"/>
          <w:sz w:val="24"/>
          <w:szCs w:val="24"/>
        </w:rPr>
        <w:t xml:space="preserve">Within the EUCAST MIC database, </w:t>
      </w:r>
      <w:r w:rsidR="00C814E0">
        <w:rPr>
          <w:rFonts w:eastAsia="Arial" w:cs="Arial"/>
          <w:sz w:val="24"/>
          <w:szCs w:val="24"/>
        </w:rPr>
        <w:t xml:space="preserve">30% (when inferred from cefoxitin) </w:t>
      </w:r>
      <w:r w:rsidR="00C814E0">
        <w:rPr>
          <w:rFonts w:eastAsia="Arial" w:cs="Arial"/>
          <w:sz w:val="24"/>
          <w:szCs w:val="24"/>
        </w:rPr>
        <w:lastRenderedPageBreak/>
        <w:t>– 50%</w:t>
      </w:r>
      <w:r w:rsidR="000C0B2C">
        <w:rPr>
          <w:rFonts w:eastAsia="Arial" w:cs="Arial"/>
          <w:sz w:val="24"/>
          <w:szCs w:val="24"/>
        </w:rPr>
        <w:t xml:space="preserve"> </w:t>
      </w:r>
      <w:r w:rsidR="00C814E0">
        <w:rPr>
          <w:rFonts w:eastAsia="Arial" w:cs="Arial"/>
          <w:sz w:val="24"/>
          <w:szCs w:val="24"/>
        </w:rPr>
        <w:t xml:space="preserve">(when directly cefalexin tested) of </w:t>
      </w:r>
      <w:r w:rsidR="00C814E0" w:rsidRPr="001B7760">
        <w:rPr>
          <w:rFonts w:eastAsia="Arial" w:cs="Arial"/>
          <w:i/>
          <w:iCs/>
          <w:sz w:val="24"/>
          <w:szCs w:val="24"/>
        </w:rPr>
        <w:t>Staphylococcus aureus</w:t>
      </w:r>
      <w:r w:rsidR="00C814E0">
        <w:rPr>
          <w:rFonts w:eastAsia="Arial" w:cs="Arial"/>
          <w:sz w:val="24"/>
          <w:szCs w:val="24"/>
        </w:rPr>
        <w:t xml:space="preserve"> isolates had an MIC &gt;2</w:t>
      </w:r>
      <w:r w:rsidR="006F1AC3">
        <w:rPr>
          <w:rFonts w:eastAsia="Arial" w:cs="Arial"/>
          <w:sz w:val="24"/>
          <w:szCs w:val="24"/>
        </w:rPr>
        <w:t xml:space="preserve"> </w:t>
      </w:r>
      <w:r w:rsidR="00C814E0">
        <w:rPr>
          <w:rFonts w:eastAsia="Arial" w:cs="Arial"/>
          <w:sz w:val="24"/>
          <w:szCs w:val="24"/>
        </w:rPr>
        <w:sym w:font="Symbol" w:char="F06D"/>
      </w:r>
      <w:r w:rsidR="00C814E0">
        <w:rPr>
          <w:rFonts w:eastAsia="Arial" w:cs="Arial"/>
          <w:sz w:val="24"/>
          <w:szCs w:val="24"/>
        </w:rPr>
        <w:t>g/</w:t>
      </w:r>
      <w:proofErr w:type="spellStart"/>
      <w:r w:rsidR="00C814E0">
        <w:rPr>
          <w:rFonts w:eastAsia="Arial" w:cs="Arial"/>
          <w:sz w:val="24"/>
          <w:szCs w:val="24"/>
        </w:rPr>
        <w:t>m</w:t>
      </w:r>
      <w:r w:rsidR="006F1AC3">
        <w:rPr>
          <w:rFonts w:eastAsia="Arial" w:cs="Arial"/>
          <w:sz w:val="24"/>
          <w:szCs w:val="24"/>
        </w:rPr>
        <w:t>L</w:t>
      </w:r>
      <w:r w:rsidR="00C814E0">
        <w:rPr>
          <w:rFonts w:eastAsia="Arial" w:cs="Arial"/>
          <w:sz w:val="24"/>
          <w:szCs w:val="24"/>
        </w:rPr>
        <w:t>.</w:t>
      </w:r>
      <w:proofErr w:type="spellEnd"/>
      <w:r w:rsidR="00C814E0">
        <w:rPr>
          <w:rFonts w:eastAsia="Arial" w:cs="Arial"/>
          <w:sz w:val="24"/>
          <w:szCs w:val="24"/>
        </w:rPr>
        <w:t xml:space="preserve"> Concerningly, when </w:t>
      </w:r>
      <w:proofErr w:type="spellStart"/>
      <w:r w:rsidR="00C814E0">
        <w:rPr>
          <w:rFonts w:eastAsia="Arial" w:cs="Arial"/>
          <w:sz w:val="24"/>
          <w:szCs w:val="24"/>
        </w:rPr>
        <w:t>AWaRe</w:t>
      </w:r>
      <w:proofErr w:type="spellEnd"/>
      <w:r w:rsidR="00C814E0">
        <w:rPr>
          <w:rFonts w:eastAsia="Arial" w:cs="Arial"/>
          <w:sz w:val="24"/>
          <w:szCs w:val="24"/>
        </w:rPr>
        <w:t xml:space="preserve"> Book cefalexin doses of 500</w:t>
      </w:r>
      <w:r w:rsidR="006F1AC3">
        <w:rPr>
          <w:rFonts w:eastAsia="Arial" w:cs="Arial"/>
          <w:sz w:val="24"/>
          <w:szCs w:val="24"/>
        </w:rPr>
        <w:t xml:space="preserve"> </w:t>
      </w:r>
      <w:r w:rsidR="00C814E0">
        <w:rPr>
          <w:rFonts w:eastAsia="Arial" w:cs="Arial"/>
          <w:sz w:val="24"/>
          <w:szCs w:val="24"/>
        </w:rPr>
        <w:t xml:space="preserve">mg three times daily are </w:t>
      </w:r>
      <w:r w:rsidR="006F1AC3">
        <w:rPr>
          <w:rFonts w:eastAsia="Arial" w:cs="Arial"/>
          <w:sz w:val="24"/>
          <w:szCs w:val="24"/>
        </w:rPr>
        <w:t>used</w:t>
      </w:r>
      <w:r w:rsidR="00C814E0">
        <w:rPr>
          <w:rFonts w:eastAsia="Arial" w:cs="Arial"/>
          <w:sz w:val="24"/>
          <w:szCs w:val="24"/>
        </w:rPr>
        <w:t xml:space="preserve">, </w:t>
      </w:r>
      <w:r w:rsidR="006F1AC3">
        <w:rPr>
          <w:rFonts w:eastAsia="Arial" w:cs="Arial"/>
          <w:sz w:val="24"/>
          <w:szCs w:val="24"/>
        </w:rPr>
        <w:t xml:space="preserve">drug exposure may be insufficient to adequately treat </w:t>
      </w:r>
      <w:r w:rsidR="00C814E0">
        <w:rPr>
          <w:rFonts w:eastAsia="Arial" w:cs="Arial"/>
          <w:sz w:val="24"/>
          <w:szCs w:val="24"/>
        </w:rPr>
        <w:t>skin and soft tissue infection (SSTI)</w:t>
      </w:r>
      <w:r w:rsidR="006F1AC3">
        <w:rPr>
          <w:rFonts w:eastAsia="Arial" w:cs="Arial"/>
          <w:sz w:val="24"/>
          <w:szCs w:val="24"/>
        </w:rPr>
        <w:t xml:space="preserve"> caused by </w:t>
      </w:r>
      <w:r w:rsidR="006F1AC3" w:rsidRPr="00BF1C16">
        <w:rPr>
          <w:rFonts w:eastAsia="Arial" w:cs="Arial"/>
          <w:i/>
          <w:iCs/>
          <w:sz w:val="24"/>
          <w:szCs w:val="24"/>
        </w:rPr>
        <w:t>Staphylococcus aureus</w:t>
      </w:r>
      <w:r w:rsidR="00C814E0">
        <w:rPr>
          <w:rFonts w:eastAsia="Arial" w:cs="Arial"/>
          <w:sz w:val="24"/>
          <w:szCs w:val="24"/>
        </w:rPr>
        <w:t>.</w:t>
      </w:r>
      <w:r w:rsidR="003C67CC">
        <w:rPr>
          <w:rFonts w:eastAsia="Arial" w:cs="Arial"/>
          <w:sz w:val="24"/>
          <w:szCs w:val="24"/>
        </w:rPr>
        <w:t xml:space="preserve"> </w:t>
      </w:r>
    </w:p>
    <w:p w14:paraId="03A36A0A" w14:textId="7EE507B9" w:rsidR="00403D2F" w:rsidRPr="00D678CF" w:rsidRDefault="00403D2F" w:rsidP="00D678CF">
      <w:pPr>
        <w:spacing w:line="480" w:lineRule="auto"/>
        <w:jc w:val="both"/>
        <w:rPr>
          <w:rFonts w:eastAsia="Arial" w:cs="Arial"/>
          <w:sz w:val="24"/>
          <w:szCs w:val="24"/>
        </w:rPr>
      </w:pPr>
      <w:r w:rsidRPr="00D678CF">
        <w:rPr>
          <w:rFonts w:eastAsia="Arial" w:cs="Arial"/>
          <w:sz w:val="24"/>
          <w:szCs w:val="24"/>
        </w:rPr>
        <w:t xml:space="preserve">The systematic review </w:t>
      </w:r>
      <w:r w:rsidR="00C814E0">
        <w:rPr>
          <w:rFonts w:eastAsia="Arial" w:cs="Arial"/>
          <w:sz w:val="24"/>
          <w:szCs w:val="24"/>
        </w:rPr>
        <w:t xml:space="preserve">also </w:t>
      </w:r>
      <w:r w:rsidR="00AF1244" w:rsidRPr="00D678CF">
        <w:rPr>
          <w:rFonts w:eastAsia="Arial" w:cs="Arial"/>
          <w:sz w:val="24"/>
          <w:szCs w:val="24"/>
        </w:rPr>
        <w:t xml:space="preserve">demonstrated that </w:t>
      </w:r>
      <w:r w:rsidR="006567F1" w:rsidRPr="00D678CF">
        <w:rPr>
          <w:rFonts w:eastAsia="Arial" w:cs="Arial"/>
          <w:sz w:val="24"/>
          <w:szCs w:val="24"/>
        </w:rPr>
        <w:t xml:space="preserve">other than </w:t>
      </w:r>
      <w:r w:rsidR="00906DBD" w:rsidRPr="00D678CF">
        <w:rPr>
          <w:rFonts w:eastAsia="Arial" w:cs="Arial"/>
          <w:sz w:val="24"/>
          <w:szCs w:val="24"/>
        </w:rPr>
        <w:t>UTI, pneumonia</w:t>
      </w:r>
      <w:r w:rsidR="00C61F02" w:rsidRPr="00D678CF">
        <w:rPr>
          <w:rFonts w:eastAsia="Arial" w:cs="Arial"/>
          <w:sz w:val="24"/>
          <w:szCs w:val="24"/>
        </w:rPr>
        <w:t>,</w:t>
      </w:r>
      <w:r w:rsidR="00906DBD" w:rsidRPr="00D678CF">
        <w:rPr>
          <w:rFonts w:eastAsia="Arial" w:cs="Arial"/>
          <w:sz w:val="24"/>
          <w:szCs w:val="24"/>
        </w:rPr>
        <w:t xml:space="preserve"> and </w:t>
      </w:r>
      <w:r w:rsidR="00C814E0">
        <w:rPr>
          <w:rFonts w:eastAsia="Arial" w:cs="Arial"/>
          <w:sz w:val="24"/>
          <w:szCs w:val="24"/>
        </w:rPr>
        <w:t>SSTI</w:t>
      </w:r>
      <w:r w:rsidR="00906DBD" w:rsidRPr="00D678CF">
        <w:rPr>
          <w:rFonts w:eastAsia="Arial" w:cs="Arial"/>
          <w:sz w:val="24"/>
          <w:szCs w:val="24"/>
        </w:rPr>
        <w:t xml:space="preserve"> </w:t>
      </w:r>
      <w:r w:rsidR="00AF1244" w:rsidRPr="00D678CF">
        <w:rPr>
          <w:rFonts w:eastAsia="Arial" w:cs="Arial"/>
          <w:sz w:val="24"/>
          <w:szCs w:val="24"/>
        </w:rPr>
        <w:t>there wa</w:t>
      </w:r>
      <w:r w:rsidR="00CD3816" w:rsidRPr="00D678CF">
        <w:rPr>
          <w:rFonts w:eastAsia="Arial" w:cs="Arial"/>
          <w:sz w:val="24"/>
          <w:szCs w:val="24"/>
        </w:rPr>
        <w:t>s no</w:t>
      </w:r>
      <w:r w:rsidR="00906DBD" w:rsidRPr="00D678CF">
        <w:rPr>
          <w:rFonts w:eastAsia="Arial" w:cs="Arial"/>
          <w:sz w:val="24"/>
          <w:szCs w:val="24"/>
        </w:rPr>
        <w:t xml:space="preserve"> specific</w:t>
      </w:r>
      <w:r w:rsidR="00CD3816" w:rsidRPr="00D678CF">
        <w:rPr>
          <w:rFonts w:eastAsia="Arial" w:cs="Arial"/>
          <w:sz w:val="24"/>
          <w:szCs w:val="24"/>
        </w:rPr>
        <w:t xml:space="preserve"> consideration </w:t>
      </w:r>
      <w:r w:rsidR="00906DBD" w:rsidRPr="00D678CF">
        <w:rPr>
          <w:rFonts w:eastAsia="Arial" w:cs="Arial"/>
          <w:sz w:val="24"/>
          <w:szCs w:val="24"/>
        </w:rPr>
        <w:t xml:space="preserve">for </w:t>
      </w:r>
      <w:r w:rsidR="006D4F99" w:rsidRPr="00D678CF">
        <w:rPr>
          <w:rFonts w:eastAsia="Arial" w:cs="Arial"/>
          <w:sz w:val="24"/>
          <w:szCs w:val="24"/>
        </w:rPr>
        <w:t xml:space="preserve">the pharmacodynamics of </w:t>
      </w:r>
      <w:r w:rsidR="00906DBD" w:rsidRPr="00D678CF">
        <w:rPr>
          <w:rFonts w:eastAsia="Arial" w:cs="Arial"/>
          <w:sz w:val="24"/>
          <w:szCs w:val="24"/>
        </w:rPr>
        <w:t xml:space="preserve">diseases </w:t>
      </w:r>
      <w:r w:rsidR="000F7528" w:rsidRPr="00D678CF">
        <w:rPr>
          <w:rFonts w:eastAsia="Arial" w:cs="Arial"/>
          <w:sz w:val="24"/>
          <w:szCs w:val="24"/>
        </w:rPr>
        <w:t xml:space="preserve">considered in </w:t>
      </w:r>
      <w:proofErr w:type="spellStart"/>
      <w:r w:rsidR="16B704E5" w:rsidRPr="00D678CF">
        <w:rPr>
          <w:rFonts w:eastAsia="Arial" w:cs="Arial"/>
          <w:sz w:val="24"/>
          <w:szCs w:val="24"/>
        </w:rPr>
        <w:t>AWaRe</w:t>
      </w:r>
      <w:proofErr w:type="spellEnd"/>
      <w:r w:rsidR="16B704E5" w:rsidRPr="00D678CF">
        <w:rPr>
          <w:rFonts w:eastAsia="Arial" w:cs="Arial"/>
          <w:sz w:val="24"/>
          <w:szCs w:val="24"/>
        </w:rPr>
        <w:t xml:space="preserve"> Book</w:t>
      </w:r>
      <w:r w:rsidR="008B4D36" w:rsidRPr="00D678CF">
        <w:rPr>
          <w:rFonts w:eastAsia="Arial" w:cs="Arial"/>
          <w:sz w:val="24"/>
          <w:szCs w:val="24"/>
        </w:rPr>
        <w:t xml:space="preserve">. </w:t>
      </w:r>
      <w:r w:rsidR="00012EA2" w:rsidRPr="00D678CF">
        <w:rPr>
          <w:rFonts w:eastAsia="Arial" w:cs="Arial"/>
          <w:sz w:val="24"/>
          <w:szCs w:val="24"/>
        </w:rPr>
        <w:t xml:space="preserve">The </w:t>
      </w:r>
      <w:r w:rsidR="00F36A48" w:rsidRPr="00D678CF">
        <w:rPr>
          <w:rFonts w:eastAsia="Arial" w:cs="Arial"/>
          <w:sz w:val="24"/>
          <w:szCs w:val="24"/>
        </w:rPr>
        <w:t xml:space="preserve">pharmacodynamic </w:t>
      </w:r>
      <w:r w:rsidR="00012EA2" w:rsidRPr="00D678CF">
        <w:rPr>
          <w:rFonts w:eastAsia="Arial" w:cs="Arial"/>
          <w:sz w:val="24"/>
          <w:szCs w:val="24"/>
        </w:rPr>
        <w:t xml:space="preserve">field </w:t>
      </w:r>
      <w:r w:rsidR="00F36A48" w:rsidRPr="00D678CF">
        <w:rPr>
          <w:rFonts w:eastAsia="Arial" w:cs="Arial"/>
          <w:sz w:val="24"/>
          <w:szCs w:val="24"/>
        </w:rPr>
        <w:t xml:space="preserve">currently depends </w:t>
      </w:r>
      <w:r w:rsidR="009C5ECA" w:rsidRPr="00D678CF">
        <w:rPr>
          <w:rFonts w:eastAsia="Arial" w:cs="Arial"/>
          <w:sz w:val="24"/>
          <w:szCs w:val="24"/>
        </w:rPr>
        <w:t xml:space="preserve">largely </w:t>
      </w:r>
      <w:r w:rsidR="00F36A48" w:rsidRPr="00D678CF">
        <w:rPr>
          <w:rFonts w:eastAsia="Arial" w:cs="Arial"/>
          <w:sz w:val="24"/>
          <w:szCs w:val="24"/>
        </w:rPr>
        <w:t>on</w:t>
      </w:r>
      <w:r w:rsidR="001C038F" w:rsidRPr="00D678CF">
        <w:rPr>
          <w:rFonts w:eastAsia="Arial" w:cs="Arial"/>
          <w:sz w:val="24"/>
          <w:szCs w:val="24"/>
        </w:rPr>
        <w:t xml:space="preserve"> the murine thigh infection model (a surrogate for </w:t>
      </w:r>
      <w:proofErr w:type="spellStart"/>
      <w:r w:rsidR="001C038F" w:rsidRPr="00D678CF">
        <w:rPr>
          <w:rFonts w:eastAsia="Arial" w:cs="Arial"/>
          <w:sz w:val="24"/>
          <w:szCs w:val="24"/>
        </w:rPr>
        <w:t>cUTI</w:t>
      </w:r>
      <w:proofErr w:type="spellEnd"/>
      <w:r w:rsidR="001C038F" w:rsidRPr="00D678CF">
        <w:rPr>
          <w:rFonts w:eastAsia="Arial" w:cs="Arial"/>
          <w:sz w:val="24"/>
          <w:szCs w:val="24"/>
        </w:rPr>
        <w:t xml:space="preserve"> and </w:t>
      </w:r>
      <w:r w:rsidR="00C814E0">
        <w:rPr>
          <w:rFonts w:eastAsia="Arial" w:cs="Arial"/>
          <w:sz w:val="24"/>
          <w:szCs w:val="24"/>
        </w:rPr>
        <w:t>SSTI</w:t>
      </w:r>
      <w:r w:rsidR="001C038F" w:rsidRPr="00D678CF">
        <w:rPr>
          <w:rFonts w:eastAsia="Arial" w:cs="Arial"/>
          <w:sz w:val="24"/>
          <w:szCs w:val="24"/>
        </w:rPr>
        <w:t>), murine</w:t>
      </w:r>
      <w:r w:rsidR="006F4B21" w:rsidRPr="00D678CF">
        <w:rPr>
          <w:rFonts w:eastAsia="Arial" w:cs="Arial"/>
          <w:sz w:val="24"/>
          <w:szCs w:val="24"/>
        </w:rPr>
        <w:t xml:space="preserve"> pneumonia model (surrogate for pneumonia) and hollow fibre infection models (</w:t>
      </w:r>
      <w:r w:rsidR="008D691F" w:rsidRPr="00D678CF">
        <w:rPr>
          <w:rFonts w:eastAsia="Arial" w:cs="Arial"/>
          <w:sz w:val="24"/>
          <w:szCs w:val="24"/>
        </w:rPr>
        <w:t xml:space="preserve">surrogate for high density infections </w:t>
      </w:r>
      <w:r w:rsidR="00490382" w:rsidRPr="00D678CF">
        <w:rPr>
          <w:rFonts w:eastAsia="Arial" w:cs="Arial"/>
          <w:sz w:val="24"/>
          <w:szCs w:val="24"/>
        </w:rPr>
        <w:t xml:space="preserve">to </w:t>
      </w:r>
      <w:r w:rsidR="00B25C44" w:rsidRPr="00D678CF">
        <w:rPr>
          <w:rFonts w:eastAsia="Arial" w:cs="Arial"/>
          <w:sz w:val="24"/>
          <w:szCs w:val="24"/>
        </w:rPr>
        <w:t>address emergence of resistance).</w:t>
      </w:r>
      <w:r w:rsidR="001D469B" w:rsidRPr="00D678CF">
        <w:rPr>
          <w:rFonts w:eastAsia="Arial" w:cs="Arial"/>
          <w:sz w:val="24"/>
          <w:szCs w:val="24"/>
        </w:rPr>
        <w:t xml:space="preserve"> </w:t>
      </w:r>
      <w:r w:rsidR="0043062D" w:rsidRPr="00D678CF">
        <w:rPr>
          <w:rFonts w:eastAsia="Arial" w:cs="Arial"/>
          <w:sz w:val="24"/>
          <w:szCs w:val="24"/>
        </w:rPr>
        <w:t xml:space="preserve">These model systems have been largely tuned for </w:t>
      </w:r>
      <w:r w:rsidR="6FE2FB00" w:rsidRPr="00D678CF">
        <w:rPr>
          <w:rFonts w:eastAsia="Arial" w:cs="Arial"/>
          <w:sz w:val="24"/>
          <w:szCs w:val="24"/>
        </w:rPr>
        <w:t>the</w:t>
      </w:r>
      <w:r w:rsidR="0043062D" w:rsidRPr="00D678CF">
        <w:rPr>
          <w:rFonts w:eastAsia="Arial" w:cs="Arial"/>
          <w:sz w:val="24"/>
          <w:szCs w:val="24"/>
        </w:rPr>
        <w:t xml:space="preserve"> </w:t>
      </w:r>
      <w:r w:rsidR="00897802" w:rsidRPr="00D678CF">
        <w:rPr>
          <w:rFonts w:eastAsia="Arial" w:cs="Arial"/>
          <w:sz w:val="24"/>
          <w:szCs w:val="24"/>
        </w:rPr>
        <w:t xml:space="preserve">study of new </w:t>
      </w:r>
      <w:r w:rsidR="5F416F45" w:rsidRPr="00D678CF">
        <w:rPr>
          <w:rFonts w:eastAsia="Arial" w:cs="Arial"/>
          <w:sz w:val="24"/>
          <w:szCs w:val="24"/>
        </w:rPr>
        <w:t>antibiotic</w:t>
      </w:r>
      <w:r w:rsidR="00897802" w:rsidRPr="00D678CF">
        <w:rPr>
          <w:rFonts w:eastAsia="Arial" w:cs="Arial"/>
          <w:sz w:val="24"/>
          <w:szCs w:val="24"/>
        </w:rPr>
        <w:t xml:space="preserve"> agents against </w:t>
      </w:r>
      <w:r w:rsidR="00956C3F" w:rsidRPr="00D678CF">
        <w:rPr>
          <w:rFonts w:eastAsia="Arial" w:cs="Arial"/>
          <w:sz w:val="24"/>
          <w:szCs w:val="24"/>
        </w:rPr>
        <w:t>mul</w:t>
      </w:r>
      <w:r w:rsidR="00457137" w:rsidRPr="00D678CF">
        <w:rPr>
          <w:rFonts w:eastAsia="Arial" w:cs="Arial"/>
          <w:sz w:val="24"/>
          <w:szCs w:val="24"/>
        </w:rPr>
        <w:t>tiple</w:t>
      </w:r>
      <w:r w:rsidR="0043062D" w:rsidRPr="00D678CF">
        <w:rPr>
          <w:rFonts w:eastAsia="Arial" w:cs="Arial"/>
          <w:sz w:val="24"/>
          <w:szCs w:val="24"/>
        </w:rPr>
        <w:t xml:space="preserve"> and </w:t>
      </w:r>
      <w:r w:rsidR="00457137" w:rsidRPr="00D678CF">
        <w:rPr>
          <w:rFonts w:eastAsia="Arial" w:cs="Arial"/>
          <w:sz w:val="24"/>
          <w:szCs w:val="24"/>
        </w:rPr>
        <w:t>extremely drug resistant (</w:t>
      </w:r>
      <w:r w:rsidR="0043062D" w:rsidRPr="00D678CF">
        <w:rPr>
          <w:rFonts w:eastAsia="Arial" w:cs="Arial"/>
          <w:sz w:val="24"/>
          <w:szCs w:val="24"/>
        </w:rPr>
        <w:t>MDR</w:t>
      </w:r>
      <w:r w:rsidR="00457137" w:rsidRPr="00D678CF">
        <w:rPr>
          <w:rFonts w:eastAsia="Arial" w:cs="Arial"/>
          <w:sz w:val="24"/>
          <w:szCs w:val="24"/>
        </w:rPr>
        <w:t>,</w:t>
      </w:r>
      <w:r w:rsidR="0043062D" w:rsidRPr="00D678CF">
        <w:rPr>
          <w:rFonts w:eastAsia="Arial" w:cs="Arial"/>
          <w:sz w:val="24"/>
          <w:szCs w:val="24"/>
        </w:rPr>
        <w:t xml:space="preserve"> XDR</w:t>
      </w:r>
      <w:r w:rsidR="00457137" w:rsidRPr="00D678CF">
        <w:rPr>
          <w:rFonts w:eastAsia="Arial" w:cs="Arial"/>
          <w:sz w:val="24"/>
          <w:szCs w:val="24"/>
        </w:rPr>
        <w:t>)</w:t>
      </w:r>
      <w:r w:rsidR="0043062D" w:rsidRPr="00D678CF">
        <w:rPr>
          <w:rFonts w:eastAsia="Arial" w:cs="Arial"/>
          <w:sz w:val="24"/>
          <w:szCs w:val="24"/>
        </w:rPr>
        <w:t xml:space="preserve"> Gram negative pathogens </w:t>
      </w:r>
      <w:r w:rsidR="00897802" w:rsidRPr="00D678CF">
        <w:rPr>
          <w:rFonts w:eastAsia="Arial" w:cs="Arial"/>
          <w:sz w:val="24"/>
          <w:szCs w:val="24"/>
        </w:rPr>
        <w:t xml:space="preserve">rather than the </w:t>
      </w:r>
      <w:r w:rsidR="006C206B" w:rsidRPr="00D678CF">
        <w:rPr>
          <w:rFonts w:eastAsia="Arial" w:cs="Arial"/>
          <w:sz w:val="24"/>
          <w:szCs w:val="24"/>
        </w:rPr>
        <w:t>Gram</w:t>
      </w:r>
      <w:r w:rsidR="00464613" w:rsidRPr="00D678CF">
        <w:rPr>
          <w:rFonts w:eastAsia="Arial" w:cs="Arial"/>
          <w:sz w:val="24"/>
          <w:szCs w:val="24"/>
        </w:rPr>
        <w:t>-</w:t>
      </w:r>
      <w:r w:rsidR="000A09C5" w:rsidRPr="00D678CF">
        <w:rPr>
          <w:rFonts w:eastAsia="Arial" w:cs="Arial"/>
          <w:sz w:val="24"/>
          <w:szCs w:val="24"/>
        </w:rPr>
        <w:t>positive</w:t>
      </w:r>
      <w:r w:rsidR="006C206B" w:rsidRPr="00D678CF">
        <w:rPr>
          <w:rFonts w:eastAsia="Arial" w:cs="Arial"/>
          <w:sz w:val="24"/>
          <w:szCs w:val="24"/>
        </w:rPr>
        <w:t xml:space="preserve"> pathogens (e.g., Group A </w:t>
      </w:r>
      <w:r w:rsidR="000A09C5" w:rsidRPr="00D678CF">
        <w:rPr>
          <w:rFonts w:eastAsia="Arial" w:cs="Arial"/>
          <w:i/>
          <w:iCs/>
          <w:sz w:val="24"/>
          <w:szCs w:val="24"/>
        </w:rPr>
        <w:t>Streptococcus</w:t>
      </w:r>
      <w:r w:rsidR="006C206B" w:rsidRPr="00D678CF">
        <w:rPr>
          <w:rFonts w:eastAsia="Arial" w:cs="Arial"/>
          <w:sz w:val="24"/>
          <w:szCs w:val="24"/>
        </w:rPr>
        <w:t xml:space="preserve">, </w:t>
      </w:r>
      <w:r w:rsidR="006C206B" w:rsidRPr="00D678CF">
        <w:rPr>
          <w:rFonts w:eastAsia="Arial" w:cs="Arial"/>
          <w:i/>
          <w:iCs/>
          <w:sz w:val="24"/>
          <w:szCs w:val="24"/>
        </w:rPr>
        <w:t>Staphylococcus aureus</w:t>
      </w:r>
      <w:r w:rsidR="006C206B" w:rsidRPr="00D678CF">
        <w:rPr>
          <w:rFonts w:eastAsia="Arial" w:cs="Arial"/>
          <w:sz w:val="24"/>
          <w:szCs w:val="24"/>
        </w:rPr>
        <w:t xml:space="preserve">, </w:t>
      </w:r>
      <w:r w:rsidR="000A09C5" w:rsidRPr="00D678CF">
        <w:rPr>
          <w:rFonts w:eastAsia="Arial" w:cs="Arial"/>
          <w:i/>
          <w:iCs/>
          <w:sz w:val="24"/>
          <w:szCs w:val="24"/>
        </w:rPr>
        <w:t>Streptococcus</w:t>
      </w:r>
      <w:r w:rsidR="006C206B" w:rsidRPr="00D678CF">
        <w:rPr>
          <w:rFonts w:eastAsia="Arial" w:cs="Arial"/>
          <w:i/>
          <w:iCs/>
          <w:sz w:val="24"/>
          <w:szCs w:val="24"/>
        </w:rPr>
        <w:t xml:space="preserve"> pneumoniae</w:t>
      </w:r>
      <w:r w:rsidR="006C206B" w:rsidRPr="00D678CF">
        <w:rPr>
          <w:rFonts w:eastAsia="Arial" w:cs="Arial"/>
          <w:sz w:val="24"/>
          <w:szCs w:val="24"/>
        </w:rPr>
        <w:t>) that</w:t>
      </w:r>
      <w:r w:rsidR="000A09C5" w:rsidRPr="00D678CF">
        <w:rPr>
          <w:rFonts w:eastAsia="Arial" w:cs="Arial"/>
          <w:sz w:val="24"/>
          <w:szCs w:val="24"/>
        </w:rPr>
        <w:t xml:space="preserve"> are relevant to the </w:t>
      </w:r>
      <w:r w:rsidR="006607F8" w:rsidRPr="00D678CF">
        <w:rPr>
          <w:rFonts w:eastAsia="Arial" w:cs="Arial"/>
          <w:sz w:val="24"/>
          <w:szCs w:val="24"/>
        </w:rPr>
        <w:t xml:space="preserve">PHC </w:t>
      </w:r>
      <w:r w:rsidR="2FB7C2DB" w:rsidRPr="00D678CF">
        <w:rPr>
          <w:rFonts w:eastAsia="Arial" w:cs="Arial"/>
          <w:sz w:val="24"/>
          <w:szCs w:val="24"/>
        </w:rPr>
        <w:t xml:space="preserve">settings of the </w:t>
      </w:r>
      <w:proofErr w:type="spellStart"/>
      <w:r w:rsidR="006607F8" w:rsidRPr="00D678CF">
        <w:rPr>
          <w:rFonts w:eastAsia="Arial" w:cs="Arial"/>
          <w:sz w:val="24"/>
          <w:szCs w:val="24"/>
        </w:rPr>
        <w:t>AWaRe</w:t>
      </w:r>
      <w:proofErr w:type="spellEnd"/>
      <w:r w:rsidR="006607F8" w:rsidRPr="00D678CF">
        <w:rPr>
          <w:rFonts w:eastAsia="Arial" w:cs="Arial"/>
          <w:sz w:val="24"/>
          <w:szCs w:val="24"/>
        </w:rPr>
        <w:t xml:space="preserve"> Book</w:t>
      </w:r>
      <w:r w:rsidR="000A09C5" w:rsidRPr="00D678CF">
        <w:rPr>
          <w:rFonts w:eastAsia="Arial" w:cs="Arial"/>
          <w:sz w:val="24"/>
          <w:szCs w:val="24"/>
        </w:rPr>
        <w:t xml:space="preserve">. </w:t>
      </w:r>
      <w:r w:rsidR="00060A6D" w:rsidRPr="00D678CF">
        <w:rPr>
          <w:rFonts w:eastAsia="Arial" w:cs="Arial"/>
          <w:sz w:val="24"/>
          <w:szCs w:val="24"/>
        </w:rPr>
        <w:t>Furthermore,</w:t>
      </w:r>
      <w:r w:rsidR="00707023" w:rsidRPr="00D678CF">
        <w:rPr>
          <w:rFonts w:eastAsia="Arial" w:cs="Arial"/>
          <w:sz w:val="24"/>
          <w:szCs w:val="24"/>
        </w:rPr>
        <w:t xml:space="preserve"> available</w:t>
      </w:r>
      <w:r w:rsidR="00494829" w:rsidRPr="00D678CF">
        <w:rPr>
          <w:rFonts w:eastAsia="Arial" w:cs="Arial"/>
          <w:sz w:val="24"/>
          <w:szCs w:val="24"/>
        </w:rPr>
        <w:t xml:space="preserve"> model systems are </w:t>
      </w:r>
      <w:r w:rsidR="00631D35" w:rsidRPr="00D678CF">
        <w:rPr>
          <w:rFonts w:eastAsia="Arial" w:cs="Arial"/>
          <w:sz w:val="24"/>
          <w:szCs w:val="24"/>
        </w:rPr>
        <w:t>typically</w:t>
      </w:r>
      <w:r w:rsidR="008E7E1E" w:rsidRPr="00D678CF">
        <w:rPr>
          <w:rFonts w:eastAsia="Arial" w:cs="Arial"/>
          <w:sz w:val="24"/>
          <w:szCs w:val="24"/>
        </w:rPr>
        <w:t xml:space="preserve"> </w:t>
      </w:r>
      <w:r w:rsidR="00A76FB8" w:rsidRPr="00D678CF">
        <w:rPr>
          <w:rFonts w:eastAsia="Arial" w:cs="Arial"/>
          <w:sz w:val="24"/>
          <w:szCs w:val="24"/>
        </w:rPr>
        <w:t xml:space="preserve">conducted on a </w:t>
      </w:r>
      <w:r w:rsidR="00BE284F" w:rsidRPr="00D678CF">
        <w:rPr>
          <w:rFonts w:eastAsia="Arial" w:cs="Arial"/>
          <w:sz w:val="24"/>
          <w:szCs w:val="24"/>
        </w:rPr>
        <w:t xml:space="preserve">profoundly </w:t>
      </w:r>
      <w:r w:rsidR="00CC3812" w:rsidRPr="00D678CF">
        <w:rPr>
          <w:rFonts w:eastAsia="Arial" w:cs="Arial"/>
          <w:sz w:val="24"/>
          <w:szCs w:val="24"/>
        </w:rPr>
        <w:t xml:space="preserve">neutropenic </w:t>
      </w:r>
      <w:r w:rsidR="00A76FB8" w:rsidRPr="00D678CF">
        <w:rPr>
          <w:rFonts w:eastAsia="Arial" w:cs="Arial"/>
          <w:sz w:val="24"/>
          <w:szCs w:val="24"/>
        </w:rPr>
        <w:t xml:space="preserve">background </w:t>
      </w:r>
      <w:r w:rsidR="00CC3812" w:rsidRPr="00D678CF">
        <w:rPr>
          <w:rFonts w:eastAsia="Arial" w:cs="Arial"/>
          <w:sz w:val="24"/>
          <w:szCs w:val="24"/>
        </w:rPr>
        <w:t>and</w:t>
      </w:r>
      <w:r w:rsidR="00DA0CD1" w:rsidRPr="00D678CF">
        <w:rPr>
          <w:rFonts w:eastAsia="Arial" w:cs="Arial"/>
          <w:sz w:val="24"/>
          <w:szCs w:val="24"/>
        </w:rPr>
        <w:t xml:space="preserve"> may </w:t>
      </w:r>
      <w:r w:rsidR="00DF29B5" w:rsidRPr="00D678CF">
        <w:rPr>
          <w:rFonts w:eastAsia="Arial" w:cs="Arial"/>
          <w:sz w:val="24"/>
          <w:szCs w:val="24"/>
        </w:rPr>
        <w:t xml:space="preserve">therefore </w:t>
      </w:r>
      <w:r w:rsidR="00DA0CD1" w:rsidRPr="00D678CF">
        <w:rPr>
          <w:rFonts w:eastAsia="Arial" w:cs="Arial"/>
          <w:sz w:val="24"/>
          <w:szCs w:val="24"/>
        </w:rPr>
        <w:t xml:space="preserve">be a poor mimic of </w:t>
      </w:r>
      <w:r w:rsidR="004456CF" w:rsidRPr="00D678CF">
        <w:rPr>
          <w:rFonts w:eastAsia="Arial" w:cs="Arial"/>
          <w:sz w:val="24"/>
          <w:szCs w:val="24"/>
        </w:rPr>
        <w:t xml:space="preserve">diseases </w:t>
      </w:r>
      <w:r w:rsidR="0063415B" w:rsidRPr="00D678CF">
        <w:rPr>
          <w:rFonts w:eastAsia="Arial" w:cs="Arial"/>
          <w:sz w:val="24"/>
          <w:szCs w:val="24"/>
        </w:rPr>
        <w:t xml:space="preserve">and patients </w:t>
      </w:r>
      <w:r w:rsidR="004456CF" w:rsidRPr="00D678CF">
        <w:rPr>
          <w:rFonts w:eastAsia="Arial" w:cs="Arial"/>
          <w:sz w:val="24"/>
          <w:szCs w:val="24"/>
        </w:rPr>
        <w:t>seen in PHC settings.</w:t>
      </w:r>
      <w:r w:rsidR="009236CE">
        <w:rPr>
          <w:rFonts w:eastAsia="Arial" w:cs="Arial"/>
          <w:sz w:val="24"/>
          <w:szCs w:val="24"/>
        </w:rPr>
        <w:t xml:space="preserve"> </w:t>
      </w:r>
      <w:r w:rsidR="001D469B" w:rsidRPr="00D678CF">
        <w:rPr>
          <w:rFonts w:eastAsia="Arial" w:cs="Arial"/>
          <w:sz w:val="24"/>
          <w:szCs w:val="24"/>
        </w:rPr>
        <w:t>Development of new model systems and disease constructs</w:t>
      </w:r>
      <w:r w:rsidR="009236CE">
        <w:rPr>
          <w:rFonts w:eastAsia="Arial" w:cs="Arial"/>
          <w:sz w:val="24"/>
          <w:szCs w:val="24"/>
        </w:rPr>
        <w:t xml:space="preserve"> that adequately reflect both the </w:t>
      </w:r>
      <w:r w:rsidR="006F1AC3">
        <w:rPr>
          <w:rFonts w:eastAsia="Arial" w:cs="Arial"/>
          <w:sz w:val="24"/>
          <w:szCs w:val="24"/>
        </w:rPr>
        <w:t>pathogen and host</w:t>
      </w:r>
      <w:r w:rsidR="001D469B" w:rsidRPr="00D678CF">
        <w:rPr>
          <w:rFonts w:eastAsia="Arial" w:cs="Arial"/>
          <w:sz w:val="24"/>
          <w:szCs w:val="24"/>
        </w:rPr>
        <w:t xml:space="preserve"> is an urgent priority to help </w:t>
      </w:r>
      <w:r w:rsidR="0032101F" w:rsidRPr="00D678CF">
        <w:rPr>
          <w:rFonts w:eastAsia="Arial" w:cs="Arial"/>
          <w:sz w:val="24"/>
          <w:szCs w:val="24"/>
        </w:rPr>
        <w:t>define and plan regimens that are safe, effective</w:t>
      </w:r>
      <w:r w:rsidR="00EB59DA" w:rsidRPr="00D678CF">
        <w:rPr>
          <w:rFonts w:eastAsia="Arial" w:cs="Arial"/>
          <w:sz w:val="24"/>
          <w:szCs w:val="24"/>
        </w:rPr>
        <w:t>,</w:t>
      </w:r>
      <w:r w:rsidR="0032101F" w:rsidRPr="00D678CF">
        <w:rPr>
          <w:rFonts w:eastAsia="Arial" w:cs="Arial"/>
          <w:sz w:val="24"/>
          <w:szCs w:val="24"/>
        </w:rPr>
        <w:t xml:space="preserve"> and resilient.</w:t>
      </w:r>
      <w:r w:rsidR="00BE6437" w:rsidRPr="00D678CF">
        <w:rPr>
          <w:rFonts w:eastAsia="Arial" w:cs="Arial"/>
          <w:sz w:val="24"/>
          <w:szCs w:val="24"/>
        </w:rPr>
        <w:t xml:space="preserve"> </w:t>
      </w:r>
      <w:r w:rsidR="0008068F">
        <w:rPr>
          <w:rFonts w:eastAsia="Arial" w:cs="Arial"/>
          <w:sz w:val="24"/>
          <w:szCs w:val="24"/>
        </w:rPr>
        <w:t xml:space="preserve">Given the challenges in developing </w:t>
      </w:r>
      <w:r w:rsidR="00AD6FB0" w:rsidRPr="001B7760">
        <w:rPr>
          <w:rFonts w:eastAsia="Arial" w:cs="Arial"/>
          <w:sz w:val="24"/>
          <w:szCs w:val="24"/>
        </w:rPr>
        <w:t>experimental</w:t>
      </w:r>
      <w:r w:rsidR="0008068F">
        <w:rPr>
          <w:rFonts w:eastAsia="Arial" w:cs="Arial"/>
          <w:sz w:val="24"/>
          <w:szCs w:val="24"/>
        </w:rPr>
        <w:t xml:space="preserve"> models that fully represent the complexity of </w:t>
      </w:r>
      <w:r w:rsidR="006F1AC3">
        <w:rPr>
          <w:rFonts w:eastAsia="Arial" w:cs="Arial"/>
          <w:sz w:val="24"/>
          <w:szCs w:val="24"/>
        </w:rPr>
        <w:t>the interplay between the pathogen, pathogenesis</w:t>
      </w:r>
      <w:r w:rsidR="00AD6FB0">
        <w:rPr>
          <w:rFonts w:eastAsia="Arial" w:cs="Arial"/>
          <w:sz w:val="24"/>
          <w:szCs w:val="24"/>
        </w:rPr>
        <w:t xml:space="preserve">, </w:t>
      </w:r>
      <w:proofErr w:type="gramStart"/>
      <w:r w:rsidR="0008068F">
        <w:rPr>
          <w:rFonts w:eastAsia="Arial" w:cs="Arial"/>
          <w:sz w:val="24"/>
          <w:szCs w:val="24"/>
        </w:rPr>
        <w:t>comorbidity</w:t>
      </w:r>
      <w:proofErr w:type="gramEnd"/>
      <w:r w:rsidR="0008068F">
        <w:rPr>
          <w:rFonts w:eastAsia="Arial" w:cs="Arial"/>
          <w:sz w:val="24"/>
          <w:szCs w:val="24"/>
        </w:rPr>
        <w:t xml:space="preserve"> and </w:t>
      </w:r>
      <w:r w:rsidR="00AD6FB0">
        <w:rPr>
          <w:rFonts w:eastAsia="Arial" w:cs="Arial"/>
          <w:sz w:val="24"/>
          <w:szCs w:val="24"/>
        </w:rPr>
        <w:t>host immune defects on therapeutic outcomes alternative approaches are required.</w:t>
      </w:r>
      <w:r w:rsidR="0008068F">
        <w:rPr>
          <w:rFonts w:eastAsia="Arial" w:cs="Arial"/>
          <w:sz w:val="24"/>
          <w:szCs w:val="24"/>
        </w:rPr>
        <w:t xml:space="preserve"> </w:t>
      </w:r>
      <w:r w:rsidR="00AD6FB0">
        <w:rPr>
          <w:rFonts w:eastAsia="Arial" w:cs="Arial"/>
          <w:sz w:val="24"/>
          <w:szCs w:val="24"/>
        </w:rPr>
        <w:t xml:space="preserve">The </w:t>
      </w:r>
      <w:r w:rsidR="0008068F">
        <w:rPr>
          <w:rFonts w:eastAsia="Arial" w:cs="Arial"/>
          <w:sz w:val="24"/>
          <w:szCs w:val="24"/>
        </w:rPr>
        <w:t xml:space="preserve">increased use of </w:t>
      </w:r>
      <w:r w:rsidR="0008068F" w:rsidRPr="001B7760">
        <w:rPr>
          <w:rFonts w:eastAsia="Arial" w:cs="Arial"/>
          <w:i/>
          <w:iCs/>
          <w:sz w:val="24"/>
          <w:szCs w:val="24"/>
        </w:rPr>
        <w:t>in silica</w:t>
      </w:r>
      <w:r w:rsidR="0008068F">
        <w:rPr>
          <w:rFonts w:eastAsia="Arial" w:cs="Arial"/>
          <w:sz w:val="24"/>
          <w:szCs w:val="24"/>
        </w:rPr>
        <w:t xml:space="preserve"> tools to combine evidence from multiple </w:t>
      </w:r>
      <w:r w:rsidR="006F1AC3">
        <w:rPr>
          <w:rFonts w:eastAsia="Arial" w:cs="Arial"/>
          <w:sz w:val="24"/>
          <w:szCs w:val="24"/>
        </w:rPr>
        <w:t>sources may be one way this can be achieved</w:t>
      </w:r>
      <w:r w:rsidR="0008068F">
        <w:rPr>
          <w:rFonts w:eastAsia="Arial" w:cs="Arial"/>
          <w:sz w:val="24"/>
          <w:szCs w:val="24"/>
        </w:rPr>
        <w:t>.</w:t>
      </w:r>
    </w:p>
    <w:p w14:paraId="0CB4EB3F" w14:textId="77777777" w:rsidR="007118E0" w:rsidRDefault="007118E0" w:rsidP="00D678CF">
      <w:pPr>
        <w:spacing w:line="480" w:lineRule="auto"/>
        <w:jc w:val="both"/>
        <w:rPr>
          <w:rFonts w:eastAsia="Arial" w:cs="Arial"/>
        </w:rPr>
      </w:pPr>
    </w:p>
    <w:p w14:paraId="497B6C9B" w14:textId="4021A36C" w:rsidR="007118E0" w:rsidRPr="00D678CF" w:rsidRDefault="007118E0" w:rsidP="00D678CF">
      <w:pPr>
        <w:pStyle w:val="Heading1"/>
        <w:spacing w:line="480" w:lineRule="auto"/>
        <w:rPr>
          <w:rFonts w:cs="Times New Roman (Headings CS)"/>
          <w:caps/>
        </w:rPr>
      </w:pPr>
      <w:bookmarkStart w:id="20" w:name="_Toc154184997"/>
      <w:r w:rsidRPr="00D678CF">
        <w:rPr>
          <w:rFonts w:cs="Times New Roman (Headings CS)"/>
          <w:caps/>
        </w:rPr>
        <w:lastRenderedPageBreak/>
        <w:t>Conclusions</w:t>
      </w:r>
      <w:bookmarkEnd w:id="20"/>
    </w:p>
    <w:p w14:paraId="32221F81" w14:textId="3A29A146" w:rsidR="000321CF" w:rsidRPr="00D678CF" w:rsidRDefault="60C154C3" w:rsidP="00D678CF">
      <w:pPr>
        <w:spacing w:line="480" w:lineRule="auto"/>
        <w:jc w:val="both"/>
        <w:rPr>
          <w:rFonts w:eastAsia="Arial" w:cs="Arial"/>
          <w:sz w:val="24"/>
          <w:szCs w:val="24"/>
        </w:rPr>
      </w:pPr>
      <w:r w:rsidRPr="00D678CF">
        <w:rPr>
          <w:rFonts w:eastAsia="Arial" w:cs="Arial"/>
          <w:sz w:val="24"/>
          <w:szCs w:val="24"/>
        </w:rPr>
        <w:t xml:space="preserve">Currently, </w:t>
      </w:r>
      <w:r w:rsidR="3D9506CA" w:rsidRPr="00D678CF">
        <w:rPr>
          <w:rFonts w:eastAsia="Arial" w:cs="Arial"/>
          <w:sz w:val="24"/>
          <w:szCs w:val="24"/>
        </w:rPr>
        <w:t>evidence from our systematic</w:t>
      </w:r>
      <w:r w:rsidR="05C19863" w:rsidRPr="00D678CF">
        <w:rPr>
          <w:rFonts w:eastAsia="Arial" w:cs="Arial"/>
          <w:sz w:val="24"/>
          <w:szCs w:val="24"/>
        </w:rPr>
        <w:t xml:space="preserve"> </w:t>
      </w:r>
      <w:r w:rsidR="3D9506CA" w:rsidRPr="00D678CF">
        <w:rPr>
          <w:rFonts w:eastAsia="Arial" w:cs="Arial"/>
          <w:sz w:val="24"/>
          <w:szCs w:val="24"/>
        </w:rPr>
        <w:t xml:space="preserve">and database reviews shows that </w:t>
      </w:r>
      <w:r w:rsidR="007118E0" w:rsidRPr="00D678CF">
        <w:rPr>
          <w:rFonts w:eastAsia="Arial" w:cs="Arial"/>
          <w:sz w:val="24"/>
          <w:szCs w:val="24"/>
        </w:rPr>
        <w:t xml:space="preserve">all elements of the ‘triple lock’ are lacking in adequate, diverse, and representative evidence to support the </w:t>
      </w:r>
      <w:proofErr w:type="spellStart"/>
      <w:r w:rsidR="007118E0" w:rsidRPr="00D678CF">
        <w:rPr>
          <w:rFonts w:eastAsia="Arial" w:cs="Arial"/>
          <w:sz w:val="24"/>
          <w:szCs w:val="24"/>
        </w:rPr>
        <w:t>AWaRe</w:t>
      </w:r>
      <w:proofErr w:type="spellEnd"/>
      <w:r w:rsidR="007118E0" w:rsidRPr="00D678CF">
        <w:rPr>
          <w:rFonts w:eastAsia="Arial" w:cs="Arial"/>
          <w:sz w:val="24"/>
          <w:szCs w:val="24"/>
        </w:rPr>
        <w:t xml:space="preserve"> Book recommended PHC </w:t>
      </w:r>
      <w:r w:rsidR="46D9BB97" w:rsidRPr="00D678CF">
        <w:rPr>
          <w:rFonts w:eastAsia="Arial" w:cs="Arial"/>
          <w:sz w:val="24"/>
          <w:szCs w:val="24"/>
        </w:rPr>
        <w:t xml:space="preserve">oral </w:t>
      </w:r>
      <w:r w:rsidR="007118E0" w:rsidRPr="00D678CF">
        <w:rPr>
          <w:rFonts w:eastAsia="Arial" w:cs="Arial"/>
          <w:sz w:val="24"/>
          <w:szCs w:val="24"/>
        </w:rPr>
        <w:t xml:space="preserve">antibiotic dosing </w:t>
      </w:r>
      <w:r w:rsidRPr="00D678CF">
        <w:rPr>
          <w:rFonts w:eastAsia="Arial" w:cs="Arial"/>
          <w:sz w:val="24"/>
          <w:szCs w:val="24"/>
        </w:rPr>
        <w:t>strateg</w:t>
      </w:r>
      <w:r w:rsidR="5057E159" w:rsidRPr="00D678CF">
        <w:rPr>
          <w:rFonts w:eastAsia="Arial" w:cs="Arial"/>
          <w:sz w:val="24"/>
          <w:szCs w:val="24"/>
        </w:rPr>
        <w:t>ies</w:t>
      </w:r>
      <w:r w:rsidRPr="00D678CF">
        <w:rPr>
          <w:rFonts w:eastAsia="Arial" w:cs="Arial"/>
          <w:sz w:val="24"/>
          <w:szCs w:val="24"/>
        </w:rPr>
        <w:t xml:space="preserve"> </w:t>
      </w:r>
      <w:r w:rsidR="007118E0" w:rsidRPr="00D678CF">
        <w:rPr>
          <w:rFonts w:eastAsia="Arial" w:cs="Arial"/>
          <w:sz w:val="24"/>
          <w:szCs w:val="24"/>
        </w:rPr>
        <w:t xml:space="preserve">(Figure </w:t>
      </w:r>
      <w:r w:rsidR="00024943" w:rsidRPr="00D678CF">
        <w:rPr>
          <w:rFonts w:eastAsia="Arial" w:cs="Arial"/>
          <w:sz w:val="24"/>
          <w:szCs w:val="24"/>
        </w:rPr>
        <w:t>1</w:t>
      </w:r>
      <w:r w:rsidR="007118E0" w:rsidRPr="00D678CF">
        <w:rPr>
          <w:rFonts w:eastAsia="Arial" w:cs="Arial"/>
          <w:sz w:val="24"/>
          <w:szCs w:val="24"/>
        </w:rPr>
        <w:t xml:space="preserve"> [column 4]) or indeed other dosing strategies used in </w:t>
      </w:r>
      <w:r w:rsidR="50651FCF" w:rsidRPr="00D678CF">
        <w:rPr>
          <w:rFonts w:eastAsia="Arial" w:cs="Arial"/>
          <w:sz w:val="24"/>
          <w:szCs w:val="24"/>
        </w:rPr>
        <w:t xml:space="preserve">current national or </w:t>
      </w:r>
      <w:r w:rsidR="007118E0" w:rsidRPr="00D678CF">
        <w:rPr>
          <w:rFonts w:eastAsia="Arial" w:cs="Arial"/>
          <w:sz w:val="24"/>
          <w:szCs w:val="24"/>
        </w:rPr>
        <w:t xml:space="preserve">regional guidance. Pharmacokinetic and pharmacodynamic data is significantly lacking in regions where the burden of resistant infections may be highest. Available data is not generated in the PHC settings where most antibiotics are used. One-size-fits all targets do not reflect the nuances for drug-pathogen-disease combinations described in the </w:t>
      </w:r>
      <w:proofErr w:type="spellStart"/>
      <w:r w:rsidR="007118E0" w:rsidRPr="00D678CF">
        <w:rPr>
          <w:rFonts w:eastAsia="Arial" w:cs="Arial"/>
          <w:sz w:val="24"/>
          <w:szCs w:val="24"/>
        </w:rPr>
        <w:t>AWaRe</w:t>
      </w:r>
      <w:proofErr w:type="spellEnd"/>
      <w:r w:rsidR="007118E0" w:rsidRPr="00D678CF">
        <w:rPr>
          <w:rFonts w:eastAsia="Arial" w:cs="Arial"/>
          <w:sz w:val="24"/>
          <w:szCs w:val="24"/>
        </w:rPr>
        <w:t xml:space="preserve"> Book. As a result of these deficits, there is uncertainty about the resilience </w:t>
      </w:r>
      <w:r w:rsidR="00894211" w:rsidRPr="00D678CF">
        <w:rPr>
          <w:rFonts w:eastAsia="Arial" w:cs="Arial"/>
          <w:sz w:val="24"/>
          <w:szCs w:val="24"/>
        </w:rPr>
        <w:t xml:space="preserve">of the recommended treatment regimens </w:t>
      </w:r>
      <w:r w:rsidR="007118E0" w:rsidRPr="00D678CF">
        <w:rPr>
          <w:rFonts w:eastAsia="Arial" w:cs="Arial"/>
          <w:sz w:val="24"/>
          <w:szCs w:val="24"/>
        </w:rPr>
        <w:t xml:space="preserve">in minimising AMR emergence. </w:t>
      </w:r>
    </w:p>
    <w:p w14:paraId="28658D77" w14:textId="33663DF7" w:rsidR="00D060A1" w:rsidRPr="00D678CF" w:rsidRDefault="007118E0" w:rsidP="00D678CF">
      <w:pPr>
        <w:spacing w:line="480" w:lineRule="auto"/>
        <w:jc w:val="both"/>
        <w:rPr>
          <w:rFonts w:eastAsia="Arial" w:cs="Arial"/>
          <w:sz w:val="24"/>
          <w:szCs w:val="24"/>
        </w:rPr>
      </w:pPr>
      <w:r w:rsidRPr="00D678CF">
        <w:rPr>
          <w:rFonts w:eastAsia="Arial" w:cs="Arial"/>
          <w:sz w:val="24"/>
          <w:szCs w:val="24"/>
        </w:rPr>
        <w:t>In line with the WHO Global Research Agenda for AMR,</w:t>
      </w:r>
      <w:r w:rsidR="00306752">
        <w:rPr>
          <w:rFonts w:eastAsia="Arial" w:cs="Arial"/>
          <w:sz w:val="24"/>
          <w:szCs w:val="24"/>
        </w:rPr>
        <w:fldChar w:fldCharType="begin"/>
      </w:r>
      <w:r w:rsidR="004C3B32">
        <w:rPr>
          <w:rFonts w:eastAsia="Arial" w:cs="Arial"/>
          <w:sz w:val="24"/>
          <w:szCs w:val="24"/>
        </w:rPr>
        <w:instrText xml:space="preserve"> ADDIN ZOTERO_ITEM CSL_CITATION {"citationID":"AUsWO3E2","properties":{"formattedCitation":"(138)","plainCitation":"(138)","noteIndex":0},"citationItems":[{"id":9051,"uris":["http://zotero.org/users/11114586/items/TC6E3QSF"],"itemData":{"id":9051,"type":"webpage","abstract":"Policy brief","language":"en","title":"Global research agenda for antimicrobial resistance in human health","URL":"https://www.who.int/publications/m/item/global-research-agenda-for-antimicrobial-resistance-in-human-health","accessed":{"date-parts":[["2023",8,16]]}}}],"schema":"https://github.com/citation-style-language/schema/raw/master/csl-citation.json"} </w:instrText>
      </w:r>
      <w:r w:rsidR="00306752">
        <w:rPr>
          <w:rFonts w:eastAsia="Arial" w:cs="Arial"/>
          <w:sz w:val="24"/>
          <w:szCs w:val="24"/>
        </w:rPr>
        <w:fldChar w:fldCharType="separate"/>
      </w:r>
      <w:r w:rsidR="004C3B32">
        <w:rPr>
          <w:rFonts w:cs="Arial"/>
          <w:sz w:val="24"/>
        </w:rPr>
        <w:t>(138)</w:t>
      </w:r>
      <w:r w:rsidR="00306752">
        <w:rPr>
          <w:rFonts w:eastAsia="Arial" w:cs="Arial"/>
          <w:sz w:val="24"/>
          <w:szCs w:val="24"/>
        </w:rPr>
        <w:fldChar w:fldCharType="end"/>
      </w:r>
      <w:r w:rsidRPr="00D678CF">
        <w:rPr>
          <w:rFonts w:eastAsia="Arial" w:cs="Arial"/>
          <w:sz w:val="24"/>
          <w:szCs w:val="24"/>
        </w:rPr>
        <w:t xml:space="preserve"> we propose several recommendations to enable optimisation of empirical antibiotic dosing in community settings, outlined in Panel 1. Our recommendations emphasise the need for equitable generation of regional datasets, collaborative open-access data-sharing, the development of cost-effective novel technologies, and the need for models that are representative of the breadth of human infection</w:t>
      </w:r>
      <w:r w:rsidR="00300981" w:rsidRPr="00D678CF">
        <w:rPr>
          <w:rFonts w:eastAsia="Arial" w:cs="Arial"/>
          <w:sz w:val="24"/>
          <w:szCs w:val="24"/>
        </w:rPr>
        <w:t xml:space="preserve"> and focus on AMR counter-selection</w:t>
      </w:r>
      <w:r w:rsidRPr="00D678CF">
        <w:rPr>
          <w:rFonts w:eastAsia="Arial" w:cs="Arial"/>
          <w:sz w:val="24"/>
          <w:szCs w:val="24"/>
        </w:rPr>
        <w:t>.</w:t>
      </w:r>
      <w:r w:rsidR="009A3F32" w:rsidRPr="00D678CF">
        <w:rPr>
          <w:rFonts w:eastAsia="Arial" w:cs="Arial"/>
          <w:sz w:val="24"/>
          <w:szCs w:val="24"/>
        </w:rPr>
        <w:t xml:space="preserve"> </w:t>
      </w:r>
    </w:p>
    <w:p w14:paraId="35E67DB2" w14:textId="1F3C5DE4" w:rsidR="007118E0" w:rsidRPr="00D678CF" w:rsidRDefault="009B6A07" w:rsidP="00D678CF">
      <w:pPr>
        <w:spacing w:line="480" w:lineRule="auto"/>
        <w:jc w:val="both"/>
        <w:rPr>
          <w:rFonts w:eastAsia="Arial" w:cs="Arial"/>
          <w:sz w:val="24"/>
          <w:szCs w:val="24"/>
        </w:rPr>
      </w:pPr>
      <w:r w:rsidRPr="00D678CF">
        <w:rPr>
          <w:rFonts w:eastAsia="Arial" w:cs="Arial"/>
          <w:sz w:val="24"/>
          <w:szCs w:val="24"/>
        </w:rPr>
        <w:t>A total of only 1</w:t>
      </w:r>
      <w:r w:rsidR="1D5259C9" w:rsidRPr="00D678CF">
        <w:rPr>
          <w:rFonts w:eastAsia="Arial" w:cs="Arial"/>
          <w:sz w:val="24"/>
          <w:szCs w:val="24"/>
        </w:rPr>
        <w:t>2</w:t>
      </w:r>
      <w:r w:rsidR="0C9C5E09" w:rsidRPr="00D678CF">
        <w:rPr>
          <w:rFonts w:eastAsia="Arial" w:cs="Arial"/>
          <w:sz w:val="24"/>
          <w:szCs w:val="24"/>
        </w:rPr>
        <w:t xml:space="preserve"> oral</w:t>
      </w:r>
      <w:r w:rsidRPr="00D678CF">
        <w:rPr>
          <w:rFonts w:eastAsia="Arial" w:cs="Arial"/>
          <w:sz w:val="24"/>
          <w:szCs w:val="24"/>
        </w:rPr>
        <w:t xml:space="preserve"> antibiotics are being recommended to treat the most common infection presentations in community settings, </w:t>
      </w:r>
      <w:r w:rsidR="7AD9C0DB" w:rsidRPr="00D678CF">
        <w:rPr>
          <w:rFonts w:eastAsia="Arial" w:cs="Arial"/>
          <w:sz w:val="24"/>
          <w:szCs w:val="24"/>
        </w:rPr>
        <w:t xml:space="preserve">where most antibiotics are </w:t>
      </w:r>
      <w:r w:rsidR="00614013" w:rsidRPr="00D678CF">
        <w:rPr>
          <w:rFonts w:eastAsia="Arial" w:cs="Arial"/>
          <w:sz w:val="24"/>
          <w:szCs w:val="24"/>
        </w:rPr>
        <w:t>administered</w:t>
      </w:r>
      <w:r w:rsidR="7AD9C0DB" w:rsidRPr="00D678CF">
        <w:rPr>
          <w:rFonts w:eastAsia="Arial" w:cs="Arial"/>
          <w:sz w:val="24"/>
          <w:szCs w:val="24"/>
        </w:rPr>
        <w:t>. T</w:t>
      </w:r>
      <w:r w:rsidR="22BF9272" w:rsidRPr="00D678CF">
        <w:rPr>
          <w:rFonts w:eastAsia="Arial" w:cs="Arial"/>
          <w:sz w:val="24"/>
          <w:szCs w:val="24"/>
        </w:rPr>
        <w:t xml:space="preserve">hese </w:t>
      </w:r>
      <w:r w:rsidR="79BECB4F" w:rsidRPr="00D678CF">
        <w:rPr>
          <w:rFonts w:eastAsia="Arial" w:cs="Arial"/>
          <w:sz w:val="24"/>
          <w:szCs w:val="24"/>
        </w:rPr>
        <w:t xml:space="preserve">antibiotics </w:t>
      </w:r>
      <w:r w:rsidR="22BF9272" w:rsidRPr="00D678CF">
        <w:rPr>
          <w:rFonts w:eastAsia="Arial" w:cs="Arial"/>
          <w:sz w:val="24"/>
          <w:szCs w:val="24"/>
        </w:rPr>
        <w:t>are</w:t>
      </w:r>
      <w:r w:rsidR="00163367" w:rsidRPr="00D678CF">
        <w:rPr>
          <w:rFonts w:eastAsia="Arial" w:cs="Arial"/>
          <w:sz w:val="24"/>
          <w:szCs w:val="24"/>
        </w:rPr>
        <w:t xml:space="preserve"> </w:t>
      </w:r>
      <w:r w:rsidR="00CA03A3" w:rsidRPr="00D678CF">
        <w:rPr>
          <w:rFonts w:eastAsia="Arial" w:cs="Arial"/>
          <w:sz w:val="24"/>
          <w:szCs w:val="24"/>
        </w:rPr>
        <w:t>older generic agents that are</w:t>
      </w:r>
      <w:r w:rsidRPr="00D678CF">
        <w:rPr>
          <w:rFonts w:eastAsia="Arial" w:cs="Arial"/>
          <w:sz w:val="24"/>
          <w:szCs w:val="24"/>
        </w:rPr>
        <w:t xml:space="preserve"> already widely </w:t>
      </w:r>
      <w:r w:rsidR="3F3E535C" w:rsidRPr="00D678CF">
        <w:rPr>
          <w:rFonts w:eastAsia="Arial" w:cs="Arial"/>
          <w:sz w:val="24"/>
          <w:szCs w:val="24"/>
        </w:rPr>
        <w:t xml:space="preserve">recommended </w:t>
      </w:r>
      <w:r w:rsidR="3CEB979B" w:rsidRPr="00D678CF">
        <w:rPr>
          <w:rFonts w:eastAsia="Arial" w:cs="Arial"/>
          <w:sz w:val="24"/>
          <w:szCs w:val="24"/>
        </w:rPr>
        <w:t>by multiple international agencies with billions of courses</w:t>
      </w:r>
      <w:r w:rsidR="3F3E535C" w:rsidRPr="00D678CF">
        <w:rPr>
          <w:rFonts w:eastAsia="Arial" w:cs="Arial"/>
          <w:sz w:val="24"/>
          <w:szCs w:val="24"/>
        </w:rPr>
        <w:t xml:space="preserve"> used</w:t>
      </w:r>
      <w:r w:rsidR="00882BB7" w:rsidRPr="00D678CF">
        <w:rPr>
          <w:rFonts w:eastAsia="Arial" w:cs="Arial"/>
          <w:sz w:val="24"/>
          <w:szCs w:val="24"/>
        </w:rPr>
        <w:t xml:space="preserve"> </w:t>
      </w:r>
      <w:r w:rsidR="4832E92B" w:rsidRPr="00D678CF">
        <w:rPr>
          <w:rFonts w:eastAsia="Arial" w:cs="Arial"/>
          <w:sz w:val="24"/>
          <w:szCs w:val="24"/>
        </w:rPr>
        <w:t xml:space="preserve">annually </w:t>
      </w:r>
      <w:r w:rsidR="2F7DB8B1" w:rsidRPr="00D678CF">
        <w:rPr>
          <w:rFonts w:eastAsia="Arial" w:cs="Arial"/>
          <w:sz w:val="24"/>
          <w:szCs w:val="24"/>
        </w:rPr>
        <w:t>despite inadequate</w:t>
      </w:r>
      <w:r w:rsidR="00882BB7" w:rsidRPr="00D678CF">
        <w:rPr>
          <w:rFonts w:eastAsia="Arial" w:cs="Arial"/>
          <w:sz w:val="24"/>
          <w:szCs w:val="24"/>
        </w:rPr>
        <w:t xml:space="preserve"> data </w:t>
      </w:r>
      <w:r w:rsidR="1E921329" w:rsidRPr="00D678CF">
        <w:rPr>
          <w:rFonts w:eastAsia="Arial" w:cs="Arial"/>
          <w:sz w:val="24"/>
          <w:szCs w:val="24"/>
        </w:rPr>
        <w:t xml:space="preserve">to </w:t>
      </w:r>
      <w:r w:rsidR="0CCBB07A" w:rsidRPr="00D678CF">
        <w:rPr>
          <w:rFonts w:eastAsia="Arial" w:cs="Arial"/>
          <w:sz w:val="24"/>
          <w:szCs w:val="24"/>
        </w:rPr>
        <w:t>underpin their</w:t>
      </w:r>
      <w:r w:rsidR="008A40F8" w:rsidRPr="00D678CF">
        <w:rPr>
          <w:rFonts w:eastAsia="Arial" w:cs="Arial"/>
          <w:sz w:val="24"/>
          <w:szCs w:val="24"/>
        </w:rPr>
        <w:t xml:space="preserve"> optimal dosing.</w:t>
      </w:r>
      <w:r w:rsidR="007E4FEE" w:rsidRPr="00D678CF">
        <w:rPr>
          <w:rFonts w:eastAsia="Arial" w:cs="Arial"/>
          <w:sz w:val="24"/>
          <w:szCs w:val="24"/>
        </w:rPr>
        <w:t xml:space="preserve"> </w:t>
      </w:r>
      <w:r w:rsidR="57AA7447" w:rsidRPr="00D678CF">
        <w:rPr>
          <w:rFonts w:eastAsia="Arial" w:cs="Arial"/>
          <w:sz w:val="24"/>
          <w:szCs w:val="24"/>
        </w:rPr>
        <w:t>For some of these agents,</w:t>
      </w:r>
      <w:r w:rsidR="65B1D720" w:rsidRPr="00D678CF">
        <w:rPr>
          <w:rFonts w:eastAsia="Arial" w:cs="Arial"/>
          <w:sz w:val="24"/>
          <w:szCs w:val="24"/>
        </w:rPr>
        <w:t xml:space="preserve"> there is no data </w:t>
      </w:r>
      <w:r w:rsidR="002E3765" w:rsidRPr="00D678CF">
        <w:rPr>
          <w:rFonts w:eastAsia="Arial" w:cs="Arial"/>
          <w:sz w:val="24"/>
          <w:szCs w:val="24"/>
        </w:rPr>
        <w:t>on which</w:t>
      </w:r>
      <w:r w:rsidR="65B1D720" w:rsidRPr="00D678CF">
        <w:rPr>
          <w:rFonts w:eastAsia="Arial" w:cs="Arial"/>
          <w:sz w:val="24"/>
          <w:szCs w:val="24"/>
        </w:rPr>
        <w:t xml:space="preserve"> to base regimen planning.</w:t>
      </w:r>
      <w:r w:rsidR="57AA7447" w:rsidRPr="00D678CF">
        <w:rPr>
          <w:rFonts w:eastAsia="Arial" w:cs="Arial"/>
          <w:sz w:val="24"/>
          <w:szCs w:val="24"/>
        </w:rPr>
        <w:t xml:space="preserve"> </w:t>
      </w:r>
      <w:r w:rsidR="00D060A1">
        <w:rPr>
          <w:rFonts w:eastAsia="Arial" w:cs="Arial"/>
          <w:sz w:val="24"/>
          <w:szCs w:val="24"/>
        </w:rPr>
        <w:t xml:space="preserve">Many of these essential, well-established antibiotics are </w:t>
      </w:r>
      <w:r w:rsidR="00D060A1">
        <w:rPr>
          <w:rFonts w:eastAsia="Arial" w:cs="Arial"/>
          <w:sz w:val="24"/>
          <w:szCs w:val="24"/>
        </w:rPr>
        <w:lastRenderedPageBreak/>
        <w:t xml:space="preserve">administered at current commonly used doses due to existing labels and literature that characterise their safety. </w:t>
      </w:r>
      <w:r w:rsidR="00AD6FB0">
        <w:rPr>
          <w:rFonts w:eastAsia="Arial" w:cs="Arial"/>
          <w:sz w:val="24"/>
          <w:szCs w:val="24"/>
        </w:rPr>
        <w:t>An o</w:t>
      </w:r>
      <w:r w:rsidR="00D060A1">
        <w:rPr>
          <w:rFonts w:eastAsia="Arial" w:cs="Arial"/>
          <w:sz w:val="24"/>
          <w:szCs w:val="24"/>
        </w:rPr>
        <w:t xml:space="preserve">verhaul of existing formulations may be neither feasible nor cost-effective on a global scale and may indeed hinder access to essential antibiotics. However, there remains disagreement within international guidance on the </w:t>
      </w:r>
      <w:r w:rsidR="00AD6FB0">
        <w:rPr>
          <w:rFonts w:eastAsia="Arial" w:cs="Arial"/>
          <w:sz w:val="24"/>
          <w:szCs w:val="24"/>
        </w:rPr>
        <w:t>regimens</w:t>
      </w:r>
      <w:r w:rsidR="00D060A1">
        <w:rPr>
          <w:rFonts w:eastAsia="Arial" w:cs="Arial"/>
          <w:sz w:val="24"/>
          <w:szCs w:val="24"/>
        </w:rPr>
        <w:t xml:space="preserve"> of existing </w:t>
      </w:r>
      <w:r w:rsidR="00AD6FB0">
        <w:rPr>
          <w:rFonts w:eastAsia="Arial" w:cs="Arial"/>
          <w:sz w:val="24"/>
          <w:szCs w:val="24"/>
        </w:rPr>
        <w:t>agents/</w:t>
      </w:r>
      <w:r w:rsidR="00D060A1">
        <w:rPr>
          <w:rFonts w:eastAsia="Arial" w:cs="Arial"/>
          <w:sz w:val="24"/>
          <w:szCs w:val="24"/>
        </w:rPr>
        <w:t xml:space="preserve">formulations required for the treatment of the most common community infections, e.g. community acquired pneumonia. </w:t>
      </w:r>
      <w:r w:rsidR="007E4FEE" w:rsidRPr="00D678CF">
        <w:rPr>
          <w:rFonts w:eastAsia="Arial" w:cs="Arial"/>
          <w:sz w:val="24"/>
          <w:szCs w:val="24"/>
        </w:rPr>
        <w:t>With</w:t>
      </w:r>
      <w:r w:rsidR="007137F9" w:rsidRPr="00D678CF">
        <w:rPr>
          <w:rFonts w:eastAsia="Arial" w:cs="Arial"/>
          <w:sz w:val="24"/>
          <w:szCs w:val="24"/>
        </w:rPr>
        <w:t xml:space="preserve"> very few</w:t>
      </w:r>
      <w:r w:rsidR="00C31DA5" w:rsidRPr="00D678CF">
        <w:rPr>
          <w:rFonts w:eastAsia="Arial" w:cs="Arial"/>
          <w:sz w:val="24"/>
          <w:szCs w:val="24"/>
        </w:rPr>
        <w:t xml:space="preserve"> </w:t>
      </w:r>
      <w:r w:rsidR="007E4FEE" w:rsidRPr="00D678CF">
        <w:rPr>
          <w:rFonts w:eastAsia="Arial" w:cs="Arial"/>
          <w:sz w:val="24"/>
          <w:szCs w:val="24"/>
        </w:rPr>
        <w:t xml:space="preserve">novel oral antibiotics in </w:t>
      </w:r>
      <w:r w:rsidR="797FF6C5" w:rsidRPr="00D678CF">
        <w:rPr>
          <w:rFonts w:eastAsia="Arial" w:cs="Arial"/>
          <w:sz w:val="24"/>
          <w:szCs w:val="24"/>
        </w:rPr>
        <w:t>development</w:t>
      </w:r>
      <w:r w:rsidR="007E4FEE" w:rsidRPr="00D678CF">
        <w:rPr>
          <w:rFonts w:eastAsia="Arial" w:cs="Arial"/>
          <w:sz w:val="24"/>
          <w:szCs w:val="24"/>
        </w:rPr>
        <w:t xml:space="preserve">, it is </w:t>
      </w:r>
      <w:r w:rsidR="5590A896" w:rsidRPr="00D678CF">
        <w:rPr>
          <w:rFonts w:eastAsia="Arial" w:cs="Arial"/>
          <w:sz w:val="24"/>
          <w:szCs w:val="24"/>
        </w:rPr>
        <w:t>critical that</w:t>
      </w:r>
      <w:r w:rsidR="007E4FEE" w:rsidRPr="00D678CF">
        <w:rPr>
          <w:rFonts w:eastAsia="Arial" w:cs="Arial"/>
          <w:sz w:val="24"/>
          <w:szCs w:val="24"/>
        </w:rPr>
        <w:t xml:space="preserve"> the use of </w:t>
      </w:r>
      <w:r w:rsidR="62464870" w:rsidRPr="00D678CF">
        <w:rPr>
          <w:rFonts w:eastAsia="Arial" w:cs="Arial"/>
          <w:sz w:val="24"/>
          <w:szCs w:val="24"/>
        </w:rPr>
        <w:t>existing</w:t>
      </w:r>
      <w:r w:rsidR="007E4FEE" w:rsidRPr="00D678CF">
        <w:rPr>
          <w:rFonts w:eastAsia="Arial" w:cs="Arial"/>
          <w:sz w:val="24"/>
          <w:szCs w:val="24"/>
        </w:rPr>
        <w:t xml:space="preserve"> key </w:t>
      </w:r>
      <w:r w:rsidR="797FF6C5" w:rsidRPr="00D678CF">
        <w:rPr>
          <w:rFonts w:eastAsia="Arial" w:cs="Arial"/>
          <w:sz w:val="24"/>
          <w:szCs w:val="24"/>
        </w:rPr>
        <w:t>a</w:t>
      </w:r>
      <w:r w:rsidR="2F9D7E02" w:rsidRPr="00D678CF">
        <w:rPr>
          <w:rFonts w:eastAsia="Arial" w:cs="Arial"/>
          <w:sz w:val="24"/>
          <w:szCs w:val="24"/>
        </w:rPr>
        <w:t>ntibiotics</w:t>
      </w:r>
      <w:r w:rsidR="007E4FEE" w:rsidRPr="00D678CF">
        <w:rPr>
          <w:rFonts w:eastAsia="Arial" w:cs="Arial"/>
          <w:sz w:val="24"/>
          <w:szCs w:val="24"/>
        </w:rPr>
        <w:t xml:space="preserve"> is optimised, to ensure </w:t>
      </w:r>
      <w:r w:rsidR="1C2F5BEA" w:rsidRPr="00D678CF">
        <w:rPr>
          <w:rFonts w:eastAsia="Arial" w:cs="Arial"/>
          <w:sz w:val="24"/>
          <w:szCs w:val="24"/>
        </w:rPr>
        <w:t xml:space="preserve">evidence-based </w:t>
      </w:r>
      <w:r w:rsidR="028CF0EF" w:rsidRPr="00D678CF">
        <w:rPr>
          <w:rFonts w:eastAsia="Arial" w:cs="Arial"/>
          <w:sz w:val="24"/>
          <w:szCs w:val="24"/>
        </w:rPr>
        <w:t xml:space="preserve">dosing regimens </w:t>
      </w:r>
      <w:r w:rsidR="00752BC4" w:rsidRPr="00D678CF">
        <w:rPr>
          <w:rFonts w:eastAsia="Arial" w:cs="Arial"/>
          <w:sz w:val="24"/>
          <w:szCs w:val="24"/>
        </w:rPr>
        <w:t xml:space="preserve">that </w:t>
      </w:r>
      <w:r w:rsidR="66A642FB" w:rsidRPr="00D678CF">
        <w:rPr>
          <w:rFonts w:eastAsia="Arial" w:cs="Arial"/>
          <w:sz w:val="24"/>
          <w:szCs w:val="24"/>
        </w:rPr>
        <w:t>optimise clinical</w:t>
      </w:r>
      <w:r w:rsidR="007E4FEE" w:rsidRPr="00D678CF">
        <w:rPr>
          <w:rFonts w:eastAsia="Arial" w:cs="Arial"/>
          <w:sz w:val="24"/>
          <w:szCs w:val="24"/>
        </w:rPr>
        <w:t xml:space="preserve"> efficacy in the context of AMR, </w:t>
      </w:r>
      <w:r w:rsidR="6AEDA833" w:rsidRPr="00D678CF">
        <w:rPr>
          <w:rFonts w:eastAsia="Arial" w:cs="Arial"/>
          <w:sz w:val="24"/>
          <w:szCs w:val="24"/>
        </w:rPr>
        <w:t xml:space="preserve">reduce the selection </w:t>
      </w:r>
      <w:r w:rsidR="74F23A43" w:rsidRPr="00D678CF">
        <w:rPr>
          <w:rFonts w:eastAsia="Arial" w:cs="Arial"/>
          <w:sz w:val="24"/>
          <w:szCs w:val="24"/>
        </w:rPr>
        <w:t>of resistance</w:t>
      </w:r>
      <w:r w:rsidR="7E15A8D7" w:rsidRPr="00D678CF">
        <w:rPr>
          <w:rFonts w:eastAsia="Arial" w:cs="Arial"/>
          <w:sz w:val="24"/>
          <w:szCs w:val="24"/>
        </w:rPr>
        <w:t xml:space="preserve"> and</w:t>
      </w:r>
      <w:r w:rsidR="00696D72" w:rsidRPr="00D678CF">
        <w:rPr>
          <w:rFonts w:eastAsia="Arial" w:cs="Arial"/>
          <w:sz w:val="24"/>
          <w:szCs w:val="24"/>
        </w:rPr>
        <w:t xml:space="preserve"> </w:t>
      </w:r>
      <w:r w:rsidR="003B5305" w:rsidRPr="00D678CF">
        <w:rPr>
          <w:rFonts w:eastAsia="Arial" w:cs="Arial"/>
          <w:sz w:val="24"/>
          <w:szCs w:val="24"/>
        </w:rPr>
        <w:t xml:space="preserve">minimise </w:t>
      </w:r>
      <w:r w:rsidR="00696D72" w:rsidRPr="00D678CF">
        <w:rPr>
          <w:rFonts w:eastAsia="Arial" w:cs="Arial"/>
          <w:sz w:val="24"/>
          <w:szCs w:val="24"/>
        </w:rPr>
        <w:t>toxicity.</w:t>
      </w:r>
      <w:r w:rsidR="030620DC" w:rsidRPr="00D678CF">
        <w:rPr>
          <w:rFonts w:eastAsia="Arial" w:cs="Arial"/>
          <w:sz w:val="24"/>
          <w:szCs w:val="24"/>
        </w:rPr>
        <w:t xml:space="preserve"> </w:t>
      </w:r>
    </w:p>
    <w:p w14:paraId="551CEDBA" w14:textId="19F2AF56" w:rsidR="00702DD6" w:rsidRDefault="007118E0" w:rsidP="007118E0">
      <w:pPr>
        <w:spacing w:line="480" w:lineRule="auto"/>
        <w:jc w:val="both"/>
        <w:rPr>
          <w:rFonts w:eastAsia="Arial" w:cs="Arial"/>
          <w:b/>
          <w:bCs/>
          <w:sz w:val="18"/>
          <w:szCs w:val="18"/>
        </w:rPr>
      </w:pPr>
      <w:r w:rsidRPr="48996C7C">
        <w:rPr>
          <w:rFonts w:eastAsia="Arial" w:cs="Arial"/>
        </w:rPr>
        <w:t xml:space="preserve"> </w:t>
      </w:r>
      <w:r w:rsidR="00787B18">
        <w:rPr>
          <w:rFonts w:eastAsia="Arial" w:cs="Arial"/>
          <w:noProof/>
          <w14:ligatures w14:val="standardContextual"/>
        </w:rPr>
        <mc:AlternateContent>
          <mc:Choice Requires="wps">
            <w:drawing>
              <wp:inline distT="0" distB="0" distL="0" distR="0" wp14:anchorId="6F93CC89" wp14:editId="0A249A55">
                <wp:extent cx="5661660" cy="4831080"/>
                <wp:effectExtent l="0" t="0" r="15240" b="7620"/>
                <wp:docPr id="2065076788" name="Rectangle 2065076788"/>
                <wp:cNvGraphicFramePr/>
                <a:graphic xmlns:a="http://schemas.openxmlformats.org/drawingml/2006/main">
                  <a:graphicData uri="http://schemas.microsoft.com/office/word/2010/wordprocessingShape">
                    <wps:wsp>
                      <wps:cNvSpPr/>
                      <wps:spPr>
                        <a:xfrm>
                          <a:off x="0" y="0"/>
                          <a:ext cx="5661660" cy="4831080"/>
                        </a:xfrm>
                        <a:prstGeom prst="rect">
                          <a:avLst/>
                        </a:prstGeom>
                        <a:solidFill>
                          <a:schemeClr val="accent6">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5747E28" w14:textId="77777777" w:rsidR="00787B18" w:rsidRPr="005F20D7" w:rsidRDefault="00787B18" w:rsidP="00787B18">
                            <w:pPr>
                              <w:rPr>
                                <w:b/>
                                <w:color w:val="000000" w:themeColor="text1"/>
                                <w:sz w:val="18"/>
                                <w:szCs w:val="18"/>
                              </w:rPr>
                            </w:pPr>
                            <w:r w:rsidRPr="005F20D7">
                              <w:rPr>
                                <w:b/>
                                <w:color w:val="000000" w:themeColor="text1"/>
                                <w:sz w:val="18"/>
                                <w:szCs w:val="18"/>
                              </w:rPr>
                              <w:t>Challenge 1: Lack of diversity and underrepresentation of PHC and LMICs in datasets</w:t>
                            </w:r>
                          </w:p>
                          <w:p w14:paraId="51188CC3" w14:textId="38BAE376" w:rsidR="00787B18" w:rsidRPr="005F20D7" w:rsidRDefault="00836872" w:rsidP="00787B18">
                            <w:pPr>
                              <w:rPr>
                                <w:b/>
                                <w:color w:val="000000" w:themeColor="text1"/>
                                <w:sz w:val="18"/>
                                <w:szCs w:val="18"/>
                              </w:rPr>
                            </w:pPr>
                            <w:r w:rsidRPr="005F20D7">
                              <w:rPr>
                                <w:b/>
                                <w:bCs/>
                                <w:color w:val="000000" w:themeColor="text1"/>
                                <w:sz w:val="18"/>
                                <w:szCs w:val="18"/>
                              </w:rPr>
                              <w:t>Possible Solutions</w:t>
                            </w:r>
                            <w:r w:rsidR="00787B18" w:rsidRPr="005F20D7">
                              <w:rPr>
                                <w:b/>
                                <w:bCs/>
                                <w:color w:val="000000" w:themeColor="text1"/>
                                <w:sz w:val="18"/>
                                <w:szCs w:val="18"/>
                              </w:rPr>
                              <w:t>:</w:t>
                            </w:r>
                          </w:p>
                          <w:p w14:paraId="35DCF293" w14:textId="1560AEEB" w:rsidR="00787B18" w:rsidRPr="005F20D7" w:rsidRDefault="00787B18" w:rsidP="00EE2C23">
                            <w:pPr>
                              <w:pStyle w:val="ListParagraph"/>
                              <w:numPr>
                                <w:ilvl w:val="0"/>
                                <w:numId w:val="9"/>
                              </w:numPr>
                              <w:rPr>
                                <w:color w:val="000000" w:themeColor="text1"/>
                                <w:sz w:val="18"/>
                                <w:szCs w:val="18"/>
                              </w:rPr>
                            </w:pPr>
                            <w:r w:rsidRPr="005F20D7">
                              <w:rPr>
                                <w:color w:val="000000" w:themeColor="text1"/>
                                <w:sz w:val="18"/>
                                <w:szCs w:val="18"/>
                              </w:rPr>
                              <w:t xml:space="preserve">Development of novel methodologies for PopPK sampling and MIC determination that limit costs, reduce the need for personnel and laboratory infrastructure, </w:t>
                            </w:r>
                            <w:r w:rsidR="001612EF">
                              <w:rPr>
                                <w:color w:val="000000" w:themeColor="text1"/>
                                <w:sz w:val="18"/>
                                <w:szCs w:val="18"/>
                              </w:rPr>
                              <w:t xml:space="preserve">and </w:t>
                            </w:r>
                            <w:r w:rsidRPr="005F20D7">
                              <w:rPr>
                                <w:color w:val="000000" w:themeColor="text1"/>
                                <w:sz w:val="18"/>
                                <w:szCs w:val="18"/>
                              </w:rPr>
                              <w:t xml:space="preserve">allow for </w:t>
                            </w:r>
                            <w:r w:rsidR="001612EF">
                              <w:rPr>
                                <w:color w:val="000000" w:themeColor="text1"/>
                                <w:sz w:val="18"/>
                                <w:szCs w:val="18"/>
                              </w:rPr>
                              <w:t xml:space="preserve">the </w:t>
                            </w:r>
                            <w:r w:rsidR="00743DEE">
                              <w:rPr>
                                <w:color w:val="000000" w:themeColor="text1"/>
                                <w:sz w:val="18"/>
                                <w:szCs w:val="18"/>
                              </w:rPr>
                              <w:t>accep</w:t>
                            </w:r>
                            <w:r w:rsidR="00795C99">
                              <w:rPr>
                                <w:color w:val="000000" w:themeColor="text1"/>
                                <w:sz w:val="18"/>
                                <w:szCs w:val="18"/>
                              </w:rPr>
                              <w:t>tability of sampling across diverse populations</w:t>
                            </w:r>
                            <w:r w:rsidR="001612EF">
                              <w:rPr>
                                <w:color w:val="000000" w:themeColor="text1"/>
                                <w:sz w:val="18"/>
                                <w:szCs w:val="18"/>
                              </w:rPr>
                              <w:t>.</w:t>
                            </w:r>
                          </w:p>
                          <w:p w14:paraId="7852D428" w14:textId="7DBA06E2" w:rsidR="00787B18" w:rsidRPr="005F20D7" w:rsidRDefault="00787B18" w:rsidP="00EE2C23">
                            <w:pPr>
                              <w:pStyle w:val="ListParagraph"/>
                              <w:numPr>
                                <w:ilvl w:val="0"/>
                                <w:numId w:val="9"/>
                              </w:numPr>
                              <w:rPr>
                                <w:color w:val="000000" w:themeColor="text1"/>
                                <w:sz w:val="18"/>
                                <w:szCs w:val="18"/>
                              </w:rPr>
                            </w:pPr>
                            <w:r w:rsidRPr="005F20D7">
                              <w:rPr>
                                <w:color w:val="000000" w:themeColor="text1"/>
                                <w:sz w:val="18"/>
                                <w:szCs w:val="18"/>
                              </w:rPr>
                              <w:t xml:space="preserve">Encourage data pooling through the generation of open-access repositories of PopPK and MIC data, with reporting of raw data and their sources. </w:t>
                            </w:r>
                          </w:p>
                          <w:p w14:paraId="1CA1EBCF" w14:textId="77777777" w:rsidR="00787B18" w:rsidRPr="005F20D7" w:rsidRDefault="00787B18" w:rsidP="00787B18">
                            <w:pPr>
                              <w:rPr>
                                <w:b/>
                                <w:color w:val="000000" w:themeColor="text1"/>
                                <w:sz w:val="18"/>
                                <w:szCs w:val="18"/>
                              </w:rPr>
                            </w:pPr>
                            <w:r w:rsidRPr="005F20D7">
                              <w:rPr>
                                <w:b/>
                                <w:color w:val="000000" w:themeColor="text1"/>
                                <w:sz w:val="18"/>
                                <w:szCs w:val="18"/>
                              </w:rPr>
                              <w:t>Challenge 2: Inadequate model systems for PHC infection</w:t>
                            </w:r>
                          </w:p>
                          <w:p w14:paraId="0AE01F9F" w14:textId="6A4F4A28" w:rsidR="00787B18" w:rsidRPr="005F20D7" w:rsidRDefault="002C6333" w:rsidP="00787B18">
                            <w:pPr>
                              <w:rPr>
                                <w:b/>
                                <w:color w:val="000000" w:themeColor="text1"/>
                                <w:sz w:val="18"/>
                                <w:szCs w:val="18"/>
                              </w:rPr>
                            </w:pPr>
                            <w:r w:rsidRPr="005F20D7">
                              <w:rPr>
                                <w:b/>
                                <w:bCs/>
                                <w:color w:val="000000" w:themeColor="text1"/>
                                <w:sz w:val="18"/>
                                <w:szCs w:val="18"/>
                              </w:rPr>
                              <w:t>Possible Solutions</w:t>
                            </w:r>
                            <w:r w:rsidR="00787B18" w:rsidRPr="005F20D7">
                              <w:rPr>
                                <w:b/>
                                <w:bCs/>
                                <w:color w:val="000000" w:themeColor="text1"/>
                                <w:sz w:val="18"/>
                                <w:szCs w:val="18"/>
                              </w:rPr>
                              <w:t>:</w:t>
                            </w:r>
                          </w:p>
                          <w:p w14:paraId="5329CBCF" w14:textId="43D7A111" w:rsidR="00787B18" w:rsidRPr="005F20D7" w:rsidRDefault="00787B18" w:rsidP="001F3483">
                            <w:pPr>
                              <w:pStyle w:val="ListParagraph"/>
                              <w:numPr>
                                <w:ilvl w:val="0"/>
                                <w:numId w:val="10"/>
                              </w:numPr>
                              <w:rPr>
                                <w:color w:val="000000" w:themeColor="text1"/>
                                <w:sz w:val="18"/>
                                <w:szCs w:val="18"/>
                              </w:rPr>
                            </w:pPr>
                            <w:r w:rsidRPr="005F20D7">
                              <w:rPr>
                                <w:color w:val="000000" w:themeColor="text1"/>
                                <w:sz w:val="18"/>
                                <w:szCs w:val="18"/>
                              </w:rPr>
                              <w:t xml:space="preserve">Development of </w:t>
                            </w:r>
                            <w:r w:rsidR="00667586">
                              <w:rPr>
                                <w:color w:val="000000" w:themeColor="text1"/>
                                <w:sz w:val="18"/>
                                <w:szCs w:val="18"/>
                              </w:rPr>
                              <w:t xml:space="preserve">laboratory </w:t>
                            </w:r>
                            <w:r w:rsidRPr="005F20D7">
                              <w:rPr>
                                <w:color w:val="000000" w:themeColor="text1"/>
                                <w:sz w:val="18"/>
                                <w:szCs w:val="18"/>
                              </w:rPr>
                              <w:t xml:space="preserve">animal infection models </w:t>
                            </w:r>
                            <w:r w:rsidR="00B05EC3">
                              <w:rPr>
                                <w:color w:val="000000" w:themeColor="text1"/>
                                <w:sz w:val="18"/>
                                <w:szCs w:val="18"/>
                              </w:rPr>
                              <w:t>that are relevant to PHC diseases</w:t>
                            </w:r>
                            <w:r w:rsidRPr="005F20D7">
                              <w:rPr>
                                <w:color w:val="000000" w:themeColor="text1"/>
                                <w:sz w:val="18"/>
                                <w:szCs w:val="18"/>
                              </w:rPr>
                              <w:t xml:space="preserve"> (e.g., upper respiratory tract) to allow generation of site-</w:t>
                            </w:r>
                            <w:r w:rsidR="00B05EC3">
                              <w:rPr>
                                <w:color w:val="000000" w:themeColor="text1"/>
                                <w:sz w:val="18"/>
                                <w:szCs w:val="18"/>
                              </w:rPr>
                              <w:t xml:space="preserve">and disease </w:t>
                            </w:r>
                            <w:r w:rsidRPr="005F20D7">
                              <w:rPr>
                                <w:color w:val="000000" w:themeColor="text1"/>
                                <w:sz w:val="18"/>
                                <w:szCs w:val="18"/>
                              </w:rPr>
                              <w:t>specific pharmacodynamic targets</w:t>
                            </w:r>
                            <w:r w:rsidR="00442005" w:rsidRPr="005F20D7">
                              <w:rPr>
                                <w:color w:val="000000" w:themeColor="text1"/>
                                <w:sz w:val="18"/>
                                <w:szCs w:val="18"/>
                              </w:rPr>
                              <w:t>.</w:t>
                            </w:r>
                          </w:p>
                          <w:p w14:paraId="057CB51F" w14:textId="5072056A" w:rsidR="00787B18" w:rsidRPr="005F20D7" w:rsidRDefault="00787B18" w:rsidP="001F3483">
                            <w:pPr>
                              <w:pStyle w:val="ListParagraph"/>
                              <w:numPr>
                                <w:ilvl w:val="0"/>
                                <w:numId w:val="10"/>
                              </w:numPr>
                              <w:rPr>
                                <w:color w:val="000000" w:themeColor="text1"/>
                                <w:sz w:val="18"/>
                                <w:szCs w:val="18"/>
                              </w:rPr>
                            </w:pPr>
                            <w:r w:rsidRPr="005F20D7">
                              <w:rPr>
                                <w:color w:val="000000" w:themeColor="text1"/>
                                <w:sz w:val="18"/>
                                <w:szCs w:val="18"/>
                              </w:rPr>
                              <w:t xml:space="preserve">Development of novel techniques to investigate antibiotic distribution in key PHC infection anatomical sites in </w:t>
                            </w:r>
                            <w:r w:rsidR="00B05EC3">
                              <w:rPr>
                                <w:color w:val="000000" w:themeColor="text1"/>
                                <w:sz w:val="18"/>
                                <w:szCs w:val="18"/>
                              </w:rPr>
                              <w:t xml:space="preserve">laboratory </w:t>
                            </w:r>
                            <w:r w:rsidRPr="005F20D7">
                              <w:rPr>
                                <w:color w:val="000000" w:themeColor="text1"/>
                                <w:sz w:val="18"/>
                                <w:szCs w:val="18"/>
                              </w:rPr>
                              <w:t xml:space="preserve">animal models and clinical studies, and to facilitate PopPK sampling from </w:t>
                            </w:r>
                            <w:r w:rsidR="00B2710D">
                              <w:rPr>
                                <w:color w:val="000000" w:themeColor="text1"/>
                                <w:sz w:val="18"/>
                                <w:szCs w:val="18"/>
                              </w:rPr>
                              <w:t>effect sites</w:t>
                            </w:r>
                            <w:r w:rsidR="00442005" w:rsidRPr="005F20D7">
                              <w:rPr>
                                <w:color w:val="000000" w:themeColor="text1"/>
                                <w:sz w:val="18"/>
                                <w:szCs w:val="18"/>
                              </w:rPr>
                              <w:t>.</w:t>
                            </w:r>
                          </w:p>
                          <w:p w14:paraId="1C3D0F7A" w14:textId="62C904E1" w:rsidR="00787B18" w:rsidRPr="005F20D7" w:rsidRDefault="00787B18" w:rsidP="001F3483">
                            <w:pPr>
                              <w:pStyle w:val="ListParagraph"/>
                              <w:numPr>
                                <w:ilvl w:val="0"/>
                                <w:numId w:val="10"/>
                              </w:numPr>
                              <w:rPr>
                                <w:color w:val="000000" w:themeColor="text1"/>
                                <w:sz w:val="18"/>
                                <w:szCs w:val="18"/>
                              </w:rPr>
                            </w:pPr>
                            <w:r w:rsidRPr="005F20D7">
                              <w:rPr>
                                <w:color w:val="000000" w:themeColor="text1"/>
                                <w:sz w:val="18"/>
                                <w:szCs w:val="18"/>
                              </w:rPr>
                              <w:t xml:space="preserve">Encourage the use of in </w:t>
                            </w:r>
                            <w:r w:rsidR="00B2710D" w:rsidRPr="005F20D7">
                              <w:rPr>
                                <w:color w:val="000000" w:themeColor="text1"/>
                                <w:sz w:val="18"/>
                                <w:szCs w:val="18"/>
                              </w:rPr>
                              <w:t>silic</w:t>
                            </w:r>
                            <w:r w:rsidR="00B2710D">
                              <w:rPr>
                                <w:color w:val="000000" w:themeColor="text1"/>
                                <w:sz w:val="18"/>
                                <w:szCs w:val="18"/>
                              </w:rPr>
                              <w:t>o</w:t>
                            </w:r>
                            <w:r w:rsidR="00B2710D" w:rsidRPr="005F20D7">
                              <w:rPr>
                                <w:color w:val="000000" w:themeColor="text1"/>
                                <w:sz w:val="18"/>
                                <w:szCs w:val="18"/>
                              </w:rPr>
                              <w:t xml:space="preserve"> </w:t>
                            </w:r>
                            <w:r w:rsidRPr="005F20D7">
                              <w:rPr>
                                <w:color w:val="000000" w:themeColor="text1"/>
                                <w:sz w:val="18"/>
                                <w:szCs w:val="18"/>
                              </w:rPr>
                              <w:t xml:space="preserve">technologies that can help </w:t>
                            </w:r>
                            <w:r w:rsidR="00152C1B">
                              <w:rPr>
                                <w:color w:val="000000" w:themeColor="text1"/>
                                <w:sz w:val="18"/>
                                <w:szCs w:val="18"/>
                              </w:rPr>
                              <w:t>model</w:t>
                            </w:r>
                            <w:r w:rsidR="00152C1B" w:rsidRPr="005F20D7">
                              <w:rPr>
                                <w:color w:val="000000" w:themeColor="text1"/>
                                <w:sz w:val="18"/>
                                <w:szCs w:val="18"/>
                              </w:rPr>
                              <w:t xml:space="preserve"> </w:t>
                            </w:r>
                            <w:r w:rsidRPr="005F20D7">
                              <w:rPr>
                                <w:color w:val="000000" w:themeColor="text1"/>
                                <w:sz w:val="18"/>
                                <w:szCs w:val="18"/>
                              </w:rPr>
                              <w:t xml:space="preserve">spatial PK, </w:t>
                            </w:r>
                            <w:r w:rsidR="00152C1B">
                              <w:rPr>
                                <w:color w:val="000000" w:themeColor="text1"/>
                                <w:sz w:val="18"/>
                                <w:szCs w:val="18"/>
                              </w:rPr>
                              <w:t>sequence of mutational events</w:t>
                            </w:r>
                            <w:r w:rsidR="00B2710D">
                              <w:rPr>
                                <w:color w:val="000000" w:themeColor="text1"/>
                                <w:sz w:val="18"/>
                                <w:szCs w:val="18"/>
                              </w:rPr>
                              <w:t xml:space="preserve"> </w:t>
                            </w:r>
                            <w:r w:rsidR="00152C1B">
                              <w:rPr>
                                <w:color w:val="000000" w:themeColor="text1"/>
                                <w:sz w:val="18"/>
                                <w:szCs w:val="18"/>
                              </w:rPr>
                              <w:t>and other dynamic phenomena</w:t>
                            </w:r>
                            <w:r w:rsidR="00442005" w:rsidRPr="005F20D7">
                              <w:rPr>
                                <w:color w:val="000000" w:themeColor="text1"/>
                                <w:sz w:val="18"/>
                                <w:szCs w:val="18"/>
                              </w:rPr>
                              <w:t>.</w:t>
                            </w:r>
                          </w:p>
                          <w:p w14:paraId="6D876B0C" w14:textId="12EF5F2C" w:rsidR="00787B18" w:rsidRPr="005F20D7" w:rsidRDefault="00787B18" w:rsidP="00787B18">
                            <w:pPr>
                              <w:rPr>
                                <w:b/>
                                <w:color w:val="000000" w:themeColor="text1"/>
                                <w:sz w:val="18"/>
                                <w:szCs w:val="18"/>
                              </w:rPr>
                            </w:pPr>
                            <w:r w:rsidRPr="005F20D7">
                              <w:rPr>
                                <w:b/>
                                <w:color w:val="000000" w:themeColor="text1"/>
                                <w:sz w:val="18"/>
                                <w:szCs w:val="18"/>
                              </w:rPr>
                              <w:t xml:space="preserve">Challenge 3: Current antibiotic dosing regimens rarely </w:t>
                            </w:r>
                            <w:r w:rsidR="00FD4FE5">
                              <w:rPr>
                                <w:b/>
                                <w:color w:val="000000" w:themeColor="text1"/>
                                <w:sz w:val="18"/>
                                <w:szCs w:val="18"/>
                              </w:rPr>
                              <w:t>include</w:t>
                            </w:r>
                            <w:r w:rsidR="000A0CEC">
                              <w:rPr>
                                <w:b/>
                                <w:color w:val="000000" w:themeColor="text1"/>
                                <w:sz w:val="18"/>
                                <w:szCs w:val="18"/>
                              </w:rPr>
                              <w:t xml:space="preserve"> strategies to mitigate the development</w:t>
                            </w:r>
                            <w:r w:rsidR="00B52AE8">
                              <w:rPr>
                                <w:b/>
                                <w:color w:val="000000" w:themeColor="text1"/>
                                <w:sz w:val="18"/>
                                <w:szCs w:val="18"/>
                              </w:rPr>
                              <w:t xml:space="preserve"> of future AMR associated with their use</w:t>
                            </w:r>
                          </w:p>
                          <w:p w14:paraId="7F22A03E" w14:textId="0630E188" w:rsidR="00787B18" w:rsidRPr="005F20D7" w:rsidRDefault="002C6333" w:rsidP="00787B18">
                            <w:pPr>
                              <w:rPr>
                                <w:b/>
                                <w:color w:val="000000" w:themeColor="text1"/>
                                <w:sz w:val="18"/>
                                <w:szCs w:val="18"/>
                              </w:rPr>
                            </w:pPr>
                            <w:r w:rsidRPr="005F20D7">
                              <w:rPr>
                                <w:b/>
                                <w:bCs/>
                                <w:color w:val="000000" w:themeColor="text1"/>
                                <w:sz w:val="18"/>
                                <w:szCs w:val="18"/>
                              </w:rPr>
                              <w:t>Possible Solutions</w:t>
                            </w:r>
                            <w:r w:rsidR="00787B18" w:rsidRPr="005F20D7">
                              <w:rPr>
                                <w:b/>
                                <w:bCs/>
                                <w:color w:val="000000" w:themeColor="text1"/>
                                <w:sz w:val="18"/>
                                <w:szCs w:val="18"/>
                              </w:rPr>
                              <w:t>:</w:t>
                            </w:r>
                          </w:p>
                          <w:p w14:paraId="6E6A7883" w14:textId="5AA915ED" w:rsidR="00787B18" w:rsidRPr="005F20D7" w:rsidRDefault="00152C1B" w:rsidP="001F3483">
                            <w:pPr>
                              <w:pStyle w:val="ListParagraph"/>
                              <w:numPr>
                                <w:ilvl w:val="0"/>
                                <w:numId w:val="11"/>
                              </w:numPr>
                              <w:rPr>
                                <w:color w:val="000000" w:themeColor="text1"/>
                                <w:sz w:val="18"/>
                                <w:szCs w:val="18"/>
                              </w:rPr>
                            </w:pPr>
                            <w:r>
                              <w:rPr>
                                <w:color w:val="000000" w:themeColor="text1"/>
                                <w:sz w:val="18"/>
                                <w:szCs w:val="18"/>
                              </w:rPr>
                              <w:t>Pharmacodynamic analyses</w:t>
                            </w:r>
                            <w:r w:rsidR="00787B18" w:rsidRPr="005F20D7">
                              <w:rPr>
                                <w:color w:val="000000" w:themeColor="text1"/>
                                <w:sz w:val="18"/>
                                <w:szCs w:val="18"/>
                              </w:rPr>
                              <w:t xml:space="preserve"> of older generic AWaRe agents, their resistance </w:t>
                            </w:r>
                            <w:r>
                              <w:rPr>
                                <w:color w:val="000000" w:themeColor="text1"/>
                                <w:sz w:val="18"/>
                                <w:szCs w:val="18"/>
                              </w:rPr>
                              <w:t>liabilities</w:t>
                            </w:r>
                            <w:r w:rsidR="00787B18" w:rsidRPr="005F20D7">
                              <w:rPr>
                                <w:color w:val="000000" w:themeColor="text1"/>
                                <w:sz w:val="18"/>
                                <w:szCs w:val="18"/>
                              </w:rPr>
                              <w:t xml:space="preserve">, and the dose and scheduling strategies required to subvert </w:t>
                            </w:r>
                            <w:r w:rsidR="00AF0FB3" w:rsidRPr="005F20D7">
                              <w:rPr>
                                <w:color w:val="000000" w:themeColor="text1"/>
                                <w:sz w:val="18"/>
                                <w:szCs w:val="18"/>
                              </w:rPr>
                              <w:t>these</w:t>
                            </w:r>
                            <w:r>
                              <w:rPr>
                                <w:color w:val="000000" w:themeColor="text1"/>
                                <w:sz w:val="18"/>
                                <w:szCs w:val="18"/>
                              </w:rPr>
                              <w:t xml:space="preserve"> processes</w:t>
                            </w:r>
                            <w:r w:rsidR="00442005" w:rsidRPr="005F20D7">
                              <w:rPr>
                                <w:color w:val="000000" w:themeColor="text1"/>
                                <w:sz w:val="18"/>
                                <w:szCs w:val="18"/>
                              </w:rPr>
                              <w:t>.</w:t>
                            </w:r>
                          </w:p>
                          <w:p w14:paraId="059E1B86" w14:textId="26ADA590" w:rsidR="00787B18" w:rsidRPr="005F20D7" w:rsidRDefault="00787B18" w:rsidP="001F3483">
                            <w:pPr>
                              <w:pStyle w:val="ListParagraph"/>
                              <w:numPr>
                                <w:ilvl w:val="0"/>
                                <w:numId w:val="11"/>
                              </w:numPr>
                              <w:rPr>
                                <w:color w:val="000000" w:themeColor="text1"/>
                                <w:sz w:val="18"/>
                                <w:szCs w:val="18"/>
                              </w:rPr>
                            </w:pPr>
                            <w:r w:rsidRPr="005F20D7">
                              <w:rPr>
                                <w:color w:val="000000" w:themeColor="text1"/>
                                <w:sz w:val="18"/>
                                <w:szCs w:val="18"/>
                              </w:rPr>
                              <w:t>Exploration of the role of combination Access antibiotics in both counter-selecting for AMR and adequately treating emerging AMR over the course of clinical infection</w:t>
                            </w:r>
                            <w:r w:rsidR="00AF0FB3" w:rsidRPr="005F20D7">
                              <w:rPr>
                                <w:color w:val="000000" w:themeColor="text1"/>
                                <w:sz w:val="18"/>
                                <w:szCs w:val="18"/>
                              </w:rPr>
                              <w:t>.</w:t>
                            </w:r>
                            <w:r w:rsidRPr="005F20D7">
                              <w:rPr>
                                <w:color w:val="000000" w:themeColor="text1"/>
                                <w:sz w:val="18"/>
                                <w:szCs w:val="18"/>
                              </w:rPr>
                              <w:t xml:space="preserve">  </w:t>
                            </w:r>
                          </w:p>
                          <w:p w14:paraId="1D92A6BE" w14:textId="23BAFDAA" w:rsidR="00787B18" w:rsidRDefault="00787B18" w:rsidP="001F3483">
                            <w:pPr>
                              <w:pStyle w:val="ListParagraph"/>
                              <w:numPr>
                                <w:ilvl w:val="0"/>
                                <w:numId w:val="11"/>
                              </w:numPr>
                              <w:rPr>
                                <w:color w:val="000000" w:themeColor="text1"/>
                                <w:sz w:val="18"/>
                                <w:szCs w:val="18"/>
                              </w:rPr>
                            </w:pPr>
                            <w:r w:rsidRPr="005F20D7">
                              <w:rPr>
                                <w:color w:val="000000" w:themeColor="text1"/>
                                <w:sz w:val="18"/>
                                <w:szCs w:val="18"/>
                              </w:rPr>
                              <w:t xml:space="preserve">Encourage clinical studies </w:t>
                            </w:r>
                            <w:r w:rsidR="00152C1B">
                              <w:rPr>
                                <w:color w:val="000000" w:themeColor="text1"/>
                                <w:sz w:val="18"/>
                                <w:szCs w:val="18"/>
                              </w:rPr>
                              <w:t>that</w:t>
                            </w:r>
                            <w:r w:rsidR="00152C1B" w:rsidRPr="005F20D7">
                              <w:rPr>
                                <w:color w:val="000000" w:themeColor="text1"/>
                                <w:sz w:val="18"/>
                                <w:szCs w:val="18"/>
                              </w:rPr>
                              <w:t xml:space="preserve"> </w:t>
                            </w:r>
                            <w:r w:rsidRPr="005F20D7">
                              <w:rPr>
                                <w:color w:val="000000" w:themeColor="text1"/>
                                <w:sz w:val="18"/>
                                <w:szCs w:val="18"/>
                              </w:rPr>
                              <w:t xml:space="preserve">can better correlate pharmacodynamic targets with AMR emergence in </w:t>
                            </w:r>
                            <w:r w:rsidR="00AF0FB3" w:rsidRPr="005F20D7">
                              <w:rPr>
                                <w:color w:val="000000" w:themeColor="text1"/>
                                <w:sz w:val="18"/>
                                <w:szCs w:val="18"/>
                              </w:rPr>
                              <w:t>patients.</w:t>
                            </w:r>
                          </w:p>
                          <w:p w14:paraId="45D308BE" w14:textId="46E45EED" w:rsidR="00D060A1" w:rsidRPr="005F20D7" w:rsidRDefault="00D060A1" w:rsidP="001F3483">
                            <w:pPr>
                              <w:pStyle w:val="ListParagraph"/>
                              <w:numPr>
                                <w:ilvl w:val="0"/>
                                <w:numId w:val="11"/>
                              </w:numPr>
                              <w:rPr>
                                <w:color w:val="000000" w:themeColor="text1"/>
                                <w:sz w:val="18"/>
                                <w:szCs w:val="18"/>
                              </w:rPr>
                            </w:pPr>
                            <w:r>
                              <w:rPr>
                                <w:color w:val="000000" w:themeColor="text1"/>
                                <w:sz w:val="18"/>
                                <w:szCs w:val="18"/>
                              </w:rPr>
                              <w:t xml:space="preserve">Optimise drug delivery strategies to allow improved antibiotic exposures at the relevant infection site, that can </w:t>
                            </w:r>
                            <w:r w:rsidR="001C4EFC">
                              <w:rPr>
                                <w:color w:val="000000" w:themeColor="text1"/>
                                <w:sz w:val="18"/>
                                <w:szCs w:val="18"/>
                              </w:rPr>
                              <w:t>be assessed according</w:t>
                            </w:r>
                            <w:r>
                              <w:rPr>
                                <w:color w:val="000000" w:themeColor="text1"/>
                                <w:sz w:val="18"/>
                                <w:szCs w:val="18"/>
                              </w:rPr>
                              <w:t xml:space="preserve"> to improved understanding of site-specific PK-PD.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93CC89" id="Rectangle 2065076788" o:spid="_x0000_s1026" style="width:445.8pt;height:38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" fillcolor="#e2efd9 [665]" strokecolor="#09101d [484]" strokeweight="1pt">
                <v:textbox>
                  <w:txbxContent>
                    <w:p w14:paraId="35747E28" w14:textId="77777777" w:rsidR="00787B18" w:rsidRPr="005F20D7" w:rsidRDefault="00787B18" w:rsidP="00787B18">
                      <w:pPr>
                        <w:rPr>
                          <w:b/>
                          <w:color w:val="000000" w:themeColor="text1"/>
                          <w:sz w:val="18"/>
                          <w:szCs w:val="18"/>
                        </w:rPr>
                      </w:pPr>
                      <w:r w:rsidRPr="005F20D7">
                        <w:rPr>
                          <w:b/>
                          <w:color w:val="000000" w:themeColor="text1"/>
                          <w:sz w:val="18"/>
                          <w:szCs w:val="18"/>
                        </w:rPr>
                        <w:t>Challenge 1: Lack of diversity and underrepresentation of PHC and LMICs in datasets</w:t>
                      </w:r>
                    </w:p>
                    <w:p w14:paraId="51188CC3" w14:textId="38BAE376" w:rsidR="00787B18" w:rsidRPr="005F20D7" w:rsidRDefault="00836872" w:rsidP="00787B18">
                      <w:pPr>
                        <w:rPr>
                          <w:b/>
                          <w:color w:val="000000" w:themeColor="text1"/>
                          <w:sz w:val="18"/>
                          <w:szCs w:val="18"/>
                        </w:rPr>
                      </w:pPr>
                      <w:r w:rsidRPr="005F20D7">
                        <w:rPr>
                          <w:b/>
                          <w:bCs/>
                          <w:color w:val="000000" w:themeColor="text1"/>
                          <w:sz w:val="18"/>
                          <w:szCs w:val="18"/>
                        </w:rPr>
                        <w:t>Possible Solutions</w:t>
                      </w:r>
                      <w:r w:rsidR="00787B18" w:rsidRPr="005F20D7">
                        <w:rPr>
                          <w:b/>
                          <w:bCs/>
                          <w:color w:val="000000" w:themeColor="text1"/>
                          <w:sz w:val="18"/>
                          <w:szCs w:val="18"/>
                        </w:rPr>
                        <w:t>:</w:t>
                      </w:r>
                    </w:p>
                    <w:p w14:paraId="35DCF293" w14:textId="1560AEEB" w:rsidR="00787B18" w:rsidRPr="005F20D7" w:rsidRDefault="00787B18" w:rsidP="00EE2C23">
                      <w:pPr>
                        <w:pStyle w:val="ListParagraph"/>
                        <w:numPr>
                          <w:ilvl w:val="0"/>
                          <w:numId w:val="9"/>
                        </w:numPr>
                        <w:rPr>
                          <w:color w:val="000000" w:themeColor="text1"/>
                          <w:sz w:val="18"/>
                          <w:szCs w:val="18"/>
                        </w:rPr>
                      </w:pPr>
                      <w:r w:rsidRPr="005F20D7">
                        <w:rPr>
                          <w:color w:val="000000" w:themeColor="text1"/>
                          <w:sz w:val="18"/>
                          <w:szCs w:val="18"/>
                        </w:rPr>
                        <w:t xml:space="preserve">Development of novel methodologies for PopPK sampling and MIC determination that limit costs, reduce the need for personnel and laboratory infrastructure, </w:t>
                      </w:r>
                      <w:r w:rsidR="001612EF">
                        <w:rPr>
                          <w:color w:val="000000" w:themeColor="text1"/>
                          <w:sz w:val="18"/>
                          <w:szCs w:val="18"/>
                        </w:rPr>
                        <w:t xml:space="preserve">and </w:t>
                      </w:r>
                      <w:r w:rsidRPr="005F20D7">
                        <w:rPr>
                          <w:color w:val="000000" w:themeColor="text1"/>
                          <w:sz w:val="18"/>
                          <w:szCs w:val="18"/>
                        </w:rPr>
                        <w:t xml:space="preserve">allow for </w:t>
                      </w:r>
                      <w:r w:rsidR="001612EF">
                        <w:rPr>
                          <w:color w:val="000000" w:themeColor="text1"/>
                          <w:sz w:val="18"/>
                          <w:szCs w:val="18"/>
                        </w:rPr>
                        <w:t xml:space="preserve">the </w:t>
                      </w:r>
                      <w:r w:rsidR="00743DEE">
                        <w:rPr>
                          <w:color w:val="000000" w:themeColor="text1"/>
                          <w:sz w:val="18"/>
                          <w:szCs w:val="18"/>
                        </w:rPr>
                        <w:t>accep</w:t>
                      </w:r>
                      <w:r w:rsidR="00795C99">
                        <w:rPr>
                          <w:color w:val="000000" w:themeColor="text1"/>
                          <w:sz w:val="18"/>
                          <w:szCs w:val="18"/>
                        </w:rPr>
                        <w:t>tability of sampling across diverse populations</w:t>
                      </w:r>
                      <w:r w:rsidR="001612EF">
                        <w:rPr>
                          <w:color w:val="000000" w:themeColor="text1"/>
                          <w:sz w:val="18"/>
                          <w:szCs w:val="18"/>
                        </w:rPr>
                        <w:t>.</w:t>
                      </w:r>
                    </w:p>
                    <w:p w14:paraId="7852D428" w14:textId="7DBA06E2" w:rsidR="00787B18" w:rsidRPr="005F20D7" w:rsidRDefault="00787B18" w:rsidP="00EE2C23">
                      <w:pPr>
                        <w:pStyle w:val="ListParagraph"/>
                        <w:numPr>
                          <w:ilvl w:val="0"/>
                          <w:numId w:val="9"/>
                        </w:numPr>
                        <w:rPr>
                          <w:color w:val="000000" w:themeColor="text1"/>
                          <w:sz w:val="18"/>
                          <w:szCs w:val="18"/>
                        </w:rPr>
                      </w:pPr>
                      <w:r w:rsidRPr="005F20D7">
                        <w:rPr>
                          <w:color w:val="000000" w:themeColor="text1"/>
                          <w:sz w:val="18"/>
                          <w:szCs w:val="18"/>
                        </w:rPr>
                        <w:t xml:space="preserve">Encourage data pooling through the generation of open-access repositories of PopPK and MIC data, with reporting of raw data and their sources. </w:t>
                      </w:r>
                    </w:p>
                    <w:p w14:paraId="1CA1EBCF" w14:textId="77777777" w:rsidR="00787B18" w:rsidRPr="005F20D7" w:rsidRDefault="00787B18" w:rsidP="00787B18">
                      <w:pPr>
                        <w:rPr>
                          <w:b/>
                          <w:color w:val="000000" w:themeColor="text1"/>
                          <w:sz w:val="18"/>
                          <w:szCs w:val="18"/>
                        </w:rPr>
                      </w:pPr>
                      <w:r w:rsidRPr="005F20D7">
                        <w:rPr>
                          <w:b/>
                          <w:color w:val="000000" w:themeColor="text1"/>
                          <w:sz w:val="18"/>
                          <w:szCs w:val="18"/>
                        </w:rPr>
                        <w:t>Challenge 2: Inadequate model systems for PHC infection</w:t>
                      </w:r>
                    </w:p>
                    <w:p w14:paraId="0AE01F9F" w14:textId="6A4F4A28" w:rsidR="00787B18" w:rsidRPr="005F20D7" w:rsidRDefault="002C6333" w:rsidP="00787B18">
                      <w:pPr>
                        <w:rPr>
                          <w:b/>
                          <w:color w:val="000000" w:themeColor="text1"/>
                          <w:sz w:val="18"/>
                          <w:szCs w:val="18"/>
                        </w:rPr>
                      </w:pPr>
                      <w:r w:rsidRPr="005F20D7">
                        <w:rPr>
                          <w:b/>
                          <w:bCs/>
                          <w:color w:val="000000" w:themeColor="text1"/>
                          <w:sz w:val="18"/>
                          <w:szCs w:val="18"/>
                        </w:rPr>
                        <w:t>Possible Solutions</w:t>
                      </w:r>
                      <w:r w:rsidR="00787B18" w:rsidRPr="005F20D7">
                        <w:rPr>
                          <w:b/>
                          <w:bCs/>
                          <w:color w:val="000000" w:themeColor="text1"/>
                          <w:sz w:val="18"/>
                          <w:szCs w:val="18"/>
                        </w:rPr>
                        <w:t>:</w:t>
                      </w:r>
                    </w:p>
                    <w:p w14:paraId="5329CBCF" w14:textId="43D7A111" w:rsidR="00787B18" w:rsidRPr="005F20D7" w:rsidRDefault="00787B18" w:rsidP="001F3483">
                      <w:pPr>
                        <w:pStyle w:val="ListParagraph"/>
                        <w:numPr>
                          <w:ilvl w:val="0"/>
                          <w:numId w:val="10"/>
                        </w:numPr>
                        <w:rPr>
                          <w:color w:val="000000" w:themeColor="text1"/>
                          <w:sz w:val="18"/>
                          <w:szCs w:val="18"/>
                        </w:rPr>
                      </w:pPr>
                      <w:r w:rsidRPr="005F20D7">
                        <w:rPr>
                          <w:color w:val="000000" w:themeColor="text1"/>
                          <w:sz w:val="18"/>
                          <w:szCs w:val="18"/>
                        </w:rPr>
                        <w:t xml:space="preserve">Development of </w:t>
                      </w:r>
                      <w:r w:rsidR="00667586">
                        <w:rPr>
                          <w:color w:val="000000" w:themeColor="text1"/>
                          <w:sz w:val="18"/>
                          <w:szCs w:val="18"/>
                        </w:rPr>
                        <w:t xml:space="preserve">laboratory </w:t>
                      </w:r>
                      <w:r w:rsidRPr="005F20D7">
                        <w:rPr>
                          <w:color w:val="000000" w:themeColor="text1"/>
                          <w:sz w:val="18"/>
                          <w:szCs w:val="18"/>
                        </w:rPr>
                        <w:t xml:space="preserve">animal infection models </w:t>
                      </w:r>
                      <w:r w:rsidR="00B05EC3">
                        <w:rPr>
                          <w:color w:val="000000" w:themeColor="text1"/>
                          <w:sz w:val="18"/>
                          <w:szCs w:val="18"/>
                        </w:rPr>
                        <w:t>that are relevant to PHC diseases</w:t>
                      </w:r>
                      <w:r w:rsidRPr="005F20D7">
                        <w:rPr>
                          <w:color w:val="000000" w:themeColor="text1"/>
                          <w:sz w:val="18"/>
                          <w:szCs w:val="18"/>
                        </w:rPr>
                        <w:t xml:space="preserve"> (e.g., upper respiratory tract) to allow generation of site-</w:t>
                      </w:r>
                      <w:r w:rsidR="00B05EC3">
                        <w:rPr>
                          <w:color w:val="000000" w:themeColor="text1"/>
                          <w:sz w:val="18"/>
                          <w:szCs w:val="18"/>
                        </w:rPr>
                        <w:t xml:space="preserve">and disease </w:t>
                      </w:r>
                      <w:r w:rsidRPr="005F20D7">
                        <w:rPr>
                          <w:color w:val="000000" w:themeColor="text1"/>
                          <w:sz w:val="18"/>
                          <w:szCs w:val="18"/>
                        </w:rPr>
                        <w:t>specific pharmacodynamic targets</w:t>
                      </w:r>
                      <w:r w:rsidR="00442005" w:rsidRPr="005F20D7">
                        <w:rPr>
                          <w:color w:val="000000" w:themeColor="text1"/>
                          <w:sz w:val="18"/>
                          <w:szCs w:val="18"/>
                        </w:rPr>
                        <w:t>.</w:t>
                      </w:r>
                    </w:p>
                    <w:p w14:paraId="057CB51F" w14:textId="5072056A" w:rsidR="00787B18" w:rsidRPr="005F20D7" w:rsidRDefault="00787B18" w:rsidP="001F3483">
                      <w:pPr>
                        <w:pStyle w:val="ListParagraph"/>
                        <w:numPr>
                          <w:ilvl w:val="0"/>
                          <w:numId w:val="10"/>
                        </w:numPr>
                        <w:rPr>
                          <w:color w:val="000000" w:themeColor="text1"/>
                          <w:sz w:val="18"/>
                          <w:szCs w:val="18"/>
                        </w:rPr>
                      </w:pPr>
                      <w:r w:rsidRPr="005F20D7">
                        <w:rPr>
                          <w:color w:val="000000" w:themeColor="text1"/>
                          <w:sz w:val="18"/>
                          <w:szCs w:val="18"/>
                        </w:rPr>
                        <w:t xml:space="preserve">Development of novel techniques to investigate antibiotic distribution in key PHC infection anatomical sites in </w:t>
                      </w:r>
                      <w:r w:rsidR="00B05EC3">
                        <w:rPr>
                          <w:color w:val="000000" w:themeColor="text1"/>
                          <w:sz w:val="18"/>
                          <w:szCs w:val="18"/>
                        </w:rPr>
                        <w:t xml:space="preserve">laboratory </w:t>
                      </w:r>
                      <w:r w:rsidRPr="005F20D7">
                        <w:rPr>
                          <w:color w:val="000000" w:themeColor="text1"/>
                          <w:sz w:val="18"/>
                          <w:szCs w:val="18"/>
                        </w:rPr>
                        <w:t xml:space="preserve">animal models and clinical studies, and to facilitate PopPK sampling from </w:t>
                      </w:r>
                      <w:r w:rsidR="00B2710D">
                        <w:rPr>
                          <w:color w:val="000000" w:themeColor="text1"/>
                          <w:sz w:val="18"/>
                          <w:szCs w:val="18"/>
                        </w:rPr>
                        <w:t>effect sites</w:t>
                      </w:r>
                      <w:r w:rsidR="00442005" w:rsidRPr="005F20D7">
                        <w:rPr>
                          <w:color w:val="000000" w:themeColor="text1"/>
                          <w:sz w:val="18"/>
                          <w:szCs w:val="18"/>
                        </w:rPr>
                        <w:t>.</w:t>
                      </w:r>
                    </w:p>
                    <w:p w14:paraId="1C3D0F7A" w14:textId="62C904E1" w:rsidR="00787B18" w:rsidRPr="005F20D7" w:rsidRDefault="00787B18" w:rsidP="001F3483">
                      <w:pPr>
                        <w:pStyle w:val="ListParagraph"/>
                        <w:numPr>
                          <w:ilvl w:val="0"/>
                          <w:numId w:val="10"/>
                        </w:numPr>
                        <w:rPr>
                          <w:color w:val="000000" w:themeColor="text1"/>
                          <w:sz w:val="18"/>
                          <w:szCs w:val="18"/>
                        </w:rPr>
                      </w:pPr>
                      <w:r w:rsidRPr="005F20D7">
                        <w:rPr>
                          <w:color w:val="000000" w:themeColor="text1"/>
                          <w:sz w:val="18"/>
                          <w:szCs w:val="18"/>
                        </w:rPr>
                        <w:t xml:space="preserve">Encourage the use of in </w:t>
                      </w:r>
                      <w:r w:rsidR="00B2710D" w:rsidRPr="005F20D7">
                        <w:rPr>
                          <w:color w:val="000000" w:themeColor="text1"/>
                          <w:sz w:val="18"/>
                          <w:szCs w:val="18"/>
                        </w:rPr>
                        <w:t>silic</w:t>
                      </w:r>
                      <w:r w:rsidR="00B2710D">
                        <w:rPr>
                          <w:color w:val="000000" w:themeColor="text1"/>
                          <w:sz w:val="18"/>
                          <w:szCs w:val="18"/>
                        </w:rPr>
                        <w:t>o</w:t>
                      </w:r>
                      <w:r w:rsidR="00B2710D" w:rsidRPr="005F20D7">
                        <w:rPr>
                          <w:color w:val="000000" w:themeColor="text1"/>
                          <w:sz w:val="18"/>
                          <w:szCs w:val="18"/>
                        </w:rPr>
                        <w:t xml:space="preserve"> </w:t>
                      </w:r>
                      <w:r w:rsidRPr="005F20D7">
                        <w:rPr>
                          <w:color w:val="000000" w:themeColor="text1"/>
                          <w:sz w:val="18"/>
                          <w:szCs w:val="18"/>
                        </w:rPr>
                        <w:t xml:space="preserve">technologies that can help </w:t>
                      </w:r>
                      <w:r w:rsidR="00152C1B">
                        <w:rPr>
                          <w:color w:val="000000" w:themeColor="text1"/>
                          <w:sz w:val="18"/>
                          <w:szCs w:val="18"/>
                        </w:rPr>
                        <w:t>model</w:t>
                      </w:r>
                      <w:r w:rsidR="00152C1B" w:rsidRPr="005F20D7">
                        <w:rPr>
                          <w:color w:val="000000" w:themeColor="text1"/>
                          <w:sz w:val="18"/>
                          <w:szCs w:val="18"/>
                        </w:rPr>
                        <w:t xml:space="preserve"> </w:t>
                      </w:r>
                      <w:r w:rsidRPr="005F20D7">
                        <w:rPr>
                          <w:color w:val="000000" w:themeColor="text1"/>
                          <w:sz w:val="18"/>
                          <w:szCs w:val="18"/>
                        </w:rPr>
                        <w:t xml:space="preserve">spatial PK, </w:t>
                      </w:r>
                      <w:r w:rsidR="00152C1B">
                        <w:rPr>
                          <w:color w:val="000000" w:themeColor="text1"/>
                          <w:sz w:val="18"/>
                          <w:szCs w:val="18"/>
                        </w:rPr>
                        <w:t>sequence of mutational events</w:t>
                      </w:r>
                      <w:r w:rsidR="00B2710D">
                        <w:rPr>
                          <w:color w:val="000000" w:themeColor="text1"/>
                          <w:sz w:val="18"/>
                          <w:szCs w:val="18"/>
                        </w:rPr>
                        <w:t xml:space="preserve"> </w:t>
                      </w:r>
                      <w:r w:rsidR="00152C1B">
                        <w:rPr>
                          <w:color w:val="000000" w:themeColor="text1"/>
                          <w:sz w:val="18"/>
                          <w:szCs w:val="18"/>
                        </w:rPr>
                        <w:t>and other dynamic phenomena</w:t>
                      </w:r>
                      <w:r w:rsidR="00442005" w:rsidRPr="005F20D7">
                        <w:rPr>
                          <w:color w:val="000000" w:themeColor="text1"/>
                          <w:sz w:val="18"/>
                          <w:szCs w:val="18"/>
                        </w:rPr>
                        <w:t>.</w:t>
                      </w:r>
                    </w:p>
                    <w:p w14:paraId="6D876B0C" w14:textId="12EF5F2C" w:rsidR="00787B18" w:rsidRPr="005F20D7" w:rsidRDefault="00787B18" w:rsidP="00787B18">
                      <w:pPr>
                        <w:rPr>
                          <w:b/>
                          <w:color w:val="000000" w:themeColor="text1"/>
                          <w:sz w:val="18"/>
                          <w:szCs w:val="18"/>
                        </w:rPr>
                      </w:pPr>
                      <w:r w:rsidRPr="005F20D7">
                        <w:rPr>
                          <w:b/>
                          <w:color w:val="000000" w:themeColor="text1"/>
                          <w:sz w:val="18"/>
                          <w:szCs w:val="18"/>
                        </w:rPr>
                        <w:t xml:space="preserve">Challenge 3: Current antibiotic dosing regimens rarely </w:t>
                      </w:r>
                      <w:r w:rsidR="00FD4FE5">
                        <w:rPr>
                          <w:b/>
                          <w:color w:val="000000" w:themeColor="text1"/>
                          <w:sz w:val="18"/>
                          <w:szCs w:val="18"/>
                        </w:rPr>
                        <w:t>include</w:t>
                      </w:r>
                      <w:r w:rsidR="000A0CEC">
                        <w:rPr>
                          <w:b/>
                          <w:color w:val="000000" w:themeColor="text1"/>
                          <w:sz w:val="18"/>
                          <w:szCs w:val="18"/>
                        </w:rPr>
                        <w:t xml:space="preserve"> strategies to mitigate the development</w:t>
                      </w:r>
                      <w:r w:rsidR="00B52AE8">
                        <w:rPr>
                          <w:b/>
                          <w:color w:val="000000" w:themeColor="text1"/>
                          <w:sz w:val="18"/>
                          <w:szCs w:val="18"/>
                        </w:rPr>
                        <w:t xml:space="preserve"> of future AMR associated with their use</w:t>
                      </w:r>
                    </w:p>
                    <w:p w14:paraId="7F22A03E" w14:textId="0630E188" w:rsidR="00787B18" w:rsidRPr="005F20D7" w:rsidRDefault="002C6333" w:rsidP="00787B18">
                      <w:pPr>
                        <w:rPr>
                          <w:b/>
                          <w:color w:val="000000" w:themeColor="text1"/>
                          <w:sz w:val="18"/>
                          <w:szCs w:val="18"/>
                        </w:rPr>
                      </w:pPr>
                      <w:r w:rsidRPr="005F20D7">
                        <w:rPr>
                          <w:b/>
                          <w:bCs/>
                          <w:color w:val="000000" w:themeColor="text1"/>
                          <w:sz w:val="18"/>
                          <w:szCs w:val="18"/>
                        </w:rPr>
                        <w:t>Possible Solutions</w:t>
                      </w:r>
                      <w:r w:rsidR="00787B18" w:rsidRPr="005F20D7">
                        <w:rPr>
                          <w:b/>
                          <w:bCs/>
                          <w:color w:val="000000" w:themeColor="text1"/>
                          <w:sz w:val="18"/>
                          <w:szCs w:val="18"/>
                        </w:rPr>
                        <w:t>:</w:t>
                      </w:r>
                    </w:p>
                    <w:p w14:paraId="6E6A7883" w14:textId="5AA915ED" w:rsidR="00787B18" w:rsidRPr="005F20D7" w:rsidRDefault="00152C1B" w:rsidP="001F3483">
                      <w:pPr>
                        <w:pStyle w:val="ListParagraph"/>
                        <w:numPr>
                          <w:ilvl w:val="0"/>
                          <w:numId w:val="11"/>
                        </w:numPr>
                        <w:rPr>
                          <w:color w:val="000000" w:themeColor="text1"/>
                          <w:sz w:val="18"/>
                          <w:szCs w:val="18"/>
                        </w:rPr>
                      </w:pPr>
                      <w:r>
                        <w:rPr>
                          <w:color w:val="000000" w:themeColor="text1"/>
                          <w:sz w:val="18"/>
                          <w:szCs w:val="18"/>
                        </w:rPr>
                        <w:t>Pharmacodynamic analyses</w:t>
                      </w:r>
                      <w:r w:rsidR="00787B18" w:rsidRPr="005F20D7">
                        <w:rPr>
                          <w:color w:val="000000" w:themeColor="text1"/>
                          <w:sz w:val="18"/>
                          <w:szCs w:val="18"/>
                        </w:rPr>
                        <w:t xml:space="preserve"> of older generic AWaRe agents, their resistance </w:t>
                      </w:r>
                      <w:r>
                        <w:rPr>
                          <w:color w:val="000000" w:themeColor="text1"/>
                          <w:sz w:val="18"/>
                          <w:szCs w:val="18"/>
                        </w:rPr>
                        <w:t>liabilities</w:t>
                      </w:r>
                      <w:r w:rsidR="00787B18" w:rsidRPr="005F20D7">
                        <w:rPr>
                          <w:color w:val="000000" w:themeColor="text1"/>
                          <w:sz w:val="18"/>
                          <w:szCs w:val="18"/>
                        </w:rPr>
                        <w:t xml:space="preserve">, and the dose and scheduling strategies required to subvert </w:t>
                      </w:r>
                      <w:r w:rsidR="00AF0FB3" w:rsidRPr="005F20D7">
                        <w:rPr>
                          <w:color w:val="000000" w:themeColor="text1"/>
                          <w:sz w:val="18"/>
                          <w:szCs w:val="18"/>
                        </w:rPr>
                        <w:t>these</w:t>
                      </w:r>
                      <w:r>
                        <w:rPr>
                          <w:color w:val="000000" w:themeColor="text1"/>
                          <w:sz w:val="18"/>
                          <w:szCs w:val="18"/>
                        </w:rPr>
                        <w:t xml:space="preserve"> processes</w:t>
                      </w:r>
                      <w:r w:rsidR="00442005" w:rsidRPr="005F20D7">
                        <w:rPr>
                          <w:color w:val="000000" w:themeColor="text1"/>
                          <w:sz w:val="18"/>
                          <w:szCs w:val="18"/>
                        </w:rPr>
                        <w:t>.</w:t>
                      </w:r>
                    </w:p>
                    <w:p w14:paraId="059E1B86" w14:textId="26ADA590" w:rsidR="00787B18" w:rsidRPr="005F20D7" w:rsidRDefault="00787B18" w:rsidP="001F3483">
                      <w:pPr>
                        <w:pStyle w:val="ListParagraph"/>
                        <w:numPr>
                          <w:ilvl w:val="0"/>
                          <w:numId w:val="11"/>
                        </w:numPr>
                        <w:rPr>
                          <w:color w:val="000000" w:themeColor="text1"/>
                          <w:sz w:val="18"/>
                          <w:szCs w:val="18"/>
                        </w:rPr>
                      </w:pPr>
                      <w:r w:rsidRPr="005F20D7">
                        <w:rPr>
                          <w:color w:val="000000" w:themeColor="text1"/>
                          <w:sz w:val="18"/>
                          <w:szCs w:val="18"/>
                        </w:rPr>
                        <w:t>Exploration of the role of combination Access antibiotics in both counter-selecting for AMR and adequately treating emerging AMR over the course of clinical infection</w:t>
                      </w:r>
                      <w:r w:rsidR="00AF0FB3" w:rsidRPr="005F20D7">
                        <w:rPr>
                          <w:color w:val="000000" w:themeColor="text1"/>
                          <w:sz w:val="18"/>
                          <w:szCs w:val="18"/>
                        </w:rPr>
                        <w:t>.</w:t>
                      </w:r>
                      <w:r w:rsidRPr="005F20D7">
                        <w:rPr>
                          <w:color w:val="000000" w:themeColor="text1"/>
                          <w:sz w:val="18"/>
                          <w:szCs w:val="18"/>
                        </w:rPr>
                        <w:t xml:space="preserve">  </w:t>
                      </w:r>
                    </w:p>
                    <w:p w14:paraId="1D92A6BE" w14:textId="23BAFDAA" w:rsidR="00787B18" w:rsidRDefault="00787B18" w:rsidP="001F3483">
                      <w:pPr>
                        <w:pStyle w:val="ListParagraph"/>
                        <w:numPr>
                          <w:ilvl w:val="0"/>
                          <w:numId w:val="11"/>
                        </w:numPr>
                        <w:rPr>
                          <w:color w:val="000000" w:themeColor="text1"/>
                          <w:sz w:val="18"/>
                          <w:szCs w:val="18"/>
                        </w:rPr>
                      </w:pPr>
                      <w:r w:rsidRPr="005F20D7">
                        <w:rPr>
                          <w:color w:val="000000" w:themeColor="text1"/>
                          <w:sz w:val="18"/>
                          <w:szCs w:val="18"/>
                        </w:rPr>
                        <w:t xml:space="preserve">Encourage clinical studies </w:t>
                      </w:r>
                      <w:r w:rsidR="00152C1B">
                        <w:rPr>
                          <w:color w:val="000000" w:themeColor="text1"/>
                          <w:sz w:val="18"/>
                          <w:szCs w:val="18"/>
                        </w:rPr>
                        <w:t>that</w:t>
                      </w:r>
                      <w:r w:rsidR="00152C1B" w:rsidRPr="005F20D7">
                        <w:rPr>
                          <w:color w:val="000000" w:themeColor="text1"/>
                          <w:sz w:val="18"/>
                          <w:szCs w:val="18"/>
                        </w:rPr>
                        <w:t xml:space="preserve"> </w:t>
                      </w:r>
                      <w:r w:rsidRPr="005F20D7">
                        <w:rPr>
                          <w:color w:val="000000" w:themeColor="text1"/>
                          <w:sz w:val="18"/>
                          <w:szCs w:val="18"/>
                        </w:rPr>
                        <w:t xml:space="preserve">can better correlate pharmacodynamic targets with AMR emergence in </w:t>
                      </w:r>
                      <w:r w:rsidR="00AF0FB3" w:rsidRPr="005F20D7">
                        <w:rPr>
                          <w:color w:val="000000" w:themeColor="text1"/>
                          <w:sz w:val="18"/>
                          <w:szCs w:val="18"/>
                        </w:rPr>
                        <w:t>patients.</w:t>
                      </w:r>
                    </w:p>
                    <w:p w14:paraId="45D308BE" w14:textId="46E45EED" w:rsidR="00D060A1" w:rsidRPr="005F20D7" w:rsidRDefault="00D060A1" w:rsidP="001F3483">
                      <w:pPr>
                        <w:pStyle w:val="ListParagraph"/>
                        <w:numPr>
                          <w:ilvl w:val="0"/>
                          <w:numId w:val="11"/>
                        </w:numPr>
                        <w:rPr>
                          <w:color w:val="000000" w:themeColor="text1"/>
                          <w:sz w:val="18"/>
                          <w:szCs w:val="18"/>
                        </w:rPr>
                      </w:pPr>
                      <w:r>
                        <w:rPr>
                          <w:color w:val="000000" w:themeColor="text1"/>
                          <w:sz w:val="18"/>
                          <w:szCs w:val="18"/>
                        </w:rPr>
                        <w:t xml:space="preserve">Optimise drug delivery strategies to allow improved antibiotic exposures at the relevant infection site, that can </w:t>
                      </w:r>
                      <w:r w:rsidR="001C4EFC">
                        <w:rPr>
                          <w:color w:val="000000" w:themeColor="text1"/>
                          <w:sz w:val="18"/>
                          <w:szCs w:val="18"/>
                        </w:rPr>
                        <w:t>be assessed according</w:t>
                      </w:r>
                      <w:r>
                        <w:rPr>
                          <w:color w:val="000000" w:themeColor="text1"/>
                          <w:sz w:val="18"/>
                          <w:szCs w:val="18"/>
                        </w:rPr>
                        <w:t xml:space="preserve"> to improved understanding of site-specific PK-PD.</w:t>
                      </w:r>
                    </w:p>
                  </w:txbxContent>
                </v:textbox>
                <w10:anchorlock/>
              </v:rect>
            </w:pict>
          </mc:Fallback>
        </mc:AlternateContent>
      </w:r>
      <w:r>
        <w:t xml:space="preserve"> </w:t>
      </w:r>
    </w:p>
    <w:p w14:paraId="4206D7C5" w14:textId="77777777" w:rsidR="00E42CC3" w:rsidRDefault="007118E0" w:rsidP="00E42CC3">
      <w:pPr>
        <w:spacing w:line="480" w:lineRule="auto"/>
        <w:jc w:val="both"/>
        <w:rPr>
          <w:rFonts w:eastAsia="Arial" w:cs="Arial"/>
          <w:i/>
          <w:iCs/>
          <w:sz w:val="24"/>
          <w:szCs w:val="24"/>
        </w:rPr>
      </w:pPr>
      <w:r w:rsidRPr="00306752">
        <w:rPr>
          <w:rFonts w:eastAsia="Arial" w:cs="Arial"/>
          <w:b/>
          <w:bCs/>
          <w:i/>
          <w:iCs/>
          <w:sz w:val="24"/>
          <w:szCs w:val="24"/>
        </w:rPr>
        <w:lastRenderedPageBreak/>
        <w:t>Panel 1.</w:t>
      </w:r>
      <w:r w:rsidRPr="00306752">
        <w:rPr>
          <w:rFonts w:eastAsia="Arial" w:cs="Arial"/>
          <w:i/>
          <w:iCs/>
          <w:sz w:val="24"/>
          <w:szCs w:val="24"/>
        </w:rPr>
        <w:t xml:space="preserve"> </w:t>
      </w:r>
      <w:r w:rsidR="7DB188D3" w:rsidRPr="00306752">
        <w:rPr>
          <w:rFonts w:eastAsia="Arial" w:cs="Arial"/>
          <w:i/>
          <w:iCs/>
          <w:sz w:val="24"/>
          <w:szCs w:val="24"/>
        </w:rPr>
        <w:t>Possible solutions</w:t>
      </w:r>
      <w:r w:rsidRPr="00306752">
        <w:rPr>
          <w:rFonts w:eastAsia="Arial" w:cs="Arial"/>
          <w:i/>
          <w:iCs/>
          <w:sz w:val="24"/>
          <w:szCs w:val="24"/>
        </w:rPr>
        <w:t xml:space="preserve"> to generate the necessary pharmacologic evidence</w:t>
      </w:r>
      <w:r w:rsidR="412C15D5" w:rsidRPr="00306752">
        <w:rPr>
          <w:rFonts w:eastAsia="Arial" w:cs="Arial"/>
          <w:i/>
          <w:iCs/>
          <w:sz w:val="24"/>
          <w:szCs w:val="24"/>
        </w:rPr>
        <w:t>-</w:t>
      </w:r>
      <w:r w:rsidRPr="00306752">
        <w:rPr>
          <w:rFonts w:eastAsia="Arial" w:cs="Arial"/>
          <w:i/>
          <w:iCs/>
          <w:sz w:val="24"/>
          <w:szCs w:val="24"/>
        </w:rPr>
        <w:t xml:space="preserve">base to implement </w:t>
      </w:r>
      <w:r w:rsidR="6312EA14" w:rsidRPr="00306752">
        <w:rPr>
          <w:rFonts w:eastAsia="Arial" w:cs="Arial"/>
          <w:i/>
          <w:iCs/>
          <w:sz w:val="24"/>
          <w:szCs w:val="24"/>
        </w:rPr>
        <w:t xml:space="preserve">more evidence based </w:t>
      </w:r>
      <w:r w:rsidRPr="00306752">
        <w:rPr>
          <w:rFonts w:eastAsia="Arial" w:cs="Arial"/>
          <w:i/>
          <w:iCs/>
          <w:sz w:val="24"/>
          <w:szCs w:val="24"/>
        </w:rPr>
        <w:t xml:space="preserve">global antibiotic </w:t>
      </w:r>
      <w:r w:rsidR="126B8BBA" w:rsidRPr="00306752">
        <w:rPr>
          <w:rFonts w:eastAsia="Arial" w:cs="Arial"/>
          <w:i/>
          <w:iCs/>
          <w:sz w:val="24"/>
          <w:szCs w:val="24"/>
        </w:rPr>
        <w:t xml:space="preserve">dosing </w:t>
      </w:r>
      <w:r w:rsidRPr="00306752">
        <w:rPr>
          <w:rFonts w:eastAsia="Arial" w:cs="Arial"/>
          <w:i/>
          <w:iCs/>
          <w:sz w:val="24"/>
          <w:szCs w:val="24"/>
        </w:rPr>
        <w:t>recommendations</w:t>
      </w:r>
      <w:r w:rsidR="1F642BF4" w:rsidRPr="00306752">
        <w:rPr>
          <w:rFonts w:eastAsia="Arial" w:cs="Arial"/>
          <w:i/>
          <w:iCs/>
          <w:sz w:val="24"/>
          <w:szCs w:val="24"/>
        </w:rPr>
        <w:t xml:space="preserve">. </w:t>
      </w:r>
    </w:p>
    <w:p w14:paraId="0D39FA53" w14:textId="52632ECA" w:rsidR="008F3261" w:rsidRPr="00E42CC3" w:rsidRDefault="008F3261" w:rsidP="00E42CC3">
      <w:pPr>
        <w:pStyle w:val="Heading1"/>
        <w:rPr>
          <w:rFonts w:eastAsia="Arial" w:cs="Times New Roman (Headings CS)"/>
          <w:i/>
          <w:iCs/>
          <w:caps/>
        </w:rPr>
      </w:pPr>
      <w:bookmarkStart w:id="21" w:name="_Toc154184998"/>
      <w:r w:rsidRPr="00E42CC3">
        <w:rPr>
          <w:rFonts w:cs="Times New Roman (Headings CS)"/>
          <w:caps/>
        </w:rPr>
        <w:t>Acknowledgements</w:t>
      </w:r>
      <w:bookmarkEnd w:id="21"/>
      <w:r w:rsidRPr="00E42CC3">
        <w:rPr>
          <w:rFonts w:cs="Times New Roman (Headings CS)"/>
          <w:caps/>
        </w:rPr>
        <w:t xml:space="preserve"> </w:t>
      </w:r>
    </w:p>
    <w:p w14:paraId="0444F183" w14:textId="77777777" w:rsidR="008F3261" w:rsidRPr="008F3261" w:rsidRDefault="008F3261" w:rsidP="008F3261">
      <w:pPr>
        <w:pStyle w:val="NormalWeb"/>
        <w:spacing w:line="480" w:lineRule="auto"/>
        <w:jc w:val="both"/>
        <w:rPr>
          <w:rFonts w:ascii="Arial" w:hAnsi="Arial" w:cs="Arial"/>
          <w:shd w:val="clear" w:color="auto" w:fill="FFFFFF"/>
        </w:rPr>
      </w:pPr>
      <w:r w:rsidRPr="008F3261">
        <w:rPr>
          <w:rFonts w:ascii="Arial" w:hAnsi="Arial" w:cs="Arial"/>
        </w:rPr>
        <w:t xml:space="preserve">NR holds an Academic Clinical Fellowship awarded by NIHR. KES holds an Academic Clinical Lectureship awarded by NIHR. </w:t>
      </w:r>
      <w:r w:rsidRPr="008F3261">
        <w:rPr>
          <w:rFonts w:ascii="Arial" w:hAnsi="Arial" w:cs="Arial"/>
          <w:shd w:val="clear" w:color="auto" w:fill="FFFFFF"/>
        </w:rPr>
        <w:t xml:space="preserve">MS is CI for the </w:t>
      </w:r>
      <w:proofErr w:type="spellStart"/>
      <w:r w:rsidRPr="008F3261">
        <w:rPr>
          <w:rFonts w:ascii="Arial" w:hAnsi="Arial" w:cs="Arial"/>
          <w:shd w:val="clear" w:color="auto" w:fill="FFFFFF"/>
        </w:rPr>
        <w:t>Wellcome</w:t>
      </w:r>
      <w:proofErr w:type="spellEnd"/>
      <w:r w:rsidRPr="008F3261">
        <w:rPr>
          <w:rFonts w:ascii="Arial" w:hAnsi="Arial" w:cs="Arial"/>
          <w:shd w:val="clear" w:color="auto" w:fill="FFFFFF"/>
        </w:rPr>
        <w:t xml:space="preserve"> Trust grant of ADILA [222051/Z/20/Z]. </w:t>
      </w:r>
      <w:r w:rsidRPr="008F3261">
        <w:rPr>
          <w:rFonts w:ascii="Arial" w:hAnsi="Arial" w:cs="Arial"/>
        </w:rPr>
        <w:t xml:space="preserve">AH &amp; AG are </w:t>
      </w:r>
      <w:r w:rsidRPr="008F3261">
        <w:rPr>
          <w:rFonts w:ascii="Arial" w:hAnsi="Arial" w:cs="Arial"/>
          <w:shd w:val="clear" w:color="auto" w:fill="FFFFFF"/>
        </w:rPr>
        <w:t xml:space="preserve">funded in part by the </w:t>
      </w:r>
      <w:proofErr w:type="spellStart"/>
      <w:r w:rsidRPr="008F3261">
        <w:rPr>
          <w:rFonts w:ascii="Arial" w:hAnsi="Arial" w:cs="Arial"/>
          <w:shd w:val="clear" w:color="auto" w:fill="FFFFFF"/>
        </w:rPr>
        <w:t>Wellcome</w:t>
      </w:r>
      <w:proofErr w:type="spellEnd"/>
      <w:r w:rsidRPr="008F3261">
        <w:rPr>
          <w:rFonts w:ascii="Arial" w:hAnsi="Arial" w:cs="Arial"/>
          <w:shd w:val="clear" w:color="auto" w:fill="FFFFFF"/>
        </w:rPr>
        <w:t xml:space="preserve"> Trust [grant ref: 226691/Z/22/Z]. </w:t>
      </w:r>
      <w:proofErr w:type="gramStart"/>
      <w:r w:rsidRPr="008F3261">
        <w:rPr>
          <w:rFonts w:ascii="Arial" w:hAnsi="Arial" w:cs="Arial"/>
          <w:shd w:val="clear" w:color="auto" w:fill="FFFFFF"/>
        </w:rPr>
        <w:t>For the purpose of</w:t>
      </w:r>
      <w:proofErr w:type="gramEnd"/>
      <w:r w:rsidRPr="008F3261">
        <w:rPr>
          <w:rFonts w:ascii="Arial" w:hAnsi="Arial" w:cs="Arial"/>
          <w:shd w:val="clear" w:color="auto" w:fill="FFFFFF"/>
        </w:rPr>
        <w:t xml:space="preserve"> open access, the author has applied a CC BY public copyright licence to any Author Accepted Manuscript version arising from this submission. This research received no specific grant from any funding agency in the public, commercial, or not-for-profit sectors.</w:t>
      </w:r>
    </w:p>
    <w:p w14:paraId="63F1DA45" w14:textId="77777777" w:rsidR="008F3261" w:rsidRPr="008F3261" w:rsidRDefault="008F3261" w:rsidP="008F3261">
      <w:pPr>
        <w:pStyle w:val="NormalWeb"/>
        <w:spacing w:line="480" w:lineRule="auto"/>
        <w:jc w:val="both"/>
        <w:rPr>
          <w:rFonts w:ascii="Arial" w:hAnsi="Arial" w:cs="Arial"/>
          <w14:ligatures w14:val="standardContextual"/>
        </w:rPr>
      </w:pPr>
      <w:r w:rsidRPr="008F3261">
        <w:rPr>
          <w:rFonts w:ascii="Arial" w:hAnsi="Arial" w:cs="Arial"/>
          <w:shd w:val="clear" w:color="auto" w:fill="FFFFFF"/>
        </w:rPr>
        <w:t xml:space="preserve">Contributor roles: </w:t>
      </w:r>
      <w:r w:rsidRPr="008F3261">
        <w:rPr>
          <w:rFonts w:ascii="Arial" w:hAnsi="Arial" w:cs="Arial"/>
          <w14:ligatures w14:val="standardContextual"/>
        </w:rPr>
        <w:t xml:space="preserve">NR– conceptualisation, data curation, formal analysis, methodology, visualisation, writing - original </w:t>
      </w:r>
      <w:proofErr w:type="gramStart"/>
      <w:r w:rsidRPr="008F3261">
        <w:rPr>
          <w:rFonts w:ascii="Arial" w:hAnsi="Arial" w:cs="Arial"/>
          <w14:ligatures w14:val="standardContextual"/>
        </w:rPr>
        <w:t>draft;  AG</w:t>
      </w:r>
      <w:proofErr w:type="gramEnd"/>
      <w:r w:rsidRPr="008F3261">
        <w:rPr>
          <w:rFonts w:ascii="Arial" w:hAnsi="Arial" w:cs="Arial"/>
          <w14:ligatures w14:val="standardContextual"/>
        </w:rPr>
        <w:t>– methodology, writing - review &amp; editing; KES– conceptualisation, writing - review &amp; editing; AH – writing - review &amp; editing; MS – conceptualisation, writing - review &amp; editing; WH – conceptualisation, supervision, writing - review &amp; editing</w:t>
      </w:r>
    </w:p>
    <w:p w14:paraId="504F854C" w14:textId="5DA79326" w:rsidR="008F3261" w:rsidRPr="00E42CC3" w:rsidRDefault="00E42CC3" w:rsidP="00E42CC3">
      <w:pPr>
        <w:pStyle w:val="Heading1"/>
        <w:rPr>
          <w:rFonts w:cs="Times New Roman (Headings CS)"/>
          <w:caps/>
        </w:rPr>
      </w:pPr>
      <w:bookmarkStart w:id="22" w:name="_Toc154184999"/>
      <w:r w:rsidRPr="00E42CC3">
        <w:rPr>
          <w:rFonts w:cs="Times New Roman (Headings CS)"/>
          <w:caps/>
        </w:rPr>
        <w:t>Conflicts</w:t>
      </w:r>
      <w:r w:rsidR="008F3261" w:rsidRPr="00E42CC3">
        <w:rPr>
          <w:rFonts w:cs="Times New Roman (Headings CS)"/>
          <w:caps/>
        </w:rPr>
        <w:t xml:space="preserve"> of Interests</w:t>
      </w:r>
      <w:bookmarkEnd w:id="22"/>
      <w:r w:rsidR="008F3261" w:rsidRPr="00E42CC3">
        <w:rPr>
          <w:rFonts w:cs="Times New Roman (Headings CS)"/>
          <w:caps/>
        </w:rPr>
        <w:t xml:space="preserve"> </w:t>
      </w:r>
    </w:p>
    <w:p w14:paraId="0DA16A94" w14:textId="6856A217" w:rsidR="007118E0" w:rsidRPr="008F3261" w:rsidRDefault="008F3261" w:rsidP="008F3261">
      <w:pPr>
        <w:pStyle w:val="NormalWeb"/>
        <w:spacing w:line="480" w:lineRule="auto"/>
        <w:jc w:val="both"/>
        <w:rPr>
          <w:rFonts w:ascii="Arial" w:hAnsi="Arial" w:cs="Arial"/>
        </w:rPr>
      </w:pPr>
      <w:r w:rsidRPr="008F3261">
        <w:rPr>
          <w:rFonts w:ascii="Arial" w:hAnsi="Arial" w:cs="Arial"/>
        </w:rPr>
        <w:t>AH declares consulting work for Pfizer outside the submitted work. MS is Chair of the WHO Essential Medicine List Antibiotic Working group.</w:t>
      </w:r>
      <w:r w:rsidRPr="008F3261">
        <w:rPr>
          <w:rFonts w:asciiTheme="majorHAnsi" w:hAnsiTheme="majorHAnsi" w:cstheme="majorHAnsi"/>
        </w:rPr>
        <w:t xml:space="preserve"> </w:t>
      </w:r>
      <w:r w:rsidRPr="008F3261">
        <w:rPr>
          <w:rFonts w:ascii="Arial" w:hAnsi="Arial" w:cs="Arial"/>
        </w:rPr>
        <w:t xml:space="preserve">WH holds or has held research grants with UKRI, EU, F2G, Spero Therapeutics, </w:t>
      </w:r>
      <w:proofErr w:type="spellStart"/>
      <w:r w:rsidRPr="008F3261">
        <w:rPr>
          <w:rFonts w:ascii="Arial" w:hAnsi="Arial" w:cs="Arial"/>
        </w:rPr>
        <w:t>Antabio</w:t>
      </w:r>
      <w:proofErr w:type="spellEnd"/>
      <w:r w:rsidRPr="008F3261">
        <w:rPr>
          <w:rFonts w:ascii="Arial" w:hAnsi="Arial" w:cs="Arial"/>
        </w:rPr>
        <w:t xml:space="preserve">, Pfizer, </w:t>
      </w:r>
      <w:proofErr w:type="spellStart"/>
      <w:r w:rsidRPr="008F3261">
        <w:rPr>
          <w:rFonts w:ascii="Arial" w:hAnsi="Arial" w:cs="Arial"/>
        </w:rPr>
        <w:t>Bugworks</w:t>
      </w:r>
      <w:proofErr w:type="spellEnd"/>
      <w:r w:rsidRPr="008F3261">
        <w:rPr>
          <w:rFonts w:ascii="Arial" w:hAnsi="Arial" w:cs="Arial"/>
        </w:rPr>
        <w:t xml:space="preserve">, </w:t>
      </w:r>
      <w:proofErr w:type="spellStart"/>
      <w:r w:rsidRPr="008F3261">
        <w:rPr>
          <w:rFonts w:ascii="Arial" w:hAnsi="Arial" w:cs="Arial"/>
        </w:rPr>
        <w:t>Phico</w:t>
      </w:r>
      <w:proofErr w:type="spellEnd"/>
      <w:r w:rsidRPr="008F3261">
        <w:rPr>
          <w:rFonts w:ascii="Arial" w:hAnsi="Arial" w:cs="Arial"/>
        </w:rPr>
        <w:t xml:space="preserve"> Therapeutics, </w:t>
      </w:r>
      <w:proofErr w:type="spellStart"/>
      <w:r w:rsidRPr="008F3261">
        <w:rPr>
          <w:rFonts w:ascii="Arial" w:hAnsi="Arial" w:cs="Arial"/>
        </w:rPr>
        <w:t>BioVersys</w:t>
      </w:r>
      <w:proofErr w:type="spellEnd"/>
      <w:r w:rsidRPr="008F3261">
        <w:rPr>
          <w:rFonts w:ascii="Arial" w:hAnsi="Arial" w:cs="Arial"/>
        </w:rPr>
        <w:t xml:space="preserve">, Global Antibiotic Research &amp; Development Partnership (GARDP), and NAEJA- RGM. WH is or has been a consultant for </w:t>
      </w:r>
      <w:proofErr w:type="spellStart"/>
      <w:r w:rsidRPr="008F3261">
        <w:rPr>
          <w:rFonts w:ascii="Arial" w:hAnsi="Arial" w:cs="Arial"/>
        </w:rPr>
        <w:t>Appili</w:t>
      </w:r>
      <w:proofErr w:type="spellEnd"/>
      <w:r w:rsidRPr="008F3261">
        <w:rPr>
          <w:rFonts w:ascii="Arial" w:hAnsi="Arial" w:cs="Arial"/>
        </w:rPr>
        <w:t xml:space="preserve"> Therapeutics, F2G, Spero Therapeutics, NAEJA-RGM, Centauri, Pfizer, </w:t>
      </w:r>
      <w:proofErr w:type="spellStart"/>
      <w:r w:rsidRPr="008F3261">
        <w:rPr>
          <w:rFonts w:ascii="Arial" w:hAnsi="Arial" w:cs="Arial"/>
        </w:rPr>
        <w:t>Phico</w:t>
      </w:r>
      <w:proofErr w:type="spellEnd"/>
      <w:r w:rsidRPr="008F3261">
        <w:rPr>
          <w:rFonts w:ascii="Arial" w:hAnsi="Arial" w:cs="Arial"/>
        </w:rPr>
        <w:t xml:space="preserve"> Therapeutics, </w:t>
      </w:r>
      <w:proofErr w:type="spellStart"/>
      <w:r w:rsidRPr="008F3261">
        <w:rPr>
          <w:rFonts w:ascii="Arial" w:hAnsi="Arial" w:cs="Arial"/>
        </w:rPr>
        <w:lastRenderedPageBreak/>
        <w:t>Pulmocide</w:t>
      </w:r>
      <w:proofErr w:type="spellEnd"/>
      <w:r w:rsidRPr="008F3261">
        <w:rPr>
          <w:rFonts w:ascii="Arial" w:hAnsi="Arial" w:cs="Arial"/>
        </w:rPr>
        <w:t xml:space="preserve">, </w:t>
      </w:r>
      <w:proofErr w:type="spellStart"/>
      <w:r w:rsidRPr="008F3261">
        <w:rPr>
          <w:rFonts w:ascii="Arial" w:hAnsi="Arial" w:cs="Arial"/>
        </w:rPr>
        <w:t>Amplyx</w:t>
      </w:r>
      <w:proofErr w:type="spellEnd"/>
      <w:r w:rsidRPr="008F3261">
        <w:rPr>
          <w:rFonts w:ascii="Arial" w:hAnsi="Arial" w:cs="Arial"/>
        </w:rPr>
        <w:t xml:space="preserve">, </w:t>
      </w:r>
      <w:proofErr w:type="spellStart"/>
      <w:r w:rsidRPr="008F3261">
        <w:rPr>
          <w:rFonts w:ascii="Arial" w:hAnsi="Arial" w:cs="Arial"/>
        </w:rPr>
        <w:t>Mundipharma</w:t>
      </w:r>
      <w:proofErr w:type="spellEnd"/>
      <w:r w:rsidRPr="008F3261">
        <w:rPr>
          <w:rFonts w:ascii="Arial" w:hAnsi="Arial" w:cs="Arial"/>
        </w:rPr>
        <w:t xml:space="preserve"> Research, and </w:t>
      </w:r>
      <w:proofErr w:type="spellStart"/>
      <w:r w:rsidRPr="008F3261">
        <w:rPr>
          <w:rFonts w:ascii="Arial" w:hAnsi="Arial" w:cs="Arial"/>
        </w:rPr>
        <w:t>VenatoRx</w:t>
      </w:r>
      <w:proofErr w:type="spellEnd"/>
      <w:r w:rsidRPr="008F3261">
        <w:rPr>
          <w:rFonts w:ascii="Arial" w:hAnsi="Arial" w:cs="Arial"/>
        </w:rPr>
        <w:t xml:space="preserve">. WH is a member of the Specialist Advisory Committee for GARDP and the Specialty National co-lead for Infectious Diseases for the National Institute of Health Research.  </w:t>
      </w:r>
      <w:r w:rsidR="007118E0">
        <w:rPr>
          <w:rFonts w:ascii="Arial" w:eastAsia="Arial" w:hAnsi="Arial" w:cs="Arial"/>
        </w:rPr>
        <w:br w:type="page"/>
      </w:r>
    </w:p>
    <w:p w14:paraId="04826FD5" w14:textId="77777777" w:rsidR="007118E0" w:rsidRDefault="007118E0" w:rsidP="00E1765B">
      <w:pPr>
        <w:pStyle w:val="Heading1"/>
        <w:spacing w:line="480" w:lineRule="auto"/>
        <w:rPr>
          <w:rFonts w:cs="Times New Roman (Headings CS)"/>
          <w:caps/>
          <w:sz w:val="24"/>
          <w:szCs w:val="24"/>
        </w:rPr>
      </w:pPr>
      <w:bookmarkStart w:id="23" w:name="_Toc154185000"/>
      <w:r w:rsidRPr="008F3261">
        <w:rPr>
          <w:rFonts w:cs="Times New Roman (Headings CS)"/>
          <w:caps/>
          <w:sz w:val="24"/>
          <w:szCs w:val="24"/>
        </w:rPr>
        <w:lastRenderedPageBreak/>
        <w:t>References</w:t>
      </w:r>
      <w:bookmarkEnd w:id="23"/>
    </w:p>
    <w:p w14:paraId="2AE0D058" w14:textId="77777777" w:rsidR="00DC12EC" w:rsidRPr="001B7760" w:rsidRDefault="00DC12EC" w:rsidP="00DC12EC">
      <w:pPr>
        <w:pStyle w:val="Bibliography"/>
        <w:rPr>
          <w:rFonts w:cs="Arial"/>
        </w:rPr>
      </w:pPr>
      <w:r w:rsidRPr="001B7760">
        <w:fldChar w:fldCharType="begin"/>
      </w:r>
      <w:r w:rsidRPr="001B7760">
        <w:instrText xml:space="preserve"> ADDIN ZOTERO_BIBL {"uncited":[],"omitted":[],"custom":[]} CSL_BIBLIOGRAPHY </w:instrText>
      </w:r>
      <w:r w:rsidRPr="001B7760">
        <w:fldChar w:fldCharType="separate"/>
      </w:r>
      <w:r w:rsidRPr="001B7760">
        <w:rPr>
          <w:rFonts w:cs="Arial"/>
        </w:rPr>
        <w:t xml:space="preserve">1. </w:t>
      </w:r>
      <w:r w:rsidRPr="001B7760">
        <w:rPr>
          <w:rFonts w:cs="Arial"/>
        </w:rPr>
        <w:tab/>
        <w:t xml:space="preserve">Murray CJ, Ikuta KS, </w:t>
      </w:r>
      <w:proofErr w:type="spellStart"/>
      <w:r w:rsidRPr="001B7760">
        <w:rPr>
          <w:rFonts w:cs="Arial"/>
        </w:rPr>
        <w:t>Sharara</w:t>
      </w:r>
      <w:proofErr w:type="spellEnd"/>
      <w:r w:rsidRPr="001B7760">
        <w:rPr>
          <w:rFonts w:cs="Arial"/>
        </w:rPr>
        <w:t xml:space="preserve"> F, </w:t>
      </w:r>
      <w:proofErr w:type="spellStart"/>
      <w:r w:rsidRPr="001B7760">
        <w:rPr>
          <w:rFonts w:cs="Arial"/>
        </w:rPr>
        <w:t>Swetschinski</w:t>
      </w:r>
      <w:proofErr w:type="spellEnd"/>
      <w:r w:rsidRPr="001B7760">
        <w:rPr>
          <w:rFonts w:cs="Arial"/>
        </w:rPr>
        <w:t xml:space="preserve"> L, Robles Aguilar G, Gray A, Han C, </w:t>
      </w:r>
      <w:proofErr w:type="spellStart"/>
      <w:r w:rsidRPr="001B7760">
        <w:rPr>
          <w:rFonts w:cs="Arial"/>
        </w:rPr>
        <w:t>Bisignano</w:t>
      </w:r>
      <w:proofErr w:type="spellEnd"/>
      <w:r w:rsidRPr="001B7760">
        <w:rPr>
          <w:rFonts w:cs="Arial"/>
        </w:rPr>
        <w:t xml:space="preserve"> C, Rao P, Wool E, Johnson SC, Browne AJ, Chipeta MG, Fell F, Hackett S, Haines-Woodhouse G, </w:t>
      </w:r>
      <w:proofErr w:type="spellStart"/>
      <w:r w:rsidRPr="001B7760">
        <w:rPr>
          <w:rFonts w:cs="Arial"/>
        </w:rPr>
        <w:t>Kashef</w:t>
      </w:r>
      <w:proofErr w:type="spellEnd"/>
      <w:r w:rsidRPr="001B7760">
        <w:rPr>
          <w:rFonts w:cs="Arial"/>
        </w:rPr>
        <w:t xml:space="preserve"> </w:t>
      </w:r>
      <w:proofErr w:type="spellStart"/>
      <w:r w:rsidRPr="001B7760">
        <w:rPr>
          <w:rFonts w:cs="Arial"/>
        </w:rPr>
        <w:t>Hamadani</w:t>
      </w:r>
      <w:proofErr w:type="spellEnd"/>
      <w:r w:rsidRPr="001B7760">
        <w:rPr>
          <w:rFonts w:cs="Arial"/>
        </w:rPr>
        <w:t xml:space="preserve"> BH, Kumaran EAP, </w:t>
      </w:r>
      <w:proofErr w:type="spellStart"/>
      <w:r w:rsidRPr="001B7760">
        <w:rPr>
          <w:rFonts w:cs="Arial"/>
        </w:rPr>
        <w:t>McManigal</w:t>
      </w:r>
      <w:proofErr w:type="spellEnd"/>
      <w:r w:rsidRPr="001B7760">
        <w:rPr>
          <w:rFonts w:cs="Arial"/>
        </w:rPr>
        <w:t xml:space="preserve"> B, Agarwal R, Akech S, Albertson S, </w:t>
      </w:r>
      <w:proofErr w:type="spellStart"/>
      <w:r w:rsidRPr="001B7760">
        <w:rPr>
          <w:rFonts w:cs="Arial"/>
        </w:rPr>
        <w:t>Amuasi</w:t>
      </w:r>
      <w:proofErr w:type="spellEnd"/>
      <w:r w:rsidRPr="001B7760">
        <w:rPr>
          <w:rFonts w:cs="Arial"/>
        </w:rPr>
        <w:t xml:space="preserve"> J, Andrews J, </w:t>
      </w:r>
      <w:proofErr w:type="spellStart"/>
      <w:r w:rsidRPr="001B7760">
        <w:rPr>
          <w:rFonts w:cs="Arial"/>
        </w:rPr>
        <w:t>Aravkin</w:t>
      </w:r>
      <w:proofErr w:type="spellEnd"/>
      <w:r w:rsidRPr="001B7760">
        <w:rPr>
          <w:rFonts w:cs="Arial"/>
        </w:rPr>
        <w:t xml:space="preserve"> A, Ashley E, Bailey F, Baker S, </w:t>
      </w:r>
      <w:proofErr w:type="spellStart"/>
      <w:r w:rsidRPr="001B7760">
        <w:rPr>
          <w:rFonts w:cs="Arial"/>
        </w:rPr>
        <w:t>Basnyat</w:t>
      </w:r>
      <w:proofErr w:type="spellEnd"/>
      <w:r w:rsidRPr="001B7760">
        <w:rPr>
          <w:rFonts w:cs="Arial"/>
        </w:rPr>
        <w:t xml:space="preserve"> B, </w:t>
      </w:r>
      <w:proofErr w:type="spellStart"/>
      <w:r w:rsidRPr="001B7760">
        <w:rPr>
          <w:rFonts w:cs="Arial"/>
        </w:rPr>
        <w:t>Bekker</w:t>
      </w:r>
      <w:proofErr w:type="spellEnd"/>
      <w:r w:rsidRPr="001B7760">
        <w:rPr>
          <w:rFonts w:cs="Arial"/>
        </w:rPr>
        <w:t xml:space="preserve"> A, Bender R, </w:t>
      </w:r>
      <w:proofErr w:type="spellStart"/>
      <w:r w:rsidRPr="001B7760">
        <w:rPr>
          <w:rFonts w:cs="Arial"/>
        </w:rPr>
        <w:t>Bethou</w:t>
      </w:r>
      <w:proofErr w:type="spellEnd"/>
      <w:r w:rsidRPr="001B7760">
        <w:rPr>
          <w:rFonts w:cs="Arial"/>
        </w:rPr>
        <w:t xml:space="preserve"> A, </w:t>
      </w:r>
      <w:proofErr w:type="spellStart"/>
      <w:r w:rsidRPr="001B7760">
        <w:rPr>
          <w:rFonts w:cs="Arial"/>
        </w:rPr>
        <w:t>Bielicki</w:t>
      </w:r>
      <w:proofErr w:type="spellEnd"/>
      <w:r w:rsidRPr="001B7760">
        <w:rPr>
          <w:rFonts w:cs="Arial"/>
        </w:rPr>
        <w:t xml:space="preserve"> J, </w:t>
      </w:r>
      <w:proofErr w:type="spellStart"/>
      <w:r w:rsidRPr="001B7760">
        <w:rPr>
          <w:rFonts w:cs="Arial"/>
        </w:rPr>
        <w:t>Boonkasidecha</w:t>
      </w:r>
      <w:proofErr w:type="spellEnd"/>
      <w:r w:rsidRPr="001B7760">
        <w:rPr>
          <w:rFonts w:cs="Arial"/>
        </w:rPr>
        <w:t xml:space="preserve"> S, </w:t>
      </w:r>
      <w:proofErr w:type="spellStart"/>
      <w:r w:rsidRPr="001B7760">
        <w:rPr>
          <w:rFonts w:cs="Arial"/>
        </w:rPr>
        <w:t>Bukosia</w:t>
      </w:r>
      <w:proofErr w:type="spellEnd"/>
      <w:r w:rsidRPr="001B7760">
        <w:rPr>
          <w:rFonts w:cs="Arial"/>
        </w:rPr>
        <w:t xml:space="preserve"> J, </w:t>
      </w:r>
      <w:proofErr w:type="spellStart"/>
      <w:r w:rsidRPr="001B7760">
        <w:rPr>
          <w:rFonts w:cs="Arial"/>
        </w:rPr>
        <w:t>Carvalheiro</w:t>
      </w:r>
      <w:proofErr w:type="spellEnd"/>
      <w:r w:rsidRPr="001B7760">
        <w:rPr>
          <w:rFonts w:cs="Arial"/>
        </w:rPr>
        <w:t xml:space="preserve"> C, </w:t>
      </w:r>
      <w:proofErr w:type="spellStart"/>
      <w:r w:rsidRPr="001B7760">
        <w:rPr>
          <w:rFonts w:cs="Arial"/>
        </w:rPr>
        <w:t>Castañeda-Orjuela</w:t>
      </w:r>
      <w:proofErr w:type="spellEnd"/>
      <w:r w:rsidRPr="001B7760">
        <w:rPr>
          <w:rFonts w:cs="Arial"/>
        </w:rPr>
        <w:t xml:space="preserve"> C, </w:t>
      </w:r>
      <w:proofErr w:type="spellStart"/>
      <w:r w:rsidRPr="001B7760">
        <w:rPr>
          <w:rFonts w:cs="Arial"/>
        </w:rPr>
        <w:t>Chansamouth</w:t>
      </w:r>
      <w:proofErr w:type="spellEnd"/>
      <w:r w:rsidRPr="001B7760">
        <w:rPr>
          <w:rFonts w:cs="Arial"/>
        </w:rPr>
        <w:t xml:space="preserve"> V, </w:t>
      </w:r>
      <w:proofErr w:type="spellStart"/>
      <w:r w:rsidRPr="001B7760">
        <w:rPr>
          <w:rFonts w:cs="Arial"/>
        </w:rPr>
        <w:t>Chaurasia</w:t>
      </w:r>
      <w:proofErr w:type="spellEnd"/>
      <w:r w:rsidRPr="001B7760">
        <w:rPr>
          <w:rFonts w:cs="Arial"/>
        </w:rPr>
        <w:t xml:space="preserve"> S, </w:t>
      </w:r>
      <w:proofErr w:type="spellStart"/>
      <w:r w:rsidRPr="001B7760">
        <w:rPr>
          <w:rFonts w:cs="Arial"/>
        </w:rPr>
        <w:t>Chiurchiù</w:t>
      </w:r>
      <w:proofErr w:type="spellEnd"/>
      <w:r w:rsidRPr="001B7760">
        <w:rPr>
          <w:rFonts w:cs="Arial"/>
        </w:rPr>
        <w:t xml:space="preserve"> S, Chowdhury F, Cook AJ, Cooper B, Cressey TR, Criollo-Mora E, Cunningham M, Darboe S, Day NPJ, De Luca M, </w:t>
      </w:r>
      <w:proofErr w:type="spellStart"/>
      <w:r w:rsidRPr="001B7760">
        <w:rPr>
          <w:rFonts w:cs="Arial"/>
        </w:rPr>
        <w:t>Dokova</w:t>
      </w:r>
      <w:proofErr w:type="spellEnd"/>
      <w:r w:rsidRPr="001B7760">
        <w:rPr>
          <w:rFonts w:cs="Arial"/>
        </w:rPr>
        <w:t xml:space="preserve"> K, </w:t>
      </w:r>
      <w:proofErr w:type="spellStart"/>
      <w:r w:rsidRPr="001B7760">
        <w:rPr>
          <w:rFonts w:cs="Arial"/>
        </w:rPr>
        <w:t>Dramowski</w:t>
      </w:r>
      <w:proofErr w:type="spellEnd"/>
      <w:r w:rsidRPr="001B7760">
        <w:rPr>
          <w:rFonts w:cs="Arial"/>
        </w:rPr>
        <w:t xml:space="preserve"> A, </w:t>
      </w:r>
      <w:proofErr w:type="spellStart"/>
      <w:r w:rsidRPr="001B7760">
        <w:rPr>
          <w:rFonts w:cs="Arial"/>
        </w:rPr>
        <w:t>Dunachie</w:t>
      </w:r>
      <w:proofErr w:type="spellEnd"/>
      <w:r w:rsidRPr="001B7760">
        <w:rPr>
          <w:rFonts w:cs="Arial"/>
        </w:rPr>
        <w:t xml:space="preserve"> SJ, </w:t>
      </w:r>
      <w:proofErr w:type="spellStart"/>
      <w:r w:rsidRPr="001B7760">
        <w:rPr>
          <w:rFonts w:cs="Arial"/>
        </w:rPr>
        <w:t>Eckmanns</w:t>
      </w:r>
      <w:proofErr w:type="spellEnd"/>
      <w:r w:rsidRPr="001B7760">
        <w:rPr>
          <w:rFonts w:cs="Arial"/>
        </w:rPr>
        <w:t xml:space="preserve"> T, </w:t>
      </w:r>
      <w:proofErr w:type="spellStart"/>
      <w:r w:rsidRPr="001B7760">
        <w:rPr>
          <w:rFonts w:cs="Arial"/>
        </w:rPr>
        <w:t>Eibach</w:t>
      </w:r>
      <w:proofErr w:type="spellEnd"/>
      <w:r w:rsidRPr="001B7760">
        <w:rPr>
          <w:rFonts w:cs="Arial"/>
        </w:rPr>
        <w:t xml:space="preserve"> D, </w:t>
      </w:r>
      <w:proofErr w:type="spellStart"/>
      <w:r w:rsidRPr="001B7760">
        <w:rPr>
          <w:rFonts w:cs="Arial"/>
        </w:rPr>
        <w:t>Emami</w:t>
      </w:r>
      <w:proofErr w:type="spellEnd"/>
      <w:r w:rsidRPr="001B7760">
        <w:rPr>
          <w:rFonts w:cs="Arial"/>
        </w:rPr>
        <w:t xml:space="preserve"> A, </w:t>
      </w:r>
      <w:proofErr w:type="spellStart"/>
      <w:r w:rsidRPr="001B7760">
        <w:rPr>
          <w:rFonts w:cs="Arial"/>
        </w:rPr>
        <w:t>Feasey</w:t>
      </w:r>
      <w:proofErr w:type="spellEnd"/>
      <w:r w:rsidRPr="001B7760">
        <w:rPr>
          <w:rFonts w:cs="Arial"/>
        </w:rPr>
        <w:t xml:space="preserve"> N, Fisher-Pearson N, Forrest K, Garrett D, </w:t>
      </w:r>
      <w:proofErr w:type="spellStart"/>
      <w:r w:rsidRPr="001B7760">
        <w:rPr>
          <w:rFonts w:cs="Arial"/>
        </w:rPr>
        <w:t>Gastmeier</w:t>
      </w:r>
      <w:proofErr w:type="spellEnd"/>
      <w:r w:rsidRPr="001B7760">
        <w:rPr>
          <w:rFonts w:cs="Arial"/>
        </w:rPr>
        <w:t xml:space="preserve"> P, </w:t>
      </w:r>
      <w:proofErr w:type="spellStart"/>
      <w:r w:rsidRPr="001B7760">
        <w:rPr>
          <w:rFonts w:cs="Arial"/>
        </w:rPr>
        <w:t>Giref</w:t>
      </w:r>
      <w:proofErr w:type="spellEnd"/>
      <w:r w:rsidRPr="001B7760">
        <w:rPr>
          <w:rFonts w:cs="Arial"/>
        </w:rPr>
        <w:t xml:space="preserve"> AZ, Greer RC, Gupta V, Haller S, </w:t>
      </w:r>
      <w:proofErr w:type="spellStart"/>
      <w:r w:rsidRPr="001B7760">
        <w:rPr>
          <w:rFonts w:cs="Arial"/>
        </w:rPr>
        <w:t>Haselbeck</w:t>
      </w:r>
      <w:proofErr w:type="spellEnd"/>
      <w:r w:rsidRPr="001B7760">
        <w:rPr>
          <w:rFonts w:cs="Arial"/>
        </w:rPr>
        <w:t xml:space="preserve"> A, Hay SI, Holm M, Hopkins S, </w:t>
      </w:r>
      <w:proofErr w:type="spellStart"/>
      <w:r w:rsidRPr="001B7760">
        <w:rPr>
          <w:rFonts w:cs="Arial"/>
        </w:rPr>
        <w:t>Iregbu</w:t>
      </w:r>
      <w:proofErr w:type="spellEnd"/>
      <w:r w:rsidRPr="001B7760">
        <w:rPr>
          <w:rFonts w:cs="Arial"/>
        </w:rPr>
        <w:t xml:space="preserve"> KC, Jacobs J, </w:t>
      </w:r>
      <w:proofErr w:type="spellStart"/>
      <w:r w:rsidRPr="001B7760">
        <w:rPr>
          <w:rFonts w:cs="Arial"/>
        </w:rPr>
        <w:t>Jarovsky</w:t>
      </w:r>
      <w:proofErr w:type="spellEnd"/>
      <w:r w:rsidRPr="001B7760">
        <w:rPr>
          <w:rFonts w:cs="Arial"/>
        </w:rPr>
        <w:t xml:space="preserve"> D, </w:t>
      </w:r>
      <w:proofErr w:type="spellStart"/>
      <w:r w:rsidRPr="001B7760">
        <w:rPr>
          <w:rFonts w:cs="Arial"/>
        </w:rPr>
        <w:t>Javanmardi</w:t>
      </w:r>
      <w:proofErr w:type="spellEnd"/>
      <w:r w:rsidRPr="001B7760">
        <w:rPr>
          <w:rFonts w:cs="Arial"/>
        </w:rPr>
        <w:t xml:space="preserve"> F, Khorana M, </w:t>
      </w:r>
      <w:proofErr w:type="spellStart"/>
      <w:r w:rsidRPr="001B7760">
        <w:rPr>
          <w:rFonts w:cs="Arial"/>
        </w:rPr>
        <w:t>Kissoon</w:t>
      </w:r>
      <w:proofErr w:type="spellEnd"/>
      <w:r w:rsidRPr="001B7760">
        <w:rPr>
          <w:rFonts w:cs="Arial"/>
        </w:rPr>
        <w:t xml:space="preserve"> N, </w:t>
      </w:r>
      <w:proofErr w:type="spellStart"/>
      <w:r w:rsidRPr="001B7760">
        <w:rPr>
          <w:rFonts w:cs="Arial"/>
        </w:rPr>
        <w:t>Kobeissi</w:t>
      </w:r>
      <w:proofErr w:type="spellEnd"/>
      <w:r w:rsidRPr="001B7760">
        <w:rPr>
          <w:rFonts w:cs="Arial"/>
        </w:rPr>
        <w:t xml:space="preserve"> E, </w:t>
      </w:r>
      <w:proofErr w:type="spellStart"/>
      <w:r w:rsidRPr="001B7760">
        <w:rPr>
          <w:rFonts w:cs="Arial"/>
        </w:rPr>
        <w:t>Kostyanev</w:t>
      </w:r>
      <w:proofErr w:type="spellEnd"/>
      <w:r w:rsidRPr="001B7760">
        <w:rPr>
          <w:rFonts w:cs="Arial"/>
        </w:rPr>
        <w:t xml:space="preserve"> T, </w:t>
      </w:r>
      <w:proofErr w:type="spellStart"/>
      <w:r w:rsidRPr="001B7760">
        <w:rPr>
          <w:rFonts w:cs="Arial"/>
        </w:rPr>
        <w:t>Krapp</w:t>
      </w:r>
      <w:proofErr w:type="spellEnd"/>
      <w:r w:rsidRPr="001B7760">
        <w:rPr>
          <w:rFonts w:cs="Arial"/>
        </w:rPr>
        <w:t xml:space="preserve"> F, </w:t>
      </w:r>
      <w:proofErr w:type="spellStart"/>
      <w:r w:rsidRPr="001B7760">
        <w:rPr>
          <w:rFonts w:cs="Arial"/>
        </w:rPr>
        <w:t>Krumkamp</w:t>
      </w:r>
      <w:proofErr w:type="spellEnd"/>
      <w:r w:rsidRPr="001B7760">
        <w:rPr>
          <w:rFonts w:cs="Arial"/>
        </w:rPr>
        <w:t xml:space="preserve"> R, Kumar A, Kyu HH, Lim C, </w:t>
      </w:r>
      <w:proofErr w:type="spellStart"/>
      <w:r w:rsidRPr="001B7760">
        <w:rPr>
          <w:rFonts w:cs="Arial"/>
        </w:rPr>
        <w:t>Limmathurotsakul</w:t>
      </w:r>
      <w:proofErr w:type="spellEnd"/>
      <w:r w:rsidRPr="001B7760">
        <w:rPr>
          <w:rFonts w:cs="Arial"/>
        </w:rPr>
        <w:t xml:space="preserve"> D, Loftus MJ, Lunn M, Ma J, </w:t>
      </w:r>
      <w:proofErr w:type="spellStart"/>
      <w:r w:rsidRPr="001B7760">
        <w:rPr>
          <w:rFonts w:cs="Arial"/>
        </w:rPr>
        <w:t>Mturi</w:t>
      </w:r>
      <w:proofErr w:type="spellEnd"/>
      <w:r w:rsidRPr="001B7760">
        <w:rPr>
          <w:rFonts w:cs="Arial"/>
        </w:rPr>
        <w:t xml:space="preserve"> N, </w:t>
      </w:r>
      <w:proofErr w:type="spellStart"/>
      <w:r w:rsidRPr="001B7760">
        <w:rPr>
          <w:rFonts w:cs="Arial"/>
        </w:rPr>
        <w:t>Munera</w:t>
      </w:r>
      <w:proofErr w:type="spellEnd"/>
      <w:r w:rsidRPr="001B7760">
        <w:rPr>
          <w:rFonts w:cs="Arial"/>
        </w:rPr>
        <w:t xml:space="preserve">-Huertas T, </w:t>
      </w:r>
      <w:proofErr w:type="spellStart"/>
      <w:r w:rsidRPr="001B7760">
        <w:rPr>
          <w:rFonts w:cs="Arial"/>
        </w:rPr>
        <w:t>Musicha</w:t>
      </w:r>
      <w:proofErr w:type="spellEnd"/>
      <w:r w:rsidRPr="001B7760">
        <w:rPr>
          <w:rFonts w:cs="Arial"/>
        </w:rPr>
        <w:t xml:space="preserve"> P, </w:t>
      </w:r>
      <w:proofErr w:type="spellStart"/>
      <w:r w:rsidRPr="001B7760">
        <w:rPr>
          <w:rFonts w:cs="Arial"/>
        </w:rPr>
        <w:t>Mussi-Pinhata</w:t>
      </w:r>
      <w:proofErr w:type="spellEnd"/>
      <w:r w:rsidRPr="001B7760">
        <w:rPr>
          <w:rFonts w:cs="Arial"/>
        </w:rPr>
        <w:t xml:space="preserve"> MM, Nakamura T, </w:t>
      </w:r>
      <w:proofErr w:type="spellStart"/>
      <w:r w:rsidRPr="001B7760">
        <w:rPr>
          <w:rFonts w:cs="Arial"/>
        </w:rPr>
        <w:t>Nanavati</w:t>
      </w:r>
      <w:proofErr w:type="spellEnd"/>
      <w:r w:rsidRPr="001B7760">
        <w:rPr>
          <w:rFonts w:cs="Arial"/>
        </w:rPr>
        <w:t xml:space="preserve"> R, </w:t>
      </w:r>
      <w:proofErr w:type="spellStart"/>
      <w:r w:rsidRPr="001B7760">
        <w:rPr>
          <w:rFonts w:cs="Arial"/>
        </w:rPr>
        <w:t>Nangia</w:t>
      </w:r>
      <w:proofErr w:type="spellEnd"/>
      <w:r w:rsidRPr="001B7760">
        <w:rPr>
          <w:rFonts w:cs="Arial"/>
        </w:rPr>
        <w:t xml:space="preserve"> S, Newton P, </w:t>
      </w:r>
      <w:proofErr w:type="spellStart"/>
      <w:r w:rsidRPr="001B7760">
        <w:rPr>
          <w:rFonts w:cs="Arial"/>
        </w:rPr>
        <w:t>Ngoun</w:t>
      </w:r>
      <w:proofErr w:type="spellEnd"/>
      <w:r w:rsidRPr="001B7760">
        <w:rPr>
          <w:rFonts w:cs="Arial"/>
        </w:rPr>
        <w:t xml:space="preserve"> C, Novotney A, </w:t>
      </w:r>
      <w:proofErr w:type="spellStart"/>
      <w:r w:rsidRPr="001B7760">
        <w:rPr>
          <w:rFonts w:cs="Arial"/>
        </w:rPr>
        <w:t>Nwakanma</w:t>
      </w:r>
      <w:proofErr w:type="spellEnd"/>
      <w:r w:rsidRPr="001B7760">
        <w:rPr>
          <w:rFonts w:cs="Arial"/>
        </w:rPr>
        <w:t xml:space="preserve"> D, </w:t>
      </w:r>
      <w:proofErr w:type="spellStart"/>
      <w:r w:rsidRPr="001B7760">
        <w:rPr>
          <w:rFonts w:cs="Arial"/>
        </w:rPr>
        <w:t>Obiero</w:t>
      </w:r>
      <w:proofErr w:type="spellEnd"/>
      <w:r w:rsidRPr="001B7760">
        <w:rPr>
          <w:rFonts w:cs="Arial"/>
        </w:rPr>
        <w:t xml:space="preserve"> CW, Olivas-Martinez A, </w:t>
      </w:r>
      <w:proofErr w:type="spellStart"/>
      <w:r w:rsidRPr="001B7760">
        <w:rPr>
          <w:rFonts w:cs="Arial"/>
        </w:rPr>
        <w:t>Olliaro</w:t>
      </w:r>
      <w:proofErr w:type="spellEnd"/>
      <w:r w:rsidRPr="001B7760">
        <w:rPr>
          <w:rFonts w:cs="Arial"/>
        </w:rPr>
        <w:t xml:space="preserve"> P, </w:t>
      </w:r>
      <w:proofErr w:type="spellStart"/>
      <w:r w:rsidRPr="001B7760">
        <w:rPr>
          <w:rFonts w:cs="Arial"/>
        </w:rPr>
        <w:t>Ooko</w:t>
      </w:r>
      <w:proofErr w:type="spellEnd"/>
      <w:r w:rsidRPr="001B7760">
        <w:rPr>
          <w:rFonts w:cs="Arial"/>
        </w:rPr>
        <w:t xml:space="preserve"> E, Ortiz-</w:t>
      </w:r>
      <w:proofErr w:type="spellStart"/>
      <w:r w:rsidRPr="001B7760">
        <w:rPr>
          <w:rFonts w:cs="Arial"/>
        </w:rPr>
        <w:t>Brizuela</w:t>
      </w:r>
      <w:proofErr w:type="spellEnd"/>
      <w:r w:rsidRPr="001B7760">
        <w:rPr>
          <w:rFonts w:cs="Arial"/>
        </w:rPr>
        <w:t xml:space="preserve"> E, Peleg AY, Perrone C, </w:t>
      </w:r>
      <w:proofErr w:type="spellStart"/>
      <w:r w:rsidRPr="001B7760">
        <w:rPr>
          <w:rFonts w:cs="Arial"/>
        </w:rPr>
        <w:t>Plakkal</w:t>
      </w:r>
      <w:proofErr w:type="spellEnd"/>
      <w:r w:rsidRPr="001B7760">
        <w:rPr>
          <w:rFonts w:cs="Arial"/>
        </w:rPr>
        <w:t xml:space="preserve"> N, Ponce-de-Leon A, </w:t>
      </w:r>
      <w:proofErr w:type="spellStart"/>
      <w:r w:rsidRPr="001B7760">
        <w:rPr>
          <w:rFonts w:cs="Arial"/>
        </w:rPr>
        <w:t>Raad</w:t>
      </w:r>
      <w:proofErr w:type="spellEnd"/>
      <w:r w:rsidRPr="001B7760">
        <w:rPr>
          <w:rFonts w:cs="Arial"/>
        </w:rPr>
        <w:t xml:space="preserve"> M, </w:t>
      </w:r>
      <w:proofErr w:type="spellStart"/>
      <w:r w:rsidRPr="001B7760">
        <w:rPr>
          <w:rFonts w:cs="Arial"/>
        </w:rPr>
        <w:t>Ramdin</w:t>
      </w:r>
      <w:proofErr w:type="spellEnd"/>
      <w:r w:rsidRPr="001B7760">
        <w:rPr>
          <w:rFonts w:cs="Arial"/>
        </w:rPr>
        <w:t xml:space="preserve"> T, Riddell A, Roberts T, </w:t>
      </w:r>
      <w:proofErr w:type="spellStart"/>
      <w:r w:rsidRPr="001B7760">
        <w:rPr>
          <w:rFonts w:cs="Arial"/>
        </w:rPr>
        <w:t>Robotham</w:t>
      </w:r>
      <w:proofErr w:type="spellEnd"/>
      <w:r w:rsidRPr="001B7760">
        <w:rPr>
          <w:rFonts w:cs="Arial"/>
        </w:rPr>
        <w:t xml:space="preserve"> JV, Roca A, Rudd KE, Russell N, </w:t>
      </w:r>
      <w:proofErr w:type="spellStart"/>
      <w:r w:rsidRPr="001B7760">
        <w:rPr>
          <w:rFonts w:cs="Arial"/>
        </w:rPr>
        <w:t>Schnall</w:t>
      </w:r>
      <w:proofErr w:type="spellEnd"/>
      <w:r w:rsidRPr="001B7760">
        <w:rPr>
          <w:rFonts w:cs="Arial"/>
        </w:rPr>
        <w:t xml:space="preserve"> J, Scott JAG, </w:t>
      </w:r>
      <w:proofErr w:type="spellStart"/>
      <w:r w:rsidRPr="001B7760">
        <w:rPr>
          <w:rFonts w:cs="Arial"/>
        </w:rPr>
        <w:t>Shivamallappa</w:t>
      </w:r>
      <w:proofErr w:type="spellEnd"/>
      <w:r w:rsidRPr="001B7760">
        <w:rPr>
          <w:rFonts w:cs="Arial"/>
        </w:rPr>
        <w:t xml:space="preserve"> M, </w:t>
      </w:r>
      <w:proofErr w:type="spellStart"/>
      <w:r w:rsidRPr="001B7760">
        <w:rPr>
          <w:rFonts w:cs="Arial"/>
        </w:rPr>
        <w:t>Sifuentes-Osornio</w:t>
      </w:r>
      <w:proofErr w:type="spellEnd"/>
      <w:r w:rsidRPr="001B7760">
        <w:rPr>
          <w:rFonts w:cs="Arial"/>
        </w:rPr>
        <w:t xml:space="preserve"> J, </w:t>
      </w:r>
      <w:proofErr w:type="spellStart"/>
      <w:r w:rsidRPr="001B7760">
        <w:rPr>
          <w:rFonts w:cs="Arial"/>
        </w:rPr>
        <w:t>Steenkeste</w:t>
      </w:r>
      <w:proofErr w:type="spellEnd"/>
      <w:r w:rsidRPr="001B7760">
        <w:rPr>
          <w:rFonts w:cs="Arial"/>
        </w:rPr>
        <w:t xml:space="preserve"> N, Stewardson AJ, </w:t>
      </w:r>
      <w:proofErr w:type="spellStart"/>
      <w:r w:rsidRPr="001B7760">
        <w:rPr>
          <w:rFonts w:cs="Arial"/>
        </w:rPr>
        <w:t>Stoeva</w:t>
      </w:r>
      <w:proofErr w:type="spellEnd"/>
      <w:r w:rsidRPr="001B7760">
        <w:rPr>
          <w:rFonts w:cs="Arial"/>
        </w:rPr>
        <w:t xml:space="preserve"> T, </w:t>
      </w:r>
      <w:proofErr w:type="spellStart"/>
      <w:r w:rsidRPr="001B7760">
        <w:rPr>
          <w:rFonts w:cs="Arial"/>
        </w:rPr>
        <w:t>Tasak</w:t>
      </w:r>
      <w:proofErr w:type="spellEnd"/>
      <w:r w:rsidRPr="001B7760">
        <w:rPr>
          <w:rFonts w:cs="Arial"/>
        </w:rPr>
        <w:t xml:space="preserve"> N, </w:t>
      </w:r>
      <w:proofErr w:type="spellStart"/>
      <w:r w:rsidRPr="001B7760">
        <w:rPr>
          <w:rFonts w:cs="Arial"/>
        </w:rPr>
        <w:t>Thaiprakong</w:t>
      </w:r>
      <w:proofErr w:type="spellEnd"/>
      <w:r w:rsidRPr="001B7760">
        <w:rPr>
          <w:rFonts w:cs="Arial"/>
        </w:rPr>
        <w:t xml:space="preserve"> A, Thwaites G, Turner C, Turner P, van </w:t>
      </w:r>
      <w:proofErr w:type="spellStart"/>
      <w:r w:rsidRPr="001B7760">
        <w:rPr>
          <w:rFonts w:cs="Arial"/>
        </w:rPr>
        <w:t>Doorn</w:t>
      </w:r>
      <w:proofErr w:type="spellEnd"/>
      <w:r w:rsidRPr="001B7760">
        <w:rPr>
          <w:rFonts w:cs="Arial"/>
        </w:rPr>
        <w:t xml:space="preserve"> HR, </w:t>
      </w:r>
      <w:proofErr w:type="spellStart"/>
      <w:r w:rsidRPr="001B7760">
        <w:rPr>
          <w:rFonts w:cs="Arial"/>
        </w:rPr>
        <w:t>Velaphi</w:t>
      </w:r>
      <w:proofErr w:type="spellEnd"/>
      <w:r w:rsidRPr="001B7760">
        <w:rPr>
          <w:rFonts w:cs="Arial"/>
        </w:rPr>
        <w:t xml:space="preserve"> S, </w:t>
      </w:r>
      <w:proofErr w:type="spellStart"/>
      <w:r w:rsidRPr="001B7760">
        <w:rPr>
          <w:rFonts w:cs="Arial"/>
        </w:rPr>
        <w:t>Vongpradith</w:t>
      </w:r>
      <w:proofErr w:type="spellEnd"/>
      <w:r w:rsidRPr="001B7760">
        <w:rPr>
          <w:rFonts w:cs="Arial"/>
        </w:rPr>
        <w:t xml:space="preserve"> A, Vu H, Walsh T, </w:t>
      </w:r>
      <w:proofErr w:type="spellStart"/>
      <w:r w:rsidRPr="001B7760">
        <w:rPr>
          <w:rFonts w:cs="Arial"/>
        </w:rPr>
        <w:t>Waner</w:t>
      </w:r>
      <w:proofErr w:type="spellEnd"/>
      <w:r w:rsidRPr="001B7760">
        <w:rPr>
          <w:rFonts w:cs="Arial"/>
        </w:rPr>
        <w:t xml:space="preserve"> S, </w:t>
      </w:r>
      <w:proofErr w:type="spellStart"/>
      <w:r w:rsidRPr="001B7760">
        <w:rPr>
          <w:rFonts w:cs="Arial"/>
        </w:rPr>
        <w:t>Wangrangsimakul</w:t>
      </w:r>
      <w:proofErr w:type="spellEnd"/>
      <w:r w:rsidRPr="001B7760">
        <w:rPr>
          <w:rFonts w:cs="Arial"/>
        </w:rPr>
        <w:t xml:space="preserve"> T, Wozniak T, Zheng P, Sartorius B, Lopez AD, </w:t>
      </w:r>
      <w:proofErr w:type="spellStart"/>
      <w:r w:rsidRPr="001B7760">
        <w:rPr>
          <w:rFonts w:cs="Arial"/>
        </w:rPr>
        <w:t>Stergachis</w:t>
      </w:r>
      <w:proofErr w:type="spellEnd"/>
      <w:r w:rsidRPr="001B7760">
        <w:rPr>
          <w:rFonts w:cs="Arial"/>
        </w:rPr>
        <w:t xml:space="preserve"> A, Moore C, </w:t>
      </w:r>
      <w:proofErr w:type="spellStart"/>
      <w:r w:rsidRPr="001B7760">
        <w:rPr>
          <w:rFonts w:cs="Arial"/>
        </w:rPr>
        <w:t>Dolecek</w:t>
      </w:r>
      <w:proofErr w:type="spellEnd"/>
      <w:r w:rsidRPr="001B7760">
        <w:rPr>
          <w:rFonts w:cs="Arial"/>
        </w:rPr>
        <w:t xml:space="preserve"> C, </w:t>
      </w:r>
      <w:proofErr w:type="spellStart"/>
      <w:r w:rsidRPr="001B7760">
        <w:rPr>
          <w:rFonts w:cs="Arial"/>
        </w:rPr>
        <w:t>Naghavi</w:t>
      </w:r>
      <w:proofErr w:type="spellEnd"/>
      <w:r w:rsidRPr="001B7760">
        <w:rPr>
          <w:rFonts w:cs="Arial"/>
        </w:rPr>
        <w:t xml:space="preserve"> M. 2022. Global burden of bacterial antimicrobial resistance in 2019: a systematic analysis. The Lancet 399:629–655.</w:t>
      </w:r>
    </w:p>
    <w:p w14:paraId="0DA57BB1" w14:textId="77777777" w:rsidR="00DC12EC" w:rsidRPr="001B7760" w:rsidRDefault="00DC12EC" w:rsidP="00DC12EC">
      <w:pPr>
        <w:pStyle w:val="Bibliography"/>
        <w:rPr>
          <w:rFonts w:cs="Arial"/>
        </w:rPr>
      </w:pPr>
      <w:r w:rsidRPr="001B7760">
        <w:rPr>
          <w:rFonts w:cs="Arial"/>
        </w:rPr>
        <w:t xml:space="preserve">2. </w:t>
      </w:r>
      <w:r w:rsidRPr="001B7760">
        <w:rPr>
          <w:rFonts w:cs="Arial"/>
        </w:rPr>
        <w:tab/>
        <w:t xml:space="preserve">WHO. </w:t>
      </w:r>
      <w:proofErr w:type="spellStart"/>
      <w:r w:rsidRPr="001B7760">
        <w:rPr>
          <w:rFonts w:cs="Arial"/>
        </w:rPr>
        <w:t>AWaRe</w:t>
      </w:r>
      <w:proofErr w:type="spellEnd"/>
      <w:r w:rsidRPr="001B7760">
        <w:rPr>
          <w:rFonts w:cs="Arial"/>
        </w:rPr>
        <w:t xml:space="preserve"> Policy Brief.</w:t>
      </w:r>
    </w:p>
    <w:p w14:paraId="2086DFDD" w14:textId="77777777" w:rsidR="00DC12EC" w:rsidRPr="001B7760" w:rsidRDefault="00DC12EC" w:rsidP="00DC12EC">
      <w:pPr>
        <w:pStyle w:val="Bibliography"/>
        <w:rPr>
          <w:rFonts w:cs="Arial"/>
        </w:rPr>
      </w:pPr>
      <w:r w:rsidRPr="001B7760">
        <w:rPr>
          <w:rFonts w:cs="Arial"/>
        </w:rPr>
        <w:lastRenderedPageBreak/>
        <w:t xml:space="preserve">3. </w:t>
      </w:r>
      <w:r w:rsidRPr="001B7760">
        <w:rPr>
          <w:rFonts w:cs="Arial"/>
        </w:rPr>
        <w:tab/>
        <w:t xml:space="preserve"> The WHO </w:t>
      </w:r>
      <w:proofErr w:type="spellStart"/>
      <w:r w:rsidRPr="001B7760">
        <w:rPr>
          <w:rFonts w:cs="Arial"/>
        </w:rPr>
        <w:t>AWaRe</w:t>
      </w:r>
      <w:proofErr w:type="spellEnd"/>
      <w:r w:rsidRPr="001B7760">
        <w:rPr>
          <w:rFonts w:cs="Arial"/>
        </w:rPr>
        <w:t xml:space="preserve"> (Access, Watch, Reserve) antibiotic book. https://www.who.int/publications-detail-redirect/9789240062382. Retrieved 5 August 2023.</w:t>
      </w:r>
    </w:p>
    <w:p w14:paraId="7146DB5A" w14:textId="77777777" w:rsidR="00DC12EC" w:rsidRPr="001B7760" w:rsidRDefault="00DC12EC" w:rsidP="00DC12EC">
      <w:pPr>
        <w:pStyle w:val="Bibliography"/>
        <w:rPr>
          <w:rFonts w:cs="Arial"/>
        </w:rPr>
      </w:pPr>
      <w:r w:rsidRPr="001B7760">
        <w:rPr>
          <w:rFonts w:cs="Arial"/>
        </w:rPr>
        <w:t xml:space="preserve">4. </w:t>
      </w:r>
      <w:r w:rsidRPr="001B7760">
        <w:rPr>
          <w:rFonts w:cs="Arial"/>
        </w:rPr>
        <w:tab/>
        <w:t xml:space="preserve"> WHO Model List of Essential Medicines - 22nd list, 2021. https://www.who.int/publications-detail-redirect/WHO-MHP-HPS-EML-2021.02. Retrieved 1 September 2023.</w:t>
      </w:r>
    </w:p>
    <w:p w14:paraId="465A0322" w14:textId="77777777" w:rsidR="00DC12EC" w:rsidRPr="001B7760" w:rsidRDefault="00DC12EC" w:rsidP="00DC12EC">
      <w:pPr>
        <w:pStyle w:val="Bibliography"/>
        <w:rPr>
          <w:rFonts w:cs="Arial"/>
        </w:rPr>
      </w:pPr>
      <w:r w:rsidRPr="001B7760">
        <w:rPr>
          <w:rFonts w:cs="Arial"/>
        </w:rPr>
        <w:t xml:space="preserve">5. </w:t>
      </w:r>
      <w:r w:rsidRPr="001B7760">
        <w:rPr>
          <w:rFonts w:cs="Arial"/>
        </w:rPr>
        <w:tab/>
        <w:t>WHO. Global Antimicrobial Resistance and Use Surveillance System (GLASS) Report 2022.</w:t>
      </w:r>
    </w:p>
    <w:p w14:paraId="0636F75D" w14:textId="77777777" w:rsidR="00DC12EC" w:rsidRPr="001B7760" w:rsidRDefault="00DC12EC" w:rsidP="00DC12EC">
      <w:pPr>
        <w:pStyle w:val="Bibliography"/>
        <w:rPr>
          <w:rFonts w:cs="Arial"/>
        </w:rPr>
      </w:pPr>
      <w:r w:rsidRPr="001B7760">
        <w:rPr>
          <w:rFonts w:cs="Arial"/>
        </w:rPr>
        <w:t xml:space="preserve">6. </w:t>
      </w:r>
      <w:r w:rsidRPr="001B7760">
        <w:rPr>
          <w:rFonts w:cs="Arial"/>
        </w:rPr>
        <w:tab/>
        <w:t xml:space="preserve"> Infections | Topic | NICE. NICE. https://www.nice.org.uk/guidance/conditions-and-diseases/infections. Retrieved 16 August 2023.</w:t>
      </w:r>
    </w:p>
    <w:p w14:paraId="05BC4D42" w14:textId="77777777" w:rsidR="00DC12EC" w:rsidRPr="001B7760" w:rsidRDefault="00DC12EC" w:rsidP="00DC12EC">
      <w:pPr>
        <w:pStyle w:val="Bibliography"/>
        <w:rPr>
          <w:rFonts w:cs="Arial"/>
        </w:rPr>
      </w:pPr>
      <w:r w:rsidRPr="001B7760">
        <w:rPr>
          <w:rFonts w:cs="Arial"/>
        </w:rPr>
        <w:t xml:space="preserve">7. </w:t>
      </w:r>
      <w:r w:rsidRPr="001B7760">
        <w:rPr>
          <w:rFonts w:cs="Arial"/>
        </w:rPr>
        <w:tab/>
        <w:t xml:space="preserve"> IDSA Practice Guidelines. https://www.idsociety.org/practice-guideline/practice-guidelines/. Retrieved 16 August 2023.</w:t>
      </w:r>
    </w:p>
    <w:p w14:paraId="23EC7F5F" w14:textId="77777777" w:rsidR="00DC12EC" w:rsidRPr="001B7760" w:rsidRDefault="00DC12EC" w:rsidP="00DC12EC">
      <w:pPr>
        <w:pStyle w:val="Bibliography"/>
        <w:rPr>
          <w:rFonts w:cs="Arial"/>
        </w:rPr>
      </w:pPr>
      <w:r w:rsidRPr="001B7760">
        <w:rPr>
          <w:rFonts w:cs="Arial"/>
        </w:rPr>
        <w:t xml:space="preserve">8. </w:t>
      </w:r>
      <w:r w:rsidRPr="001B7760">
        <w:rPr>
          <w:rFonts w:cs="Arial"/>
        </w:rPr>
        <w:tab/>
      </w:r>
      <w:proofErr w:type="spellStart"/>
      <w:r w:rsidRPr="001B7760">
        <w:rPr>
          <w:rFonts w:cs="Arial"/>
        </w:rPr>
        <w:t>Zanichelli</w:t>
      </w:r>
      <w:proofErr w:type="spellEnd"/>
      <w:r w:rsidRPr="001B7760">
        <w:rPr>
          <w:rFonts w:cs="Arial"/>
        </w:rPr>
        <w:t xml:space="preserve"> V, </w:t>
      </w:r>
      <w:proofErr w:type="spellStart"/>
      <w:r w:rsidRPr="001B7760">
        <w:rPr>
          <w:rFonts w:cs="Arial"/>
        </w:rPr>
        <w:t>Sharland</w:t>
      </w:r>
      <w:proofErr w:type="spellEnd"/>
      <w:r w:rsidRPr="001B7760">
        <w:rPr>
          <w:rFonts w:cs="Arial"/>
        </w:rPr>
        <w:t xml:space="preserve"> M, Cappello B, Moja L, </w:t>
      </w:r>
      <w:proofErr w:type="spellStart"/>
      <w:r w:rsidRPr="001B7760">
        <w:rPr>
          <w:rFonts w:cs="Arial"/>
        </w:rPr>
        <w:t>Getahun</w:t>
      </w:r>
      <w:proofErr w:type="spellEnd"/>
      <w:r w:rsidRPr="001B7760">
        <w:rPr>
          <w:rFonts w:cs="Arial"/>
        </w:rPr>
        <w:t xml:space="preserve"> H, Pessoa-Silva C, Sati H, van </w:t>
      </w:r>
      <w:proofErr w:type="spellStart"/>
      <w:r w:rsidRPr="001B7760">
        <w:rPr>
          <w:rFonts w:cs="Arial"/>
        </w:rPr>
        <w:t>Weezenbeek</w:t>
      </w:r>
      <w:proofErr w:type="spellEnd"/>
      <w:r w:rsidRPr="001B7760">
        <w:rPr>
          <w:rFonts w:cs="Arial"/>
        </w:rPr>
        <w:t xml:space="preserve"> C, </w:t>
      </w:r>
      <w:proofErr w:type="spellStart"/>
      <w:r w:rsidRPr="001B7760">
        <w:rPr>
          <w:rFonts w:cs="Arial"/>
        </w:rPr>
        <w:t>Balkhy</w:t>
      </w:r>
      <w:proofErr w:type="spellEnd"/>
      <w:r w:rsidRPr="001B7760">
        <w:rPr>
          <w:rFonts w:cs="Arial"/>
        </w:rPr>
        <w:t xml:space="preserve"> H, </w:t>
      </w:r>
      <w:proofErr w:type="spellStart"/>
      <w:r w:rsidRPr="001B7760">
        <w:rPr>
          <w:rFonts w:cs="Arial"/>
        </w:rPr>
        <w:t>Simão</w:t>
      </w:r>
      <w:proofErr w:type="spellEnd"/>
      <w:r w:rsidRPr="001B7760">
        <w:rPr>
          <w:rFonts w:cs="Arial"/>
        </w:rPr>
        <w:t xml:space="preserve"> M, </w:t>
      </w:r>
      <w:proofErr w:type="spellStart"/>
      <w:r w:rsidRPr="001B7760">
        <w:rPr>
          <w:rFonts w:cs="Arial"/>
        </w:rPr>
        <w:t>Gandra</w:t>
      </w:r>
      <w:proofErr w:type="spellEnd"/>
      <w:r w:rsidRPr="001B7760">
        <w:rPr>
          <w:rFonts w:cs="Arial"/>
        </w:rPr>
        <w:t xml:space="preserve"> S, Huttner B. 2023. The WHO </w:t>
      </w:r>
      <w:proofErr w:type="spellStart"/>
      <w:r w:rsidRPr="001B7760">
        <w:rPr>
          <w:rFonts w:cs="Arial"/>
        </w:rPr>
        <w:t>AWaRe</w:t>
      </w:r>
      <w:proofErr w:type="spellEnd"/>
      <w:r w:rsidRPr="001B7760">
        <w:rPr>
          <w:rFonts w:cs="Arial"/>
        </w:rPr>
        <w:t xml:space="preserve"> (Access, Watch, Reserve) antibiotic book and prevention of antimicrobial resistance. Bull World Health Organ 101:290–296.</w:t>
      </w:r>
    </w:p>
    <w:p w14:paraId="42DF214D" w14:textId="77777777" w:rsidR="00DC12EC" w:rsidRPr="001B7760" w:rsidRDefault="00DC12EC" w:rsidP="00DC12EC">
      <w:pPr>
        <w:pStyle w:val="Bibliography"/>
        <w:rPr>
          <w:rFonts w:cs="Arial"/>
        </w:rPr>
      </w:pPr>
      <w:r w:rsidRPr="001B7760">
        <w:rPr>
          <w:rFonts w:cs="Arial"/>
        </w:rPr>
        <w:t xml:space="preserve">9. </w:t>
      </w:r>
      <w:r w:rsidRPr="001B7760">
        <w:rPr>
          <w:rFonts w:cs="Arial"/>
        </w:rPr>
        <w:tab/>
        <w:t xml:space="preserve">Clements MN, Russell N, </w:t>
      </w:r>
      <w:proofErr w:type="spellStart"/>
      <w:r w:rsidRPr="001B7760">
        <w:rPr>
          <w:rFonts w:cs="Arial"/>
        </w:rPr>
        <w:t>Bielicki</w:t>
      </w:r>
      <w:proofErr w:type="spellEnd"/>
      <w:r w:rsidRPr="001B7760">
        <w:rPr>
          <w:rFonts w:cs="Arial"/>
        </w:rPr>
        <w:t xml:space="preserve"> JA, Ellis S, </w:t>
      </w:r>
      <w:proofErr w:type="spellStart"/>
      <w:r w:rsidRPr="001B7760">
        <w:rPr>
          <w:rFonts w:cs="Arial"/>
        </w:rPr>
        <w:t>Gastine</w:t>
      </w:r>
      <w:proofErr w:type="spellEnd"/>
      <w:r w:rsidRPr="001B7760">
        <w:rPr>
          <w:rFonts w:cs="Arial"/>
        </w:rPr>
        <w:t xml:space="preserve"> S, Hsia Y, Standing JF, Walker AS, </w:t>
      </w:r>
      <w:proofErr w:type="spellStart"/>
      <w:r w:rsidRPr="001B7760">
        <w:rPr>
          <w:rFonts w:cs="Arial"/>
        </w:rPr>
        <w:t>Sharland</w:t>
      </w:r>
      <w:proofErr w:type="spellEnd"/>
      <w:r w:rsidRPr="001B7760">
        <w:rPr>
          <w:rFonts w:cs="Arial"/>
        </w:rPr>
        <w:t xml:space="preserve"> M. 2021. Global antibiotic dosing strategies in hospitalised children: Characterising variation and implications for harmonisation of international guidelines. </w:t>
      </w:r>
      <w:proofErr w:type="spellStart"/>
      <w:r w:rsidRPr="001B7760">
        <w:rPr>
          <w:rFonts w:cs="Arial"/>
        </w:rPr>
        <w:t>PLoS</w:t>
      </w:r>
      <w:proofErr w:type="spellEnd"/>
      <w:r w:rsidRPr="001B7760">
        <w:rPr>
          <w:rFonts w:cs="Arial"/>
        </w:rPr>
        <w:t xml:space="preserve"> One </w:t>
      </w:r>
      <w:proofErr w:type="gramStart"/>
      <w:r w:rsidRPr="001B7760">
        <w:rPr>
          <w:rFonts w:cs="Arial"/>
        </w:rPr>
        <w:t>16:e</w:t>
      </w:r>
      <w:proofErr w:type="gramEnd"/>
      <w:r w:rsidRPr="001B7760">
        <w:rPr>
          <w:rFonts w:cs="Arial"/>
        </w:rPr>
        <w:t>0252223.</w:t>
      </w:r>
    </w:p>
    <w:p w14:paraId="050D4CE2" w14:textId="77777777" w:rsidR="00DC12EC" w:rsidRPr="001B7760" w:rsidRDefault="00DC12EC" w:rsidP="00DC12EC">
      <w:pPr>
        <w:pStyle w:val="Bibliography"/>
        <w:rPr>
          <w:rFonts w:cs="Arial"/>
        </w:rPr>
      </w:pPr>
      <w:r w:rsidRPr="001B7760">
        <w:rPr>
          <w:rFonts w:cs="Arial"/>
        </w:rPr>
        <w:t xml:space="preserve">10. </w:t>
      </w:r>
      <w:r w:rsidRPr="001B7760">
        <w:rPr>
          <w:rFonts w:cs="Arial"/>
        </w:rPr>
        <w:tab/>
      </w:r>
      <w:proofErr w:type="spellStart"/>
      <w:r w:rsidRPr="001B7760">
        <w:rPr>
          <w:rFonts w:cs="Arial"/>
        </w:rPr>
        <w:t>Vinks</w:t>
      </w:r>
      <w:proofErr w:type="spellEnd"/>
      <w:r w:rsidRPr="001B7760">
        <w:rPr>
          <w:rFonts w:cs="Arial"/>
        </w:rPr>
        <w:t xml:space="preserve"> AA, </w:t>
      </w:r>
      <w:proofErr w:type="spellStart"/>
      <w:r w:rsidRPr="001B7760">
        <w:rPr>
          <w:rFonts w:cs="Arial"/>
        </w:rPr>
        <w:t>Derendorf</w:t>
      </w:r>
      <w:proofErr w:type="spellEnd"/>
      <w:r w:rsidRPr="001B7760">
        <w:rPr>
          <w:rFonts w:cs="Arial"/>
        </w:rPr>
        <w:t xml:space="preserve"> H, Mouton JW. 2014. Fundamentals of Antimicrobial Pharmacokinetics and Pharmacodynamics. Retrieved 28 July 2022.</w:t>
      </w:r>
    </w:p>
    <w:p w14:paraId="6A4B3FA2" w14:textId="77777777" w:rsidR="00DC12EC" w:rsidRPr="001B7760" w:rsidRDefault="00DC12EC" w:rsidP="00DC12EC">
      <w:pPr>
        <w:pStyle w:val="Bibliography"/>
        <w:rPr>
          <w:rFonts w:cs="Arial"/>
        </w:rPr>
      </w:pPr>
      <w:r w:rsidRPr="001B7760">
        <w:rPr>
          <w:rFonts w:cs="Arial"/>
        </w:rPr>
        <w:t xml:space="preserve">11. </w:t>
      </w:r>
      <w:r w:rsidRPr="001B7760">
        <w:rPr>
          <w:rFonts w:cs="Arial"/>
        </w:rPr>
        <w:tab/>
        <w:t xml:space="preserve"> </w:t>
      </w:r>
      <w:proofErr w:type="spellStart"/>
      <w:r w:rsidRPr="001B7760">
        <w:rPr>
          <w:rFonts w:cs="Arial"/>
        </w:rPr>
        <w:t>eucast</w:t>
      </w:r>
      <w:proofErr w:type="spellEnd"/>
      <w:r w:rsidRPr="001B7760">
        <w:rPr>
          <w:rFonts w:cs="Arial"/>
        </w:rPr>
        <w:t>: MIC determination. https://www.eucast.org/ast_of_bacteria/mic_determination. Retrieved 21 August 2023.</w:t>
      </w:r>
    </w:p>
    <w:p w14:paraId="63D51945" w14:textId="77777777" w:rsidR="00DC12EC" w:rsidRPr="001B7760" w:rsidRDefault="00DC12EC" w:rsidP="00DC12EC">
      <w:pPr>
        <w:pStyle w:val="Bibliography"/>
        <w:rPr>
          <w:rFonts w:cs="Arial"/>
        </w:rPr>
      </w:pPr>
      <w:r w:rsidRPr="001B7760">
        <w:rPr>
          <w:rFonts w:cs="Arial"/>
        </w:rPr>
        <w:lastRenderedPageBreak/>
        <w:t xml:space="preserve">12. </w:t>
      </w:r>
      <w:r w:rsidRPr="001B7760">
        <w:rPr>
          <w:rFonts w:cs="Arial"/>
        </w:rPr>
        <w:tab/>
        <w:t xml:space="preserve"> 2015. Methods for dilution antimicrobial susceptibility tests for bacteria that grow aerobically: M07-A</w:t>
      </w:r>
      <w:proofErr w:type="gramStart"/>
      <w:r w:rsidRPr="001B7760">
        <w:rPr>
          <w:rFonts w:cs="Arial"/>
        </w:rPr>
        <w:t>10 ;</w:t>
      </w:r>
      <w:proofErr w:type="gramEnd"/>
      <w:r w:rsidRPr="001B7760">
        <w:rPr>
          <w:rFonts w:cs="Arial"/>
        </w:rPr>
        <w:t xml:space="preserve"> approved standard10. ed. Committee for Clinical Laboratory Standards, Wayne, PA.</w:t>
      </w:r>
    </w:p>
    <w:p w14:paraId="013749BB" w14:textId="77777777" w:rsidR="00DC12EC" w:rsidRPr="001B7760" w:rsidRDefault="00DC12EC" w:rsidP="00DC12EC">
      <w:pPr>
        <w:pStyle w:val="Bibliography"/>
        <w:rPr>
          <w:rFonts w:cs="Arial"/>
        </w:rPr>
      </w:pPr>
      <w:r w:rsidRPr="001B7760">
        <w:rPr>
          <w:rFonts w:cs="Arial"/>
        </w:rPr>
        <w:t xml:space="preserve">13. </w:t>
      </w:r>
      <w:r w:rsidRPr="001B7760">
        <w:rPr>
          <w:rFonts w:cs="Arial"/>
        </w:rPr>
        <w:tab/>
        <w:t xml:space="preserve">Page MJ, McKenzie JE, </w:t>
      </w:r>
      <w:proofErr w:type="spellStart"/>
      <w:r w:rsidRPr="001B7760">
        <w:rPr>
          <w:rFonts w:cs="Arial"/>
        </w:rPr>
        <w:t>Bossuyt</w:t>
      </w:r>
      <w:proofErr w:type="spellEnd"/>
      <w:r w:rsidRPr="001B7760">
        <w:rPr>
          <w:rFonts w:cs="Arial"/>
        </w:rPr>
        <w:t xml:space="preserve"> PM, </w:t>
      </w:r>
      <w:proofErr w:type="spellStart"/>
      <w:r w:rsidRPr="001B7760">
        <w:rPr>
          <w:rFonts w:cs="Arial"/>
        </w:rPr>
        <w:t>Boutron</w:t>
      </w:r>
      <w:proofErr w:type="spellEnd"/>
      <w:r w:rsidRPr="001B7760">
        <w:rPr>
          <w:rFonts w:cs="Arial"/>
        </w:rPr>
        <w:t xml:space="preserve"> I, Hoffmann TC, Mulrow CD, </w:t>
      </w:r>
      <w:proofErr w:type="spellStart"/>
      <w:r w:rsidRPr="001B7760">
        <w:rPr>
          <w:rFonts w:cs="Arial"/>
        </w:rPr>
        <w:t>Shamseer</w:t>
      </w:r>
      <w:proofErr w:type="spellEnd"/>
      <w:r w:rsidRPr="001B7760">
        <w:rPr>
          <w:rFonts w:cs="Arial"/>
        </w:rPr>
        <w:t xml:space="preserve"> L, </w:t>
      </w:r>
      <w:proofErr w:type="spellStart"/>
      <w:r w:rsidRPr="001B7760">
        <w:rPr>
          <w:rFonts w:cs="Arial"/>
        </w:rPr>
        <w:t>Tetzlaff</w:t>
      </w:r>
      <w:proofErr w:type="spellEnd"/>
      <w:r w:rsidRPr="001B7760">
        <w:rPr>
          <w:rFonts w:cs="Arial"/>
        </w:rPr>
        <w:t xml:space="preserve"> JM, </w:t>
      </w:r>
      <w:proofErr w:type="spellStart"/>
      <w:r w:rsidRPr="001B7760">
        <w:rPr>
          <w:rFonts w:cs="Arial"/>
        </w:rPr>
        <w:t>Akl</w:t>
      </w:r>
      <w:proofErr w:type="spellEnd"/>
      <w:r w:rsidRPr="001B7760">
        <w:rPr>
          <w:rFonts w:cs="Arial"/>
        </w:rPr>
        <w:t xml:space="preserve"> EA, Brennan SE, Chou R, Glanville J, Grimshaw JM, </w:t>
      </w:r>
      <w:proofErr w:type="spellStart"/>
      <w:r w:rsidRPr="001B7760">
        <w:rPr>
          <w:rFonts w:cs="Arial"/>
        </w:rPr>
        <w:t>Hróbjartsson</w:t>
      </w:r>
      <w:proofErr w:type="spellEnd"/>
      <w:r w:rsidRPr="001B7760">
        <w:rPr>
          <w:rFonts w:cs="Arial"/>
        </w:rPr>
        <w:t xml:space="preserve"> A, Lalu MM, Li T, Loder EW, Mayo-Wilson E, McDonald S, McGuinness LA, Stewart LA, Thomas J, </w:t>
      </w:r>
      <w:proofErr w:type="spellStart"/>
      <w:r w:rsidRPr="001B7760">
        <w:rPr>
          <w:rFonts w:cs="Arial"/>
        </w:rPr>
        <w:t>Tricco</w:t>
      </w:r>
      <w:proofErr w:type="spellEnd"/>
      <w:r w:rsidRPr="001B7760">
        <w:rPr>
          <w:rFonts w:cs="Arial"/>
        </w:rPr>
        <w:t xml:space="preserve"> AC, Welch VA, Whiting P, Moher D. 2021. The PRISMA 2020 statement: an updated guideline for reporting systematic reviews. BMJ n71.</w:t>
      </w:r>
    </w:p>
    <w:p w14:paraId="4114405C" w14:textId="77777777" w:rsidR="00DC12EC" w:rsidRPr="001B7760" w:rsidRDefault="00DC12EC" w:rsidP="00DC12EC">
      <w:pPr>
        <w:pStyle w:val="Bibliography"/>
        <w:rPr>
          <w:rFonts w:cs="Arial"/>
        </w:rPr>
      </w:pPr>
      <w:r w:rsidRPr="001B7760">
        <w:rPr>
          <w:rFonts w:cs="Arial"/>
        </w:rPr>
        <w:t xml:space="preserve">14. </w:t>
      </w:r>
      <w:r w:rsidRPr="001B7760">
        <w:rPr>
          <w:rFonts w:cs="Arial"/>
        </w:rPr>
        <w:tab/>
        <w:t>Cochrane Training. 2022. Cochrane Handbook for Systematic Reviews of Interventions. https://training.cochrane.org/handbook/current. Retrieved 1 January 2023.</w:t>
      </w:r>
    </w:p>
    <w:p w14:paraId="40F5D075" w14:textId="77777777" w:rsidR="00DC12EC" w:rsidRPr="001B7760" w:rsidRDefault="00DC12EC" w:rsidP="00DC12EC">
      <w:pPr>
        <w:pStyle w:val="Bibliography"/>
        <w:rPr>
          <w:rFonts w:cs="Arial"/>
        </w:rPr>
      </w:pPr>
      <w:r w:rsidRPr="001B7760">
        <w:rPr>
          <w:rFonts w:cs="Arial"/>
        </w:rPr>
        <w:t xml:space="preserve">15. </w:t>
      </w:r>
      <w:r w:rsidRPr="001B7760">
        <w:rPr>
          <w:rFonts w:cs="Arial"/>
        </w:rPr>
        <w:tab/>
        <w:t>Committee for Medicinal Products for Human USE (CHMP), European Medicines Agency. 2007. Guideline on reporting the results of Population Pharmacokinetic analyses.</w:t>
      </w:r>
    </w:p>
    <w:p w14:paraId="314ADEF0" w14:textId="77777777" w:rsidR="00DC12EC" w:rsidRPr="001B7760" w:rsidRDefault="00DC12EC" w:rsidP="00DC12EC">
      <w:pPr>
        <w:pStyle w:val="Bibliography"/>
        <w:rPr>
          <w:rFonts w:cs="Arial"/>
        </w:rPr>
      </w:pPr>
      <w:r w:rsidRPr="001B7760">
        <w:rPr>
          <w:rFonts w:cs="Arial"/>
        </w:rPr>
        <w:t xml:space="preserve">16. </w:t>
      </w:r>
      <w:r w:rsidRPr="001B7760">
        <w:rPr>
          <w:rFonts w:cs="Arial"/>
        </w:rPr>
        <w:tab/>
      </w:r>
      <w:proofErr w:type="spellStart"/>
      <w:r w:rsidRPr="001B7760">
        <w:rPr>
          <w:rFonts w:cs="Arial"/>
        </w:rPr>
        <w:t>Gastine</w:t>
      </w:r>
      <w:proofErr w:type="spellEnd"/>
      <w:r w:rsidRPr="001B7760">
        <w:rPr>
          <w:rFonts w:cs="Arial"/>
        </w:rPr>
        <w:t xml:space="preserve"> S, Rashed AN, Hsia Y, Jackson C, Barker CIS, Mathur S, Tomlin S, </w:t>
      </w:r>
      <w:proofErr w:type="spellStart"/>
      <w:r w:rsidRPr="001B7760">
        <w:rPr>
          <w:rFonts w:cs="Arial"/>
        </w:rPr>
        <w:t>Lutsar</w:t>
      </w:r>
      <w:proofErr w:type="spellEnd"/>
      <w:r w:rsidRPr="001B7760">
        <w:rPr>
          <w:rFonts w:cs="Arial"/>
        </w:rPr>
        <w:t xml:space="preserve"> I, </w:t>
      </w:r>
      <w:proofErr w:type="spellStart"/>
      <w:r w:rsidRPr="001B7760">
        <w:rPr>
          <w:rFonts w:cs="Arial"/>
        </w:rPr>
        <w:t>Bielicki</w:t>
      </w:r>
      <w:proofErr w:type="spellEnd"/>
      <w:r w:rsidRPr="001B7760">
        <w:rPr>
          <w:rFonts w:cs="Arial"/>
        </w:rPr>
        <w:t xml:space="preserve"> J, Standing JF, </w:t>
      </w:r>
      <w:proofErr w:type="spellStart"/>
      <w:r w:rsidRPr="001B7760">
        <w:rPr>
          <w:rFonts w:cs="Arial"/>
        </w:rPr>
        <w:t>Sharland</w:t>
      </w:r>
      <w:proofErr w:type="spellEnd"/>
      <w:r w:rsidRPr="001B7760">
        <w:rPr>
          <w:rFonts w:cs="Arial"/>
        </w:rPr>
        <w:t xml:space="preserve"> M. 2019. GAPPS (Grading and Assessment of Pharmacokinetic-Pharmacodynamic Studies) a critical appraisal system for antimicrobial PKPD studies–development and application in </w:t>
      </w:r>
      <w:proofErr w:type="spellStart"/>
      <w:r w:rsidRPr="001B7760">
        <w:rPr>
          <w:rFonts w:cs="Arial"/>
        </w:rPr>
        <w:t>pediatric</w:t>
      </w:r>
      <w:proofErr w:type="spellEnd"/>
      <w:r w:rsidRPr="001B7760">
        <w:rPr>
          <w:rFonts w:cs="Arial"/>
        </w:rPr>
        <w:t xml:space="preserve"> antibiotic studies. Expert Review of Clinical Pharmacology 12:1091–1098.</w:t>
      </w:r>
    </w:p>
    <w:p w14:paraId="20576D23" w14:textId="77777777" w:rsidR="00DC12EC" w:rsidRPr="001B7760" w:rsidRDefault="00DC12EC" w:rsidP="00DC12EC">
      <w:pPr>
        <w:pStyle w:val="Bibliography"/>
        <w:rPr>
          <w:rFonts w:cs="Arial"/>
        </w:rPr>
      </w:pPr>
      <w:r w:rsidRPr="001B7760">
        <w:rPr>
          <w:rFonts w:cs="Arial"/>
        </w:rPr>
        <w:t xml:space="preserve">17. </w:t>
      </w:r>
      <w:r w:rsidRPr="001B7760">
        <w:rPr>
          <w:rFonts w:cs="Arial"/>
        </w:rPr>
        <w:tab/>
      </w:r>
      <w:proofErr w:type="spellStart"/>
      <w:r w:rsidRPr="001B7760">
        <w:rPr>
          <w:rFonts w:cs="Arial"/>
        </w:rPr>
        <w:t>Hazenberg</w:t>
      </w:r>
      <w:proofErr w:type="spellEnd"/>
      <w:r w:rsidRPr="001B7760">
        <w:rPr>
          <w:rFonts w:cs="Arial"/>
        </w:rPr>
        <w:t xml:space="preserve"> P, Navaratnam K, </w:t>
      </w:r>
      <w:proofErr w:type="spellStart"/>
      <w:r w:rsidRPr="001B7760">
        <w:rPr>
          <w:rFonts w:cs="Arial"/>
        </w:rPr>
        <w:t>Busuulwa</w:t>
      </w:r>
      <w:proofErr w:type="spellEnd"/>
      <w:r w:rsidRPr="001B7760">
        <w:rPr>
          <w:rFonts w:cs="Arial"/>
        </w:rPr>
        <w:t xml:space="preserve"> P, </w:t>
      </w:r>
      <w:proofErr w:type="spellStart"/>
      <w:r w:rsidRPr="001B7760">
        <w:rPr>
          <w:rFonts w:cs="Arial"/>
        </w:rPr>
        <w:t>Waitt</w:t>
      </w:r>
      <w:proofErr w:type="spellEnd"/>
      <w:r w:rsidRPr="001B7760">
        <w:rPr>
          <w:rFonts w:cs="Arial"/>
        </w:rPr>
        <w:t xml:space="preserve"> C. 2021. Anti-Infective Dosing in Special Populations: Pregnancy. Clinical pharmacology and therapeutics 109:977–986.</w:t>
      </w:r>
    </w:p>
    <w:p w14:paraId="5502AA49" w14:textId="77777777" w:rsidR="00DC12EC" w:rsidRPr="001B7760" w:rsidRDefault="00DC12EC" w:rsidP="00DC12EC">
      <w:pPr>
        <w:pStyle w:val="Bibliography"/>
        <w:rPr>
          <w:rFonts w:cs="Arial"/>
        </w:rPr>
      </w:pPr>
      <w:r w:rsidRPr="001B7760">
        <w:rPr>
          <w:rFonts w:cs="Arial"/>
        </w:rPr>
        <w:t xml:space="preserve">18. </w:t>
      </w:r>
      <w:r w:rsidRPr="001B7760">
        <w:rPr>
          <w:rFonts w:cs="Arial"/>
        </w:rPr>
        <w:tab/>
        <w:t>World Health Organization. 2018. WHO report on surveillance of antibiotic consumption: 2016-2018 early implementation. World Health Organization, Geneva. https://apps.who.int/iris/handle/10665/277359. Retrieved 5 August 2023.</w:t>
      </w:r>
    </w:p>
    <w:p w14:paraId="624B92CD" w14:textId="77777777" w:rsidR="00DC12EC" w:rsidRPr="001B7760" w:rsidRDefault="00DC12EC" w:rsidP="00DC12EC">
      <w:pPr>
        <w:pStyle w:val="Bibliography"/>
        <w:rPr>
          <w:rFonts w:cs="Arial"/>
        </w:rPr>
      </w:pPr>
      <w:r w:rsidRPr="001B7760">
        <w:rPr>
          <w:rFonts w:cs="Arial"/>
        </w:rPr>
        <w:lastRenderedPageBreak/>
        <w:t xml:space="preserve">19. </w:t>
      </w:r>
      <w:r w:rsidRPr="001B7760">
        <w:rPr>
          <w:rFonts w:cs="Arial"/>
        </w:rPr>
        <w:tab/>
        <w:t>de Velde F, de Winter BCM, Koch BCP, van Gelder T, Mouton JW. 2016. Non-linear absorption pharmacokinetics of amoxicillin: Consequences for dosing regimens and clinical breakpoints. Journal of Antimicrobial Chemotherapy 71:2909–2917.</w:t>
      </w:r>
    </w:p>
    <w:p w14:paraId="084BABFA" w14:textId="77777777" w:rsidR="00DC12EC" w:rsidRPr="001B7760" w:rsidRDefault="00DC12EC" w:rsidP="00DC12EC">
      <w:pPr>
        <w:pStyle w:val="Bibliography"/>
        <w:rPr>
          <w:rFonts w:cs="Arial"/>
        </w:rPr>
      </w:pPr>
      <w:r w:rsidRPr="001B7760">
        <w:rPr>
          <w:rFonts w:cs="Arial"/>
        </w:rPr>
        <w:t xml:space="preserve">20. </w:t>
      </w:r>
      <w:r w:rsidRPr="001B7760">
        <w:rPr>
          <w:rFonts w:cs="Arial"/>
        </w:rPr>
        <w:tab/>
        <w:t xml:space="preserve">Li M, Andrew MA, Wang J, Salinger DH, </w:t>
      </w:r>
      <w:proofErr w:type="spellStart"/>
      <w:r w:rsidRPr="001B7760">
        <w:rPr>
          <w:rFonts w:cs="Arial"/>
        </w:rPr>
        <w:t>Vicini</w:t>
      </w:r>
      <w:proofErr w:type="spellEnd"/>
      <w:r w:rsidRPr="001B7760">
        <w:rPr>
          <w:rFonts w:cs="Arial"/>
        </w:rPr>
        <w:t xml:space="preserve"> P, Grady RW, Phillips B, Shen DD, Anderson GD. 2009. Effects of cranberry juice on pharmacokinetics of beta-lactam antibiotics following oral administration. Antimicrobial agents and chemotherapy 53:2725–2732.</w:t>
      </w:r>
    </w:p>
    <w:p w14:paraId="5A113FB4" w14:textId="77777777" w:rsidR="00DC12EC" w:rsidRPr="001B7760" w:rsidRDefault="00DC12EC" w:rsidP="00DC12EC">
      <w:pPr>
        <w:pStyle w:val="Bibliography"/>
        <w:rPr>
          <w:rFonts w:cs="Arial"/>
        </w:rPr>
      </w:pPr>
      <w:r w:rsidRPr="001B7760">
        <w:rPr>
          <w:rFonts w:cs="Arial"/>
        </w:rPr>
        <w:t xml:space="preserve">21. </w:t>
      </w:r>
      <w:r w:rsidRPr="001B7760">
        <w:rPr>
          <w:rFonts w:cs="Arial"/>
        </w:rPr>
        <w:tab/>
      </w:r>
      <w:proofErr w:type="spellStart"/>
      <w:r w:rsidRPr="001B7760">
        <w:rPr>
          <w:rFonts w:cs="Arial"/>
        </w:rPr>
        <w:t>Pene</w:t>
      </w:r>
      <w:proofErr w:type="spellEnd"/>
      <w:r w:rsidRPr="001B7760">
        <w:rPr>
          <w:rFonts w:cs="Arial"/>
        </w:rPr>
        <w:t xml:space="preserve"> </w:t>
      </w:r>
      <w:proofErr w:type="spellStart"/>
      <w:r w:rsidRPr="001B7760">
        <w:rPr>
          <w:rFonts w:cs="Arial"/>
        </w:rPr>
        <w:t>Dumitrescu</w:t>
      </w:r>
      <w:proofErr w:type="spellEnd"/>
      <w:r w:rsidRPr="001B7760">
        <w:rPr>
          <w:rFonts w:cs="Arial"/>
        </w:rPr>
        <w:t xml:space="preserve"> T, </w:t>
      </w:r>
      <w:proofErr w:type="spellStart"/>
      <w:r w:rsidRPr="001B7760">
        <w:rPr>
          <w:rFonts w:cs="Arial"/>
        </w:rPr>
        <w:t>Anic</w:t>
      </w:r>
      <w:proofErr w:type="spellEnd"/>
      <w:r w:rsidRPr="001B7760">
        <w:rPr>
          <w:rFonts w:cs="Arial"/>
        </w:rPr>
        <w:t xml:space="preserve">-Milic T, Oreskovic K, </w:t>
      </w:r>
      <w:proofErr w:type="spellStart"/>
      <w:r w:rsidRPr="001B7760">
        <w:rPr>
          <w:rFonts w:cs="Arial"/>
        </w:rPr>
        <w:t>Padovan</w:t>
      </w:r>
      <w:proofErr w:type="spellEnd"/>
      <w:r w:rsidRPr="001B7760">
        <w:rPr>
          <w:rFonts w:cs="Arial"/>
        </w:rPr>
        <w:t xml:space="preserve"> J, Brouwer KLR, </w:t>
      </w:r>
      <w:proofErr w:type="spellStart"/>
      <w:r w:rsidRPr="001B7760">
        <w:rPr>
          <w:rFonts w:cs="Arial"/>
        </w:rPr>
        <w:t>Zuo</w:t>
      </w:r>
      <w:proofErr w:type="spellEnd"/>
      <w:r w:rsidRPr="001B7760">
        <w:rPr>
          <w:rFonts w:cs="Arial"/>
        </w:rPr>
        <w:t xml:space="preserve"> P, </w:t>
      </w:r>
      <w:proofErr w:type="spellStart"/>
      <w:r w:rsidRPr="001B7760">
        <w:rPr>
          <w:rFonts w:cs="Arial"/>
        </w:rPr>
        <w:t>Schmith</w:t>
      </w:r>
      <w:proofErr w:type="spellEnd"/>
      <w:r w:rsidRPr="001B7760">
        <w:rPr>
          <w:rFonts w:cs="Arial"/>
        </w:rPr>
        <w:t xml:space="preserve"> VD. 2013. Development of a population pharmacokinetic model to describe azithromycin whole-blood and plasma concentrations over time in healthy subjects. Antimicrobial agents and chemotherapy 57:3194–3201.</w:t>
      </w:r>
    </w:p>
    <w:p w14:paraId="62C5CAD5" w14:textId="77777777" w:rsidR="00DC12EC" w:rsidRPr="001B7760" w:rsidRDefault="00DC12EC" w:rsidP="00DC12EC">
      <w:pPr>
        <w:pStyle w:val="Bibliography"/>
        <w:rPr>
          <w:rFonts w:cs="Arial"/>
        </w:rPr>
      </w:pPr>
      <w:r w:rsidRPr="001B7760">
        <w:rPr>
          <w:rFonts w:cs="Arial"/>
        </w:rPr>
        <w:t xml:space="preserve">22. </w:t>
      </w:r>
      <w:r w:rsidRPr="001B7760">
        <w:rPr>
          <w:rFonts w:cs="Arial"/>
        </w:rPr>
        <w:tab/>
        <w:t xml:space="preserve">Muto C, Liu P, Chiba K, </w:t>
      </w:r>
      <w:proofErr w:type="spellStart"/>
      <w:r w:rsidRPr="001B7760">
        <w:rPr>
          <w:rFonts w:cs="Arial"/>
        </w:rPr>
        <w:t>Suwa</w:t>
      </w:r>
      <w:proofErr w:type="spellEnd"/>
      <w:r w:rsidRPr="001B7760">
        <w:rPr>
          <w:rFonts w:cs="Arial"/>
        </w:rPr>
        <w:t xml:space="preserve"> T. 2011. Pharmacokinetic-pharmacodynamic analysis of azithromycin extended release in Japanese patients with common respiratory tract infectious disease. The Journal of antimicrobial chemotherapy 66:165–174.</w:t>
      </w:r>
    </w:p>
    <w:p w14:paraId="5903438A" w14:textId="77777777" w:rsidR="00DC12EC" w:rsidRPr="001B7760" w:rsidRDefault="00DC12EC" w:rsidP="00DC12EC">
      <w:pPr>
        <w:pStyle w:val="Bibliography"/>
        <w:rPr>
          <w:rFonts w:cs="Arial"/>
        </w:rPr>
      </w:pPr>
      <w:r w:rsidRPr="001B7760">
        <w:rPr>
          <w:rFonts w:cs="Arial"/>
        </w:rPr>
        <w:t xml:space="preserve">23. </w:t>
      </w:r>
      <w:r w:rsidRPr="001B7760">
        <w:rPr>
          <w:rFonts w:cs="Arial"/>
        </w:rPr>
        <w:tab/>
        <w:t xml:space="preserve">Sampson MR, </w:t>
      </w:r>
      <w:proofErr w:type="spellStart"/>
      <w:r w:rsidRPr="001B7760">
        <w:rPr>
          <w:rFonts w:cs="Arial"/>
        </w:rPr>
        <w:t>Dumitrescu</w:t>
      </w:r>
      <w:proofErr w:type="spellEnd"/>
      <w:r w:rsidRPr="001B7760">
        <w:rPr>
          <w:rFonts w:cs="Arial"/>
        </w:rPr>
        <w:t xml:space="preserve"> TP, Brouwer KLR, </w:t>
      </w:r>
      <w:proofErr w:type="spellStart"/>
      <w:r w:rsidRPr="001B7760">
        <w:rPr>
          <w:rFonts w:cs="Arial"/>
        </w:rPr>
        <w:t>Schmith</w:t>
      </w:r>
      <w:proofErr w:type="spellEnd"/>
      <w:r w:rsidRPr="001B7760">
        <w:rPr>
          <w:rFonts w:cs="Arial"/>
        </w:rPr>
        <w:t xml:space="preserve"> VD. 2014. Population pharmacokinetics of azithromycin in whole blood, peripheral blood mononuclear cells, and polymorphonuclear cells in healthy adults. CPT: pharmacometrics &amp; systems pharmacology </w:t>
      </w:r>
      <w:proofErr w:type="gramStart"/>
      <w:r w:rsidRPr="001B7760">
        <w:rPr>
          <w:rFonts w:cs="Arial"/>
        </w:rPr>
        <w:t>3:e</w:t>
      </w:r>
      <w:proofErr w:type="gramEnd"/>
      <w:r w:rsidRPr="001B7760">
        <w:rPr>
          <w:rFonts w:cs="Arial"/>
        </w:rPr>
        <w:t>103.</w:t>
      </w:r>
    </w:p>
    <w:p w14:paraId="6D42F021" w14:textId="77777777" w:rsidR="00DC12EC" w:rsidRPr="001B7760" w:rsidRDefault="00DC12EC" w:rsidP="00DC12EC">
      <w:pPr>
        <w:pStyle w:val="Bibliography"/>
        <w:rPr>
          <w:rFonts w:cs="Arial"/>
        </w:rPr>
      </w:pPr>
      <w:r w:rsidRPr="001B7760">
        <w:rPr>
          <w:rFonts w:cs="Arial"/>
        </w:rPr>
        <w:t xml:space="preserve">24. </w:t>
      </w:r>
      <w:r w:rsidRPr="001B7760">
        <w:rPr>
          <w:rFonts w:cs="Arial"/>
        </w:rPr>
        <w:tab/>
      </w:r>
      <w:proofErr w:type="spellStart"/>
      <w:r w:rsidRPr="001B7760">
        <w:rPr>
          <w:rFonts w:cs="Arial"/>
        </w:rPr>
        <w:t>Idkaidek</w:t>
      </w:r>
      <w:proofErr w:type="spellEnd"/>
      <w:r w:rsidRPr="001B7760">
        <w:rPr>
          <w:rFonts w:cs="Arial"/>
        </w:rPr>
        <w:t xml:space="preserve"> N, Najib N. 2001. Population pharmacokinetics of azithromycin after peroral administration to healthy volunteers. Acta Pharmaceutic Turcica.</w:t>
      </w:r>
    </w:p>
    <w:p w14:paraId="3C030A84" w14:textId="77777777" w:rsidR="00DC12EC" w:rsidRPr="001B7760" w:rsidRDefault="00DC12EC" w:rsidP="00DC12EC">
      <w:pPr>
        <w:pStyle w:val="Bibliography"/>
        <w:rPr>
          <w:rFonts w:cs="Arial"/>
        </w:rPr>
      </w:pPr>
      <w:r w:rsidRPr="001B7760">
        <w:rPr>
          <w:rFonts w:cs="Arial"/>
        </w:rPr>
        <w:t xml:space="preserve">25. </w:t>
      </w:r>
      <w:r w:rsidRPr="001B7760">
        <w:rPr>
          <w:rFonts w:cs="Arial"/>
        </w:rPr>
        <w:tab/>
        <w:t xml:space="preserve">Zhao Q, </w:t>
      </w:r>
      <w:proofErr w:type="spellStart"/>
      <w:r w:rsidRPr="001B7760">
        <w:rPr>
          <w:rFonts w:cs="Arial"/>
        </w:rPr>
        <w:t>Tensfeldt</w:t>
      </w:r>
      <w:proofErr w:type="spellEnd"/>
      <w:r w:rsidRPr="001B7760">
        <w:rPr>
          <w:rFonts w:cs="Arial"/>
        </w:rPr>
        <w:t xml:space="preserve"> TG, Chandra R, Mould DR. 2014. Population pharmacokinetics of azithromycin and chloroquine in healthy adults and paediatric malaria subjects following oral administration of fixed-dose azithromycin and chloroquine combination tablets. Malaria journal 13:36.</w:t>
      </w:r>
    </w:p>
    <w:p w14:paraId="5BB72C6A" w14:textId="77777777" w:rsidR="00DC12EC" w:rsidRPr="001B7760" w:rsidRDefault="00DC12EC" w:rsidP="00DC12EC">
      <w:pPr>
        <w:pStyle w:val="Bibliography"/>
        <w:rPr>
          <w:rFonts w:cs="Arial"/>
        </w:rPr>
      </w:pPr>
      <w:r w:rsidRPr="001B7760">
        <w:rPr>
          <w:rFonts w:cs="Arial"/>
        </w:rPr>
        <w:lastRenderedPageBreak/>
        <w:t xml:space="preserve">26. </w:t>
      </w:r>
      <w:r w:rsidRPr="001B7760">
        <w:rPr>
          <w:rFonts w:cs="Arial"/>
        </w:rPr>
        <w:tab/>
      </w:r>
      <w:proofErr w:type="spellStart"/>
      <w:r w:rsidRPr="001B7760">
        <w:rPr>
          <w:rFonts w:cs="Arial"/>
        </w:rPr>
        <w:t>Gwee</w:t>
      </w:r>
      <w:proofErr w:type="spellEnd"/>
      <w:r w:rsidRPr="001B7760">
        <w:rPr>
          <w:rFonts w:cs="Arial"/>
        </w:rPr>
        <w:t xml:space="preserve"> A, </w:t>
      </w:r>
      <w:proofErr w:type="spellStart"/>
      <w:r w:rsidRPr="001B7760">
        <w:rPr>
          <w:rFonts w:cs="Arial"/>
        </w:rPr>
        <w:t>Autmizguine</w:t>
      </w:r>
      <w:proofErr w:type="spellEnd"/>
      <w:r w:rsidRPr="001B7760">
        <w:rPr>
          <w:rFonts w:cs="Arial"/>
        </w:rPr>
        <w:t xml:space="preserve"> J, Curtis N, </w:t>
      </w:r>
      <w:proofErr w:type="spellStart"/>
      <w:r w:rsidRPr="001B7760">
        <w:rPr>
          <w:rFonts w:cs="Arial"/>
        </w:rPr>
        <w:t>Duffull</w:t>
      </w:r>
      <w:proofErr w:type="spellEnd"/>
      <w:r w:rsidRPr="001B7760">
        <w:rPr>
          <w:rFonts w:cs="Arial"/>
        </w:rPr>
        <w:t xml:space="preserve"> SB. 2020. Twice- And Thrice-daily Cephalexin Dosing for Staphylococcus aureus Infections in Children. </w:t>
      </w:r>
      <w:proofErr w:type="spellStart"/>
      <w:r w:rsidRPr="001B7760">
        <w:rPr>
          <w:rFonts w:cs="Arial"/>
        </w:rPr>
        <w:t>Pediatric</w:t>
      </w:r>
      <w:proofErr w:type="spellEnd"/>
      <w:r w:rsidRPr="001B7760">
        <w:rPr>
          <w:rFonts w:cs="Arial"/>
        </w:rPr>
        <w:t xml:space="preserve"> Infectious Disease Journal 519–522.</w:t>
      </w:r>
    </w:p>
    <w:p w14:paraId="1D2FBCC5" w14:textId="77777777" w:rsidR="00DC12EC" w:rsidRPr="001B7760" w:rsidRDefault="00DC12EC" w:rsidP="00DC12EC">
      <w:pPr>
        <w:pStyle w:val="Bibliography"/>
        <w:rPr>
          <w:rFonts w:cs="Arial"/>
        </w:rPr>
      </w:pPr>
      <w:r w:rsidRPr="001B7760">
        <w:rPr>
          <w:rFonts w:cs="Arial"/>
        </w:rPr>
        <w:t xml:space="preserve">27. </w:t>
      </w:r>
      <w:r w:rsidRPr="001B7760">
        <w:rPr>
          <w:rFonts w:cs="Arial"/>
        </w:rPr>
        <w:tab/>
      </w:r>
      <w:proofErr w:type="spellStart"/>
      <w:r w:rsidRPr="001B7760">
        <w:rPr>
          <w:rFonts w:cs="Arial"/>
        </w:rPr>
        <w:t>Zahr</w:t>
      </w:r>
      <w:proofErr w:type="spellEnd"/>
      <w:r w:rsidRPr="001B7760">
        <w:rPr>
          <w:rFonts w:cs="Arial"/>
        </w:rPr>
        <w:t xml:space="preserve"> N, </w:t>
      </w:r>
      <w:proofErr w:type="spellStart"/>
      <w:r w:rsidRPr="001B7760">
        <w:rPr>
          <w:rFonts w:cs="Arial"/>
        </w:rPr>
        <w:t>Urien</w:t>
      </w:r>
      <w:proofErr w:type="spellEnd"/>
      <w:r w:rsidRPr="001B7760">
        <w:rPr>
          <w:rFonts w:cs="Arial"/>
        </w:rPr>
        <w:t xml:space="preserve"> S, </w:t>
      </w:r>
      <w:proofErr w:type="spellStart"/>
      <w:r w:rsidRPr="001B7760">
        <w:rPr>
          <w:rFonts w:cs="Arial"/>
        </w:rPr>
        <w:t>Aubry</w:t>
      </w:r>
      <w:proofErr w:type="spellEnd"/>
      <w:r w:rsidRPr="001B7760">
        <w:rPr>
          <w:rFonts w:cs="Arial"/>
        </w:rPr>
        <w:t xml:space="preserve"> A, Chauvin C, Comets E, </w:t>
      </w:r>
      <w:proofErr w:type="spellStart"/>
      <w:r w:rsidRPr="001B7760">
        <w:rPr>
          <w:rFonts w:cs="Arial"/>
        </w:rPr>
        <w:t>Llopis</w:t>
      </w:r>
      <w:proofErr w:type="spellEnd"/>
      <w:r w:rsidRPr="001B7760">
        <w:rPr>
          <w:rFonts w:cs="Arial"/>
        </w:rPr>
        <w:t xml:space="preserve"> B, Tissot N, Noe G, </w:t>
      </w:r>
      <w:proofErr w:type="spellStart"/>
      <w:r w:rsidRPr="001B7760">
        <w:rPr>
          <w:rFonts w:cs="Arial"/>
        </w:rPr>
        <w:t>Fourniols</w:t>
      </w:r>
      <w:proofErr w:type="spellEnd"/>
      <w:r w:rsidRPr="001B7760">
        <w:rPr>
          <w:rFonts w:cs="Arial"/>
        </w:rPr>
        <w:t xml:space="preserve"> E, </w:t>
      </w:r>
      <w:proofErr w:type="spellStart"/>
      <w:r w:rsidRPr="001B7760">
        <w:rPr>
          <w:rFonts w:cs="Arial"/>
        </w:rPr>
        <w:t>Jaureguiberry</w:t>
      </w:r>
      <w:proofErr w:type="spellEnd"/>
      <w:r w:rsidRPr="001B7760">
        <w:rPr>
          <w:rFonts w:cs="Arial"/>
        </w:rPr>
        <w:t xml:space="preserve"> S, Bleibtreu A, </w:t>
      </w:r>
      <w:proofErr w:type="spellStart"/>
      <w:r w:rsidRPr="001B7760">
        <w:rPr>
          <w:rFonts w:cs="Arial"/>
        </w:rPr>
        <w:t>Funck</w:t>
      </w:r>
      <w:proofErr w:type="spellEnd"/>
      <w:r w:rsidRPr="001B7760">
        <w:rPr>
          <w:rFonts w:cs="Arial"/>
        </w:rPr>
        <w:t xml:space="preserve">-Brentano C, </w:t>
      </w:r>
      <w:proofErr w:type="spellStart"/>
      <w:r w:rsidRPr="001B7760">
        <w:rPr>
          <w:rFonts w:cs="Arial"/>
        </w:rPr>
        <w:t>Barrut</w:t>
      </w:r>
      <w:proofErr w:type="spellEnd"/>
      <w:r w:rsidRPr="001B7760">
        <w:rPr>
          <w:rFonts w:cs="Arial"/>
        </w:rPr>
        <w:t xml:space="preserve"> N, Bonnet I, Calin R, </w:t>
      </w:r>
      <w:proofErr w:type="spellStart"/>
      <w:r w:rsidRPr="001B7760">
        <w:rPr>
          <w:rFonts w:cs="Arial"/>
        </w:rPr>
        <w:t>Caumes</w:t>
      </w:r>
      <w:proofErr w:type="spellEnd"/>
      <w:r w:rsidRPr="001B7760">
        <w:rPr>
          <w:rFonts w:cs="Arial"/>
        </w:rPr>
        <w:t xml:space="preserve"> E, </w:t>
      </w:r>
      <w:proofErr w:type="spellStart"/>
      <w:r w:rsidRPr="001B7760">
        <w:rPr>
          <w:rFonts w:cs="Arial"/>
        </w:rPr>
        <w:t>Clarençon</w:t>
      </w:r>
      <w:proofErr w:type="spellEnd"/>
      <w:r w:rsidRPr="001B7760">
        <w:rPr>
          <w:rFonts w:cs="Arial"/>
        </w:rPr>
        <w:t xml:space="preserve"> F, </w:t>
      </w:r>
      <w:proofErr w:type="spellStart"/>
      <w:r w:rsidRPr="001B7760">
        <w:rPr>
          <w:rFonts w:cs="Arial"/>
        </w:rPr>
        <w:t>Daas</w:t>
      </w:r>
      <w:proofErr w:type="spellEnd"/>
      <w:r w:rsidRPr="001B7760">
        <w:rPr>
          <w:rFonts w:cs="Arial"/>
        </w:rPr>
        <w:t xml:space="preserve"> G, </w:t>
      </w:r>
      <w:proofErr w:type="spellStart"/>
      <w:r w:rsidRPr="001B7760">
        <w:rPr>
          <w:rFonts w:cs="Arial"/>
        </w:rPr>
        <w:t>Fautrel</w:t>
      </w:r>
      <w:proofErr w:type="spellEnd"/>
      <w:r w:rsidRPr="001B7760">
        <w:rPr>
          <w:rFonts w:cs="Arial"/>
        </w:rPr>
        <w:t xml:space="preserve"> B, Fustier A, </w:t>
      </w:r>
      <w:proofErr w:type="spellStart"/>
      <w:r w:rsidRPr="001B7760">
        <w:rPr>
          <w:rFonts w:cs="Arial"/>
        </w:rPr>
        <w:t>Gandjbakhch</w:t>
      </w:r>
      <w:proofErr w:type="spellEnd"/>
      <w:r w:rsidRPr="001B7760">
        <w:rPr>
          <w:rFonts w:cs="Arial"/>
        </w:rPr>
        <w:t xml:space="preserve"> F, Haddad E, </w:t>
      </w:r>
      <w:proofErr w:type="spellStart"/>
      <w:r w:rsidRPr="001B7760">
        <w:rPr>
          <w:rFonts w:cs="Arial"/>
        </w:rPr>
        <w:t>Khiami</w:t>
      </w:r>
      <w:proofErr w:type="spellEnd"/>
      <w:r w:rsidRPr="001B7760">
        <w:rPr>
          <w:rFonts w:cs="Arial"/>
        </w:rPr>
        <w:t xml:space="preserve"> F, </w:t>
      </w:r>
      <w:proofErr w:type="spellStart"/>
      <w:r w:rsidRPr="001B7760">
        <w:rPr>
          <w:rFonts w:cs="Arial"/>
        </w:rPr>
        <w:t>Lazennec</w:t>
      </w:r>
      <w:proofErr w:type="spellEnd"/>
      <w:r w:rsidRPr="001B7760">
        <w:rPr>
          <w:rFonts w:cs="Arial"/>
        </w:rPr>
        <w:t xml:space="preserve"> JY, Marchant M, Mercy G, Metz C, </w:t>
      </w:r>
      <w:proofErr w:type="spellStart"/>
      <w:r w:rsidRPr="001B7760">
        <w:rPr>
          <w:rFonts w:cs="Arial"/>
        </w:rPr>
        <w:t>Miu</w:t>
      </w:r>
      <w:proofErr w:type="spellEnd"/>
      <w:r w:rsidRPr="001B7760">
        <w:rPr>
          <w:rFonts w:cs="Arial"/>
        </w:rPr>
        <w:t xml:space="preserve"> M, Mitrovic S, </w:t>
      </w:r>
      <w:proofErr w:type="spellStart"/>
      <w:r w:rsidRPr="001B7760">
        <w:rPr>
          <w:rFonts w:cs="Arial"/>
        </w:rPr>
        <w:t>Monsel</w:t>
      </w:r>
      <w:proofErr w:type="spellEnd"/>
      <w:r w:rsidRPr="001B7760">
        <w:rPr>
          <w:rFonts w:cs="Arial"/>
        </w:rPr>
        <w:t xml:space="preserve"> G, </w:t>
      </w:r>
      <w:proofErr w:type="spellStart"/>
      <w:r w:rsidRPr="001B7760">
        <w:rPr>
          <w:rFonts w:cs="Arial"/>
        </w:rPr>
        <w:t>Monzani</w:t>
      </w:r>
      <w:proofErr w:type="spellEnd"/>
      <w:r w:rsidRPr="001B7760">
        <w:rPr>
          <w:rFonts w:cs="Arial"/>
        </w:rPr>
        <w:t xml:space="preserve"> Q, </w:t>
      </w:r>
      <w:proofErr w:type="spellStart"/>
      <w:r w:rsidRPr="001B7760">
        <w:rPr>
          <w:rFonts w:cs="Arial"/>
        </w:rPr>
        <w:t>Reubrecht</w:t>
      </w:r>
      <w:proofErr w:type="spellEnd"/>
      <w:r w:rsidRPr="001B7760">
        <w:rPr>
          <w:rFonts w:cs="Arial"/>
        </w:rPr>
        <w:t xml:space="preserve"> V, Robert J. 2021. Ciprofloxacin population pharmacokinetics during long-term treatment of osteoarticular infections. Journal of Antimicrobial Chemotherapy 76:2906–2913.</w:t>
      </w:r>
    </w:p>
    <w:p w14:paraId="4B699860" w14:textId="77777777" w:rsidR="00DC12EC" w:rsidRPr="001B7760" w:rsidRDefault="00DC12EC" w:rsidP="00DC12EC">
      <w:pPr>
        <w:pStyle w:val="Bibliography"/>
        <w:rPr>
          <w:rFonts w:cs="Arial"/>
        </w:rPr>
      </w:pPr>
      <w:r w:rsidRPr="001B7760">
        <w:rPr>
          <w:rFonts w:cs="Arial"/>
        </w:rPr>
        <w:t xml:space="preserve">28. </w:t>
      </w:r>
      <w:r w:rsidRPr="001B7760">
        <w:rPr>
          <w:rFonts w:cs="Arial"/>
        </w:rPr>
        <w:tab/>
        <w:t>Knippenberg B, Page-Sharp M, Salman S, Clark B, Dyer J, Batty KT, Davis TME, Manning L. 2016. Validation and Application of a Dried Blood Spot Assay for Biofilm-Active Antibiotics Commonly Used for Treatment of Prosthetic Implant Infections. Antimicrobial Agents and Chemotherapy 60:4940.</w:t>
      </w:r>
    </w:p>
    <w:p w14:paraId="2D07674E" w14:textId="77777777" w:rsidR="00DC12EC" w:rsidRPr="001B7760" w:rsidRDefault="00DC12EC" w:rsidP="00DC12EC">
      <w:pPr>
        <w:pStyle w:val="Bibliography"/>
        <w:rPr>
          <w:rFonts w:cs="Arial"/>
        </w:rPr>
      </w:pPr>
      <w:r w:rsidRPr="001B7760">
        <w:rPr>
          <w:rFonts w:cs="Arial"/>
        </w:rPr>
        <w:t xml:space="preserve">29. </w:t>
      </w:r>
      <w:r w:rsidRPr="001B7760">
        <w:rPr>
          <w:rFonts w:cs="Arial"/>
        </w:rPr>
        <w:tab/>
        <w:t xml:space="preserve">Morozov M, </w:t>
      </w:r>
      <w:proofErr w:type="spellStart"/>
      <w:r w:rsidRPr="001B7760">
        <w:rPr>
          <w:rFonts w:cs="Arial"/>
        </w:rPr>
        <w:t>Nuske</w:t>
      </w:r>
      <w:proofErr w:type="spellEnd"/>
      <w:r w:rsidRPr="001B7760">
        <w:rPr>
          <w:rFonts w:cs="Arial"/>
        </w:rPr>
        <w:t xml:space="preserve"> E, Serra HA. 2021. Improving Population Pharmacokinetics Through the Use of Genetic Algorithms. Journal of Pharmaceutical Innovation 16:152–159.</w:t>
      </w:r>
    </w:p>
    <w:p w14:paraId="1012D94E" w14:textId="77777777" w:rsidR="00DC12EC" w:rsidRPr="001B7760" w:rsidRDefault="00DC12EC" w:rsidP="00DC12EC">
      <w:pPr>
        <w:pStyle w:val="Bibliography"/>
        <w:rPr>
          <w:rFonts w:cs="Arial"/>
        </w:rPr>
      </w:pPr>
      <w:r w:rsidRPr="001B7760">
        <w:rPr>
          <w:rFonts w:cs="Arial"/>
        </w:rPr>
        <w:t xml:space="preserve">30. </w:t>
      </w:r>
      <w:r w:rsidRPr="001B7760">
        <w:rPr>
          <w:rFonts w:cs="Arial"/>
        </w:rPr>
        <w:tab/>
      </w:r>
      <w:proofErr w:type="spellStart"/>
      <w:r w:rsidRPr="001B7760">
        <w:rPr>
          <w:rFonts w:cs="Arial"/>
        </w:rPr>
        <w:t>Abduljalil</w:t>
      </w:r>
      <w:proofErr w:type="spellEnd"/>
      <w:r w:rsidRPr="001B7760">
        <w:rPr>
          <w:rFonts w:cs="Arial"/>
        </w:rPr>
        <w:t xml:space="preserve"> K, </w:t>
      </w:r>
      <w:proofErr w:type="spellStart"/>
      <w:r w:rsidRPr="001B7760">
        <w:rPr>
          <w:rFonts w:cs="Arial"/>
        </w:rPr>
        <w:t>Kinzig</w:t>
      </w:r>
      <w:proofErr w:type="spellEnd"/>
      <w:r w:rsidRPr="001B7760">
        <w:rPr>
          <w:rFonts w:cs="Arial"/>
        </w:rPr>
        <w:t xml:space="preserve"> M, </w:t>
      </w:r>
      <w:proofErr w:type="spellStart"/>
      <w:r w:rsidRPr="001B7760">
        <w:rPr>
          <w:rFonts w:cs="Arial"/>
        </w:rPr>
        <w:t>Bulitta</w:t>
      </w:r>
      <w:proofErr w:type="spellEnd"/>
      <w:r w:rsidRPr="001B7760">
        <w:rPr>
          <w:rFonts w:cs="Arial"/>
        </w:rPr>
        <w:t xml:space="preserve"> J, </w:t>
      </w:r>
      <w:proofErr w:type="spellStart"/>
      <w:r w:rsidRPr="001B7760">
        <w:rPr>
          <w:rFonts w:cs="Arial"/>
        </w:rPr>
        <w:t>Horkovics-Kovats</w:t>
      </w:r>
      <w:proofErr w:type="spellEnd"/>
      <w:r w:rsidRPr="001B7760">
        <w:rPr>
          <w:rFonts w:cs="Arial"/>
        </w:rPr>
        <w:t xml:space="preserve"> S, </w:t>
      </w:r>
      <w:proofErr w:type="spellStart"/>
      <w:r w:rsidRPr="001B7760">
        <w:rPr>
          <w:rFonts w:cs="Arial"/>
        </w:rPr>
        <w:t>Sörgel</w:t>
      </w:r>
      <w:proofErr w:type="spellEnd"/>
      <w:r w:rsidRPr="001B7760">
        <w:rPr>
          <w:rFonts w:cs="Arial"/>
        </w:rPr>
        <w:t xml:space="preserve"> F, </w:t>
      </w:r>
      <w:proofErr w:type="spellStart"/>
      <w:r w:rsidRPr="001B7760">
        <w:rPr>
          <w:rFonts w:cs="Arial"/>
        </w:rPr>
        <w:t>Rodamer</w:t>
      </w:r>
      <w:proofErr w:type="spellEnd"/>
      <w:r w:rsidRPr="001B7760">
        <w:rPr>
          <w:rFonts w:cs="Arial"/>
        </w:rPr>
        <w:t xml:space="preserve"> M, Fuhr U. 2009. </w:t>
      </w:r>
      <w:proofErr w:type="spellStart"/>
      <w:r w:rsidRPr="001B7760">
        <w:rPr>
          <w:rFonts w:cs="Arial"/>
        </w:rPr>
        <w:t>Modeling</w:t>
      </w:r>
      <w:proofErr w:type="spellEnd"/>
      <w:r w:rsidRPr="001B7760">
        <w:rPr>
          <w:rFonts w:cs="Arial"/>
        </w:rPr>
        <w:t xml:space="preserve"> the autoinhibition of clarithromycin metabolism during repeated oral administration. Antimicrobial agents and chemotherapy 53:2892–2901.</w:t>
      </w:r>
    </w:p>
    <w:p w14:paraId="3E274121" w14:textId="77777777" w:rsidR="00DC12EC" w:rsidRPr="001B7760" w:rsidRDefault="00DC12EC" w:rsidP="00DC12EC">
      <w:pPr>
        <w:pStyle w:val="Bibliography"/>
        <w:rPr>
          <w:rFonts w:cs="Arial"/>
        </w:rPr>
      </w:pPr>
      <w:r w:rsidRPr="001B7760">
        <w:rPr>
          <w:rFonts w:cs="Arial"/>
        </w:rPr>
        <w:t xml:space="preserve">31. </w:t>
      </w:r>
      <w:r w:rsidRPr="001B7760">
        <w:rPr>
          <w:rFonts w:cs="Arial"/>
        </w:rPr>
        <w:tab/>
        <w:t>de Velde F, de Winter BCM, Koch BCP, Van Gelder T, Mouton JW. 2018. Highly variable absorption of clavulanic acid during the day: A population pharmacokinetic analysis. Journal of Antimicrobial Chemotherapy 73:469–476.</w:t>
      </w:r>
    </w:p>
    <w:p w14:paraId="02FA66E2" w14:textId="77777777" w:rsidR="00DC12EC" w:rsidRPr="001B7760" w:rsidRDefault="00DC12EC" w:rsidP="00DC12EC">
      <w:pPr>
        <w:pStyle w:val="Bibliography"/>
        <w:rPr>
          <w:rFonts w:cs="Arial"/>
        </w:rPr>
      </w:pPr>
      <w:r w:rsidRPr="001B7760">
        <w:rPr>
          <w:rFonts w:cs="Arial"/>
        </w:rPr>
        <w:lastRenderedPageBreak/>
        <w:t xml:space="preserve">32. </w:t>
      </w:r>
      <w:r w:rsidRPr="001B7760">
        <w:rPr>
          <w:rFonts w:cs="Arial"/>
        </w:rPr>
        <w:tab/>
        <w:t>Wu YSS, Cohen-</w:t>
      </w:r>
      <w:proofErr w:type="spellStart"/>
      <w:r w:rsidRPr="001B7760">
        <w:rPr>
          <w:rFonts w:cs="Arial"/>
        </w:rPr>
        <w:t>Wolkowiez</w:t>
      </w:r>
      <w:proofErr w:type="spellEnd"/>
      <w:r w:rsidRPr="001B7760">
        <w:rPr>
          <w:rFonts w:cs="Arial"/>
        </w:rPr>
        <w:t xml:space="preserve"> M, </w:t>
      </w:r>
      <w:proofErr w:type="spellStart"/>
      <w:r w:rsidRPr="001B7760">
        <w:rPr>
          <w:rFonts w:cs="Arial"/>
        </w:rPr>
        <w:t>Hornik</w:t>
      </w:r>
      <w:proofErr w:type="spellEnd"/>
      <w:r w:rsidRPr="001B7760">
        <w:rPr>
          <w:rFonts w:cs="Arial"/>
        </w:rPr>
        <w:t xml:space="preserve"> CP, Gerhart JG, </w:t>
      </w:r>
      <w:proofErr w:type="spellStart"/>
      <w:r w:rsidRPr="001B7760">
        <w:rPr>
          <w:rFonts w:cs="Arial"/>
        </w:rPr>
        <w:t>Autmizguine</w:t>
      </w:r>
      <w:proofErr w:type="spellEnd"/>
      <w:r w:rsidRPr="001B7760">
        <w:rPr>
          <w:rFonts w:cs="Arial"/>
        </w:rPr>
        <w:t xml:space="preserve"> J, </w:t>
      </w:r>
      <w:proofErr w:type="spellStart"/>
      <w:r w:rsidRPr="001B7760">
        <w:rPr>
          <w:rFonts w:cs="Arial"/>
        </w:rPr>
        <w:t>Cobbaert</w:t>
      </w:r>
      <w:proofErr w:type="spellEnd"/>
      <w:r w:rsidRPr="001B7760">
        <w:rPr>
          <w:rFonts w:cs="Arial"/>
        </w:rPr>
        <w:t xml:space="preserve"> M, Gonzalez D. 2021. External Evaluation of Two </w:t>
      </w:r>
      <w:proofErr w:type="spellStart"/>
      <w:r w:rsidRPr="001B7760">
        <w:rPr>
          <w:rFonts w:cs="Arial"/>
        </w:rPr>
        <w:t>Pediatric</w:t>
      </w:r>
      <w:proofErr w:type="spellEnd"/>
      <w:r w:rsidRPr="001B7760">
        <w:rPr>
          <w:rFonts w:cs="Arial"/>
        </w:rPr>
        <w:t xml:space="preserve"> Population Pharmacokinetics Models of Oral Trimethoprim and Sulfamethoxazole. Antimicrobial agents and chemotherapy 65.</w:t>
      </w:r>
    </w:p>
    <w:p w14:paraId="5B49A20C" w14:textId="77777777" w:rsidR="00DC12EC" w:rsidRPr="001B7760" w:rsidRDefault="00DC12EC" w:rsidP="00DC12EC">
      <w:pPr>
        <w:pStyle w:val="Bibliography"/>
        <w:rPr>
          <w:rFonts w:cs="Arial"/>
        </w:rPr>
      </w:pPr>
      <w:r w:rsidRPr="001B7760">
        <w:rPr>
          <w:rFonts w:cs="Arial"/>
        </w:rPr>
        <w:t xml:space="preserve">33. </w:t>
      </w:r>
      <w:r w:rsidRPr="001B7760">
        <w:rPr>
          <w:rFonts w:cs="Arial"/>
        </w:rPr>
        <w:tab/>
      </w:r>
      <w:proofErr w:type="spellStart"/>
      <w:r w:rsidRPr="001B7760">
        <w:rPr>
          <w:rFonts w:cs="Arial"/>
        </w:rPr>
        <w:t>Alsaad</w:t>
      </w:r>
      <w:proofErr w:type="spellEnd"/>
      <w:r w:rsidRPr="001B7760">
        <w:rPr>
          <w:rFonts w:cs="Arial"/>
        </w:rPr>
        <w:t xml:space="preserve"> N, Dijkstra JA, </w:t>
      </w:r>
      <w:proofErr w:type="spellStart"/>
      <w:r w:rsidRPr="001B7760">
        <w:rPr>
          <w:rFonts w:cs="Arial"/>
        </w:rPr>
        <w:t>Akkerman</w:t>
      </w:r>
      <w:proofErr w:type="spellEnd"/>
      <w:r w:rsidRPr="001B7760">
        <w:rPr>
          <w:rFonts w:cs="Arial"/>
        </w:rPr>
        <w:t xml:space="preserve"> OW, De Lange WCM, Van </w:t>
      </w:r>
      <w:proofErr w:type="spellStart"/>
      <w:r w:rsidRPr="001B7760">
        <w:rPr>
          <w:rFonts w:cs="Arial"/>
        </w:rPr>
        <w:t>Soolingen</w:t>
      </w:r>
      <w:proofErr w:type="spellEnd"/>
      <w:r w:rsidRPr="001B7760">
        <w:rPr>
          <w:rFonts w:cs="Arial"/>
        </w:rPr>
        <w:t xml:space="preserve"> D, </w:t>
      </w:r>
      <w:proofErr w:type="spellStart"/>
      <w:r w:rsidRPr="001B7760">
        <w:rPr>
          <w:rFonts w:cs="Arial"/>
        </w:rPr>
        <w:t>Kosterink</w:t>
      </w:r>
      <w:proofErr w:type="spellEnd"/>
      <w:r w:rsidRPr="001B7760">
        <w:rPr>
          <w:rFonts w:cs="Arial"/>
        </w:rPr>
        <w:t xml:space="preserve"> JGW, Van Der Werf TS, </w:t>
      </w:r>
      <w:proofErr w:type="spellStart"/>
      <w:r w:rsidRPr="001B7760">
        <w:rPr>
          <w:rFonts w:cs="Arial"/>
        </w:rPr>
        <w:t>Alffenaar</w:t>
      </w:r>
      <w:proofErr w:type="spellEnd"/>
      <w:r w:rsidRPr="001B7760">
        <w:rPr>
          <w:rFonts w:cs="Arial"/>
        </w:rPr>
        <w:t xml:space="preserve"> JWC. 2016. Pharmacokinetic evaluation of sulfamethoxazole at 800 milligrams once daily in the treatment of tuberculosis. Antimicrobial Agents and Chemotherapy 60:3942–3947.</w:t>
      </w:r>
    </w:p>
    <w:p w14:paraId="32DA9E2C" w14:textId="77777777" w:rsidR="00DC12EC" w:rsidRPr="001B7760" w:rsidRDefault="00DC12EC" w:rsidP="00DC12EC">
      <w:pPr>
        <w:pStyle w:val="Bibliography"/>
        <w:rPr>
          <w:rFonts w:cs="Arial"/>
        </w:rPr>
      </w:pPr>
      <w:r w:rsidRPr="001B7760">
        <w:rPr>
          <w:rFonts w:cs="Arial"/>
        </w:rPr>
        <w:t xml:space="preserve">34. </w:t>
      </w:r>
      <w:r w:rsidRPr="001B7760">
        <w:rPr>
          <w:rFonts w:cs="Arial"/>
        </w:rPr>
        <w:tab/>
      </w:r>
      <w:proofErr w:type="spellStart"/>
      <w:r w:rsidRPr="001B7760">
        <w:rPr>
          <w:rFonts w:cs="Arial"/>
        </w:rPr>
        <w:t>Autmizguine</w:t>
      </w:r>
      <w:proofErr w:type="spellEnd"/>
      <w:r w:rsidRPr="001B7760">
        <w:rPr>
          <w:rFonts w:cs="Arial"/>
        </w:rPr>
        <w:t xml:space="preserve"> J, </w:t>
      </w:r>
      <w:proofErr w:type="spellStart"/>
      <w:r w:rsidRPr="001B7760">
        <w:rPr>
          <w:rFonts w:cs="Arial"/>
        </w:rPr>
        <w:t>Melloni</w:t>
      </w:r>
      <w:proofErr w:type="spellEnd"/>
      <w:r w:rsidRPr="001B7760">
        <w:rPr>
          <w:rFonts w:cs="Arial"/>
        </w:rPr>
        <w:t xml:space="preserve"> C, </w:t>
      </w:r>
      <w:proofErr w:type="spellStart"/>
      <w:r w:rsidRPr="001B7760">
        <w:rPr>
          <w:rFonts w:cs="Arial"/>
        </w:rPr>
        <w:t>Hornik</w:t>
      </w:r>
      <w:proofErr w:type="spellEnd"/>
      <w:r w:rsidRPr="001B7760">
        <w:rPr>
          <w:rFonts w:cs="Arial"/>
        </w:rPr>
        <w:t xml:space="preserve"> CP, </w:t>
      </w:r>
      <w:proofErr w:type="spellStart"/>
      <w:r w:rsidRPr="001B7760">
        <w:rPr>
          <w:rFonts w:cs="Arial"/>
        </w:rPr>
        <w:t>Dallefeld</w:t>
      </w:r>
      <w:proofErr w:type="spellEnd"/>
      <w:r w:rsidRPr="001B7760">
        <w:rPr>
          <w:rFonts w:cs="Arial"/>
        </w:rPr>
        <w:t xml:space="preserve"> S, Harper B, </w:t>
      </w:r>
      <w:proofErr w:type="spellStart"/>
      <w:r w:rsidRPr="001B7760">
        <w:rPr>
          <w:rFonts w:cs="Arial"/>
        </w:rPr>
        <w:t>Yogev</w:t>
      </w:r>
      <w:proofErr w:type="spellEnd"/>
      <w:r w:rsidRPr="001B7760">
        <w:rPr>
          <w:rFonts w:cs="Arial"/>
        </w:rPr>
        <w:t xml:space="preserve"> R, Sullivan JE, </w:t>
      </w:r>
      <w:proofErr w:type="spellStart"/>
      <w:r w:rsidRPr="001B7760">
        <w:rPr>
          <w:rFonts w:cs="Arial"/>
        </w:rPr>
        <w:t>Atz</w:t>
      </w:r>
      <w:proofErr w:type="spellEnd"/>
      <w:r w:rsidRPr="001B7760">
        <w:rPr>
          <w:rFonts w:cs="Arial"/>
        </w:rPr>
        <w:t xml:space="preserve"> AM, Al-</w:t>
      </w:r>
      <w:proofErr w:type="spellStart"/>
      <w:r w:rsidRPr="001B7760">
        <w:rPr>
          <w:rFonts w:cs="Arial"/>
        </w:rPr>
        <w:t>Uzri</w:t>
      </w:r>
      <w:proofErr w:type="spellEnd"/>
      <w:r w:rsidRPr="001B7760">
        <w:rPr>
          <w:rFonts w:cs="Arial"/>
        </w:rPr>
        <w:t xml:space="preserve"> A, </w:t>
      </w:r>
      <w:proofErr w:type="spellStart"/>
      <w:r w:rsidRPr="001B7760">
        <w:rPr>
          <w:rFonts w:cs="Arial"/>
        </w:rPr>
        <w:t>Mendley</w:t>
      </w:r>
      <w:proofErr w:type="spellEnd"/>
      <w:r w:rsidRPr="001B7760">
        <w:rPr>
          <w:rFonts w:cs="Arial"/>
        </w:rPr>
        <w:t xml:space="preserve"> S, Poindexter B, Mitchell J, Lewandowski A, </w:t>
      </w:r>
      <w:proofErr w:type="spellStart"/>
      <w:r w:rsidRPr="001B7760">
        <w:rPr>
          <w:rFonts w:cs="Arial"/>
        </w:rPr>
        <w:t>Delmore</w:t>
      </w:r>
      <w:proofErr w:type="spellEnd"/>
      <w:r w:rsidRPr="001B7760">
        <w:rPr>
          <w:rFonts w:cs="Arial"/>
        </w:rPr>
        <w:t xml:space="preserve"> P, Cohen-</w:t>
      </w:r>
      <w:proofErr w:type="spellStart"/>
      <w:r w:rsidRPr="001B7760">
        <w:rPr>
          <w:rFonts w:cs="Arial"/>
        </w:rPr>
        <w:t>Wolkowiez</w:t>
      </w:r>
      <w:proofErr w:type="spellEnd"/>
      <w:r w:rsidRPr="001B7760">
        <w:rPr>
          <w:rFonts w:cs="Arial"/>
        </w:rPr>
        <w:t xml:space="preserve"> M, Gonzalez D. 2017. Population Pharmacokinetics of Trimethoprim-Sulfamethoxazole in Infants and Children. Antimicrobial agents and chemotherapy 62.</w:t>
      </w:r>
    </w:p>
    <w:p w14:paraId="07F2D97A" w14:textId="77777777" w:rsidR="00DC12EC" w:rsidRPr="001B7760" w:rsidRDefault="00DC12EC" w:rsidP="00DC12EC">
      <w:pPr>
        <w:pStyle w:val="Bibliography"/>
        <w:rPr>
          <w:rFonts w:cs="Arial"/>
        </w:rPr>
      </w:pPr>
      <w:r w:rsidRPr="001B7760">
        <w:rPr>
          <w:rFonts w:cs="Arial"/>
        </w:rPr>
        <w:t xml:space="preserve">35. </w:t>
      </w:r>
      <w:r w:rsidRPr="001B7760">
        <w:rPr>
          <w:rFonts w:cs="Arial"/>
        </w:rPr>
        <w:tab/>
        <w:t xml:space="preserve">Hopkins AM, Wojciechowski J, </w:t>
      </w:r>
      <w:proofErr w:type="spellStart"/>
      <w:r w:rsidRPr="001B7760">
        <w:rPr>
          <w:rFonts w:cs="Arial"/>
        </w:rPr>
        <w:t>Abuhelwa</w:t>
      </w:r>
      <w:proofErr w:type="spellEnd"/>
      <w:r w:rsidRPr="001B7760">
        <w:rPr>
          <w:rFonts w:cs="Arial"/>
        </w:rPr>
        <w:t xml:space="preserve"> AY, </w:t>
      </w:r>
      <w:proofErr w:type="spellStart"/>
      <w:r w:rsidRPr="001B7760">
        <w:rPr>
          <w:rFonts w:cs="Arial"/>
        </w:rPr>
        <w:t>Mudge</w:t>
      </w:r>
      <w:proofErr w:type="spellEnd"/>
      <w:r w:rsidRPr="001B7760">
        <w:rPr>
          <w:rFonts w:cs="Arial"/>
        </w:rPr>
        <w:t xml:space="preserve"> S, Upton RN, Foster DJR. 2017. Population pharmacokinetic model of doxycycline plasma concentrations using pooled study data. Antimicrobial Agents and Chemotherapy 61.</w:t>
      </w:r>
    </w:p>
    <w:p w14:paraId="0A8DC87C" w14:textId="77777777" w:rsidR="00DC12EC" w:rsidRPr="001B7760" w:rsidRDefault="00DC12EC" w:rsidP="00DC12EC">
      <w:pPr>
        <w:pStyle w:val="Bibliography"/>
        <w:rPr>
          <w:rFonts w:cs="Arial"/>
        </w:rPr>
      </w:pPr>
      <w:r w:rsidRPr="001B7760">
        <w:rPr>
          <w:rFonts w:cs="Arial"/>
        </w:rPr>
        <w:t xml:space="preserve">36. </w:t>
      </w:r>
      <w:r w:rsidRPr="001B7760">
        <w:rPr>
          <w:rFonts w:cs="Arial"/>
        </w:rPr>
        <w:tab/>
        <w:t>Drennan PG, Green JK, Gardiner SJ, Metcalf SCL, Kirkpatrick CMJ, Everts RJ, Zhang M, Chambers ST. 2021. Population pharmacokinetics of free flucloxacillin in patients treated with oral flucloxacillin plus probenecid. British Journal of Clinical Pharmacology 87:4681–4690.</w:t>
      </w:r>
    </w:p>
    <w:p w14:paraId="7C50E222" w14:textId="77777777" w:rsidR="00DC12EC" w:rsidRPr="001B7760" w:rsidRDefault="00DC12EC" w:rsidP="00DC12EC">
      <w:pPr>
        <w:pStyle w:val="Bibliography"/>
        <w:rPr>
          <w:rFonts w:cs="Arial"/>
        </w:rPr>
      </w:pPr>
      <w:r w:rsidRPr="001B7760">
        <w:rPr>
          <w:rFonts w:cs="Arial"/>
        </w:rPr>
        <w:t xml:space="preserve">37. </w:t>
      </w:r>
      <w:r w:rsidRPr="001B7760">
        <w:rPr>
          <w:rFonts w:cs="Arial"/>
        </w:rPr>
        <w:tab/>
        <w:t xml:space="preserve">Sidamo T, Rao PS, </w:t>
      </w:r>
      <w:proofErr w:type="spellStart"/>
      <w:r w:rsidRPr="001B7760">
        <w:rPr>
          <w:rFonts w:cs="Arial"/>
        </w:rPr>
        <w:t>Aklillu</w:t>
      </w:r>
      <w:proofErr w:type="spellEnd"/>
      <w:r w:rsidRPr="001B7760">
        <w:rPr>
          <w:rFonts w:cs="Arial"/>
        </w:rPr>
        <w:t xml:space="preserve"> E, </w:t>
      </w:r>
      <w:proofErr w:type="spellStart"/>
      <w:r w:rsidRPr="001B7760">
        <w:rPr>
          <w:rFonts w:cs="Arial"/>
        </w:rPr>
        <w:t>Shibeshi</w:t>
      </w:r>
      <w:proofErr w:type="spellEnd"/>
      <w:r w:rsidRPr="001B7760">
        <w:rPr>
          <w:rFonts w:cs="Arial"/>
        </w:rPr>
        <w:t xml:space="preserve"> W, Park Y, Cho Y, Shin J-G, </w:t>
      </w:r>
      <w:proofErr w:type="spellStart"/>
      <w:r w:rsidRPr="001B7760">
        <w:rPr>
          <w:rFonts w:cs="Arial"/>
        </w:rPr>
        <w:t>Heysell</w:t>
      </w:r>
      <w:proofErr w:type="spellEnd"/>
      <w:r w:rsidRPr="001B7760">
        <w:rPr>
          <w:rFonts w:cs="Arial"/>
        </w:rPr>
        <w:t xml:space="preserve"> SK, </w:t>
      </w:r>
      <w:proofErr w:type="spellStart"/>
      <w:r w:rsidRPr="001B7760">
        <w:rPr>
          <w:rFonts w:cs="Arial"/>
        </w:rPr>
        <w:t>Mpagama</w:t>
      </w:r>
      <w:proofErr w:type="spellEnd"/>
      <w:r w:rsidRPr="001B7760">
        <w:rPr>
          <w:rFonts w:cs="Arial"/>
        </w:rPr>
        <w:t xml:space="preserve"> SG, </w:t>
      </w:r>
      <w:proofErr w:type="spellStart"/>
      <w:r w:rsidRPr="001B7760">
        <w:rPr>
          <w:rFonts w:cs="Arial"/>
        </w:rPr>
        <w:t>Engidawork</w:t>
      </w:r>
      <w:proofErr w:type="spellEnd"/>
      <w:r w:rsidRPr="001B7760">
        <w:rPr>
          <w:rFonts w:cs="Arial"/>
        </w:rPr>
        <w:t xml:space="preserve"> E. 2022. Population Pharmacokinetics of Levofloxacin and Moxifloxacin, and the Probability of Target Attainment in Ethiopian Patients with Multidrug-Resistant Tuberculosis. Infection and Drug Resistance Volume 15:6839–6852.</w:t>
      </w:r>
    </w:p>
    <w:p w14:paraId="46002F2F" w14:textId="77777777" w:rsidR="00DC12EC" w:rsidRPr="001B7760" w:rsidRDefault="00DC12EC" w:rsidP="00DC12EC">
      <w:pPr>
        <w:pStyle w:val="Bibliography"/>
        <w:rPr>
          <w:rFonts w:cs="Arial"/>
        </w:rPr>
      </w:pPr>
      <w:r w:rsidRPr="001B7760">
        <w:rPr>
          <w:rFonts w:cs="Arial"/>
        </w:rPr>
        <w:lastRenderedPageBreak/>
        <w:t xml:space="preserve">38. </w:t>
      </w:r>
      <w:r w:rsidRPr="001B7760">
        <w:rPr>
          <w:rFonts w:cs="Arial"/>
        </w:rPr>
        <w:tab/>
      </w:r>
      <w:proofErr w:type="spellStart"/>
      <w:r w:rsidRPr="001B7760">
        <w:rPr>
          <w:rFonts w:cs="Arial"/>
        </w:rPr>
        <w:t>Alobaid</w:t>
      </w:r>
      <w:proofErr w:type="spellEnd"/>
      <w:r w:rsidRPr="001B7760">
        <w:rPr>
          <w:rFonts w:cs="Arial"/>
        </w:rPr>
        <w:t xml:space="preserve"> AS, Wallis SC, Jarrett P, Starr T, Stuart J, </w:t>
      </w:r>
      <w:proofErr w:type="spellStart"/>
      <w:r w:rsidRPr="001B7760">
        <w:rPr>
          <w:rFonts w:cs="Arial"/>
        </w:rPr>
        <w:t>Lassig</w:t>
      </w:r>
      <w:proofErr w:type="spellEnd"/>
      <w:r w:rsidRPr="001B7760">
        <w:rPr>
          <w:rFonts w:cs="Arial"/>
        </w:rPr>
        <w:t xml:space="preserve">-Smith M, Mejia JLO, Roberts MS, Roger C, </w:t>
      </w:r>
      <w:proofErr w:type="spellStart"/>
      <w:r w:rsidRPr="001B7760">
        <w:rPr>
          <w:rFonts w:cs="Arial"/>
        </w:rPr>
        <w:t>Udy</w:t>
      </w:r>
      <w:proofErr w:type="spellEnd"/>
      <w:r w:rsidRPr="001B7760">
        <w:rPr>
          <w:rFonts w:cs="Arial"/>
        </w:rPr>
        <w:t xml:space="preserve"> AA, Lipman J, Roberts JA. 2017. Population Pharmacokinetics of Piperacillin in Nonobese, Obese, and Morbidly Obese Critically Ill Patients. Antimicrobial agents and chemotherapy 61.</w:t>
      </w:r>
    </w:p>
    <w:p w14:paraId="101EE915" w14:textId="77777777" w:rsidR="00DC12EC" w:rsidRPr="001B7760" w:rsidRDefault="00DC12EC" w:rsidP="00DC12EC">
      <w:pPr>
        <w:pStyle w:val="Bibliography"/>
        <w:rPr>
          <w:rFonts w:cs="Arial"/>
        </w:rPr>
      </w:pPr>
      <w:r w:rsidRPr="001B7760">
        <w:rPr>
          <w:rFonts w:cs="Arial"/>
        </w:rPr>
        <w:t xml:space="preserve">39. </w:t>
      </w:r>
      <w:r w:rsidRPr="001B7760">
        <w:rPr>
          <w:rFonts w:cs="Arial"/>
        </w:rPr>
        <w:tab/>
        <w:t>Walpole SC, Prieto-Merino D, Edwards P, Cleland J, Stevens G, Roberts I. 2012. The weight of nations: An estimation of adult human biomass. BMC Public Health 12.</w:t>
      </w:r>
    </w:p>
    <w:p w14:paraId="0CE0774A" w14:textId="77777777" w:rsidR="00DC12EC" w:rsidRPr="001B7760" w:rsidRDefault="00DC12EC" w:rsidP="00DC12EC">
      <w:pPr>
        <w:pStyle w:val="Bibliography"/>
        <w:rPr>
          <w:rFonts w:cs="Arial"/>
        </w:rPr>
      </w:pPr>
      <w:r w:rsidRPr="001B7760">
        <w:rPr>
          <w:rFonts w:cs="Arial"/>
        </w:rPr>
        <w:t xml:space="preserve">40. </w:t>
      </w:r>
      <w:r w:rsidRPr="001B7760">
        <w:rPr>
          <w:rFonts w:cs="Arial"/>
        </w:rPr>
        <w:tab/>
        <w:t xml:space="preserve">Popkin BM, </w:t>
      </w:r>
      <w:proofErr w:type="spellStart"/>
      <w:r w:rsidRPr="001B7760">
        <w:rPr>
          <w:rFonts w:cs="Arial"/>
        </w:rPr>
        <w:t>Slining</w:t>
      </w:r>
      <w:proofErr w:type="spellEnd"/>
      <w:r w:rsidRPr="001B7760">
        <w:rPr>
          <w:rFonts w:cs="Arial"/>
        </w:rPr>
        <w:t xml:space="preserve"> MM. 2013. New dynamics in global obesity facing low- and middle-income countries. Obesity Reviews 14:11–20.</w:t>
      </w:r>
    </w:p>
    <w:p w14:paraId="1A4D0F40" w14:textId="77777777" w:rsidR="00DC12EC" w:rsidRPr="001B7760" w:rsidRDefault="00DC12EC" w:rsidP="00DC12EC">
      <w:pPr>
        <w:pStyle w:val="Bibliography"/>
        <w:rPr>
          <w:rFonts w:cs="Arial"/>
        </w:rPr>
      </w:pPr>
      <w:r w:rsidRPr="001B7760">
        <w:rPr>
          <w:rFonts w:cs="Arial"/>
        </w:rPr>
        <w:t xml:space="preserve">41. </w:t>
      </w:r>
      <w:r w:rsidRPr="001B7760">
        <w:rPr>
          <w:rFonts w:cs="Arial"/>
        </w:rPr>
        <w:tab/>
        <w:t xml:space="preserve">Razak F, </w:t>
      </w:r>
      <w:proofErr w:type="spellStart"/>
      <w:r w:rsidRPr="001B7760">
        <w:rPr>
          <w:rFonts w:cs="Arial"/>
        </w:rPr>
        <w:t>Corsi</w:t>
      </w:r>
      <w:proofErr w:type="spellEnd"/>
      <w:r w:rsidRPr="001B7760">
        <w:rPr>
          <w:rFonts w:cs="Arial"/>
        </w:rPr>
        <w:t xml:space="preserve"> DJ, Slutsky AS, </w:t>
      </w:r>
      <w:proofErr w:type="spellStart"/>
      <w:r w:rsidRPr="001B7760">
        <w:rPr>
          <w:rFonts w:cs="Arial"/>
        </w:rPr>
        <w:t>Kurpad</w:t>
      </w:r>
      <w:proofErr w:type="spellEnd"/>
      <w:r w:rsidRPr="001B7760">
        <w:rPr>
          <w:rFonts w:cs="Arial"/>
        </w:rPr>
        <w:t xml:space="preserve"> A, Berkman L, </w:t>
      </w:r>
      <w:proofErr w:type="spellStart"/>
      <w:r w:rsidRPr="001B7760">
        <w:rPr>
          <w:rFonts w:cs="Arial"/>
        </w:rPr>
        <w:t>Laupacis</w:t>
      </w:r>
      <w:proofErr w:type="spellEnd"/>
      <w:r w:rsidRPr="001B7760">
        <w:rPr>
          <w:rFonts w:cs="Arial"/>
        </w:rPr>
        <w:t xml:space="preserve"> A, Subramanian SV. 2015. Prevalence of body mass index lower than 16 among women in low- and middle-income countries. JAMA - Journal of the American Medical Association 314:2164–2171.</w:t>
      </w:r>
    </w:p>
    <w:p w14:paraId="194EDB06" w14:textId="77777777" w:rsidR="00DC12EC" w:rsidRPr="001B7760" w:rsidRDefault="00DC12EC" w:rsidP="00DC12EC">
      <w:pPr>
        <w:pStyle w:val="Bibliography"/>
        <w:rPr>
          <w:rFonts w:cs="Arial"/>
        </w:rPr>
      </w:pPr>
      <w:r w:rsidRPr="001B7760">
        <w:rPr>
          <w:rFonts w:cs="Arial"/>
        </w:rPr>
        <w:t xml:space="preserve">42. </w:t>
      </w:r>
      <w:r w:rsidRPr="001B7760">
        <w:rPr>
          <w:rFonts w:cs="Arial"/>
        </w:rPr>
        <w:tab/>
        <w:t xml:space="preserve">Nishida C, </w:t>
      </w:r>
      <w:proofErr w:type="spellStart"/>
      <w:r w:rsidRPr="001B7760">
        <w:rPr>
          <w:rFonts w:cs="Arial"/>
        </w:rPr>
        <w:t>Borghi</w:t>
      </w:r>
      <w:proofErr w:type="spellEnd"/>
      <w:r w:rsidRPr="001B7760">
        <w:rPr>
          <w:rFonts w:cs="Arial"/>
        </w:rPr>
        <w:t xml:space="preserve"> E, </w:t>
      </w:r>
      <w:proofErr w:type="spellStart"/>
      <w:r w:rsidRPr="001B7760">
        <w:rPr>
          <w:rFonts w:cs="Arial"/>
        </w:rPr>
        <w:t>Branca</w:t>
      </w:r>
      <w:proofErr w:type="spellEnd"/>
      <w:r w:rsidRPr="001B7760">
        <w:rPr>
          <w:rFonts w:cs="Arial"/>
        </w:rPr>
        <w:t xml:space="preserve"> F, Onis M de. 2017. Global trends in overweight and obesity. Energy Balance and Obesity.</w:t>
      </w:r>
    </w:p>
    <w:p w14:paraId="013547AE" w14:textId="77777777" w:rsidR="00DC12EC" w:rsidRPr="001B7760" w:rsidRDefault="00DC12EC" w:rsidP="00DC12EC">
      <w:pPr>
        <w:pStyle w:val="Bibliography"/>
        <w:rPr>
          <w:rFonts w:cs="Arial"/>
        </w:rPr>
      </w:pPr>
      <w:r w:rsidRPr="001B7760">
        <w:rPr>
          <w:rFonts w:cs="Arial"/>
        </w:rPr>
        <w:t xml:space="preserve">43. </w:t>
      </w:r>
      <w:r w:rsidRPr="001B7760">
        <w:rPr>
          <w:rFonts w:cs="Arial"/>
        </w:rPr>
        <w:tab/>
        <w:t xml:space="preserve"> Age Structure - Our World in Data. https://ourworldindata.org/age-structure. Retrieved 3 February 2023.</w:t>
      </w:r>
    </w:p>
    <w:p w14:paraId="740B9129" w14:textId="77777777" w:rsidR="00DC12EC" w:rsidRPr="001B7760" w:rsidRDefault="00DC12EC" w:rsidP="00DC12EC">
      <w:pPr>
        <w:pStyle w:val="Bibliography"/>
        <w:rPr>
          <w:rFonts w:cs="Arial"/>
        </w:rPr>
      </w:pPr>
      <w:r w:rsidRPr="001B7760">
        <w:rPr>
          <w:rFonts w:cs="Arial"/>
        </w:rPr>
        <w:t xml:space="preserve">44. </w:t>
      </w:r>
      <w:r w:rsidRPr="001B7760">
        <w:rPr>
          <w:rFonts w:cs="Arial"/>
        </w:rPr>
        <w:tab/>
      </w:r>
      <w:proofErr w:type="spellStart"/>
      <w:r w:rsidRPr="001B7760">
        <w:rPr>
          <w:rFonts w:cs="Arial"/>
        </w:rPr>
        <w:t>Corsonello</w:t>
      </w:r>
      <w:proofErr w:type="spellEnd"/>
      <w:r w:rsidRPr="001B7760">
        <w:rPr>
          <w:rFonts w:cs="Arial"/>
        </w:rPr>
        <w:t xml:space="preserve"> A, </w:t>
      </w:r>
      <w:proofErr w:type="spellStart"/>
      <w:r w:rsidRPr="001B7760">
        <w:rPr>
          <w:rFonts w:cs="Arial"/>
        </w:rPr>
        <w:t>Abbatecola</w:t>
      </w:r>
      <w:proofErr w:type="spellEnd"/>
      <w:r w:rsidRPr="001B7760">
        <w:rPr>
          <w:rFonts w:cs="Arial"/>
        </w:rPr>
        <w:t xml:space="preserve"> AM, Fusco S, </w:t>
      </w:r>
      <w:proofErr w:type="spellStart"/>
      <w:r w:rsidRPr="001B7760">
        <w:rPr>
          <w:rFonts w:cs="Arial"/>
        </w:rPr>
        <w:t>Luciani</w:t>
      </w:r>
      <w:proofErr w:type="spellEnd"/>
      <w:r w:rsidRPr="001B7760">
        <w:rPr>
          <w:rFonts w:cs="Arial"/>
        </w:rPr>
        <w:t xml:space="preserve"> F, Marino A, Catalano S, Maggio MG, </w:t>
      </w:r>
      <w:proofErr w:type="spellStart"/>
      <w:r w:rsidRPr="001B7760">
        <w:rPr>
          <w:rFonts w:cs="Arial"/>
        </w:rPr>
        <w:t>Lattanzio</w:t>
      </w:r>
      <w:proofErr w:type="spellEnd"/>
      <w:r w:rsidRPr="001B7760">
        <w:rPr>
          <w:rFonts w:cs="Arial"/>
        </w:rPr>
        <w:t xml:space="preserve"> F. 2015. The impact of drug interactions and polypharmacy on antimicrobial therapy in the elderly. Clinical Microbiology and Infection 21:20–26.</w:t>
      </w:r>
    </w:p>
    <w:p w14:paraId="7ACCBF83" w14:textId="77777777" w:rsidR="00DC12EC" w:rsidRPr="001B7760" w:rsidRDefault="00DC12EC" w:rsidP="00DC12EC">
      <w:pPr>
        <w:pStyle w:val="Bibliography"/>
        <w:rPr>
          <w:rFonts w:cs="Arial"/>
        </w:rPr>
      </w:pPr>
      <w:r w:rsidRPr="001B7760">
        <w:rPr>
          <w:rFonts w:cs="Arial"/>
        </w:rPr>
        <w:t xml:space="preserve">45. </w:t>
      </w:r>
      <w:r w:rsidRPr="001B7760">
        <w:rPr>
          <w:rFonts w:cs="Arial"/>
        </w:rPr>
        <w:tab/>
        <w:t>Faulkner CM, Cox HL, Williamson JC. 2005. Unique Aspects of Antimicrobial Use in Older Adults. Clinical Infectious Diseases 997:997–1004.</w:t>
      </w:r>
    </w:p>
    <w:p w14:paraId="1BDC064B" w14:textId="77777777" w:rsidR="00DC12EC" w:rsidRPr="001B7760" w:rsidRDefault="00DC12EC" w:rsidP="00DC12EC">
      <w:pPr>
        <w:pStyle w:val="Bibliography"/>
        <w:rPr>
          <w:rFonts w:cs="Arial"/>
        </w:rPr>
      </w:pPr>
      <w:r w:rsidRPr="001B7760">
        <w:rPr>
          <w:rFonts w:cs="Arial"/>
        </w:rPr>
        <w:lastRenderedPageBreak/>
        <w:t xml:space="preserve">46. </w:t>
      </w:r>
      <w:r w:rsidRPr="001B7760">
        <w:rPr>
          <w:rFonts w:cs="Arial"/>
        </w:rPr>
        <w:tab/>
        <w:t xml:space="preserve"> 2022. New World Bank country classifications by income level: 2022-2023. https://blogs.worldbank.org/opendata/new-world-bank-country-classifications-income-level-2022-2023. Retrieved 5 August 2023.</w:t>
      </w:r>
    </w:p>
    <w:p w14:paraId="62EA2EE8" w14:textId="77777777" w:rsidR="00DC12EC" w:rsidRPr="001B7760" w:rsidRDefault="00DC12EC" w:rsidP="00DC12EC">
      <w:pPr>
        <w:pStyle w:val="Bibliography"/>
        <w:rPr>
          <w:rFonts w:cs="Arial"/>
        </w:rPr>
      </w:pPr>
      <w:r w:rsidRPr="001B7760">
        <w:rPr>
          <w:rFonts w:cs="Arial"/>
        </w:rPr>
        <w:t xml:space="preserve">47. </w:t>
      </w:r>
      <w:r w:rsidRPr="001B7760">
        <w:rPr>
          <w:rFonts w:cs="Arial"/>
        </w:rPr>
        <w:tab/>
        <w:t xml:space="preserve"> </w:t>
      </w:r>
      <w:proofErr w:type="spellStart"/>
      <w:r w:rsidRPr="001B7760">
        <w:rPr>
          <w:rFonts w:cs="Arial"/>
        </w:rPr>
        <w:t>eucast</w:t>
      </w:r>
      <w:proofErr w:type="spellEnd"/>
      <w:r w:rsidRPr="001B7760">
        <w:rPr>
          <w:rFonts w:cs="Arial"/>
        </w:rPr>
        <w:t>: Clinical breakpoints and dosing of antibiotics. https://www.eucast.org/clinical_breakpoints. Retrieved 31 August 2023.</w:t>
      </w:r>
    </w:p>
    <w:p w14:paraId="4D1654F2" w14:textId="77777777" w:rsidR="00DC12EC" w:rsidRPr="001B7760" w:rsidRDefault="00DC12EC" w:rsidP="00DC12EC">
      <w:pPr>
        <w:pStyle w:val="Bibliography"/>
        <w:rPr>
          <w:rFonts w:cs="Arial"/>
        </w:rPr>
      </w:pPr>
      <w:r w:rsidRPr="001B7760">
        <w:rPr>
          <w:rFonts w:cs="Arial"/>
        </w:rPr>
        <w:t xml:space="preserve">48. </w:t>
      </w:r>
      <w:r w:rsidRPr="001B7760">
        <w:rPr>
          <w:rFonts w:cs="Arial"/>
        </w:rPr>
        <w:tab/>
        <w:t xml:space="preserve"> Clinical &amp; Laboratory Standards Institute: CLSI Guidelines. Clinical &amp; Laboratory Standards Institute. https://clsi.org/. Retrieved 31 August 2023.</w:t>
      </w:r>
    </w:p>
    <w:p w14:paraId="6CC59982" w14:textId="77777777" w:rsidR="00DC12EC" w:rsidRPr="001B7760" w:rsidRDefault="00DC12EC" w:rsidP="00DC12EC">
      <w:pPr>
        <w:pStyle w:val="Bibliography"/>
        <w:rPr>
          <w:rFonts w:cs="Arial"/>
        </w:rPr>
      </w:pPr>
      <w:r w:rsidRPr="001B7760">
        <w:rPr>
          <w:rFonts w:cs="Arial"/>
        </w:rPr>
        <w:t xml:space="preserve">49. </w:t>
      </w:r>
      <w:r w:rsidRPr="001B7760">
        <w:rPr>
          <w:rFonts w:cs="Arial"/>
        </w:rPr>
        <w:tab/>
      </w:r>
      <w:proofErr w:type="spellStart"/>
      <w:r w:rsidRPr="001B7760">
        <w:rPr>
          <w:rFonts w:cs="Arial"/>
        </w:rPr>
        <w:t>Catalán</w:t>
      </w:r>
      <w:proofErr w:type="spellEnd"/>
      <w:r w:rsidRPr="001B7760">
        <w:rPr>
          <w:rFonts w:cs="Arial"/>
        </w:rPr>
        <w:t xml:space="preserve"> P, Wood E, Blair JMA, </w:t>
      </w:r>
      <w:proofErr w:type="spellStart"/>
      <w:r w:rsidRPr="001B7760">
        <w:rPr>
          <w:rFonts w:cs="Arial"/>
        </w:rPr>
        <w:t>Gudelj</w:t>
      </w:r>
      <w:proofErr w:type="spellEnd"/>
      <w:r w:rsidRPr="001B7760">
        <w:rPr>
          <w:rFonts w:cs="Arial"/>
        </w:rPr>
        <w:t xml:space="preserve"> I, </w:t>
      </w:r>
      <w:proofErr w:type="spellStart"/>
      <w:r w:rsidRPr="001B7760">
        <w:rPr>
          <w:rFonts w:cs="Arial"/>
        </w:rPr>
        <w:t>Iredell</w:t>
      </w:r>
      <w:proofErr w:type="spellEnd"/>
      <w:r w:rsidRPr="001B7760">
        <w:rPr>
          <w:rFonts w:cs="Arial"/>
        </w:rPr>
        <w:t xml:space="preserve"> JR, Beardmore RE. 2022. Seeking patterns of antibiotic resistance in ATLAS, an open, raw MIC database with patient metadata. Nature Communications 13.</w:t>
      </w:r>
    </w:p>
    <w:p w14:paraId="739F0902" w14:textId="77777777" w:rsidR="00DC12EC" w:rsidRPr="001B7760" w:rsidRDefault="00DC12EC" w:rsidP="00DC12EC">
      <w:pPr>
        <w:pStyle w:val="Bibliography"/>
        <w:rPr>
          <w:rFonts w:cs="Arial"/>
        </w:rPr>
      </w:pPr>
      <w:r w:rsidRPr="001B7760">
        <w:rPr>
          <w:rFonts w:cs="Arial"/>
        </w:rPr>
        <w:t xml:space="preserve">50. </w:t>
      </w:r>
      <w:r w:rsidRPr="001B7760">
        <w:rPr>
          <w:rFonts w:cs="Arial"/>
        </w:rPr>
        <w:tab/>
        <w:t xml:space="preserve"> MIC EUCAST. https://mic.eucast.org/. Retrieved 24 February 2023.</w:t>
      </w:r>
    </w:p>
    <w:p w14:paraId="37298A70" w14:textId="77777777" w:rsidR="00DC12EC" w:rsidRPr="001B7760" w:rsidRDefault="00DC12EC" w:rsidP="00DC12EC">
      <w:pPr>
        <w:pStyle w:val="Bibliography"/>
        <w:rPr>
          <w:rFonts w:cs="Arial"/>
        </w:rPr>
      </w:pPr>
      <w:r w:rsidRPr="001B7760">
        <w:rPr>
          <w:rFonts w:cs="Arial"/>
        </w:rPr>
        <w:t xml:space="preserve">51. </w:t>
      </w:r>
      <w:r w:rsidRPr="001B7760">
        <w:rPr>
          <w:rFonts w:cs="Arial"/>
        </w:rPr>
        <w:tab/>
        <w:t xml:space="preserve"> Atlas. https://atlas-surveillance.com/#/login. Retrieved 24 February 2023.</w:t>
      </w:r>
    </w:p>
    <w:p w14:paraId="4FB0B624" w14:textId="77777777" w:rsidR="00DC12EC" w:rsidRPr="001B7760" w:rsidRDefault="00DC12EC" w:rsidP="00DC12EC">
      <w:pPr>
        <w:pStyle w:val="Bibliography"/>
        <w:rPr>
          <w:rFonts w:cs="Arial"/>
        </w:rPr>
      </w:pPr>
      <w:r w:rsidRPr="001B7760">
        <w:rPr>
          <w:rFonts w:cs="Arial"/>
        </w:rPr>
        <w:t xml:space="preserve">52. </w:t>
      </w:r>
      <w:r w:rsidRPr="001B7760">
        <w:rPr>
          <w:rFonts w:cs="Arial"/>
        </w:rPr>
        <w:tab/>
      </w:r>
      <w:proofErr w:type="spellStart"/>
      <w:r w:rsidRPr="001B7760">
        <w:rPr>
          <w:rFonts w:cs="Arial"/>
        </w:rPr>
        <w:t>Abodakpi</w:t>
      </w:r>
      <w:proofErr w:type="spellEnd"/>
      <w:r w:rsidRPr="001B7760">
        <w:rPr>
          <w:rFonts w:cs="Arial"/>
        </w:rPr>
        <w:t xml:space="preserve"> H, Chang K-T, Gao S, Sánchez-Díaz AM, </w:t>
      </w:r>
      <w:proofErr w:type="spellStart"/>
      <w:r w:rsidRPr="001B7760">
        <w:rPr>
          <w:rFonts w:cs="Arial"/>
        </w:rPr>
        <w:t>Cantón</w:t>
      </w:r>
      <w:proofErr w:type="spellEnd"/>
      <w:r w:rsidRPr="001B7760">
        <w:rPr>
          <w:rFonts w:cs="Arial"/>
        </w:rPr>
        <w:t xml:space="preserve"> R, Tam VH. 2019. Optimal Piperacillin-Tazobactam Dosing Strategies against Extended-Spectrum-β-Lactamase-Producing </w:t>
      </w:r>
      <w:r w:rsidRPr="001B7760">
        <w:rPr>
          <w:rFonts w:cs="Arial"/>
          <w:i/>
          <w:iCs/>
        </w:rPr>
        <w:t>Enterobacteriaceae</w:t>
      </w:r>
      <w:r w:rsidRPr="001B7760">
        <w:rPr>
          <w:rFonts w:cs="Arial"/>
        </w:rPr>
        <w:t xml:space="preserve">.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w:t>
      </w:r>
      <w:proofErr w:type="gramStart"/>
      <w:r w:rsidRPr="001B7760">
        <w:rPr>
          <w:rFonts w:cs="Arial"/>
        </w:rPr>
        <w:t>63:e</w:t>
      </w:r>
      <w:proofErr w:type="gramEnd"/>
      <w:r w:rsidRPr="001B7760">
        <w:rPr>
          <w:rFonts w:cs="Arial"/>
        </w:rPr>
        <w:t>01906-18.</w:t>
      </w:r>
    </w:p>
    <w:p w14:paraId="4948598C" w14:textId="77777777" w:rsidR="00DC12EC" w:rsidRPr="001B7760" w:rsidRDefault="00DC12EC" w:rsidP="00DC12EC">
      <w:pPr>
        <w:pStyle w:val="Bibliography"/>
        <w:rPr>
          <w:rFonts w:cs="Arial"/>
        </w:rPr>
      </w:pPr>
      <w:r w:rsidRPr="001B7760">
        <w:rPr>
          <w:rFonts w:cs="Arial"/>
        </w:rPr>
        <w:t xml:space="preserve">53. </w:t>
      </w:r>
      <w:r w:rsidRPr="001B7760">
        <w:rPr>
          <w:rFonts w:cs="Arial"/>
        </w:rPr>
        <w:tab/>
        <w:t xml:space="preserve">Aitken SL, </w:t>
      </w:r>
      <w:proofErr w:type="spellStart"/>
      <w:r w:rsidRPr="001B7760">
        <w:rPr>
          <w:rFonts w:cs="Arial"/>
        </w:rPr>
        <w:t>Altshuler</w:t>
      </w:r>
      <w:proofErr w:type="spellEnd"/>
      <w:r w:rsidRPr="001B7760">
        <w:rPr>
          <w:rFonts w:cs="Arial"/>
        </w:rPr>
        <w:t xml:space="preserve"> J, </w:t>
      </w:r>
      <w:proofErr w:type="spellStart"/>
      <w:r w:rsidRPr="001B7760">
        <w:rPr>
          <w:rFonts w:cs="Arial"/>
        </w:rPr>
        <w:t>Guervil</w:t>
      </w:r>
      <w:proofErr w:type="spellEnd"/>
      <w:r w:rsidRPr="001B7760">
        <w:rPr>
          <w:rFonts w:cs="Arial"/>
        </w:rPr>
        <w:t xml:space="preserve"> DJ, Hirsch EB, </w:t>
      </w:r>
      <w:proofErr w:type="spellStart"/>
      <w:r w:rsidRPr="001B7760">
        <w:rPr>
          <w:rFonts w:cs="Arial"/>
        </w:rPr>
        <w:t>Ostrosky-Zeichner</w:t>
      </w:r>
      <w:proofErr w:type="spellEnd"/>
      <w:r w:rsidRPr="001B7760">
        <w:rPr>
          <w:rFonts w:cs="Arial"/>
        </w:rPr>
        <w:t xml:space="preserve"> LL, Ericsson CD, Tam VH. 2015. Cefepime free minimum concentration to minimum inhibitory concentration (</w:t>
      </w:r>
      <w:proofErr w:type="spellStart"/>
      <w:r w:rsidRPr="001B7760">
        <w:rPr>
          <w:rFonts w:cs="Arial"/>
        </w:rPr>
        <w:t>fCmin</w:t>
      </w:r>
      <w:proofErr w:type="spellEnd"/>
      <w:r w:rsidRPr="001B7760">
        <w:rPr>
          <w:rFonts w:cs="Arial"/>
        </w:rPr>
        <w:t>/MIC) ratio predicts clinical failure in patients with Gram-negative bacterial pneumonia. International Journal of Antimicrobial Agents 45:541–544.</w:t>
      </w:r>
    </w:p>
    <w:p w14:paraId="77A01ADC" w14:textId="77777777" w:rsidR="00DC12EC" w:rsidRPr="001B7760" w:rsidRDefault="00DC12EC" w:rsidP="00DC12EC">
      <w:pPr>
        <w:pStyle w:val="Bibliography"/>
        <w:rPr>
          <w:rFonts w:cs="Arial"/>
        </w:rPr>
      </w:pPr>
      <w:r w:rsidRPr="001B7760">
        <w:rPr>
          <w:rFonts w:cs="Arial"/>
        </w:rPr>
        <w:t xml:space="preserve">54. </w:t>
      </w:r>
      <w:r w:rsidRPr="001B7760">
        <w:rPr>
          <w:rFonts w:cs="Arial"/>
        </w:rPr>
        <w:tab/>
        <w:t xml:space="preserve">Alou L, Aguilar L, </w:t>
      </w:r>
      <w:proofErr w:type="spellStart"/>
      <w:r w:rsidRPr="001B7760">
        <w:rPr>
          <w:rFonts w:cs="Arial"/>
        </w:rPr>
        <w:t>Sevillano</w:t>
      </w:r>
      <w:proofErr w:type="spellEnd"/>
      <w:r w:rsidRPr="001B7760">
        <w:rPr>
          <w:rFonts w:cs="Arial"/>
        </w:rPr>
        <w:t xml:space="preserve"> D, </w:t>
      </w:r>
      <w:proofErr w:type="spellStart"/>
      <w:r w:rsidRPr="001B7760">
        <w:rPr>
          <w:rFonts w:cs="Arial"/>
        </w:rPr>
        <w:t>Giménez</w:t>
      </w:r>
      <w:proofErr w:type="spellEnd"/>
      <w:r w:rsidRPr="001B7760">
        <w:rPr>
          <w:rFonts w:cs="Arial"/>
        </w:rPr>
        <w:t xml:space="preserve"> M-J, </w:t>
      </w:r>
      <w:proofErr w:type="spellStart"/>
      <w:r w:rsidRPr="001B7760">
        <w:rPr>
          <w:rFonts w:cs="Arial"/>
        </w:rPr>
        <w:t>Echeverría</w:t>
      </w:r>
      <w:proofErr w:type="spellEnd"/>
      <w:r w:rsidRPr="001B7760">
        <w:rPr>
          <w:rFonts w:cs="Arial"/>
        </w:rPr>
        <w:t xml:space="preserve"> O, Gómez-</w:t>
      </w:r>
      <w:proofErr w:type="spellStart"/>
      <w:r w:rsidRPr="001B7760">
        <w:rPr>
          <w:rFonts w:cs="Arial"/>
        </w:rPr>
        <w:t>Lus</w:t>
      </w:r>
      <w:proofErr w:type="spellEnd"/>
      <w:r w:rsidRPr="001B7760">
        <w:rPr>
          <w:rFonts w:cs="Arial"/>
        </w:rPr>
        <w:t xml:space="preserve"> M-L, Prieto J. 2005. Is there a pharmacodynamic need for the use of continuous versus intermittent infusion </w:t>
      </w:r>
      <w:r w:rsidRPr="001B7760">
        <w:rPr>
          <w:rFonts w:cs="Arial"/>
        </w:rPr>
        <w:lastRenderedPageBreak/>
        <w:t>with ceftazidime against Pseudomonas aeruginosa? An in vitro pharmacodynamic model. Journal of Antimicrobial Chemotherapy 55:209–213.</w:t>
      </w:r>
    </w:p>
    <w:p w14:paraId="5433634E" w14:textId="77777777" w:rsidR="00DC12EC" w:rsidRPr="001B7760" w:rsidRDefault="00DC12EC" w:rsidP="00DC12EC">
      <w:pPr>
        <w:pStyle w:val="Bibliography"/>
        <w:rPr>
          <w:rFonts w:cs="Arial"/>
        </w:rPr>
      </w:pPr>
      <w:r w:rsidRPr="001B7760">
        <w:rPr>
          <w:rFonts w:cs="Arial"/>
        </w:rPr>
        <w:t xml:space="preserve">55. </w:t>
      </w:r>
      <w:r w:rsidRPr="001B7760">
        <w:rPr>
          <w:rFonts w:cs="Arial"/>
        </w:rPr>
        <w:tab/>
        <w:t xml:space="preserve">Andes D, Craig WA. 1998. In Vivo Activities of Amoxicillin and Amoxicillin-Clavulanate against </w:t>
      </w:r>
      <w:r w:rsidRPr="001B7760">
        <w:rPr>
          <w:rFonts w:cs="Arial"/>
          <w:i/>
          <w:iCs/>
        </w:rPr>
        <w:t xml:space="preserve">Streptococcus </w:t>
      </w:r>
      <w:proofErr w:type="gramStart"/>
      <w:r w:rsidRPr="001B7760">
        <w:rPr>
          <w:rFonts w:cs="Arial"/>
          <w:i/>
          <w:iCs/>
        </w:rPr>
        <w:t>pneumoniae</w:t>
      </w:r>
      <w:r w:rsidRPr="001B7760">
        <w:rPr>
          <w:rFonts w:cs="Arial"/>
        </w:rPr>
        <w:t> :</w:t>
      </w:r>
      <w:proofErr w:type="gramEnd"/>
      <w:r w:rsidRPr="001B7760">
        <w:rPr>
          <w:rFonts w:cs="Arial"/>
        </w:rPr>
        <w:t xml:space="preserve"> Application to Breakpoint Determinations.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42:2375–2379.</w:t>
      </w:r>
    </w:p>
    <w:p w14:paraId="52758B11" w14:textId="77777777" w:rsidR="00DC12EC" w:rsidRPr="001B7760" w:rsidRDefault="00DC12EC" w:rsidP="00DC12EC">
      <w:pPr>
        <w:pStyle w:val="Bibliography"/>
        <w:rPr>
          <w:rFonts w:cs="Arial"/>
        </w:rPr>
      </w:pPr>
      <w:r w:rsidRPr="001B7760">
        <w:rPr>
          <w:rFonts w:cs="Arial"/>
        </w:rPr>
        <w:t xml:space="preserve">56. </w:t>
      </w:r>
      <w:r w:rsidRPr="001B7760">
        <w:rPr>
          <w:rFonts w:cs="Arial"/>
        </w:rPr>
        <w:tab/>
        <w:t>Andes D, Craig WA. 2002. Animal model pharmacokinetics and pharmacodynamics: A critical review. International Journal of Antimicrobial Agents 19:261–268.</w:t>
      </w:r>
    </w:p>
    <w:p w14:paraId="0264DBF4" w14:textId="77777777" w:rsidR="00DC12EC" w:rsidRPr="001B7760" w:rsidRDefault="00DC12EC" w:rsidP="00DC12EC">
      <w:pPr>
        <w:pStyle w:val="Bibliography"/>
        <w:rPr>
          <w:rFonts w:cs="Arial"/>
        </w:rPr>
      </w:pPr>
      <w:r w:rsidRPr="001B7760">
        <w:rPr>
          <w:rFonts w:cs="Arial"/>
        </w:rPr>
        <w:t xml:space="preserve">57. </w:t>
      </w:r>
      <w:r w:rsidRPr="001B7760">
        <w:rPr>
          <w:rFonts w:cs="Arial"/>
        </w:rPr>
        <w:tab/>
        <w:t xml:space="preserve">Andes D, Craig WA. 2006. Pharmacodynamics of a New Cephalosporin, PPI-0903 (TAK-599), Active against Methicillin-Resistant </w:t>
      </w:r>
      <w:r w:rsidRPr="001B7760">
        <w:rPr>
          <w:rFonts w:cs="Arial"/>
          <w:i/>
          <w:iCs/>
        </w:rPr>
        <w:t>Staphylococcus aureus</w:t>
      </w:r>
      <w:r w:rsidRPr="001B7760">
        <w:rPr>
          <w:rFonts w:cs="Arial"/>
        </w:rPr>
        <w:t xml:space="preserve"> in Murine Thigh and Lung Infection Models: Identification of an In Vivo Pharmacokinetic-Pharmacodynamic Target.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50:1376–1383.</w:t>
      </w:r>
    </w:p>
    <w:p w14:paraId="7256CBC5" w14:textId="77777777" w:rsidR="00DC12EC" w:rsidRPr="001B7760" w:rsidRDefault="00DC12EC" w:rsidP="00DC12EC">
      <w:pPr>
        <w:pStyle w:val="Bibliography"/>
        <w:rPr>
          <w:rFonts w:cs="Arial"/>
        </w:rPr>
      </w:pPr>
      <w:r w:rsidRPr="001B7760">
        <w:rPr>
          <w:rFonts w:cs="Arial"/>
        </w:rPr>
        <w:t xml:space="preserve">58. </w:t>
      </w:r>
      <w:r w:rsidRPr="001B7760">
        <w:rPr>
          <w:rFonts w:cs="Arial"/>
        </w:rPr>
        <w:tab/>
      </w:r>
      <w:proofErr w:type="spellStart"/>
      <w:r w:rsidRPr="001B7760">
        <w:rPr>
          <w:rFonts w:cs="Arial"/>
        </w:rPr>
        <w:t>Ariano</w:t>
      </w:r>
      <w:proofErr w:type="spellEnd"/>
      <w:r w:rsidRPr="001B7760">
        <w:rPr>
          <w:rFonts w:cs="Arial"/>
        </w:rPr>
        <w:t xml:space="preserve"> RE, </w:t>
      </w:r>
      <w:proofErr w:type="spellStart"/>
      <w:r w:rsidRPr="001B7760">
        <w:rPr>
          <w:rFonts w:cs="Arial"/>
        </w:rPr>
        <w:t>Nyhlén</w:t>
      </w:r>
      <w:proofErr w:type="spellEnd"/>
      <w:r w:rsidRPr="001B7760">
        <w:rPr>
          <w:rFonts w:cs="Arial"/>
        </w:rPr>
        <w:t xml:space="preserve"> A, Donnelly JP, Sitar DS, Harding GK, </w:t>
      </w:r>
      <w:proofErr w:type="spellStart"/>
      <w:r w:rsidRPr="001B7760">
        <w:rPr>
          <w:rFonts w:cs="Arial"/>
        </w:rPr>
        <w:t>Zelenitsky</w:t>
      </w:r>
      <w:proofErr w:type="spellEnd"/>
      <w:r w:rsidRPr="001B7760">
        <w:rPr>
          <w:rFonts w:cs="Arial"/>
        </w:rPr>
        <w:t xml:space="preserve"> SA. 2005. Pharmacokinetics and Pharmacodynamics of Meropenem in Febrile Neutropenic Patients with </w:t>
      </w:r>
      <w:proofErr w:type="spellStart"/>
      <w:r w:rsidRPr="001B7760">
        <w:rPr>
          <w:rFonts w:cs="Arial"/>
        </w:rPr>
        <w:t>Bacteremia</w:t>
      </w:r>
      <w:proofErr w:type="spellEnd"/>
      <w:r w:rsidRPr="001B7760">
        <w:rPr>
          <w:rFonts w:cs="Arial"/>
        </w:rPr>
        <w:t xml:space="preserve">. Ann </w:t>
      </w:r>
      <w:proofErr w:type="spellStart"/>
      <w:r w:rsidRPr="001B7760">
        <w:rPr>
          <w:rFonts w:cs="Arial"/>
        </w:rPr>
        <w:t>Pharmacother</w:t>
      </w:r>
      <w:proofErr w:type="spellEnd"/>
      <w:r w:rsidRPr="001B7760">
        <w:rPr>
          <w:rFonts w:cs="Arial"/>
        </w:rPr>
        <w:t xml:space="preserve"> 39:32–38.</w:t>
      </w:r>
    </w:p>
    <w:p w14:paraId="06D44440" w14:textId="77777777" w:rsidR="00DC12EC" w:rsidRPr="001B7760" w:rsidRDefault="00DC12EC" w:rsidP="00DC12EC">
      <w:pPr>
        <w:pStyle w:val="Bibliography"/>
        <w:rPr>
          <w:rFonts w:cs="Arial"/>
        </w:rPr>
      </w:pPr>
      <w:r w:rsidRPr="001B7760">
        <w:rPr>
          <w:rFonts w:cs="Arial"/>
        </w:rPr>
        <w:t xml:space="preserve">59. </w:t>
      </w:r>
      <w:r w:rsidRPr="001B7760">
        <w:rPr>
          <w:rFonts w:cs="Arial"/>
        </w:rPr>
        <w:tab/>
      </w:r>
      <w:proofErr w:type="spellStart"/>
      <w:r w:rsidRPr="001B7760">
        <w:rPr>
          <w:rFonts w:cs="Arial"/>
        </w:rPr>
        <w:t>Azoulay</w:t>
      </w:r>
      <w:proofErr w:type="spellEnd"/>
      <w:r w:rsidRPr="001B7760">
        <w:rPr>
          <w:rFonts w:cs="Arial"/>
        </w:rPr>
        <w:t xml:space="preserve">-Dupuis E, </w:t>
      </w:r>
      <w:proofErr w:type="spellStart"/>
      <w:r w:rsidRPr="001B7760">
        <w:rPr>
          <w:rFonts w:cs="Arial"/>
        </w:rPr>
        <w:t>Bédos</w:t>
      </w:r>
      <w:proofErr w:type="spellEnd"/>
      <w:r w:rsidRPr="001B7760">
        <w:rPr>
          <w:rFonts w:cs="Arial"/>
        </w:rPr>
        <w:t xml:space="preserve"> JP, Mohler J, Schmitt-Hoffmann A, </w:t>
      </w:r>
      <w:proofErr w:type="spellStart"/>
      <w:r w:rsidRPr="001B7760">
        <w:rPr>
          <w:rFonts w:cs="Arial"/>
        </w:rPr>
        <w:t>Schleimer</w:t>
      </w:r>
      <w:proofErr w:type="spellEnd"/>
      <w:r w:rsidRPr="001B7760">
        <w:rPr>
          <w:rFonts w:cs="Arial"/>
        </w:rPr>
        <w:t xml:space="preserve"> M, Shapiro S. 2004. Efficacy of BAL5788, a Prodrug of Cephalosporin BAL9141, in a Mouse Model of Acute Pneumococcal Pneumonia.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48:1105–1111.</w:t>
      </w:r>
    </w:p>
    <w:p w14:paraId="184B0313" w14:textId="77777777" w:rsidR="00DC12EC" w:rsidRPr="001B7760" w:rsidRDefault="00DC12EC" w:rsidP="00DC12EC">
      <w:pPr>
        <w:pStyle w:val="Bibliography"/>
        <w:rPr>
          <w:rFonts w:cs="Arial"/>
        </w:rPr>
      </w:pPr>
      <w:r w:rsidRPr="001B7760">
        <w:rPr>
          <w:rFonts w:cs="Arial"/>
        </w:rPr>
        <w:t xml:space="preserve">60. </w:t>
      </w:r>
      <w:r w:rsidRPr="001B7760">
        <w:rPr>
          <w:rFonts w:cs="Arial"/>
        </w:rPr>
        <w:tab/>
        <w:t>Bakker-</w:t>
      </w:r>
      <w:proofErr w:type="spellStart"/>
      <w:r w:rsidRPr="001B7760">
        <w:rPr>
          <w:rFonts w:cs="Arial"/>
        </w:rPr>
        <w:t>Woudenberg</w:t>
      </w:r>
      <w:proofErr w:type="spellEnd"/>
      <w:r w:rsidRPr="001B7760">
        <w:rPr>
          <w:rFonts w:cs="Arial"/>
        </w:rPr>
        <w:t xml:space="preserve"> IAJM, ten Kate MT, </w:t>
      </w:r>
      <w:proofErr w:type="spellStart"/>
      <w:r w:rsidRPr="001B7760">
        <w:rPr>
          <w:rFonts w:cs="Arial"/>
        </w:rPr>
        <w:t>Goessens</w:t>
      </w:r>
      <w:proofErr w:type="spellEnd"/>
      <w:r w:rsidRPr="001B7760">
        <w:rPr>
          <w:rFonts w:cs="Arial"/>
        </w:rPr>
        <w:t xml:space="preserve"> WHF, Mouton JW. 2006. Effect of treatment duration on pharmacokinetic/pharmacodynamic indices correlating with therapeutic efficacy of ceftazidime in experimental Klebsiella pneumoniae lung infection. Antimicrobial Agents and Chemotherapy 50:2919–2925.</w:t>
      </w:r>
    </w:p>
    <w:p w14:paraId="10C1AFBF" w14:textId="77777777" w:rsidR="00DC12EC" w:rsidRPr="001B7760" w:rsidRDefault="00DC12EC" w:rsidP="00DC12EC">
      <w:pPr>
        <w:pStyle w:val="Bibliography"/>
        <w:rPr>
          <w:rFonts w:cs="Arial"/>
        </w:rPr>
      </w:pPr>
      <w:r w:rsidRPr="001B7760">
        <w:rPr>
          <w:rFonts w:cs="Arial"/>
        </w:rPr>
        <w:lastRenderedPageBreak/>
        <w:t xml:space="preserve">61. </w:t>
      </w:r>
      <w:r w:rsidRPr="001B7760">
        <w:rPr>
          <w:rFonts w:cs="Arial"/>
        </w:rPr>
        <w:tab/>
        <w:t xml:space="preserve">Bergen PJ, </w:t>
      </w:r>
      <w:proofErr w:type="spellStart"/>
      <w:r w:rsidRPr="001B7760">
        <w:rPr>
          <w:rFonts w:cs="Arial"/>
        </w:rPr>
        <w:t>Bulitta</w:t>
      </w:r>
      <w:proofErr w:type="spellEnd"/>
      <w:r w:rsidRPr="001B7760">
        <w:rPr>
          <w:rFonts w:cs="Arial"/>
        </w:rPr>
        <w:t xml:space="preserve"> JB, Kirkpatrick CMJ, Rogers KE, McGregor MJ, Wallis SC, Paterson DL, Lipman J, Roberts JA, </w:t>
      </w:r>
      <w:proofErr w:type="spellStart"/>
      <w:r w:rsidRPr="001B7760">
        <w:rPr>
          <w:rFonts w:cs="Arial"/>
        </w:rPr>
        <w:t>Landersdorfer</w:t>
      </w:r>
      <w:proofErr w:type="spellEnd"/>
      <w:r w:rsidRPr="001B7760">
        <w:rPr>
          <w:rFonts w:cs="Arial"/>
        </w:rPr>
        <w:t xml:space="preserve"> CB. 2016. Effect of different renal function on antibacterial effects of piperacillin against </w:t>
      </w:r>
      <w:r w:rsidRPr="001B7760">
        <w:rPr>
          <w:rFonts w:cs="Arial"/>
          <w:i/>
          <w:iCs/>
        </w:rPr>
        <w:t>Pseudomonas aeruginosa</w:t>
      </w:r>
      <w:r w:rsidRPr="001B7760">
        <w:rPr>
          <w:rFonts w:cs="Arial"/>
        </w:rPr>
        <w:t xml:space="preserve"> evaluated via the hollow-fibre infection model and mechanism-based modelling. J </w:t>
      </w:r>
      <w:proofErr w:type="spellStart"/>
      <w:r w:rsidRPr="001B7760">
        <w:rPr>
          <w:rFonts w:cs="Arial"/>
        </w:rPr>
        <w:t>Antimicrob</w:t>
      </w:r>
      <w:proofErr w:type="spellEnd"/>
      <w:r w:rsidRPr="001B7760">
        <w:rPr>
          <w:rFonts w:cs="Arial"/>
        </w:rPr>
        <w:t xml:space="preserve"> </w:t>
      </w:r>
      <w:proofErr w:type="spellStart"/>
      <w:r w:rsidRPr="001B7760">
        <w:rPr>
          <w:rFonts w:cs="Arial"/>
        </w:rPr>
        <w:t>Chemother</w:t>
      </w:r>
      <w:proofErr w:type="spellEnd"/>
      <w:r w:rsidRPr="001B7760">
        <w:rPr>
          <w:rFonts w:cs="Arial"/>
        </w:rPr>
        <w:t xml:space="preserve"> 71:2509–2520.</w:t>
      </w:r>
    </w:p>
    <w:p w14:paraId="717FDC92" w14:textId="77777777" w:rsidR="00DC12EC" w:rsidRPr="001B7760" w:rsidRDefault="00DC12EC" w:rsidP="00DC12EC">
      <w:pPr>
        <w:pStyle w:val="Bibliography"/>
        <w:rPr>
          <w:rFonts w:cs="Arial"/>
        </w:rPr>
      </w:pPr>
      <w:r w:rsidRPr="001B7760">
        <w:rPr>
          <w:rFonts w:cs="Arial"/>
        </w:rPr>
        <w:t xml:space="preserve">62. </w:t>
      </w:r>
      <w:r w:rsidRPr="001B7760">
        <w:rPr>
          <w:rFonts w:cs="Arial"/>
        </w:rPr>
        <w:tab/>
        <w:t xml:space="preserve">Bergen PJ, </w:t>
      </w:r>
      <w:proofErr w:type="spellStart"/>
      <w:r w:rsidRPr="001B7760">
        <w:rPr>
          <w:rFonts w:cs="Arial"/>
        </w:rPr>
        <w:t>Bulitta</w:t>
      </w:r>
      <w:proofErr w:type="spellEnd"/>
      <w:r w:rsidRPr="001B7760">
        <w:rPr>
          <w:rFonts w:cs="Arial"/>
        </w:rPr>
        <w:t xml:space="preserve"> JB, Kirkpatrick CMJ, Rogers KE, McGregor MJ, Wallis SC, Paterson DL, Nation RL, Lipman J, Roberts JA, </w:t>
      </w:r>
      <w:proofErr w:type="spellStart"/>
      <w:r w:rsidRPr="001B7760">
        <w:rPr>
          <w:rFonts w:cs="Arial"/>
        </w:rPr>
        <w:t>Landersdorfer</w:t>
      </w:r>
      <w:proofErr w:type="spellEnd"/>
      <w:r w:rsidRPr="001B7760">
        <w:rPr>
          <w:rFonts w:cs="Arial"/>
        </w:rPr>
        <w:t xml:space="preserve"> CB. 2017. Substantial Impact of Altered Pharmacokinetics in Critically Ill Patients on the Antibacterial Effects of Meropenem Evaluated via the Dynamic Hollow-</w:t>
      </w:r>
      <w:proofErr w:type="spellStart"/>
      <w:r w:rsidRPr="001B7760">
        <w:rPr>
          <w:rFonts w:cs="Arial"/>
        </w:rPr>
        <w:t>Fiber</w:t>
      </w:r>
      <w:proofErr w:type="spellEnd"/>
      <w:r w:rsidRPr="001B7760">
        <w:rPr>
          <w:rFonts w:cs="Arial"/>
        </w:rPr>
        <w:t xml:space="preserve"> Infection Model.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w:t>
      </w:r>
      <w:proofErr w:type="gramStart"/>
      <w:r w:rsidRPr="001B7760">
        <w:rPr>
          <w:rFonts w:cs="Arial"/>
        </w:rPr>
        <w:t>61:e</w:t>
      </w:r>
      <w:proofErr w:type="gramEnd"/>
      <w:r w:rsidRPr="001B7760">
        <w:rPr>
          <w:rFonts w:cs="Arial"/>
        </w:rPr>
        <w:t>02642-16.</w:t>
      </w:r>
    </w:p>
    <w:p w14:paraId="513DB0FE" w14:textId="77777777" w:rsidR="00DC12EC" w:rsidRPr="001B7760" w:rsidRDefault="00DC12EC" w:rsidP="00DC12EC">
      <w:pPr>
        <w:pStyle w:val="Bibliography"/>
        <w:rPr>
          <w:rFonts w:cs="Arial"/>
        </w:rPr>
      </w:pPr>
      <w:r w:rsidRPr="001B7760">
        <w:rPr>
          <w:rFonts w:cs="Arial"/>
        </w:rPr>
        <w:t xml:space="preserve">63. </w:t>
      </w:r>
      <w:r w:rsidRPr="001B7760">
        <w:rPr>
          <w:rFonts w:cs="Arial"/>
        </w:rPr>
        <w:tab/>
      </w:r>
      <w:proofErr w:type="spellStart"/>
      <w:r w:rsidRPr="001B7760">
        <w:rPr>
          <w:rFonts w:cs="Arial"/>
        </w:rPr>
        <w:t>Berkhout</w:t>
      </w:r>
      <w:proofErr w:type="spellEnd"/>
      <w:r w:rsidRPr="001B7760">
        <w:rPr>
          <w:rFonts w:cs="Arial"/>
        </w:rPr>
        <w:t xml:space="preserve"> J, Melchers MJ, Van Mil AC, </w:t>
      </w:r>
      <w:proofErr w:type="spellStart"/>
      <w:r w:rsidRPr="001B7760">
        <w:rPr>
          <w:rFonts w:cs="Arial"/>
        </w:rPr>
        <w:t>Seyedmousavi</w:t>
      </w:r>
      <w:proofErr w:type="spellEnd"/>
      <w:r w:rsidRPr="001B7760">
        <w:rPr>
          <w:rFonts w:cs="Arial"/>
        </w:rPr>
        <w:t xml:space="preserve"> S, Lagarde CM, Schuck VJ, Nichols WW, Mouton JW. 2016. Pharmacodynamics of Ceftazidime and Avibactam in Neutropenic Mice with Thigh or Lung Infection.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60:368–375.</w:t>
      </w:r>
    </w:p>
    <w:p w14:paraId="46BBE5F3" w14:textId="77777777" w:rsidR="00DC12EC" w:rsidRPr="001B7760" w:rsidRDefault="00DC12EC" w:rsidP="00DC12EC">
      <w:pPr>
        <w:pStyle w:val="Bibliography"/>
        <w:rPr>
          <w:rFonts w:cs="Arial"/>
        </w:rPr>
      </w:pPr>
      <w:r w:rsidRPr="001B7760">
        <w:rPr>
          <w:rFonts w:cs="Arial"/>
        </w:rPr>
        <w:t xml:space="preserve">64. </w:t>
      </w:r>
      <w:r w:rsidRPr="001B7760">
        <w:rPr>
          <w:rFonts w:cs="Arial"/>
        </w:rPr>
        <w:tab/>
      </w:r>
      <w:proofErr w:type="spellStart"/>
      <w:r w:rsidRPr="001B7760">
        <w:rPr>
          <w:rFonts w:cs="Arial"/>
        </w:rPr>
        <w:t>Bhavnani</w:t>
      </w:r>
      <w:proofErr w:type="spellEnd"/>
      <w:r w:rsidRPr="001B7760">
        <w:rPr>
          <w:rFonts w:cs="Arial"/>
        </w:rPr>
        <w:t xml:space="preserve"> SM, Hammel JP, Van Wart SA, </w:t>
      </w:r>
      <w:proofErr w:type="spellStart"/>
      <w:r w:rsidRPr="001B7760">
        <w:rPr>
          <w:rFonts w:cs="Arial"/>
        </w:rPr>
        <w:t>Rubino</w:t>
      </w:r>
      <w:proofErr w:type="spellEnd"/>
      <w:r w:rsidRPr="001B7760">
        <w:rPr>
          <w:rFonts w:cs="Arial"/>
        </w:rPr>
        <w:t xml:space="preserve"> CM, Reynolds DK, Forrest A, </w:t>
      </w:r>
      <w:proofErr w:type="spellStart"/>
      <w:r w:rsidRPr="001B7760">
        <w:rPr>
          <w:rFonts w:cs="Arial"/>
        </w:rPr>
        <w:t>Drusano</w:t>
      </w:r>
      <w:proofErr w:type="spellEnd"/>
      <w:r w:rsidRPr="001B7760">
        <w:rPr>
          <w:rFonts w:cs="Arial"/>
        </w:rPr>
        <w:t xml:space="preserve"> GL, </w:t>
      </w:r>
      <w:proofErr w:type="spellStart"/>
      <w:r w:rsidRPr="001B7760">
        <w:rPr>
          <w:rFonts w:cs="Arial"/>
        </w:rPr>
        <w:t>Khariton</w:t>
      </w:r>
      <w:proofErr w:type="spellEnd"/>
      <w:r w:rsidRPr="001B7760">
        <w:rPr>
          <w:rFonts w:cs="Arial"/>
        </w:rPr>
        <w:t xml:space="preserve"> T, Friedland HD, </w:t>
      </w:r>
      <w:proofErr w:type="spellStart"/>
      <w:r w:rsidRPr="001B7760">
        <w:rPr>
          <w:rFonts w:cs="Arial"/>
        </w:rPr>
        <w:t>Riccobene</w:t>
      </w:r>
      <w:proofErr w:type="spellEnd"/>
      <w:r w:rsidRPr="001B7760">
        <w:rPr>
          <w:rFonts w:cs="Arial"/>
        </w:rPr>
        <w:t xml:space="preserve"> TA, Ambrose PG. 2015. Pharmacokinetic-Pharmacodynamic Analysis for Efficacy of </w:t>
      </w:r>
      <w:proofErr w:type="spellStart"/>
      <w:r w:rsidRPr="001B7760">
        <w:rPr>
          <w:rFonts w:cs="Arial"/>
        </w:rPr>
        <w:t>Ceftaroline</w:t>
      </w:r>
      <w:proofErr w:type="spellEnd"/>
      <w:r w:rsidRPr="001B7760">
        <w:rPr>
          <w:rFonts w:cs="Arial"/>
        </w:rPr>
        <w:t xml:space="preserve"> </w:t>
      </w:r>
      <w:proofErr w:type="spellStart"/>
      <w:r w:rsidRPr="001B7760">
        <w:rPr>
          <w:rFonts w:cs="Arial"/>
        </w:rPr>
        <w:t>Fosamil</w:t>
      </w:r>
      <w:proofErr w:type="spellEnd"/>
      <w:r w:rsidRPr="001B7760">
        <w:rPr>
          <w:rFonts w:cs="Arial"/>
        </w:rPr>
        <w:t xml:space="preserve"> in Patients with Acute Bacterial Skin and Skin Structure Infections.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59:372–380.</w:t>
      </w:r>
    </w:p>
    <w:p w14:paraId="317187C6" w14:textId="77777777" w:rsidR="00DC12EC" w:rsidRPr="001B7760" w:rsidRDefault="00DC12EC" w:rsidP="00DC12EC">
      <w:pPr>
        <w:pStyle w:val="Bibliography"/>
        <w:rPr>
          <w:rFonts w:cs="Arial"/>
        </w:rPr>
      </w:pPr>
      <w:r w:rsidRPr="001B7760">
        <w:rPr>
          <w:rFonts w:cs="Arial"/>
        </w:rPr>
        <w:t xml:space="preserve">65. </w:t>
      </w:r>
      <w:r w:rsidRPr="001B7760">
        <w:rPr>
          <w:rFonts w:cs="Arial"/>
        </w:rPr>
        <w:tab/>
      </w:r>
      <w:proofErr w:type="spellStart"/>
      <w:r w:rsidRPr="001B7760">
        <w:rPr>
          <w:rFonts w:cs="Arial"/>
        </w:rPr>
        <w:t>Bulik</w:t>
      </w:r>
      <w:proofErr w:type="spellEnd"/>
      <w:r w:rsidRPr="001B7760">
        <w:rPr>
          <w:rFonts w:cs="Arial"/>
        </w:rPr>
        <w:t xml:space="preserve"> CC, Tessier PR, Keel RA, Sutherland CA, </w:t>
      </w:r>
      <w:proofErr w:type="spellStart"/>
      <w:r w:rsidRPr="001B7760">
        <w:rPr>
          <w:rFonts w:cs="Arial"/>
        </w:rPr>
        <w:t>Nicolau</w:t>
      </w:r>
      <w:proofErr w:type="spellEnd"/>
      <w:r w:rsidRPr="001B7760">
        <w:rPr>
          <w:rFonts w:cs="Arial"/>
        </w:rPr>
        <w:t xml:space="preserve"> DP. 2012. </w:t>
      </w:r>
      <w:r w:rsidRPr="001B7760">
        <w:rPr>
          <w:rFonts w:cs="Arial"/>
          <w:i/>
          <w:iCs/>
        </w:rPr>
        <w:t>In Vivo</w:t>
      </w:r>
      <w:r w:rsidRPr="001B7760">
        <w:rPr>
          <w:rFonts w:cs="Arial"/>
        </w:rPr>
        <w:t xml:space="preserve"> Comparison of CXA-101 (FR264205) with and without Tazobactam versus Piperacillin-Tazobactam Using Human Simulated Exposures against Phenotypically Diverse Gram-Negative Organisms.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56:544–549.</w:t>
      </w:r>
    </w:p>
    <w:p w14:paraId="6B72915E" w14:textId="77777777" w:rsidR="00DC12EC" w:rsidRPr="001B7760" w:rsidRDefault="00DC12EC" w:rsidP="00DC12EC">
      <w:pPr>
        <w:pStyle w:val="Bibliography"/>
        <w:rPr>
          <w:rFonts w:cs="Arial"/>
        </w:rPr>
      </w:pPr>
      <w:r w:rsidRPr="001B7760">
        <w:rPr>
          <w:rFonts w:cs="Arial"/>
        </w:rPr>
        <w:lastRenderedPageBreak/>
        <w:t xml:space="preserve">66. </w:t>
      </w:r>
      <w:r w:rsidRPr="001B7760">
        <w:rPr>
          <w:rFonts w:cs="Arial"/>
        </w:rPr>
        <w:tab/>
        <w:t>Craig WA. 1995. Interrelationship between pharmacokinetics and pharmacodynamics in determining dosage regimens for broad-spectrum cephalosporins. Diagnostic Microbiology and Infectious Disease 22:89–96.</w:t>
      </w:r>
    </w:p>
    <w:p w14:paraId="253FA635" w14:textId="77777777" w:rsidR="00DC12EC" w:rsidRPr="001B7760" w:rsidRDefault="00DC12EC" w:rsidP="00DC12EC">
      <w:pPr>
        <w:pStyle w:val="Bibliography"/>
        <w:rPr>
          <w:rFonts w:cs="Arial"/>
        </w:rPr>
      </w:pPr>
      <w:r w:rsidRPr="001B7760">
        <w:rPr>
          <w:rFonts w:cs="Arial"/>
        </w:rPr>
        <w:t xml:space="preserve">67. </w:t>
      </w:r>
      <w:r w:rsidRPr="001B7760">
        <w:rPr>
          <w:rFonts w:cs="Arial"/>
        </w:rPr>
        <w:tab/>
        <w:t xml:space="preserve">Craig WA, Andes D. 1996. Pharmacokinetics and pharmacodynamics of antibiotics in otitis media: The </w:t>
      </w:r>
      <w:proofErr w:type="spellStart"/>
      <w:r w:rsidRPr="001B7760">
        <w:rPr>
          <w:rFonts w:cs="Arial"/>
        </w:rPr>
        <w:t>Pediatric</w:t>
      </w:r>
      <w:proofErr w:type="spellEnd"/>
      <w:r w:rsidRPr="001B7760">
        <w:rPr>
          <w:rFonts w:cs="Arial"/>
        </w:rPr>
        <w:t xml:space="preserve"> Infectious Disease Journal 15:255–259.</w:t>
      </w:r>
    </w:p>
    <w:p w14:paraId="15D7F7AE" w14:textId="77777777" w:rsidR="00DC12EC" w:rsidRPr="001B7760" w:rsidRDefault="00DC12EC" w:rsidP="00DC12EC">
      <w:pPr>
        <w:pStyle w:val="Bibliography"/>
        <w:rPr>
          <w:rFonts w:cs="Arial"/>
        </w:rPr>
      </w:pPr>
      <w:r w:rsidRPr="001B7760">
        <w:rPr>
          <w:rFonts w:cs="Arial"/>
        </w:rPr>
        <w:t xml:space="preserve">68. </w:t>
      </w:r>
      <w:r w:rsidRPr="001B7760">
        <w:rPr>
          <w:rFonts w:cs="Arial"/>
        </w:rPr>
        <w:tab/>
        <w:t>Craig WA. 1996. Antimicrobial resistance issues of the future. Diagnostic Microbiology and Infectious Disease 25:213–217.</w:t>
      </w:r>
    </w:p>
    <w:p w14:paraId="19457913" w14:textId="77777777" w:rsidR="00DC12EC" w:rsidRPr="001B7760" w:rsidRDefault="00DC12EC" w:rsidP="00DC12EC">
      <w:pPr>
        <w:pStyle w:val="Bibliography"/>
        <w:rPr>
          <w:rFonts w:cs="Arial"/>
        </w:rPr>
      </w:pPr>
      <w:r w:rsidRPr="001B7760">
        <w:rPr>
          <w:rFonts w:cs="Arial"/>
        </w:rPr>
        <w:t xml:space="preserve">69. </w:t>
      </w:r>
      <w:r w:rsidRPr="001B7760">
        <w:rPr>
          <w:rFonts w:cs="Arial"/>
        </w:rPr>
        <w:tab/>
        <w:t xml:space="preserve">Craig WA. 2003. Basic pharmacodynamics of </w:t>
      </w:r>
      <w:proofErr w:type="spellStart"/>
      <w:r w:rsidRPr="001B7760">
        <w:rPr>
          <w:rFonts w:cs="Arial"/>
        </w:rPr>
        <w:t>antibacterials</w:t>
      </w:r>
      <w:proofErr w:type="spellEnd"/>
      <w:r w:rsidRPr="001B7760">
        <w:rPr>
          <w:rFonts w:cs="Arial"/>
        </w:rPr>
        <w:t xml:space="preserve"> with clinical applications to the use of β-lactams, glycopeptides, and linezolid. Infectious Disease Clinics of North America 17:479–501.</w:t>
      </w:r>
    </w:p>
    <w:p w14:paraId="19427D7C" w14:textId="77777777" w:rsidR="00DC12EC" w:rsidRPr="001B7760" w:rsidRDefault="00DC12EC" w:rsidP="00DC12EC">
      <w:pPr>
        <w:pStyle w:val="Bibliography"/>
        <w:rPr>
          <w:rFonts w:cs="Arial"/>
        </w:rPr>
      </w:pPr>
      <w:r w:rsidRPr="001B7760">
        <w:rPr>
          <w:rFonts w:cs="Arial"/>
        </w:rPr>
        <w:t xml:space="preserve">70. </w:t>
      </w:r>
      <w:r w:rsidRPr="001B7760">
        <w:rPr>
          <w:rFonts w:cs="Arial"/>
        </w:rPr>
        <w:tab/>
        <w:t>Nightingale CH. 2005. Future in vitro and animal studies: Development of pharmacokinetic and pharmacodynamic efficacy predictors for tissue-based antibiotics. Pharmacotherapy 25:146S-149S.</w:t>
      </w:r>
    </w:p>
    <w:p w14:paraId="26D4BEA3" w14:textId="77777777" w:rsidR="00DC12EC" w:rsidRPr="001B7760" w:rsidRDefault="00DC12EC" w:rsidP="00DC12EC">
      <w:pPr>
        <w:pStyle w:val="Bibliography"/>
        <w:rPr>
          <w:rFonts w:cs="Arial"/>
        </w:rPr>
      </w:pPr>
      <w:r w:rsidRPr="001B7760">
        <w:rPr>
          <w:rFonts w:cs="Arial"/>
        </w:rPr>
        <w:t xml:space="preserve">71. </w:t>
      </w:r>
      <w:r w:rsidRPr="001B7760">
        <w:rPr>
          <w:rFonts w:cs="Arial"/>
        </w:rPr>
        <w:tab/>
        <w:t xml:space="preserve">Craig WA, Andes DR. 2008. In Vivo Pharmacodynamics of Ceftobiprole against Multiple Bacterial Pathogens in Murine Thigh and Lung Infection Models.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52:3492–3496.</w:t>
      </w:r>
    </w:p>
    <w:p w14:paraId="4AA23CB8" w14:textId="77777777" w:rsidR="00DC12EC" w:rsidRPr="001B7760" w:rsidRDefault="00DC12EC" w:rsidP="00DC12EC">
      <w:pPr>
        <w:pStyle w:val="Bibliography"/>
        <w:rPr>
          <w:rFonts w:cs="Arial"/>
        </w:rPr>
      </w:pPr>
      <w:r w:rsidRPr="001B7760">
        <w:rPr>
          <w:rFonts w:cs="Arial"/>
        </w:rPr>
        <w:t xml:space="preserve">72. </w:t>
      </w:r>
      <w:r w:rsidRPr="001B7760">
        <w:rPr>
          <w:rFonts w:cs="Arial"/>
        </w:rPr>
        <w:tab/>
        <w:t xml:space="preserve">Craig WA, Andes DR. 2013. </w:t>
      </w:r>
      <w:r w:rsidRPr="001B7760">
        <w:rPr>
          <w:rFonts w:cs="Arial"/>
          <w:i/>
          <w:iCs/>
        </w:rPr>
        <w:t>In Vivo</w:t>
      </w:r>
      <w:r w:rsidRPr="001B7760">
        <w:rPr>
          <w:rFonts w:cs="Arial"/>
        </w:rPr>
        <w:t xml:space="preserve"> Activities of </w:t>
      </w:r>
      <w:proofErr w:type="spellStart"/>
      <w:r w:rsidRPr="001B7760">
        <w:rPr>
          <w:rFonts w:cs="Arial"/>
        </w:rPr>
        <w:t>Ceftolozane</w:t>
      </w:r>
      <w:proofErr w:type="spellEnd"/>
      <w:r w:rsidRPr="001B7760">
        <w:rPr>
          <w:rFonts w:cs="Arial"/>
        </w:rPr>
        <w:t xml:space="preserve">, a New Cephalosporin, with and without Tazobactam against Pseudomonas aeruginosa and Enterobacteriaceae, Including Strains with Extended-Spectrum β-Lactamases, in the Thighs of Neutropenic Mice.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57:1577–1582.</w:t>
      </w:r>
    </w:p>
    <w:p w14:paraId="4D003FF3" w14:textId="77777777" w:rsidR="00DC12EC" w:rsidRPr="001B7760" w:rsidRDefault="00DC12EC" w:rsidP="00DC12EC">
      <w:pPr>
        <w:pStyle w:val="Bibliography"/>
        <w:rPr>
          <w:rFonts w:cs="Arial"/>
        </w:rPr>
      </w:pPr>
      <w:r w:rsidRPr="001B7760">
        <w:rPr>
          <w:rFonts w:cs="Arial"/>
        </w:rPr>
        <w:lastRenderedPageBreak/>
        <w:t xml:space="preserve">73. </w:t>
      </w:r>
      <w:r w:rsidRPr="001B7760">
        <w:rPr>
          <w:rFonts w:cs="Arial"/>
        </w:rPr>
        <w:tab/>
        <w:t xml:space="preserve">Crandon JL, </w:t>
      </w:r>
      <w:proofErr w:type="spellStart"/>
      <w:r w:rsidRPr="001B7760">
        <w:rPr>
          <w:rFonts w:cs="Arial"/>
        </w:rPr>
        <w:t>Bulik</w:t>
      </w:r>
      <w:proofErr w:type="spellEnd"/>
      <w:r w:rsidRPr="001B7760">
        <w:rPr>
          <w:rFonts w:cs="Arial"/>
        </w:rPr>
        <w:t xml:space="preserve"> CC, </w:t>
      </w:r>
      <w:proofErr w:type="spellStart"/>
      <w:r w:rsidRPr="001B7760">
        <w:rPr>
          <w:rFonts w:cs="Arial"/>
        </w:rPr>
        <w:t>Kuti</w:t>
      </w:r>
      <w:proofErr w:type="spellEnd"/>
      <w:r w:rsidRPr="001B7760">
        <w:rPr>
          <w:rFonts w:cs="Arial"/>
        </w:rPr>
        <w:t xml:space="preserve"> JL, </w:t>
      </w:r>
      <w:proofErr w:type="spellStart"/>
      <w:r w:rsidRPr="001B7760">
        <w:rPr>
          <w:rFonts w:cs="Arial"/>
        </w:rPr>
        <w:t>Nicolau</w:t>
      </w:r>
      <w:proofErr w:type="spellEnd"/>
      <w:r w:rsidRPr="001B7760">
        <w:rPr>
          <w:rFonts w:cs="Arial"/>
        </w:rPr>
        <w:t xml:space="preserve"> DP. 2010. Clinical Pharmacodynamics of Cefepime in Patients Infected with </w:t>
      </w:r>
      <w:r w:rsidRPr="001B7760">
        <w:rPr>
          <w:rFonts w:cs="Arial"/>
          <w:i/>
          <w:iCs/>
        </w:rPr>
        <w:t>Pseudomonas aeruginosa</w:t>
      </w:r>
      <w:r w:rsidRPr="001B7760">
        <w:rPr>
          <w:rFonts w:cs="Arial"/>
        </w:rPr>
        <w:t xml:space="preserve">.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54:1111–1116.</w:t>
      </w:r>
    </w:p>
    <w:p w14:paraId="1DA236B4" w14:textId="77777777" w:rsidR="00DC12EC" w:rsidRPr="001B7760" w:rsidRDefault="00DC12EC" w:rsidP="00DC12EC">
      <w:pPr>
        <w:pStyle w:val="Bibliography"/>
        <w:rPr>
          <w:rFonts w:cs="Arial"/>
        </w:rPr>
      </w:pPr>
      <w:r w:rsidRPr="001B7760">
        <w:rPr>
          <w:rFonts w:cs="Arial"/>
        </w:rPr>
        <w:t xml:space="preserve">74. </w:t>
      </w:r>
      <w:r w:rsidRPr="001B7760">
        <w:rPr>
          <w:rFonts w:cs="Arial"/>
        </w:rPr>
        <w:tab/>
        <w:t xml:space="preserve">Crandon JL, </w:t>
      </w:r>
      <w:proofErr w:type="spellStart"/>
      <w:r w:rsidRPr="001B7760">
        <w:rPr>
          <w:rFonts w:cs="Arial"/>
        </w:rPr>
        <w:t>Luyt</w:t>
      </w:r>
      <w:proofErr w:type="spellEnd"/>
      <w:r w:rsidRPr="001B7760">
        <w:rPr>
          <w:rFonts w:cs="Arial"/>
        </w:rPr>
        <w:t xml:space="preserve"> C-E, </w:t>
      </w:r>
      <w:proofErr w:type="spellStart"/>
      <w:r w:rsidRPr="001B7760">
        <w:rPr>
          <w:rFonts w:cs="Arial"/>
        </w:rPr>
        <w:t>Aubry</w:t>
      </w:r>
      <w:proofErr w:type="spellEnd"/>
      <w:r w:rsidRPr="001B7760">
        <w:rPr>
          <w:rFonts w:cs="Arial"/>
        </w:rPr>
        <w:t xml:space="preserve"> A, </w:t>
      </w:r>
      <w:proofErr w:type="spellStart"/>
      <w:r w:rsidRPr="001B7760">
        <w:rPr>
          <w:rFonts w:cs="Arial"/>
        </w:rPr>
        <w:t>Chastre</w:t>
      </w:r>
      <w:proofErr w:type="spellEnd"/>
      <w:r w:rsidRPr="001B7760">
        <w:rPr>
          <w:rFonts w:cs="Arial"/>
        </w:rPr>
        <w:t xml:space="preserve"> J, </w:t>
      </w:r>
      <w:proofErr w:type="spellStart"/>
      <w:r w:rsidRPr="001B7760">
        <w:rPr>
          <w:rFonts w:cs="Arial"/>
        </w:rPr>
        <w:t>Nicolau</w:t>
      </w:r>
      <w:proofErr w:type="spellEnd"/>
      <w:r w:rsidRPr="001B7760">
        <w:rPr>
          <w:rFonts w:cs="Arial"/>
        </w:rPr>
        <w:t xml:space="preserve"> DP. 2016. Pharmacodynamics of carbapenems for the treatment of </w:t>
      </w:r>
      <w:r w:rsidRPr="001B7760">
        <w:rPr>
          <w:rFonts w:cs="Arial"/>
          <w:i/>
          <w:iCs/>
        </w:rPr>
        <w:t>Pseudomonas aeruginosa</w:t>
      </w:r>
      <w:r w:rsidRPr="001B7760">
        <w:rPr>
          <w:rFonts w:cs="Arial"/>
        </w:rPr>
        <w:t xml:space="preserve"> ventilator-associated pneumonia: associations with clinical outcome and recurrence. J </w:t>
      </w:r>
      <w:proofErr w:type="spellStart"/>
      <w:r w:rsidRPr="001B7760">
        <w:rPr>
          <w:rFonts w:cs="Arial"/>
        </w:rPr>
        <w:t>Antimicrob</w:t>
      </w:r>
      <w:proofErr w:type="spellEnd"/>
      <w:r w:rsidRPr="001B7760">
        <w:rPr>
          <w:rFonts w:cs="Arial"/>
        </w:rPr>
        <w:t xml:space="preserve"> </w:t>
      </w:r>
      <w:proofErr w:type="spellStart"/>
      <w:r w:rsidRPr="001B7760">
        <w:rPr>
          <w:rFonts w:cs="Arial"/>
        </w:rPr>
        <w:t>Chemother</w:t>
      </w:r>
      <w:proofErr w:type="spellEnd"/>
      <w:r w:rsidRPr="001B7760">
        <w:rPr>
          <w:rFonts w:cs="Arial"/>
        </w:rPr>
        <w:t xml:space="preserve"> 71:2534–2537.</w:t>
      </w:r>
    </w:p>
    <w:p w14:paraId="731960AB" w14:textId="77777777" w:rsidR="00DC12EC" w:rsidRPr="001B7760" w:rsidRDefault="00DC12EC" w:rsidP="00DC12EC">
      <w:pPr>
        <w:pStyle w:val="Bibliography"/>
        <w:rPr>
          <w:rFonts w:cs="Arial"/>
        </w:rPr>
      </w:pPr>
      <w:r w:rsidRPr="001B7760">
        <w:rPr>
          <w:rFonts w:cs="Arial"/>
        </w:rPr>
        <w:t xml:space="preserve">75. </w:t>
      </w:r>
      <w:r w:rsidRPr="001B7760">
        <w:rPr>
          <w:rFonts w:cs="Arial"/>
        </w:rPr>
        <w:tab/>
      </w:r>
      <w:proofErr w:type="spellStart"/>
      <w:r w:rsidRPr="001B7760">
        <w:rPr>
          <w:rFonts w:cs="Arial"/>
        </w:rPr>
        <w:t>Drusano</w:t>
      </w:r>
      <w:proofErr w:type="spellEnd"/>
      <w:r w:rsidRPr="001B7760">
        <w:rPr>
          <w:rFonts w:cs="Arial"/>
        </w:rPr>
        <w:t xml:space="preserve"> GL. 2003. Prevention of Resistance: A Goal for Dose Selection for Antimicrobial Agents. Clinical Infectious Diseases </w:t>
      </w:r>
      <w:proofErr w:type="gramStart"/>
      <w:r w:rsidRPr="001B7760">
        <w:rPr>
          <w:rFonts w:cs="Arial"/>
        </w:rPr>
        <w:t>36:S</w:t>
      </w:r>
      <w:proofErr w:type="gramEnd"/>
      <w:r w:rsidRPr="001B7760">
        <w:rPr>
          <w:rFonts w:cs="Arial"/>
        </w:rPr>
        <w:t>42–S50.</w:t>
      </w:r>
    </w:p>
    <w:p w14:paraId="2F9E72B0" w14:textId="77777777" w:rsidR="00DC12EC" w:rsidRPr="001B7760" w:rsidRDefault="00DC12EC" w:rsidP="00DC12EC">
      <w:pPr>
        <w:pStyle w:val="Bibliography"/>
        <w:rPr>
          <w:rFonts w:cs="Arial"/>
        </w:rPr>
      </w:pPr>
      <w:r w:rsidRPr="001B7760">
        <w:rPr>
          <w:rFonts w:cs="Arial"/>
        </w:rPr>
        <w:t xml:space="preserve">76. </w:t>
      </w:r>
      <w:r w:rsidRPr="001B7760">
        <w:rPr>
          <w:rFonts w:cs="Arial"/>
        </w:rPr>
        <w:tab/>
      </w:r>
      <w:proofErr w:type="spellStart"/>
      <w:r w:rsidRPr="001B7760">
        <w:rPr>
          <w:rFonts w:cs="Arial"/>
        </w:rPr>
        <w:t>Drusano</w:t>
      </w:r>
      <w:proofErr w:type="spellEnd"/>
      <w:r w:rsidRPr="001B7760">
        <w:rPr>
          <w:rFonts w:cs="Arial"/>
        </w:rPr>
        <w:t xml:space="preserve"> GL, </w:t>
      </w:r>
      <w:proofErr w:type="spellStart"/>
      <w:r w:rsidRPr="001B7760">
        <w:rPr>
          <w:rFonts w:cs="Arial"/>
        </w:rPr>
        <w:t>Lodise</w:t>
      </w:r>
      <w:proofErr w:type="spellEnd"/>
      <w:r w:rsidRPr="001B7760">
        <w:rPr>
          <w:rFonts w:cs="Arial"/>
        </w:rPr>
        <w:t xml:space="preserve"> TP, Melnick D, Liu W, Oliver A, Mena A, </w:t>
      </w:r>
      <w:proofErr w:type="spellStart"/>
      <w:r w:rsidRPr="001B7760">
        <w:rPr>
          <w:rFonts w:cs="Arial"/>
        </w:rPr>
        <w:t>VanScoy</w:t>
      </w:r>
      <w:proofErr w:type="spellEnd"/>
      <w:r w:rsidRPr="001B7760">
        <w:rPr>
          <w:rFonts w:cs="Arial"/>
        </w:rPr>
        <w:t xml:space="preserve"> B, Louie A. 2011. Meropenem Penetration into Epithelial Lining Fluid in Mice and Humans and Delineation of Exposure Targets.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55:3406–3412.</w:t>
      </w:r>
    </w:p>
    <w:p w14:paraId="6CA2996F" w14:textId="77777777" w:rsidR="00DC12EC" w:rsidRPr="001B7760" w:rsidRDefault="00DC12EC" w:rsidP="00DC12EC">
      <w:pPr>
        <w:pStyle w:val="Bibliography"/>
        <w:rPr>
          <w:rFonts w:cs="Arial"/>
        </w:rPr>
      </w:pPr>
      <w:r w:rsidRPr="001B7760">
        <w:rPr>
          <w:rFonts w:cs="Arial"/>
        </w:rPr>
        <w:t xml:space="preserve">77. </w:t>
      </w:r>
      <w:r w:rsidRPr="001B7760">
        <w:rPr>
          <w:rFonts w:cs="Arial"/>
        </w:rPr>
        <w:tab/>
      </w:r>
      <w:proofErr w:type="spellStart"/>
      <w:r w:rsidRPr="001B7760">
        <w:rPr>
          <w:rFonts w:cs="Arial"/>
        </w:rPr>
        <w:t>Erlendsdottir</w:t>
      </w:r>
      <w:proofErr w:type="spellEnd"/>
      <w:r w:rsidRPr="001B7760">
        <w:rPr>
          <w:rFonts w:cs="Arial"/>
        </w:rPr>
        <w:t xml:space="preserve"> H, Knudsen JD, </w:t>
      </w:r>
      <w:proofErr w:type="spellStart"/>
      <w:r w:rsidRPr="001B7760">
        <w:rPr>
          <w:rFonts w:cs="Arial"/>
        </w:rPr>
        <w:t>Odenholt</w:t>
      </w:r>
      <w:proofErr w:type="spellEnd"/>
      <w:r w:rsidRPr="001B7760">
        <w:rPr>
          <w:rFonts w:cs="Arial"/>
        </w:rPr>
        <w:t xml:space="preserve"> I, Cars O, </w:t>
      </w:r>
      <w:proofErr w:type="spellStart"/>
      <w:r w:rsidRPr="001B7760">
        <w:rPr>
          <w:rFonts w:cs="Arial"/>
        </w:rPr>
        <w:t>Espersen</w:t>
      </w:r>
      <w:proofErr w:type="spellEnd"/>
      <w:r w:rsidRPr="001B7760">
        <w:rPr>
          <w:rFonts w:cs="Arial"/>
        </w:rPr>
        <w:t xml:space="preserve"> F, </w:t>
      </w:r>
      <w:proofErr w:type="spellStart"/>
      <w:r w:rsidRPr="001B7760">
        <w:rPr>
          <w:rFonts w:cs="Arial"/>
        </w:rPr>
        <w:t>Frimodt-Møller</w:t>
      </w:r>
      <w:proofErr w:type="spellEnd"/>
      <w:r w:rsidRPr="001B7760">
        <w:rPr>
          <w:rFonts w:cs="Arial"/>
        </w:rPr>
        <w:t xml:space="preserve"> N, </w:t>
      </w:r>
      <w:proofErr w:type="spellStart"/>
      <w:r w:rsidRPr="001B7760">
        <w:rPr>
          <w:rFonts w:cs="Arial"/>
        </w:rPr>
        <w:t>Fuursted</w:t>
      </w:r>
      <w:proofErr w:type="spellEnd"/>
      <w:r w:rsidRPr="001B7760">
        <w:rPr>
          <w:rFonts w:cs="Arial"/>
        </w:rPr>
        <w:t xml:space="preserve"> K, </w:t>
      </w:r>
      <w:proofErr w:type="spellStart"/>
      <w:r w:rsidRPr="001B7760">
        <w:rPr>
          <w:rFonts w:cs="Arial"/>
        </w:rPr>
        <w:t>Kristinsson</w:t>
      </w:r>
      <w:proofErr w:type="spellEnd"/>
      <w:r w:rsidRPr="001B7760">
        <w:rPr>
          <w:rFonts w:cs="Arial"/>
        </w:rPr>
        <w:t xml:space="preserve"> KG, Gudmundsson S. 2001. Penicillin Pharmacodynamics in Four Experimental Pneumococcal Infection Models.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45:1078–1085.</w:t>
      </w:r>
    </w:p>
    <w:p w14:paraId="34E52CD0" w14:textId="77777777" w:rsidR="00DC12EC" w:rsidRPr="001B7760" w:rsidRDefault="00DC12EC" w:rsidP="00DC12EC">
      <w:pPr>
        <w:pStyle w:val="Bibliography"/>
        <w:rPr>
          <w:rFonts w:cs="Arial"/>
        </w:rPr>
      </w:pPr>
      <w:r w:rsidRPr="001B7760">
        <w:rPr>
          <w:rFonts w:cs="Arial"/>
        </w:rPr>
        <w:t xml:space="preserve">78. </w:t>
      </w:r>
      <w:r w:rsidRPr="001B7760">
        <w:rPr>
          <w:rFonts w:cs="Arial"/>
        </w:rPr>
        <w:tab/>
      </w:r>
      <w:proofErr w:type="spellStart"/>
      <w:r w:rsidRPr="001B7760">
        <w:rPr>
          <w:rFonts w:cs="Arial"/>
        </w:rPr>
        <w:t>Fantin</w:t>
      </w:r>
      <w:proofErr w:type="spellEnd"/>
      <w:r w:rsidRPr="001B7760">
        <w:rPr>
          <w:rFonts w:cs="Arial"/>
        </w:rPr>
        <w:t xml:space="preserve"> B, </w:t>
      </w:r>
      <w:proofErr w:type="spellStart"/>
      <w:r w:rsidRPr="001B7760">
        <w:rPr>
          <w:rFonts w:cs="Arial"/>
        </w:rPr>
        <w:t>Farinotti</w:t>
      </w:r>
      <w:proofErr w:type="spellEnd"/>
      <w:r w:rsidRPr="001B7760">
        <w:rPr>
          <w:rFonts w:cs="Arial"/>
        </w:rPr>
        <w:t xml:space="preserve"> R, </w:t>
      </w:r>
      <w:proofErr w:type="spellStart"/>
      <w:r w:rsidRPr="001B7760">
        <w:rPr>
          <w:rFonts w:cs="Arial"/>
        </w:rPr>
        <w:t>Thabaut</w:t>
      </w:r>
      <w:proofErr w:type="spellEnd"/>
      <w:r w:rsidRPr="001B7760">
        <w:rPr>
          <w:rFonts w:cs="Arial"/>
        </w:rPr>
        <w:t xml:space="preserve"> A, Carbon C. 1994. Conditions for the emergence of resistance to cefpirome and ceftazidime in experimental endocarditis due to </w:t>
      </w:r>
      <w:r w:rsidRPr="001B7760">
        <w:rPr>
          <w:rFonts w:cs="Arial"/>
          <w:i/>
          <w:iCs/>
        </w:rPr>
        <w:t>Pseudomonas aeruginosa</w:t>
      </w:r>
      <w:r w:rsidRPr="001B7760">
        <w:rPr>
          <w:rFonts w:cs="Arial"/>
        </w:rPr>
        <w:t xml:space="preserve">. J </w:t>
      </w:r>
      <w:proofErr w:type="spellStart"/>
      <w:r w:rsidRPr="001B7760">
        <w:rPr>
          <w:rFonts w:cs="Arial"/>
        </w:rPr>
        <w:t>Antimicrob</w:t>
      </w:r>
      <w:proofErr w:type="spellEnd"/>
      <w:r w:rsidRPr="001B7760">
        <w:rPr>
          <w:rFonts w:cs="Arial"/>
        </w:rPr>
        <w:t xml:space="preserve"> </w:t>
      </w:r>
      <w:proofErr w:type="spellStart"/>
      <w:r w:rsidRPr="001B7760">
        <w:rPr>
          <w:rFonts w:cs="Arial"/>
        </w:rPr>
        <w:t>Chemother</w:t>
      </w:r>
      <w:proofErr w:type="spellEnd"/>
      <w:r w:rsidRPr="001B7760">
        <w:rPr>
          <w:rFonts w:cs="Arial"/>
        </w:rPr>
        <w:t xml:space="preserve"> 33:563–569.</w:t>
      </w:r>
    </w:p>
    <w:p w14:paraId="56F4FA35" w14:textId="77777777" w:rsidR="00DC12EC" w:rsidRPr="001B7760" w:rsidRDefault="00DC12EC" w:rsidP="00DC12EC">
      <w:pPr>
        <w:pStyle w:val="Bibliography"/>
        <w:rPr>
          <w:rFonts w:cs="Arial"/>
        </w:rPr>
      </w:pPr>
      <w:r w:rsidRPr="001B7760">
        <w:rPr>
          <w:rFonts w:cs="Arial"/>
        </w:rPr>
        <w:t xml:space="preserve">79. </w:t>
      </w:r>
      <w:r w:rsidRPr="001B7760">
        <w:rPr>
          <w:rFonts w:cs="Arial"/>
        </w:rPr>
        <w:tab/>
        <w:t xml:space="preserve">Felton TW, Hope WW, </w:t>
      </w:r>
      <w:proofErr w:type="spellStart"/>
      <w:r w:rsidRPr="001B7760">
        <w:rPr>
          <w:rFonts w:cs="Arial"/>
        </w:rPr>
        <w:t>Lomaestro</w:t>
      </w:r>
      <w:proofErr w:type="spellEnd"/>
      <w:r w:rsidRPr="001B7760">
        <w:rPr>
          <w:rFonts w:cs="Arial"/>
        </w:rPr>
        <w:t xml:space="preserve"> BM, Butterfield JM, Kwa AL, </w:t>
      </w:r>
      <w:proofErr w:type="spellStart"/>
      <w:r w:rsidRPr="001B7760">
        <w:rPr>
          <w:rFonts w:cs="Arial"/>
        </w:rPr>
        <w:t>Drusano</w:t>
      </w:r>
      <w:proofErr w:type="spellEnd"/>
      <w:r w:rsidRPr="001B7760">
        <w:rPr>
          <w:rFonts w:cs="Arial"/>
        </w:rPr>
        <w:t xml:space="preserve"> GL, </w:t>
      </w:r>
      <w:proofErr w:type="spellStart"/>
      <w:r w:rsidRPr="001B7760">
        <w:rPr>
          <w:rFonts w:cs="Arial"/>
        </w:rPr>
        <w:t>Lodise</w:t>
      </w:r>
      <w:proofErr w:type="spellEnd"/>
      <w:r w:rsidRPr="001B7760">
        <w:rPr>
          <w:rFonts w:cs="Arial"/>
        </w:rPr>
        <w:t xml:space="preserve"> TP. 2012. Population pharmacokinetics of extended-infusion piperacillin-tazobactam in hospitalized patients with nosocomial infections. Antimicrobial agents and chemotherapy 56:4087–4094.</w:t>
      </w:r>
    </w:p>
    <w:p w14:paraId="0F2FAA82" w14:textId="77777777" w:rsidR="00DC12EC" w:rsidRPr="001B7760" w:rsidRDefault="00DC12EC" w:rsidP="00DC12EC">
      <w:pPr>
        <w:pStyle w:val="Bibliography"/>
        <w:rPr>
          <w:rFonts w:cs="Arial"/>
        </w:rPr>
      </w:pPr>
      <w:r w:rsidRPr="001B7760">
        <w:rPr>
          <w:rFonts w:cs="Arial"/>
        </w:rPr>
        <w:lastRenderedPageBreak/>
        <w:t xml:space="preserve">80. </w:t>
      </w:r>
      <w:r w:rsidRPr="001B7760">
        <w:rPr>
          <w:rFonts w:cs="Arial"/>
        </w:rPr>
        <w:tab/>
      </w:r>
      <w:proofErr w:type="spellStart"/>
      <w:r w:rsidRPr="001B7760">
        <w:rPr>
          <w:rFonts w:cs="Arial"/>
        </w:rPr>
        <w:t>Firsov</w:t>
      </w:r>
      <w:proofErr w:type="spellEnd"/>
      <w:r w:rsidRPr="001B7760">
        <w:rPr>
          <w:rFonts w:cs="Arial"/>
        </w:rPr>
        <w:t xml:space="preserve"> AA, </w:t>
      </w:r>
      <w:proofErr w:type="spellStart"/>
      <w:r w:rsidRPr="001B7760">
        <w:rPr>
          <w:rFonts w:cs="Arial"/>
        </w:rPr>
        <w:t>Zinner</w:t>
      </w:r>
      <w:proofErr w:type="spellEnd"/>
      <w:r w:rsidRPr="001B7760">
        <w:rPr>
          <w:rFonts w:cs="Arial"/>
        </w:rPr>
        <w:t xml:space="preserve"> SH, </w:t>
      </w:r>
      <w:proofErr w:type="spellStart"/>
      <w:r w:rsidRPr="001B7760">
        <w:rPr>
          <w:rFonts w:cs="Arial"/>
        </w:rPr>
        <w:t>Lubenko</w:t>
      </w:r>
      <w:proofErr w:type="spellEnd"/>
      <w:r w:rsidRPr="001B7760">
        <w:rPr>
          <w:rFonts w:cs="Arial"/>
        </w:rPr>
        <w:t xml:space="preserve"> IY, Portnoy YA, </w:t>
      </w:r>
      <w:proofErr w:type="spellStart"/>
      <w:r w:rsidRPr="001B7760">
        <w:rPr>
          <w:rFonts w:cs="Arial"/>
        </w:rPr>
        <w:t>Vostrov</w:t>
      </w:r>
      <w:proofErr w:type="spellEnd"/>
      <w:r w:rsidRPr="001B7760">
        <w:rPr>
          <w:rFonts w:cs="Arial"/>
        </w:rPr>
        <w:t xml:space="preserve"> SN. 2002. Simulated in vitro Quinolone Pharmacodynamics at Clinically Achievable AUC/MIC Ratios: Advantage of /E over Other Integral Parameters. Chemotherapy (Basel, Switzerland) 48:275–279.</w:t>
      </w:r>
    </w:p>
    <w:p w14:paraId="32ACFC3E" w14:textId="77777777" w:rsidR="00DC12EC" w:rsidRPr="001B7760" w:rsidRDefault="00DC12EC" w:rsidP="00DC12EC">
      <w:pPr>
        <w:pStyle w:val="Bibliography"/>
        <w:rPr>
          <w:rFonts w:cs="Arial"/>
        </w:rPr>
      </w:pPr>
      <w:r w:rsidRPr="001B7760">
        <w:rPr>
          <w:rFonts w:cs="Arial"/>
        </w:rPr>
        <w:t xml:space="preserve">81. </w:t>
      </w:r>
      <w:r w:rsidRPr="001B7760">
        <w:rPr>
          <w:rFonts w:cs="Arial"/>
        </w:rPr>
        <w:tab/>
        <w:t xml:space="preserve">Gustafsson I, </w:t>
      </w:r>
      <w:proofErr w:type="spellStart"/>
      <w:r w:rsidRPr="001B7760">
        <w:rPr>
          <w:rFonts w:cs="Arial"/>
        </w:rPr>
        <w:t>Löwdin</w:t>
      </w:r>
      <w:proofErr w:type="spellEnd"/>
      <w:r w:rsidRPr="001B7760">
        <w:rPr>
          <w:rFonts w:cs="Arial"/>
        </w:rPr>
        <w:t xml:space="preserve"> E, </w:t>
      </w:r>
      <w:proofErr w:type="spellStart"/>
      <w:r w:rsidRPr="001B7760">
        <w:rPr>
          <w:rFonts w:cs="Arial"/>
        </w:rPr>
        <w:t>Odenholt</w:t>
      </w:r>
      <w:proofErr w:type="spellEnd"/>
      <w:r w:rsidRPr="001B7760">
        <w:rPr>
          <w:rFonts w:cs="Arial"/>
        </w:rPr>
        <w:t xml:space="preserve"> I, Cars O. 2001. Pharmacokinetic and Pharmacodynamic Parameters for Antimicrobial Effects of Cefotaxime and Amoxicillin in an In Vitro Kinetic Model.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45:2436–2440.</w:t>
      </w:r>
    </w:p>
    <w:p w14:paraId="3155A726" w14:textId="77777777" w:rsidR="00DC12EC" w:rsidRPr="001B7760" w:rsidRDefault="00DC12EC" w:rsidP="00DC12EC">
      <w:pPr>
        <w:pStyle w:val="Bibliography"/>
        <w:rPr>
          <w:rFonts w:cs="Arial"/>
        </w:rPr>
      </w:pPr>
      <w:r w:rsidRPr="001B7760">
        <w:rPr>
          <w:rFonts w:cs="Arial"/>
        </w:rPr>
        <w:t xml:space="preserve">82. </w:t>
      </w:r>
      <w:r w:rsidRPr="001B7760">
        <w:rPr>
          <w:rFonts w:cs="Arial"/>
        </w:rPr>
        <w:tab/>
        <w:t xml:space="preserve">Keil S, Wiedemann B. 1997. Antimicrobial effects of continuous versus intermittent administration of carbapenem antibiotics in an in vitro dynamic model.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41:1215–1219.</w:t>
      </w:r>
    </w:p>
    <w:p w14:paraId="3DFA215D" w14:textId="77777777" w:rsidR="00DC12EC" w:rsidRPr="001B7760" w:rsidRDefault="00DC12EC" w:rsidP="00DC12EC">
      <w:pPr>
        <w:pStyle w:val="Bibliography"/>
        <w:rPr>
          <w:rFonts w:cs="Arial"/>
        </w:rPr>
      </w:pPr>
      <w:r w:rsidRPr="001B7760">
        <w:rPr>
          <w:rFonts w:cs="Arial"/>
        </w:rPr>
        <w:t xml:space="preserve">83. </w:t>
      </w:r>
      <w:r w:rsidRPr="001B7760">
        <w:rPr>
          <w:rFonts w:cs="Arial"/>
        </w:rPr>
        <w:tab/>
        <w:t xml:space="preserve">Kim A, </w:t>
      </w:r>
      <w:proofErr w:type="spellStart"/>
      <w:r w:rsidRPr="001B7760">
        <w:rPr>
          <w:rFonts w:cs="Arial"/>
        </w:rPr>
        <w:t>Banevicius</w:t>
      </w:r>
      <w:proofErr w:type="spellEnd"/>
      <w:r w:rsidRPr="001B7760">
        <w:rPr>
          <w:rFonts w:cs="Arial"/>
        </w:rPr>
        <w:t xml:space="preserve"> MA, </w:t>
      </w:r>
      <w:proofErr w:type="spellStart"/>
      <w:r w:rsidRPr="001B7760">
        <w:rPr>
          <w:rFonts w:cs="Arial"/>
        </w:rPr>
        <w:t>Nicolau</w:t>
      </w:r>
      <w:proofErr w:type="spellEnd"/>
      <w:r w:rsidRPr="001B7760">
        <w:rPr>
          <w:rFonts w:cs="Arial"/>
        </w:rPr>
        <w:t xml:space="preserve"> DP. 2008. In Vivo Pharmacodynamic Profiling of </w:t>
      </w:r>
      <w:proofErr w:type="spellStart"/>
      <w:r w:rsidRPr="001B7760">
        <w:rPr>
          <w:rFonts w:cs="Arial"/>
        </w:rPr>
        <w:t>Doripenem</w:t>
      </w:r>
      <w:proofErr w:type="spellEnd"/>
      <w:r w:rsidRPr="001B7760">
        <w:rPr>
          <w:rFonts w:cs="Arial"/>
        </w:rPr>
        <w:t xml:space="preserve"> against </w:t>
      </w:r>
      <w:r w:rsidRPr="001B7760">
        <w:rPr>
          <w:rFonts w:cs="Arial"/>
          <w:i/>
          <w:iCs/>
        </w:rPr>
        <w:t>Pseudomonas aeruginosa</w:t>
      </w:r>
      <w:r w:rsidRPr="001B7760">
        <w:rPr>
          <w:rFonts w:cs="Arial"/>
        </w:rPr>
        <w:t xml:space="preserve"> by Simulating Human Exposures.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52:2497–2502.</w:t>
      </w:r>
    </w:p>
    <w:p w14:paraId="3FDECE58" w14:textId="77777777" w:rsidR="00DC12EC" w:rsidRPr="001B7760" w:rsidRDefault="00DC12EC" w:rsidP="00DC12EC">
      <w:pPr>
        <w:pStyle w:val="Bibliography"/>
        <w:rPr>
          <w:rFonts w:cs="Arial"/>
        </w:rPr>
      </w:pPr>
      <w:r w:rsidRPr="001B7760">
        <w:rPr>
          <w:rFonts w:cs="Arial"/>
        </w:rPr>
        <w:t xml:space="preserve">84. </w:t>
      </w:r>
      <w:r w:rsidRPr="001B7760">
        <w:rPr>
          <w:rFonts w:cs="Arial"/>
        </w:rPr>
        <w:tab/>
        <w:t xml:space="preserve">Knudsen JD, </w:t>
      </w:r>
      <w:proofErr w:type="spellStart"/>
      <w:r w:rsidRPr="001B7760">
        <w:rPr>
          <w:rFonts w:cs="Arial"/>
        </w:rPr>
        <w:t>Odenholt</w:t>
      </w:r>
      <w:proofErr w:type="spellEnd"/>
      <w:r w:rsidRPr="001B7760">
        <w:rPr>
          <w:rFonts w:cs="Arial"/>
        </w:rPr>
        <w:t xml:space="preserve"> I, </w:t>
      </w:r>
      <w:proofErr w:type="spellStart"/>
      <w:r w:rsidRPr="001B7760">
        <w:rPr>
          <w:rFonts w:cs="Arial"/>
        </w:rPr>
        <w:t>Erlendsdottir</w:t>
      </w:r>
      <w:proofErr w:type="spellEnd"/>
      <w:r w:rsidRPr="001B7760">
        <w:rPr>
          <w:rFonts w:cs="Arial"/>
        </w:rPr>
        <w:t xml:space="preserve"> H, </w:t>
      </w:r>
      <w:proofErr w:type="spellStart"/>
      <w:r w:rsidRPr="001B7760">
        <w:rPr>
          <w:rFonts w:cs="Arial"/>
        </w:rPr>
        <w:t>Gottfredsson</w:t>
      </w:r>
      <w:proofErr w:type="spellEnd"/>
      <w:r w:rsidRPr="001B7760">
        <w:rPr>
          <w:rFonts w:cs="Arial"/>
        </w:rPr>
        <w:t xml:space="preserve"> M, Cars O, </w:t>
      </w:r>
      <w:proofErr w:type="spellStart"/>
      <w:r w:rsidRPr="001B7760">
        <w:rPr>
          <w:rFonts w:cs="Arial"/>
        </w:rPr>
        <w:t>Frimodt-Møller</w:t>
      </w:r>
      <w:proofErr w:type="spellEnd"/>
      <w:r w:rsidRPr="001B7760">
        <w:rPr>
          <w:rFonts w:cs="Arial"/>
        </w:rPr>
        <w:t xml:space="preserve"> N, </w:t>
      </w:r>
      <w:proofErr w:type="spellStart"/>
      <w:r w:rsidRPr="001B7760">
        <w:rPr>
          <w:rFonts w:cs="Arial"/>
        </w:rPr>
        <w:t>Espersen</w:t>
      </w:r>
      <w:proofErr w:type="spellEnd"/>
      <w:r w:rsidRPr="001B7760">
        <w:rPr>
          <w:rFonts w:cs="Arial"/>
        </w:rPr>
        <w:t xml:space="preserve"> F, </w:t>
      </w:r>
      <w:proofErr w:type="spellStart"/>
      <w:r w:rsidRPr="001B7760">
        <w:rPr>
          <w:rFonts w:cs="Arial"/>
        </w:rPr>
        <w:t>Kristinsson</w:t>
      </w:r>
      <w:proofErr w:type="spellEnd"/>
      <w:r w:rsidRPr="001B7760">
        <w:rPr>
          <w:rFonts w:cs="Arial"/>
        </w:rPr>
        <w:t xml:space="preserve"> KG, Gudmundsson S. 2003. Selection of Resistant </w:t>
      </w:r>
      <w:r w:rsidRPr="001B7760">
        <w:rPr>
          <w:rFonts w:cs="Arial"/>
          <w:i/>
          <w:iCs/>
        </w:rPr>
        <w:t>Streptococcus pneumoniae</w:t>
      </w:r>
      <w:r w:rsidRPr="001B7760">
        <w:rPr>
          <w:rFonts w:cs="Arial"/>
        </w:rPr>
        <w:t xml:space="preserve"> during Penicillin Treatment In Vitro and in Three Animal Models.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47:2499–2506.</w:t>
      </w:r>
    </w:p>
    <w:p w14:paraId="619ECC79" w14:textId="77777777" w:rsidR="00DC12EC" w:rsidRPr="001B7760" w:rsidRDefault="00DC12EC" w:rsidP="00DC12EC">
      <w:pPr>
        <w:pStyle w:val="Bibliography"/>
        <w:rPr>
          <w:rFonts w:cs="Arial"/>
        </w:rPr>
      </w:pPr>
      <w:r w:rsidRPr="001B7760">
        <w:rPr>
          <w:rFonts w:cs="Arial"/>
        </w:rPr>
        <w:t xml:space="preserve">85. </w:t>
      </w:r>
      <w:r w:rsidRPr="001B7760">
        <w:rPr>
          <w:rFonts w:cs="Arial"/>
        </w:rPr>
        <w:tab/>
      </w:r>
      <w:proofErr w:type="spellStart"/>
      <w:r w:rsidRPr="001B7760">
        <w:rPr>
          <w:rFonts w:cs="Arial"/>
        </w:rPr>
        <w:t>Kuti</w:t>
      </w:r>
      <w:proofErr w:type="spellEnd"/>
      <w:r w:rsidRPr="001B7760">
        <w:rPr>
          <w:rFonts w:cs="Arial"/>
        </w:rPr>
        <w:t xml:space="preserve"> JL, Pettit RS, Neu N, </w:t>
      </w:r>
      <w:proofErr w:type="spellStart"/>
      <w:r w:rsidRPr="001B7760">
        <w:rPr>
          <w:rFonts w:cs="Arial"/>
        </w:rPr>
        <w:t>Cies</w:t>
      </w:r>
      <w:proofErr w:type="spellEnd"/>
      <w:r w:rsidRPr="001B7760">
        <w:rPr>
          <w:rFonts w:cs="Arial"/>
        </w:rPr>
        <w:t xml:space="preserve"> JJ, Lapin C, </w:t>
      </w:r>
      <w:proofErr w:type="spellStart"/>
      <w:r w:rsidRPr="001B7760">
        <w:rPr>
          <w:rFonts w:cs="Arial"/>
        </w:rPr>
        <w:t>Muhlebach</w:t>
      </w:r>
      <w:proofErr w:type="spellEnd"/>
      <w:r w:rsidRPr="001B7760">
        <w:rPr>
          <w:rFonts w:cs="Arial"/>
        </w:rPr>
        <w:t xml:space="preserve"> MS, Novak KJ, Nguyen ST, </w:t>
      </w:r>
      <w:proofErr w:type="spellStart"/>
      <w:r w:rsidRPr="001B7760">
        <w:rPr>
          <w:rFonts w:cs="Arial"/>
        </w:rPr>
        <w:t>Saiman</w:t>
      </w:r>
      <w:proofErr w:type="spellEnd"/>
      <w:r w:rsidRPr="001B7760">
        <w:rPr>
          <w:rFonts w:cs="Arial"/>
        </w:rPr>
        <w:t xml:space="preserve"> L, </w:t>
      </w:r>
      <w:proofErr w:type="spellStart"/>
      <w:r w:rsidRPr="001B7760">
        <w:rPr>
          <w:rFonts w:cs="Arial"/>
        </w:rPr>
        <w:t>Nicolau</w:t>
      </w:r>
      <w:proofErr w:type="spellEnd"/>
      <w:r w:rsidRPr="001B7760">
        <w:rPr>
          <w:rFonts w:cs="Arial"/>
        </w:rPr>
        <w:t xml:space="preserve"> DP. 2018. Meropenem time above the MIC exposure is predictive of response in cystic fibrosis children with acute pulmonary exacerbations. Diagnostic Microbiology and Infectious Disease 91:294–297.</w:t>
      </w:r>
    </w:p>
    <w:p w14:paraId="24173B3D" w14:textId="77777777" w:rsidR="00DC12EC" w:rsidRPr="001B7760" w:rsidRDefault="00DC12EC" w:rsidP="00DC12EC">
      <w:pPr>
        <w:pStyle w:val="Bibliography"/>
        <w:rPr>
          <w:rFonts w:cs="Arial"/>
        </w:rPr>
      </w:pPr>
      <w:r w:rsidRPr="001B7760">
        <w:rPr>
          <w:rFonts w:cs="Arial"/>
        </w:rPr>
        <w:t xml:space="preserve">86. </w:t>
      </w:r>
      <w:r w:rsidRPr="001B7760">
        <w:rPr>
          <w:rFonts w:cs="Arial"/>
        </w:rPr>
        <w:tab/>
        <w:t xml:space="preserve">Lamp KC, Vickers MK. 1998. Pharmacodynamics of Ampicillin-Sulbactam in an In Vitro Infection Model against </w:t>
      </w:r>
      <w:r w:rsidRPr="001B7760">
        <w:rPr>
          <w:rFonts w:cs="Arial"/>
          <w:i/>
          <w:iCs/>
        </w:rPr>
        <w:t>Escherichia coli</w:t>
      </w:r>
      <w:r w:rsidRPr="001B7760">
        <w:rPr>
          <w:rFonts w:cs="Arial"/>
        </w:rPr>
        <w:t xml:space="preserve"> Strains with Various Levels of Resistance.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42:231–235.</w:t>
      </w:r>
    </w:p>
    <w:p w14:paraId="2A48619D" w14:textId="77777777" w:rsidR="00DC12EC" w:rsidRPr="001B7760" w:rsidRDefault="00DC12EC" w:rsidP="00DC12EC">
      <w:pPr>
        <w:pStyle w:val="Bibliography"/>
        <w:rPr>
          <w:rFonts w:cs="Arial"/>
        </w:rPr>
      </w:pPr>
      <w:r w:rsidRPr="001B7760">
        <w:rPr>
          <w:rFonts w:cs="Arial"/>
        </w:rPr>
        <w:lastRenderedPageBreak/>
        <w:t xml:space="preserve">87. </w:t>
      </w:r>
      <w:r w:rsidRPr="001B7760">
        <w:rPr>
          <w:rFonts w:cs="Arial"/>
        </w:rPr>
        <w:tab/>
        <w:t xml:space="preserve">Lee SY, </w:t>
      </w:r>
      <w:proofErr w:type="spellStart"/>
      <w:r w:rsidRPr="001B7760">
        <w:rPr>
          <w:rFonts w:cs="Arial"/>
        </w:rPr>
        <w:t>Kuti</w:t>
      </w:r>
      <w:proofErr w:type="spellEnd"/>
      <w:r w:rsidRPr="001B7760">
        <w:rPr>
          <w:rFonts w:cs="Arial"/>
        </w:rPr>
        <w:t xml:space="preserve"> JL, </w:t>
      </w:r>
      <w:proofErr w:type="spellStart"/>
      <w:r w:rsidRPr="001B7760">
        <w:rPr>
          <w:rFonts w:cs="Arial"/>
        </w:rPr>
        <w:t>Nicolau</w:t>
      </w:r>
      <w:proofErr w:type="spellEnd"/>
      <w:r w:rsidRPr="001B7760">
        <w:rPr>
          <w:rFonts w:cs="Arial"/>
        </w:rPr>
        <w:t xml:space="preserve"> DP. 2007. Cefepime pharmacodynamics in patients with extended spectrum β-lactamase (ESBL) and non-ESBL infections. Journal of Infection 54:463–468.</w:t>
      </w:r>
    </w:p>
    <w:p w14:paraId="35D57E55" w14:textId="77777777" w:rsidR="00DC12EC" w:rsidRPr="001B7760" w:rsidRDefault="00DC12EC" w:rsidP="00DC12EC">
      <w:pPr>
        <w:pStyle w:val="Bibliography"/>
        <w:rPr>
          <w:rFonts w:cs="Arial"/>
        </w:rPr>
      </w:pPr>
      <w:r w:rsidRPr="001B7760">
        <w:rPr>
          <w:rFonts w:cs="Arial"/>
        </w:rPr>
        <w:t xml:space="preserve">88. </w:t>
      </w:r>
      <w:r w:rsidRPr="001B7760">
        <w:rPr>
          <w:rFonts w:cs="Arial"/>
        </w:rPr>
        <w:tab/>
      </w:r>
      <w:proofErr w:type="spellStart"/>
      <w:r w:rsidRPr="001B7760">
        <w:rPr>
          <w:rFonts w:cs="Arial"/>
        </w:rPr>
        <w:t>Lepak</w:t>
      </w:r>
      <w:proofErr w:type="spellEnd"/>
      <w:r w:rsidRPr="001B7760">
        <w:rPr>
          <w:rFonts w:cs="Arial"/>
        </w:rPr>
        <w:t xml:space="preserve"> AJ, Reda A, </w:t>
      </w:r>
      <w:proofErr w:type="spellStart"/>
      <w:r w:rsidRPr="001B7760">
        <w:rPr>
          <w:rFonts w:cs="Arial"/>
        </w:rPr>
        <w:t>Marchillo</w:t>
      </w:r>
      <w:proofErr w:type="spellEnd"/>
      <w:r w:rsidRPr="001B7760">
        <w:rPr>
          <w:rFonts w:cs="Arial"/>
        </w:rPr>
        <w:t xml:space="preserve"> K, Van Hecker J, Craig WA, Andes D. 2014. Impact of MIC Range for Pseudomonas aeruginosa and Streptococcus pneumoniae on the </w:t>
      </w:r>
      <w:proofErr w:type="spellStart"/>
      <w:r w:rsidRPr="001B7760">
        <w:rPr>
          <w:rFonts w:cs="Arial"/>
        </w:rPr>
        <w:t>Ceftolozane</w:t>
      </w:r>
      <w:proofErr w:type="spellEnd"/>
      <w:r w:rsidRPr="001B7760">
        <w:rPr>
          <w:rFonts w:cs="Arial"/>
        </w:rPr>
        <w:t xml:space="preserve"> </w:t>
      </w:r>
      <w:r w:rsidRPr="001B7760">
        <w:rPr>
          <w:rFonts w:cs="Arial"/>
          <w:i/>
          <w:iCs/>
        </w:rPr>
        <w:t>In Vivo</w:t>
      </w:r>
      <w:r w:rsidRPr="001B7760">
        <w:rPr>
          <w:rFonts w:cs="Arial"/>
        </w:rPr>
        <w:t xml:space="preserve"> Pharmacokinetic/Pharmacodynamic Target.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58:6311–6314.</w:t>
      </w:r>
    </w:p>
    <w:p w14:paraId="5A5C427E" w14:textId="77777777" w:rsidR="00DC12EC" w:rsidRPr="001B7760" w:rsidRDefault="00DC12EC" w:rsidP="00DC12EC">
      <w:pPr>
        <w:pStyle w:val="Bibliography"/>
        <w:rPr>
          <w:rFonts w:cs="Arial"/>
        </w:rPr>
      </w:pPr>
      <w:r w:rsidRPr="001B7760">
        <w:rPr>
          <w:rFonts w:cs="Arial"/>
        </w:rPr>
        <w:t xml:space="preserve">89. </w:t>
      </w:r>
      <w:r w:rsidRPr="001B7760">
        <w:rPr>
          <w:rFonts w:cs="Arial"/>
        </w:rPr>
        <w:tab/>
        <w:t xml:space="preserve">Li C, Du X, </w:t>
      </w:r>
      <w:proofErr w:type="spellStart"/>
      <w:r w:rsidRPr="001B7760">
        <w:rPr>
          <w:rFonts w:cs="Arial"/>
        </w:rPr>
        <w:t>Kuti</w:t>
      </w:r>
      <w:proofErr w:type="spellEnd"/>
      <w:r w:rsidRPr="001B7760">
        <w:rPr>
          <w:rFonts w:cs="Arial"/>
        </w:rPr>
        <w:t xml:space="preserve"> JL, </w:t>
      </w:r>
      <w:proofErr w:type="spellStart"/>
      <w:r w:rsidRPr="001B7760">
        <w:rPr>
          <w:rFonts w:cs="Arial"/>
        </w:rPr>
        <w:t>Nicolau</w:t>
      </w:r>
      <w:proofErr w:type="spellEnd"/>
      <w:r w:rsidRPr="001B7760">
        <w:rPr>
          <w:rFonts w:cs="Arial"/>
        </w:rPr>
        <w:t xml:space="preserve"> DP. 2007. Clinical Pharmacodynamics of Meropenem in Patients with Lower Respiratory Tract Infections.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51:1725–1730.</w:t>
      </w:r>
    </w:p>
    <w:p w14:paraId="206FBDC8" w14:textId="77777777" w:rsidR="00DC12EC" w:rsidRPr="001B7760" w:rsidRDefault="00DC12EC" w:rsidP="00DC12EC">
      <w:pPr>
        <w:pStyle w:val="Bibliography"/>
        <w:rPr>
          <w:rFonts w:cs="Arial"/>
        </w:rPr>
      </w:pPr>
      <w:r w:rsidRPr="001B7760">
        <w:rPr>
          <w:rFonts w:cs="Arial"/>
        </w:rPr>
        <w:t xml:space="preserve">90. </w:t>
      </w:r>
      <w:r w:rsidRPr="001B7760">
        <w:rPr>
          <w:rFonts w:cs="Arial"/>
        </w:rPr>
        <w:tab/>
        <w:t xml:space="preserve">Li X, Wang L, Zhang X-J, Yang Y, Gong W-T, Xu B, Zhu Y-Q, Liu W. 2014. Evaluation of Meropenem Regimens Suppressing Emergence of Resistance in Acinetobacter </w:t>
      </w:r>
      <w:proofErr w:type="spellStart"/>
      <w:r w:rsidRPr="001B7760">
        <w:rPr>
          <w:rFonts w:cs="Arial"/>
        </w:rPr>
        <w:t>baumannii</w:t>
      </w:r>
      <w:proofErr w:type="spellEnd"/>
      <w:r w:rsidRPr="001B7760">
        <w:rPr>
          <w:rFonts w:cs="Arial"/>
        </w:rPr>
        <w:t xml:space="preserve"> with Human Simulated Exposure in an </w:t>
      </w:r>
      <w:r w:rsidRPr="001B7760">
        <w:rPr>
          <w:rFonts w:cs="Arial"/>
          <w:i/>
          <w:iCs/>
        </w:rPr>
        <w:t>In Vitro</w:t>
      </w:r>
      <w:r w:rsidRPr="001B7760">
        <w:rPr>
          <w:rFonts w:cs="Arial"/>
        </w:rPr>
        <w:t xml:space="preserve"> Intravenous-Infusion Hollow-</w:t>
      </w:r>
      <w:proofErr w:type="spellStart"/>
      <w:r w:rsidRPr="001B7760">
        <w:rPr>
          <w:rFonts w:cs="Arial"/>
        </w:rPr>
        <w:t>Fiber</w:t>
      </w:r>
      <w:proofErr w:type="spellEnd"/>
      <w:r w:rsidRPr="001B7760">
        <w:rPr>
          <w:rFonts w:cs="Arial"/>
        </w:rPr>
        <w:t xml:space="preserve"> Infection Model.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58:6773–6781.</w:t>
      </w:r>
    </w:p>
    <w:p w14:paraId="79D06B9B" w14:textId="77777777" w:rsidR="00DC12EC" w:rsidRPr="001B7760" w:rsidRDefault="00DC12EC" w:rsidP="00DC12EC">
      <w:pPr>
        <w:pStyle w:val="Bibliography"/>
        <w:rPr>
          <w:rFonts w:cs="Arial"/>
        </w:rPr>
      </w:pPr>
      <w:r w:rsidRPr="001B7760">
        <w:rPr>
          <w:rFonts w:cs="Arial"/>
        </w:rPr>
        <w:t xml:space="preserve">91. </w:t>
      </w:r>
      <w:r w:rsidRPr="001B7760">
        <w:rPr>
          <w:rFonts w:cs="Arial"/>
        </w:rPr>
        <w:tab/>
        <w:t xml:space="preserve">Louie A, </w:t>
      </w:r>
      <w:proofErr w:type="spellStart"/>
      <w:r w:rsidRPr="001B7760">
        <w:rPr>
          <w:rFonts w:cs="Arial"/>
        </w:rPr>
        <w:t>Bied</w:t>
      </w:r>
      <w:proofErr w:type="spellEnd"/>
      <w:r w:rsidRPr="001B7760">
        <w:rPr>
          <w:rFonts w:cs="Arial"/>
        </w:rPr>
        <w:t xml:space="preserve"> A, </w:t>
      </w:r>
      <w:proofErr w:type="spellStart"/>
      <w:r w:rsidRPr="001B7760">
        <w:rPr>
          <w:rFonts w:cs="Arial"/>
        </w:rPr>
        <w:t>Fregeau</w:t>
      </w:r>
      <w:proofErr w:type="spellEnd"/>
      <w:r w:rsidRPr="001B7760">
        <w:rPr>
          <w:rFonts w:cs="Arial"/>
        </w:rPr>
        <w:t xml:space="preserve"> C, Van </w:t>
      </w:r>
      <w:proofErr w:type="spellStart"/>
      <w:r w:rsidRPr="001B7760">
        <w:rPr>
          <w:rFonts w:cs="Arial"/>
        </w:rPr>
        <w:t>Scoy</w:t>
      </w:r>
      <w:proofErr w:type="spellEnd"/>
      <w:r w:rsidRPr="001B7760">
        <w:rPr>
          <w:rFonts w:cs="Arial"/>
        </w:rPr>
        <w:t xml:space="preserve"> B, Brown D, Liu W, Bush K, </w:t>
      </w:r>
      <w:proofErr w:type="spellStart"/>
      <w:r w:rsidRPr="001B7760">
        <w:rPr>
          <w:rFonts w:cs="Arial"/>
        </w:rPr>
        <w:t>Queenan</w:t>
      </w:r>
      <w:proofErr w:type="spellEnd"/>
      <w:r w:rsidRPr="001B7760">
        <w:rPr>
          <w:rFonts w:cs="Arial"/>
        </w:rPr>
        <w:t xml:space="preserve"> A-M, Morrow B, </w:t>
      </w:r>
      <w:proofErr w:type="spellStart"/>
      <w:r w:rsidRPr="001B7760">
        <w:rPr>
          <w:rFonts w:cs="Arial"/>
        </w:rPr>
        <w:t>Khashab</w:t>
      </w:r>
      <w:proofErr w:type="spellEnd"/>
      <w:r w:rsidRPr="001B7760">
        <w:rPr>
          <w:rFonts w:cs="Arial"/>
        </w:rPr>
        <w:t xml:space="preserve"> M, Kahn JB, Nicholson S, </w:t>
      </w:r>
      <w:proofErr w:type="spellStart"/>
      <w:r w:rsidRPr="001B7760">
        <w:rPr>
          <w:rFonts w:cs="Arial"/>
        </w:rPr>
        <w:t>Kulawy</w:t>
      </w:r>
      <w:proofErr w:type="spellEnd"/>
      <w:r w:rsidRPr="001B7760">
        <w:rPr>
          <w:rFonts w:cs="Arial"/>
        </w:rPr>
        <w:t xml:space="preserve"> R, </w:t>
      </w:r>
      <w:proofErr w:type="spellStart"/>
      <w:r w:rsidRPr="001B7760">
        <w:rPr>
          <w:rFonts w:cs="Arial"/>
        </w:rPr>
        <w:t>Drusano</w:t>
      </w:r>
      <w:proofErr w:type="spellEnd"/>
      <w:r w:rsidRPr="001B7760">
        <w:rPr>
          <w:rFonts w:cs="Arial"/>
        </w:rPr>
        <w:t xml:space="preserve"> GL. 2010. Impact of Different Carbapenems and Regimens of Administration on Resistance Emergence for Three Isogenic </w:t>
      </w:r>
      <w:r w:rsidRPr="001B7760">
        <w:rPr>
          <w:rFonts w:cs="Arial"/>
          <w:i/>
          <w:iCs/>
        </w:rPr>
        <w:t xml:space="preserve">Pseudomonas </w:t>
      </w:r>
      <w:proofErr w:type="gramStart"/>
      <w:r w:rsidRPr="001B7760">
        <w:rPr>
          <w:rFonts w:cs="Arial"/>
          <w:i/>
          <w:iCs/>
        </w:rPr>
        <w:t>aeruginosa</w:t>
      </w:r>
      <w:proofErr w:type="gramEnd"/>
      <w:r w:rsidRPr="001B7760">
        <w:rPr>
          <w:rFonts w:cs="Arial"/>
        </w:rPr>
        <w:t xml:space="preserve"> Strains with Differing Mechanisms of Resistance.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54:2638–2645.</w:t>
      </w:r>
    </w:p>
    <w:p w14:paraId="4BBD243A" w14:textId="77777777" w:rsidR="00DC12EC" w:rsidRPr="001B7760" w:rsidRDefault="00DC12EC" w:rsidP="00DC12EC">
      <w:pPr>
        <w:pStyle w:val="Bibliography"/>
        <w:rPr>
          <w:rFonts w:cs="Arial"/>
        </w:rPr>
      </w:pPr>
      <w:r w:rsidRPr="001B7760">
        <w:rPr>
          <w:rFonts w:cs="Arial"/>
        </w:rPr>
        <w:t xml:space="preserve">92. </w:t>
      </w:r>
      <w:r w:rsidRPr="001B7760">
        <w:rPr>
          <w:rFonts w:cs="Arial"/>
        </w:rPr>
        <w:tab/>
      </w:r>
      <w:proofErr w:type="spellStart"/>
      <w:r w:rsidRPr="001B7760">
        <w:rPr>
          <w:rFonts w:cs="Arial"/>
        </w:rPr>
        <w:t>Lutsar</w:t>
      </w:r>
      <w:proofErr w:type="spellEnd"/>
      <w:r w:rsidRPr="001B7760">
        <w:rPr>
          <w:rFonts w:cs="Arial"/>
        </w:rPr>
        <w:t xml:space="preserve"> I, Ahmed A, Freedland IR, </w:t>
      </w:r>
      <w:proofErr w:type="spellStart"/>
      <w:r w:rsidRPr="001B7760">
        <w:rPr>
          <w:rFonts w:cs="Arial"/>
        </w:rPr>
        <w:t>Wubbel</w:t>
      </w:r>
      <w:proofErr w:type="spellEnd"/>
      <w:r w:rsidRPr="001B7760">
        <w:rPr>
          <w:rFonts w:cs="Arial"/>
        </w:rPr>
        <w:t xml:space="preserve"> L, Trujillo M, Olsen K, McCracken GH. 1997. Pharmacodynamics and bactericidal activity of ceftriaxone (CRO) therapy in </w:t>
      </w:r>
      <w:proofErr w:type="spellStart"/>
      <w:r w:rsidRPr="001B7760">
        <w:rPr>
          <w:rFonts w:cs="Arial"/>
        </w:rPr>
        <w:t>eiperimental</w:t>
      </w:r>
      <w:proofErr w:type="spellEnd"/>
      <w:r w:rsidRPr="001B7760">
        <w:rPr>
          <w:rFonts w:cs="Arial"/>
        </w:rPr>
        <w:t xml:space="preserve"> cephalosporin-resistant pneumococcal (CRSP) meningitis. Clinical Infectious Diseases 25:487.</w:t>
      </w:r>
    </w:p>
    <w:p w14:paraId="322395C5" w14:textId="77777777" w:rsidR="00DC12EC" w:rsidRPr="001B7760" w:rsidRDefault="00DC12EC" w:rsidP="00DC12EC">
      <w:pPr>
        <w:pStyle w:val="Bibliography"/>
        <w:rPr>
          <w:rFonts w:cs="Arial"/>
        </w:rPr>
      </w:pPr>
      <w:r w:rsidRPr="001B7760">
        <w:rPr>
          <w:rFonts w:cs="Arial"/>
        </w:rPr>
        <w:lastRenderedPageBreak/>
        <w:t xml:space="preserve">93. </w:t>
      </w:r>
      <w:r w:rsidRPr="001B7760">
        <w:rPr>
          <w:rFonts w:cs="Arial"/>
        </w:rPr>
        <w:tab/>
      </w:r>
      <w:proofErr w:type="spellStart"/>
      <w:r w:rsidRPr="001B7760">
        <w:rPr>
          <w:rFonts w:cs="Arial"/>
        </w:rPr>
        <w:t>MacGowan</w:t>
      </w:r>
      <w:proofErr w:type="spellEnd"/>
      <w:r w:rsidRPr="001B7760">
        <w:rPr>
          <w:rFonts w:cs="Arial"/>
        </w:rPr>
        <w:t xml:space="preserve"> AP, Bowker KE, Noel AR. 2008. Pharmacodynamics of the Antibacterial Effect and Emergence of Resistance to Tomopenem, Formerly RO4908463/CS-023, in an In Vitro Pharmacokinetic Model of </w:t>
      </w:r>
      <w:r w:rsidRPr="001B7760">
        <w:rPr>
          <w:rFonts w:cs="Arial"/>
          <w:i/>
          <w:iCs/>
        </w:rPr>
        <w:t>Staphylococcus aureus</w:t>
      </w:r>
      <w:r w:rsidRPr="001B7760">
        <w:rPr>
          <w:rFonts w:cs="Arial"/>
        </w:rPr>
        <w:t xml:space="preserve"> Infection.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52:1401–1406.</w:t>
      </w:r>
    </w:p>
    <w:p w14:paraId="1A357219" w14:textId="77777777" w:rsidR="00DC12EC" w:rsidRPr="001B7760" w:rsidRDefault="00DC12EC" w:rsidP="00DC12EC">
      <w:pPr>
        <w:pStyle w:val="Bibliography"/>
        <w:rPr>
          <w:rFonts w:cs="Arial"/>
        </w:rPr>
      </w:pPr>
      <w:r w:rsidRPr="001B7760">
        <w:rPr>
          <w:rFonts w:cs="Arial"/>
        </w:rPr>
        <w:t xml:space="preserve">94. </w:t>
      </w:r>
      <w:r w:rsidRPr="001B7760">
        <w:rPr>
          <w:rFonts w:cs="Arial"/>
        </w:rPr>
        <w:tab/>
      </w:r>
      <w:proofErr w:type="spellStart"/>
      <w:r w:rsidRPr="001B7760">
        <w:rPr>
          <w:rFonts w:cs="Arial"/>
        </w:rPr>
        <w:t>MacGowan</w:t>
      </w:r>
      <w:proofErr w:type="spellEnd"/>
      <w:r w:rsidRPr="001B7760">
        <w:rPr>
          <w:rFonts w:cs="Arial"/>
        </w:rPr>
        <w:t xml:space="preserve"> AP, Noel AR, Tomaselli SG, Nicholls D, Bowker KE. 2016. Pharmacodynamics of </w:t>
      </w:r>
      <w:proofErr w:type="spellStart"/>
      <w:r w:rsidRPr="001B7760">
        <w:rPr>
          <w:rFonts w:cs="Arial"/>
        </w:rPr>
        <w:t>Ceftolozane</w:t>
      </w:r>
      <w:proofErr w:type="spellEnd"/>
      <w:r w:rsidRPr="001B7760">
        <w:rPr>
          <w:rFonts w:cs="Arial"/>
        </w:rPr>
        <w:t xml:space="preserve"> plus Tazobactam Studied in an </w:t>
      </w:r>
      <w:r w:rsidRPr="001B7760">
        <w:rPr>
          <w:rFonts w:cs="Arial"/>
          <w:i/>
          <w:iCs/>
        </w:rPr>
        <w:t>In Vitro</w:t>
      </w:r>
      <w:r w:rsidRPr="001B7760">
        <w:rPr>
          <w:rFonts w:cs="Arial"/>
        </w:rPr>
        <w:t xml:space="preserve"> Pharmacokinetic Model of Infection.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60:515–521.</w:t>
      </w:r>
    </w:p>
    <w:p w14:paraId="0F66E028" w14:textId="77777777" w:rsidR="00DC12EC" w:rsidRPr="001B7760" w:rsidRDefault="00DC12EC" w:rsidP="00DC12EC">
      <w:pPr>
        <w:pStyle w:val="Bibliography"/>
        <w:rPr>
          <w:rFonts w:cs="Arial"/>
        </w:rPr>
      </w:pPr>
      <w:r w:rsidRPr="001B7760">
        <w:rPr>
          <w:rFonts w:cs="Arial"/>
        </w:rPr>
        <w:t xml:space="preserve">95. </w:t>
      </w:r>
      <w:r w:rsidRPr="001B7760">
        <w:rPr>
          <w:rFonts w:cs="Arial"/>
        </w:rPr>
        <w:tab/>
        <w:t xml:space="preserve">MacVane SH, </w:t>
      </w:r>
      <w:proofErr w:type="spellStart"/>
      <w:r w:rsidRPr="001B7760">
        <w:rPr>
          <w:rFonts w:cs="Arial"/>
        </w:rPr>
        <w:t>Kuti</w:t>
      </w:r>
      <w:proofErr w:type="spellEnd"/>
      <w:r w:rsidRPr="001B7760">
        <w:rPr>
          <w:rFonts w:cs="Arial"/>
        </w:rPr>
        <w:t xml:space="preserve"> JL, </w:t>
      </w:r>
      <w:proofErr w:type="spellStart"/>
      <w:r w:rsidRPr="001B7760">
        <w:rPr>
          <w:rFonts w:cs="Arial"/>
        </w:rPr>
        <w:t>Nicolau</w:t>
      </w:r>
      <w:proofErr w:type="spellEnd"/>
      <w:r w:rsidRPr="001B7760">
        <w:rPr>
          <w:rFonts w:cs="Arial"/>
        </w:rPr>
        <w:t xml:space="preserve"> DP. 2014. Clinical pharmacodynamics of antipseudomonal cephalosporins in patients with ventilator-associated pneumonia. Antimicrobial agents and chemotherapy 58:1359–64.</w:t>
      </w:r>
    </w:p>
    <w:p w14:paraId="78B22569" w14:textId="77777777" w:rsidR="00DC12EC" w:rsidRPr="001B7760" w:rsidRDefault="00DC12EC" w:rsidP="00DC12EC">
      <w:pPr>
        <w:pStyle w:val="Bibliography"/>
        <w:rPr>
          <w:rFonts w:cs="Arial"/>
        </w:rPr>
      </w:pPr>
      <w:r w:rsidRPr="001B7760">
        <w:rPr>
          <w:rFonts w:cs="Arial"/>
        </w:rPr>
        <w:t xml:space="preserve">96. </w:t>
      </w:r>
      <w:r w:rsidRPr="001B7760">
        <w:rPr>
          <w:rFonts w:cs="Arial"/>
        </w:rPr>
        <w:tab/>
        <w:t xml:space="preserve">Maglio D, Ong C, </w:t>
      </w:r>
      <w:proofErr w:type="spellStart"/>
      <w:r w:rsidRPr="001B7760">
        <w:rPr>
          <w:rFonts w:cs="Arial"/>
        </w:rPr>
        <w:t>Banevicius</w:t>
      </w:r>
      <w:proofErr w:type="spellEnd"/>
      <w:r w:rsidRPr="001B7760">
        <w:rPr>
          <w:rFonts w:cs="Arial"/>
        </w:rPr>
        <w:t xml:space="preserve"> MA, </w:t>
      </w:r>
      <w:proofErr w:type="spellStart"/>
      <w:r w:rsidRPr="001B7760">
        <w:rPr>
          <w:rFonts w:cs="Arial"/>
        </w:rPr>
        <w:t>Geng</w:t>
      </w:r>
      <w:proofErr w:type="spellEnd"/>
      <w:r w:rsidRPr="001B7760">
        <w:rPr>
          <w:rFonts w:cs="Arial"/>
        </w:rPr>
        <w:t xml:space="preserve"> Q, Nightingale CH, </w:t>
      </w:r>
      <w:proofErr w:type="spellStart"/>
      <w:r w:rsidRPr="001B7760">
        <w:rPr>
          <w:rFonts w:cs="Arial"/>
        </w:rPr>
        <w:t>Nicolau</w:t>
      </w:r>
      <w:proofErr w:type="spellEnd"/>
      <w:r w:rsidRPr="001B7760">
        <w:rPr>
          <w:rFonts w:cs="Arial"/>
        </w:rPr>
        <w:t xml:space="preserve"> DP. 2004. Determination of the In Vivo Pharmacodynamic Profile of Cefepime against Extended-Spectrum-Beta-Lactamase-Producing </w:t>
      </w:r>
      <w:r w:rsidRPr="001B7760">
        <w:rPr>
          <w:rFonts w:cs="Arial"/>
          <w:i/>
          <w:iCs/>
        </w:rPr>
        <w:t>Escherichia coli</w:t>
      </w:r>
      <w:r w:rsidRPr="001B7760">
        <w:rPr>
          <w:rFonts w:cs="Arial"/>
        </w:rPr>
        <w:t xml:space="preserve"> at Various </w:t>
      </w:r>
      <w:proofErr w:type="spellStart"/>
      <w:r w:rsidRPr="001B7760">
        <w:rPr>
          <w:rFonts w:cs="Arial"/>
        </w:rPr>
        <w:t>Inocula</w:t>
      </w:r>
      <w:proofErr w:type="spellEnd"/>
      <w:r w:rsidRPr="001B7760">
        <w:rPr>
          <w:rFonts w:cs="Arial"/>
        </w:rPr>
        <w:t xml:space="preserve">.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48:1941–1947.</w:t>
      </w:r>
    </w:p>
    <w:p w14:paraId="655226E7" w14:textId="77777777" w:rsidR="00DC12EC" w:rsidRPr="001B7760" w:rsidRDefault="00DC12EC" w:rsidP="00DC12EC">
      <w:pPr>
        <w:pStyle w:val="Bibliography"/>
        <w:rPr>
          <w:rFonts w:cs="Arial"/>
        </w:rPr>
      </w:pPr>
      <w:r w:rsidRPr="001B7760">
        <w:rPr>
          <w:rFonts w:cs="Arial"/>
        </w:rPr>
        <w:t xml:space="preserve">97. </w:t>
      </w:r>
      <w:r w:rsidRPr="001B7760">
        <w:rPr>
          <w:rFonts w:cs="Arial"/>
        </w:rPr>
        <w:tab/>
        <w:t xml:space="preserve">Maglio D, </w:t>
      </w:r>
      <w:proofErr w:type="spellStart"/>
      <w:r w:rsidRPr="001B7760">
        <w:rPr>
          <w:rFonts w:cs="Arial"/>
        </w:rPr>
        <w:t>Banevicius</w:t>
      </w:r>
      <w:proofErr w:type="spellEnd"/>
      <w:r w:rsidRPr="001B7760">
        <w:rPr>
          <w:rFonts w:cs="Arial"/>
        </w:rPr>
        <w:t xml:space="preserve"> MA, Sutherland C, Babalola C, Nightingale CH, </w:t>
      </w:r>
      <w:proofErr w:type="spellStart"/>
      <w:r w:rsidRPr="001B7760">
        <w:rPr>
          <w:rFonts w:cs="Arial"/>
        </w:rPr>
        <w:t>Nicolau</w:t>
      </w:r>
      <w:proofErr w:type="spellEnd"/>
      <w:r w:rsidRPr="001B7760">
        <w:rPr>
          <w:rFonts w:cs="Arial"/>
        </w:rPr>
        <w:t xml:space="preserve"> DP. 2005. Pharmacodynamic Profile of Ertapenem against </w:t>
      </w:r>
      <w:r w:rsidRPr="001B7760">
        <w:rPr>
          <w:rFonts w:cs="Arial"/>
          <w:i/>
          <w:iCs/>
        </w:rPr>
        <w:t>Klebsiella pneumoniae</w:t>
      </w:r>
      <w:r w:rsidRPr="001B7760">
        <w:rPr>
          <w:rFonts w:cs="Arial"/>
        </w:rPr>
        <w:t xml:space="preserve"> and </w:t>
      </w:r>
      <w:r w:rsidRPr="001B7760">
        <w:rPr>
          <w:rFonts w:cs="Arial"/>
          <w:i/>
          <w:iCs/>
        </w:rPr>
        <w:t>Escherichia coli</w:t>
      </w:r>
      <w:r w:rsidRPr="001B7760">
        <w:rPr>
          <w:rFonts w:cs="Arial"/>
        </w:rPr>
        <w:t xml:space="preserve"> in a Murine Thigh Model.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49:276–280.</w:t>
      </w:r>
    </w:p>
    <w:p w14:paraId="1BAB4C34" w14:textId="77777777" w:rsidR="00DC12EC" w:rsidRPr="001B7760" w:rsidRDefault="00DC12EC" w:rsidP="00DC12EC">
      <w:pPr>
        <w:pStyle w:val="Bibliography"/>
        <w:rPr>
          <w:rFonts w:cs="Arial"/>
        </w:rPr>
      </w:pPr>
      <w:r w:rsidRPr="001B7760">
        <w:rPr>
          <w:rFonts w:cs="Arial"/>
        </w:rPr>
        <w:t xml:space="preserve">98. </w:t>
      </w:r>
      <w:r w:rsidRPr="001B7760">
        <w:rPr>
          <w:rFonts w:cs="Arial"/>
        </w:rPr>
        <w:tab/>
      </w:r>
      <w:proofErr w:type="spellStart"/>
      <w:r w:rsidRPr="001B7760">
        <w:rPr>
          <w:rFonts w:cs="Arial"/>
        </w:rPr>
        <w:t>Manduru</w:t>
      </w:r>
      <w:proofErr w:type="spellEnd"/>
      <w:r w:rsidRPr="001B7760">
        <w:rPr>
          <w:rFonts w:cs="Arial"/>
        </w:rPr>
        <w:t xml:space="preserve"> M, Mihm LB, White RL, Friedrich LV, Flume PA, Bosso JA. 1997. In vitro pharmacodynamics of ceftazidime against Pseudomonas aeruginosa isolates from cystic fibrosis patients.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41:2053–2056.</w:t>
      </w:r>
    </w:p>
    <w:p w14:paraId="15972A07" w14:textId="77777777" w:rsidR="00DC12EC" w:rsidRPr="001B7760" w:rsidRDefault="00DC12EC" w:rsidP="00DC12EC">
      <w:pPr>
        <w:pStyle w:val="Bibliography"/>
        <w:rPr>
          <w:rFonts w:cs="Arial"/>
        </w:rPr>
      </w:pPr>
      <w:r w:rsidRPr="001B7760">
        <w:rPr>
          <w:rFonts w:cs="Arial"/>
        </w:rPr>
        <w:t xml:space="preserve">99. </w:t>
      </w:r>
      <w:r w:rsidRPr="001B7760">
        <w:rPr>
          <w:rFonts w:cs="Arial"/>
        </w:rPr>
        <w:tab/>
        <w:t xml:space="preserve">McKinnon PS, Paladino JA, </w:t>
      </w:r>
      <w:proofErr w:type="spellStart"/>
      <w:r w:rsidRPr="001B7760">
        <w:rPr>
          <w:rFonts w:cs="Arial"/>
        </w:rPr>
        <w:t>Schentag</w:t>
      </w:r>
      <w:proofErr w:type="spellEnd"/>
      <w:r w:rsidRPr="001B7760">
        <w:rPr>
          <w:rFonts w:cs="Arial"/>
        </w:rPr>
        <w:t xml:space="preserve"> JJ. 2008. Evaluation of area under the inhibitory curve (AUIC) and time above the minimum inhibitory concentration (T&gt;MIC) as predictors </w:t>
      </w:r>
      <w:r w:rsidRPr="001B7760">
        <w:rPr>
          <w:rFonts w:cs="Arial"/>
        </w:rPr>
        <w:lastRenderedPageBreak/>
        <w:t>of outcome for cefepime and ceftazidime in serious bacterial infections. International Journal of Antimicrobial Agents 31:345–351.</w:t>
      </w:r>
    </w:p>
    <w:p w14:paraId="63341ECA" w14:textId="77777777" w:rsidR="00DC12EC" w:rsidRPr="001B7760" w:rsidRDefault="00DC12EC" w:rsidP="00DC12EC">
      <w:pPr>
        <w:pStyle w:val="Bibliography"/>
        <w:rPr>
          <w:rFonts w:cs="Arial"/>
        </w:rPr>
      </w:pPr>
      <w:r w:rsidRPr="001B7760">
        <w:rPr>
          <w:rFonts w:cs="Arial"/>
        </w:rPr>
        <w:t xml:space="preserve">100. </w:t>
      </w:r>
      <w:r w:rsidRPr="001B7760">
        <w:rPr>
          <w:rFonts w:cs="Arial"/>
        </w:rPr>
        <w:tab/>
      </w:r>
      <w:proofErr w:type="spellStart"/>
      <w:r w:rsidRPr="001B7760">
        <w:rPr>
          <w:rFonts w:cs="Arial"/>
        </w:rPr>
        <w:t>Mikamo</w:t>
      </w:r>
      <w:proofErr w:type="spellEnd"/>
      <w:r w:rsidRPr="001B7760">
        <w:rPr>
          <w:rFonts w:cs="Arial"/>
        </w:rPr>
        <w:t>. 2008. [Clinical investigation on target value of T&gt;MIC in carbapenems].</w:t>
      </w:r>
    </w:p>
    <w:p w14:paraId="618E19D3" w14:textId="77777777" w:rsidR="00DC12EC" w:rsidRPr="001B7760" w:rsidRDefault="00DC12EC" w:rsidP="00DC12EC">
      <w:pPr>
        <w:pStyle w:val="Bibliography"/>
        <w:rPr>
          <w:rFonts w:cs="Arial"/>
        </w:rPr>
      </w:pPr>
      <w:r w:rsidRPr="001B7760">
        <w:rPr>
          <w:rFonts w:cs="Arial"/>
        </w:rPr>
        <w:t xml:space="preserve">101. </w:t>
      </w:r>
      <w:r w:rsidRPr="001B7760">
        <w:rPr>
          <w:rFonts w:cs="Arial"/>
        </w:rPr>
        <w:tab/>
        <w:t xml:space="preserve">Mouton JW, Den Hollander JG. 1994. Killing of Pseudomonas aeruginosa during continuous and intermittent infusion of ceftazidime in an in vitro pharmacokinetic model.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38:931–936.</w:t>
      </w:r>
    </w:p>
    <w:p w14:paraId="2381A9D1" w14:textId="77777777" w:rsidR="00DC12EC" w:rsidRPr="001B7760" w:rsidRDefault="00DC12EC" w:rsidP="00DC12EC">
      <w:pPr>
        <w:pStyle w:val="Bibliography"/>
        <w:rPr>
          <w:rFonts w:cs="Arial"/>
        </w:rPr>
      </w:pPr>
      <w:r w:rsidRPr="001B7760">
        <w:rPr>
          <w:rFonts w:cs="Arial"/>
        </w:rPr>
        <w:t xml:space="preserve">102. </w:t>
      </w:r>
      <w:r w:rsidRPr="001B7760">
        <w:rPr>
          <w:rFonts w:cs="Arial"/>
        </w:rPr>
        <w:tab/>
        <w:t xml:space="preserve">Mouton JW, Punt N, </w:t>
      </w:r>
      <w:proofErr w:type="spellStart"/>
      <w:r w:rsidRPr="001B7760">
        <w:rPr>
          <w:rFonts w:cs="Arial"/>
        </w:rPr>
        <w:t>Vinks</w:t>
      </w:r>
      <w:proofErr w:type="spellEnd"/>
      <w:r w:rsidRPr="001B7760">
        <w:rPr>
          <w:rFonts w:cs="Arial"/>
        </w:rPr>
        <w:t xml:space="preserve"> AA. 2007. Concentration-Effect Relationship of Ceftazidime Explains Why the Time above the MIC Is 40 Percent for a Static Effect In Vivo.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51:3449–3451.</w:t>
      </w:r>
    </w:p>
    <w:p w14:paraId="405C7B8F" w14:textId="77777777" w:rsidR="00DC12EC" w:rsidRPr="001B7760" w:rsidRDefault="00DC12EC" w:rsidP="00DC12EC">
      <w:pPr>
        <w:pStyle w:val="Bibliography"/>
        <w:rPr>
          <w:rFonts w:cs="Arial"/>
        </w:rPr>
      </w:pPr>
      <w:r w:rsidRPr="001B7760">
        <w:rPr>
          <w:rFonts w:cs="Arial"/>
        </w:rPr>
        <w:t xml:space="preserve">103. </w:t>
      </w:r>
      <w:r w:rsidRPr="001B7760">
        <w:rPr>
          <w:rFonts w:cs="Arial"/>
        </w:rPr>
        <w:tab/>
        <w:t>Muller AE, Punt N, Mouton JW. 2013. Optimal exposures of ceftazidime predict the probability of microbiological and clinical outcome in the treatment of nosocomial pneumonia. Journal of Antimicrobial Chemotherapy 68:900–906.</w:t>
      </w:r>
    </w:p>
    <w:p w14:paraId="36FD057A" w14:textId="77777777" w:rsidR="00DC12EC" w:rsidRPr="001B7760" w:rsidRDefault="00DC12EC" w:rsidP="00DC12EC">
      <w:pPr>
        <w:pStyle w:val="Bibliography"/>
        <w:rPr>
          <w:rFonts w:cs="Arial"/>
        </w:rPr>
      </w:pPr>
      <w:r w:rsidRPr="001B7760">
        <w:rPr>
          <w:rFonts w:cs="Arial"/>
        </w:rPr>
        <w:t xml:space="preserve">104. </w:t>
      </w:r>
      <w:r w:rsidRPr="001B7760">
        <w:rPr>
          <w:rFonts w:cs="Arial"/>
        </w:rPr>
        <w:tab/>
        <w:t xml:space="preserve">Muller AE, Punt N, Mouton JW. 2014. Exposure to Ceftobiprole Is Associated with Microbiological Eradication and Clinical Cure in Patients with Nosocomial Pneumonia.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58:2512–2519.</w:t>
      </w:r>
    </w:p>
    <w:p w14:paraId="23C7DBB5" w14:textId="77777777" w:rsidR="00DC12EC" w:rsidRPr="001B7760" w:rsidRDefault="00DC12EC" w:rsidP="00DC12EC">
      <w:pPr>
        <w:pStyle w:val="Bibliography"/>
        <w:rPr>
          <w:rFonts w:cs="Arial"/>
        </w:rPr>
      </w:pPr>
      <w:r w:rsidRPr="001B7760">
        <w:rPr>
          <w:rFonts w:cs="Arial"/>
        </w:rPr>
        <w:t xml:space="preserve">105. </w:t>
      </w:r>
      <w:r w:rsidRPr="001B7760">
        <w:rPr>
          <w:rFonts w:cs="Arial"/>
        </w:rPr>
        <w:tab/>
        <w:t>Nakamura R, Ito-</w:t>
      </w:r>
      <w:proofErr w:type="spellStart"/>
      <w:r w:rsidRPr="001B7760">
        <w:rPr>
          <w:rFonts w:cs="Arial"/>
        </w:rPr>
        <w:t>Horiyama</w:t>
      </w:r>
      <w:proofErr w:type="spellEnd"/>
      <w:r w:rsidRPr="001B7760">
        <w:rPr>
          <w:rFonts w:cs="Arial"/>
        </w:rPr>
        <w:t xml:space="preserve"> T, </w:t>
      </w:r>
      <w:proofErr w:type="spellStart"/>
      <w:r w:rsidRPr="001B7760">
        <w:rPr>
          <w:rFonts w:cs="Arial"/>
        </w:rPr>
        <w:t>Takemura</w:t>
      </w:r>
      <w:proofErr w:type="spellEnd"/>
      <w:r w:rsidRPr="001B7760">
        <w:rPr>
          <w:rFonts w:cs="Arial"/>
        </w:rPr>
        <w:t xml:space="preserve"> M, Toba S, Matsumoto S, </w:t>
      </w:r>
      <w:proofErr w:type="spellStart"/>
      <w:r w:rsidRPr="001B7760">
        <w:rPr>
          <w:rFonts w:cs="Arial"/>
        </w:rPr>
        <w:t>Ikehara</w:t>
      </w:r>
      <w:proofErr w:type="spellEnd"/>
      <w:r w:rsidRPr="001B7760">
        <w:rPr>
          <w:rFonts w:cs="Arial"/>
        </w:rPr>
        <w:t xml:space="preserve"> T, Tsuji M, Sato T, </w:t>
      </w:r>
      <w:proofErr w:type="spellStart"/>
      <w:r w:rsidRPr="001B7760">
        <w:rPr>
          <w:rFonts w:cs="Arial"/>
        </w:rPr>
        <w:t>Yamano</w:t>
      </w:r>
      <w:proofErr w:type="spellEnd"/>
      <w:r w:rsidRPr="001B7760">
        <w:rPr>
          <w:rFonts w:cs="Arial"/>
        </w:rPr>
        <w:t xml:space="preserve"> Y. 2019. </w:t>
      </w:r>
      <w:r w:rsidRPr="001B7760">
        <w:rPr>
          <w:rFonts w:cs="Arial"/>
          <w:i/>
          <w:iCs/>
        </w:rPr>
        <w:t>In Vivo</w:t>
      </w:r>
      <w:r w:rsidRPr="001B7760">
        <w:rPr>
          <w:rFonts w:cs="Arial"/>
        </w:rPr>
        <w:t xml:space="preserve"> Pharmacodynamic Study of </w:t>
      </w:r>
      <w:proofErr w:type="spellStart"/>
      <w:r w:rsidRPr="001B7760">
        <w:rPr>
          <w:rFonts w:cs="Arial"/>
        </w:rPr>
        <w:t>Cefiderocol</w:t>
      </w:r>
      <w:proofErr w:type="spellEnd"/>
      <w:r w:rsidRPr="001B7760">
        <w:rPr>
          <w:rFonts w:cs="Arial"/>
        </w:rPr>
        <w:t xml:space="preserve">, a Novel Parenteral Siderophore Cephalosporin, in Murine Thigh and Lung Infection Models.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w:t>
      </w:r>
      <w:proofErr w:type="gramStart"/>
      <w:r w:rsidRPr="001B7760">
        <w:rPr>
          <w:rFonts w:cs="Arial"/>
        </w:rPr>
        <w:t>63:e</w:t>
      </w:r>
      <w:proofErr w:type="gramEnd"/>
      <w:r w:rsidRPr="001B7760">
        <w:rPr>
          <w:rFonts w:cs="Arial"/>
        </w:rPr>
        <w:t>02031-18.</w:t>
      </w:r>
    </w:p>
    <w:p w14:paraId="4544860C" w14:textId="77777777" w:rsidR="00DC12EC" w:rsidRPr="001B7760" w:rsidRDefault="00DC12EC" w:rsidP="00DC12EC">
      <w:pPr>
        <w:pStyle w:val="Bibliography"/>
        <w:rPr>
          <w:rFonts w:cs="Arial"/>
        </w:rPr>
      </w:pPr>
      <w:r w:rsidRPr="001B7760">
        <w:rPr>
          <w:rFonts w:cs="Arial"/>
        </w:rPr>
        <w:t xml:space="preserve">106. </w:t>
      </w:r>
      <w:r w:rsidRPr="001B7760">
        <w:rPr>
          <w:rFonts w:cs="Arial"/>
        </w:rPr>
        <w:tab/>
      </w:r>
      <w:proofErr w:type="spellStart"/>
      <w:r w:rsidRPr="001B7760">
        <w:rPr>
          <w:rFonts w:cs="Arial"/>
        </w:rPr>
        <w:t>Navas</w:t>
      </w:r>
      <w:proofErr w:type="spellEnd"/>
      <w:r w:rsidRPr="001B7760">
        <w:rPr>
          <w:rFonts w:cs="Arial"/>
        </w:rPr>
        <w:t xml:space="preserve"> D. 2004. Comparison of in vivo intrinsic activity of cefepime and imipenem in a Pseudomonas aeruginosa rabbit endocarditis model: effect of combination with </w:t>
      </w:r>
      <w:r w:rsidRPr="001B7760">
        <w:rPr>
          <w:rFonts w:cs="Arial"/>
        </w:rPr>
        <w:lastRenderedPageBreak/>
        <w:t>tobramycin simulating human serum pharmacokinetics. Journal of Antimicrobial Chemotherapy 54:767–771.</w:t>
      </w:r>
    </w:p>
    <w:p w14:paraId="70D74549" w14:textId="77777777" w:rsidR="00DC12EC" w:rsidRPr="001B7760" w:rsidRDefault="00DC12EC" w:rsidP="00DC12EC">
      <w:pPr>
        <w:pStyle w:val="Bibliography"/>
        <w:rPr>
          <w:rFonts w:cs="Arial"/>
        </w:rPr>
      </w:pPr>
      <w:r w:rsidRPr="001B7760">
        <w:rPr>
          <w:rFonts w:cs="Arial"/>
        </w:rPr>
        <w:t xml:space="preserve">107. </w:t>
      </w:r>
      <w:r w:rsidRPr="001B7760">
        <w:rPr>
          <w:rFonts w:cs="Arial"/>
        </w:rPr>
        <w:tab/>
      </w:r>
      <w:proofErr w:type="spellStart"/>
      <w:r w:rsidRPr="001B7760">
        <w:rPr>
          <w:rFonts w:cs="Arial"/>
        </w:rPr>
        <w:t>Nicolau</w:t>
      </w:r>
      <w:proofErr w:type="spellEnd"/>
      <w:r w:rsidRPr="001B7760">
        <w:rPr>
          <w:rFonts w:cs="Arial"/>
        </w:rPr>
        <w:t xml:space="preserve"> DP, </w:t>
      </w:r>
      <w:proofErr w:type="spellStart"/>
      <w:r w:rsidRPr="001B7760">
        <w:rPr>
          <w:rFonts w:cs="Arial"/>
        </w:rPr>
        <w:t>Onyeji</w:t>
      </w:r>
      <w:proofErr w:type="spellEnd"/>
      <w:r w:rsidRPr="001B7760">
        <w:rPr>
          <w:rFonts w:cs="Arial"/>
        </w:rPr>
        <w:t xml:space="preserve"> CO, Zhong M, Tessier PR, </w:t>
      </w:r>
      <w:proofErr w:type="spellStart"/>
      <w:r w:rsidRPr="001B7760">
        <w:rPr>
          <w:rFonts w:cs="Arial"/>
        </w:rPr>
        <w:t>Banevicius</w:t>
      </w:r>
      <w:proofErr w:type="spellEnd"/>
      <w:r w:rsidRPr="001B7760">
        <w:rPr>
          <w:rFonts w:cs="Arial"/>
        </w:rPr>
        <w:t xml:space="preserve"> MA, Nightingale CH. 2000. Pharmacodynamic Assessment of </w:t>
      </w:r>
      <w:proofErr w:type="spellStart"/>
      <w:r w:rsidRPr="001B7760">
        <w:rPr>
          <w:rFonts w:cs="Arial"/>
        </w:rPr>
        <w:t>Cefprozil</w:t>
      </w:r>
      <w:proofErr w:type="spellEnd"/>
      <w:r w:rsidRPr="001B7760">
        <w:rPr>
          <w:rFonts w:cs="Arial"/>
        </w:rPr>
        <w:t xml:space="preserve"> against </w:t>
      </w:r>
      <w:r w:rsidRPr="001B7760">
        <w:rPr>
          <w:rFonts w:cs="Arial"/>
          <w:i/>
          <w:iCs/>
        </w:rPr>
        <w:t xml:space="preserve">Streptococcus </w:t>
      </w:r>
      <w:proofErr w:type="gramStart"/>
      <w:r w:rsidRPr="001B7760">
        <w:rPr>
          <w:rFonts w:cs="Arial"/>
          <w:i/>
          <w:iCs/>
        </w:rPr>
        <w:t>pneumoniae</w:t>
      </w:r>
      <w:r w:rsidRPr="001B7760">
        <w:rPr>
          <w:rFonts w:cs="Arial"/>
        </w:rPr>
        <w:t> :</w:t>
      </w:r>
      <w:proofErr w:type="gramEnd"/>
      <w:r w:rsidRPr="001B7760">
        <w:rPr>
          <w:rFonts w:cs="Arial"/>
        </w:rPr>
        <w:t xml:space="preserve"> Implications for Breakpoint Determinations.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44:1291–1295.</w:t>
      </w:r>
    </w:p>
    <w:p w14:paraId="0D89F3F0" w14:textId="77777777" w:rsidR="00DC12EC" w:rsidRPr="001B7760" w:rsidRDefault="00DC12EC" w:rsidP="00DC12EC">
      <w:pPr>
        <w:pStyle w:val="Bibliography"/>
        <w:rPr>
          <w:rFonts w:cs="Arial"/>
        </w:rPr>
      </w:pPr>
      <w:r w:rsidRPr="001B7760">
        <w:rPr>
          <w:rFonts w:cs="Arial"/>
        </w:rPr>
        <w:t xml:space="preserve">108. </w:t>
      </w:r>
      <w:r w:rsidRPr="001B7760">
        <w:rPr>
          <w:rFonts w:cs="Arial"/>
        </w:rPr>
        <w:tab/>
        <w:t xml:space="preserve">Nielsen EI, Cars O, Friberg LE. 2011. Pharmacokinetic/Pharmacodynamic (PK/PD) indices of antibiotics predicted by a </w:t>
      </w:r>
      <w:proofErr w:type="spellStart"/>
      <w:r w:rsidRPr="001B7760">
        <w:rPr>
          <w:rFonts w:cs="Arial"/>
        </w:rPr>
        <w:t>semimechanistic</w:t>
      </w:r>
      <w:proofErr w:type="spellEnd"/>
      <w:r w:rsidRPr="001B7760">
        <w:rPr>
          <w:rFonts w:cs="Arial"/>
        </w:rPr>
        <w:t xml:space="preserve"> PKPD model: A step toward model-based dose optimization. Antimicrobial Agents and Chemotherapy 55:4619–4630.</w:t>
      </w:r>
    </w:p>
    <w:p w14:paraId="005FFFC1" w14:textId="77777777" w:rsidR="00DC12EC" w:rsidRPr="001B7760" w:rsidRDefault="00DC12EC" w:rsidP="00DC12EC">
      <w:pPr>
        <w:pStyle w:val="Bibliography"/>
        <w:rPr>
          <w:rFonts w:cs="Arial"/>
        </w:rPr>
      </w:pPr>
      <w:r w:rsidRPr="001B7760">
        <w:rPr>
          <w:rFonts w:cs="Arial"/>
        </w:rPr>
        <w:t xml:space="preserve">109. </w:t>
      </w:r>
      <w:r w:rsidRPr="001B7760">
        <w:rPr>
          <w:rFonts w:cs="Arial"/>
        </w:rPr>
        <w:tab/>
        <w:t xml:space="preserve">Ong CT, Tessier PR, Li C, Nightingale CH, </w:t>
      </w:r>
      <w:proofErr w:type="spellStart"/>
      <w:r w:rsidRPr="001B7760">
        <w:rPr>
          <w:rFonts w:cs="Arial"/>
        </w:rPr>
        <w:t>Nicolau</w:t>
      </w:r>
      <w:proofErr w:type="spellEnd"/>
      <w:r w:rsidRPr="001B7760">
        <w:rPr>
          <w:rFonts w:cs="Arial"/>
        </w:rPr>
        <w:t xml:space="preserve"> DP. 2007. Comparative in vivo efficacy of meropenem, imipenem, and cefepime against Pseudomonas aeruginosa expressing </w:t>
      </w:r>
      <w:proofErr w:type="spellStart"/>
      <w:r w:rsidRPr="001B7760">
        <w:rPr>
          <w:rFonts w:cs="Arial"/>
        </w:rPr>
        <w:t>MexA-MexB-OprM</w:t>
      </w:r>
      <w:proofErr w:type="spellEnd"/>
      <w:r w:rsidRPr="001B7760">
        <w:rPr>
          <w:rFonts w:cs="Arial"/>
        </w:rPr>
        <w:t xml:space="preserve"> efflux pumps. Diagnostic Microbiology and Infectious Disease 57:153–161.</w:t>
      </w:r>
    </w:p>
    <w:p w14:paraId="7DE3401D" w14:textId="77777777" w:rsidR="00DC12EC" w:rsidRPr="001B7760" w:rsidRDefault="00DC12EC" w:rsidP="00DC12EC">
      <w:pPr>
        <w:pStyle w:val="Bibliography"/>
        <w:rPr>
          <w:rFonts w:cs="Arial"/>
        </w:rPr>
      </w:pPr>
      <w:r w:rsidRPr="001B7760">
        <w:rPr>
          <w:rFonts w:cs="Arial"/>
        </w:rPr>
        <w:t xml:space="preserve">110. </w:t>
      </w:r>
      <w:r w:rsidRPr="001B7760">
        <w:rPr>
          <w:rFonts w:cs="Arial"/>
        </w:rPr>
        <w:tab/>
        <w:t xml:space="preserve">Rhodes NJ, </w:t>
      </w:r>
      <w:proofErr w:type="spellStart"/>
      <w:r w:rsidRPr="001B7760">
        <w:rPr>
          <w:rFonts w:cs="Arial"/>
        </w:rPr>
        <w:t>Kuti</w:t>
      </w:r>
      <w:proofErr w:type="spellEnd"/>
      <w:r w:rsidRPr="001B7760">
        <w:rPr>
          <w:rFonts w:cs="Arial"/>
        </w:rPr>
        <w:t xml:space="preserve"> JL, </w:t>
      </w:r>
      <w:proofErr w:type="spellStart"/>
      <w:r w:rsidRPr="001B7760">
        <w:rPr>
          <w:rFonts w:cs="Arial"/>
        </w:rPr>
        <w:t>Nicolau</w:t>
      </w:r>
      <w:proofErr w:type="spellEnd"/>
      <w:r w:rsidRPr="001B7760">
        <w:rPr>
          <w:rFonts w:cs="Arial"/>
        </w:rPr>
        <w:t xml:space="preserve"> DP, Van Wart S, </w:t>
      </w:r>
      <w:proofErr w:type="spellStart"/>
      <w:r w:rsidRPr="001B7760">
        <w:rPr>
          <w:rFonts w:cs="Arial"/>
        </w:rPr>
        <w:t>Nicasio</w:t>
      </w:r>
      <w:proofErr w:type="spellEnd"/>
      <w:r w:rsidRPr="001B7760">
        <w:rPr>
          <w:rFonts w:cs="Arial"/>
        </w:rPr>
        <w:t xml:space="preserve"> AM, Liu J, Lee BJ, Neely MN, Scheetz MH. 2016. Defining Clinical Exposures of Cefepime for Gram-Negative Bloodstream Infections That Are Associated with Improved Survival.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60:1401–1410.</w:t>
      </w:r>
    </w:p>
    <w:p w14:paraId="121F90CD" w14:textId="77777777" w:rsidR="00DC12EC" w:rsidRPr="001B7760" w:rsidRDefault="00DC12EC" w:rsidP="00DC12EC">
      <w:pPr>
        <w:pStyle w:val="Bibliography"/>
        <w:rPr>
          <w:rFonts w:cs="Arial"/>
        </w:rPr>
      </w:pPr>
      <w:r w:rsidRPr="001B7760">
        <w:rPr>
          <w:rFonts w:cs="Arial"/>
        </w:rPr>
        <w:t xml:space="preserve">111. </w:t>
      </w:r>
      <w:r w:rsidRPr="001B7760">
        <w:rPr>
          <w:rFonts w:cs="Arial"/>
        </w:rPr>
        <w:tab/>
        <w:t xml:space="preserve">Roberts JA, De </w:t>
      </w:r>
      <w:proofErr w:type="spellStart"/>
      <w:r w:rsidRPr="001B7760">
        <w:rPr>
          <w:rFonts w:cs="Arial"/>
        </w:rPr>
        <w:t>Waele</w:t>
      </w:r>
      <w:proofErr w:type="spellEnd"/>
      <w:r w:rsidRPr="001B7760">
        <w:rPr>
          <w:rFonts w:cs="Arial"/>
        </w:rPr>
        <w:t xml:space="preserve"> JJ, </w:t>
      </w:r>
      <w:proofErr w:type="spellStart"/>
      <w:r w:rsidRPr="001B7760">
        <w:rPr>
          <w:rFonts w:cs="Arial"/>
        </w:rPr>
        <w:t>Dimopoulos</w:t>
      </w:r>
      <w:proofErr w:type="spellEnd"/>
      <w:r w:rsidRPr="001B7760">
        <w:rPr>
          <w:rFonts w:cs="Arial"/>
        </w:rPr>
        <w:t xml:space="preserve"> G, </w:t>
      </w:r>
      <w:proofErr w:type="spellStart"/>
      <w:r w:rsidRPr="001B7760">
        <w:rPr>
          <w:rFonts w:cs="Arial"/>
        </w:rPr>
        <w:t>Koulenti</w:t>
      </w:r>
      <w:proofErr w:type="spellEnd"/>
      <w:r w:rsidRPr="001B7760">
        <w:rPr>
          <w:rFonts w:cs="Arial"/>
        </w:rPr>
        <w:t xml:space="preserve"> D, Martin C, </w:t>
      </w:r>
      <w:proofErr w:type="spellStart"/>
      <w:r w:rsidRPr="001B7760">
        <w:rPr>
          <w:rFonts w:cs="Arial"/>
        </w:rPr>
        <w:t>Montravers</w:t>
      </w:r>
      <w:proofErr w:type="spellEnd"/>
      <w:r w:rsidRPr="001B7760">
        <w:rPr>
          <w:rFonts w:cs="Arial"/>
        </w:rPr>
        <w:t xml:space="preserve"> P, </w:t>
      </w:r>
      <w:proofErr w:type="spellStart"/>
      <w:r w:rsidRPr="001B7760">
        <w:rPr>
          <w:rFonts w:cs="Arial"/>
        </w:rPr>
        <w:t>Rello</w:t>
      </w:r>
      <w:proofErr w:type="spellEnd"/>
      <w:r w:rsidRPr="001B7760">
        <w:rPr>
          <w:rFonts w:cs="Arial"/>
        </w:rPr>
        <w:t xml:space="preserve"> J, Rhodes A, Starr T, Wallis SC, Wallis SC, Lipman J. 2012. DALI: Defining Antibiotic Levels in Intensive care unit patients: a multi-centre point of prevalence study to determine whether contemporary antibiotic dosing for critically ill patients is therapeutic. BMC Infectious Diseases 12.</w:t>
      </w:r>
    </w:p>
    <w:p w14:paraId="6002B85A" w14:textId="77777777" w:rsidR="00DC12EC" w:rsidRPr="001B7760" w:rsidRDefault="00DC12EC" w:rsidP="00DC12EC">
      <w:pPr>
        <w:pStyle w:val="Bibliography"/>
        <w:rPr>
          <w:rFonts w:cs="Arial"/>
        </w:rPr>
      </w:pPr>
      <w:r w:rsidRPr="001B7760">
        <w:rPr>
          <w:rFonts w:cs="Arial"/>
        </w:rPr>
        <w:t xml:space="preserve">112. </w:t>
      </w:r>
      <w:r w:rsidRPr="001B7760">
        <w:rPr>
          <w:rFonts w:cs="Arial"/>
        </w:rPr>
        <w:tab/>
        <w:t>Roosendaal R, Bakker-</w:t>
      </w:r>
      <w:proofErr w:type="spellStart"/>
      <w:r w:rsidRPr="001B7760">
        <w:rPr>
          <w:rFonts w:cs="Arial"/>
        </w:rPr>
        <w:t>Woudenberg</w:t>
      </w:r>
      <w:proofErr w:type="spellEnd"/>
      <w:r w:rsidRPr="001B7760">
        <w:rPr>
          <w:rFonts w:cs="Arial"/>
        </w:rPr>
        <w:t xml:space="preserve"> IAJ, </w:t>
      </w:r>
      <w:proofErr w:type="spellStart"/>
      <w:r w:rsidRPr="001B7760">
        <w:rPr>
          <w:rFonts w:cs="Arial"/>
        </w:rPr>
        <w:t>Berghe</w:t>
      </w:r>
      <w:proofErr w:type="spellEnd"/>
      <w:r w:rsidRPr="001B7760">
        <w:rPr>
          <w:rFonts w:cs="Arial"/>
        </w:rPr>
        <w:t xml:space="preserve">-van </w:t>
      </w:r>
      <w:proofErr w:type="spellStart"/>
      <w:r w:rsidRPr="001B7760">
        <w:rPr>
          <w:rFonts w:cs="Arial"/>
        </w:rPr>
        <w:t>Raffe</w:t>
      </w:r>
      <w:proofErr w:type="spellEnd"/>
      <w:r w:rsidRPr="001B7760">
        <w:rPr>
          <w:rFonts w:cs="Arial"/>
        </w:rPr>
        <w:t xml:space="preserve"> M, </w:t>
      </w:r>
      <w:proofErr w:type="spellStart"/>
      <w:r w:rsidRPr="001B7760">
        <w:rPr>
          <w:rFonts w:cs="Arial"/>
        </w:rPr>
        <w:t>Vink</w:t>
      </w:r>
      <w:proofErr w:type="spellEnd"/>
      <w:r w:rsidRPr="001B7760">
        <w:rPr>
          <w:rFonts w:cs="Arial"/>
        </w:rPr>
        <w:t xml:space="preserve">-van Den Berg JC, Michel MF. 1989. Impact of the dosage schedule on the efficacy of ceftazidime, </w:t>
      </w:r>
      <w:proofErr w:type="gramStart"/>
      <w:r w:rsidRPr="001B7760">
        <w:rPr>
          <w:rFonts w:cs="Arial"/>
        </w:rPr>
        <w:lastRenderedPageBreak/>
        <w:t>gentamicin</w:t>
      </w:r>
      <w:proofErr w:type="gramEnd"/>
      <w:r w:rsidRPr="001B7760">
        <w:rPr>
          <w:rFonts w:cs="Arial"/>
        </w:rPr>
        <w:t xml:space="preserve"> and ciprofloxacin </w:t>
      </w:r>
      <w:proofErr w:type="spellStart"/>
      <w:r w:rsidRPr="001B7760">
        <w:rPr>
          <w:rFonts w:cs="Arial"/>
        </w:rPr>
        <w:t>inKlebsiella</w:t>
      </w:r>
      <w:proofErr w:type="spellEnd"/>
      <w:r w:rsidRPr="001B7760">
        <w:rPr>
          <w:rFonts w:cs="Arial"/>
        </w:rPr>
        <w:t xml:space="preserve"> pneumoniae pneumonia and </w:t>
      </w:r>
      <w:proofErr w:type="spellStart"/>
      <w:r w:rsidRPr="001B7760">
        <w:rPr>
          <w:rFonts w:cs="Arial"/>
        </w:rPr>
        <w:t>septicemia</w:t>
      </w:r>
      <w:proofErr w:type="spellEnd"/>
      <w:r w:rsidRPr="001B7760">
        <w:rPr>
          <w:rFonts w:cs="Arial"/>
        </w:rPr>
        <w:t xml:space="preserve"> in </w:t>
      </w:r>
      <w:proofErr w:type="spellStart"/>
      <w:r w:rsidRPr="001B7760">
        <w:rPr>
          <w:rFonts w:cs="Arial"/>
        </w:rPr>
        <w:t>leukopenic</w:t>
      </w:r>
      <w:proofErr w:type="spellEnd"/>
      <w:r w:rsidRPr="001B7760">
        <w:rPr>
          <w:rFonts w:cs="Arial"/>
        </w:rPr>
        <w:t xml:space="preserve"> rats. </w:t>
      </w:r>
      <w:proofErr w:type="spellStart"/>
      <w:r w:rsidRPr="001B7760">
        <w:rPr>
          <w:rFonts w:cs="Arial"/>
        </w:rPr>
        <w:t>Eur</w:t>
      </w:r>
      <w:proofErr w:type="spellEnd"/>
      <w:r w:rsidRPr="001B7760">
        <w:rPr>
          <w:rFonts w:cs="Arial"/>
        </w:rPr>
        <w:t xml:space="preserve"> J Clin </w:t>
      </w:r>
      <w:proofErr w:type="spellStart"/>
      <w:r w:rsidRPr="001B7760">
        <w:rPr>
          <w:rFonts w:cs="Arial"/>
        </w:rPr>
        <w:t>Microbiol</w:t>
      </w:r>
      <w:proofErr w:type="spellEnd"/>
      <w:r w:rsidRPr="001B7760">
        <w:rPr>
          <w:rFonts w:cs="Arial"/>
        </w:rPr>
        <w:t xml:space="preserve"> Infect Dis 8:878–887.</w:t>
      </w:r>
    </w:p>
    <w:p w14:paraId="63673128" w14:textId="77777777" w:rsidR="00DC12EC" w:rsidRPr="001B7760" w:rsidRDefault="00DC12EC" w:rsidP="00DC12EC">
      <w:pPr>
        <w:pStyle w:val="Bibliography"/>
        <w:rPr>
          <w:rFonts w:cs="Arial"/>
        </w:rPr>
      </w:pPr>
      <w:r w:rsidRPr="001B7760">
        <w:rPr>
          <w:rFonts w:cs="Arial"/>
        </w:rPr>
        <w:t xml:space="preserve">113. </w:t>
      </w:r>
      <w:r w:rsidRPr="001B7760">
        <w:rPr>
          <w:rFonts w:cs="Arial"/>
        </w:rPr>
        <w:tab/>
      </w:r>
      <w:proofErr w:type="spellStart"/>
      <w:r w:rsidRPr="001B7760">
        <w:rPr>
          <w:rFonts w:cs="Arial"/>
        </w:rPr>
        <w:t>Schentag</w:t>
      </w:r>
      <w:proofErr w:type="spellEnd"/>
      <w:r w:rsidRPr="001B7760">
        <w:rPr>
          <w:rFonts w:cs="Arial"/>
        </w:rPr>
        <w:t xml:space="preserve"> JJ, Nix DE, Adelman MH. 1991. Mathematical examination of dual individualization principles (I): Relationships between AUC above MIC and area under the inhibitory curve for cefmenoxime, ciprofloxacin, and tobramycin. DICP 25:1050–1057.</w:t>
      </w:r>
    </w:p>
    <w:p w14:paraId="08D5AAEB" w14:textId="77777777" w:rsidR="00DC12EC" w:rsidRPr="001B7760" w:rsidRDefault="00DC12EC" w:rsidP="00DC12EC">
      <w:pPr>
        <w:pStyle w:val="Bibliography"/>
        <w:rPr>
          <w:rFonts w:cs="Arial"/>
        </w:rPr>
      </w:pPr>
      <w:r w:rsidRPr="001B7760">
        <w:rPr>
          <w:rFonts w:cs="Arial"/>
        </w:rPr>
        <w:t xml:space="preserve">114. </w:t>
      </w:r>
      <w:r w:rsidRPr="001B7760">
        <w:rPr>
          <w:rFonts w:cs="Arial"/>
        </w:rPr>
        <w:tab/>
      </w:r>
      <w:proofErr w:type="spellStart"/>
      <w:r w:rsidRPr="001B7760">
        <w:rPr>
          <w:rFonts w:cs="Arial"/>
        </w:rPr>
        <w:t>Soubirou</w:t>
      </w:r>
      <w:proofErr w:type="spellEnd"/>
      <w:r w:rsidRPr="001B7760">
        <w:rPr>
          <w:rFonts w:cs="Arial"/>
        </w:rPr>
        <w:t xml:space="preserve"> JF, Rossi B, </w:t>
      </w:r>
      <w:proofErr w:type="spellStart"/>
      <w:r w:rsidRPr="001B7760">
        <w:rPr>
          <w:rFonts w:cs="Arial"/>
        </w:rPr>
        <w:t>Couffignal</w:t>
      </w:r>
      <w:proofErr w:type="spellEnd"/>
      <w:r w:rsidRPr="001B7760">
        <w:rPr>
          <w:rFonts w:cs="Arial"/>
        </w:rPr>
        <w:t xml:space="preserve"> C, </w:t>
      </w:r>
      <w:proofErr w:type="spellStart"/>
      <w:r w:rsidRPr="001B7760">
        <w:rPr>
          <w:rFonts w:cs="Arial"/>
        </w:rPr>
        <w:t>Ruppé</w:t>
      </w:r>
      <w:proofErr w:type="spellEnd"/>
      <w:r w:rsidRPr="001B7760">
        <w:rPr>
          <w:rFonts w:cs="Arial"/>
        </w:rPr>
        <w:t xml:space="preserve"> E, Chau F, </w:t>
      </w:r>
      <w:proofErr w:type="spellStart"/>
      <w:r w:rsidRPr="001B7760">
        <w:rPr>
          <w:rFonts w:cs="Arial"/>
        </w:rPr>
        <w:t>Massias</w:t>
      </w:r>
      <w:proofErr w:type="spellEnd"/>
      <w:r w:rsidRPr="001B7760">
        <w:rPr>
          <w:rFonts w:cs="Arial"/>
        </w:rPr>
        <w:t xml:space="preserve"> L, </w:t>
      </w:r>
      <w:proofErr w:type="spellStart"/>
      <w:r w:rsidRPr="001B7760">
        <w:rPr>
          <w:rFonts w:cs="Arial"/>
        </w:rPr>
        <w:t>Lepeule</w:t>
      </w:r>
      <w:proofErr w:type="spellEnd"/>
      <w:r w:rsidRPr="001B7760">
        <w:rPr>
          <w:rFonts w:cs="Arial"/>
        </w:rPr>
        <w:t xml:space="preserve"> R, </w:t>
      </w:r>
      <w:proofErr w:type="spellStart"/>
      <w:r w:rsidRPr="001B7760">
        <w:rPr>
          <w:rFonts w:cs="Arial"/>
        </w:rPr>
        <w:t>Mentre</w:t>
      </w:r>
      <w:proofErr w:type="spellEnd"/>
      <w:r w:rsidRPr="001B7760">
        <w:rPr>
          <w:rFonts w:cs="Arial"/>
        </w:rPr>
        <w:t xml:space="preserve"> F, </w:t>
      </w:r>
      <w:proofErr w:type="spellStart"/>
      <w:r w:rsidRPr="001B7760">
        <w:rPr>
          <w:rFonts w:cs="Arial"/>
        </w:rPr>
        <w:t>Fantin</w:t>
      </w:r>
      <w:proofErr w:type="spellEnd"/>
      <w:r w:rsidRPr="001B7760">
        <w:rPr>
          <w:rFonts w:cs="Arial"/>
        </w:rPr>
        <w:t xml:space="preserve"> B. 2015. Activity of temocillin in a murine model of urinary tract infection due to </w:t>
      </w:r>
      <w:r w:rsidRPr="001B7760">
        <w:rPr>
          <w:rFonts w:cs="Arial"/>
          <w:i/>
          <w:iCs/>
        </w:rPr>
        <w:t>Escherichia coli</w:t>
      </w:r>
      <w:r w:rsidRPr="001B7760">
        <w:rPr>
          <w:rFonts w:cs="Arial"/>
        </w:rPr>
        <w:t xml:space="preserve"> producing or not producing the ESBL CTX-M-15. Journal of Antimicrobial Chemotherapy 70:1466–1472.</w:t>
      </w:r>
    </w:p>
    <w:p w14:paraId="080AB59E" w14:textId="77777777" w:rsidR="00DC12EC" w:rsidRPr="001B7760" w:rsidRDefault="00DC12EC" w:rsidP="00DC12EC">
      <w:pPr>
        <w:pStyle w:val="Bibliography"/>
        <w:rPr>
          <w:rFonts w:cs="Arial"/>
        </w:rPr>
      </w:pPr>
      <w:r w:rsidRPr="001B7760">
        <w:rPr>
          <w:rFonts w:cs="Arial"/>
        </w:rPr>
        <w:t xml:space="preserve">115. </w:t>
      </w:r>
      <w:r w:rsidRPr="001B7760">
        <w:rPr>
          <w:rFonts w:cs="Arial"/>
        </w:rPr>
        <w:tab/>
      </w:r>
      <w:proofErr w:type="spellStart"/>
      <w:r w:rsidRPr="001B7760">
        <w:rPr>
          <w:rFonts w:cs="Arial"/>
        </w:rPr>
        <w:t>Stearne</w:t>
      </w:r>
      <w:proofErr w:type="spellEnd"/>
      <w:r w:rsidRPr="001B7760">
        <w:rPr>
          <w:rFonts w:cs="Arial"/>
        </w:rPr>
        <w:t xml:space="preserve"> LET, </w:t>
      </w:r>
      <w:proofErr w:type="spellStart"/>
      <w:r w:rsidRPr="001B7760">
        <w:rPr>
          <w:rFonts w:cs="Arial"/>
        </w:rPr>
        <w:t>Goessens</w:t>
      </w:r>
      <w:proofErr w:type="spellEnd"/>
      <w:r w:rsidRPr="001B7760">
        <w:rPr>
          <w:rFonts w:cs="Arial"/>
        </w:rPr>
        <w:t xml:space="preserve"> WHF, Mouton JW, </w:t>
      </w:r>
      <w:proofErr w:type="spellStart"/>
      <w:r w:rsidRPr="001B7760">
        <w:rPr>
          <w:rFonts w:cs="Arial"/>
        </w:rPr>
        <w:t>Gyssens</w:t>
      </w:r>
      <w:proofErr w:type="spellEnd"/>
      <w:r w:rsidRPr="001B7760">
        <w:rPr>
          <w:rFonts w:cs="Arial"/>
        </w:rPr>
        <w:t xml:space="preserve"> IC. 2007. Effect of Dosing and Dosing Frequency on the Efficacy of Ceftizoxime and the Emergence of Ceftizoxime Resistance during the Early Development of Murine Abscesses Caused by </w:t>
      </w:r>
      <w:r w:rsidRPr="001B7760">
        <w:rPr>
          <w:rFonts w:cs="Arial"/>
          <w:i/>
          <w:iCs/>
        </w:rPr>
        <w:t>Bacteroides fragilis</w:t>
      </w:r>
      <w:r w:rsidRPr="001B7760">
        <w:rPr>
          <w:rFonts w:cs="Arial"/>
        </w:rPr>
        <w:t xml:space="preserve"> and </w:t>
      </w:r>
      <w:r w:rsidRPr="001B7760">
        <w:rPr>
          <w:rFonts w:cs="Arial"/>
          <w:i/>
          <w:iCs/>
        </w:rPr>
        <w:t>Enterobacter cloacae</w:t>
      </w:r>
      <w:r w:rsidRPr="001B7760">
        <w:rPr>
          <w:rFonts w:cs="Arial"/>
        </w:rPr>
        <w:t xml:space="preserve"> Mixed Infection.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51:3605–3611.</w:t>
      </w:r>
    </w:p>
    <w:p w14:paraId="1DE62360" w14:textId="77777777" w:rsidR="00DC12EC" w:rsidRPr="001B7760" w:rsidRDefault="00DC12EC" w:rsidP="00DC12EC">
      <w:pPr>
        <w:pStyle w:val="Bibliography"/>
        <w:rPr>
          <w:rFonts w:cs="Arial"/>
        </w:rPr>
      </w:pPr>
      <w:r w:rsidRPr="001B7760">
        <w:rPr>
          <w:rFonts w:cs="Arial"/>
        </w:rPr>
        <w:t xml:space="preserve">116. </w:t>
      </w:r>
      <w:r w:rsidRPr="001B7760">
        <w:rPr>
          <w:rFonts w:cs="Arial"/>
        </w:rPr>
        <w:tab/>
        <w:t xml:space="preserve">Takata T, Shimizu A, </w:t>
      </w:r>
      <w:proofErr w:type="spellStart"/>
      <w:r w:rsidRPr="001B7760">
        <w:rPr>
          <w:rFonts w:cs="Arial"/>
        </w:rPr>
        <w:t>Sakakibara</w:t>
      </w:r>
      <w:proofErr w:type="spellEnd"/>
      <w:r w:rsidRPr="001B7760">
        <w:rPr>
          <w:rFonts w:cs="Arial"/>
        </w:rPr>
        <w:t xml:space="preserve"> S, </w:t>
      </w:r>
      <w:proofErr w:type="spellStart"/>
      <w:r w:rsidRPr="001B7760">
        <w:rPr>
          <w:rFonts w:cs="Arial"/>
        </w:rPr>
        <w:t>Watabe</w:t>
      </w:r>
      <w:proofErr w:type="spellEnd"/>
      <w:r w:rsidRPr="001B7760">
        <w:rPr>
          <w:rFonts w:cs="Arial"/>
        </w:rPr>
        <w:t xml:space="preserve"> H, Aizawa K, Totsuka K. 2004. Optimization of dose and dose regimen of biapenem based on pharmacokinetic and pharmacodynamic analysis. Journal of Infection and Chemotherapy 10:76–85.</w:t>
      </w:r>
    </w:p>
    <w:p w14:paraId="20E7DD76" w14:textId="77777777" w:rsidR="00DC12EC" w:rsidRPr="001B7760" w:rsidRDefault="00DC12EC" w:rsidP="00DC12EC">
      <w:pPr>
        <w:pStyle w:val="Bibliography"/>
        <w:rPr>
          <w:rFonts w:cs="Arial"/>
        </w:rPr>
      </w:pPr>
      <w:r w:rsidRPr="001B7760">
        <w:rPr>
          <w:rFonts w:cs="Arial"/>
        </w:rPr>
        <w:t xml:space="preserve">117. </w:t>
      </w:r>
      <w:r w:rsidRPr="001B7760">
        <w:rPr>
          <w:rFonts w:cs="Arial"/>
        </w:rPr>
        <w:tab/>
        <w:t>Tam VH. 2002. Pharmacodynamics of cefepime in patients with Gram-negative infections. Journal of Antimicrobial Chemotherapy 50:425–428.</w:t>
      </w:r>
    </w:p>
    <w:p w14:paraId="7A27CB8F" w14:textId="77777777" w:rsidR="00DC12EC" w:rsidRPr="001B7760" w:rsidRDefault="00DC12EC" w:rsidP="00DC12EC">
      <w:pPr>
        <w:pStyle w:val="Bibliography"/>
        <w:rPr>
          <w:rFonts w:cs="Arial"/>
        </w:rPr>
      </w:pPr>
      <w:r w:rsidRPr="001B7760">
        <w:rPr>
          <w:rFonts w:cs="Arial"/>
        </w:rPr>
        <w:t xml:space="preserve">118. </w:t>
      </w:r>
      <w:r w:rsidRPr="001B7760">
        <w:rPr>
          <w:rFonts w:cs="Arial"/>
        </w:rPr>
        <w:tab/>
        <w:t xml:space="preserve">Tam VH, Schilling AN, Neshat S, Poole K, Melnick DA, Coyle EA. 2005. Optimization of Meropenem Minimum Concentration/MIC Ratio </w:t>
      </w:r>
      <w:proofErr w:type="gramStart"/>
      <w:r w:rsidRPr="001B7760">
        <w:rPr>
          <w:rFonts w:cs="Arial"/>
        </w:rPr>
        <w:t>To</w:t>
      </w:r>
      <w:proofErr w:type="gramEnd"/>
      <w:r w:rsidRPr="001B7760">
        <w:rPr>
          <w:rFonts w:cs="Arial"/>
        </w:rPr>
        <w:t xml:space="preserve"> Suppress In Vitro Resistance of </w:t>
      </w:r>
      <w:r w:rsidRPr="001B7760">
        <w:rPr>
          <w:rFonts w:cs="Arial"/>
          <w:i/>
          <w:iCs/>
        </w:rPr>
        <w:t>Pseudomonas aeruginosa</w:t>
      </w:r>
      <w:r w:rsidRPr="001B7760">
        <w:rPr>
          <w:rFonts w:cs="Arial"/>
        </w:rPr>
        <w:t xml:space="preserve">.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49:4920–4927.</w:t>
      </w:r>
    </w:p>
    <w:p w14:paraId="63B92907" w14:textId="77777777" w:rsidR="00DC12EC" w:rsidRPr="001B7760" w:rsidRDefault="00DC12EC" w:rsidP="00DC12EC">
      <w:pPr>
        <w:pStyle w:val="Bibliography"/>
        <w:rPr>
          <w:rFonts w:cs="Arial"/>
        </w:rPr>
      </w:pPr>
      <w:r w:rsidRPr="001B7760">
        <w:rPr>
          <w:rFonts w:cs="Arial"/>
        </w:rPr>
        <w:lastRenderedPageBreak/>
        <w:t xml:space="preserve">119. </w:t>
      </w:r>
      <w:r w:rsidRPr="001B7760">
        <w:rPr>
          <w:rFonts w:cs="Arial"/>
        </w:rPr>
        <w:tab/>
        <w:t>Tam VH, Schilling AN, Poole K, Nikolaou M. 2007. Mathematical modelling response of Pseudomonas aeruginosa to meropenem. Journal of Antimicrobial Chemotherapy 60:1302–1309.</w:t>
      </w:r>
    </w:p>
    <w:p w14:paraId="5167E9F4" w14:textId="77777777" w:rsidR="00DC12EC" w:rsidRPr="001B7760" w:rsidRDefault="00DC12EC" w:rsidP="00DC12EC">
      <w:pPr>
        <w:pStyle w:val="Bibliography"/>
        <w:rPr>
          <w:rFonts w:cs="Arial"/>
        </w:rPr>
      </w:pPr>
      <w:r w:rsidRPr="001B7760">
        <w:rPr>
          <w:rFonts w:cs="Arial"/>
        </w:rPr>
        <w:t xml:space="preserve">120. </w:t>
      </w:r>
      <w:r w:rsidRPr="001B7760">
        <w:rPr>
          <w:rFonts w:cs="Arial"/>
        </w:rPr>
        <w:tab/>
      </w:r>
      <w:proofErr w:type="spellStart"/>
      <w:r w:rsidRPr="001B7760">
        <w:rPr>
          <w:rFonts w:cs="Arial"/>
        </w:rPr>
        <w:t>Tannous</w:t>
      </w:r>
      <w:proofErr w:type="spellEnd"/>
      <w:r w:rsidRPr="001B7760">
        <w:rPr>
          <w:rFonts w:cs="Arial"/>
        </w:rPr>
        <w:t xml:space="preserve"> E, Lipman S, Tonna A, Hector E, Hussein Z, Stein M, </w:t>
      </w:r>
      <w:proofErr w:type="spellStart"/>
      <w:r w:rsidRPr="001B7760">
        <w:rPr>
          <w:rFonts w:cs="Arial"/>
        </w:rPr>
        <w:t>Reisfeld</w:t>
      </w:r>
      <w:proofErr w:type="spellEnd"/>
      <w:r w:rsidRPr="001B7760">
        <w:rPr>
          <w:rFonts w:cs="Arial"/>
        </w:rPr>
        <w:t xml:space="preserve"> S. 2020. Time above the MIC of Piperacillin-Tazobactam as a Predictor of Outcome in Pseudomonas aeruginosa </w:t>
      </w:r>
      <w:proofErr w:type="spellStart"/>
      <w:r w:rsidRPr="001B7760">
        <w:rPr>
          <w:rFonts w:cs="Arial"/>
        </w:rPr>
        <w:t>Bacteremia</w:t>
      </w:r>
      <w:proofErr w:type="spellEnd"/>
      <w:r w:rsidRPr="001B7760">
        <w:rPr>
          <w:rFonts w:cs="Arial"/>
        </w:rPr>
        <w:t xml:space="preserve">.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w:t>
      </w:r>
      <w:proofErr w:type="gramStart"/>
      <w:r w:rsidRPr="001B7760">
        <w:rPr>
          <w:rFonts w:cs="Arial"/>
        </w:rPr>
        <w:t>64:e</w:t>
      </w:r>
      <w:proofErr w:type="gramEnd"/>
      <w:r w:rsidRPr="001B7760">
        <w:rPr>
          <w:rFonts w:cs="Arial"/>
        </w:rPr>
        <w:t>02571-19.</w:t>
      </w:r>
    </w:p>
    <w:p w14:paraId="1A870B83" w14:textId="77777777" w:rsidR="00DC12EC" w:rsidRPr="001B7760" w:rsidRDefault="00DC12EC" w:rsidP="00DC12EC">
      <w:pPr>
        <w:pStyle w:val="Bibliography"/>
        <w:rPr>
          <w:rFonts w:cs="Arial"/>
        </w:rPr>
      </w:pPr>
      <w:r w:rsidRPr="001B7760">
        <w:rPr>
          <w:rFonts w:cs="Arial"/>
        </w:rPr>
        <w:t xml:space="preserve">121. </w:t>
      </w:r>
      <w:r w:rsidRPr="001B7760">
        <w:rPr>
          <w:rFonts w:cs="Arial"/>
        </w:rPr>
        <w:tab/>
        <w:t xml:space="preserve">Thomas JK, Forrest A, </w:t>
      </w:r>
      <w:proofErr w:type="spellStart"/>
      <w:r w:rsidRPr="001B7760">
        <w:rPr>
          <w:rFonts w:cs="Arial"/>
        </w:rPr>
        <w:t>Bhavnani</w:t>
      </w:r>
      <w:proofErr w:type="spellEnd"/>
      <w:r w:rsidRPr="001B7760">
        <w:rPr>
          <w:rFonts w:cs="Arial"/>
        </w:rPr>
        <w:t xml:space="preserve"> SM, Hyatt JM, Cheng A, </w:t>
      </w:r>
      <w:proofErr w:type="spellStart"/>
      <w:r w:rsidRPr="001B7760">
        <w:rPr>
          <w:rFonts w:cs="Arial"/>
        </w:rPr>
        <w:t>Ballow</w:t>
      </w:r>
      <w:proofErr w:type="spellEnd"/>
      <w:r w:rsidRPr="001B7760">
        <w:rPr>
          <w:rFonts w:cs="Arial"/>
        </w:rPr>
        <w:t xml:space="preserve"> CH, </w:t>
      </w:r>
      <w:proofErr w:type="spellStart"/>
      <w:r w:rsidRPr="001B7760">
        <w:rPr>
          <w:rFonts w:cs="Arial"/>
        </w:rPr>
        <w:t>Schentag</w:t>
      </w:r>
      <w:proofErr w:type="spellEnd"/>
      <w:r w:rsidRPr="001B7760">
        <w:rPr>
          <w:rFonts w:cs="Arial"/>
        </w:rPr>
        <w:t xml:space="preserve"> JJ. 1998. Pharmacodynamic Evaluation of Factors Associated with the Development of Bacterial Resistance in </w:t>
      </w:r>
      <w:proofErr w:type="gramStart"/>
      <w:r w:rsidRPr="001B7760">
        <w:rPr>
          <w:rFonts w:cs="Arial"/>
        </w:rPr>
        <w:t>Acutely  Ill</w:t>
      </w:r>
      <w:proofErr w:type="gramEnd"/>
      <w:r w:rsidRPr="001B7760">
        <w:rPr>
          <w:rFonts w:cs="Arial"/>
        </w:rPr>
        <w:t xml:space="preserve"> Patients during Therapy. Antimicrobial Agents and Chemotherapy 42:521.</w:t>
      </w:r>
    </w:p>
    <w:p w14:paraId="49D15A36" w14:textId="77777777" w:rsidR="00DC12EC" w:rsidRPr="001B7760" w:rsidRDefault="00DC12EC" w:rsidP="00DC12EC">
      <w:pPr>
        <w:pStyle w:val="Bibliography"/>
        <w:rPr>
          <w:rFonts w:cs="Arial"/>
        </w:rPr>
      </w:pPr>
      <w:r w:rsidRPr="001B7760">
        <w:rPr>
          <w:rFonts w:cs="Arial"/>
        </w:rPr>
        <w:t xml:space="preserve">122. </w:t>
      </w:r>
      <w:r w:rsidRPr="001B7760">
        <w:rPr>
          <w:rFonts w:cs="Arial"/>
        </w:rPr>
        <w:tab/>
      </w:r>
      <w:proofErr w:type="spellStart"/>
      <w:r w:rsidRPr="001B7760">
        <w:rPr>
          <w:rFonts w:cs="Arial"/>
        </w:rPr>
        <w:t>VanScoy</w:t>
      </w:r>
      <w:proofErr w:type="spellEnd"/>
      <w:r w:rsidRPr="001B7760">
        <w:rPr>
          <w:rFonts w:cs="Arial"/>
        </w:rPr>
        <w:t xml:space="preserve"> B, Mendes RE, </w:t>
      </w:r>
      <w:proofErr w:type="spellStart"/>
      <w:r w:rsidRPr="001B7760">
        <w:rPr>
          <w:rFonts w:cs="Arial"/>
        </w:rPr>
        <w:t>Nicasio</w:t>
      </w:r>
      <w:proofErr w:type="spellEnd"/>
      <w:r w:rsidRPr="001B7760">
        <w:rPr>
          <w:rFonts w:cs="Arial"/>
        </w:rPr>
        <w:t xml:space="preserve"> AM, </w:t>
      </w:r>
      <w:proofErr w:type="spellStart"/>
      <w:r w:rsidRPr="001B7760">
        <w:rPr>
          <w:rFonts w:cs="Arial"/>
        </w:rPr>
        <w:t>Castanheira</w:t>
      </w:r>
      <w:proofErr w:type="spellEnd"/>
      <w:r w:rsidRPr="001B7760">
        <w:rPr>
          <w:rFonts w:cs="Arial"/>
        </w:rPr>
        <w:t xml:space="preserve"> M, </w:t>
      </w:r>
      <w:proofErr w:type="spellStart"/>
      <w:r w:rsidRPr="001B7760">
        <w:rPr>
          <w:rFonts w:cs="Arial"/>
        </w:rPr>
        <w:t>Bulik</w:t>
      </w:r>
      <w:proofErr w:type="spellEnd"/>
      <w:r w:rsidRPr="001B7760">
        <w:rPr>
          <w:rFonts w:cs="Arial"/>
        </w:rPr>
        <w:t xml:space="preserve"> CC, </w:t>
      </w:r>
      <w:proofErr w:type="spellStart"/>
      <w:r w:rsidRPr="001B7760">
        <w:rPr>
          <w:rFonts w:cs="Arial"/>
        </w:rPr>
        <w:t>Okusanya</w:t>
      </w:r>
      <w:proofErr w:type="spellEnd"/>
      <w:r w:rsidRPr="001B7760">
        <w:rPr>
          <w:rFonts w:cs="Arial"/>
        </w:rPr>
        <w:t xml:space="preserve"> OO, </w:t>
      </w:r>
      <w:proofErr w:type="spellStart"/>
      <w:r w:rsidRPr="001B7760">
        <w:rPr>
          <w:rFonts w:cs="Arial"/>
        </w:rPr>
        <w:t>Bhavnani</w:t>
      </w:r>
      <w:proofErr w:type="spellEnd"/>
      <w:r w:rsidRPr="001B7760">
        <w:rPr>
          <w:rFonts w:cs="Arial"/>
        </w:rPr>
        <w:t xml:space="preserve"> SM, Forrest A, Jones RN, Friedrich LV, </w:t>
      </w:r>
      <w:proofErr w:type="spellStart"/>
      <w:r w:rsidRPr="001B7760">
        <w:rPr>
          <w:rFonts w:cs="Arial"/>
        </w:rPr>
        <w:t>Steenbergen</w:t>
      </w:r>
      <w:proofErr w:type="spellEnd"/>
      <w:r w:rsidRPr="001B7760">
        <w:rPr>
          <w:rFonts w:cs="Arial"/>
        </w:rPr>
        <w:t xml:space="preserve"> JN, Ambrose PG. 2013. Pharmacokinetics-Pharmacodynamics of Tazobactam in Combination with </w:t>
      </w:r>
      <w:proofErr w:type="spellStart"/>
      <w:r w:rsidRPr="001B7760">
        <w:rPr>
          <w:rFonts w:cs="Arial"/>
        </w:rPr>
        <w:t>Ceftolozane</w:t>
      </w:r>
      <w:proofErr w:type="spellEnd"/>
      <w:r w:rsidRPr="001B7760">
        <w:rPr>
          <w:rFonts w:cs="Arial"/>
        </w:rPr>
        <w:t xml:space="preserve"> in an </w:t>
      </w:r>
      <w:r w:rsidRPr="001B7760">
        <w:rPr>
          <w:rFonts w:cs="Arial"/>
          <w:i/>
          <w:iCs/>
        </w:rPr>
        <w:t>In Vitro</w:t>
      </w:r>
      <w:r w:rsidRPr="001B7760">
        <w:rPr>
          <w:rFonts w:cs="Arial"/>
        </w:rPr>
        <w:t xml:space="preserve"> Infection Model.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57:2809–2814.</w:t>
      </w:r>
    </w:p>
    <w:p w14:paraId="7F7E973D" w14:textId="77777777" w:rsidR="00DC12EC" w:rsidRPr="001B7760" w:rsidRDefault="00DC12EC" w:rsidP="00DC12EC">
      <w:pPr>
        <w:pStyle w:val="Bibliography"/>
        <w:rPr>
          <w:rFonts w:cs="Arial"/>
        </w:rPr>
      </w:pPr>
      <w:r w:rsidRPr="001B7760">
        <w:rPr>
          <w:rFonts w:cs="Arial"/>
        </w:rPr>
        <w:t xml:space="preserve">123. </w:t>
      </w:r>
      <w:r w:rsidRPr="001B7760">
        <w:rPr>
          <w:rFonts w:cs="Arial"/>
        </w:rPr>
        <w:tab/>
      </w:r>
      <w:proofErr w:type="spellStart"/>
      <w:r w:rsidRPr="001B7760">
        <w:rPr>
          <w:rFonts w:cs="Arial"/>
        </w:rPr>
        <w:t>Vogelman</w:t>
      </w:r>
      <w:proofErr w:type="spellEnd"/>
      <w:r w:rsidRPr="001B7760">
        <w:rPr>
          <w:rFonts w:cs="Arial"/>
        </w:rPr>
        <w:t xml:space="preserve"> B, Gudmundsson S, Leggett J, </w:t>
      </w:r>
      <w:proofErr w:type="spellStart"/>
      <w:r w:rsidRPr="001B7760">
        <w:rPr>
          <w:rFonts w:cs="Arial"/>
        </w:rPr>
        <w:t>Turnidge</w:t>
      </w:r>
      <w:proofErr w:type="spellEnd"/>
      <w:r w:rsidRPr="001B7760">
        <w:rPr>
          <w:rFonts w:cs="Arial"/>
        </w:rPr>
        <w:t xml:space="preserve"> J, Ebert S, Craig WA. 1988. Correlation of Antimicrobial Pharmacokinetic Parameters with Therapeutic Efficacy in an Animal Model. The Journal of Infectious Diseases 158:831–847.</w:t>
      </w:r>
    </w:p>
    <w:p w14:paraId="367D0642" w14:textId="77777777" w:rsidR="00DC12EC" w:rsidRPr="001B7760" w:rsidRDefault="00DC12EC" w:rsidP="00DC12EC">
      <w:pPr>
        <w:pStyle w:val="Bibliography"/>
        <w:rPr>
          <w:rFonts w:cs="Arial"/>
        </w:rPr>
      </w:pPr>
      <w:r w:rsidRPr="001B7760">
        <w:rPr>
          <w:rFonts w:cs="Arial"/>
        </w:rPr>
        <w:t xml:space="preserve">124. </w:t>
      </w:r>
      <w:r w:rsidRPr="001B7760">
        <w:rPr>
          <w:rFonts w:cs="Arial"/>
        </w:rPr>
        <w:tab/>
        <w:t xml:space="preserve">White R, Friedrich L, Burgess D, Warkentin D, Bosso J. 1996. Comparative in vitro pharmacodynamics of imipenem and meropenem against Pseudomonas aeruginosa.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40:904–908.</w:t>
      </w:r>
    </w:p>
    <w:p w14:paraId="7565D8A2" w14:textId="77777777" w:rsidR="00DC12EC" w:rsidRPr="001B7760" w:rsidRDefault="00DC12EC" w:rsidP="00DC12EC">
      <w:pPr>
        <w:pStyle w:val="Bibliography"/>
        <w:rPr>
          <w:rFonts w:cs="Arial"/>
        </w:rPr>
      </w:pPr>
      <w:r w:rsidRPr="001B7760">
        <w:rPr>
          <w:rFonts w:cs="Arial"/>
        </w:rPr>
        <w:t xml:space="preserve">125. </w:t>
      </w:r>
      <w:r w:rsidRPr="001B7760">
        <w:rPr>
          <w:rFonts w:cs="Arial"/>
        </w:rPr>
        <w:tab/>
        <w:t xml:space="preserve">Wong G, </w:t>
      </w:r>
      <w:proofErr w:type="spellStart"/>
      <w:r w:rsidRPr="001B7760">
        <w:rPr>
          <w:rFonts w:cs="Arial"/>
        </w:rPr>
        <w:t>Taccone</w:t>
      </w:r>
      <w:proofErr w:type="spellEnd"/>
      <w:r w:rsidRPr="001B7760">
        <w:rPr>
          <w:rFonts w:cs="Arial"/>
        </w:rPr>
        <w:t xml:space="preserve"> F, </w:t>
      </w:r>
      <w:proofErr w:type="spellStart"/>
      <w:r w:rsidRPr="001B7760">
        <w:rPr>
          <w:rFonts w:cs="Arial"/>
        </w:rPr>
        <w:t>Villois</w:t>
      </w:r>
      <w:proofErr w:type="spellEnd"/>
      <w:r w:rsidRPr="001B7760">
        <w:rPr>
          <w:rFonts w:cs="Arial"/>
        </w:rPr>
        <w:t xml:space="preserve"> P, Scheetz MH, Rhodes NJ, Briscoe S, </w:t>
      </w:r>
      <w:proofErr w:type="spellStart"/>
      <w:r w:rsidRPr="001B7760">
        <w:rPr>
          <w:rFonts w:cs="Arial"/>
        </w:rPr>
        <w:t>McWhinney</w:t>
      </w:r>
      <w:proofErr w:type="spellEnd"/>
      <w:r w:rsidRPr="001B7760">
        <w:rPr>
          <w:rFonts w:cs="Arial"/>
        </w:rPr>
        <w:t xml:space="preserve"> B, Nunez-Nunez M, </w:t>
      </w:r>
      <w:proofErr w:type="spellStart"/>
      <w:r w:rsidRPr="001B7760">
        <w:rPr>
          <w:rFonts w:cs="Arial"/>
        </w:rPr>
        <w:t>Ungerer</w:t>
      </w:r>
      <w:proofErr w:type="spellEnd"/>
      <w:r w:rsidRPr="001B7760">
        <w:rPr>
          <w:rFonts w:cs="Arial"/>
        </w:rPr>
        <w:t xml:space="preserve"> J, Lipman J, Roberts JA. 2020. Lactam pharmacodynamics in </w:t>
      </w:r>
      <w:r w:rsidRPr="001B7760">
        <w:rPr>
          <w:rFonts w:cs="Arial"/>
        </w:rPr>
        <w:lastRenderedPageBreak/>
        <w:t>Gram-negative bloodstream infections in the critically ill. Journal of Antimicrobial Chemotherapy 75:429–433.</w:t>
      </w:r>
    </w:p>
    <w:p w14:paraId="5F34A3B4" w14:textId="77777777" w:rsidR="00DC12EC" w:rsidRPr="001B7760" w:rsidRDefault="00DC12EC" w:rsidP="00DC12EC">
      <w:pPr>
        <w:pStyle w:val="Bibliography"/>
        <w:rPr>
          <w:rFonts w:cs="Arial"/>
        </w:rPr>
      </w:pPr>
      <w:r w:rsidRPr="001B7760">
        <w:rPr>
          <w:rFonts w:cs="Arial"/>
        </w:rPr>
        <w:t xml:space="preserve">126. </w:t>
      </w:r>
      <w:r w:rsidRPr="001B7760">
        <w:rPr>
          <w:rFonts w:cs="Arial"/>
        </w:rPr>
        <w:tab/>
      </w:r>
      <w:proofErr w:type="spellStart"/>
      <w:r w:rsidRPr="001B7760">
        <w:rPr>
          <w:rFonts w:cs="Arial"/>
        </w:rPr>
        <w:t>Woodnutt</w:t>
      </w:r>
      <w:proofErr w:type="spellEnd"/>
      <w:r w:rsidRPr="001B7760">
        <w:rPr>
          <w:rFonts w:cs="Arial"/>
        </w:rPr>
        <w:t xml:space="preserve"> G, Berry V. 1999. Efficacy of High-Dose Amoxicillin-Clavulanate against Experimental Respiratory Tract Infections Caused by Strains of </w:t>
      </w:r>
      <w:r w:rsidRPr="001B7760">
        <w:rPr>
          <w:rFonts w:cs="Arial"/>
          <w:i/>
          <w:iCs/>
        </w:rPr>
        <w:t>Streptococcus pneumoniae</w:t>
      </w:r>
      <w:r w:rsidRPr="001B7760">
        <w:rPr>
          <w:rFonts w:cs="Arial"/>
        </w:rPr>
        <w:t xml:space="preserve">.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43:35–40.</w:t>
      </w:r>
    </w:p>
    <w:p w14:paraId="01791CF7" w14:textId="77777777" w:rsidR="00DC12EC" w:rsidRPr="001B7760" w:rsidRDefault="00DC12EC" w:rsidP="00DC12EC">
      <w:pPr>
        <w:pStyle w:val="Bibliography"/>
        <w:rPr>
          <w:rFonts w:cs="Arial"/>
        </w:rPr>
      </w:pPr>
      <w:r w:rsidRPr="001B7760">
        <w:rPr>
          <w:rFonts w:cs="Arial"/>
        </w:rPr>
        <w:t xml:space="preserve">127. </w:t>
      </w:r>
      <w:r w:rsidRPr="001B7760">
        <w:rPr>
          <w:rFonts w:cs="Arial"/>
        </w:rPr>
        <w:tab/>
      </w:r>
      <w:proofErr w:type="spellStart"/>
      <w:r w:rsidRPr="001B7760">
        <w:rPr>
          <w:rFonts w:cs="Arial"/>
        </w:rPr>
        <w:t>Woodnutt</w:t>
      </w:r>
      <w:proofErr w:type="spellEnd"/>
      <w:r w:rsidRPr="001B7760">
        <w:rPr>
          <w:rFonts w:cs="Arial"/>
        </w:rPr>
        <w:t xml:space="preserve"> G, Berry V. 1999. Two Pharmacodynamic Models for Assessing the Efficacy of Amoxicillin-Clavulanate against Experimental Respiratory Tract Infections Caused by Strains of </w:t>
      </w:r>
      <w:r w:rsidRPr="001B7760">
        <w:rPr>
          <w:rFonts w:cs="Arial"/>
          <w:i/>
          <w:iCs/>
        </w:rPr>
        <w:t>Streptococcus pneumoniae</w:t>
      </w:r>
      <w:r w:rsidRPr="001B7760">
        <w:rPr>
          <w:rFonts w:cs="Arial"/>
        </w:rPr>
        <w:t xml:space="preserve">.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43:29–34.</w:t>
      </w:r>
    </w:p>
    <w:p w14:paraId="1E58EAC7" w14:textId="77777777" w:rsidR="00DC12EC" w:rsidRPr="001B7760" w:rsidRDefault="00DC12EC" w:rsidP="00DC12EC">
      <w:pPr>
        <w:pStyle w:val="Bibliography"/>
        <w:rPr>
          <w:rFonts w:cs="Arial"/>
        </w:rPr>
      </w:pPr>
      <w:r w:rsidRPr="001B7760">
        <w:rPr>
          <w:rFonts w:cs="Arial"/>
        </w:rPr>
        <w:t xml:space="preserve">128. </w:t>
      </w:r>
      <w:r w:rsidRPr="001B7760">
        <w:rPr>
          <w:rFonts w:cs="Arial"/>
        </w:rPr>
        <w:tab/>
        <w:t xml:space="preserve">Xuan D, </w:t>
      </w:r>
      <w:proofErr w:type="spellStart"/>
      <w:r w:rsidRPr="001B7760">
        <w:rPr>
          <w:rFonts w:cs="Arial"/>
        </w:rPr>
        <w:t>Banevicius</w:t>
      </w:r>
      <w:proofErr w:type="spellEnd"/>
      <w:r w:rsidRPr="001B7760">
        <w:rPr>
          <w:rFonts w:cs="Arial"/>
        </w:rPr>
        <w:t xml:space="preserve"> M, Capitano B, Kim M-K, Nightingale C, </w:t>
      </w:r>
      <w:proofErr w:type="spellStart"/>
      <w:r w:rsidRPr="001B7760">
        <w:rPr>
          <w:rFonts w:cs="Arial"/>
        </w:rPr>
        <w:t>Nicolau</w:t>
      </w:r>
      <w:proofErr w:type="spellEnd"/>
      <w:r w:rsidRPr="001B7760">
        <w:rPr>
          <w:rFonts w:cs="Arial"/>
        </w:rPr>
        <w:t xml:space="preserve"> D. 2002. Pharmacodynamic Assessment of Ertapenem (MK-0826) against </w:t>
      </w:r>
      <w:r w:rsidRPr="001B7760">
        <w:rPr>
          <w:rFonts w:cs="Arial"/>
          <w:i/>
          <w:iCs/>
        </w:rPr>
        <w:t>Streptococcus</w:t>
      </w:r>
      <w:r w:rsidRPr="001B7760">
        <w:rPr>
          <w:rFonts w:cs="Arial"/>
        </w:rPr>
        <w:t xml:space="preserve"> </w:t>
      </w:r>
      <w:r w:rsidRPr="001B7760">
        <w:rPr>
          <w:rFonts w:cs="Arial"/>
          <w:i/>
          <w:iCs/>
        </w:rPr>
        <w:t>pneumoniae</w:t>
      </w:r>
      <w:r w:rsidRPr="001B7760">
        <w:rPr>
          <w:rFonts w:cs="Arial"/>
        </w:rPr>
        <w:t xml:space="preserve"> in a Murine Neutropenic Thigh Infection Model. </w:t>
      </w:r>
      <w:proofErr w:type="spellStart"/>
      <w:r w:rsidRPr="001B7760">
        <w:rPr>
          <w:rFonts w:cs="Arial"/>
        </w:rPr>
        <w:t>Antimicrob</w:t>
      </w:r>
      <w:proofErr w:type="spellEnd"/>
      <w:r w:rsidRPr="001B7760">
        <w:rPr>
          <w:rFonts w:cs="Arial"/>
        </w:rPr>
        <w:t xml:space="preserve"> Agents </w:t>
      </w:r>
      <w:proofErr w:type="spellStart"/>
      <w:r w:rsidRPr="001B7760">
        <w:rPr>
          <w:rFonts w:cs="Arial"/>
        </w:rPr>
        <w:t>Chemother</w:t>
      </w:r>
      <w:proofErr w:type="spellEnd"/>
      <w:r w:rsidRPr="001B7760">
        <w:rPr>
          <w:rFonts w:cs="Arial"/>
        </w:rPr>
        <w:t xml:space="preserve"> 46:2990–2995.</w:t>
      </w:r>
    </w:p>
    <w:p w14:paraId="54338CDD" w14:textId="77777777" w:rsidR="00DC12EC" w:rsidRPr="001B7760" w:rsidRDefault="00DC12EC" w:rsidP="00DC12EC">
      <w:pPr>
        <w:pStyle w:val="Bibliography"/>
        <w:rPr>
          <w:rFonts w:cs="Arial"/>
        </w:rPr>
      </w:pPr>
      <w:r w:rsidRPr="001B7760">
        <w:rPr>
          <w:rFonts w:cs="Arial"/>
        </w:rPr>
        <w:t xml:space="preserve">129. </w:t>
      </w:r>
      <w:r w:rsidRPr="001B7760">
        <w:rPr>
          <w:rFonts w:cs="Arial"/>
        </w:rPr>
        <w:tab/>
      </w:r>
      <w:proofErr w:type="spellStart"/>
      <w:r w:rsidRPr="001B7760">
        <w:rPr>
          <w:rFonts w:cs="Arial"/>
        </w:rPr>
        <w:t>Zelenitsky</w:t>
      </w:r>
      <w:proofErr w:type="spellEnd"/>
      <w:r w:rsidRPr="001B7760">
        <w:rPr>
          <w:rFonts w:cs="Arial"/>
        </w:rPr>
        <w:t xml:space="preserve"> S, Nash J, Weber Z, </w:t>
      </w:r>
      <w:proofErr w:type="spellStart"/>
      <w:r w:rsidRPr="001B7760">
        <w:rPr>
          <w:rFonts w:cs="Arial"/>
        </w:rPr>
        <w:t>Iacovides</w:t>
      </w:r>
      <w:proofErr w:type="spellEnd"/>
      <w:r w:rsidRPr="001B7760">
        <w:rPr>
          <w:rFonts w:cs="Arial"/>
        </w:rPr>
        <w:t xml:space="preserve"> H, </w:t>
      </w:r>
      <w:proofErr w:type="spellStart"/>
      <w:r w:rsidRPr="001B7760">
        <w:rPr>
          <w:rFonts w:cs="Arial"/>
        </w:rPr>
        <w:t>Ariano</w:t>
      </w:r>
      <w:proofErr w:type="spellEnd"/>
      <w:r w:rsidRPr="001B7760">
        <w:rPr>
          <w:rFonts w:cs="Arial"/>
        </w:rPr>
        <w:t xml:space="preserve"> R. 2016. Targeted benefits of prolonged-infusion piperacillin-tazobactam in an in vitro infection model of Pseudomonas aeruginosa. Journal of chemotherapy (Florence, Italy) 28:390–394.</w:t>
      </w:r>
    </w:p>
    <w:p w14:paraId="58AFE4F2" w14:textId="77777777" w:rsidR="00DC12EC" w:rsidRPr="001B7760" w:rsidRDefault="00DC12EC" w:rsidP="00DC12EC">
      <w:pPr>
        <w:pStyle w:val="Bibliography"/>
        <w:rPr>
          <w:rFonts w:cs="Arial"/>
        </w:rPr>
      </w:pPr>
      <w:r w:rsidRPr="001B7760">
        <w:rPr>
          <w:rFonts w:cs="Arial"/>
        </w:rPr>
        <w:t xml:space="preserve">130. </w:t>
      </w:r>
      <w:r w:rsidRPr="001B7760">
        <w:rPr>
          <w:rFonts w:cs="Arial"/>
        </w:rPr>
        <w:tab/>
        <w:t xml:space="preserve">Zhou Q, He B, Zhang C, </w:t>
      </w:r>
      <w:proofErr w:type="spellStart"/>
      <w:r w:rsidRPr="001B7760">
        <w:rPr>
          <w:rFonts w:cs="Arial"/>
        </w:rPr>
        <w:t>Zhai</w:t>
      </w:r>
      <w:proofErr w:type="spellEnd"/>
      <w:r w:rsidRPr="001B7760">
        <w:rPr>
          <w:rFonts w:cs="Arial"/>
        </w:rPr>
        <w:t xml:space="preserve"> S, Liu Z, Zhang J. 2011. Pharmacokinetics and Pharmacodynamics of Meropenem in Elderly Chinese with Lower Respiratory Tract Infections: Population Pharmacokinetics Analysis Using Nonlinear Mixed-Effects Modelling and Clinical Pharmacodynamics Study. Drugs &amp; Aging 28:903–912.</w:t>
      </w:r>
    </w:p>
    <w:p w14:paraId="6EEEF44C" w14:textId="77777777" w:rsidR="00DC12EC" w:rsidRPr="001B7760" w:rsidRDefault="00DC12EC" w:rsidP="00DC12EC">
      <w:pPr>
        <w:pStyle w:val="Bibliography"/>
        <w:rPr>
          <w:rFonts w:cs="Arial"/>
        </w:rPr>
      </w:pPr>
      <w:r w:rsidRPr="001B7760">
        <w:rPr>
          <w:rFonts w:cs="Arial"/>
        </w:rPr>
        <w:t xml:space="preserve">131. </w:t>
      </w:r>
      <w:r w:rsidRPr="001B7760">
        <w:rPr>
          <w:rFonts w:cs="Arial"/>
        </w:rPr>
        <w:tab/>
      </w:r>
      <w:proofErr w:type="spellStart"/>
      <w:r w:rsidRPr="001B7760">
        <w:rPr>
          <w:rFonts w:cs="Arial"/>
        </w:rPr>
        <w:t>Zinner</w:t>
      </w:r>
      <w:proofErr w:type="spellEnd"/>
      <w:r w:rsidRPr="001B7760">
        <w:rPr>
          <w:rFonts w:cs="Arial"/>
        </w:rPr>
        <w:t xml:space="preserve"> SH, Gilbert D, Greer K, Portnoy YA, </w:t>
      </w:r>
      <w:proofErr w:type="spellStart"/>
      <w:r w:rsidRPr="001B7760">
        <w:rPr>
          <w:rFonts w:cs="Arial"/>
        </w:rPr>
        <w:t>Firsov</w:t>
      </w:r>
      <w:proofErr w:type="spellEnd"/>
      <w:r w:rsidRPr="001B7760">
        <w:rPr>
          <w:rFonts w:cs="Arial"/>
        </w:rPr>
        <w:t xml:space="preserve"> AA. 2013. Concentration-resistance relationships with Pseudomonas aeruginosa exposed to </w:t>
      </w:r>
      <w:proofErr w:type="spellStart"/>
      <w:r w:rsidRPr="001B7760">
        <w:rPr>
          <w:rFonts w:cs="Arial"/>
        </w:rPr>
        <w:t>doripenem</w:t>
      </w:r>
      <w:proofErr w:type="spellEnd"/>
      <w:r w:rsidRPr="001B7760">
        <w:rPr>
          <w:rFonts w:cs="Arial"/>
        </w:rPr>
        <w:t xml:space="preserve"> and ciprofloxacin in an in vitro model. Journal of Antimicrobial Chemotherapy 68:881–887.</w:t>
      </w:r>
    </w:p>
    <w:p w14:paraId="601F0663" w14:textId="77777777" w:rsidR="00DC12EC" w:rsidRPr="001B7760" w:rsidRDefault="00DC12EC" w:rsidP="00DC12EC">
      <w:pPr>
        <w:pStyle w:val="Bibliography"/>
        <w:rPr>
          <w:rFonts w:cs="Arial"/>
        </w:rPr>
      </w:pPr>
      <w:r w:rsidRPr="001B7760">
        <w:rPr>
          <w:rFonts w:cs="Arial"/>
        </w:rPr>
        <w:lastRenderedPageBreak/>
        <w:t xml:space="preserve">132. </w:t>
      </w:r>
      <w:r w:rsidRPr="001B7760">
        <w:rPr>
          <w:rFonts w:cs="Arial"/>
        </w:rPr>
        <w:tab/>
        <w:t>Craig WA. 1998. Pharmacokinetic/Pharmacodynamic Parameters: Rationale for Antibacterial Dosing of Mice and Men. CLIN INFECT DIS 26:1–10.</w:t>
      </w:r>
    </w:p>
    <w:p w14:paraId="2144EAB2" w14:textId="77777777" w:rsidR="00DC12EC" w:rsidRPr="001B7760" w:rsidRDefault="00DC12EC" w:rsidP="00DC12EC">
      <w:pPr>
        <w:pStyle w:val="Bibliography"/>
        <w:rPr>
          <w:rFonts w:cs="Arial"/>
        </w:rPr>
      </w:pPr>
      <w:r w:rsidRPr="001B7760">
        <w:rPr>
          <w:rFonts w:cs="Arial"/>
        </w:rPr>
        <w:t xml:space="preserve">133. </w:t>
      </w:r>
      <w:r w:rsidRPr="001B7760">
        <w:rPr>
          <w:rFonts w:cs="Arial"/>
        </w:rPr>
        <w:tab/>
        <w:t xml:space="preserve"> Rifampicin 300 mg Capsules - Summary of Product Characteristics (SmPC) - (</w:t>
      </w:r>
      <w:proofErr w:type="spellStart"/>
      <w:r w:rsidRPr="001B7760">
        <w:rPr>
          <w:rFonts w:cs="Arial"/>
        </w:rPr>
        <w:t>emc</w:t>
      </w:r>
      <w:proofErr w:type="spellEnd"/>
      <w:r w:rsidRPr="001B7760">
        <w:rPr>
          <w:rFonts w:cs="Arial"/>
        </w:rPr>
        <w:t>). https://www.medicines.org.uk/emc/product/8789/smpc#gref. Retrieved 24 December 2023.</w:t>
      </w:r>
    </w:p>
    <w:p w14:paraId="6BEC6343" w14:textId="77777777" w:rsidR="00DC12EC" w:rsidRPr="001B7760" w:rsidRDefault="00DC12EC" w:rsidP="00DC12EC">
      <w:pPr>
        <w:pStyle w:val="Bibliography"/>
        <w:rPr>
          <w:rFonts w:cs="Arial"/>
        </w:rPr>
      </w:pPr>
      <w:r w:rsidRPr="001B7760">
        <w:rPr>
          <w:rFonts w:cs="Arial"/>
        </w:rPr>
        <w:t xml:space="preserve">134. </w:t>
      </w:r>
      <w:r w:rsidRPr="001B7760">
        <w:rPr>
          <w:rFonts w:cs="Arial"/>
        </w:rPr>
        <w:tab/>
        <w:t xml:space="preserve">Naidoo A, </w:t>
      </w:r>
      <w:proofErr w:type="spellStart"/>
      <w:r w:rsidRPr="001B7760">
        <w:rPr>
          <w:rFonts w:cs="Arial"/>
        </w:rPr>
        <w:t>Chirehwa</w:t>
      </w:r>
      <w:proofErr w:type="spellEnd"/>
      <w:r w:rsidRPr="001B7760">
        <w:rPr>
          <w:rFonts w:cs="Arial"/>
        </w:rPr>
        <w:t xml:space="preserve"> M, </w:t>
      </w:r>
      <w:proofErr w:type="spellStart"/>
      <w:r w:rsidRPr="001B7760">
        <w:rPr>
          <w:rFonts w:cs="Arial"/>
        </w:rPr>
        <w:t>Mcilleron</w:t>
      </w:r>
      <w:proofErr w:type="spellEnd"/>
      <w:r w:rsidRPr="001B7760">
        <w:rPr>
          <w:rFonts w:cs="Arial"/>
        </w:rPr>
        <w:t xml:space="preserve"> H, Naidoo K, </w:t>
      </w:r>
      <w:proofErr w:type="spellStart"/>
      <w:r w:rsidRPr="001B7760">
        <w:rPr>
          <w:rFonts w:cs="Arial"/>
        </w:rPr>
        <w:t>Essack</w:t>
      </w:r>
      <w:proofErr w:type="spellEnd"/>
      <w:r w:rsidRPr="001B7760">
        <w:rPr>
          <w:rFonts w:cs="Arial"/>
        </w:rPr>
        <w:t xml:space="preserve"> S, </w:t>
      </w:r>
      <w:proofErr w:type="spellStart"/>
      <w:r w:rsidRPr="001B7760">
        <w:rPr>
          <w:rFonts w:cs="Arial"/>
        </w:rPr>
        <w:t>Yende</w:t>
      </w:r>
      <w:proofErr w:type="spellEnd"/>
      <w:r w:rsidRPr="001B7760">
        <w:rPr>
          <w:rFonts w:cs="Arial"/>
        </w:rPr>
        <w:t>-Zuma N, Kimba-</w:t>
      </w:r>
      <w:proofErr w:type="spellStart"/>
      <w:r w:rsidRPr="001B7760">
        <w:rPr>
          <w:rFonts w:cs="Arial"/>
        </w:rPr>
        <w:t>Phongi</w:t>
      </w:r>
      <w:proofErr w:type="spellEnd"/>
      <w:r w:rsidRPr="001B7760">
        <w:rPr>
          <w:rFonts w:cs="Arial"/>
        </w:rPr>
        <w:t xml:space="preserve"> E, Adamson J, Govender K, </w:t>
      </w:r>
      <w:proofErr w:type="spellStart"/>
      <w:r w:rsidRPr="001B7760">
        <w:rPr>
          <w:rFonts w:cs="Arial"/>
        </w:rPr>
        <w:t>Padayatchi</w:t>
      </w:r>
      <w:proofErr w:type="spellEnd"/>
      <w:r w:rsidRPr="001B7760">
        <w:rPr>
          <w:rFonts w:cs="Arial"/>
        </w:rPr>
        <w:t xml:space="preserve"> N, </w:t>
      </w:r>
      <w:proofErr w:type="spellStart"/>
      <w:r w:rsidRPr="001B7760">
        <w:rPr>
          <w:rFonts w:cs="Arial"/>
        </w:rPr>
        <w:t>Denti</w:t>
      </w:r>
      <w:proofErr w:type="spellEnd"/>
      <w:r w:rsidRPr="001B7760">
        <w:rPr>
          <w:rFonts w:cs="Arial"/>
        </w:rPr>
        <w:t xml:space="preserve"> P. Effect of rifampicin and efavirenz on moxifloxacin concentrations when co-administered in patients with drug-susceptible TB 27–31.</w:t>
      </w:r>
    </w:p>
    <w:p w14:paraId="66A8EECF" w14:textId="77777777" w:rsidR="00DC12EC" w:rsidRPr="001B7760" w:rsidRDefault="00DC12EC" w:rsidP="00DC12EC">
      <w:pPr>
        <w:pStyle w:val="Bibliography"/>
        <w:rPr>
          <w:rFonts w:cs="Arial"/>
        </w:rPr>
      </w:pPr>
      <w:r w:rsidRPr="001B7760">
        <w:rPr>
          <w:rFonts w:cs="Arial"/>
        </w:rPr>
        <w:t xml:space="preserve">135. </w:t>
      </w:r>
      <w:r w:rsidRPr="001B7760">
        <w:rPr>
          <w:rFonts w:cs="Arial"/>
        </w:rPr>
        <w:tab/>
      </w:r>
      <w:proofErr w:type="spellStart"/>
      <w:r w:rsidRPr="001B7760">
        <w:rPr>
          <w:rFonts w:cs="Arial"/>
        </w:rPr>
        <w:t>Canafax</w:t>
      </w:r>
      <w:proofErr w:type="spellEnd"/>
      <w:r w:rsidRPr="001B7760">
        <w:rPr>
          <w:rFonts w:cs="Arial"/>
        </w:rPr>
        <w:t xml:space="preserve"> DM, Yuan Z, </w:t>
      </w:r>
      <w:proofErr w:type="spellStart"/>
      <w:r w:rsidRPr="001B7760">
        <w:rPr>
          <w:rFonts w:cs="Arial"/>
        </w:rPr>
        <w:t>Chonmaitree</w:t>
      </w:r>
      <w:proofErr w:type="spellEnd"/>
      <w:r w:rsidRPr="001B7760">
        <w:rPr>
          <w:rFonts w:cs="Arial"/>
        </w:rPr>
        <w:t xml:space="preserve"> T, Deka K, </w:t>
      </w:r>
      <w:proofErr w:type="spellStart"/>
      <w:r w:rsidRPr="001B7760">
        <w:rPr>
          <w:rFonts w:cs="Arial"/>
        </w:rPr>
        <w:t>Russlie</w:t>
      </w:r>
      <w:proofErr w:type="spellEnd"/>
      <w:r w:rsidRPr="001B7760">
        <w:rPr>
          <w:rFonts w:cs="Arial"/>
        </w:rPr>
        <w:t xml:space="preserve"> HQ, </w:t>
      </w:r>
      <w:proofErr w:type="spellStart"/>
      <w:r w:rsidRPr="001B7760">
        <w:rPr>
          <w:rFonts w:cs="Arial"/>
        </w:rPr>
        <w:t>Giebink</w:t>
      </w:r>
      <w:proofErr w:type="spellEnd"/>
      <w:r w:rsidRPr="001B7760">
        <w:rPr>
          <w:rFonts w:cs="Arial"/>
        </w:rPr>
        <w:t xml:space="preserve"> GS. 1998. Amoxicillin middle ear fluid penetration and pharmacokinetics in children with acute otitis media. </w:t>
      </w:r>
      <w:proofErr w:type="spellStart"/>
      <w:r w:rsidRPr="001B7760">
        <w:rPr>
          <w:rFonts w:cs="Arial"/>
        </w:rPr>
        <w:t>Pediatr</w:t>
      </w:r>
      <w:proofErr w:type="spellEnd"/>
      <w:r w:rsidRPr="001B7760">
        <w:rPr>
          <w:rFonts w:cs="Arial"/>
        </w:rPr>
        <w:t xml:space="preserve"> Infect Dis J 17:149–156.</w:t>
      </w:r>
    </w:p>
    <w:p w14:paraId="79DE6392" w14:textId="77777777" w:rsidR="00DC12EC" w:rsidRPr="001B7760" w:rsidRDefault="00DC12EC" w:rsidP="00DC12EC">
      <w:pPr>
        <w:pStyle w:val="Bibliography"/>
        <w:rPr>
          <w:rFonts w:cs="Arial"/>
        </w:rPr>
      </w:pPr>
      <w:r w:rsidRPr="001B7760">
        <w:rPr>
          <w:rFonts w:cs="Arial"/>
        </w:rPr>
        <w:t xml:space="preserve">136. </w:t>
      </w:r>
      <w:r w:rsidRPr="001B7760">
        <w:rPr>
          <w:rFonts w:cs="Arial"/>
        </w:rPr>
        <w:tab/>
      </w:r>
      <w:proofErr w:type="spellStart"/>
      <w:r w:rsidRPr="001B7760">
        <w:rPr>
          <w:rFonts w:cs="Arial"/>
        </w:rPr>
        <w:t>Pichichero</w:t>
      </w:r>
      <w:proofErr w:type="spellEnd"/>
      <w:r w:rsidRPr="001B7760">
        <w:rPr>
          <w:rFonts w:cs="Arial"/>
        </w:rPr>
        <w:t xml:space="preserve"> ME, Reed MD. 2009. Variations in amoxicillin pharmacokinetic/pharmacodynamic parameters may explain treatment failures in acute otitis media. </w:t>
      </w:r>
      <w:proofErr w:type="spellStart"/>
      <w:r w:rsidRPr="001B7760">
        <w:rPr>
          <w:rFonts w:cs="Arial"/>
        </w:rPr>
        <w:t>Paediatr</w:t>
      </w:r>
      <w:proofErr w:type="spellEnd"/>
      <w:r w:rsidRPr="001B7760">
        <w:rPr>
          <w:rFonts w:cs="Arial"/>
        </w:rPr>
        <w:t xml:space="preserve"> Drugs 11:243–249.</w:t>
      </w:r>
    </w:p>
    <w:p w14:paraId="639ED937" w14:textId="77777777" w:rsidR="00DC12EC" w:rsidRPr="001B7760" w:rsidRDefault="00DC12EC" w:rsidP="00DC12EC">
      <w:pPr>
        <w:pStyle w:val="Bibliography"/>
        <w:rPr>
          <w:rFonts w:cs="Arial"/>
        </w:rPr>
      </w:pPr>
      <w:r w:rsidRPr="001B7760">
        <w:rPr>
          <w:rFonts w:cs="Arial"/>
        </w:rPr>
        <w:t xml:space="preserve">137. </w:t>
      </w:r>
      <w:r w:rsidRPr="001B7760">
        <w:rPr>
          <w:rFonts w:cs="Arial"/>
        </w:rPr>
        <w:tab/>
        <w:t xml:space="preserve">Everts RJ, Gardiner SJ, Zhang M, </w:t>
      </w:r>
      <w:proofErr w:type="spellStart"/>
      <w:r w:rsidRPr="001B7760">
        <w:rPr>
          <w:rFonts w:cs="Arial"/>
        </w:rPr>
        <w:t>Begg</w:t>
      </w:r>
      <w:proofErr w:type="spellEnd"/>
      <w:r w:rsidRPr="001B7760">
        <w:rPr>
          <w:rFonts w:cs="Arial"/>
        </w:rPr>
        <w:t xml:space="preserve"> R, Chambers ST, </w:t>
      </w:r>
      <w:proofErr w:type="spellStart"/>
      <w:r w:rsidRPr="001B7760">
        <w:rPr>
          <w:rFonts w:cs="Arial"/>
        </w:rPr>
        <w:t>Turnidge</w:t>
      </w:r>
      <w:proofErr w:type="spellEnd"/>
      <w:r w:rsidRPr="001B7760">
        <w:rPr>
          <w:rFonts w:cs="Arial"/>
        </w:rPr>
        <w:t xml:space="preserve"> J, </w:t>
      </w:r>
      <w:proofErr w:type="spellStart"/>
      <w:r w:rsidRPr="001B7760">
        <w:rPr>
          <w:rFonts w:cs="Arial"/>
        </w:rPr>
        <w:t>Begg</w:t>
      </w:r>
      <w:proofErr w:type="spellEnd"/>
      <w:r w:rsidRPr="001B7760">
        <w:rPr>
          <w:rFonts w:cs="Arial"/>
        </w:rPr>
        <w:t xml:space="preserve"> EJ. 2021. Probenecid effects on cephalexin pharmacokinetics and pharmacodynamics in healthy volunteers. Journal of Infection 83:182–189.</w:t>
      </w:r>
    </w:p>
    <w:p w14:paraId="5FFFF283" w14:textId="77777777" w:rsidR="00DC12EC" w:rsidRPr="001B7760" w:rsidRDefault="00DC12EC" w:rsidP="00DC12EC">
      <w:pPr>
        <w:pStyle w:val="Bibliography"/>
        <w:rPr>
          <w:rFonts w:cs="Arial"/>
        </w:rPr>
      </w:pPr>
      <w:r w:rsidRPr="001B7760">
        <w:rPr>
          <w:rFonts w:cs="Arial"/>
        </w:rPr>
        <w:t xml:space="preserve">138. </w:t>
      </w:r>
      <w:r w:rsidRPr="001B7760">
        <w:rPr>
          <w:rFonts w:cs="Arial"/>
        </w:rPr>
        <w:tab/>
        <w:t xml:space="preserve"> Global research agenda for antimicrobial resistance in human health. https://www.who.int/publications/m/item/global-research-agenda-for-antimicrobial-resistance-in-human-health. Retrieved 16 August 2023.</w:t>
      </w:r>
    </w:p>
    <w:p w14:paraId="24F035ED" w14:textId="48C37792" w:rsidR="00DC12EC" w:rsidRPr="001B7760" w:rsidRDefault="00DC12EC" w:rsidP="001B7760">
      <w:r w:rsidRPr="001B7760">
        <w:fldChar w:fldCharType="end"/>
      </w:r>
    </w:p>
    <w:p w14:paraId="66925027" w14:textId="5C3D1007" w:rsidR="00C71951" w:rsidRDefault="002D6A69" w:rsidP="00C71951">
      <w:pPr>
        <w:pStyle w:val="Heading1"/>
        <w:spacing w:line="480" w:lineRule="auto"/>
        <w:rPr>
          <w:rFonts w:cs="Times New Roman (Headings CS)"/>
          <w:caps/>
        </w:rPr>
      </w:pPr>
      <w:r>
        <w:rPr>
          <w:rFonts w:eastAsiaTheme="minorHAnsi" w:cs="Arial"/>
          <w:b w:val="0"/>
          <w:color w:val="auto"/>
          <w:sz w:val="24"/>
          <w:szCs w:val="22"/>
        </w:rPr>
        <w:lastRenderedPageBreak/>
        <w:t xml:space="preserve"> </w:t>
      </w:r>
      <w:bookmarkStart w:id="24" w:name="_Toc154185001"/>
      <w:r w:rsidR="00C71951">
        <w:rPr>
          <w:rFonts w:cs="Times New Roman (Headings CS)"/>
          <w:caps/>
        </w:rPr>
        <w:t>Author Biographies</w:t>
      </w:r>
      <w:bookmarkEnd w:id="24"/>
    </w:p>
    <w:p w14:paraId="5BE472D4" w14:textId="66F3FC96" w:rsidR="004A25AC" w:rsidRPr="0045781B" w:rsidRDefault="004A25AC" w:rsidP="0045781B">
      <w:pPr>
        <w:spacing w:line="480" w:lineRule="auto"/>
        <w:rPr>
          <w:sz w:val="24"/>
          <w:szCs w:val="24"/>
        </w:rPr>
      </w:pPr>
      <w:r w:rsidRPr="0045781B">
        <w:rPr>
          <w:b/>
          <w:bCs/>
          <w:sz w:val="24"/>
          <w:szCs w:val="24"/>
        </w:rPr>
        <w:t>Nada Reza</w:t>
      </w:r>
      <w:r w:rsidRPr="0045781B">
        <w:rPr>
          <w:sz w:val="24"/>
          <w:szCs w:val="24"/>
        </w:rPr>
        <w:t xml:space="preserve"> is a NIHR Academic Clinical Fellow in Infectious Diseases</w:t>
      </w:r>
      <w:r w:rsidR="0045781B" w:rsidRPr="0045781B">
        <w:rPr>
          <w:sz w:val="24"/>
          <w:szCs w:val="24"/>
        </w:rPr>
        <w:t xml:space="preserve"> and Medical Microbiology since August 2021, undertaking academic research</w:t>
      </w:r>
      <w:r w:rsidRPr="0045781B">
        <w:rPr>
          <w:sz w:val="24"/>
          <w:szCs w:val="24"/>
        </w:rPr>
        <w:t xml:space="preserve"> at the University of Liverpool</w:t>
      </w:r>
      <w:r w:rsidR="0045781B" w:rsidRPr="0045781B">
        <w:rPr>
          <w:sz w:val="24"/>
          <w:szCs w:val="24"/>
        </w:rPr>
        <w:t xml:space="preserve"> and clinical training at the Royal Liverpool University Hospital</w:t>
      </w:r>
      <w:r w:rsidRPr="0045781B">
        <w:rPr>
          <w:sz w:val="24"/>
          <w:szCs w:val="24"/>
        </w:rPr>
        <w:t xml:space="preserve">. </w:t>
      </w:r>
      <w:r w:rsidR="0045781B" w:rsidRPr="0045781B">
        <w:rPr>
          <w:sz w:val="24"/>
          <w:szCs w:val="24"/>
        </w:rPr>
        <w:t xml:space="preserve">She completed her MBChB in 2017 at the University of Dundee before undertaking the Academic Foundation Programme in the Scottish Highlands. Early in her medical training she developed an interest in infection research and therefore chose to study an intercalated BSc in Infection and Immunity at Imperial College London, completed in 2015. Currently, her research is primarily focussed on antimicrobial pharmacodynamics with an interest in data science and bioinformatics. </w:t>
      </w:r>
    </w:p>
    <w:p w14:paraId="1E7F6BAF" w14:textId="7F63FDA7" w:rsidR="0045781B" w:rsidRPr="004A25AC" w:rsidRDefault="0045781B" w:rsidP="004A25AC"/>
    <w:p w14:paraId="1EC38536" w14:textId="5F655629" w:rsidR="007118E0" w:rsidRDefault="00C71951" w:rsidP="00C71951">
      <w:pPr>
        <w:pStyle w:val="Bibliography"/>
        <w:ind w:left="0" w:firstLine="0"/>
        <w:rPr>
          <w:rFonts w:cs="Arial"/>
          <w:color w:val="000000"/>
          <w:sz w:val="24"/>
          <w:szCs w:val="24"/>
        </w:rPr>
      </w:pPr>
      <w:r w:rsidRPr="00C71951">
        <w:rPr>
          <w:rFonts w:cs="Arial"/>
          <w:b/>
          <w:bCs/>
          <w:color w:val="000000"/>
          <w:sz w:val="24"/>
          <w:szCs w:val="24"/>
        </w:rPr>
        <w:t xml:space="preserve">Alessandro </w:t>
      </w:r>
      <w:proofErr w:type="spellStart"/>
      <w:r w:rsidRPr="00C71951">
        <w:rPr>
          <w:rFonts w:cs="Arial"/>
          <w:b/>
          <w:bCs/>
          <w:color w:val="000000"/>
          <w:sz w:val="24"/>
          <w:szCs w:val="24"/>
        </w:rPr>
        <w:t>Gerada</w:t>
      </w:r>
      <w:proofErr w:type="spellEnd"/>
      <w:r w:rsidRPr="00C71951">
        <w:rPr>
          <w:rFonts w:cs="Arial"/>
          <w:color w:val="000000"/>
          <w:sz w:val="24"/>
          <w:szCs w:val="24"/>
        </w:rPr>
        <w:t xml:space="preserve"> MD is a consultant microbiologist in Liverpool Clinical Laboratories, where he also leads the national Brucella Reference Unit. He graduated from the University of Malta medical school and underwent microbiology specialty training in Liverpool, UK. He is currently a doctoral student in artificial intelligence and digital health, with research interests that include machine learning and computer simulation.</w:t>
      </w:r>
    </w:p>
    <w:p w14:paraId="5AC48702" w14:textId="3A06DF89" w:rsidR="00AC6784" w:rsidRPr="001B7760" w:rsidRDefault="00AC6784" w:rsidP="001B7760"/>
    <w:p w14:paraId="489BCD24" w14:textId="5DBAAA56" w:rsidR="00C71951" w:rsidRPr="00C71951" w:rsidRDefault="00C71951" w:rsidP="00C71951">
      <w:pPr>
        <w:pStyle w:val="p1"/>
        <w:spacing w:line="480" w:lineRule="auto"/>
        <w:jc w:val="both"/>
        <w:rPr>
          <w:rStyle w:val="s1"/>
          <w:rFonts w:ascii="Arial" w:hAnsi="Arial" w:cs="Arial"/>
          <w:color w:val="000000" w:themeColor="text1"/>
          <w:sz w:val="24"/>
          <w:szCs w:val="24"/>
        </w:rPr>
      </w:pPr>
      <w:r w:rsidRPr="00C71951">
        <w:rPr>
          <w:rStyle w:val="s1"/>
          <w:rFonts w:ascii="Arial" w:hAnsi="Arial" w:cs="Arial"/>
          <w:b/>
          <w:bCs/>
          <w:color w:val="000000" w:themeColor="text1"/>
          <w:sz w:val="24"/>
          <w:szCs w:val="24"/>
        </w:rPr>
        <w:t>Katharine Stott</w:t>
      </w:r>
      <w:r w:rsidRPr="00C71951">
        <w:rPr>
          <w:rStyle w:val="s1"/>
          <w:rFonts w:ascii="Arial" w:hAnsi="Arial" w:cs="Arial"/>
          <w:color w:val="000000" w:themeColor="text1"/>
          <w:sz w:val="24"/>
          <w:szCs w:val="24"/>
        </w:rPr>
        <w:t xml:space="preserve"> is an NIHR Academic Clinical Lecturer in Antimicrobial Pharmacology at the University of Liverpool, UK. In addition to academic work, she is also a specialist medical registrar at the Royal Liverpool University Hospital. Her academic work focusses on immunocompromised medicine and </w:t>
      </w:r>
      <w:proofErr w:type="spellStart"/>
      <w:r w:rsidRPr="00C71951">
        <w:rPr>
          <w:rStyle w:val="s1"/>
          <w:rFonts w:ascii="Arial" w:hAnsi="Arial" w:cs="Arial"/>
          <w:color w:val="000000" w:themeColor="text1"/>
          <w:sz w:val="24"/>
          <w:szCs w:val="24"/>
        </w:rPr>
        <w:t>optimisation</w:t>
      </w:r>
      <w:proofErr w:type="spellEnd"/>
      <w:r w:rsidRPr="00C71951">
        <w:rPr>
          <w:rStyle w:val="s1"/>
          <w:rFonts w:ascii="Arial" w:hAnsi="Arial" w:cs="Arial"/>
          <w:color w:val="000000" w:themeColor="text1"/>
          <w:sz w:val="24"/>
          <w:szCs w:val="24"/>
        </w:rPr>
        <w:t xml:space="preserve"> of antimicrobial therapy, with a particular interest in mycology and antifungal pharmacodynamics.</w:t>
      </w:r>
    </w:p>
    <w:p w14:paraId="24B6C142" w14:textId="5E1F27DF" w:rsidR="00C71951" w:rsidRPr="00C71951" w:rsidRDefault="00C71951" w:rsidP="00C71951">
      <w:pPr>
        <w:pStyle w:val="p1"/>
        <w:spacing w:line="480" w:lineRule="auto"/>
        <w:jc w:val="both"/>
        <w:rPr>
          <w:rStyle w:val="s1"/>
          <w:rFonts w:ascii="Arial" w:hAnsi="Arial" w:cs="Arial"/>
          <w:color w:val="000000" w:themeColor="text1"/>
          <w:sz w:val="24"/>
          <w:szCs w:val="24"/>
        </w:rPr>
      </w:pPr>
      <w:r w:rsidRPr="00C71951">
        <w:rPr>
          <w:rStyle w:val="s1"/>
          <w:rFonts w:ascii="Arial" w:hAnsi="Arial" w:cs="Arial"/>
          <w:color w:val="000000" w:themeColor="text1"/>
          <w:sz w:val="24"/>
          <w:szCs w:val="24"/>
        </w:rPr>
        <w:lastRenderedPageBreak/>
        <w:t xml:space="preserve">She completed a </w:t>
      </w:r>
      <w:proofErr w:type="spellStart"/>
      <w:r w:rsidRPr="00C71951">
        <w:rPr>
          <w:rStyle w:val="s1"/>
          <w:rFonts w:ascii="Arial" w:hAnsi="Arial" w:cs="Arial"/>
          <w:color w:val="000000" w:themeColor="text1"/>
          <w:sz w:val="24"/>
          <w:szCs w:val="24"/>
        </w:rPr>
        <w:t>Wellcome</w:t>
      </w:r>
      <w:proofErr w:type="spellEnd"/>
      <w:r w:rsidRPr="00C71951">
        <w:rPr>
          <w:rStyle w:val="s1"/>
          <w:rFonts w:ascii="Arial" w:hAnsi="Arial" w:cs="Arial"/>
          <w:color w:val="000000" w:themeColor="text1"/>
          <w:sz w:val="24"/>
          <w:szCs w:val="24"/>
        </w:rPr>
        <w:t xml:space="preserve"> Trust clinical PhD fellowship studying the pharmacodynamics of antifungal drugs in HIV-associated invasive fungal disease. She ran a clinical pharmacodynamic study of cryptococcal meningitis (CM) in Blantyre, Malawi. Her current research continues to seek to </w:t>
      </w:r>
      <w:proofErr w:type="spellStart"/>
      <w:r w:rsidRPr="00C71951">
        <w:rPr>
          <w:rStyle w:val="s1"/>
          <w:rFonts w:ascii="Arial" w:hAnsi="Arial" w:cs="Arial"/>
          <w:color w:val="000000" w:themeColor="text1"/>
          <w:sz w:val="24"/>
          <w:szCs w:val="24"/>
        </w:rPr>
        <w:t>optimise</w:t>
      </w:r>
      <w:proofErr w:type="spellEnd"/>
      <w:r w:rsidRPr="00C71951">
        <w:rPr>
          <w:rStyle w:val="s1"/>
          <w:rFonts w:ascii="Arial" w:hAnsi="Arial" w:cs="Arial"/>
          <w:color w:val="000000" w:themeColor="text1"/>
          <w:sz w:val="24"/>
          <w:szCs w:val="24"/>
        </w:rPr>
        <w:t xml:space="preserve"> pharmacodynamics in CM </w:t>
      </w:r>
      <w:proofErr w:type="gramStart"/>
      <w:r w:rsidRPr="00C71951">
        <w:rPr>
          <w:rStyle w:val="s1"/>
          <w:rFonts w:ascii="Arial" w:hAnsi="Arial" w:cs="Arial"/>
          <w:color w:val="000000" w:themeColor="text1"/>
          <w:sz w:val="24"/>
          <w:szCs w:val="24"/>
        </w:rPr>
        <w:t>and also</w:t>
      </w:r>
      <w:proofErr w:type="gramEnd"/>
      <w:r w:rsidRPr="00C71951">
        <w:rPr>
          <w:rStyle w:val="s1"/>
          <w:rFonts w:ascii="Arial" w:hAnsi="Arial" w:cs="Arial"/>
          <w:color w:val="000000" w:themeColor="text1"/>
          <w:sz w:val="24"/>
          <w:szCs w:val="24"/>
        </w:rPr>
        <w:t xml:space="preserve"> aims to improve the treatment of invasive candida disease. </w:t>
      </w:r>
    </w:p>
    <w:p w14:paraId="0178A653" w14:textId="34BA6BF4" w:rsidR="00C9174B" w:rsidRDefault="00C71951" w:rsidP="00C71951">
      <w:pPr>
        <w:pStyle w:val="p1"/>
        <w:spacing w:line="480" w:lineRule="auto"/>
        <w:jc w:val="both"/>
        <w:rPr>
          <w:rStyle w:val="s1"/>
          <w:rFonts w:ascii="Arial" w:hAnsi="Arial" w:cs="Arial"/>
          <w:color w:val="000000" w:themeColor="text1"/>
          <w:sz w:val="24"/>
          <w:szCs w:val="24"/>
        </w:rPr>
      </w:pPr>
      <w:r w:rsidRPr="00C71951">
        <w:rPr>
          <w:rStyle w:val="s1"/>
          <w:rFonts w:ascii="Arial" w:hAnsi="Arial" w:cs="Arial"/>
          <w:color w:val="000000" w:themeColor="text1"/>
          <w:sz w:val="24"/>
          <w:szCs w:val="24"/>
        </w:rPr>
        <w:t>Dr Stott has established an infection pharmacology teaching network between the UK, Malawi and South Africa. She has additional teaching roles at the University of Liverpool, the University of Exeter and the Schools of Tropical Medicine in Liverpool and London.</w:t>
      </w:r>
    </w:p>
    <w:p w14:paraId="1B38B595" w14:textId="6ECC39AB" w:rsidR="00AC6784" w:rsidRDefault="00AC6784" w:rsidP="00C71951">
      <w:pPr>
        <w:pStyle w:val="p1"/>
        <w:spacing w:line="480" w:lineRule="auto"/>
        <w:jc w:val="both"/>
        <w:rPr>
          <w:rFonts w:ascii="Arial" w:hAnsi="Arial" w:cs="Arial"/>
          <w:b/>
          <w:bCs/>
          <w:color w:val="000000"/>
          <w:sz w:val="24"/>
          <w:szCs w:val="24"/>
        </w:rPr>
      </w:pPr>
    </w:p>
    <w:p w14:paraId="60DECEA6" w14:textId="0EC79F58" w:rsidR="00C71951" w:rsidRPr="00C71951" w:rsidRDefault="00C71951" w:rsidP="00C71951">
      <w:pPr>
        <w:pStyle w:val="p1"/>
        <w:spacing w:line="480" w:lineRule="auto"/>
        <w:jc w:val="both"/>
        <w:rPr>
          <w:rStyle w:val="s1"/>
          <w:rFonts w:ascii="Arial" w:hAnsi="Arial" w:cs="Arial"/>
          <w:color w:val="000000" w:themeColor="text1"/>
          <w:sz w:val="24"/>
          <w:szCs w:val="24"/>
        </w:rPr>
      </w:pPr>
      <w:r w:rsidRPr="00C71951">
        <w:rPr>
          <w:rFonts w:ascii="Arial" w:hAnsi="Arial" w:cs="Arial"/>
          <w:b/>
          <w:bCs/>
          <w:color w:val="000000"/>
          <w:sz w:val="24"/>
          <w:szCs w:val="24"/>
        </w:rPr>
        <w:t>Alex Howard</w:t>
      </w:r>
      <w:r w:rsidRPr="00C71951">
        <w:rPr>
          <w:rFonts w:ascii="Arial" w:hAnsi="Arial" w:cs="Arial"/>
          <w:color w:val="000000"/>
          <w:sz w:val="24"/>
          <w:szCs w:val="24"/>
        </w:rPr>
        <w:t xml:space="preserve"> graduated from University of Liverpool Medical School in 2011 and took up a post as Consultant in Medical Microbiology at Liverpool University Hospitals NHS Foundation Trust in 2019. He has previously held posts as Antimicrobial Stewardship Lead and Tuberculosis Laboratory Lead at the same Trust, and Infection Control Doctor at the Clatterbridge Cancer Centre. He currently leads the haemato-oncology and bone marrow transplant infection MDTs at the Clatterbridge Cancer Centre and is undertaking a PhD in Pharmacology. He has an interest in medical informatics and data science applied to antimicrobial regimens and resistance.</w:t>
      </w:r>
    </w:p>
    <w:p w14:paraId="0CCFFCB0" w14:textId="3341B026" w:rsidR="00AC6784" w:rsidRDefault="00AC6784" w:rsidP="00C71951">
      <w:r>
        <w:fldChar w:fldCharType="begin"/>
      </w:r>
      <w:r>
        <w:instrText xml:space="preserve"> INCLUDEPICTURE "cid:image001.jpg@01D9FB9B.6E441AC0" \* MERGEFORMATINET </w:instrText>
      </w:r>
      <w:r w:rsidR="00000000">
        <w:fldChar w:fldCharType="separate"/>
      </w:r>
      <w:r>
        <w:fldChar w:fldCharType="end"/>
      </w:r>
    </w:p>
    <w:p w14:paraId="56555DB7" w14:textId="51CDFB76" w:rsidR="00AC6784" w:rsidRDefault="00C71951" w:rsidP="004A25AC">
      <w:pPr>
        <w:spacing w:line="480" w:lineRule="auto"/>
        <w:rPr>
          <w:rFonts w:cstheme="minorHAnsi"/>
          <w:b/>
          <w:bCs/>
          <w:sz w:val="24"/>
          <w:szCs w:val="24"/>
          <w:shd w:val="clear" w:color="auto" w:fill="FFFFFF"/>
        </w:rPr>
      </w:pPr>
      <w:r w:rsidRPr="00F04148">
        <w:rPr>
          <w:b/>
          <w:bCs/>
          <w:color w:val="111111"/>
          <w:sz w:val="24"/>
          <w:szCs w:val="24"/>
          <w:shd w:val="clear" w:color="auto" w:fill="FFFFFF"/>
        </w:rPr>
        <w:t xml:space="preserve">Mike </w:t>
      </w:r>
      <w:proofErr w:type="spellStart"/>
      <w:r w:rsidRPr="00F04148">
        <w:rPr>
          <w:b/>
          <w:bCs/>
          <w:color w:val="111111"/>
          <w:sz w:val="24"/>
          <w:szCs w:val="24"/>
          <w:shd w:val="clear" w:color="auto" w:fill="FFFFFF"/>
        </w:rPr>
        <w:t>Sharland</w:t>
      </w:r>
      <w:proofErr w:type="spellEnd"/>
      <w:r w:rsidRPr="00F04148">
        <w:rPr>
          <w:color w:val="111111"/>
          <w:sz w:val="24"/>
          <w:szCs w:val="24"/>
          <w:shd w:val="clear" w:color="auto" w:fill="FFFFFF"/>
        </w:rPr>
        <w:t xml:space="preserve"> is a</w:t>
      </w:r>
      <w:r w:rsidR="00F04148">
        <w:rPr>
          <w:color w:val="111111"/>
          <w:sz w:val="24"/>
          <w:szCs w:val="24"/>
          <w:shd w:val="clear" w:color="auto" w:fill="FFFFFF"/>
        </w:rPr>
        <w:t xml:space="preserve">n </w:t>
      </w:r>
      <w:r w:rsidRPr="00F04148">
        <w:rPr>
          <w:color w:val="111111"/>
          <w:sz w:val="24"/>
          <w:szCs w:val="24"/>
          <w:shd w:val="clear" w:color="auto" w:fill="FFFFFF"/>
        </w:rPr>
        <w:t xml:space="preserve">expert in antimicrobial prescribing, resistance and healthcare associated infection (APRHAI) in children. </w:t>
      </w:r>
      <w:r w:rsidR="00F04148" w:rsidRPr="00F04148">
        <w:rPr>
          <w:color w:val="111111"/>
          <w:sz w:val="24"/>
          <w:szCs w:val="24"/>
          <w:shd w:val="clear" w:color="auto" w:fill="FFFFFF"/>
        </w:rPr>
        <w:t xml:space="preserve">Professor </w:t>
      </w:r>
      <w:proofErr w:type="spellStart"/>
      <w:r w:rsidR="00F04148" w:rsidRPr="00F04148">
        <w:rPr>
          <w:color w:val="111111"/>
          <w:sz w:val="24"/>
          <w:szCs w:val="24"/>
          <w:shd w:val="clear" w:color="auto" w:fill="FFFFFF"/>
        </w:rPr>
        <w:t>Sharland</w:t>
      </w:r>
      <w:proofErr w:type="spellEnd"/>
      <w:r w:rsidRPr="00F04148">
        <w:rPr>
          <w:color w:val="111111"/>
          <w:sz w:val="24"/>
          <w:szCs w:val="24"/>
          <w:shd w:val="clear" w:color="auto" w:fill="FFFFFF"/>
        </w:rPr>
        <w:t xml:space="preserve"> graduated from medical school and is since 2011 Professor in Paediatric Infectious Diseases at St George’s University of London. He is the lead clinical advisor for the neonatal and paediatric programme of the Global Antibiotic Research and Development Partnership (GARDP) and Vice-Chair and AMR lead of the Penta Foundation, a global Paediatric Infectious </w:t>
      </w:r>
      <w:r w:rsidRPr="00F04148">
        <w:rPr>
          <w:color w:val="111111"/>
          <w:sz w:val="24"/>
          <w:szCs w:val="24"/>
          <w:shd w:val="clear" w:color="auto" w:fill="FFFFFF"/>
        </w:rPr>
        <w:lastRenderedPageBreak/>
        <w:t>Diseases research network. He has Chaired the Department of Health’s National Expert Advisory Committee of APRHAI from 2011 to 2018. He is a frequent advisor to the WHO, including as member of the Expert Committee on the Selection and Use of Essential Medicines and the Chair of the Antibiotic Working Group of the EML/</w:t>
      </w:r>
      <w:proofErr w:type="spellStart"/>
      <w:r w:rsidRPr="00F04148">
        <w:rPr>
          <w:color w:val="111111"/>
          <w:sz w:val="24"/>
          <w:szCs w:val="24"/>
          <w:shd w:val="clear" w:color="auto" w:fill="FFFFFF"/>
        </w:rPr>
        <w:t>EMLc</w:t>
      </w:r>
      <w:proofErr w:type="spellEnd"/>
      <w:r w:rsidRPr="00F04148">
        <w:rPr>
          <w:color w:val="111111"/>
          <w:sz w:val="24"/>
          <w:szCs w:val="24"/>
          <w:shd w:val="clear" w:color="auto" w:fill="FFFFFF"/>
        </w:rPr>
        <w:t xml:space="preserve">, which developed the Access/Watch/Reserve grouping of antibiotics. He leads </w:t>
      </w:r>
      <w:r w:rsidR="00F04148">
        <w:rPr>
          <w:color w:val="111111"/>
          <w:sz w:val="24"/>
          <w:szCs w:val="24"/>
          <w:shd w:val="clear" w:color="auto" w:fill="FFFFFF"/>
        </w:rPr>
        <w:t>numerous</w:t>
      </w:r>
      <w:r w:rsidRPr="00F04148">
        <w:rPr>
          <w:color w:val="111111"/>
          <w:sz w:val="24"/>
          <w:szCs w:val="24"/>
          <w:shd w:val="clear" w:color="auto" w:fill="FFFFFF"/>
        </w:rPr>
        <w:t xml:space="preserve"> clinical projects globally with active funding from EDCTP, EU H2020, GARDP, NIHR, MRC, </w:t>
      </w:r>
      <w:proofErr w:type="spellStart"/>
      <w:r w:rsidRPr="00F04148">
        <w:rPr>
          <w:color w:val="111111"/>
          <w:sz w:val="24"/>
          <w:szCs w:val="24"/>
          <w:shd w:val="clear" w:color="auto" w:fill="FFFFFF"/>
        </w:rPr>
        <w:t>Wellcome</w:t>
      </w:r>
      <w:proofErr w:type="spellEnd"/>
      <w:r w:rsidRPr="00F04148">
        <w:rPr>
          <w:color w:val="111111"/>
          <w:sz w:val="24"/>
          <w:szCs w:val="24"/>
          <w:shd w:val="clear" w:color="auto" w:fill="FFFFFF"/>
        </w:rPr>
        <w:t xml:space="preserve"> Trust.</w:t>
      </w:r>
    </w:p>
    <w:p w14:paraId="08BBF6BD" w14:textId="396AEEBB" w:rsidR="004A25AC" w:rsidRPr="004A25AC" w:rsidRDefault="004A25AC" w:rsidP="004A25AC">
      <w:pPr>
        <w:spacing w:line="480" w:lineRule="auto"/>
        <w:rPr>
          <w:rFonts w:cstheme="minorHAnsi"/>
          <w:sz w:val="24"/>
          <w:szCs w:val="24"/>
        </w:rPr>
      </w:pPr>
      <w:r w:rsidRPr="004A25AC">
        <w:rPr>
          <w:rFonts w:cstheme="minorHAnsi"/>
          <w:b/>
          <w:bCs/>
          <w:sz w:val="24"/>
          <w:szCs w:val="24"/>
          <w:shd w:val="clear" w:color="auto" w:fill="FFFFFF"/>
        </w:rPr>
        <w:t>William Hope</w:t>
      </w:r>
      <w:r w:rsidRPr="004A25AC">
        <w:rPr>
          <w:rFonts w:cstheme="minorHAnsi"/>
          <w:sz w:val="24"/>
          <w:szCs w:val="24"/>
          <w:shd w:val="clear" w:color="auto" w:fill="FFFFFF"/>
        </w:rPr>
        <w:t xml:space="preserve"> (BMBS, FRACP, FRCPA, PhD), is Dame Sally Davies Chair of AMR Research at the University of Liverpool in the UK. Professor Hope is a Fellow of the Royal Australasian College of Physicians and a Fellow of the Royal College of Pathologists of Australasia. </w:t>
      </w:r>
      <w:r w:rsidRPr="004A25AC">
        <w:rPr>
          <w:rFonts w:cstheme="minorHAnsi"/>
          <w:sz w:val="24"/>
          <w:szCs w:val="24"/>
        </w:rPr>
        <w:t xml:space="preserve"> </w:t>
      </w:r>
      <w:r w:rsidRPr="004A25AC">
        <w:rPr>
          <w:rFonts w:cstheme="minorHAnsi"/>
          <w:sz w:val="24"/>
          <w:szCs w:val="24"/>
          <w:shd w:val="clear" w:color="auto" w:fill="FFFFFF"/>
        </w:rPr>
        <w:t>Areas of special interest and research are antimicrobial pharmacokinetics and pharmacodynamics, antimicrobial drug development and individualisation of antimicrobial therapy. He is a Fellow of the American Academy of Microbiology and European Society of Clinical Microbiology and Infectious Diseases.</w:t>
      </w:r>
    </w:p>
    <w:p w14:paraId="36737585" w14:textId="77777777" w:rsidR="004A25AC" w:rsidRPr="00F04148" w:rsidRDefault="004A25AC" w:rsidP="00F04148">
      <w:pPr>
        <w:spacing w:line="480" w:lineRule="auto"/>
        <w:rPr>
          <w:sz w:val="24"/>
          <w:szCs w:val="24"/>
        </w:rPr>
      </w:pPr>
    </w:p>
    <w:sectPr w:rsidR="004A25AC" w:rsidRPr="00F04148" w:rsidSect="000C0B03">
      <w:headerReference w:type="default" r:id="rId13"/>
      <w:footerReference w:type="even" r:id="rId14"/>
      <w:footerReference w:type="default" r:id="rId15"/>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Hope, William" w:date="2023-12-23T12:17:00Z" w:initials="WH">
    <w:p w14:paraId="71A7A316" w14:textId="77777777" w:rsidR="00A0585F" w:rsidRDefault="00A0585F" w:rsidP="00A0585F">
      <w:r>
        <w:rPr>
          <w:rStyle w:val="CommentReference"/>
        </w:rPr>
        <w:annotationRef/>
      </w:r>
      <w:r>
        <w:rPr>
          <w:color w:val="000000"/>
          <w:sz w:val="20"/>
          <w:szCs w:val="20"/>
        </w:rPr>
        <w:t>?fT&gt;MIC</w:t>
      </w:r>
    </w:p>
  </w:comment>
  <w:comment w:id="15" w:author="Hope, William" w:date="2023-12-23T12:18:00Z" w:initials="WH">
    <w:p w14:paraId="3D96EB78" w14:textId="77777777" w:rsidR="00A0585F" w:rsidRDefault="00A0585F" w:rsidP="00A0585F">
      <w:r>
        <w:rPr>
          <w:rStyle w:val="CommentReference"/>
        </w:rPr>
        <w:annotationRef/>
      </w:r>
      <w:r>
        <w:rPr>
          <w:color w:val="000000"/>
          <w:sz w:val="20"/>
          <w:szCs w:val="20"/>
        </w:rPr>
        <w:t>Ditto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A7A316" w15:done="0"/>
  <w15:commentEx w15:paraId="3D96EB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B9FB09A" w16cex:dateUtc="2023-12-23T12:17:00Z"/>
  <w16cex:commentExtensible w16cex:durableId="12EF310F" w16cex:dateUtc="2023-12-23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7A316" w16cid:durableId="4B9FB09A"/>
  <w16cid:commentId w16cid:paraId="3D96EB78" w16cid:durableId="12EF31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CAF3" w14:textId="77777777" w:rsidR="000C0B03" w:rsidRDefault="000C0B03" w:rsidP="0097266A">
      <w:pPr>
        <w:spacing w:after="0" w:line="240" w:lineRule="auto"/>
      </w:pPr>
      <w:r>
        <w:separator/>
      </w:r>
    </w:p>
  </w:endnote>
  <w:endnote w:type="continuationSeparator" w:id="0">
    <w:p w14:paraId="1A2B9975" w14:textId="77777777" w:rsidR="000C0B03" w:rsidRDefault="000C0B03" w:rsidP="0097266A">
      <w:pPr>
        <w:spacing w:after="0" w:line="240" w:lineRule="auto"/>
      </w:pPr>
      <w:r>
        <w:continuationSeparator/>
      </w:r>
    </w:p>
  </w:endnote>
  <w:endnote w:type="continuationNotice" w:id="1">
    <w:p w14:paraId="5608D461" w14:textId="77777777" w:rsidR="000C0B03" w:rsidRDefault="000C0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panose1 w:val="020B0604020202020204"/>
    <w:charset w:val="00"/>
    <w:family w:val="roman"/>
    <w:pitch w:val="default"/>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FA12" w14:textId="0758141C" w:rsidR="0058008A" w:rsidRDefault="005800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C49B0C" w14:textId="77777777" w:rsidR="00260AB8" w:rsidRDefault="00260AB8" w:rsidP="74E561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374082"/>
      <w:docPartObj>
        <w:docPartGallery w:val="Page Numbers (Bottom of Page)"/>
        <w:docPartUnique/>
      </w:docPartObj>
    </w:sdtPr>
    <w:sdtContent>
      <w:p w14:paraId="0C9FAC6C" w14:textId="1DBB3F0C" w:rsidR="0058008A" w:rsidRDefault="005800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tbl>
    <w:tblPr>
      <w:tblW w:w="0" w:type="auto"/>
      <w:tblLayout w:type="fixed"/>
      <w:tblLook w:val="06A0" w:firstRow="1" w:lastRow="0" w:firstColumn="1" w:lastColumn="0" w:noHBand="1" w:noVBand="1"/>
    </w:tblPr>
    <w:tblGrid>
      <w:gridCol w:w="3005"/>
      <w:gridCol w:w="3005"/>
      <w:gridCol w:w="3005"/>
    </w:tblGrid>
    <w:tr w:rsidR="005A03B6" w14:paraId="7693C7C2" w14:textId="77777777">
      <w:trPr>
        <w:trHeight w:val="300"/>
      </w:trPr>
      <w:tc>
        <w:tcPr>
          <w:tcW w:w="3005" w:type="dxa"/>
        </w:tcPr>
        <w:p w14:paraId="202F0878" w14:textId="77777777" w:rsidR="005A03B6" w:rsidRDefault="005A03B6" w:rsidP="00A5511F">
          <w:pPr>
            <w:pStyle w:val="Header"/>
            <w:ind w:left="-115" w:right="360"/>
          </w:pPr>
        </w:p>
      </w:tc>
      <w:tc>
        <w:tcPr>
          <w:tcW w:w="3005" w:type="dxa"/>
        </w:tcPr>
        <w:p w14:paraId="47649F76" w14:textId="77777777" w:rsidR="005A03B6" w:rsidRDefault="005A03B6">
          <w:pPr>
            <w:pStyle w:val="Header"/>
            <w:jc w:val="center"/>
          </w:pPr>
        </w:p>
      </w:tc>
      <w:tc>
        <w:tcPr>
          <w:tcW w:w="3005" w:type="dxa"/>
        </w:tcPr>
        <w:p w14:paraId="7A4650B9" w14:textId="77777777" w:rsidR="005A03B6" w:rsidRDefault="005A03B6">
          <w:pPr>
            <w:pStyle w:val="Header"/>
            <w:ind w:right="-115"/>
            <w:jc w:val="right"/>
          </w:pPr>
        </w:p>
      </w:tc>
    </w:tr>
  </w:tbl>
  <w:p w14:paraId="1E6355BD" w14:textId="77777777" w:rsidR="005A03B6" w:rsidRDefault="005A0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ECD5" w14:textId="77777777" w:rsidR="000C0B03" w:rsidRDefault="000C0B03" w:rsidP="0097266A">
      <w:pPr>
        <w:spacing w:after="0" w:line="240" w:lineRule="auto"/>
      </w:pPr>
      <w:r>
        <w:separator/>
      </w:r>
    </w:p>
  </w:footnote>
  <w:footnote w:type="continuationSeparator" w:id="0">
    <w:p w14:paraId="259E1719" w14:textId="77777777" w:rsidR="000C0B03" w:rsidRDefault="000C0B03" w:rsidP="0097266A">
      <w:pPr>
        <w:spacing w:after="0" w:line="240" w:lineRule="auto"/>
      </w:pPr>
      <w:r>
        <w:continuationSeparator/>
      </w:r>
    </w:p>
  </w:footnote>
  <w:footnote w:type="continuationNotice" w:id="1">
    <w:p w14:paraId="4FA6191F" w14:textId="77777777" w:rsidR="000C0B03" w:rsidRDefault="000C0B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A03B6" w14:paraId="2987A967" w14:textId="77777777">
      <w:trPr>
        <w:trHeight w:val="300"/>
      </w:trPr>
      <w:tc>
        <w:tcPr>
          <w:tcW w:w="3005" w:type="dxa"/>
        </w:tcPr>
        <w:p w14:paraId="112366CB" w14:textId="77777777" w:rsidR="005A03B6" w:rsidRDefault="005A03B6">
          <w:pPr>
            <w:pStyle w:val="Header"/>
            <w:ind w:left="-115"/>
          </w:pPr>
        </w:p>
      </w:tc>
      <w:tc>
        <w:tcPr>
          <w:tcW w:w="3005" w:type="dxa"/>
        </w:tcPr>
        <w:p w14:paraId="162B3B16" w14:textId="77777777" w:rsidR="005A03B6" w:rsidRDefault="005A03B6">
          <w:pPr>
            <w:pStyle w:val="Header"/>
            <w:jc w:val="center"/>
          </w:pPr>
        </w:p>
      </w:tc>
      <w:tc>
        <w:tcPr>
          <w:tcW w:w="3005" w:type="dxa"/>
        </w:tcPr>
        <w:p w14:paraId="13867D75" w14:textId="77777777" w:rsidR="005A03B6" w:rsidRDefault="005A03B6">
          <w:pPr>
            <w:pStyle w:val="Header"/>
            <w:ind w:right="-115"/>
            <w:jc w:val="right"/>
          </w:pPr>
        </w:p>
      </w:tc>
    </w:tr>
  </w:tbl>
  <w:p w14:paraId="547A9B39" w14:textId="77777777" w:rsidR="005A03B6" w:rsidRDefault="005A0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0F43"/>
    <w:multiLevelType w:val="hybridMultilevel"/>
    <w:tmpl w:val="EC3AFFD8"/>
    <w:lvl w:ilvl="0" w:tplc="9D52DA4A">
      <w:start w:val="1"/>
      <w:numFmt w:val="lowerLetter"/>
      <w:lvlText w:val="%1)"/>
      <w:lvlJc w:val="left"/>
      <w:pPr>
        <w:ind w:left="720" w:hanging="360"/>
      </w:pPr>
      <w:rPr>
        <w:rFonts w:hint="default"/>
        <w:color w:val="0D0D0D" w:themeColor="text1" w:themeTint="F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247E6E"/>
    <w:multiLevelType w:val="hybridMultilevel"/>
    <w:tmpl w:val="3FBA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C1E2A"/>
    <w:multiLevelType w:val="hybridMultilevel"/>
    <w:tmpl w:val="AAFE6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20CB8"/>
    <w:multiLevelType w:val="hybridMultilevel"/>
    <w:tmpl w:val="277C1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B2EEB"/>
    <w:multiLevelType w:val="hybridMultilevel"/>
    <w:tmpl w:val="74BE1DE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365B0652"/>
    <w:multiLevelType w:val="multilevel"/>
    <w:tmpl w:val="721AC2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FD7A97"/>
    <w:multiLevelType w:val="hybridMultilevel"/>
    <w:tmpl w:val="2D5C8E18"/>
    <w:lvl w:ilvl="0" w:tplc="AB0A0EE8">
      <w:start w:val="1"/>
      <w:numFmt w:val="lowerLetter"/>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EA6308B"/>
    <w:multiLevelType w:val="hybridMultilevel"/>
    <w:tmpl w:val="0AB0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B0D19"/>
    <w:multiLevelType w:val="hybridMultilevel"/>
    <w:tmpl w:val="1520F0AE"/>
    <w:lvl w:ilvl="0" w:tplc="9D52DA4A">
      <w:start w:val="1"/>
      <w:numFmt w:val="lowerLetter"/>
      <w:lvlText w:val="%1)"/>
      <w:lvlJc w:val="left"/>
      <w:pPr>
        <w:ind w:left="720" w:hanging="360"/>
      </w:pPr>
      <w:rPr>
        <w:rFonts w:hint="default"/>
        <w:color w:val="0D0D0D" w:themeColor="text1" w:themeTint="F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617DBE"/>
    <w:multiLevelType w:val="hybridMultilevel"/>
    <w:tmpl w:val="33D4C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64126"/>
    <w:multiLevelType w:val="hybridMultilevel"/>
    <w:tmpl w:val="2076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80C52"/>
    <w:multiLevelType w:val="hybridMultilevel"/>
    <w:tmpl w:val="D3E6DDC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8CA2D9A"/>
    <w:multiLevelType w:val="multilevel"/>
    <w:tmpl w:val="310E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0030308">
    <w:abstractNumId w:val="2"/>
  </w:num>
  <w:num w:numId="2" w16cid:durableId="194469553">
    <w:abstractNumId w:val="9"/>
  </w:num>
  <w:num w:numId="3" w16cid:durableId="1986080913">
    <w:abstractNumId w:val="4"/>
  </w:num>
  <w:num w:numId="4" w16cid:durableId="2030332490">
    <w:abstractNumId w:val="3"/>
  </w:num>
  <w:num w:numId="5" w16cid:durableId="1598175224">
    <w:abstractNumId w:val="7"/>
  </w:num>
  <w:num w:numId="6" w16cid:durableId="1508520773">
    <w:abstractNumId w:val="10"/>
  </w:num>
  <w:num w:numId="7" w16cid:durableId="664935990">
    <w:abstractNumId w:val="1"/>
  </w:num>
  <w:num w:numId="8" w16cid:durableId="401803824">
    <w:abstractNumId w:val="11"/>
  </w:num>
  <w:num w:numId="9" w16cid:durableId="39131587">
    <w:abstractNumId w:val="6"/>
  </w:num>
  <w:num w:numId="10" w16cid:durableId="306790632">
    <w:abstractNumId w:val="8"/>
  </w:num>
  <w:num w:numId="11" w16cid:durableId="1172796068">
    <w:abstractNumId w:val="0"/>
  </w:num>
  <w:num w:numId="12" w16cid:durableId="1383674195">
    <w:abstractNumId w:val="5"/>
  </w:num>
  <w:num w:numId="13" w16cid:durableId="12812545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pe, William">
    <w15:presenceInfo w15:providerId="AD" w15:userId="S::hopew@liverpool.ac.uk::20ceb7b8-f705-4164-b582-58d833ae1b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E0"/>
    <w:rsid w:val="000004AA"/>
    <w:rsid w:val="0000198D"/>
    <w:rsid w:val="00002973"/>
    <w:rsid w:val="00002A02"/>
    <w:rsid w:val="00003174"/>
    <w:rsid w:val="0000436C"/>
    <w:rsid w:val="00004C09"/>
    <w:rsid w:val="000058DC"/>
    <w:rsid w:val="000063A1"/>
    <w:rsid w:val="00006BFB"/>
    <w:rsid w:val="00007560"/>
    <w:rsid w:val="00007C99"/>
    <w:rsid w:val="00012016"/>
    <w:rsid w:val="00012853"/>
    <w:rsid w:val="00012EA2"/>
    <w:rsid w:val="000132BF"/>
    <w:rsid w:val="00015033"/>
    <w:rsid w:val="000155EC"/>
    <w:rsid w:val="00016BDF"/>
    <w:rsid w:val="00020D87"/>
    <w:rsid w:val="00022D16"/>
    <w:rsid w:val="00023C15"/>
    <w:rsid w:val="00024943"/>
    <w:rsid w:val="00024F30"/>
    <w:rsid w:val="0002742A"/>
    <w:rsid w:val="00027A31"/>
    <w:rsid w:val="000307C4"/>
    <w:rsid w:val="0003122E"/>
    <w:rsid w:val="00031407"/>
    <w:rsid w:val="000321CF"/>
    <w:rsid w:val="0003370D"/>
    <w:rsid w:val="0003598F"/>
    <w:rsid w:val="000363F7"/>
    <w:rsid w:val="000364E3"/>
    <w:rsid w:val="00036AA1"/>
    <w:rsid w:val="0003728F"/>
    <w:rsid w:val="00042F77"/>
    <w:rsid w:val="000445CA"/>
    <w:rsid w:val="00045447"/>
    <w:rsid w:val="000475DA"/>
    <w:rsid w:val="00050ED6"/>
    <w:rsid w:val="00052043"/>
    <w:rsid w:val="000547E6"/>
    <w:rsid w:val="00054C02"/>
    <w:rsid w:val="000574B0"/>
    <w:rsid w:val="000605A9"/>
    <w:rsid w:val="00060A02"/>
    <w:rsid w:val="00060A6D"/>
    <w:rsid w:val="00062078"/>
    <w:rsid w:val="00062377"/>
    <w:rsid w:val="00063DE5"/>
    <w:rsid w:val="000660F0"/>
    <w:rsid w:val="00067721"/>
    <w:rsid w:val="00070E87"/>
    <w:rsid w:val="00071068"/>
    <w:rsid w:val="00071A3C"/>
    <w:rsid w:val="00072183"/>
    <w:rsid w:val="00073300"/>
    <w:rsid w:val="00073828"/>
    <w:rsid w:val="0007701C"/>
    <w:rsid w:val="00077362"/>
    <w:rsid w:val="00077D10"/>
    <w:rsid w:val="0008068F"/>
    <w:rsid w:val="000815E7"/>
    <w:rsid w:val="0008176A"/>
    <w:rsid w:val="00082A9B"/>
    <w:rsid w:val="0008375E"/>
    <w:rsid w:val="00083A62"/>
    <w:rsid w:val="000844A4"/>
    <w:rsid w:val="00085224"/>
    <w:rsid w:val="00086379"/>
    <w:rsid w:val="0009051F"/>
    <w:rsid w:val="00096761"/>
    <w:rsid w:val="000A0028"/>
    <w:rsid w:val="000A04EB"/>
    <w:rsid w:val="000A09C5"/>
    <w:rsid w:val="000A0CEC"/>
    <w:rsid w:val="000A1190"/>
    <w:rsid w:val="000A2B94"/>
    <w:rsid w:val="000A3AD9"/>
    <w:rsid w:val="000A3B79"/>
    <w:rsid w:val="000A4A0F"/>
    <w:rsid w:val="000A5A89"/>
    <w:rsid w:val="000A6372"/>
    <w:rsid w:val="000A72D6"/>
    <w:rsid w:val="000B0030"/>
    <w:rsid w:val="000B0151"/>
    <w:rsid w:val="000B3415"/>
    <w:rsid w:val="000B3610"/>
    <w:rsid w:val="000B4DCB"/>
    <w:rsid w:val="000B5359"/>
    <w:rsid w:val="000B5893"/>
    <w:rsid w:val="000C0B03"/>
    <w:rsid w:val="000C0B2C"/>
    <w:rsid w:val="000C1A0B"/>
    <w:rsid w:val="000C43A2"/>
    <w:rsid w:val="000C4BB7"/>
    <w:rsid w:val="000C4DB9"/>
    <w:rsid w:val="000C4F40"/>
    <w:rsid w:val="000C5ADE"/>
    <w:rsid w:val="000C5D78"/>
    <w:rsid w:val="000C640F"/>
    <w:rsid w:val="000D04FE"/>
    <w:rsid w:val="000D0CFF"/>
    <w:rsid w:val="000D3262"/>
    <w:rsid w:val="000D6136"/>
    <w:rsid w:val="000D6694"/>
    <w:rsid w:val="000D7037"/>
    <w:rsid w:val="000D7559"/>
    <w:rsid w:val="000D7836"/>
    <w:rsid w:val="000D7E23"/>
    <w:rsid w:val="000E18BB"/>
    <w:rsid w:val="000E238C"/>
    <w:rsid w:val="000E24EE"/>
    <w:rsid w:val="000E2C3F"/>
    <w:rsid w:val="000E2F24"/>
    <w:rsid w:val="000E3CFB"/>
    <w:rsid w:val="000E400D"/>
    <w:rsid w:val="000E50A4"/>
    <w:rsid w:val="000E5154"/>
    <w:rsid w:val="000E63C0"/>
    <w:rsid w:val="000F0CA5"/>
    <w:rsid w:val="000F4E2C"/>
    <w:rsid w:val="000F5AAF"/>
    <w:rsid w:val="000F74DB"/>
    <w:rsid w:val="000F7528"/>
    <w:rsid w:val="001021CF"/>
    <w:rsid w:val="00103768"/>
    <w:rsid w:val="00104E29"/>
    <w:rsid w:val="001121CA"/>
    <w:rsid w:val="001125CB"/>
    <w:rsid w:val="00112B6F"/>
    <w:rsid w:val="00114AB3"/>
    <w:rsid w:val="001156F3"/>
    <w:rsid w:val="00115AFD"/>
    <w:rsid w:val="00116375"/>
    <w:rsid w:val="00116897"/>
    <w:rsid w:val="00117656"/>
    <w:rsid w:val="0012093E"/>
    <w:rsid w:val="00121D29"/>
    <w:rsid w:val="001230A9"/>
    <w:rsid w:val="00124CCD"/>
    <w:rsid w:val="00124FBD"/>
    <w:rsid w:val="00125DDB"/>
    <w:rsid w:val="001262F0"/>
    <w:rsid w:val="00127777"/>
    <w:rsid w:val="00130D15"/>
    <w:rsid w:val="00131726"/>
    <w:rsid w:val="00131EA5"/>
    <w:rsid w:val="001328AF"/>
    <w:rsid w:val="0013400D"/>
    <w:rsid w:val="00134704"/>
    <w:rsid w:val="00135642"/>
    <w:rsid w:val="00135EFC"/>
    <w:rsid w:val="001364CA"/>
    <w:rsid w:val="001411D0"/>
    <w:rsid w:val="001413F6"/>
    <w:rsid w:val="00141DE8"/>
    <w:rsid w:val="001428F2"/>
    <w:rsid w:val="00142BCC"/>
    <w:rsid w:val="00142EFD"/>
    <w:rsid w:val="001447D9"/>
    <w:rsid w:val="00146F8D"/>
    <w:rsid w:val="00150362"/>
    <w:rsid w:val="001526D9"/>
    <w:rsid w:val="00152C1B"/>
    <w:rsid w:val="001546C8"/>
    <w:rsid w:val="0015509F"/>
    <w:rsid w:val="00155DE5"/>
    <w:rsid w:val="001560AD"/>
    <w:rsid w:val="001564FD"/>
    <w:rsid w:val="00156ADF"/>
    <w:rsid w:val="00156AE6"/>
    <w:rsid w:val="00156C49"/>
    <w:rsid w:val="00160B0E"/>
    <w:rsid w:val="00161260"/>
    <w:rsid w:val="001612EF"/>
    <w:rsid w:val="001614E9"/>
    <w:rsid w:val="001628A2"/>
    <w:rsid w:val="001628E3"/>
    <w:rsid w:val="00162BFA"/>
    <w:rsid w:val="00162E86"/>
    <w:rsid w:val="00162EE1"/>
    <w:rsid w:val="00163367"/>
    <w:rsid w:val="00164D57"/>
    <w:rsid w:val="0016550D"/>
    <w:rsid w:val="00165B86"/>
    <w:rsid w:val="001669B3"/>
    <w:rsid w:val="001702FA"/>
    <w:rsid w:val="00171553"/>
    <w:rsid w:val="001725D7"/>
    <w:rsid w:val="00172AC1"/>
    <w:rsid w:val="00173D1B"/>
    <w:rsid w:val="001769CF"/>
    <w:rsid w:val="00176C45"/>
    <w:rsid w:val="0017731D"/>
    <w:rsid w:val="00177919"/>
    <w:rsid w:val="001779F5"/>
    <w:rsid w:val="00184387"/>
    <w:rsid w:val="001868AB"/>
    <w:rsid w:val="00191AB0"/>
    <w:rsid w:val="00193428"/>
    <w:rsid w:val="001944B0"/>
    <w:rsid w:val="001A14D3"/>
    <w:rsid w:val="001A1D64"/>
    <w:rsid w:val="001A3745"/>
    <w:rsid w:val="001A70D7"/>
    <w:rsid w:val="001A7ABC"/>
    <w:rsid w:val="001A7B01"/>
    <w:rsid w:val="001A7C46"/>
    <w:rsid w:val="001B0991"/>
    <w:rsid w:val="001B0A2F"/>
    <w:rsid w:val="001B1043"/>
    <w:rsid w:val="001B15EE"/>
    <w:rsid w:val="001B18E2"/>
    <w:rsid w:val="001B37FA"/>
    <w:rsid w:val="001B5203"/>
    <w:rsid w:val="001B5BE1"/>
    <w:rsid w:val="001B6210"/>
    <w:rsid w:val="001B7760"/>
    <w:rsid w:val="001B79F6"/>
    <w:rsid w:val="001C038F"/>
    <w:rsid w:val="001C11C6"/>
    <w:rsid w:val="001C1AD5"/>
    <w:rsid w:val="001C1C7C"/>
    <w:rsid w:val="001C4EFC"/>
    <w:rsid w:val="001C50F8"/>
    <w:rsid w:val="001C5370"/>
    <w:rsid w:val="001C5750"/>
    <w:rsid w:val="001C58E3"/>
    <w:rsid w:val="001D0100"/>
    <w:rsid w:val="001D267D"/>
    <w:rsid w:val="001D2FE9"/>
    <w:rsid w:val="001D40DA"/>
    <w:rsid w:val="001D469B"/>
    <w:rsid w:val="001D502D"/>
    <w:rsid w:val="001D7B7F"/>
    <w:rsid w:val="001E10DF"/>
    <w:rsid w:val="001E1C1B"/>
    <w:rsid w:val="001E3B80"/>
    <w:rsid w:val="001E4AE1"/>
    <w:rsid w:val="001E5374"/>
    <w:rsid w:val="001F0D2B"/>
    <w:rsid w:val="001F1094"/>
    <w:rsid w:val="001F1687"/>
    <w:rsid w:val="001F2429"/>
    <w:rsid w:val="001F2D81"/>
    <w:rsid w:val="001F30C7"/>
    <w:rsid w:val="001F3483"/>
    <w:rsid w:val="001F4EF8"/>
    <w:rsid w:val="001F55C5"/>
    <w:rsid w:val="001F5733"/>
    <w:rsid w:val="001F691E"/>
    <w:rsid w:val="0020022D"/>
    <w:rsid w:val="00202642"/>
    <w:rsid w:val="00204086"/>
    <w:rsid w:val="00204496"/>
    <w:rsid w:val="002044F0"/>
    <w:rsid w:val="00206322"/>
    <w:rsid w:val="0021021E"/>
    <w:rsid w:val="0021050B"/>
    <w:rsid w:val="00210F62"/>
    <w:rsid w:val="00211F74"/>
    <w:rsid w:val="00211F9F"/>
    <w:rsid w:val="002129D2"/>
    <w:rsid w:val="00217913"/>
    <w:rsid w:val="00220B60"/>
    <w:rsid w:val="0022173B"/>
    <w:rsid w:val="00221DD2"/>
    <w:rsid w:val="0022684D"/>
    <w:rsid w:val="00226914"/>
    <w:rsid w:val="00227E9D"/>
    <w:rsid w:val="00230561"/>
    <w:rsid w:val="00230DA8"/>
    <w:rsid w:val="002314EE"/>
    <w:rsid w:val="002330C7"/>
    <w:rsid w:val="00233172"/>
    <w:rsid w:val="0023335A"/>
    <w:rsid w:val="002333CC"/>
    <w:rsid w:val="00233BB5"/>
    <w:rsid w:val="00233C3F"/>
    <w:rsid w:val="0023431A"/>
    <w:rsid w:val="002344BF"/>
    <w:rsid w:val="0023576C"/>
    <w:rsid w:val="002359B9"/>
    <w:rsid w:val="0023737A"/>
    <w:rsid w:val="00241F34"/>
    <w:rsid w:val="002425A2"/>
    <w:rsid w:val="00242EED"/>
    <w:rsid w:val="00243359"/>
    <w:rsid w:val="00243A29"/>
    <w:rsid w:val="00243E62"/>
    <w:rsid w:val="00244199"/>
    <w:rsid w:val="002445A7"/>
    <w:rsid w:val="00244AF9"/>
    <w:rsid w:val="002453F5"/>
    <w:rsid w:val="002479EC"/>
    <w:rsid w:val="00250EF2"/>
    <w:rsid w:val="002511D8"/>
    <w:rsid w:val="00252ACC"/>
    <w:rsid w:val="00254CA2"/>
    <w:rsid w:val="00255446"/>
    <w:rsid w:val="002557A8"/>
    <w:rsid w:val="00260AB8"/>
    <w:rsid w:val="00261F66"/>
    <w:rsid w:val="0026210D"/>
    <w:rsid w:val="002625A2"/>
    <w:rsid w:val="0026326E"/>
    <w:rsid w:val="002632C1"/>
    <w:rsid w:val="00264B5E"/>
    <w:rsid w:val="00264F57"/>
    <w:rsid w:val="002655A9"/>
    <w:rsid w:val="002658A1"/>
    <w:rsid w:val="00265BE2"/>
    <w:rsid w:val="00265FF0"/>
    <w:rsid w:val="002661FB"/>
    <w:rsid w:val="002674DE"/>
    <w:rsid w:val="00270E62"/>
    <w:rsid w:val="0027235A"/>
    <w:rsid w:val="002756E1"/>
    <w:rsid w:val="002770FB"/>
    <w:rsid w:val="002779EB"/>
    <w:rsid w:val="0028038D"/>
    <w:rsid w:val="002804BE"/>
    <w:rsid w:val="002807AC"/>
    <w:rsid w:val="0028087E"/>
    <w:rsid w:val="0028099A"/>
    <w:rsid w:val="0028335E"/>
    <w:rsid w:val="00283554"/>
    <w:rsid w:val="00284DE4"/>
    <w:rsid w:val="00286214"/>
    <w:rsid w:val="0029085D"/>
    <w:rsid w:val="00290AE0"/>
    <w:rsid w:val="00291568"/>
    <w:rsid w:val="002920DF"/>
    <w:rsid w:val="00292E16"/>
    <w:rsid w:val="00294414"/>
    <w:rsid w:val="002948E8"/>
    <w:rsid w:val="00295ACE"/>
    <w:rsid w:val="0029612B"/>
    <w:rsid w:val="00296C41"/>
    <w:rsid w:val="002A04CA"/>
    <w:rsid w:val="002A0F95"/>
    <w:rsid w:val="002A11D1"/>
    <w:rsid w:val="002A2968"/>
    <w:rsid w:val="002A2F0B"/>
    <w:rsid w:val="002A3203"/>
    <w:rsid w:val="002A3574"/>
    <w:rsid w:val="002A4A26"/>
    <w:rsid w:val="002A603A"/>
    <w:rsid w:val="002A613C"/>
    <w:rsid w:val="002B126B"/>
    <w:rsid w:val="002B4A39"/>
    <w:rsid w:val="002B5906"/>
    <w:rsid w:val="002B5A93"/>
    <w:rsid w:val="002B7A34"/>
    <w:rsid w:val="002C36AB"/>
    <w:rsid w:val="002C38BF"/>
    <w:rsid w:val="002C3EEB"/>
    <w:rsid w:val="002C446C"/>
    <w:rsid w:val="002C6153"/>
    <w:rsid w:val="002C6333"/>
    <w:rsid w:val="002C6DAA"/>
    <w:rsid w:val="002D0070"/>
    <w:rsid w:val="002D0431"/>
    <w:rsid w:val="002D0B92"/>
    <w:rsid w:val="002D0C0B"/>
    <w:rsid w:val="002D2BE0"/>
    <w:rsid w:val="002D2CEB"/>
    <w:rsid w:val="002D2DC3"/>
    <w:rsid w:val="002D58A0"/>
    <w:rsid w:val="002D6A69"/>
    <w:rsid w:val="002E1107"/>
    <w:rsid w:val="002E1A42"/>
    <w:rsid w:val="002E1C3B"/>
    <w:rsid w:val="002E2593"/>
    <w:rsid w:val="002E2EFA"/>
    <w:rsid w:val="002E3765"/>
    <w:rsid w:val="002E6694"/>
    <w:rsid w:val="002E75B7"/>
    <w:rsid w:val="002E7639"/>
    <w:rsid w:val="002E77B3"/>
    <w:rsid w:val="002E7EA7"/>
    <w:rsid w:val="002F18CF"/>
    <w:rsid w:val="002F3171"/>
    <w:rsid w:val="002F5277"/>
    <w:rsid w:val="002F5FDD"/>
    <w:rsid w:val="002F697C"/>
    <w:rsid w:val="002F7635"/>
    <w:rsid w:val="002F7AD3"/>
    <w:rsid w:val="00300981"/>
    <w:rsid w:val="003014C6"/>
    <w:rsid w:val="003035EE"/>
    <w:rsid w:val="003038F2"/>
    <w:rsid w:val="00303967"/>
    <w:rsid w:val="00305CF6"/>
    <w:rsid w:val="00306752"/>
    <w:rsid w:val="00306EBD"/>
    <w:rsid w:val="0030753B"/>
    <w:rsid w:val="00312488"/>
    <w:rsid w:val="003124FA"/>
    <w:rsid w:val="003130D0"/>
    <w:rsid w:val="00313B93"/>
    <w:rsid w:val="00315679"/>
    <w:rsid w:val="0031740F"/>
    <w:rsid w:val="0032023F"/>
    <w:rsid w:val="0032101F"/>
    <w:rsid w:val="0032177C"/>
    <w:rsid w:val="00321785"/>
    <w:rsid w:val="00321C02"/>
    <w:rsid w:val="003226F1"/>
    <w:rsid w:val="00323DFF"/>
    <w:rsid w:val="00324446"/>
    <w:rsid w:val="003255F6"/>
    <w:rsid w:val="00326443"/>
    <w:rsid w:val="003267C8"/>
    <w:rsid w:val="00326F10"/>
    <w:rsid w:val="0032775B"/>
    <w:rsid w:val="0032790C"/>
    <w:rsid w:val="00327F0E"/>
    <w:rsid w:val="003313BA"/>
    <w:rsid w:val="003319B3"/>
    <w:rsid w:val="00332B90"/>
    <w:rsid w:val="00332D63"/>
    <w:rsid w:val="0033320D"/>
    <w:rsid w:val="00333985"/>
    <w:rsid w:val="00334781"/>
    <w:rsid w:val="003368F7"/>
    <w:rsid w:val="00337E7F"/>
    <w:rsid w:val="003402B7"/>
    <w:rsid w:val="003425BF"/>
    <w:rsid w:val="00343A0F"/>
    <w:rsid w:val="00345493"/>
    <w:rsid w:val="00345638"/>
    <w:rsid w:val="00347870"/>
    <w:rsid w:val="0035052A"/>
    <w:rsid w:val="003538B6"/>
    <w:rsid w:val="00360BBE"/>
    <w:rsid w:val="0036132B"/>
    <w:rsid w:val="003626FB"/>
    <w:rsid w:val="003629DD"/>
    <w:rsid w:val="00362C5D"/>
    <w:rsid w:val="00362C93"/>
    <w:rsid w:val="0036567D"/>
    <w:rsid w:val="0036610B"/>
    <w:rsid w:val="003673E6"/>
    <w:rsid w:val="0037142D"/>
    <w:rsid w:val="00372081"/>
    <w:rsid w:val="00372E3D"/>
    <w:rsid w:val="00374A61"/>
    <w:rsid w:val="00374D1B"/>
    <w:rsid w:val="0037566E"/>
    <w:rsid w:val="00376397"/>
    <w:rsid w:val="00377652"/>
    <w:rsid w:val="003801EC"/>
    <w:rsid w:val="00381592"/>
    <w:rsid w:val="003816D9"/>
    <w:rsid w:val="00390EC4"/>
    <w:rsid w:val="00390F90"/>
    <w:rsid w:val="003922D6"/>
    <w:rsid w:val="00392DC1"/>
    <w:rsid w:val="003937FF"/>
    <w:rsid w:val="00394FE0"/>
    <w:rsid w:val="00395DED"/>
    <w:rsid w:val="003960EC"/>
    <w:rsid w:val="00396A32"/>
    <w:rsid w:val="003A0A61"/>
    <w:rsid w:val="003A1047"/>
    <w:rsid w:val="003A2871"/>
    <w:rsid w:val="003A2F26"/>
    <w:rsid w:val="003A3236"/>
    <w:rsid w:val="003A336C"/>
    <w:rsid w:val="003A3FCC"/>
    <w:rsid w:val="003A443D"/>
    <w:rsid w:val="003A4A00"/>
    <w:rsid w:val="003A6C04"/>
    <w:rsid w:val="003A79C6"/>
    <w:rsid w:val="003B07A7"/>
    <w:rsid w:val="003B45D7"/>
    <w:rsid w:val="003B5272"/>
    <w:rsid w:val="003B5305"/>
    <w:rsid w:val="003B5C72"/>
    <w:rsid w:val="003C482D"/>
    <w:rsid w:val="003C4A5D"/>
    <w:rsid w:val="003C51BA"/>
    <w:rsid w:val="003C579F"/>
    <w:rsid w:val="003C67BF"/>
    <w:rsid w:val="003C67CC"/>
    <w:rsid w:val="003C6C27"/>
    <w:rsid w:val="003C7B0B"/>
    <w:rsid w:val="003D30CC"/>
    <w:rsid w:val="003D38FF"/>
    <w:rsid w:val="003D486D"/>
    <w:rsid w:val="003D55DE"/>
    <w:rsid w:val="003D6FE6"/>
    <w:rsid w:val="003D7F88"/>
    <w:rsid w:val="003E030B"/>
    <w:rsid w:val="003E0EC3"/>
    <w:rsid w:val="003E25C4"/>
    <w:rsid w:val="003E402C"/>
    <w:rsid w:val="003E49D4"/>
    <w:rsid w:val="003F1172"/>
    <w:rsid w:val="003F2A12"/>
    <w:rsid w:val="003F321A"/>
    <w:rsid w:val="003F34E4"/>
    <w:rsid w:val="003F4A08"/>
    <w:rsid w:val="003F5507"/>
    <w:rsid w:val="003F56E3"/>
    <w:rsid w:val="003F6BE9"/>
    <w:rsid w:val="003F793A"/>
    <w:rsid w:val="003F7F9C"/>
    <w:rsid w:val="004008EB"/>
    <w:rsid w:val="004009BF"/>
    <w:rsid w:val="00400D3F"/>
    <w:rsid w:val="00401E5A"/>
    <w:rsid w:val="00402140"/>
    <w:rsid w:val="00402240"/>
    <w:rsid w:val="00403D2F"/>
    <w:rsid w:val="00405BBB"/>
    <w:rsid w:val="004072E9"/>
    <w:rsid w:val="00411360"/>
    <w:rsid w:val="00413831"/>
    <w:rsid w:val="00414F51"/>
    <w:rsid w:val="00416526"/>
    <w:rsid w:val="0041681D"/>
    <w:rsid w:val="00416A5F"/>
    <w:rsid w:val="00416D16"/>
    <w:rsid w:val="00420AE8"/>
    <w:rsid w:val="004213CF"/>
    <w:rsid w:val="00421495"/>
    <w:rsid w:val="004216EE"/>
    <w:rsid w:val="00421C6A"/>
    <w:rsid w:val="0042260A"/>
    <w:rsid w:val="00422E4F"/>
    <w:rsid w:val="00422FEF"/>
    <w:rsid w:val="00423CD3"/>
    <w:rsid w:val="00424ABC"/>
    <w:rsid w:val="00424B66"/>
    <w:rsid w:val="00425317"/>
    <w:rsid w:val="004255E5"/>
    <w:rsid w:val="0042718F"/>
    <w:rsid w:val="004272DB"/>
    <w:rsid w:val="00430119"/>
    <w:rsid w:val="0043062D"/>
    <w:rsid w:val="00430BAE"/>
    <w:rsid w:val="00430D29"/>
    <w:rsid w:val="00431531"/>
    <w:rsid w:val="0043249A"/>
    <w:rsid w:val="00433F98"/>
    <w:rsid w:val="004343C5"/>
    <w:rsid w:val="00434609"/>
    <w:rsid w:val="00435C16"/>
    <w:rsid w:val="00442005"/>
    <w:rsid w:val="00444405"/>
    <w:rsid w:val="004456CF"/>
    <w:rsid w:val="004465C1"/>
    <w:rsid w:val="00446EA6"/>
    <w:rsid w:val="0044756E"/>
    <w:rsid w:val="0045088D"/>
    <w:rsid w:val="00450B35"/>
    <w:rsid w:val="00451057"/>
    <w:rsid w:val="0045353A"/>
    <w:rsid w:val="00454626"/>
    <w:rsid w:val="00456EBB"/>
    <w:rsid w:val="00457137"/>
    <w:rsid w:val="0045781B"/>
    <w:rsid w:val="00457966"/>
    <w:rsid w:val="00461A14"/>
    <w:rsid w:val="00462B62"/>
    <w:rsid w:val="004632AE"/>
    <w:rsid w:val="00464613"/>
    <w:rsid w:val="00464783"/>
    <w:rsid w:val="00465568"/>
    <w:rsid w:val="00466D60"/>
    <w:rsid w:val="004717D2"/>
    <w:rsid w:val="004749B2"/>
    <w:rsid w:val="00474B98"/>
    <w:rsid w:val="00475119"/>
    <w:rsid w:val="004752CB"/>
    <w:rsid w:val="004754A5"/>
    <w:rsid w:val="00475D29"/>
    <w:rsid w:val="0047677A"/>
    <w:rsid w:val="004775FB"/>
    <w:rsid w:val="0048052E"/>
    <w:rsid w:val="00480A86"/>
    <w:rsid w:val="00481CD9"/>
    <w:rsid w:val="004830FC"/>
    <w:rsid w:val="00483F83"/>
    <w:rsid w:val="00485885"/>
    <w:rsid w:val="00485EED"/>
    <w:rsid w:val="0048674E"/>
    <w:rsid w:val="00490382"/>
    <w:rsid w:val="00491748"/>
    <w:rsid w:val="00491FFD"/>
    <w:rsid w:val="00494829"/>
    <w:rsid w:val="00495D4C"/>
    <w:rsid w:val="004A1170"/>
    <w:rsid w:val="004A21BF"/>
    <w:rsid w:val="004A25AC"/>
    <w:rsid w:val="004A355B"/>
    <w:rsid w:val="004A39D4"/>
    <w:rsid w:val="004A79B5"/>
    <w:rsid w:val="004A7B52"/>
    <w:rsid w:val="004B1277"/>
    <w:rsid w:val="004B2900"/>
    <w:rsid w:val="004B33A5"/>
    <w:rsid w:val="004B4235"/>
    <w:rsid w:val="004B424A"/>
    <w:rsid w:val="004C0283"/>
    <w:rsid w:val="004C05DD"/>
    <w:rsid w:val="004C21DC"/>
    <w:rsid w:val="004C3B32"/>
    <w:rsid w:val="004C402C"/>
    <w:rsid w:val="004C43C7"/>
    <w:rsid w:val="004C4455"/>
    <w:rsid w:val="004C6F84"/>
    <w:rsid w:val="004C78D0"/>
    <w:rsid w:val="004C7F13"/>
    <w:rsid w:val="004D07D1"/>
    <w:rsid w:val="004D146D"/>
    <w:rsid w:val="004D1D72"/>
    <w:rsid w:val="004D31DB"/>
    <w:rsid w:val="004D326C"/>
    <w:rsid w:val="004D5422"/>
    <w:rsid w:val="004D79EF"/>
    <w:rsid w:val="004E0043"/>
    <w:rsid w:val="004E1BDB"/>
    <w:rsid w:val="004E560F"/>
    <w:rsid w:val="004E6F2C"/>
    <w:rsid w:val="004E73AC"/>
    <w:rsid w:val="004F3665"/>
    <w:rsid w:val="004F3ED7"/>
    <w:rsid w:val="004F4239"/>
    <w:rsid w:val="004F56D4"/>
    <w:rsid w:val="004F7E69"/>
    <w:rsid w:val="0050039E"/>
    <w:rsid w:val="0050081F"/>
    <w:rsid w:val="00502A35"/>
    <w:rsid w:val="0050776D"/>
    <w:rsid w:val="00507D89"/>
    <w:rsid w:val="00510659"/>
    <w:rsid w:val="00511228"/>
    <w:rsid w:val="00511504"/>
    <w:rsid w:val="00512171"/>
    <w:rsid w:val="00512D09"/>
    <w:rsid w:val="00513A5F"/>
    <w:rsid w:val="00513F66"/>
    <w:rsid w:val="0051414E"/>
    <w:rsid w:val="0051486C"/>
    <w:rsid w:val="005154B3"/>
    <w:rsid w:val="0051612F"/>
    <w:rsid w:val="005177D4"/>
    <w:rsid w:val="005202BB"/>
    <w:rsid w:val="005221A1"/>
    <w:rsid w:val="00523CBB"/>
    <w:rsid w:val="00524443"/>
    <w:rsid w:val="00524A2D"/>
    <w:rsid w:val="005252E3"/>
    <w:rsid w:val="00526F3E"/>
    <w:rsid w:val="005300BE"/>
    <w:rsid w:val="00531607"/>
    <w:rsid w:val="0053188D"/>
    <w:rsid w:val="0053396D"/>
    <w:rsid w:val="0053642A"/>
    <w:rsid w:val="00536BA4"/>
    <w:rsid w:val="00537F11"/>
    <w:rsid w:val="00540BA6"/>
    <w:rsid w:val="00541415"/>
    <w:rsid w:val="00541A3E"/>
    <w:rsid w:val="00542618"/>
    <w:rsid w:val="00543D64"/>
    <w:rsid w:val="00551083"/>
    <w:rsid w:val="00553371"/>
    <w:rsid w:val="005538B0"/>
    <w:rsid w:val="00554126"/>
    <w:rsid w:val="0055539C"/>
    <w:rsid w:val="00555F74"/>
    <w:rsid w:val="00556616"/>
    <w:rsid w:val="00557FD3"/>
    <w:rsid w:val="00560D32"/>
    <w:rsid w:val="00560D8B"/>
    <w:rsid w:val="0056195A"/>
    <w:rsid w:val="0056477A"/>
    <w:rsid w:val="00564805"/>
    <w:rsid w:val="00566853"/>
    <w:rsid w:val="00566ED2"/>
    <w:rsid w:val="00572516"/>
    <w:rsid w:val="005741DE"/>
    <w:rsid w:val="005742A3"/>
    <w:rsid w:val="00574323"/>
    <w:rsid w:val="00574776"/>
    <w:rsid w:val="00575917"/>
    <w:rsid w:val="00575978"/>
    <w:rsid w:val="0058008A"/>
    <w:rsid w:val="00580278"/>
    <w:rsid w:val="005814A0"/>
    <w:rsid w:val="00583327"/>
    <w:rsid w:val="00583F3F"/>
    <w:rsid w:val="005869FC"/>
    <w:rsid w:val="00587AD9"/>
    <w:rsid w:val="00590A10"/>
    <w:rsid w:val="00590C92"/>
    <w:rsid w:val="00591AD1"/>
    <w:rsid w:val="005936B6"/>
    <w:rsid w:val="00593C84"/>
    <w:rsid w:val="00595310"/>
    <w:rsid w:val="005955CC"/>
    <w:rsid w:val="005957D7"/>
    <w:rsid w:val="005960EC"/>
    <w:rsid w:val="005966CE"/>
    <w:rsid w:val="00597705"/>
    <w:rsid w:val="005979F7"/>
    <w:rsid w:val="00597EBA"/>
    <w:rsid w:val="005A03B6"/>
    <w:rsid w:val="005A2DB9"/>
    <w:rsid w:val="005A33A3"/>
    <w:rsid w:val="005A4C56"/>
    <w:rsid w:val="005B278E"/>
    <w:rsid w:val="005B2AB8"/>
    <w:rsid w:val="005B534F"/>
    <w:rsid w:val="005B557F"/>
    <w:rsid w:val="005B6B40"/>
    <w:rsid w:val="005B78C5"/>
    <w:rsid w:val="005C4926"/>
    <w:rsid w:val="005C4B4F"/>
    <w:rsid w:val="005C59A0"/>
    <w:rsid w:val="005C6AF9"/>
    <w:rsid w:val="005C6BC5"/>
    <w:rsid w:val="005C7306"/>
    <w:rsid w:val="005D081A"/>
    <w:rsid w:val="005D3A27"/>
    <w:rsid w:val="005D3AB5"/>
    <w:rsid w:val="005D41FE"/>
    <w:rsid w:val="005D4A7F"/>
    <w:rsid w:val="005D5075"/>
    <w:rsid w:val="005D5EF8"/>
    <w:rsid w:val="005D6147"/>
    <w:rsid w:val="005D6D3B"/>
    <w:rsid w:val="005D7972"/>
    <w:rsid w:val="005E0DFB"/>
    <w:rsid w:val="005E124D"/>
    <w:rsid w:val="005E1765"/>
    <w:rsid w:val="005E475E"/>
    <w:rsid w:val="005F11C2"/>
    <w:rsid w:val="005F133B"/>
    <w:rsid w:val="005F1BB9"/>
    <w:rsid w:val="005F20D7"/>
    <w:rsid w:val="005F2AD2"/>
    <w:rsid w:val="005F4F43"/>
    <w:rsid w:val="005F64A1"/>
    <w:rsid w:val="005F79D5"/>
    <w:rsid w:val="005F7ACE"/>
    <w:rsid w:val="0060368D"/>
    <w:rsid w:val="006039A3"/>
    <w:rsid w:val="00603A73"/>
    <w:rsid w:val="006042B4"/>
    <w:rsid w:val="0060454F"/>
    <w:rsid w:val="00604DDE"/>
    <w:rsid w:val="00606C8C"/>
    <w:rsid w:val="0061063E"/>
    <w:rsid w:val="00611025"/>
    <w:rsid w:val="00613571"/>
    <w:rsid w:val="00614013"/>
    <w:rsid w:val="00614A3F"/>
    <w:rsid w:val="006150C7"/>
    <w:rsid w:val="00615331"/>
    <w:rsid w:val="00616A09"/>
    <w:rsid w:val="00617EDF"/>
    <w:rsid w:val="00620836"/>
    <w:rsid w:val="006218CE"/>
    <w:rsid w:val="00623B29"/>
    <w:rsid w:val="00624D5A"/>
    <w:rsid w:val="0062649E"/>
    <w:rsid w:val="00627E54"/>
    <w:rsid w:val="00631D35"/>
    <w:rsid w:val="0063415B"/>
    <w:rsid w:val="00634DDE"/>
    <w:rsid w:val="00641EDC"/>
    <w:rsid w:val="006436B7"/>
    <w:rsid w:val="00643924"/>
    <w:rsid w:val="00643D89"/>
    <w:rsid w:val="00643F24"/>
    <w:rsid w:val="006445AC"/>
    <w:rsid w:val="006449CE"/>
    <w:rsid w:val="0064702B"/>
    <w:rsid w:val="00647042"/>
    <w:rsid w:val="0064765E"/>
    <w:rsid w:val="006478DB"/>
    <w:rsid w:val="00651092"/>
    <w:rsid w:val="00652A14"/>
    <w:rsid w:val="00652C1E"/>
    <w:rsid w:val="006567F1"/>
    <w:rsid w:val="00656FD0"/>
    <w:rsid w:val="006607F8"/>
    <w:rsid w:val="00660DDA"/>
    <w:rsid w:val="00661110"/>
    <w:rsid w:val="00661CE0"/>
    <w:rsid w:val="00661F32"/>
    <w:rsid w:val="00662544"/>
    <w:rsid w:val="00663CEB"/>
    <w:rsid w:val="006650F2"/>
    <w:rsid w:val="00667586"/>
    <w:rsid w:val="00672B7E"/>
    <w:rsid w:val="006736E4"/>
    <w:rsid w:val="00673894"/>
    <w:rsid w:val="0067429F"/>
    <w:rsid w:val="0067568A"/>
    <w:rsid w:val="00675F2C"/>
    <w:rsid w:val="006770C4"/>
    <w:rsid w:val="00677407"/>
    <w:rsid w:val="00677650"/>
    <w:rsid w:val="00680124"/>
    <w:rsid w:val="006807D0"/>
    <w:rsid w:val="00680CB3"/>
    <w:rsid w:val="00681B80"/>
    <w:rsid w:val="00682FE8"/>
    <w:rsid w:val="006844C3"/>
    <w:rsid w:val="00685F3A"/>
    <w:rsid w:val="00687DB0"/>
    <w:rsid w:val="00693A10"/>
    <w:rsid w:val="006949A9"/>
    <w:rsid w:val="0069598E"/>
    <w:rsid w:val="00696D72"/>
    <w:rsid w:val="006A03BC"/>
    <w:rsid w:val="006A13FD"/>
    <w:rsid w:val="006A29F7"/>
    <w:rsid w:val="006A543E"/>
    <w:rsid w:val="006A5B56"/>
    <w:rsid w:val="006A5E6F"/>
    <w:rsid w:val="006A627E"/>
    <w:rsid w:val="006B11CD"/>
    <w:rsid w:val="006B698E"/>
    <w:rsid w:val="006B6A3E"/>
    <w:rsid w:val="006B6F5C"/>
    <w:rsid w:val="006C206B"/>
    <w:rsid w:val="006C2189"/>
    <w:rsid w:val="006C3357"/>
    <w:rsid w:val="006C422E"/>
    <w:rsid w:val="006C4B3B"/>
    <w:rsid w:val="006C5A30"/>
    <w:rsid w:val="006D1579"/>
    <w:rsid w:val="006D2208"/>
    <w:rsid w:val="006D2290"/>
    <w:rsid w:val="006D22D9"/>
    <w:rsid w:val="006D2FCE"/>
    <w:rsid w:val="006D470E"/>
    <w:rsid w:val="006D479A"/>
    <w:rsid w:val="006D4F99"/>
    <w:rsid w:val="006D546E"/>
    <w:rsid w:val="006E0369"/>
    <w:rsid w:val="006E3750"/>
    <w:rsid w:val="006E3A19"/>
    <w:rsid w:val="006E4BDE"/>
    <w:rsid w:val="006E4DD2"/>
    <w:rsid w:val="006E5117"/>
    <w:rsid w:val="006E6117"/>
    <w:rsid w:val="006E62A9"/>
    <w:rsid w:val="006E6D01"/>
    <w:rsid w:val="006E6EFC"/>
    <w:rsid w:val="006F180E"/>
    <w:rsid w:val="006F1AC3"/>
    <w:rsid w:val="006F301E"/>
    <w:rsid w:val="006F3911"/>
    <w:rsid w:val="006F4B21"/>
    <w:rsid w:val="007004D2"/>
    <w:rsid w:val="0070196C"/>
    <w:rsid w:val="00701A8D"/>
    <w:rsid w:val="00702DD6"/>
    <w:rsid w:val="00707023"/>
    <w:rsid w:val="0070719F"/>
    <w:rsid w:val="00707D37"/>
    <w:rsid w:val="007118E0"/>
    <w:rsid w:val="007135AE"/>
    <w:rsid w:val="007137F9"/>
    <w:rsid w:val="00713A13"/>
    <w:rsid w:val="00713D9C"/>
    <w:rsid w:val="00716864"/>
    <w:rsid w:val="00717391"/>
    <w:rsid w:val="00717EFF"/>
    <w:rsid w:val="007214EE"/>
    <w:rsid w:val="00722C9D"/>
    <w:rsid w:val="00723221"/>
    <w:rsid w:val="007240F2"/>
    <w:rsid w:val="0072441E"/>
    <w:rsid w:val="00724937"/>
    <w:rsid w:val="00727335"/>
    <w:rsid w:val="00731140"/>
    <w:rsid w:val="007315A3"/>
    <w:rsid w:val="0073324A"/>
    <w:rsid w:val="007336D5"/>
    <w:rsid w:val="00733779"/>
    <w:rsid w:val="00733A25"/>
    <w:rsid w:val="00736106"/>
    <w:rsid w:val="007400C2"/>
    <w:rsid w:val="00741706"/>
    <w:rsid w:val="00741A8B"/>
    <w:rsid w:val="00742CB4"/>
    <w:rsid w:val="00743DEE"/>
    <w:rsid w:val="00744A09"/>
    <w:rsid w:val="00744F66"/>
    <w:rsid w:val="0074592F"/>
    <w:rsid w:val="007465D2"/>
    <w:rsid w:val="007472ED"/>
    <w:rsid w:val="007513E2"/>
    <w:rsid w:val="00752450"/>
    <w:rsid w:val="00752BC4"/>
    <w:rsid w:val="00754003"/>
    <w:rsid w:val="007540CF"/>
    <w:rsid w:val="00754DFD"/>
    <w:rsid w:val="0075676E"/>
    <w:rsid w:val="00760589"/>
    <w:rsid w:val="00760BAB"/>
    <w:rsid w:val="00760CC7"/>
    <w:rsid w:val="00760FE8"/>
    <w:rsid w:val="00761109"/>
    <w:rsid w:val="007626CC"/>
    <w:rsid w:val="00770518"/>
    <w:rsid w:val="00770888"/>
    <w:rsid w:val="00771CAC"/>
    <w:rsid w:val="00771E91"/>
    <w:rsid w:val="007739E8"/>
    <w:rsid w:val="00773CB8"/>
    <w:rsid w:val="00774B0D"/>
    <w:rsid w:val="007757FA"/>
    <w:rsid w:val="007768B2"/>
    <w:rsid w:val="007774FB"/>
    <w:rsid w:val="007775C5"/>
    <w:rsid w:val="00781A64"/>
    <w:rsid w:val="0078308A"/>
    <w:rsid w:val="00783357"/>
    <w:rsid w:val="00785B89"/>
    <w:rsid w:val="00786115"/>
    <w:rsid w:val="00786C75"/>
    <w:rsid w:val="00787B18"/>
    <w:rsid w:val="007951BD"/>
    <w:rsid w:val="00795C99"/>
    <w:rsid w:val="007974A0"/>
    <w:rsid w:val="007A0FEF"/>
    <w:rsid w:val="007A160B"/>
    <w:rsid w:val="007A163C"/>
    <w:rsid w:val="007A19CF"/>
    <w:rsid w:val="007A2873"/>
    <w:rsid w:val="007A2C2F"/>
    <w:rsid w:val="007A3DA5"/>
    <w:rsid w:val="007A4070"/>
    <w:rsid w:val="007A5647"/>
    <w:rsid w:val="007A6EB2"/>
    <w:rsid w:val="007B1C4C"/>
    <w:rsid w:val="007B2444"/>
    <w:rsid w:val="007B2616"/>
    <w:rsid w:val="007B281F"/>
    <w:rsid w:val="007B33F7"/>
    <w:rsid w:val="007B3B28"/>
    <w:rsid w:val="007B3DC9"/>
    <w:rsid w:val="007B57B1"/>
    <w:rsid w:val="007B75DE"/>
    <w:rsid w:val="007B7AA8"/>
    <w:rsid w:val="007C0866"/>
    <w:rsid w:val="007C0DEA"/>
    <w:rsid w:val="007C24E3"/>
    <w:rsid w:val="007C2740"/>
    <w:rsid w:val="007C27B5"/>
    <w:rsid w:val="007C387E"/>
    <w:rsid w:val="007C3E19"/>
    <w:rsid w:val="007C3F89"/>
    <w:rsid w:val="007C4E2E"/>
    <w:rsid w:val="007C616B"/>
    <w:rsid w:val="007D164C"/>
    <w:rsid w:val="007D27C8"/>
    <w:rsid w:val="007D2BE0"/>
    <w:rsid w:val="007D4463"/>
    <w:rsid w:val="007D4AEC"/>
    <w:rsid w:val="007D5356"/>
    <w:rsid w:val="007D6EAC"/>
    <w:rsid w:val="007E0034"/>
    <w:rsid w:val="007E2C2E"/>
    <w:rsid w:val="007E2F1F"/>
    <w:rsid w:val="007E3312"/>
    <w:rsid w:val="007E3EE9"/>
    <w:rsid w:val="007E4FEE"/>
    <w:rsid w:val="007E5AE4"/>
    <w:rsid w:val="007E5C98"/>
    <w:rsid w:val="007E5E98"/>
    <w:rsid w:val="007E69B2"/>
    <w:rsid w:val="007E7285"/>
    <w:rsid w:val="007E7580"/>
    <w:rsid w:val="007E7F24"/>
    <w:rsid w:val="007F132F"/>
    <w:rsid w:val="007F3457"/>
    <w:rsid w:val="007F4D23"/>
    <w:rsid w:val="007F5DB6"/>
    <w:rsid w:val="007F61FB"/>
    <w:rsid w:val="008039DD"/>
    <w:rsid w:val="0080473E"/>
    <w:rsid w:val="008053A2"/>
    <w:rsid w:val="00810793"/>
    <w:rsid w:val="00812FA6"/>
    <w:rsid w:val="0081412D"/>
    <w:rsid w:val="00815E1B"/>
    <w:rsid w:val="00817714"/>
    <w:rsid w:val="008200B6"/>
    <w:rsid w:val="00820D6E"/>
    <w:rsid w:val="00821077"/>
    <w:rsid w:val="00821158"/>
    <w:rsid w:val="00825A08"/>
    <w:rsid w:val="00826C5F"/>
    <w:rsid w:val="00827338"/>
    <w:rsid w:val="00827474"/>
    <w:rsid w:val="00827B22"/>
    <w:rsid w:val="00832443"/>
    <w:rsid w:val="0083316C"/>
    <w:rsid w:val="008344BA"/>
    <w:rsid w:val="00834971"/>
    <w:rsid w:val="00836872"/>
    <w:rsid w:val="008406FE"/>
    <w:rsid w:val="00840A88"/>
    <w:rsid w:val="00840D66"/>
    <w:rsid w:val="00841663"/>
    <w:rsid w:val="00843870"/>
    <w:rsid w:val="00843B3F"/>
    <w:rsid w:val="00845CEF"/>
    <w:rsid w:val="0084602E"/>
    <w:rsid w:val="00846775"/>
    <w:rsid w:val="00846E9D"/>
    <w:rsid w:val="008471E4"/>
    <w:rsid w:val="008474C4"/>
    <w:rsid w:val="008513AC"/>
    <w:rsid w:val="0085202B"/>
    <w:rsid w:val="008523E0"/>
    <w:rsid w:val="00853FCB"/>
    <w:rsid w:val="00860A85"/>
    <w:rsid w:val="00863389"/>
    <w:rsid w:val="00863AFE"/>
    <w:rsid w:val="00863E5E"/>
    <w:rsid w:val="00864932"/>
    <w:rsid w:val="00864D6B"/>
    <w:rsid w:val="008671ED"/>
    <w:rsid w:val="00867EB4"/>
    <w:rsid w:val="0087050F"/>
    <w:rsid w:val="00870B61"/>
    <w:rsid w:val="00870DD6"/>
    <w:rsid w:val="0087190C"/>
    <w:rsid w:val="008759BB"/>
    <w:rsid w:val="00880358"/>
    <w:rsid w:val="008807A0"/>
    <w:rsid w:val="00881455"/>
    <w:rsid w:val="008819DC"/>
    <w:rsid w:val="00881E6C"/>
    <w:rsid w:val="00882BB7"/>
    <w:rsid w:val="0088429B"/>
    <w:rsid w:val="00886A04"/>
    <w:rsid w:val="0089001F"/>
    <w:rsid w:val="00890373"/>
    <w:rsid w:val="00890661"/>
    <w:rsid w:val="00890F71"/>
    <w:rsid w:val="00891104"/>
    <w:rsid w:val="0089230F"/>
    <w:rsid w:val="0089382C"/>
    <w:rsid w:val="0089384E"/>
    <w:rsid w:val="00894211"/>
    <w:rsid w:val="00894546"/>
    <w:rsid w:val="00895E7A"/>
    <w:rsid w:val="00896286"/>
    <w:rsid w:val="0089731B"/>
    <w:rsid w:val="00897802"/>
    <w:rsid w:val="00897C45"/>
    <w:rsid w:val="008A01E7"/>
    <w:rsid w:val="008A1CFD"/>
    <w:rsid w:val="008A1D89"/>
    <w:rsid w:val="008A250C"/>
    <w:rsid w:val="008A2D3E"/>
    <w:rsid w:val="008A3764"/>
    <w:rsid w:val="008A40F8"/>
    <w:rsid w:val="008B3974"/>
    <w:rsid w:val="008B46D0"/>
    <w:rsid w:val="008B4D36"/>
    <w:rsid w:val="008B52CF"/>
    <w:rsid w:val="008C2191"/>
    <w:rsid w:val="008C55B0"/>
    <w:rsid w:val="008C6078"/>
    <w:rsid w:val="008C655A"/>
    <w:rsid w:val="008C6BFF"/>
    <w:rsid w:val="008D06C3"/>
    <w:rsid w:val="008D1E2F"/>
    <w:rsid w:val="008D2D2C"/>
    <w:rsid w:val="008D3BCE"/>
    <w:rsid w:val="008D691F"/>
    <w:rsid w:val="008E2037"/>
    <w:rsid w:val="008E2733"/>
    <w:rsid w:val="008E34A5"/>
    <w:rsid w:val="008E6C6F"/>
    <w:rsid w:val="008E7E1E"/>
    <w:rsid w:val="008F11C2"/>
    <w:rsid w:val="008F1595"/>
    <w:rsid w:val="008F3261"/>
    <w:rsid w:val="008F4784"/>
    <w:rsid w:val="008F6A28"/>
    <w:rsid w:val="008F7B31"/>
    <w:rsid w:val="0090097D"/>
    <w:rsid w:val="00901855"/>
    <w:rsid w:val="00901DF6"/>
    <w:rsid w:val="00905B31"/>
    <w:rsid w:val="00906DBD"/>
    <w:rsid w:val="009077D9"/>
    <w:rsid w:val="00912C02"/>
    <w:rsid w:val="00912E34"/>
    <w:rsid w:val="00913923"/>
    <w:rsid w:val="009147C5"/>
    <w:rsid w:val="009160FC"/>
    <w:rsid w:val="0091681F"/>
    <w:rsid w:val="00916AF5"/>
    <w:rsid w:val="009176CB"/>
    <w:rsid w:val="009236CE"/>
    <w:rsid w:val="00924FFF"/>
    <w:rsid w:val="00925986"/>
    <w:rsid w:val="009300E0"/>
    <w:rsid w:val="0093525F"/>
    <w:rsid w:val="009358AF"/>
    <w:rsid w:val="009358D1"/>
    <w:rsid w:val="0093706C"/>
    <w:rsid w:val="00940F80"/>
    <w:rsid w:val="00942924"/>
    <w:rsid w:val="009433B0"/>
    <w:rsid w:val="00943CBE"/>
    <w:rsid w:val="009455CE"/>
    <w:rsid w:val="00945ABA"/>
    <w:rsid w:val="009462A1"/>
    <w:rsid w:val="00952575"/>
    <w:rsid w:val="00953048"/>
    <w:rsid w:val="00953D4F"/>
    <w:rsid w:val="00953F94"/>
    <w:rsid w:val="0095469E"/>
    <w:rsid w:val="00956B97"/>
    <w:rsid w:val="00956C3F"/>
    <w:rsid w:val="00960838"/>
    <w:rsid w:val="0096366F"/>
    <w:rsid w:val="009637B8"/>
    <w:rsid w:val="00964510"/>
    <w:rsid w:val="009650DC"/>
    <w:rsid w:val="009668AC"/>
    <w:rsid w:val="00971E39"/>
    <w:rsid w:val="0097266A"/>
    <w:rsid w:val="00973E42"/>
    <w:rsid w:val="009747A3"/>
    <w:rsid w:val="00974E69"/>
    <w:rsid w:val="0097545B"/>
    <w:rsid w:val="00975589"/>
    <w:rsid w:val="00977400"/>
    <w:rsid w:val="009777F4"/>
    <w:rsid w:val="00980F6A"/>
    <w:rsid w:val="00982FDC"/>
    <w:rsid w:val="00986FEA"/>
    <w:rsid w:val="0098765C"/>
    <w:rsid w:val="00987854"/>
    <w:rsid w:val="0098AE70"/>
    <w:rsid w:val="00990D90"/>
    <w:rsid w:val="0099385A"/>
    <w:rsid w:val="00994696"/>
    <w:rsid w:val="00994E49"/>
    <w:rsid w:val="009A1E7D"/>
    <w:rsid w:val="009A1FD0"/>
    <w:rsid w:val="009A3096"/>
    <w:rsid w:val="009A3279"/>
    <w:rsid w:val="009A3351"/>
    <w:rsid w:val="009A3F32"/>
    <w:rsid w:val="009A6BCF"/>
    <w:rsid w:val="009A7A10"/>
    <w:rsid w:val="009B11D6"/>
    <w:rsid w:val="009B1D84"/>
    <w:rsid w:val="009B2170"/>
    <w:rsid w:val="009B32F0"/>
    <w:rsid w:val="009B347D"/>
    <w:rsid w:val="009B3FDF"/>
    <w:rsid w:val="009B45E4"/>
    <w:rsid w:val="009B4B24"/>
    <w:rsid w:val="009B6A07"/>
    <w:rsid w:val="009B7744"/>
    <w:rsid w:val="009C0743"/>
    <w:rsid w:val="009C215B"/>
    <w:rsid w:val="009C2BCA"/>
    <w:rsid w:val="009C2F90"/>
    <w:rsid w:val="009C38B2"/>
    <w:rsid w:val="009C3F71"/>
    <w:rsid w:val="009C46D4"/>
    <w:rsid w:val="009C4D3F"/>
    <w:rsid w:val="009C582F"/>
    <w:rsid w:val="009C5ECA"/>
    <w:rsid w:val="009C5F15"/>
    <w:rsid w:val="009C7A37"/>
    <w:rsid w:val="009D087C"/>
    <w:rsid w:val="009D1DAA"/>
    <w:rsid w:val="009D2234"/>
    <w:rsid w:val="009D234B"/>
    <w:rsid w:val="009D671F"/>
    <w:rsid w:val="009D7966"/>
    <w:rsid w:val="009E3C17"/>
    <w:rsid w:val="009E4409"/>
    <w:rsid w:val="009E4BEA"/>
    <w:rsid w:val="009E5448"/>
    <w:rsid w:val="009E6440"/>
    <w:rsid w:val="009E6EFC"/>
    <w:rsid w:val="009F30A5"/>
    <w:rsid w:val="009F33D6"/>
    <w:rsid w:val="009F37AF"/>
    <w:rsid w:val="009F37F9"/>
    <w:rsid w:val="009F57AE"/>
    <w:rsid w:val="009F5B1A"/>
    <w:rsid w:val="009F6E1A"/>
    <w:rsid w:val="00A0079C"/>
    <w:rsid w:val="00A028F5"/>
    <w:rsid w:val="00A03183"/>
    <w:rsid w:val="00A034D7"/>
    <w:rsid w:val="00A04416"/>
    <w:rsid w:val="00A04EE8"/>
    <w:rsid w:val="00A0585F"/>
    <w:rsid w:val="00A11380"/>
    <w:rsid w:val="00A11CBF"/>
    <w:rsid w:val="00A12CE1"/>
    <w:rsid w:val="00A13799"/>
    <w:rsid w:val="00A148DE"/>
    <w:rsid w:val="00A152F3"/>
    <w:rsid w:val="00A15DBC"/>
    <w:rsid w:val="00A16202"/>
    <w:rsid w:val="00A16BF7"/>
    <w:rsid w:val="00A22A06"/>
    <w:rsid w:val="00A22C28"/>
    <w:rsid w:val="00A2306E"/>
    <w:rsid w:val="00A23DEB"/>
    <w:rsid w:val="00A24DCE"/>
    <w:rsid w:val="00A26E68"/>
    <w:rsid w:val="00A27D2E"/>
    <w:rsid w:val="00A27E8C"/>
    <w:rsid w:val="00A300DB"/>
    <w:rsid w:val="00A31866"/>
    <w:rsid w:val="00A32171"/>
    <w:rsid w:val="00A360D3"/>
    <w:rsid w:val="00A4018D"/>
    <w:rsid w:val="00A402B2"/>
    <w:rsid w:val="00A4049D"/>
    <w:rsid w:val="00A41024"/>
    <w:rsid w:val="00A41FF5"/>
    <w:rsid w:val="00A42158"/>
    <w:rsid w:val="00A42E91"/>
    <w:rsid w:val="00A462B6"/>
    <w:rsid w:val="00A514E5"/>
    <w:rsid w:val="00A518BA"/>
    <w:rsid w:val="00A51B2C"/>
    <w:rsid w:val="00A51B47"/>
    <w:rsid w:val="00A51B76"/>
    <w:rsid w:val="00A51DFE"/>
    <w:rsid w:val="00A52AC2"/>
    <w:rsid w:val="00A53457"/>
    <w:rsid w:val="00A537B6"/>
    <w:rsid w:val="00A541D9"/>
    <w:rsid w:val="00A549A4"/>
    <w:rsid w:val="00A5511F"/>
    <w:rsid w:val="00A553A2"/>
    <w:rsid w:val="00A55EE4"/>
    <w:rsid w:val="00A5683A"/>
    <w:rsid w:val="00A606EB"/>
    <w:rsid w:val="00A6355D"/>
    <w:rsid w:val="00A645BB"/>
    <w:rsid w:val="00A64E86"/>
    <w:rsid w:val="00A64F19"/>
    <w:rsid w:val="00A65389"/>
    <w:rsid w:val="00A65BF0"/>
    <w:rsid w:val="00A673F7"/>
    <w:rsid w:val="00A6775D"/>
    <w:rsid w:val="00A7045B"/>
    <w:rsid w:val="00A721DA"/>
    <w:rsid w:val="00A72598"/>
    <w:rsid w:val="00A73E9E"/>
    <w:rsid w:val="00A74B51"/>
    <w:rsid w:val="00A761F5"/>
    <w:rsid w:val="00A76FB8"/>
    <w:rsid w:val="00A7785A"/>
    <w:rsid w:val="00A82757"/>
    <w:rsid w:val="00A83D18"/>
    <w:rsid w:val="00A83D31"/>
    <w:rsid w:val="00A85048"/>
    <w:rsid w:val="00A8588B"/>
    <w:rsid w:val="00A86432"/>
    <w:rsid w:val="00A87D8B"/>
    <w:rsid w:val="00A9186A"/>
    <w:rsid w:val="00A91F2E"/>
    <w:rsid w:val="00A92FD1"/>
    <w:rsid w:val="00A93409"/>
    <w:rsid w:val="00A93955"/>
    <w:rsid w:val="00A93E2C"/>
    <w:rsid w:val="00A9440C"/>
    <w:rsid w:val="00AA037E"/>
    <w:rsid w:val="00AA17A3"/>
    <w:rsid w:val="00AA3C8B"/>
    <w:rsid w:val="00AA4773"/>
    <w:rsid w:val="00AA4FD8"/>
    <w:rsid w:val="00AA5682"/>
    <w:rsid w:val="00AA62DF"/>
    <w:rsid w:val="00AA6DDF"/>
    <w:rsid w:val="00AA70FD"/>
    <w:rsid w:val="00AA76D8"/>
    <w:rsid w:val="00AB0BA0"/>
    <w:rsid w:val="00AB13FB"/>
    <w:rsid w:val="00AB21D3"/>
    <w:rsid w:val="00AB2236"/>
    <w:rsid w:val="00AB2A93"/>
    <w:rsid w:val="00AB3E31"/>
    <w:rsid w:val="00AB48C9"/>
    <w:rsid w:val="00AB5719"/>
    <w:rsid w:val="00AB5ECC"/>
    <w:rsid w:val="00AC028E"/>
    <w:rsid w:val="00AC2665"/>
    <w:rsid w:val="00AC27EF"/>
    <w:rsid w:val="00AC33A3"/>
    <w:rsid w:val="00AC3633"/>
    <w:rsid w:val="00AC44CE"/>
    <w:rsid w:val="00AC577C"/>
    <w:rsid w:val="00AC6784"/>
    <w:rsid w:val="00AC7D22"/>
    <w:rsid w:val="00AC7D4A"/>
    <w:rsid w:val="00AD0AE9"/>
    <w:rsid w:val="00AD2593"/>
    <w:rsid w:val="00AD2846"/>
    <w:rsid w:val="00AD3622"/>
    <w:rsid w:val="00AD3D34"/>
    <w:rsid w:val="00AD5272"/>
    <w:rsid w:val="00AD5A37"/>
    <w:rsid w:val="00AD5A6D"/>
    <w:rsid w:val="00AD6956"/>
    <w:rsid w:val="00AD6B70"/>
    <w:rsid w:val="00AD6FB0"/>
    <w:rsid w:val="00AD731C"/>
    <w:rsid w:val="00AD76B3"/>
    <w:rsid w:val="00AE1E6F"/>
    <w:rsid w:val="00AE5D38"/>
    <w:rsid w:val="00AE73CF"/>
    <w:rsid w:val="00AF0FB3"/>
    <w:rsid w:val="00AF1244"/>
    <w:rsid w:val="00AF4B7C"/>
    <w:rsid w:val="00AF514B"/>
    <w:rsid w:val="00AF5BE2"/>
    <w:rsid w:val="00AF6FC1"/>
    <w:rsid w:val="00B02D5B"/>
    <w:rsid w:val="00B031DF"/>
    <w:rsid w:val="00B03B1C"/>
    <w:rsid w:val="00B04B75"/>
    <w:rsid w:val="00B051E5"/>
    <w:rsid w:val="00B052A1"/>
    <w:rsid w:val="00B05313"/>
    <w:rsid w:val="00B05EC3"/>
    <w:rsid w:val="00B0602F"/>
    <w:rsid w:val="00B069FC"/>
    <w:rsid w:val="00B07908"/>
    <w:rsid w:val="00B07B8F"/>
    <w:rsid w:val="00B11E80"/>
    <w:rsid w:val="00B1210F"/>
    <w:rsid w:val="00B1349D"/>
    <w:rsid w:val="00B14BA4"/>
    <w:rsid w:val="00B15C65"/>
    <w:rsid w:val="00B15F23"/>
    <w:rsid w:val="00B20FAF"/>
    <w:rsid w:val="00B21FD7"/>
    <w:rsid w:val="00B22A75"/>
    <w:rsid w:val="00B22B34"/>
    <w:rsid w:val="00B231EF"/>
    <w:rsid w:val="00B23491"/>
    <w:rsid w:val="00B234AB"/>
    <w:rsid w:val="00B24C96"/>
    <w:rsid w:val="00B25C44"/>
    <w:rsid w:val="00B26380"/>
    <w:rsid w:val="00B267AE"/>
    <w:rsid w:val="00B2710D"/>
    <w:rsid w:val="00B2F9DD"/>
    <w:rsid w:val="00B303C6"/>
    <w:rsid w:val="00B30D6B"/>
    <w:rsid w:val="00B3176D"/>
    <w:rsid w:val="00B31C13"/>
    <w:rsid w:val="00B332CC"/>
    <w:rsid w:val="00B35DAA"/>
    <w:rsid w:val="00B40071"/>
    <w:rsid w:val="00B4016F"/>
    <w:rsid w:val="00B401FE"/>
    <w:rsid w:val="00B41B4B"/>
    <w:rsid w:val="00B41E3D"/>
    <w:rsid w:val="00B44948"/>
    <w:rsid w:val="00B451FA"/>
    <w:rsid w:val="00B452CA"/>
    <w:rsid w:val="00B45B11"/>
    <w:rsid w:val="00B461C7"/>
    <w:rsid w:val="00B46BC6"/>
    <w:rsid w:val="00B47B9C"/>
    <w:rsid w:val="00B5008C"/>
    <w:rsid w:val="00B5032D"/>
    <w:rsid w:val="00B50799"/>
    <w:rsid w:val="00B5105A"/>
    <w:rsid w:val="00B5127C"/>
    <w:rsid w:val="00B52AE8"/>
    <w:rsid w:val="00B57350"/>
    <w:rsid w:val="00B579D4"/>
    <w:rsid w:val="00B57BA5"/>
    <w:rsid w:val="00B60FD8"/>
    <w:rsid w:val="00B613DB"/>
    <w:rsid w:val="00B61824"/>
    <w:rsid w:val="00B61CB6"/>
    <w:rsid w:val="00B6344B"/>
    <w:rsid w:val="00B65DC3"/>
    <w:rsid w:val="00B72F79"/>
    <w:rsid w:val="00B740F1"/>
    <w:rsid w:val="00B7428B"/>
    <w:rsid w:val="00B74F8E"/>
    <w:rsid w:val="00B75431"/>
    <w:rsid w:val="00B7633F"/>
    <w:rsid w:val="00B77EAE"/>
    <w:rsid w:val="00B81059"/>
    <w:rsid w:val="00B81AC2"/>
    <w:rsid w:val="00B8418E"/>
    <w:rsid w:val="00B842F7"/>
    <w:rsid w:val="00B86318"/>
    <w:rsid w:val="00B86A3F"/>
    <w:rsid w:val="00B86C27"/>
    <w:rsid w:val="00B878C7"/>
    <w:rsid w:val="00B87C07"/>
    <w:rsid w:val="00B87C1C"/>
    <w:rsid w:val="00B90596"/>
    <w:rsid w:val="00B90923"/>
    <w:rsid w:val="00B92457"/>
    <w:rsid w:val="00B930DB"/>
    <w:rsid w:val="00B95181"/>
    <w:rsid w:val="00B96861"/>
    <w:rsid w:val="00B97A61"/>
    <w:rsid w:val="00BA06CA"/>
    <w:rsid w:val="00BA0FC9"/>
    <w:rsid w:val="00BA0FCA"/>
    <w:rsid w:val="00BA5A71"/>
    <w:rsid w:val="00BA6D28"/>
    <w:rsid w:val="00BA72F4"/>
    <w:rsid w:val="00BB126D"/>
    <w:rsid w:val="00BB2CAD"/>
    <w:rsid w:val="00BB33B9"/>
    <w:rsid w:val="00BB41DF"/>
    <w:rsid w:val="00BB5557"/>
    <w:rsid w:val="00BB62C7"/>
    <w:rsid w:val="00BB7635"/>
    <w:rsid w:val="00BC0B85"/>
    <w:rsid w:val="00BC1246"/>
    <w:rsid w:val="00BC2770"/>
    <w:rsid w:val="00BC31EB"/>
    <w:rsid w:val="00BC39C3"/>
    <w:rsid w:val="00BC3B75"/>
    <w:rsid w:val="00BC6492"/>
    <w:rsid w:val="00BC65AB"/>
    <w:rsid w:val="00BC6D0F"/>
    <w:rsid w:val="00BD0593"/>
    <w:rsid w:val="00BD406D"/>
    <w:rsid w:val="00BD487D"/>
    <w:rsid w:val="00BD5B7A"/>
    <w:rsid w:val="00BD67E2"/>
    <w:rsid w:val="00BD7E06"/>
    <w:rsid w:val="00BE0BFC"/>
    <w:rsid w:val="00BE284F"/>
    <w:rsid w:val="00BE35CB"/>
    <w:rsid w:val="00BE361C"/>
    <w:rsid w:val="00BE5996"/>
    <w:rsid w:val="00BE5D6C"/>
    <w:rsid w:val="00BE6437"/>
    <w:rsid w:val="00BF0DB5"/>
    <w:rsid w:val="00BF2C45"/>
    <w:rsid w:val="00BF5403"/>
    <w:rsid w:val="00BF7581"/>
    <w:rsid w:val="00C01A71"/>
    <w:rsid w:val="00C03084"/>
    <w:rsid w:val="00C10804"/>
    <w:rsid w:val="00C11182"/>
    <w:rsid w:val="00C11AC4"/>
    <w:rsid w:val="00C1211C"/>
    <w:rsid w:val="00C134A7"/>
    <w:rsid w:val="00C13FD1"/>
    <w:rsid w:val="00C161CE"/>
    <w:rsid w:val="00C16BB3"/>
    <w:rsid w:val="00C171CB"/>
    <w:rsid w:val="00C17C71"/>
    <w:rsid w:val="00C2000C"/>
    <w:rsid w:val="00C204A6"/>
    <w:rsid w:val="00C204FA"/>
    <w:rsid w:val="00C228C0"/>
    <w:rsid w:val="00C23363"/>
    <w:rsid w:val="00C24A55"/>
    <w:rsid w:val="00C25F71"/>
    <w:rsid w:val="00C2742C"/>
    <w:rsid w:val="00C3152C"/>
    <w:rsid w:val="00C31DA5"/>
    <w:rsid w:val="00C33216"/>
    <w:rsid w:val="00C33743"/>
    <w:rsid w:val="00C342BB"/>
    <w:rsid w:val="00C3459E"/>
    <w:rsid w:val="00C349F3"/>
    <w:rsid w:val="00C35CD0"/>
    <w:rsid w:val="00C370F4"/>
    <w:rsid w:val="00C3729D"/>
    <w:rsid w:val="00C40672"/>
    <w:rsid w:val="00C40A25"/>
    <w:rsid w:val="00C40F86"/>
    <w:rsid w:val="00C41EB5"/>
    <w:rsid w:val="00C4241D"/>
    <w:rsid w:val="00C42624"/>
    <w:rsid w:val="00C42C69"/>
    <w:rsid w:val="00C434D2"/>
    <w:rsid w:val="00C4656A"/>
    <w:rsid w:val="00C46865"/>
    <w:rsid w:val="00C501A4"/>
    <w:rsid w:val="00C519A8"/>
    <w:rsid w:val="00C52089"/>
    <w:rsid w:val="00C54F2A"/>
    <w:rsid w:val="00C61F02"/>
    <w:rsid w:val="00C63A5F"/>
    <w:rsid w:val="00C63C9E"/>
    <w:rsid w:val="00C64726"/>
    <w:rsid w:val="00C64ED3"/>
    <w:rsid w:val="00C6529B"/>
    <w:rsid w:val="00C66941"/>
    <w:rsid w:val="00C6778C"/>
    <w:rsid w:val="00C67C7A"/>
    <w:rsid w:val="00C70A67"/>
    <w:rsid w:val="00C71951"/>
    <w:rsid w:val="00C775E4"/>
    <w:rsid w:val="00C80646"/>
    <w:rsid w:val="00C81385"/>
    <w:rsid w:val="00C814E0"/>
    <w:rsid w:val="00C8373D"/>
    <w:rsid w:val="00C848CC"/>
    <w:rsid w:val="00C85095"/>
    <w:rsid w:val="00C850C7"/>
    <w:rsid w:val="00C86B65"/>
    <w:rsid w:val="00C9174B"/>
    <w:rsid w:val="00C951F6"/>
    <w:rsid w:val="00C97A1A"/>
    <w:rsid w:val="00CA03A3"/>
    <w:rsid w:val="00CA129B"/>
    <w:rsid w:val="00CA1534"/>
    <w:rsid w:val="00CA67E8"/>
    <w:rsid w:val="00CA6E94"/>
    <w:rsid w:val="00CA7AF6"/>
    <w:rsid w:val="00CA7EF9"/>
    <w:rsid w:val="00CB0F1C"/>
    <w:rsid w:val="00CB1025"/>
    <w:rsid w:val="00CB1248"/>
    <w:rsid w:val="00CB13D2"/>
    <w:rsid w:val="00CB247E"/>
    <w:rsid w:val="00CB2590"/>
    <w:rsid w:val="00CB272B"/>
    <w:rsid w:val="00CB27A1"/>
    <w:rsid w:val="00CB29DC"/>
    <w:rsid w:val="00CB2C5C"/>
    <w:rsid w:val="00CB520B"/>
    <w:rsid w:val="00CB661F"/>
    <w:rsid w:val="00CB68AC"/>
    <w:rsid w:val="00CB6D32"/>
    <w:rsid w:val="00CB7003"/>
    <w:rsid w:val="00CC0803"/>
    <w:rsid w:val="00CC2E26"/>
    <w:rsid w:val="00CC2E4E"/>
    <w:rsid w:val="00CC2F67"/>
    <w:rsid w:val="00CC3812"/>
    <w:rsid w:val="00CC5E24"/>
    <w:rsid w:val="00CC67DE"/>
    <w:rsid w:val="00CC7030"/>
    <w:rsid w:val="00CC7949"/>
    <w:rsid w:val="00CD2572"/>
    <w:rsid w:val="00CD2D50"/>
    <w:rsid w:val="00CD3816"/>
    <w:rsid w:val="00CD4992"/>
    <w:rsid w:val="00CD5621"/>
    <w:rsid w:val="00CD5C20"/>
    <w:rsid w:val="00CD6119"/>
    <w:rsid w:val="00CD66EC"/>
    <w:rsid w:val="00CD73E3"/>
    <w:rsid w:val="00CE012C"/>
    <w:rsid w:val="00CE19DF"/>
    <w:rsid w:val="00CE1CAE"/>
    <w:rsid w:val="00CE2093"/>
    <w:rsid w:val="00CE2BA0"/>
    <w:rsid w:val="00CE335A"/>
    <w:rsid w:val="00CE3B9E"/>
    <w:rsid w:val="00CE5AAD"/>
    <w:rsid w:val="00CF2210"/>
    <w:rsid w:val="00CF30A9"/>
    <w:rsid w:val="00CF3EC8"/>
    <w:rsid w:val="00CF4C4A"/>
    <w:rsid w:val="00CF5222"/>
    <w:rsid w:val="00CF5D07"/>
    <w:rsid w:val="00CF7608"/>
    <w:rsid w:val="00D00799"/>
    <w:rsid w:val="00D01DED"/>
    <w:rsid w:val="00D03022"/>
    <w:rsid w:val="00D03A18"/>
    <w:rsid w:val="00D0487E"/>
    <w:rsid w:val="00D048E6"/>
    <w:rsid w:val="00D060A1"/>
    <w:rsid w:val="00D061C1"/>
    <w:rsid w:val="00D11BBB"/>
    <w:rsid w:val="00D137F4"/>
    <w:rsid w:val="00D15841"/>
    <w:rsid w:val="00D1770D"/>
    <w:rsid w:val="00D210D9"/>
    <w:rsid w:val="00D228D6"/>
    <w:rsid w:val="00D24A97"/>
    <w:rsid w:val="00D267BD"/>
    <w:rsid w:val="00D2715C"/>
    <w:rsid w:val="00D27D4E"/>
    <w:rsid w:val="00D27EC2"/>
    <w:rsid w:val="00D30BE2"/>
    <w:rsid w:val="00D31271"/>
    <w:rsid w:val="00D3168C"/>
    <w:rsid w:val="00D338F6"/>
    <w:rsid w:val="00D34E5F"/>
    <w:rsid w:val="00D36ED9"/>
    <w:rsid w:val="00D3768E"/>
    <w:rsid w:val="00D40C46"/>
    <w:rsid w:val="00D422EF"/>
    <w:rsid w:val="00D43625"/>
    <w:rsid w:val="00D458CB"/>
    <w:rsid w:val="00D45AF0"/>
    <w:rsid w:val="00D45C98"/>
    <w:rsid w:val="00D50C53"/>
    <w:rsid w:val="00D51836"/>
    <w:rsid w:val="00D519DB"/>
    <w:rsid w:val="00D52B0B"/>
    <w:rsid w:val="00D53368"/>
    <w:rsid w:val="00D5512B"/>
    <w:rsid w:val="00D55BD4"/>
    <w:rsid w:val="00D57461"/>
    <w:rsid w:val="00D61C0B"/>
    <w:rsid w:val="00D64A2E"/>
    <w:rsid w:val="00D65F75"/>
    <w:rsid w:val="00D66162"/>
    <w:rsid w:val="00D66B3F"/>
    <w:rsid w:val="00D678CF"/>
    <w:rsid w:val="00D701AE"/>
    <w:rsid w:val="00D70BAE"/>
    <w:rsid w:val="00D72202"/>
    <w:rsid w:val="00D72A0F"/>
    <w:rsid w:val="00D73FD3"/>
    <w:rsid w:val="00D7530A"/>
    <w:rsid w:val="00D77BE3"/>
    <w:rsid w:val="00D823EA"/>
    <w:rsid w:val="00D84A2B"/>
    <w:rsid w:val="00D852C6"/>
    <w:rsid w:val="00D85E44"/>
    <w:rsid w:val="00D85FD0"/>
    <w:rsid w:val="00D8665C"/>
    <w:rsid w:val="00D875B7"/>
    <w:rsid w:val="00D87D73"/>
    <w:rsid w:val="00D91018"/>
    <w:rsid w:val="00D914FD"/>
    <w:rsid w:val="00D923CD"/>
    <w:rsid w:val="00D92594"/>
    <w:rsid w:val="00D941DD"/>
    <w:rsid w:val="00D9436B"/>
    <w:rsid w:val="00D94D1C"/>
    <w:rsid w:val="00D95AA4"/>
    <w:rsid w:val="00DA0CD1"/>
    <w:rsid w:val="00DA0EBD"/>
    <w:rsid w:val="00DA13B3"/>
    <w:rsid w:val="00DA231A"/>
    <w:rsid w:val="00DA32B4"/>
    <w:rsid w:val="00DA33A6"/>
    <w:rsid w:val="00DA3492"/>
    <w:rsid w:val="00DA3EB0"/>
    <w:rsid w:val="00DA4C25"/>
    <w:rsid w:val="00DA6E4C"/>
    <w:rsid w:val="00DB4B04"/>
    <w:rsid w:val="00DB530A"/>
    <w:rsid w:val="00DB5E1C"/>
    <w:rsid w:val="00DB6BBB"/>
    <w:rsid w:val="00DC12EC"/>
    <w:rsid w:val="00DC1A08"/>
    <w:rsid w:val="00DC1FA3"/>
    <w:rsid w:val="00DC28BB"/>
    <w:rsid w:val="00DC3695"/>
    <w:rsid w:val="00DC4480"/>
    <w:rsid w:val="00DC58C6"/>
    <w:rsid w:val="00DC69A8"/>
    <w:rsid w:val="00DC72B3"/>
    <w:rsid w:val="00DC7D3D"/>
    <w:rsid w:val="00DD06B1"/>
    <w:rsid w:val="00DD1766"/>
    <w:rsid w:val="00DD34EB"/>
    <w:rsid w:val="00DD38BC"/>
    <w:rsid w:val="00DD3958"/>
    <w:rsid w:val="00DD5625"/>
    <w:rsid w:val="00DD5BDB"/>
    <w:rsid w:val="00DD6F7F"/>
    <w:rsid w:val="00DD7945"/>
    <w:rsid w:val="00DD7E95"/>
    <w:rsid w:val="00DE0260"/>
    <w:rsid w:val="00DE199F"/>
    <w:rsid w:val="00DE1A3A"/>
    <w:rsid w:val="00DE2FDB"/>
    <w:rsid w:val="00DE3147"/>
    <w:rsid w:val="00DE3673"/>
    <w:rsid w:val="00DE457F"/>
    <w:rsid w:val="00DE484F"/>
    <w:rsid w:val="00DE575C"/>
    <w:rsid w:val="00DF075D"/>
    <w:rsid w:val="00DF0B0A"/>
    <w:rsid w:val="00DF154F"/>
    <w:rsid w:val="00DF29B5"/>
    <w:rsid w:val="00DF29FE"/>
    <w:rsid w:val="00DF2E1D"/>
    <w:rsid w:val="00DF3129"/>
    <w:rsid w:val="00DF4B21"/>
    <w:rsid w:val="00E0399B"/>
    <w:rsid w:val="00E049D8"/>
    <w:rsid w:val="00E06CBE"/>
    <w:rsid w:val="00E06FAE"/>
    <w:rsid w:val="00E07950"/>
    <w:rsid w:val="00E10DE7"/>
    <w:rsid w:val="00E11FA0"/>
    <w:rsid w:val="00E13F6F"/>
    <w:rsid w:val="00E14307"/>
    <w:rsid w:val="00E156D7"/>
    <w:rsid w:val="00E16897"/>
    <w:rsid w:val="00E168E6"/>
    <w:rsid w:val="00E1765B"/>
    <w:rsid w:val="00E17A5D"/>
    <w:rsid w:val="00E23455"/>
    <w:rsid w:val="00E24283"/>
    <w:rsid w:val="00E26876"/>
    <w:rsid w:val="00E305E2"/>
    <w:rsid w:val="00E3094C"/>
    <w:rsid w:val="00E318DB"/>
    <w:rsid w:val="00E3389C"/>
    <w:rsid w:val="00E33A77"/>
    <w:rsid w:val="00E35F61"/>
    <w:rsid w:val="00E37ACE"/>
    <w:rsid w:val="00E403C7"/>
    <w:rsid w:val="00E41863"/>
    <w:rsid w:val="00E42C33"/>
    <w:rsid w:val="00E42CC3"/>
    <w:rsid w:val="00E42D5E"/>
    <w:rsid w:val="00E4348D"/>
    <w:rsid w:val="00E44560"/>
    <w:rsid w:val="00E445D0"/>
    <w:rsid w:val="00E44609"/>
    <w:rsid w:val="00E457ED"/>
    <w:rsid w:val="00E475CD"/>
    <w:rsid w:val="00E5046F"/>
    <w:rsid w:val="00E51CC0"/>
    <w:rsid w:val="00E5212F"/>
    <w:rsid w:val="00E53CEC"/>
    <w:rsid w:val="00E55FF5"/>
    <w:rsid w:val="00E571C9"/>
    <w:rsid w:val="00E572FB"/>
    <w:rsid w:val="00E57466"/>
    <w:rsid w:val="00E57FAF"/>
    <w:rsid w:val="00E609AE"/>
    <w:rsid w:val="00E61679"/>
    <w:rsid w:val="00E619CC"/>
    <w:rsid w:val="00E6276F"/>
    <w:rsid w:val="00E643AD"/>
    <w:rsid w:val="00E645C6"/>
    <w:rsid w:val="00E647AF"/>
    <w:rsid w:val="00E6541D"/>
    <w:rsid w:val="00E65E6B"/>
    <w:rsid w:val="00E66365"/>
    <w:rsid w:val="00E67C6E"/>
    <w:rsid w:val="00E7048F"/>
    <w:rsid w:val="00E71475"/>
    <w:rsid w:val="00E725F7"/>
    <w:rsid w:val="00E7432F"/>
    <w:rsid w:val="00E74A14"/>
    <w:rsid w:val="00E74B68"/>
    <w:rsid w:val="00E800B3"/>
    <w:rsid w:val="00E80EC4"/>
    <w:rsid w:val="00E81ADE"/>
    <w:rsid w:val="00E822FB"/>
    <w:rsid w:val="00E82398"/>
    <w:rsid w:val="00E82687"/>
    <w:rsid w:val="00E8315F"/>
    <w:rsid w:val="00E83CB8"/>
    <w:rsid w:val="00E83FE6"/>
    <w:rsid w:val="00E84760"/>
    <w:rsid w:val="00E84CD8"/>
    <w:rsid w:val="00E86886"/>
    <w:rsid w:val="00E87058"/>
    <w:rsid w:val="00E87A14"/>
    <w:rsid w:val="00E87AC3"/>
    <w:rsid w:val="00E93C28"/>
    <w:rsid w:val="00E941E6"/>
    <w:rsid w:val="00E957CE"/>
    <w:rsid w:val="00E96A4F"/>
    <w:rsid w:val="00EA08E2"/>
    <w:rsid w:val="00EA4E1C"/>
    <w:rsid w:val="00EA5A34"/>
    <w:rsid w:val="00EA66EB"/>
    <w:rsid w:val="00EA71C8"/>
    <w:rsid w:val="00EB0042"/>
    <w:rsid w:val="00EB04E4"/>
    <w:rsid w:val="00EB1DF5"/>
    <w:rsid w:val="00EB204E"/>
    <w:rsid w:val="00EB59DA"/>
    <w:rsid w:val="00EB6FCA"/>
    <w:rsid w:val="00EC3430"/>
    <w:rsid w:val="00EC4934"/>
    <w:rsid w:val="00ED1D3A"/>
    <w:rsid w:val="00ED4300"/>
    <w:rsid w:val="00ED61D2"/>
    <w:rsid w:val="00EE0743"/>
    <w:rsid w:val="00EE15B4"/>
    <w:rsid w:val="00EE16C2"/>
    <w:rsid w:val="00EE2510"/>
    <w:rsid w:val="00EE2C23"/>
    <w:rsid w:val="00EE54B9"/>
    <w:rsid w:val="00EE6003"/>
    <w:rsid w:val="00EE6B33"/>
    <w:rsid w:val="00EE7CC8"/>
    <w:rsid w:val="00EF0606"/>
    <w:rsid w:val="00EF07D3"/>
    <w:rsid w:val="00EF24D5"/>
    <w:rsid w:val="00EF42ED"/>
    <w:rsid w:val="00EF4628"/>
    <w:rsid w:val="00EF4926"/>
    <w:rsid w:val="00EF562E"/>
    <w:rsid w:val="00EF563D"/>
    <w:rsid w:val="00EF596B"/>
    <w:rsid w:val="00EF676D"/>
    <w:rsid w:val="00F004F0"/>
    <w:rsid w:val="00F00AE4"/>
    <w:rsid w:val="00F01EDA"/>
    <w:rsid w:val="00F020C3"/>
    <w:rsid w:val="00F025A8"/>
    <w:rsid w:val="00F03846"/>
    <w:rsid w:val="00F04148"/>
    <w:rsid w:val="00F05031"/>
    <w:rsid w:val="00F05088"/>
    <w:rsid w:val="00F05BA1"/>
    <w:rsid w:val="00F06230"/>
    <w:rsid w:val="00F11291"/>
    <w:rsid w:val="00F12916"/>
    <w:rsid w:val="00F13711"/>
    <w:rsid w:val="00F15A0A"/>
    <w:rsid w:val="00F16009"/>
    <w:rsid w:val="00F17380"/>
    <w:rsid w:val="00F22899"/>
    <w:rsid w:val="00F234B2"/>
    <w:rsid w:val="00F27D9A"/>
    <w:rsid w:val="00F302DD"/>
    <w:rsid w:val="00F31131"/>
    <w:rsid w:val="00F3150B"/>
    <w:rsid w:val="00F356EC"/>
    <w:rsid w:val="00F36894"/>
    <w:rsid w:val="00F36A48"/>
    <w:rsid w:val="00F36BD4"/>
    <w:rsid w:val="00F370F8"/>
    <w:rsid w:val="00F413CB"/>
    <w:rsid w:val="00F42090"/>
    <w:rsid w:val="00F43870"/>
    <w:rsid w:val="00F4389C"/>
    <w:rsid w:val="00F45C6A"/>
    <w:rsid w:val="00F45ED3"/>
    <w:rsid w:val="00F4743C"/>
    <w:rsid w:val="00F47D14"/>
    <w:rsid w:val="00F47EB8"/>
    <w:rsid w:val="00F52C65"/>
    <w:rsid w:val="00F52CD4"/>
    <w:rsid w:val="00F52F49"/>
    <w:rsid w:val="00F53DB2"/>
    <w:rsid w:val="00F548A2"/>
    <w:rsid w:val="00F553F1"/>
    <w:rsid w:val="00F561F3"/>
    <w:rsid w:val="00F60C68"/>
    <w:rsid w:val="00F65C5C"/>
    <w:rsid w:val="00F705A9"/>
    <w:rsid w:val="00F70C4C"/>
    <w:rsid w:val="00F7118C"/>
    <w:rsid w:val="00F73EF9"/>
    <w:rsid w:val="00F74BAF"/>
    <w:rsid w:val="00F75938"/>
    <w:rsid w:val="00F7642B"/>
    <w:rsid w:val="00F76F9C"/>
    <w:rsid w:val="00F80DA2"/>
    <w:rsid w:val="00F80FCF"/>
    <w:rsid w:val="00F83943"/>
    <w:rsid w:val="00F85FA9"/>
    <w:rsid w:val="00F86118"/>
    <w:rsid w:val="00F8772A"/>
    <w:rsid w:val="00F90229"/>
    <w:rsid w:val="00F907F0"/>
    <w:rsid w:val="00F91AA3"/>
    <w:rsid w:val="00F92401"/>
    <w:rsid w:val="00F92BEF"/>
    <w:rsid w:val="00F94697"/>
    <w:rsid w:val="00F95438"/>
    <w:rsid w:val="00F96AE3"/>
    <w:rsid w:val="00F97A10"/>
    <w:rsid w:val="00FA1244"/>
    <w:rsid w:val="00FA1F0E"/>
    <w:rsid w:val="00FA2BB9"/>
    <w:rsid w:val="00FA36D0"/>
    <w:rsid w:val="00FA3BD9"/>
    <w:rsid w:val="00FA7AC2"/>
    <w:rsid w:val="00FB0706"/>
    <w:rsid w:val="00FB4444"/>
    <w:rsid w:val="00FB47CB"/>
    <w:rsid w:val="00FB5796"/>
    <w:rsid w:val="00FB5B93"/>
    <w:rsid w:val="00FB6F70"/>
    <w:rsid w:val="00FB729C"/>
    <w:rsid w:val="00FC0E14"/>
    <w:rsid w:val="00FC0F50"/>
    <w:rsid w:val="00FC1889"/>
    <w:rsid w:val="00FC493C"/>
    <w:rsid w:val="00FC4BC4"/>
    <w:rsid w:val="00FC4E37"/>
    <w:rsid w:val="00FC5DC1"/>
    <w:rsid w:val="00FC67DF"/>
    <w:rsid w:val="00FC71E7"/>
    <w:rsid w:val="00FD0602"/>
    <w:rsid w:val="00FD1475"/>
    <w:rsid w:val="00FD2B58"/>
    <w:rsid w:val="00FD3389"/>
    <w:rsid w:val="00FD43DE"/>
    <w:rsid w:val="00FD4AD6"/>
    <w:rsid w:val="00FD4FE5"/>
    <w:rsid w:val="00FD5425"/>
    <w:rsid w:val="00FD6E65"/>
    <w:rsid w:val="00FD7373"/>
    <w:rsid w:val="00FD777D"/>
    <w:rsid w:val="00FD7D4A"/>
    <w:rsid w:val="00FE0443"/>
    <w:rsid w:val="00FE074C"/>
    <w:rsid w:val="00FE1BCF"/>
    <w:rsid w:val="00FE5DBC"/>
    <w:rsid w:val="00FE5FEA"/>
    <w:rsid w:val="00FE78DD"/>
    <w:rsid w:val="00FF18FD"/>
    <w:rsid w:val="00FF1CDA"/>
    <w:rsid w:val="00FF2A23"/>
    <w:rsid w:val="00FF2F3E"/>
    <w:rsid w:val="00FF5826"/>
    <w:rsid w:val="00FF6778"/>
    <w:rsid w:val="010103F3"/>
    <w:rsid w:val="01249431"/>
    <w:rsid w:val="01664C1D"/>
    <w:rsid w:val="017D3439"/>
    <w:rsid w:val="01E0C145"/>
    <w:rsid w:val="01EBE95A"/>
    <w:rsid w:val="02196F25"/>
    <w:rsid w:val="02358E67"/>
    <w:rsid w:val="02553481"/>
    <w:rsid w:val="027190A3"/>
    <w:rsid w:val="027ED454"/>
    <w:rsid w:val="0280B067"/>
    <w:rsid w:val="028CF0EF"/>
    <w:rsid w:val="02988603"/>
    <w:rsid w:val="02BE79DD"/>
    <w:rsid w:val="02ECE528"/>
    <w:rsid w:val="030620DC"/>
    <w:rsid w:val="0321411F"/>
    <w:rsid w:val="036DD59A"/>
    <w:rsid w:val="03757AA7"/>
    <w:rsid w:val="0388A748"/>
    <w:rsid w:val="03D24CDF"/>
    <w:rsid w:val="0429C579"/>
    <w:rsid w:val="0430502A"/>
    <w:rsid w:val="04611C3A"/>
    <w:rsid w:val="0481227A"/>
    <w:rsid w:val="04BC8178"/>
    <w:rsid w:val="04D91111"/>
    <w:rsid w:val="05888467"/>
    <w:rsid w:val="059FB9DC"/>
    <w:rsid w:val="05A3F97C"/>
    <w:rsid w:val="05C19863"/>
    <w:rsid w:val="05D5629F"/>
    <w:rsid w:val="05E63915"/>
    <w:rsid w:val="0614CA5D"/>
    <w:rsid w:val="06440880"/>
    <w:rsid w:val="067FCDED"/>
    <w:rsid w:val="069111BB"/>
    <w:rsid w:val="06BCD851"/>
    <w:rsid w:val="06DB163E"/>
    <w:rsid w:val="06E90B8A"/>
    <w:rsid w:val="06EEB859"/>
    <w:rsid w:val="071BE8AC"/>
    <w:rsid w:val="0728C438"/>
    <w:rsid w:val="07458BEE"/>
    <w:rsid w:val="074D2C7F"/>
    <w:rsid w:val="0766AB5C"/>
    <w:rsid w:val="0779DD7A"/>
    <w:rsid w:val="07B63714"/>
    <w:rsid w:val="07EA8513"/>
    <w:rsid w:val="07ED0D35"/>
    <w:rsid w:val="082DEE0D"/>
    <w:rsid w:val="084F8D40"/>
    <w:rsid w:val="0873D90C"/>
    <w:rsid w:val="08D2A22A"/>
    <w:rsid w:val="08ED6F4E"/>
    <w:rsid w:val="090E6541"/>
    <w:rsid w:val="093103B3"/>
    <w:rsid w:val="09728F7D"/>
    <w:rsid w:val="0991F77A"/>
    <w:rsid w:val="09F82C54"/>
    <w:rsid w:val="0A0147A1"/>
    <w:rsid w:val="0A23262D"/>
    <w:rsid w:val="0A5A02A2"/>
    <w:rsid w:val="0A5C011D"/>
    <w:rsid w:val="0A618203"/>
    <w:rsid w:val="0A67DC1B"/>
    <w:rsid w:val="0A7C32ED"/>
    <w:rsid w:val="0AD8AACA"/>
    <w:rsid w:val="0B56284B"/>
    <w:rsid w:val="0B589D3C"/>
    <w:rsid w:val="0B62B72B"/>
    <w:rsid w:val="0B889DD7"/>
    <w:rsid w:val="0B9E5D1D"/>
    <w:rsid w:val="0BCDAA4F"/>
    <w:rsid w:val="0C456117"/>
    <w:rsid w:val="0C78C2FE"/>
    <w:rsid w:val="0C9C5E09"/>
    <w:rsid w:val="0CC61A28"/>
    <w:rsid w:val="0CCBB07A"/>
    <w:rsid w:val="0CE383DE"/>
    <w:rsid w:val="0D0A8503"/>
    <w:rsid w:val="0D3924C5"/>
    <w:rsid w:val="0D3A126A"/>
    <w:rsid w:val="0D5CD5FD"/>
    <w:rsid w:val="0D718B52"/>
    <w:rsid w:val="0D816695"/>
    <w:rsid w:val="0D9C6F1C"/>
    <w:rsid w:val="0DD3A2FF"/>
    <w:rsid w:val="0DE3650B"/>
    <w:rsid w:val="0E01A695"/>
    <w:rsid w:val="0E1553F9"/>
    <w:rsid w:val="0E27E015"/>
    <w:rsid w:val="0E36CE83"/>
    <w:rsid w:val="0E4C1001"/>
    <w:rsid w:val="0E825AEC"/>
    <w:rsid w:val="0E88A4BB"/>
    <w:rsid w:val="0E91F877"/>
    <w:rsid w:val="0EA32EA9"/>
    <w:rsid w:val="0F11E57D"/>
    <w:rsid w:val="0F341ECE"/>
    <w:rsid w:val="0F6C5DE6"/>
    <w:rsid w:val="0FE6F77C"/>
    <w:rsid w:val="10189C8A"/>
    <w:rsid w:val="10C9D3AD"/>
    <w:rsid w:val="1134DDB6"/>
    <w:rsid w:val="1135E8B8"/>
    <w:rsid w:val="11864079"/>
    <w:rsid w:val="1193F09D"/>
    <w:rsid w:val="11C56CC3"/>
    <w:rsid w:val="125341EB"/>
    <w:rsid w:val="126B8BBA"/>
    <w:rsid w:val="12ECAC7E"/>
    <w:rsid w:val="1303A9BF"/>
    <w:rsid w:val="130D0E6E"/>
    <w:rsid w:val="130FA713"/>
    <w:rsid w:val="13192561"/>
    <w:rsid w:val="1322FFF8"/>
    <w:rsid w:val="134C2B12"/>
    <w:rsid w:val="136494B9"/>
    <w:rsid w:val="136B5BEA"/>
    <w:rsid w:val="13832F1B"/>
    <w:rsid w:val="13E22DE0"/>
    <w:rsid w:val="1421A153"/>
    <w:rsid w:val="142FE384"/>
    <w:rsid w:val="14A384EE"/>
    <w:rsid w:val="14B24340"/>
    <w:rsid w:val="14BE1194"/>
    <w:rsid w:val="14CF4ED0"/>
    <w:rsid w:val="15045C11"/>
    <w:rsid w:val="150AC80A"/>
    <w:rsid w:val="153F3636"/>
    <w:rsid w:val="156C082C"/>
    <w:rsid w:val="1599CECA"/>
    <w:rsid w:val="159E1EBD"/>
    <w:rsid w:val="15AF8434"/>
    <w:rsid w:val="15BA9F32"/>
    <w:rsid w:val="15CD3408"/>
    <w:rsid w:val="15D88FDD"/>
    <w:rsid w:val="16300E2C"/>
    <w:rsid w:val="1638136D"/>
    <w:rsid w:val="1656B295"/>
    <w:rsid w:val="16B704E5"/>
    <w:rsid w:val="16BC37EB"/>
    <w:rsid w:val="17167B1E"/>
    <w:rsid w:val="17636016"/>
    <w:rsid w:val="176E8C9A"/>
    <w:rsid w:val="17ADA7A4"/>
    <w:rsid w:val="17CC4321"/>
    <w:rsid w:val="181F9C35"/>
    <w:rsid w:val="18436434"/>
    <w:rsid w:val="188B0A66"/>
    <w:rsid w:val="19369CEB"/>
    <w:rsid w:val="193C54D8"/>
    <w:rsid w:val="1944593C"/>
    <w:rsid w:val="1962EDA4"/>
    <w:rsid w:val="196E21EB"/>
    <w:rsid w:val="19788B67"/>
    <w:rsid w:val="19AC8AB6"/>
    <w:rsid w:val="19FAC2CC"/>
    <w:rsid w:val="1A2B420E"/>
    <w:rsid w:val="1A41ED21"/>
    <w:rsid w:val="1A843397"/>
    <w:rsid w:val="1A9CEBC7"/>
    <w:rsid w:val="1AE0299D"/>
    <w:rsid w:val="1AF7B9BA"/>
    <w:rsid w:val="1B12FE43"/>
    <w:rsid w:val="1B4F06B0"/>
    <w:rsid w:val="1B5ED184"/>
    <w:rsid w:val="1B643A79"/>
    <w:rsid w:val="1B68998C"/>
    <w:rsid w:val="1B6B1734"/>
    <w:rsid w:val="1B6C78F5"/>
    <w:rsid w:val="1BC7126F"/>
    <w:rsid w:val="1BE9064D"/>
    <w:rsid w:val="1BEC781A"/>
    <w:rsid w:val="1C2F5BEA"/>
    <w:rsid w:val="1C2FF57A"/>
    <w:rsid w:val="1C4CA8C1"/>
    <w:rsid w:val="1C673D67"/>
    <w:rsid w:val="1C6875EC"/>
    <w:rsid w:val="1CAE63C3"/>
    <w:rsid w:val="1D268ACE"/>
    <w:rsid w:val="1D5259C9"/>
    <w:rsid w:val="1DFE63F6"/>
    <w:rsid w:val="1E5944DD"/>
    <w:rsid w:val="1E912254"/>
    <w:rsid w:val="1E921329"/>
    <w:rsid w:val="1EF81D43"/>
    <w:rsid w:val="1F642BF4"/>
    <w:rsid w:val="1F8FCB3A"/>
    <w:rsid w:val="1FB202C5"/>
    <w:rsid w:val="1FB829A7"/>
    <w:rsid w:val="203966D8"/>
    <w:rsid w:val="206701BB"/>
    <w:rsid w:val="206EA55F"/>
    <w:rsid w:val="20F119FF"/>
    <w:rsid w:val="210FFF38"/>
    <w:rsid w:val="216D3BB2"/>
    <w:rsid w:val="21BE8CD6"/>
    <w:rsid w:val="21D5D73F"/>
    <w:rsid w:val="2211C02C"/>
    <w:rsid w:val="222F0D03"/>
    <w:rsid w:val="224358EC"/>
    <w:rsid w:val="228E4EAC"/>
    <w:rsid w:val="22A573C0"/>
    <w:rsid w:val="22A7C960"/>
    <w:rsid w:val="22ABCF99"/>
    <w:rsid w:val="22B367C9"/>
    <w:rsid w:val="22BF9272"/>
    <w:rsid w:val="22F259C5"/>
    <w:rsid w:val="23123768"/>
    <w:rsid w:val="23176A4A"/>
    <w:rsid w:val="232CE3CB"/>
    <w:rsid w:val="232DD43B"/>
    <w:rsid w:val="232FAAE3"/>
    <w:rsid w:val="234AEE72"/>
    <w:rsid w:val="23A28ADF"/>
    <w:rsid w:val="23EF82C0"/>
    <w:rsid w:val="2414BC02"/>
    <w:rsid w:val="241BC807"/>
    <w:rsid w:val="24499964"/>
    <w:rsid w:val="2458F519"/>
    <w:rsid w:val="2467490C"/>
    <w:rsid w:val="248F2441"/>
    <w:rsid w:val="252EAFE1"/>
    <w:rsid w:val="256DF4B5"/>
    <w:rsid w:val="25765A54"/>
    <w:rsid w:val="25823B85"/>
    <w:rsid w:val="25975563"/>
    <w:rsid w:val="25D2EE0A"/>
    <w:rsid w:val="2608E8C4"/>
    <w:rsid w:val="264649B1"/>
    <w:rsid w:val="26C27B57"/>
    <w:rsid w:val="2701A537"/>
    <w:rsid w:val="2723FF59"/>
    <w:rsid w:val="27623666"/>
    <w:rsid w:val="27903E93"/>
    <w:rsid w:val="27A3ECB0"/>
    <w:rsid w:val="27D22C49"/>
    <w:rsid w:val="27E20840"/>
    <w:rsid w:val="27EC2714"/>
    <w:rsid w:val="280D2657"/>
    <w:rsid w:val="280FAC6E"/>
    <w:rsid w:val="28A7C086"/>
    <w:rsid w:val="28D87C2B"/>
    <w:rsid w:val="28FED4B8"/>
    <w:rsid w:val="2902CD51"/>
    <w:rsid w:val="290FA772"/>
    <w:rsid w:val="2928CD12"/>
    <w:rsid w:val="2957F7E8"/>
    <w:rsid w:val="29AD389F"/>
    <w:rsid w:val="29E443A6"/>
    <w:rsid w:val="2A0AE5A0"/>
    <w:rsid w:val="2A1D870C"/>
    <w:rsid w:val="2A294EFB"/>
    <w:rsid w:val="2A4059C6"/>
    <w:rsid w:val="2A4BCCF8"/>
    <w:rsid w:val="2A97D484"/>
    <w:rsid w:val="2AB773AA"/>
    <w:rsid w:val="2AFCD086"/>
    <w:rsid w:val="2B26E88B"/>
    <w:rsid w:val="2B421799"/>
    <w:rsid w:val="2B5A9CA4"/>
    <w:rsid w:val="2B735FE9"/>
    <w:rsid w:val="2B78FE64"/>
    <w:rsid w:val="2B9ABEB3"/>
    <w:rsid w:val="2BA7258F"/>
    <w:rsid w:val="2BBAF261"/>
    <w:rsid w:val="2BE67386"/>
    <w:rsid w:val="2C183760"/>
    <w:rsid w:val="2C5B56A9"/>
    <w:rsid w:val="2C666681"/>
    <w:rsid w:val="2C96ACAF"/>
    <w:rsid w:val="2CCE02BD"/>
    <w:rsid w:val="2CEB8990"/>
    <w:rsid w:val="2CF8CF58"/>
    <w:rsid w:val="2D20A6F0"/>
    <w:rsid w:val="2D46E0C0"/>
    <w:rsid w:val="2DB3EBC9"/>
    <w:rsid w:val="2DC1A6F6"/>
    <w:rsid w:val="2E1D2F29"/>
    <w:rsid w:val="2E1DF52D"/>
    <w:rsid w:val="2E50E4A1"/>
    <w:rsid w:val="2E97EA40"/>
    <w:rsid w:val="2EFEA29B"/>
    <w:rsid w:val="2F22DD05"/>
    <w:rsid w:val="2F296D4F"/>
    <w:rsid w:val="2F735AEE"/>
    <w:rsid w:val="2F7DB8B1"/>
    <w:rsid w:val="2F9153A8"/>
    <w:rsid w:val="2F9D7E02"/>
    <w:rsid w:val="2FB7C2DB"/>
    <w:rsid w:val="2FCFEE39"/>
    <w:rsid w:val="2FEF7191"/>
    <w:rsid w:val="2FF1A83D"/>
    <w:rsid w:val="2FFDF5DF"/>
    <w:rsid w:val="3045D2AA"/>
    <w:rsid w:val="3065D1C8"/>
    <w:rsid w:val="30B683C2"/>
    <w:rsid w:val="3126A3DA"/>
    <w:rsid w:val="318D6CA4"/>
    <w:rsid w:val="3198C089"/>
    <w:rsid w:val="31AEE649"/>
    <w:rsid w:val="31B8253B"/>
    <w:rsid w:val="3200BBD6"/>
    <w:rsid w:val="328F5172"/>
    <w:rsid w:val="32F1960F"/>
    <w:rsid w:val="333E937D"/>
    <w:rsid w:val="3378EEEE"/>
    <w:rsid w:val="33945614"/>
    <w:rsid w:val="33990F17"/>
    <w:rsid w:val="33E088C9"/>
    <w:rsid w:val="33FD59E1"/>
    <w:rsid w:val="346D2227"/>
    <w:rsid w:val="346EB43C"/>
    <w:rsid w:val="347295A7"/>
    <w:rsid w:val="348BF4D6"/>
    <w:rsid w:val="34D54ED5"/>
    <w:rsid w:val="34F5A5F3"/>
    <w:rsid w:val="3576FF20"/>
    <w:rsid w:val="357C592A"/>
    <w:rsid w:val="357E0AAF"/>
    <w:rsid w:val="3588ED09"/>
    <w:rsid w:val="35BB5DF3"/>
    <w:rsid w:val="35D5C965"/>
    <w:rsid w:val="35D951AB"/>
    <w:rsid w:val="35DC9F5E"/>
    <w:rsid w:val="35E6B9B1"/>
    <w:rsid w:val="360E6608"/>
    <w:rsid w:val="361800CE"/>
    <w:rsid w:val="363F7956"/>
    <w:rsid w:val="366BA2DE"/>
    <w:rsid w:val="367652ED"/>
    <w:rsid w:val="36AD01D7"/>
    <w:rsid w:val="3734FAA3"/>
    <w:rsid w:val="3746A41C"/>
    <w:rsid w:val="377BCC1E"/>
    <w:rsid w:val="3789A60E"/>
    <w:rsid w:val="384B8D18"/>
    <w:rsid w:val="386F43FB"/>
    <w:rsid w:val="3897CDA0"/>
    <w:rsid w:val="38AE0A3F"/>
    <w:rsid w:val="38B38128"/>
    <w:rsid w:val="391AC1E0"/>
    <w:rsid w:val="39575C45"/>
    <w:rsid w:val="39C11295"/>
    <w:rsid w:val="39C3F8CD"/>
    <w:rsid w:val="39DE6AC8"/>
    <w:rsid w:val="39DEA2A1"/>
    <w:rsid w:val="39E52EEC"/>
    <w:rsid w:val="39EA992E"/>
    <w:rsid w:val="3A344539"/>
    <w:rsid w:val="3A3A1637"/>
    <w:rsid w:val="3A421B90"/>
    <w:rsid w:val="3A4FCA4D"/>
    <w:rsid w:val="3A6BB476"/>
    <w:rsid w:val="3B13EDFA"/>
    <w:rsid w:val="3B1E6684"/>
    <w:rsid w:val="3B48666A"/>
    <w:rsid w:val="3B494B75"/>
    <w:rsid w:val="3B6B7A0B"/>
    <w:rsid w:val="3B8F8AD1"/>
    <w:rsid w:val="3C051D87"/>
    <w:rsid w:val="3C59861A"/>
    <w:rsid w:val="3C96E01E"/>
    <w:rsid w:val="3C9BA72E"/>
    <w:rsid w:val="3CEB979B"/>
    <w:rsid w:val="3D084AA8"/>
    <w:rsid w:val="3D6E42B2"/>
    <w:rsid w:val="3D8335B4"/>
    <w:rsid w:val="3D8AC9AE"/>
    <w:rsid w:val="3D9506CA"/>
    <w:rsid w:val="3D9C4328"/>
    <w:rsid w:val="3DAE371B"/>
    <w:rsid w:val="3DC77908"/>
    <w:rsid w:val="3DDE6F37"/>
    <w:rsid w:val="3E150142"/>
    <w:rsid w:val="3E3F758F"/>
    <w:rsid w:val="3EBBB976"/>
    <w:rsid w:val="3ED526A8"/>
    <w:rsid w:val="3EF4EA1B"/>
    <w:rsid w:val="3F3CE079"/>
    <w:rsid w:val="3F3E535C"/>
    <w:rsid w:val="3F7053F8"/>
    <w:rsid w:val="3F8B7B4C"/>
    <w:rsid w:val="3FA6C128"/>
    <w:rsid w:val="3FBC9C15"/>
    <w:rsid w:val="3FBD44E5"/>
    <w:rsid w:val="3FD02C77"/>
    <w:rsid w:val="3FEBDD3A"/>
    <w:rsid w:val="3FFDD0E5"/>
    <w:rsid w:val="400FAD6E"/>
    <w:rsid w:val="402DD795"/>
    <w:rsid w:val="403DA12A"/>
    <w:rsid w:val="4074080C"/>
    <w:rsid w:val="4091164D"/>
    <w:rsid w:val="409A1759"/>
    <w:rsid w:val="40BC9B6C"/>
    <w:rsid w:val="40CD8355"/>
    <w:rsid w:val="40FD4865"/>
    <w:rsid w:val="410522D6"/>
    <w:rsid w:val="412C15D5"/>
    <w:rsid w:val="41416CE3"/>
    <w:rsid w:val="414D66F8"/>
    <w:rsid w:val="417E62AB"/>
    <w:rsid w:val="418BA50C"/>
    <w:rsid w:val="41D3CB23"/>
    <w:rsid w:val="41D70623"/>
    <w:rsid w:val="42270791"/>
    <w:rsid w:val="4248FE12"/>
    <w:rsid w:val="42502E70"/>
    <w:rsid w:val="425FB752"/>
    <w:rsid w:val="42865C57"/>
    <w:rsid w:val="429B3ECE"/>
    <w:rsid w:val="42A4604C"/>
    <w:rsid w:val="42CA203B"/>
    <w:rsid w:val="42E23689"/>
    <w:rsid w:val="42F77FF5"/>
    <w:rsid w:val="432CE33E"/>
    <w:rsid w:val="43487CA7"/>
    <w:rsid w:val="434B5289"/>
    <w:rsid w:val="43EC720E"/>
    <w:rsid w:val="43FF1CAE"/>
    <w:rsid w:val="441D321D"/>
    <w:rsid w:val="4443DA19"/>
    <w:rsid w:val="4473C1F6"/>
    <w:rsid w:val="44DD0CA2"/>
    <w:rsid w:val="45055C38"/>
    <w:rsid w:val="450CB005"/>
    <w:rsid w:val="45153F9B"/>
    <w:rsid w:val="452F6847"/>
    <w:rsid w:val="4559E2F6"/>
    <w:rsid w:val="457435C7"/>
    <w:rsid w:val="45AA6EDB"/>
    <w:rsid w:val="462BF989"/>
    <w:rsid w:val="46339D0C"/>
    <w:rsid w:val="465B39D7"/>
    <w:rsid w:val="46798953"/>
    <w:rsid w:val="4698810F"/>
    <w:rsid w:val="46AFD806"/>
    <w:rsid w:val="46D9BB97"/>
    <w:rsid w:val="46DAF85E"/>
    <w:rsid w:val="472E4D55"/>
    <w:rsid w:val="474223FC"/>
    <w:rsid w:val="476899D2"/>
    <w:rsid w:val="4794AE45"/>
    <w:rsid w:val="47966F09"/>
    <w:rsid w:val="47AAA9BF"/>
    <w:rsid w:val="47C6990C"/>
    <w:rsid w:val="47E3015C"/>
    <w:rsid w:val="48010901"/>
    <w:rsid w:val="4801CA28"/>
    <w:rsid w:val="4832E92B"/>
    <w:rsid w:val="484FD49D"/>
    <w:rsid w:val="485B96EC"/>
    <w:rsid w:val="486A1485"/>
    <w:rsid w:val="4875F67C"/>
    <w:rsid w:val="48822AF4"/>
    <w:rsid w:val="4894087A"/>
    <w:rsid w:val="48F44BBB"/>
    <w:rsid w:val="490F4780"/>
    <w:rsid w:val="492E5FF9"/>
    <w:rsid w:val="49CA1EE6"/>
    <w:rsid w:val="4A42582E"/>
    <w:rsid w:val="4A832BD0"/>
    <w:rsid w:val="4A99A9D3"/>
    <w:rsid w:val="4B0F80E9"/>
    <w:rsid w:val="4B2B2EA6"/>
    <w:rsid w:val="4BB71BEB"/>
    <w:rsid w:val="4BE8961B"/>
    <w:rsid w:val="4BEBF4BA"/>
    <w:rsid w:val="4C6C7E11"/>
    <w:rsid w:val="4CD793E8"/>
    <w:rsid w:val="4D0C43CE"/>
    <w:rsid w:val="4D796225"/>
    <w:rsid w:val="4D79CE0F"/>
    <w:rsid w:val="4D9D50A4"/>
    <w:rsid w:val="4DC45AE5"/>
    <w:rsid w:val="4DCF9ADE"/>
    <w:rsid w:val="4DE05728"/>
    <w:rsid w:val="4E18FFDE"/>
    <w:rsid w:val="4E1EA501"/>
    <w:rsid w:val="4E42D8F4"/>
    <w:rsid w:val="4E944DA9"/>
    <w:rsid w:val="4EA5F3DB"/>
    <w:rsid w:val="4EB348A4"/>
    <w:rsid w:val="4F2B878C"/>
    <w:rsid w:val="4F536AA0"/>
    <w:rsid w:val="4F5B6459"/>
    <w:rsid w:val="4F80E590"/>
    <w:rsid w:val="4F865CFC"/>
    <w:rsid w:val="4F87B6AF"/>
    <w:rsid w:val="4FA128CA"/>
    <w:rsid w:val="5042ACB9"/>
    <w:rsid w:val="5057E159"/>
    <w:rsid w:val="50651FCF"/>
    <w:rsid w:val="50966E7F"/>
    <w:rsid w:val="50BF65DD"/>
    <w:rsid w:val="50C02B3A"/>
    <w:rsid w:val="50C5A2A3"/>
    <w:rsid w:val="50D9410D"/>
    <w:rsid w:val="5131E857"/>
    <w:rsid w:val="513E1746"/>
    <w:rsid w:val="51807EBE"/>
    <w:rsid w:val="51981C30"/>
    <w:rsid w:val="51A1647F"/>
    <w:rsid w:val="51A64EAF"/>
    <w:rsid w:val="51C6F535"/>
    <w:rsid w:val="51E1E469"/>
    <w:rsid w:val="52136CC4"/>
    <w:rsid w:val="521DDA67"/>
    <w:rsid w:val="52389B6D"/>
    <w:rsid w:val="523AEA3B"/>
    <w:rsid w:val="5242AEA7"/>
    <w:rsid w:val="5271A64C"/>
    <w:rsid w:val="528A2692"/>
    <w:rsid w:val="528F3B3F"/>
    <w:rsid w:val="52ACEB48"/>
    <w:rsid w:val="52DCA84F"/>
    <w:rsid w:val="52EF5767"/>
    <w:rsid w:val="53091BCB"/>
    <w:rsid w:val="531FAD31"/>
    <w:rsid w:val="53209482"/>
    <w:rsid w:val="532D5E2C"/>
    <w:rsid w:val="537532B1"/>
    <w:rsid w:val="53B1DDDA"/>
    <w:rsid w:val="53F24360"/>
    <w:rsid w:val="54052FF0"/>
    <w:rsid w:val="5453AA20"/>
    <w:rsid w:val="5464D769"/>
    <w:rsid w:val="546CCECA"/>
    <w:rsid w:val="548A921B"/>
    <w:rsid w:val="54A39242"/>
    <w:rsid w:val="54CC5818"/>
    <w:rsid w:val="54DE5F28"/>
    <w:rsid w:val="54E7AB6E"/>
    <w:rsid w:val="550B7A7A"/>
    <w:rsid w:val="553485DE"/>
    <w:rsid w:val="555565B0"/>
    <w:rsid w:val="5590A896"/>
    <w:rsid w:val="55A304BA"/>
    <w:rsid w:val="560D7FDE"/>
    <w:rsid w:val="562FA911"/>
    <w:rsid w:val="5634E416"/>
    <w:rsid w:val="565B08CA"/>
    <w:rsid w:val="56A28252"/>
    <w:rsid w:val="56C7F51A"/>
    <w:rsid w:val="56D0EBE2"/>
    <w:rsid w:val="56D346B4"/>
    <w:rsid w:val="571D7859"/>
    <w:rsid w:val="57297CDF"/>
    <w:rsid w:val="57499436"/>
    <w:rsid w:val="57729157"/>
    <w:rsid w:val="5799F261"/>
    <w:rsid w:val="57AA7447"/>
    <w:rsid w:val="57BF5DC5"/>
    <w:rsid w:val="57C54326"/>
    <w:rsid w:val="57D7D5E8"/>
    <w:rsid w:val="57ECB57B"/>
    <w:rsid w:val="5820221C"/>
    <w:rsid w:val="58226A54"/>
    <w:rsid w:val="584337BD"/>
    <w:rsid w:val="586C6621"/>
    <w:rsid w:val="58703F9E"/>
    <w:rsid w:val="58B5B4C1"/>
    <w:rsid w:val="58C23B3D"/>
    <w:rsid w:val="58CE7DE6"/>
    <w:rsid w:val="58CF61FF"/>
    <w:rsid w:val="58F6A68A"/>
    <w:rsid w:val="593B0604"/>
    <w:rsid w:val="5947AD51"/>
    <w:rsid w:val="5951F08A"/>
    <w:rsid w:val="59656753"/>
    <w:rsid w:val="596FC3A4"/>
    <w:rsid w:val="59BE658D"/>
    <w:rsid w:val="59F11905"/>
    <w:rsid w:val="5A2F89A7"/>
    <w:rsid w:val="5A34982F"/>
    <w:rsid w:val="5A47F79A"/>
    <w:rsid w:val="5A48B6F9"/>
    <w:rsid w:val="5A6869E3"/>
    <w:rsid w:val="5A93654B"/>
    <w:rsid w:val="5AD2D5F3"/>
    <w:rsid w:val="5AFA4562"/>
    <w:rsid w:val="5AFD13D0"/>
    <w:rsid w:val="5B230AA7"/>
    <w:rsid w:val="5B285B22"/>
    <w:rsid w:val="5B466937"/>
    <w:rsid w:val="5B56AC77"/>
    <w:rsid w:val="5BDE67FF"/>
    <w:rsid w:val="5BEE9575"/>
    <w:rsid w:val="5C06A76B"/>
    <w:rsid w:val="5C2723CC"/>
    <w:rsid w:val="5C6AC9B9"/>
    <w:rsid w:val="5CDB78BF"/>
    <w:rsid w:val="5CE9514E"/>
    <w:rsid w:val="5D224C91"/>
    <w:rsid w:val="5D35D33A"/>
    <w:rsid w:val="5D366544"/>
    <w:rsid w:val="5D3DDD92"/>
    <w:rsid w:val="5D6D31CE"/>
    <w:rsid w:val="5D717FB0"/>
    <w:rsid w:val="5D835FC2"/>
    <w:rsid w:val="5DD87840"/>
    <w:rsid w:val="5E070538"/>
    <w:rsid w:val="5E4C2E5F"/>
    <w:rsid w:val="5E5EC53B"/>
    <w:rsid w:val="5E5EE673"/>
    <w:rsid w:val="5ECCEB42"/>
    <w:rsid w:val="5EF0C0FF"/>
    <w:rsid w:val="5F1199DB"/>
    <w:rsid w:val="5F32DE82"/>
    <w:rsid w:val="5F416F45"/>
    <w:rsid w:val="5F4585D5"/>
    <w:rsid w:val="5F60A6BF"/>
    <w:rsid w:val="5F764589"/>
    <w:rsid w:val="5F88C263"/>
    <w:rsid w:val="5FD91B5C"/>
    <w:rsid w:val="5FEDF7C7"/>
    <w:rsid w:val="600C193A"/>
    <w:rsid w:val="60257050"/>
    <w:rsid w:val="603C1DCD"/>
    <w:rsid w:val="604A02C6"/>
    <w:rsid w:val="60652FD0"/>
    <w:rsid w:val="60741F05"/>
    <w:rsid w:val="60C154C3"/>
    <w:rsid w:val="60D94D79"/>
    <w:rsid w:val="60ECFAC8"/>
    <w:rsid w:val="61B089EF"/>
    <w:rsid w:val="61F39D3D"/>
    <w:rsid w:val="61F4A78D"/>
    <w:rsid w:val="6202DFD6"/>
    <w:rsid w:val="62464870"/>
    <w:rsid w:val="62481803"/>
    <w:rsid w:val="62732457"/>
    <w:rsid w:val="62BCBC68"/>
    <w:rsid w:val="62BD59A9"/>
    <w:rsid w:val="62D233E2"/>
    <w:rsid w:val="62D919B6"/>
    <w:rsid w:val="6312EA14"/>
    <w:rsid w:val="631F0213"/>
    <w:rsid w:val="632D533E"/>
    <w:rsid w:val="6334F92B"/>
    <w:rsid w:val="634AD927"/>
    <w:rsid w:val="637E8F74"/>
    <w:rsid w:val="63951FC1"/>
    <w:rsid w:val="63E662CD"/>
    <w:rsid w:val="6441C07B"/>
    <w:rsid w:val="6466A987"/>
    <w:rsid w:val="64828E89"/>
    <w:rsid w:val="64D037B2"/>
    <w:rsid w:val="64DCF0CA"/>
    <w:rsid w:val="64E9A277"/>
    <w:rsid w:val="6501CA90"/>
    <w:rsid w:val="6563A325"/>
    <w:rsid w:val="6565CC08"/>
    <w:rsid w:val="65B1D720"/>
    <w:rsid w:val="65E9BD0A"/>
    <w:rsid w:val="6634B2AA"/>
    <w:rsid w:val="663533A5"/>
    <w:rsid w:val="665873EE"/>
    <w:rsid w:val="6685913D"/>
    <w:rsid w:val="668E83FA"/>
    <w:rsid w:val="66A642FB"/>
    <w:rsid w:val="66D6390D"/>
    <w:rsid w:val="66F59F79"/>
    <w:rsid w:val="6702FD38"/>
    <w:rsid w:val="67672F43"/>
    <w:rsid w:val="67715D6E"/>
    <w:rsid w:val="677AD845"/>
    <w:rsid w:val="677F44AA"/>
    <w:rsid w:val="67CB126C"/>
    <w:rsid w:val="685FE595"/>
    <w:rsid w:val="689F139D"/>
    <w:rsid w:val="68E204A5"/>
    <w:rsid w:val="68FAAD77"/>
    <w:rsid w:val="69199ED5"/>
    <w:rsid w:val="69504158"/>
    <w:rsid w:val="69F64473"/>
    <w:rsid w:val="6A02EA2C"/>
    <w:rsid w:val="6A0DF453"/>
    <w:rsid w:val="6A39DCF3"/>
    <w:rsid w:val="6A3BD795"/>
    <w:rsid w:val="6A4AE598"/>
    <w:rsid w:val="6A7842E3"/>
    <w:rsid w:val="6A78617C"/>
    <w:rsid w:val="6A82113B"/>
    <w:rsid w:val="6A845973"/>
    <w:rsid w:val="6A8C2713"/>
    <w:rsid w:val="6A935BEC"/>
    <w:rsid w:val="6AA7B3ED"/>
    <w:rsid w:val="6AD5CFC1"/>
    <w:rsid w:val="6ADACA14"/>
    <w:rsid w:val="6AE22FF3"/>
    <w:rsid w:val="6AEDA833"/>
    <w:rsid w:val="6AEF3EDF"/>
    <w:rsid w:val="6AF75FF2"/>
    <w:rsid w:val="6B0B67A1"/>
    <w:rsid w:val="6B6E1CEC"/>
    <w:rsid w:val="6BA1D591"/>
    <w:rsid w:val="6BAAB641"/>
    <w:rsid w:val="6BAC527E"/>
    <w:rsid w:val="6BBB5106"/>
    <w:rsid w:val="6BD55AE5"/>
    <w:rsid w:val="6C29DFA9"/>
    <w:rsid w:val="6C3173F7"/>
    <w:rsid w:val="6C337291"/>
    <w:rsid w:val="6C3552F8"/>
    <w:rsid w:val="6C4AC976"/>
    <w:rsid w:val="6C8B5260"/>
    <w:rsid w:val="6C9EB5A2"/>
    <w:rsid w:val="6CBEFE92"/>
    <w:rsid w:val="6CC29B79"/>
    <w:rsid w:val="6CC3A8E7"/>
    <w:rsid w:val="6D4686A2"/>
    <w:rsid w:val="6D5DA913"/>
    <w:rsid w:val="6D6317FA"/>
    <w:rsid w:val="6D8D4EF3"/>
    <w:rsid w:val="6D9C7C14"/>
    <w:rsid w:val="6DC10193"/>
    <w:rsid w:val="6E0E26C5"/>
    <w:rsid w:val="6E2EB0E5"/>
    <w:rsid w:val="6E2F8CD5"/>
    <w:rsid w:val="6E3E246C"/>
    <w:rsid w:val="6E761FAE"/>
    <w:rsid w:val="6E846C8F"/>
    <w:rsid w:val="6E9D393B"/>
    <w:rsid w:val="6ED3DE94"/>
    <w:rsid w:val="6EF40A0F"/>
    <w:rsid w:val="6EFD0990"/>
    <w:rsid w:val="6F1AE4FC"/>
    <w:rsid w:val="6F30F6D1"/>
    <w:rsid w:val="6F44795D"/>
    <w:rsid w:val="6F4E9306"/>
    <w:rsid w:val="6F59F6AF"/>
    <w:rsid w:val="6F759017"/>
    <w:rsid w:val="6F7F0B99"/>
    <w:rsid w:val="6F8D1FF0"/>
    <w:rsid w:val="6F8EB874"/>
    <w:rsid w:val="6F926B04"/>
    <w:rsid w:val="6FE2FB00"/>
    <w:rsid w:val="702277AA"/>
    <w:rsid w:val="703F580F"/>
    <w:rsid w:val="70404398"/>
    <w:rsid w:val="70762C4E"/>
    <w:rsid w:val="70BBCBE2"/>
    <w:rsid w:val="70C783F6"/>
    <w:rsid w:val="70E66335"/>
    <w:rsid w:val="7166E930"/>
    <w:rsid w:val="7190D349"/>
    <w:rsid w:val="71A7894D"/>
    <w:rsid w:val="71AD5C66"/>
    <w:rsid w:val="71E5CE35"/>
    <w:rsid w:val="723DE857"/>
    <w:rsid w:val="724EF758"/>
    <w:rsid w:val="72D241D0"/>
    <w:rsid w:val="7302B991"/>
    <w:rsid w:val="73188191"/>
    <w:rsid w:val="734F99F0"/>
    <w:rsid w:val="73577245"/>
    <w:rsid w:val="7387FB5B"/>
    <w:rsid w:val="73A365D5"/>
    <w:rsid w:val="73D4076D"/>
    <w:rsid w:val="7410E91C"/>
    <w:rsid w:val="7449013A"/>
    <w:rsid w:val="74741331"/>
    <w:rsid w:val="7495D31E"/>
    <w:rsid w:val="74BCAD79"/>
    <w:rsid w:val="74E56132"/>
    <w:rsid w:val="74F23A43"/>
    <w:rsid w:val="7531ED5A"/>
    <w:rsid w:val="753E48FC"/>
    <w:rsid w:val="754D0FCB"/>
    <w:rsid w:val="75AF57C0"/>
    <w:rsid w:val="75D1F940"/>
    <w:rsid w:val="75D6760F"/>
    <w:rsid w:val="75E4D19B"/>
    <w:rsid w:val="76031B3F"/>
    <w:rsid w:val="760A5F5E"/>
    <w:rsid w:val="76166E44"/>
    <w:rsid w:val="7625D78B"/>
    <w:rsid w:val="762B194C"/>
    <w:rsid w:val="765A2A20"/>
    <w:rsid w:val="765A4D41"/>
    <w:rsid w:val="766B0AE8"/>
    <w:rsid w:val="766BD531"/>
    <w:rsid w:val="76CBD1A7"/>
    <w:rsid w:val="76E21010"/>
    <w:rsid w:val="772C77BA"/>
    <w:rsid w:val="775CC435"/>
    <w:rsid w:val="7774F486"/>
    <w:rsid w:val="7775E2E6"/>
    <w:rsid w:val="7786AB76"/>
    <w:rsid w:val="778B52D2"/>
    <w:rsid w:val="77D74859"/>
    <w:rsid w:val="7844E5E9"/>
    <w:rsid w:val="788D0733"/>
    <w:rsid w:val="7897A27E"/>
    <w:rsid w:val="79141138"/>
    <w:rsid w:val="7924EB45"/>
    <w:rsid w:val="797FF6C5"/>
    <w:rsid w:val="79A4054B"/>
    <w:rsid w:val="79BECB4F"/>
    <w:rsid w:val="7A2B90F6"/>
    <w:rsid w:val="7A67AA67"/>
    <w:rsid w:val="7A7F77A4"/>
    <w:rsid w:val="7A854A5E"/>
    <w:rsid w:val="7AD9C0DB"/>
    <w:rsid w:val="7B41E818"/>
    <w:rsid w:val="7B5C31A1"/>
    <w:rsid w:val="7B752BAB"/>
    <w:rsid w:val="7B7AF16C"/>
    <w:rsid w:val="7B85B604"/>
    <w:rsid w:val="7BD403B1"/>
    <w:rsid w:val="7BE834CD"/>
    <w:rsid w:val="7C0370D4"/>
    <w:rsid w:val="7C0D9093"/>
    <w:rsid w:val="7C22DDE7"/>
    <w:rsid w:val="7C25CBF4"/>
    <w:rsid w:val="7C5D195A"/>
    <w:rsid w:val="7C8F1446"/>
    <w:rsid w:val="7CC189B1"/>
    <w:rsid w:val="7D03CA04"/>
    <w:rsid w:val="7D0D8995"/>
    <w:rsid w:val="7D10E834"/>
    <w:rsid w:val="7D2D502D"/>
    <w:rsid w:val="7D2D6EC1"/>
    <w:rsid w:val="7D41484E"/>
    <w:rsid w:val="7D5B0E2C"/>
    <w:rsid w:val="7D9F9878"/>
    <w:rsid w:val="7DB188D3"/>
    <w:rsid w:val="7DDF3A72"/>
    <w:rsid w:val="7DFDA62A"/>
    <w:rsid w:val="7E15A8D7"/>
    <w:rsid w:val="7EA09C8E"/>
    <w:rsid w:val="7EA87BAC"/>
    <w:rsid w:val="7EBA179D"/>
    <w:rsid w:val="7ED7EA43"/>
    <w:rsid w:val="7EE3A673"/>
    <w:rsid w:val="7F28857B"/>
    <w:rsid w:val="7F2D0A54"/>
    <w:rsid w:val="7F48783F"/>
    <w:rsid w:val="7F549171"/>
    <w:rsid w:val="7F5AF626"/>
    <w:rsid w:val="7F7DEDE8"/>
    <w:rsid w:val="7F80066B"/>
    <w:rsid w:val="7F82753B"/>
    <w:rsid w:val="7FC060FD"/>
    <w:rsid w:val="7FFDB0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9BF4"/>
  <w15:chartTrackingRefBased/>
  <w15:docId w15:val="{80BDF7E9-846B-42A1-8C7C-0D6460E5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DE"/>
    <w:pPr>
      <w:spacing w:after="160" w:line="259" w:lineRule="auto"/>
    </w:pPr>
    <w:rPr>
      <w:rFonts w:ascii="Arial" w:hAnsi="Arial"/>
      <w:kern w:val="0"/>
      <w:sz w:val="22"/>
      <w:szCs w:val="22"/>
      <w14:ligatures w14:val="none"/>
    </w:rPr>
  </w:style>
  <w:style w:type="paragraph" w:styleId="Heading1">
    <w:name w:val="heading 1"/>
    <w:basedOn w:val="Normal"/>
    <w:next w:val="Normal"/>
    <w:link w:val="Heading1Char"/>
    <w:uiPriority w:val="9"/>
    <w:qFormat/>
    <w:rsid w:val="00D678CF"/>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D678CF"/>
    <w:pPr>
      <w:keepNext/>
      <w:keepLines/>
      <w:spacing w:before="40" w:after="0"/>
      <w:outlineLvl w:val="1"/>
    </w:pPr>
    <w:rPr>
      <w:rFonts w:eastAsiaTheme="majorEastAsia" w:cstheme="majorBidi"/>
      <w:b/>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8E0"/>
    <w:rPr>
      <w:color w:val="0563C1" w:themeColor="hyperlink"/>
      <w:u w:val="single"/>
    </w:rPr>
  </w:style>
  <w:style w:type="table" w:styleId="TableGrid">
    <w:name w:val="Table Grid"/>
    <w:basedOn w:val="TableNormal"/>
    <w:uiPriority w:val="59"/>
    <w:rsid w:val="007118E0"/>
    <w:rPr>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7118E0"/>
  </w:style>
  <w:style w:type="paragraph" w:styleId="Header">
    <w:name w:val="header"/>
    <w:basedOn w:val="Normal"/>
    <w:link w:val="HeaderChar"/>
    <w:uiPriority w:val="99"/>
    <w:unhideWhenUsed/>
    <w:rsid w:val="007118E0"/>
    <w:pPr>
      <w:tabs>
        <w:tab w:val="center" w:pos="4680"/>
        <w:tab w:val="right" w:pos="9360"/>
      </w:tabs>
      <w:spacing w:after="0" w:line="240" w:lineRule="auto"/>
    </w:pPr>
    <w:rPr>
      <w:kern w:val="2"/>
      <w:sz w:val="24"/>
      <w:szCs w:val="24"/>
      <w14:ligatures w14:val="standardContextual"/>
    </w:rPr>
  </w:style>
  <w:style w:type="character" w:customStyle="1" w:styleId="HeaderChar1">
    <w:name w:val="Header Char1"/>
    <w:basedOn w:val="DefaultParagraphFont"/>
    <w:uiPriority w:val="99"/>
    <w:semiHidden/>
    <w:rsid w:val="007118E0"/>
    <w:rPr>
      <w:kern w:val="0"/>
      <w:sz w:val="22"/>
      <w:szCs w:val="22"/>
      <w14:ligatures w14:val="none"/>
    </w:rPr>
  </w:style>
  <w:style w:type="character" w:customStyle="1" w:styleId="FooterChar">
    <w:name w:val="Footer Char"/>
    <w:basedOn w:val="DefaultParagraphFont"/>
    <w:link w:val="Footer"/>
    <w:uiPriority w:val="99"/>
    <w:rsid w:val="007118E0"/>
  </w:style>
  <w:style w:type="paragraph" w:styleId="Footer">
    <w:name w:val="footer"/>
    <w:basedOn w:val="Normal"/>
    <w:link w:val="FooterChar"/>
    <w:uiPriority w:val="99"/>
    <w:unhideWhenUsed/>
    <w:rsid w:val="007118E0"/>
    <w:pPr>
      <w:tabs>
        <w:tab w:val="center" w:pos="4680"/>
        <w:tab w:val="right" w:pos="9360"/>
      </w:tabs>
      <w:spacing w:after="0" w:line="240" w:lineRule="auto"/>
    </w:pPr>
    <w:rPr>
      <w:kern w:val="2"/>
      <w:sz w:val="24"/>
      <w:szCs w:val="24"/>
      <w14:ligatures w14:val="standardContextual"/>
    </w:rPr>
  </w:style>
  <w:style w:type="character" w:customStyle="1" w:styleId="FooterChar1">
    <w:name w:val="Footer Char1"/>
    <w:basedOn w:val="DefaultParagraphFont"/>
    <w:uiPriority w:val="99"/>
    <w:semiHidden/>
    <w:rsid w:val="007118E0"/>
    <w:rPr>
      <w:kern w:val="0"/>
      <w:sz w:val="22"/>
      <w:szCs w:val="22"/>
      <w14:ligatures w14:val="none"/>
    </w:rPr>
  </w:style>
  <w:style w:type="paragraph" w:styleId="Revision">
    <w:name w:val="Revision"/>
    <w:hidden/>
    <w:uiPriority w:val="99"/>
    <w:semiHidden/>
    <w:rsid w:val="007118E0"/>
    <w:rPr>
      <w:kern w:val="0"/>
      <w:sz w:val="22"/>
      <w:szCs w:val="22"/>
      <w14:ligatures w14:val="none"/>
    </w:rPr>
  </w:style>
  <w:style w:type="character" w:styleId="CommentReference">
    <w:name w:val="annotation reference"/>
    <w:basedOn w:val="DefaultParagraphFont"/>
    <w:uiPriority w:val="99"/>
    <w:semiHidden/>
    <w:unhideWhenUsed/>
    <w:rsid w:val="007118E0"/>
    <w:rPr>
      <w:sz w:val="16"/>
      <w:szCs w:val="16"/>
    </w:rPr>
  </w:style>
  <w:style w:type="paragraph" w:styleId="CommentText">
    <w:name w:val="annotation text"/>
    <w:basedOn w:val="Normal"/>
    <w:link w:val="CommentTextChar"/>
    <w:uiPriority w:val="99"/>
    <w:semiHidden/>
    <w:unhideWhenUsed/>
    <w:rsid w:val="007118E0"/>
    <w:pPr>
      <w:spacing w:line="240" w:lineRule="auto"/>
    </w:pPr>
    <w:rPr>
      <w:sz w:val="20"/>
      <w:szCs w:val="20"/>
    </w:rPr>
  </w:style>
  <w:style w:type="character" w:customStyle="1" w:styleId="CommentTextChar">
    <w:name w:val="Comment Text Char"/>
    <w:basedOn w:val="DefaultParagraphFont"/>
    <w:link w:val="CommentText"/>
    <w:uiPriority w:val="99"/>
    <w:semiHidden/>
    <w:rsid w:val="007118E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118E0"/>
    <w:rPr>
      <w:b/>
      <w:bCs/>
    </w:rPr>
  </w:style>
  <w:style w:type="character" w:customStyle="1" w:styleId="CommentSubjectChar">
    <w:name w:val="Comment Subject Char"/>
    <w:basedOn w:val="CommentTextChar"/>
    <w:link w:val="CommentSubject"/>
    <w:uiPriority w:val="99"/>
    <w:semiHidden/>
    <w:rsid w:val="007118E0"/>
    <w:rPr>
      <w:b/>
      <w:bCs/>
      <w:kern w:val="0"/>
      <w:sz w:val="20"/>
      <w:szCs w:val="20"/>
      <w14:ligatures w14:val="none"/>
    </w:rPr>
  </w:style>
  <w:style w:type="paragraph" w:styleId="ListParagraph">
    <w:name w:val="List Paragraph"/>
    <w:basedOn w:val="Normal"/>
    <w:uiPriority w:val="34"/>
    <w:qFormat/>
    <w:rsid w:val="007118E0"/>
    <w:pPr>
      <w:ind w:left="720"/>
      <w:contextualSpacing/>
    </w:pPr>
  </w:style>
  <w:style w:type="character" w:styleId="Mention">
    <w:name w:val="Mention"/>
    <w:basedOn w:val="DefaultParagraphFont"/>
    <w:uiPriority w:val="99"/>
    <w:unhideWhenUsed/>
    <w:rsid w:val="007118E0"/>
    <w:rPr>
      <w:color w:val="2B579A"/>
      <w:shd w:val="clear" w:color="auto" w:fill="E1DFDD"/>
    </w:rPr>
  </w:style>
  <w:style w:type="character" w:styleId="FollowedHyperlink">
    <w:name w:val="FollowedHyperlink"/>
    <w:basedOn w:val="DefaultParagraphFont"/>
    <w:uiPriority w:val="99"/>
    <w:semiHidden/>
    <w:unhideWhenUsed/>
    <w:rsid w:val="007118E0"/>
    <w:rPr>
      <w:color w:val="954F72" w:themeColor="followedHyperlink"/>
      <w:u w:val="single"/>
    </w:rPr>
  </w:style>
  <w:style w:type="paragraph" w:styleId="NormalWeb">
    <w:name w:val="Normal (Web)"/>
    <w:basedOn w:val="Normal"/>
    <w:uiPriority w:val="99"/>
    <w:unhideWhenUsed/>
    <w:rsid w:val="007118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7118E0"/>
    <w:pPr>
      <w:tabs>
        <w:tab w:val="left" w:pos="380"/>
        <w:tab w:val="left" w:pos="620"/>
      </w:tabs>
      <w:spacing w:after="240" w:line="480" w:lineRule="auto"/>
      <w:ind w:left="624" w:hanging="624"/>
    </w:pPr>
  </w:style>
  <w:style w:type="character" w:styleId="LineNumber">
    <w:name w:val="line number"/>
    <w:basedOn w:val="DefaultParagraphFont"/>
    <w:uiPriority w:val="99"/>
    <w:semiHidden/>
    <w:unhideWhenUsed/>
    <w:rsid w:val="00260AB8"/>
  </w:style>
  <w:style w:type="character" w:styleId="PageNumber">
    <w:name w:val="page number"/>
    <w:basedOn w:val="DefaultParagraphFont"/>
    <w:uiPriority w:val="99"/>
    <w:semiHidden/>
    <w:unhideWhenUsed/>
    <w:rsid w:val="00260AB8"/>
  </w:style>
  <w:style w:type="character" w:customStyle="1" w:styleId="Heading1Char">
    <w:name w:val="Heading 1 Char"/>
    <w:basedOn w:val="DefaultParagraphFont"/>
    <w:link w:val="Heading1"/>
    <w:uiPriority w:val="9"/>
    <w:rsid w:val="00D678CF"/>
    <w:rPr>
      <w:rFonts w:ascii="Arial" w:eastAsiaTheme="majorEastAsia" w:hAnsi="Arial" w:cstheme="majorBidi"/>
      <w:b/>
      <w:color w:val="2F5496" w:themeColor="accent1" w:themeShade="BF"/>
      <w:kern w:val="0"/>
      <w:sz w:val="28"/>
      <w:szCs w:val="32"/>
      <w14:ligatures w14:val="none"/>
    </w:rPr>
  </w:style>
  <w:style w:type="paragraph" w:styleId="TOCHeading">
    <w:name w:val="TOC Heading"/>
    <w:basedOn w:val="Heading1"/>
    <w:next w:val="Normal"/>
    <w:uiPriority w:val="39"/>
    <w:unhideWhenUsed/>
    <w:qFormat/>
    <w:rsid w:val="00E81ADE"/>
    <w:pPr>
      <w:spacing w:before="480" w:line="276" w:lineRule="auto"/>
      <w:outlineLvl w:val="9"/>
    </w:pPr>
    <w:rPr>
      <w:b w:val="0"/>
      <w:bCs/>
      <w:szCs w:val="28"/>
      <w:lang w:val="en-US"/>
    </w:rPr>
  </w:style>
  <w:style w:type="paragraph" w:styleId="TOC1">
    <w:name w:val="toc 1"/>
    <w:basedOn w:val="Normal"/>
    <w:next w:val="Normal"/>
    <w:autoRedefine/>
    <w:uiPriority w:val="39"/>
    <w:unhideWhenUsed/>
    <w:rsid w:val="001D7B7F"/>
    <w:pPr>
      <w:tabs>
        <w:tab w:val="right" w:leader="dot" w:pos="9350"/>
      </w:tabs>
      <w:spacing w:before="120" w:after="0"/>
    </w:pPr>
    <w:rPr>
      <w:rFonts w:cstheme="minorHAnsi"/>
      <w:b/>
      <w:bCs/>
      <w:i/>
      <w:iCs/>
      <w:sz w:val="24"/>
      <w:szCs w:val="24"/>
    </w:rPr>
  </w:style>
  <w:style w:type="paragraph" w:styleId="TOC2">
    <w:name w:val="toc 2"/>
    <w:basedOn w:val="Normal"/>
    <w:next w:val="Normal"/>
    <w:autoRedefine/>
    <w:uiPriority w:val="39"/>
    <w:unhideWhenUsed/>
    <w:rsid w:val="00E81ADE"/>
    <w:pPr>
      <w:spacing w:before="120" w:after="0"/>
      <w:ind w:left="220"/>
    </w:pPr>
    <w:rPr>
      <w:rFonts w:cstheme="minorHAnsi"/>
      <w:b/>
      <w:bCs/>
    </w:rPr>
  </w:style>
  <w:style w:type="paragraph" w:styleId="TOC3">
    <w:name w:val="toc 3"/>
    <w:basedOn w:val="Normal"/>
    <w:next w:val="Normal"/>
    <w:autoRedefine/>
    <w:uiPriority w:val="39"/>
    <w:semiHidden/>
    <w:unhideWhenUsed/>
    <w:rsid w:val="00E81ADE"/>
    <w:pPr>
      <w:spacing w:after="0"/>
      <w:ind w:left="440"/>
    </w:pPr>
    <w:rPr>
      <w:rFonts w:cstheme="minorHAnsi"/>
      <w:sz w:val="20"/>
      <w:szCs w:val="20"/>
    </w:rPr>
  </w:style>
  <w:style w:type="paragraph" w:styleId="TOC4">
    <w:name w:val="toc 4"/>
    <w:basedOn w:val="Normal"/>
    <w:next w:val="Normal"/>
    <w:autoRedefine/>
    <w:uiPriority w:val="39"/>
    <w:semiHidden/>
    <w:unhideWhenUsed/>
    <w:rsid w:val="00E81ADE"/>
    <w:pPr>
      <w:spacing w:after="0"/>
      <w:ind w:left="660"/>
    </w:pPr>
    <w:rPr>
      <w:rFonts w:cstheme="minorHAnsi"/>
      <w:sz w:val="20"/>
      <w:szCs w:val="20"/>
    </w:rPr>
  </w:style>
  <w:style w:type="paragraph" w:styleId="TOC5">
    <w:name w:val="toc 5"/>
    <w:basedOn w:val="Normal"/>
    <w:next w:val="Normal"/>
    <w:autoRedefine/>
    <w:uiPriority w:val="39"/>
    <w:semiHidden/>
    <w:unhideWhenUsed/>
    <w:rsid w:val="00E81ADE"/>
    <w:pPr>
      <w:spacing w:after="0"/>
      <w:ind w:left="880"/>
    </w:pPr>
    <w:rPr>
      <w:rFonts w:cstheme="minorHAnsi"/>
      <w:sz w:val="20"/>
      <w:szCs w:val="20"/>
    </w:rPr>
  </w:style>
  <w:style w:type="paragraph" w:styleId="TOC6">
    <w:name w:val="toc 6"/>
    <w:basedOn w:val="Normal"/>
    <w:next w:val="Normal"/>
    <w:autoRedefine/>
    <w:uiPriority w:val="39"/>
    <w:semiHidden/>
    <w:unhideWhenUsed/>
    <w:rsid w:val="00E81ADE"/>
    <w:pPr>
      <w:spacing w:after="0"/>
      <w:ind w:left="1100"/>
    </w:pPr>
    <w:rPr>
      <w:rFonts w:cstheme="minorHAnsi"/>
      <w:sz w:val="20"/>
      <w:szCs w:val="20"/>
    </w:rPr>
  </w:style>
  <w:style w:type="paragraph" w:styleId="TOC7">
    <w:name w:val="toc 7"/>
    <w:basedOn w:val="Normal"/>
    <w:next w:val="Normal"/>
    <w:autoRedefine/>
    <w:uiPriority w:val="39"/>
    <w:semiHidden/>
    <w:unhideWhenUsed/>
    <w:rsid w:val="00E81ADE"/>
    <w:pPr>
      <w:spacing w:after="0"/>
      <w:ind w:left="1320"/>
    </w:pPr>
    <w:rPr>
      <w:rFonts w:cstheme="minorHAnsi"/>
      <w:sz w:val="20"/>
      <w:szCs w:val="20"/>
    </w:rPr>
  </w:style>
  <w:style w:type="paragraph" w:styleId="TOC8">
    <w:name w:val="toc 8"/>
    <w:basedOn w:val="Normal"/>
    <w:next w:val="Normal"/>
    <w:autoRedefine/>
    <w:uiPriority w:val="39"/>
    <w:semiHidden/>
    <w:unhideWhenUsed/>
    <w:rsid w:val="00E81ADE"/>
    <w:pPr>
      <w:spacing w:after="0"/>
      <w:ind w:left="1540"/>
    </w:pPr>
    <w:rPr>
      <w:rFonts w:cstheme="minorHAnsi"/>
      <w:sz w:val="20"/>
      <w:szCs w:val="20"/>
    </w:rPr>
  </w:style>
  <w:style w:type="paragraph" w:styleId="TOC9">
    <w:name w:val="toc 9"/>
    <w:basedOn w:val="Normal"/>
    <w:next w:val="Normal"/>
    <w:autoRedefine/>
    <w:uiPriority w:val="39"/>
    <w:semiHidden/>
    <w:unhideWhenUsed/>
    <w:rsid w:val="00E81ADE"/>
    <w:pPr>
      <w:spacing w:after="0"/>
      <w:ind w:left="1760"/>
    </w:pPr>
    <w:rPr>
      <w:rFonts w:cstheme="minorHAnsi"/>
      <w:sz w:val="20"/>
      <w:szCs w:val="20"/>
    </w:rPr>
  </w:style>
  <w:style w:type="character" w:customStyle="1" w:styleId="Heading2Char">
    <w:name w:val="Heading 2 Char"/>
    <w:basedOn w:val="DefaultParagraphFont"/>
    <w:link w:val="Heading2"/>
    <w:uiPriority w:val="9"/>
    <w:rsid w:val="00D678CF"/>
    <w:rPr>
      <w:rFonts w:ascii="Arial" w:eastAsiaTheme="majorEastAsia" w:hAnsi="Arial" w:cstheme="majorBidi"/>
      <w:b/>
      <w:color w:val="4472C4" w:themeColor="accent1"/>
      <w:kern w:val="0"/>
      <w:sz w:val="26"/>
      <w:szCs w:val="26"/>
      <w14:ligatures w14:val="none"/>
    </w:rPr>
  </w:style>
  <w:style w:type="paragraph" w:styleId="Title">
    <w:name w:val="Title"/>
    <w:basedOn w:val="Normal"/>
    <w:next w:val="Normal"/>
    <w:link w:val="TitleChar"/>
    <w:uiPriority w:val="10"/>
    <w:qFormat/>
    <w:rsid w:val="00511504"/>
    <w:pPr>
      <w:spacing w:after="0" w:line="240" w:lineRule="auto"/>
      <w:contextualSpacing/>
    </w:pPr>
    <w:rPr>
      <w:rFonts w:eastAsiaTheme="majorEastAsia" w:cstheme="majorBidi"/>
      <w:b/>
      <w:color w:val="1F3864" w:themeColor="accent1" w:themeShade="80"/>
      <w:spacing w:val="-10"/>
      <w:kern w:val="28"/>
      <w:sz w:val="36"/>
      <w:szCs w:val="56"/>
    </w:rPr>
  </w:style>
  <w:style w:type="character" w:customStyle="1" w:styleId="TitleChar">
    <w:name w:val="Title Char"/>
    <w:basedOn w:val="DefaultParagraphFont"/>
    <w:link w:val="Title"/>
    <w:uiPriority w:val="10"/>
    <w:rsid w:val="00511504"/>
    <w:rPr>
      <w:rFonts w:ascii="Arial" w:eastAsiaTheme="majorEastAsia" w:hAnsi="Arial" w:cstheme="majorBidi"/>
      <w:b/>
      <w:color w:val="1F3864" w:themeColor="accent1" w:themeShade="80"/>
      <w:spacing w:val="-10"/>
      <w:kern w:val="28"/>
      <w:sz w:val="36"/>
      <w:szCs w:val="56"/>
      <w14:ligatures w14:val="none"/>
    </w:rPr>
  </w:style>
  <w:style w:type="paragraph" w:customStyle="1" w:styleId="p1">
    <w:name w:val="p1"/>
    <w:basedOn w:val="Normal"/>
    <w:rsid w:val="00C71951"/>
    <w:pPr>
      <w:spacing w:after="0" w:line="240" w:lineRule="auto"/>
    </w:pPr>
    <w:rPr>
      <w:rFonts w:ascii="Calibri" w:hAnsi="Calibri" w:cs="Times New Roman"/>
      <w:color w:val="1E497D"/>
      <w:sz w:val="17"/>
      <w:szCs w:val="17"/>
      <w:lang w:val="en-US"/>
    </w:rPr>
  </w:style>
  <w:style w:type="character" w:customStyle="1" w:styleId="s1">
    <w:name w:val="s1"/>
    <w:basedOn w:val="DefaultParagraphFont"/>
    <w:rsid w:val="00C7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846939685">
      <w:bodyDiv w:val="1"/>
      <w:marLeft w:val="0"/>
      <w:marRight w:val="0"/>
      <w:marTop w:val="0"/>
      <w:marBottom w:val="0"/>
      <w:divBdr>
        <w:top w:val="none" w:sz="0" w:space="0" w:color="auto"/>
        <w:left w:val="none" w:sz="0" w:space="0" w:color="auto"/>
        <w:bottom w:val="none" w:sz="0" w:space="0" w:color="auto"/>
        <w:right w:val="none" w:sz="0" w:space="0" w:color="auto"/>
      </w:divBdr>
      <w:divsChild>
        <w:div w:id="1049720406">
          <w:marLeft w:val="0"/>
          <w:marRight w:val="0"/>
          <w:marTop w:val="0"/>
          <w:marBottom w:val="0"/>
          <w:divBdr>
            <w:top w:val="none" w:sz="0" w:space="0" w:color="auto"/>
            <w:left w:val="none" w:sz="0" w:space="0" w:color="auto"/>
            <w:bottom w:val="none" w:sz="0" w:space="0" w:color="auto"/>
            <w:right w:val="none" w:sz="0" w:space="0" w:color="auto"/>
          </w:divBdr>
          <w:divsChild>
            <w:div w:id="991833103">
              <w:marLeft w:val="0"/>
              <w:marRight w:val="0"/>
              <w:marTop w:val="0"/>
              <w:marBottom w:val="0"/>
              <w:divBdr>
                <w:top w:val="none" w:sz="0" w:space="0" w:color="auto"/>
                <w:left w:val="none" w:sz="0" w:space="0" w:color="auto"/>
                <w:bottom w:val="none" w:sz="0" w:space="0" w:color="auto"/>
                <w:right w:val="none" w:sz="0" w:space="0" w:color="auto"/>
              </w:divBdr>
              <w:divsChild>
                <w:div w:id="11096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a.reza@liverpool.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40701-FE9D-3844-A3A4-E1058636FDA2}">
  <ds:schemaRefs>
    <ds:schemaRef ds:uri="http://schemas.openxmlformats.org/officeDocument/2006/bibliography"/>
  </ds:schemaRefs>
</ds:datastoreItem>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52</Pages>
  <Words>82035</Words>
  <Characters>467606</Characters>
  <Application>Microsoft Office Word</Application>
  <DocSecurity>0</DocSecurity>
  <Lines>3896</Lines>
  <Paragraphs>1097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548544</CharactersWithSpaces>
  <SharedDoc>false</SharedDoc>
  <HLinks>
    <vt:vector size="12" baseType="variant">
      <vt:variant>
        <vt:i4>852009</vt:i4>
      </vt:variant>
      <vt:variant>
        <vt:i4>0</vt:i4>
      </vt:variant>
      <vt:variant>
        <vt:i4>0</vt:i4>
      </vt:variant>
      <vt:variant>
        <vt:i4>5</vt:i4>
      </vt:variant>
      <vt:variant>
        <vt:lpwstr>mailto:nada.reza@liverpool.ac.uk</vt:lpwstr>
      </vt:variant>
      <vt:variant>
        <vt:lpwstr/>
      </vt:variant>
      <vt:variant>
        <vt:i4>7405572</vt:i4>
      </vt:variant>
      <vt:variant>
        <vt:i4>0</vt:i4>
      </vt:variant>
      <vt:variant>
        <vt:i4>0</vt:i4>
      </vt:variant>
      <vt:variant>
        <vt:i4>5</vt:i4>
      </vt:variant>
      <vt:variant>
        <vt:lpwstr>https://view.officeapps.live.com/op/view.aspx?src=https%3A%2F%2Fopenaccess.sgul.ac.uk%2Fid%2Feprint%2F111439%2F1%2FAntibiotic%2520PK%2520Evidence%2520Assessment_Answers%2520accepted%2520version.docx&amp;wdOrigin=BROWSELINK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Reza</dc:creator>
  <cp:keywords/>
  <dc:description/>
  <cp:lastModifiedBy>Nada Reza</cp:lastModifiedBy>
  <cp:revision>4</cp:revision>
  <cp:lastPrinted>2023-09-14T15:35:00Z</cp:lastPrinted>
  <dcterms:created xsi:type="dcterms:W3CDTF">2023-12-24T15:58:00Z</dcterms:created>
  <dcterms:modified xsi:type="dcterms:W3CDTF">2023-12-24T16:28:00Z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zotero-version="6.0.28"&gt;&lt;session id="NVF5dKaK"/&gt;&lt;style id="http://www.zotero.org/styles/american-society-for-microbiology" hasBibliography="1" bibliographyStyleHasBeenSet="1"/&gt;&lt;prefs&gt;&lt;pref name="fieldType" value="Field"/&gt;&lt;pref name=</vt:lpwstr>
  </property>
  <property fmtid="{D5CDD505-2E9C-101B-9397-08002B2CF9AE}" pid="3" name="ZOTERO_PREF_2">
    <vt:lpwstr>"dontAskDelayCitationUpdates" value="true"/&gt;&lt;/prefs&gt;&lt;/data&gt;</vt:lpwstr>
  </property>
</Properties>
</file>