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B857" w14:textId="6DBA73C7" w:rsidR="00902A78" w:rsidRPr="00902A78" w:rsidRDefault="00E729B1" w:rsidP="00902A78">
      <w:pPr>
        <w:pStyle w:val="NormalWeb"/>
        <w:spacing w:before="240" w:beforeAutospacing="0" w:after="240" w:afterAutospacing="0"/>
      </w:pPr>
      <w:r>
        <w:rPr>
          <w:b/>
          <w:bCs/>
          <w:color w:val="000000"/>
          <w:sz w:val="22"/>
          <w:szCs w:val="22"/>
        </w:rPr>
        <w:t xml:space="preserve">Table S1. </w:t>
      </w:r>
      <w:r w:rsidR="00902A78" w:rsidRPr="002B6EDA">
        <w:rPr>
          <w:color w:val="000000"/>
          <w:sz w:val="22"/>
          <w:szCs w:val="22"/>
        </w:rPr>
        <w:t>Search Strategy</w:t>
      </w:r>
    </w:p>
    <w:p w14:paraId="2E15D73F" w14:textId="5A0E48FA" w:rsidR="00902A78" w:rsidRPr="00902A78" w:rsidRDefault="00902A78" w:rsidP="00902A78">
      <w:pPr>
        <w:spacing w:before="240" w:after="2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8164"/>
        <w:gridCol w:w="826"/>
      </w:tblGrid>
      <w:tr w:rsidR="00902A78" w:rsidRPr="00902A78" w14:paraId="776DF325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F4642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Set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188E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PubMed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603D6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</w:tr>
      <w:tr w:rsidR="00902A78" w:rsidRPr="00902A78" w14:paraId="23E10F7B" w14:textId="77777777" w:rsidTr="00902A78">
        <w:trPr>
          <w:trHeight w:val="8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5BA71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#1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E5F62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fetofetal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transfusion"[MeSH Terms] OR ("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fetofetal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"[All Fields] AND "transfusion"[All Fields])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fetofetal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transfusion"[All Fields]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E26BE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2,299</w:t>
            </w:r>
          </w:p>
        </w:tc>
      </w:tr>
      <w:tr w:rsidR="00902A78" w:rsidRPr="00902A78" w14:paraId="3FB5E084" w14:textId="77777777" w:rsidTr="00902A78">
        <w:trPr>
          <w:trHeight w:val="23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BADF7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#2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D8CC3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"Fetal Death"[MeSH Terms] OR "Fetal Demise"[All Fields] OR "Fetal Mummification"[All Fields] OR ("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fetale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"[All Fields]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fetally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"[All Fields]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fetals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"[All Fields] OR "fetus"[MeSH Terms] OR "fetus"[All Fields] OR "fetal"[All Fields]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"[All Fields]) AND ("mortality"[MeSH Subheading] OR "mortality"[All Fields] OR "survival"[All Fields] OR "survival"[MeSH Terms] OR "survivability"[All Fields] OR "survivable"[All Fields] OR "survivals"[All Fields] OR "survive"[All Fields] OR "survived"[All Fields] OR "survives"[All Fields] OR "surviving"[All Fields])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DD8E0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55,359</w:t>
            </w:r>
          </w:p>
        </w:tc>
      </w:tr>
      <w:tr w:rsidR="00902A78" w:rsidRPr="00902A78" w14:paraId="0DFFA652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30B4F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#3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5A9FF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#1 AND #2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75C61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</w:tr>
      <w:tr w:rsidR="00902A78" w:rsidRPr="00902A78" w14:paraId="3133C14B" w14:textId="77777777" w:rsidTr="00902A78">
        <w:trPr>
          <w:trHeight w:val="54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C4A4B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#4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AE30F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(("randomized controlled trial"[Publication Type] OR ("controlled"[All Fields] AND "clinical trial"[Publication Type]) OR "randomized"[Title/Abstract] OR "placebo"[Title/Abstract] OR "drug therapy"[MeSH Subheading] OR "randomly"[Title/Abstract] OR "trial"[Title/Abstract] OR "groups"[Title/Abstract]) NOT ("animals"[MeSH Terms] NOT "humans"[MeSH Terms])) OR (("cohort studies"[MeSH Terms] OR ("cohort"[All Fields] AND "studies"[All Fields]) OR "cohort studies"[All Fields] OR "cohort"[All Fields] OR "cohort s"[All Fields]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cohorte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"[All Fields] OR "cohorts"[All Fields] OR (("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controling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"[All Fields] OR "controllability"[All Fields] OR "controllable"[All Fields] OR "controllably"[All Fields] OR "controller"[All Fields] OR "controller s"[All Fields] OR "controllers"[All Fields] OR "controlling"[All Fields] OR "controls"[All Fields] OR "prevention and control"[MeSH Subheading] OR ("prevention"[All Fields] AND "control"[All Fields]) OR "prevention and control"[All Fields] OR "control"[All Fields] OR "control groups"[MeSH Terms] OR ("control"[All Fields] AND "groups"[All Fields]) OR "control groups"[All Fields]) AND ("studies"[All Fields] OR "study"[All Fields] OR "study s"[All Fields] OR "studying"[All Fields]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studys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"[All Fields])) OR ("control"[Text Word] AND "group*"[Text Word]) OR "epidemiologic studies"[MeSH Terms] OR "program"[Text Word] OR "clinical trial"[Publication Type] OR "comparative stud*"[All Fields] OR ("evaluation study"[Publication Type] OR "evaluation studies as topic"[MeSH Terms] OR "evaluation studies"[All Fields]) OR "statistics as topic"[MeSH Terms] OR "survey*"[Text Word] OR "follow up*"[All Fields] OR ("time factors"[MeSH Terms] OR ("time"[All Fields] AND "factors"[All Fields]) OR "time factors"[All Fields]) OR "ci"[Text Word]) NOT (("animals"[MeSH 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Terms:noexp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] NOT "humans"[MeSH 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Terms:noexp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]) OR "comment"[Publication Type] OR "editorial"[Publication Type] OR "review"[Publication Type]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 analysis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"[Publication Type] OR "case report"[Text Word] OR "consensus"[MeSH Terms] OR "guideline"[Publication Type] OR "history"[MeSH Subheading]))1,2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78B0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10,787,650</w:t>
            </w:r>
          </w:p>
        </w:tc>
      </w:tr>
      <w:tr w:rsidR="00902A78" w:rsidRPr="00902A78" w14:paraId="37308DFC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B2D6B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#4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2D2C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#1 AND #2 AND #4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DFE1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442</w:t>
            </w:r>
          </w:p>
        </w:tc>
      </w:tr>
      <w:tr w:rsidR="00902A78" w:rsidRPr="00902A78" w14:paraId="2FFB1F0E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3CED1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Set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212B2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Scopus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430A6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</w:tr>
      <w:tr w:rsidR="00902A78" w:rsidRPr="00902A78" w14:paraId="547A174B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33241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#1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BBD1B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TITLE-ABS-KEY("early" OR "premature" OR "prematurely" OR "promptly")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29851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4,090,545</w:t>
            </w:r>
          </w:p>
        </w:tc>
      </w:tr>
      <w:tr w:rsidR="00902A78" w:rsidRPr="00902A78" w14:paraId="12BA837D" w14:textId="77777777" w:rsidTr="00902A78">
        <w:trPr>
          <w:trHeight w:val="168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C771A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#2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21F00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TITLE-ABS-KEY (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Fetofetal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Transfusion" )  OR  TITLE-ABS-KEY ( "Fetal Transfusion Syndrome" )  OR  TITLE-ABS-KEY (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Fetofetal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 Syndrome" )  OR  TITLE-ABS-KEY ( "Cross-Transfusion"  AND  intrauterine )  OR  TITLE-ABS-KEY ( "Intrauterine Cross-Transfusion" )  OR  TITLE-ABS-KEY ( "Twin Transfusion" )  OR  TITLE-ABS-KEY ( "Twin Transfusion Syndrome" )  OR  TITLE-ABS-KEY ( "Twin 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Twin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 Syndrome" )  OR  TITLE-ABS-KEY ( "Twin-to-Twin Transfusion Syndrome" 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14E5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3,645</w:t>
            </w:r>
          </w:p>
        </w:tc>
      </w:tr>
      <w:tr w:rsidR="00902A78" w:rsidRPr="00902A78" w14:paraId="23BAD7F8" w14:textId="77777777" w:rsidTr="00902A78">
        <w:trPr>
          <w:trHeight w:val="20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31446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#3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8E4E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TITLE-ABS-KEY ( “fetal death” )  OR  TITLE-ABS-KEY ( “fetal demise” )  OR  TITLE-ABS-KEY ( “fetal  mummification” )  OR  TITLE-ABS-KEY ( (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fetale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  OR 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fetally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  OR 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fetals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  OR  "fetus"  OR  "fetus"  OR  "fetal"  OR 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)  AND  ( "mortality"  OR  "death"  OR  "Fatal Outcome"  OR  "survival"  OR  "survivability"  OR  "survivable"  OR  "survivals"  OR  "survive"  OR  "survived"  OR  "survives"  OR  "surviving" ) 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92E1D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114,702</w:t>
            </w:r>
          </w:p>
        </w:tc>
      </w:tr>
      <w:tr w:rsidR="00902A78" w:rsidRPr="00902A78" w14:paraId="0FD26744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F8DE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#4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74A31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#1 AND #2 AND #3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62912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679</w:t>
            </w:r>
          </w:p>
        </w:tc>
      </w:tr>
      <w:tr w:rsidR="00902A78" w:rsidRPr="00902A78" w14:paraId="2C8F5327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0595F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Set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57CB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Web of Science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1EF1F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</w:tr>
      <w:tr w:rsidR="00902A78" w:rsidRPr="00902A78" w14:paraId="486A933D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BF4F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#1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8FFC1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TS=("early" OR "premature" OR "prematurely" OR "promptly")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888F2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2,200,885</w:t>
            </w:r>
          </w:p>
        </w:tc>
      </w:tr>
      <w:tr w:rsidR="00902A78" w:rsidRPr="00902A78" w14:paraId="74D396AE" w14:textId="77777777" w:rsidTr="00902A78">
        <w:trPr>
          <w:trHeight w:val="14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F7782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#2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882BA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ALL=("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Fetofetal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Transfusion" OR "Fetal Transfusion Syndrome" OR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Fetofetal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 Syndrome" OR ("Cross-Transfusion"  AND  intrauterine) OR "Intrauterine Cross-Transfusion" OR "Twin Transfusion" OR "Twin Transfusion Syndrome" OR "Twin 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Twin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Transfusion Syndrome" OR "Twin-to-Twin Transfusion Syndrome")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C04DF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2A78" w:rsidRPr="00902A78" w14:paraId="36DE0211" w14:textId="77777777" w:rsidTr="00902A78">
        <w:trPr>
          <w:trHeight w:val="17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88FD6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#3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3040C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ALL=(“fetal death” OR “fetal demise” OR “fetal  mummification” OR (("fatal"  OR  "fatally"  OR  "fetalis"  OR  "fetus"  OR  "fetus"  OR  "fetal"  OR  "</w:t>
            </w:r>
            <w:proofErr w:type="spellStart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foetal</w:t>
            </w:r>
            <w:proofErr w:type="spellEnd"/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") AND ("mortality"  OR  "death"  OR  "Fatal Outcome"  OR  "survival"  OR  "survivability"  OR  "survivable"  OR  "survivals"  OR  "survive"  OR  "survived"  OR  "survives"  OR  "surviving")))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F0B37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02A78" w:rsidRPr="00902A78" w14:paraId="0E0A64EF" w14:textId="77777777" w:rsidTr="00902A78">
        <w:trPr>
          <w:trHeight w:val="51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20BC8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#4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AEE0B" w14:textId="77777777" w:rsidR="00902A78" w:rsidRPr="00902A78" w:rsidRDefault="00902A78" w:rsidP="00902A7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#1 AND #2 AND #3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AF588" w14:textId="77777777" w:rsidR="00902A78" w:rsidRPr="00902A78" w:rsidRDefault="00902A78" w:rsidP="00902A7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902A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</w:tbl>
    <w:p w14:paraId="3FCEE87C" w14:textId="77777777" w:rsidR="00902A78" w:rsidRPr="00902A78" w:rsidRDefault="00902A78" w:rsidP="00902A78">
      <w:pPr>
        <w:rPr>
          <w:rFonts w:ascii="Times New Roman" w:eastAsia="Times New Roman" w:hAnsi="Times New Roman" w:cs="Times New Roman"/>
        </w:rPr>
      </w:pPr>
    </w:p>
    <w:p w14:paraId="56C92D47" w14:textId="7FB9B7B5" w:rsidR="00902A78" w:rsidRDefault="00902A78">
      <w:pPr>
        <w:sectPr w:rsidR="00902A78" w:rsidSect="00270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BBFC1" w14:textId="7B791676" w:rsidR="00902A78" w:rsidRPr="002B6EDA" w:rsidRDefault="002B6EDA">
      <w:pPr>
        <w:rPr>
          <w:rFonts w:ascii="Times New Roman" w:hAnsi="Times New Roman" w:cs="Times New Roman"/>
        </w:rPr>
      </w:pPr>
      <w:r w:rsidRPr="002B6EDA">
        <w:rPr>
          <w:rFonts w:ascii="Times New Roman" w:hAnsi="Times New Roman" w:cs="Times New Roman" w:hint="cs"/>
          <w:b/>
          <w:bCs/>
        </w:rPr>
        <w:lastRenderedPageBreak/>
        <w:t>Table S2.</w:t>
      </w:r>
      <w:r w:rsidRPr="002B6EDA">
        <w:rPr>
          <w:rFonts w:ascii="Times New Roman" w:hAnsi="Times New Roman" w:cs="Times New Roman" w:hint="cs"/>
        </w:rPr>
        <w:t xml:space="preserve"> New castle Ottawa risk of bias assessment for cohort and case control studies. </w:t>
      </w:r>
    </w:p>
    <w:p w14:paraId="298E9389" w14:textId="77777777" w:rsidR="002B6EDA" w:rsidRDefault="002B6EDA"/>
    <w:tbl>
      <w:tblPr>
        <w:tblW w:w="14760" w:type="dxa"/>
        <w:jc w:val="center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440"/>
        <w:gridCol w:w="1440"/>
        <w:gridCol w:w="1440"/>
        <w:gridCol w:w="1188"/>
        <w:gridCol w:w="1610"/>
        <w:gridCol w:w="1522"/>
        <w:gridCol w:w="1440"/>
        <w:gridCol w:w="1808"/>
        <w:gridCol w:w="910"/>
      </w:tblGrid>
      <w:tr w:rsidR="00A50E6F" w:rsidRPr="006548DD" w14:paraId="2B7B9A0B" w14:textId="77777777" w:rsidTr="0029099B">
        <w:trPr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0C1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5399C10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Authors</w:t>
            </w:r>
          </w:p>
        </w:tc>
        <w:tc>
          <w:tcPr>
            <w:tcW w:w="5508" w:type="dxa"/>
            <w:gridSpan w:val="4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4E5BDAE" w14:textId="5FDBDDDA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Selection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D1E6C9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9AA6744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Comparability</w:t>
            </w:r>
          </w:p>
          <w:p w14:paraId="6CAA81D1" w14:textId="3F560679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C6D9DC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8F6BB1C" w14:textId="7605FD36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D0C7E4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C74E4D4" w14:textId="0193325F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</w:tr>
      <w:tr w:rsidR="006548DD" w:rsidRPr="006548DD" w14:paraId="634BE139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0C1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FD169BE" w14:textId="77777777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FD27E61" w14:textId="5BCFE1A6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Presentiveness of the exposed cohort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9473FB5" w14:textId="511090D8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Selection of the non-exposed cohort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D63CEE2" w14:textId="01AB4A6D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Ascertainment of exposure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9047C8E" w14:textId="2352ECE0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Interested outcome not presented at the beginning</w:t>
            </w:r>
          </w:p>
        </w:tc>
        <w:tc>
          <w:tcPr>
            <w:tcW w:w="1610" w:type="dxa"/>
            <w:vMerge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D1E6C9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C2B4639" w14:textId="77777777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C6D9DC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331F576" w14:textId="73851227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Assessment of outcome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C6D9DC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EA29A57" w14:textId="1BA37574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Enough Follow-up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C6D9DC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F07D9B6" w14:textId="18A2D4AB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Adequacy of follow-up</w:t>
            </w: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C1C1C1"/>
              <w:bottom w:val="single" w:sz="8" w:space="0" w:color="000000"/>
              <w:right w:val="single" w:sz="8" w:space="0" w:color="000000"/>
            </w:tcBorders>
            <w:shd w:val="clear" w:color="auto" w:fill="D0C7E4"/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B3820B6" w14:textId="77777777" w:rsidR="006548DD" w:rsidRPr="006548DD" w:rsidRDefault="006548DD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50E6F" w:rsidRPr="006548DD" w14:paraId="08B8079F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DB59A5F" w14:textId="348BC7DC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Sebire</w:t>
            </w:r>
            <w:proofErr w:type="spellEnd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2005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AEFD70D" w14:textId="45ED3B6D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E19CB77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E9F617C" w14:textId="390D99A4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36B8FF0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07DC560" w14:textId="59CC08A3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409CFE3" w14:textId="037429D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7791366" w14:textId="1A74C6D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AEA2B62" w14:textId="0CFBE086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48F4E35" w14:textId="35E128AE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50E6F" w:rsidRPr="006548DD" w14:paraId="7689329C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60E8744" w14:textId="717F22D4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Sepulveda 2007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66829C6" w14:textId="04C8E07E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5176454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D70A45C" w14:textId="2958F72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55E3FF5" w14:textId="550D46B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BC84815" w14:textId="795DB363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D8242AB" w14:textId="1AB7DAEC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9446951" w14:textId="1A56504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0894867" w14:textId="7C5169C8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DAB7A8C" w14:textId="5A54293F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0E6F" w:rsidRPr="006548DD" w14:paraId="064C4B3B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10C3254" w14:textId="35680C0A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Baud 2013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BF3AC8F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E2FE774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ECF3093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D872C4E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5BB68F5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1B63075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56DCDD9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07ED366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C80DA87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0E6F" w:rsidRPr="006548DD" w14:paraId="064B350E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62C665F" w14:textId="73A29A32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Willruth</w:t>
            </w:r>
            <w:proofErr w:type="spellEnd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06051FC" w14:textId="5D368D11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A35F39C" w14:textId="10CEA46A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2CF70F3" w14:textId="62863BD1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B2D0CD8" w14:textId="52B19B7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A5289F8" w14:textId="02A501B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B83BE38" w14:textId="0F3F7DC9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8253CFD" w14:textId="11C93342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7A19D29" w14:textId="6EC02E09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E171345" w14:textId="5DB2FEE9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0E6F" w:rsidRPr="006548DD" w14:paraId="2FDCE776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E3F1EA6" w14:textId="400263B4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Lecointre</w:t>
            </w:r>
            <w:proofErr w:type="spellEnd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2014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6878180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77FD202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DA86DA5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1832165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EA4D9FD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54B7E87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C41C830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2A9B20A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3200E99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50E6F" w:rsidRPr="006548DD" w14:paraId="3180B58F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8A878A7" w14:textId="2DDD8445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Ortiz 2016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2296FE5" w14:textId="26281EEA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AB653C6" w14:textId="6C36B44C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FB89386" w14:textId="09AFB7C8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70035D1" w14:textId="352A23FC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E1D5BB9" w14:textId="2CB35A75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7547A42" w14:textId="77A20129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EE31CB4" w14:textId="1D1366C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9D1005A" w14:textId="0C599A1C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2076A2A" w14:textId="6479ED26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0E6F" w:rsidRPr="006548DD" w14:paraId="231D2087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1C202CC" w14:textId="382B1C58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Bartin</w:t>
            </w:r>
            <w:proofErr w:type="spellEnd"/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AF20966" w14:textId="68EB2193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25F7E39" w14:textId="1F73FACB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47A2767" w14:textId="3F68F0EC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D4653F7" w14:textId="37EF69E6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E0FF162" w14:textId="76BE601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4AC47D2" w14:textId="007838E8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04C09A6" w14:textId="1F2BCFC2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01AEE4A" w14:textId="6ECE1726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4343D36" w14:textId="735AF1B1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50E6F" w:rsidRPr="006548DD" w14:paraId="4441EA00" w14:textId="77777777" w:rsidTr="0029099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0350C89" w14:textId="5E7698C5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Seaman 2023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E2EBFDA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2831776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A280114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4BBE35BB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B201C20" w14:textId="06CFA1C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79E3E59E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6ECD11D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61F22F9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638D7156" w14:textId="62274A71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50E6F" w:rsidRPr="006548DD" w14:paraId="0BA9188C" w14:textId="77777777" w:rsidTr="0029099B">
        <w:trPr>
          <w:jc w:val="center"/>
        </w:trPr>
        <w:tc>
          <w:tcPr>
            <w:tcW w:w="196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FBAE236" w14:textId="36A31A89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Tan 2023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F84EDC9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9A30C64" w14:textId="1F288DA6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F1F2009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8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81CCC98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53E19618" w14:textId="2A3DC7D9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2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1047FD60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34CFF982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29A3BB75" w14:textId="77777777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1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40" w:type="nil"/>
              <w:bottom w:w="40" w:type="nil"/>
              <w:right w:w="60" w:type="nil"/>
            </w:tcMar>
            <w:vAlign w:val="center"/>
          </w:tcPr>
          <w:p w14:paraId="095B3912" w14:textId="2A7B0DD0" w:rsidR="00A50E6F" w:rsidRPr="006548DD" w:rsidRDefault="00A50E6F" w:rsidP="00290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8D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14:paraId="0BC2C42D" w14:textId="77777777" w:rsidR="00E729B1" w:rsidRDefault="00E729B1"/>
    <w:p w14:paraId="657D249F" w14:textId="5CFA6BED" w:rsidR="002D3080" w:rsidRDefault="00000000"/>
    <w:sectPr w:rsidR="002D3080" w:rsidSect="00902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ature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02A78"/>
    <w:rsid w:val="00010A07"/>
    <w:rsid w:val="0002558A"/>
    <w:rsid w:val="00047F39"/>
    <w:rsid w:val="00077893"/>
    <w:rsid w:val="00137B8B"/>
    <w:rsid w:val="00202018"/>
    <w:rsid w:val="00270739"/>
    <w:rsid w:val="0029099B"/>
    <w:rsid w:val="002A0FB9"/>
    <w:rsid w:val="002B6EDA"/>
    <w:rsid w:val="002D2AED"/>
    <w:rsid w:val="00301846"/>
    <w:rsid w:val="003E2062"/>
    <w:rsid w:val="0043478E"/>
    <w:rsid w:val="0046243B"/>
    <w:rsid w:val="004A4D13"/>
    <w:rsid w:val="005041DB"/>
    <w:rsid w:val="00575930"/>
    <w:rsid w:val="00593F41"/>
    <w:rsid w:val="005F399D"/>
    <w:rsid w:val="00616D7B"/>
    <w:rsid w:val="00627D08"/>
    <w:rsid w:val="006548DD"/>
    <w:rsid w:val="00661EC7"/>
    <w:rsid w:val="006D608F"/>
    <w:rsid w:val="006F31CF"/>
    <w:rsid w:val="00721F28"/>
    <w:rsid w:val="00792934"/>
    <w:rsid w:val="007B7EF4"/>
    <w:rsid w:val="0080119F"/>
    <w:rsid w:val="008441D4"/>
    <w:rsid w:val="00871B99"/>
    <w:rsid w:val="008A243A"/>
    <w:rsid w:val="008B7662"/>
    <w:rsid w:val="008B7F97"/>
    <w:rsid w:val="008E1953"/>
    <w:rsid w:val="00902A78"/>
    <w:rsid w:val="0090329C"/>
    <w:rsid w:val="00942602"/>
    <w:rsid w:val="00986601"/>
    <w:rsid w:val="009F2AE2"/>
    <w:rsid w:val="00A12126"/>
    <w:rsid w:val="00A15412"/>
    <w:rsid w:val="00A412BF"/>
    <w:rsid w:val="00A50E6F"/>
    <w:rsid w:val="00A5586E"/>
    <w:rsid w:val="00A973E0"/>
    <w:rsid w:val="00AF499C"/>
    <w:rsid w:val="00B35A12"/>
    <w:rsid w:val="00B41778"/>
    <w:rsid w:val="00B7793A"/>
    <w:rsid w:val="00BA7CA8"/>
    <w:rsid w:val="00BC1FA1"/>
    <w:rsid w:val="00BD2730"/>
    <w:rsid w:val="00C25D4B"/>
    <w:rsid w:val="00C70364"/>
    <w:rsid w:val="00C759AB"/>
    <w:rsid w:val="00CC4E0C"/>
    <w:rsid w:val="00CD34E5"/>
    <w:rsid w:val="00D62C75"/>
    <w:rsid w:val="00D90E81"/>
    <w:rsid w:val="00DC267D"/>
    <w:rsid w:val="00DE66DD"/>
    <w:rsid w:val="00E238E4"/>
    <w:rsid w:val="00E50A78"/>
    <w:rsid w:val="00E729B1"/>
    <w:rsid w:val="00E85D91"/>
    <w:rsid w:val="00E877FC"/>
    <w:rsid w:val="00EE1861"/>
    <w:rsid w:val="00EF7BE2"/>
    <w:rsid w:val="00F04B7E"/>
    <w:rsid w:val="00F34661"/>
    <w:rsid w:val="00F70522"/>
    <w:rsid w:val="00FD1220"/>
    <w:rsid w:val="00FF0BDB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D67D7"/>
  <w14:defaultImageDpi w14:val="32767"/>
  <w15:chartTrackingRefBased/>
  <w15:docId w15:val="{67649BBF-50CD-624C-A77A-2A421438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F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2A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E729B1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29B1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729B1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729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abbood</dc:creator>
  <cp:keywords/>
  <dc:description/>
  <cp:lastModifiedBy>hayder abbood</cp:lastModifiedBy>
  <cp:revision>8</cp:revision>
  <dcterms:created xsi:type="dcterms:W3CDTF">2022-09-15T08:36:00Z</dcterms:created>
  <dcterms:modified xsi:type="dcterms:W3CDTF">2023-06-30T02:40:00Z</dcterms:modified>
</cp:coreProperties>
</file>