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10E6" w14:textId="0843584F" w:rsidR="00484F7E" w:rsidRPr="00C12551" w:rsidRDefault="00484F7E" w:rsidP="00F71B6E">
      <w:pPr>
        <w:pStyle w:val="Heading1"/>
      </w:pPr>
      <w:r w:rsidRPr="00C12551">
        <w:t>Frailty Assessment in the Emergency Department</w:t>
      </w:r>
    </w:p>
    <w:p w14:paraId="0A7EF613" w14:textId="77777777" w:rsidR="00850922" w:rsidRDefault="00850922" w:rsidP="00F370E2">
      <w:pPr>
        <w:pStyle w:val="Heading2"/>
      </w:pPr>
    </w:p>
    <w:p w14:paraId="281ECE3D" w14:textId="25D6DF99" w:rsidR="00B06553" w:rsidRDefault="00B06553" w:rsidP="00F370E2">
      <w:pPr>
        <w:pStyle w:val="Heading2"/>
      </w:pPr>
      <w:r>
        <w:t>Abstract</w:t>
      </w:r>
    </w:p>
    <w:p w14:paraId="20F515EB" w14:textId="7E4EA32D" w:rsidR="00AA2B63" w:rsidRDefault="0033407D" w:rsidP="00AE475B">
      <w:r>
        <w:t xml:space="preserve">The world population is aging </w:t>
      </w:r>
      <w:r w:rsidR="00F5672E">
        <w:t>rapidly leading to an increase in patients with comorbidities and age-related disorders, such as frailty, attending the Emergency Department. F</w:t>
      </w:r>
      <w:r w:rsidR="00850922">
        <w:t xml:space="preserve">railty is a recognized disorder which brings about increased vulnerability </w:t>
      </w:r>
      <w:r w:rsidR="00A40908">
        <w:t xml:space="preserve">in patients </w:t>
      </w:r>
      <w:r w:rsidR="00850922">
        <w:t xml:space="preserve">and increased demands on human resources and hospital services. Screening for frailty </w:t>
      </w:r>
      <w:r w:rsidR="00F5672E">
        <w:t>early</w:t>
      </w:r>
      <w:r w:rsidR="00850922">
        <w:t xml:space="preserve"> in the care pathway of this specific population would ensure goal directed and timely care. This article aims to raise awareness of frailty assessment in the Emergency department and to increase knowledge on the </w:t>
      </w:r>
      <w:r w:rsidR="00547BE3">
        <w:t>most used</w:t>
      </w:r>
      <w:r w:rsidR="00850922">
        <w:t xml:space="preserve"> tool</w:t>
      </w:r>
      <w:r w:rsidR="00AE475B">
        <w:t xml:space="preserve"> </w:t>
      </w:r>
      <w:r w:rsidR="00850922">
        <w:t>- The Clinical Frailty Scale</w:t>
      </w:r>
      <w:r w:rsidR="00A40908">
        <w:t xml:space="preserve"> (Rockwood et al 2005)</w:t>
      </w:r>
      <w:r w:rsidR="00850922">
        <w:t xml:space="preserve">. </w:t>
      </w:r>
    </w:p>
    <w:p w14:paraId="32B2E050" w14:textId="06B675B3" w:rsidR="00B06553" w:rsidRDefault="00B06553" w:rsidP="00AE475B">
      <w:r>
        <w:t>Keywords</w:t>
      </w:r>
      <w:r w:rsidR="00AA2B63">
        <w:t xml:space="preserve">: </w:t>
      </w:r>
      <w:r w:rsidR="00001B86">
        <w:t>F</w:t>
      </w:r>
      <w:r w:rsidR="00AA2B63">
        <w:t xml:space="preserve">railty, </w:t>
      </w:r>
      <w:r w:rsidR="002F7643">
        <w:t>E</w:t>
      </w:r>
      <w:r w:rsidR="00AA2B63">
        <w:t xml:space="preserve">mergency </w:t>
      </w:r>
      <w:r w:rsidR="002F7643">
        <w:t>D</w:t>
      </w:r>
      <w:r w:rsidR="00AA2B63">
        <w:t>epartment, assessment tool, geriatric assessment</w:t>
      </w:r>
      <w:r w:rsidR="00850922">
        <w:t>, clinical frailty index</w:t>
      </w:r>
    </w:p>
    <w:p w14:paraId="512DFE81" w14:textId="46D1E184" w:rsidR="000E7FD8" w:rsidRDefault="003F7516" w:rsidP="00F370E2">
      <w:pPr>
        <w:pStyle w:val="Heading2"/>
      </w:pPr>
      <w:r>
        <w:t xml:space="preserve">Why should you read this </w:t>
      </w:r>
      <w:proofErr w:type="gramStart"/>
      <w:r>
        <w:t>article:</w:t>
      </w:r>
      <w:proofErr w:type="gramEnd"/>
    </w:p>
    <w:p w14:paraId="0B7899C5" w14:textId="77777777" w:rsidR="003F7516" w:rsidRDefault="003F7516" w:rsidP="003F7516">
      <w:pPr>
        <w:pStyle w:val="ListParagraph"/>
        <w:numPr>
          <w:ilvl w:val="0"/>
          <w:numId w:val="24"/>
        </w:numPr>
      </w:pPr>
      <w:r>
        <w:t>T</w:t>
      </w:r>
      <w:r w:rsidR="00C7695D">
        <w:t xml:space="preserve">o </w:t>
      </w:r>
      <w:r w:rsidR="00794113">
        <w:t xml:space="preserve">increase </w:t>
      </w:r>
      <w:r w:rsidR="00C7695D">
        <w:t xml:space="preserve">awareness and strengthen knowledge on the importance of </w:t>
      </w:r>
      <w:r w:rsidR="00794113">
        <w:t xml:space="preserve">recognising and assessing </w:t>
      </w:r>
      <w:r w:rsidR="00C7695D">
        <w:t xml:space="preserve">frailty in the Emergency </w:t>
      </w:r>
      <w:r w:rsidR="00D54727">
        <w:t>D</w:t>
      </w:r>
      <w:r w:rsidR="00C7695D">
        <w:t xml:space="preserve">epartment. </w:t>
      </w:r>
    </w:p>
    <w:p w14:paraId="77A8C7A0" w14:textId="77777777" w:rsidR="003F7516" w:rsidRDefault="003F7516" w:rsidP="003F7516">
      <w:pPr>
        <w:pStyle w:val="ListParagraph"/>
        <w:numPr>
          <w:ilvl w:val="0"/>
          <w:numId w:val="24"/>
        </w:numPr>
      </w:pPr>
      <w:r>
        <w:t>T</w:t>
      </w:r>
      <w:r w:rsidR="00C7695D">
        <w:t>o understand the concept of frailty as a disorder for older adults</w:t>
      </w:r>
      <w:r w:rsidR="00D54727">
        <w:t xml:space="preserve">.  </w:t>
      </w:r>
    </w:p>
    <w:p w14:paraId="52B9828C" w14:textId="7A68877B" w:rsidR="00BB6538" w:rsidRDefault="003F7516" w:rsidP="001B7161">
      <w:pPr>
        <w:pStyle w:val="ListParagraph"/>
        <w:numPr>
          <w:ilvl w:val="0"/>
          <w:numId w:val="24"/>
        </w:numPr>
      </w:pPr>
      <w:r>
        <w:t xml:space="preserve">To familiarise yourself with </w:t>
      </w:r>
      <w:r w:rsidR="009300E1">
        <w:t>a</w:t>
      </w:r>
      <w:r>
        <w:t xml:space="preserve">vailable </w:t>
      </w:r>
      <w:r w:rsidR="00C56221">
        <w:t xml:space="preserve">frailty </w:t>
      </w:r>
      <w:r w:rsidR="009300E1">
        <w:t>assessment tools focusing on the most common, the Clinical Frailty S</w:t>
      </w:r>
      <w:r w:rsidR="00556D9D">
        <w:t>cale</w:t>
      </w:r>
      <w:r w:rsidR="00C7695D" w:rsidRPr="0096322D">
        <w:t xml:space="preserve"> </w:t>
      </w:r>
      <w:r w:rsidR="00C7695D">
        <w:t>(Rockwood et al 2005)</w:t>
      </w:r>
      <w:r w:rsidR="00C56221">
        <w:t xml:space="preserve">. </w:t>
      </w:r>
    </w:p>
    <w:p w14:paraId="40D74D02" w14:textId="33EAD350" w:rsidR="00D93EB7" w:rsidRPr="00C12551" w:rsidRDefault="00EA448E" w:rsidP="001B7161">
      <w:pPr>
        <w:pStyle w:val="Heading2"/>
      </w:pPr>
      <w:r>
        <w:t>I</w:t>
      </w:r>
      <w:r w:rsidR="006826C9" w:rsidRPr="00C12551">
        <w:t>ntroduction</w:t>
      </w:r>
    </w:p>
    <w:p w14:paraId="1692E377" w14:textId="1CE97356" w:rsidR="0096322D" w:rsidRPr="0096322D" w:rsidRDefault="001E3314" w:rsidP="007C3663">
      <w:r w:rsidRPr="0096322D">
        <w:t>The population in the UK is aging, with 18.6%</w:t>
      </w:r>
      <w:r w:rsidR="001C5CEF">
        <w:t xml:space="preserve">, </w:t>
      </w:r>
      <w:r w:rsidRPr="0096322D">
        <w:t>more than 12</w:t>
      </w:r>
      <w:r w:rsidR="00924C23">
        <w:t xml:space="preserve"> </w:t>
      </w:r>
      <w:r w:rsidRPr="0096322D">
        <w:t>million</w:t>
      </w:r>
      <w:r w:rsidR="001C5CEF">
        <w:t>,</w:t>
      </w:r>
      <w:r w:rsidRPr="0096322D">
        <w:t xml:space="preserve"> adults over the age of</w:t>
      </w:r>
      <w:r w:rsidR="00935EB8" w:rsidRPr="0096322D">
        <w:t xml:space="preserve"> </w:t>
      </w:r>
      <w:r w:rsidR="001C5CEF">
        <w:t>65</w:t>
      </w:r>
      <w:r w:rsidR="00935EB8" w:rsidRPr="0096322D">
        <w:t xml:space="preserve"> years </w:t>
      </w:r>
      <w:r w:rsidRPr="0096322D">
        <w:t>(O</w:t>
      </w:r>
      <w:r w:rsidR="002974E6" w:rsidRPr="0096322D">
        <w:t>ffice for National Statistics</w:t>
      </w:r>
      <w:r w:rsidRPr="0096322D">
        <w:t xml:space="preserve"> 2021). </w:t>
      </w:r>
      <w:r w:rsidR="00935EB8" w:rsidRPr="0096322D">
        <w:t xml:space="preserve">The Office for National Statistics </w:t>
      </w:r>
      <w:r w:rsidR="00924C23">
        <w:t xml:space="preserve">(ONS) </w:t>
      </w:r>
      <w:r w:rsidR="00935EB8" w:rsidRPr="0096322D">
        <w:t xml:space="preserve">also states that there has been a shift in the </w:t>
      </w:r>
      <w:r w:rsidR="00616031">
        <w:t xml:space="preserve">proportion of </w:t>
      </w:r>
      <w:r w:rsidR="00935EB8" w:rsidRPr="0096322D">
        <w:t>age composition where the rate of population growth in over 65 years of age is faster than that of the under 65</w:t>
      </w:r>
      <w:r w:rsidR="00CB08FF" w:rsidRPr="0096322D">
        <w:t xml:space="preserve"> years</w:t>
      </w:r>
      <w:r w:rsidR="00935EB8" w:rsidRPr="0096322D">
        <w:t xml:space="preserve"> (ONS 2021). </w:t>
      </w:r>
    </w:p>
    <w:p w14:paraId="0835A304" w14:textId="53576CFB" w:rsidR="00000854" w:rsidRPr="0096322D" w:rsidRDefault="00000854" w:rsidP="00081737">
      <w:r w:rsidRPr="0096322D">
        <w:t xml:space="preserve">Up to 15% of people who are 65 years and older </w:t>
      </w:r>
      <w:r w:rsidR="00925632" w:rsidRPr="0096322D">
        <w:t>are</w:t>
      </w:r>
      <w:r w:rsidR="00924C23">
        <w:t xml:space="preserve"> frail</w:t>
      </w:r>
      <w:r w:rsidRPr="0096322D">
        <w:t xml:space="preserve"> and this percentage increases to 25% in the group aged 85 years and older (</w:t>
      </w:r>
      <w:proofErr w:type="spellStart"/>
      <w:r w:rsidRPr="0096322D">
        <w:t>Aplin</w:t>
      </w:r>
      <w:proofErr w:type="spellEnd"/>
      <w:r w:rsidRPr="0096322D">
        <w:t xml:space="preserve"> 2021).</w:t>
      </w:r>
      <w:r w:rsidR="00EC6874">
        <w:t xml:space="preserve"> Older patients can be high users of health services and 45%</w:t>
      </w:r>
      <w:r w:rsidRPr="0096322D">
        <w:t xml:space="preserve"> of all hospital admission</w:t>
      </w:r>
      <w:r w:rsidR="00F310E3">
        <w:t>s</w:t>
      </w:r>
      <w:r w:rsidRPr="0096322D">
        <w:t xml:space="preserve"> are frail patients with chronic diseases (</w:t>
      </w:r>
      <w:r w:rsidR="00AA2B63">
        <w:t xml:space="preserve">Puig </w:t>
      </w:r>
      <w:proofErr w:type="spellStart"/>
      <w:r w:rsidRPr="0096322D">
        <w:t>Campmany</w:t>
      </w:r>
      <w:proofErr w:type="spellEnd"/>
      <w:r w:rsidR="00721D26">
        <w:t xml:space="preserve"> et al</w:t>
      </w:r>
      <w:r w:rsidRPr="0096322D">
        <w:t xml:space="preserve"> 2019). </w:t>
      </w:r>
      <w:r w:rsidR="00E479C0">
        <w:t xml:space="preserve">Frailty is associated with </w:t>
      </w:r>
      <w:proofErr w:type="gramStart"/>
      <w:r w:rsidR="00E479C0">
        <w:t>a number of</w:t>
      </w:r>
      <w:proofErr w:type="gramEnd"/>
      <w:r w:rsidR="00E479C0">
        <w:t xml:space="preserve"> poor</w:t>
      </w:r>
      <w:r w:rsidR="00B308E9">
        <w:t xml:space="preserve"> outcomes including functional decline and </w:t>
      </w:r>
      <w:r w:rsidR="00F7532A">
        <w:t xml:space="preserve">lower quality of life (Cunha et al 2019). </w:t>
      </w:r>
      <w:r w:rsidRPr="0096322D">
        <w:t>Although frailty is an accepted component of geriatric medicine, its consideration in the Emergency Department</w:t>
      </w:r>
      <w:r w:rsidR="00C42F4D">
        <w:t xml:space="preserve"> (ED)</w:t>
      </w:r>
      <w:r w:rsidRPr="0096322D">
        <w:t xml:space="preserve"> is still not yet </w:t>
      </w:r>
      <w:r w:rsidR="00C42F4D">
        <w:t xml:space="preserve">fully </w:t>
      </w:r>
      <w:r w:rsidRPr="0096322D">
        <w:t>understood or utilised (Brousseau et</w:t>
      </w:r>
      <w:r w:rsidR="00721D26">
        <w:t xml:space="preserve"> </w:t>
      </w:r>
      <w:r w:rsidRPr="0096322D">
        <w:t>a</w:t>
      </w:r>
      <w:r w:rsidR="00721D26">
        <w:t>l</w:t>
      </w:r>
      <w:r w:rsidRPr="0096322D">
        <w:t xml:space="preserve"> 2018). </w:t>
      </w:r>
      <w:r w:rsidR="00C42F4D">
        <w:t xml:space="preserve">Emergency Departments see and treat patients with any condition and from any age group </w:t>
      </w:r>
      <w:r w:rsidR="00585519">
        <w:t xml:space="preserve">but the focus on flow and </w:t>
      </w:r>
      <w:r w:rsidRPr="0096322D">
        <w:t xml:space="preserve">single system illnesses </w:t>
      </w:r>
      <w:r w:rsidR="00585519">
        <w:t xml:space="preserve">is not necessarily suited to </w:t>
      </w:r>
      <w:r w:rsidRPr="0096322D">
        <w:t xml:space="preserve">dealing with the older </w:t>
      </w:r>
      <w:r w:rsidR="00585519">
        <w:t>patients</w:t>
      </w:r>
      <w:r w:rsidR="00585519" w:rsidRPr="0096322D">
        <w:t xml:space="preserve"> </w:t>
      </w:r>
      <w:r w:rsidRPr="0096322D">
        <w:t>who have multi-</w:t>
      </w:r>
      <w:r w:rsidR="00585519">
        <w:t>morbidity</w:t>
      </w:r>
      <w:r w:rsidR="00585519" w:rsidRPr="0096322D">
        <w:t xml:space="preserve"> </w:t>
      </w:r>
      <w:r w:rsidRPr="0096322D">
        <w:t xml:space="preserve">problems on top of the acute presentations (Clegg </w:t>
      </w:r>
      <w:r w:rsidRPr="0096322D">
        <w:lastRenderedPageBreak/>
        <w:t xml:space="preserve">et al 2013). Often frailty and the impact it has on the actual hospital presentation is overlooked (Turner and Clegg 2014). </w:t>
      </w:r>
    </w:p>
    <w:p w14:paraId="62D29777" w14:textId="77777777" w:rsidR="00BB6538" w:rsidRDefault="00BB6538" w:rsidP="001B7161">
      <w:pPr>
        <w:pStyle w:val="Heading2"/>
      </w:pPr>
    </w:p>
    <w:p w14:paraId="61A4BEB9" w14:textId="31D21093" w:rsidR="00000854" w:rsidRPr="005E211E" w:rsidRDefault="0096322D" w:rsidP="001B7161">
      <w:pPr>
        <w:pStyle w:val="Heading2"/>
      </w:pPr>
      <w:r w:rsidRPr="00C12551">
        <w:t>Understanding Frailty</w:t>
      </w:r>
    </w:p>
    <w:p w14:paraId="69D43F5B" w14:textId="64AED044" w:rsidR="0023174F" w:rsidRDefault="00EE05EB" w:rsidP="0023174F">
      <w:pPr>
        <w:rPr>
          <w:color w:val="FF0000"/>
        </w:rPr>
      </w:pPr>
      <w:r w:rsidRPr="0096322D">
        <w:t>Frailty is</w:t>
      </w:r>
      <w:r w:rsidR="00364EBE" w:rsidRPr="0096322D">
        <w:t xml:space="preserve"> a disorder </w:t>
      </w:r>
      <w:r w:rsidRPr="0096322D">
        <w:t>defined as the</w:t>
      </w:r>
      <w:r w:rsidR="00AB2467" w:rsidRPr="0096322D">
        <w:t xml:space="preserve"> increased</w:t>
      </w:r>
      <w:r w:rsidRPr="0096322D">
        <w:t xml:space="preserve"> vulnerability from age related or disease related insults in older adults due to diminishing physiological reserves</w:t>
      </w:r>
      <w:r w:rsidR="00876C63" w:rsidRPr="0096322D">
        <w:t xml:space="preserve"> (British Geriatric Society 2014</w:t>
      </w:r>
      <w:r w:rsidR="00CA28BE">
        <w:t xml:space="preserve">, </w:t>
      </w:r>
      <w:r w:rsidR="00B3301B">
        <w:t xml:space="preserve">Kim Jung and Won </w:t>
      </w:r>
      <w:r w:rsidR="00A95022">
        <w:t>202</w:t>
      </w:r>
      <w:r w:rsidR="00B3301B">
        <w:t>0</w:t>
      </w:r>
      <w:r w:rsidR="00A95022">
        <w:t>)</w:t>
      </w:r>
      <w:r w:rsidR="00AB2467" w:rsidRPr="0096322D">
        <w:t>.</w:t>
      </w:r>
      <w:r w:rsidR="002D7857" w:rsidRPr="0096322D">
        <w:t xml:space="preserve"> </w:t>
      </w:r>
      <w:r w:rsidR="007C6052" w:rsidRPr="0096322D">
        <w:t xml:space="preserve">Although </w:t>
      </w:r>
      <w:r w:rsidR="007C6052">
        <w:t xml:space="preserve">frailty is more prevalent with age, they are </w:t>
      </w:r>
      <w:r w:rsidR="007C6052" w:rsidRPr="0096322D">
        <w:t xml:space="preserve">two distinct concepts and </w:t>
      </w:r>
      <w:r w:rsidR="007C6052">
        <w:t xml:space="preserve">frailty can also be present in younger adults with chronic conditions </w:t>
      </w:r>
      <w:r w:rsidR="007C6052" w:rsidRPr="0096322D">
        <w:t>(Hanlon</w:t>
      </w:r>
      <w:r w:rsidR="007C6052">
        <w:t xml:space="preserve"> et al</w:t>
      </w:r>
      <w:r w:rsidR="007C6052" w:rsidRPr="0096322D">
        <w:t xml:space="preserve"> 2018). </w:t>
      </w:r>
      <w:r w:rsidR="0023174F">
        <w:t xml:space="preserve">The </w:t>
      </w:r>
      <w:r w:rsidR="0023174F" w:rsidRPr="0096322D">
        <w:t xml:space="preserve">vulnerability </w:t>
      </w:r>
      <w:r w:rsidR="0023174F">
        <w:t xml:space="preserve">associated with frailty means that the impact of a relatively minor condition such as a </w:t>
      </w:r>
      <w:r w:rsidR="0023174F" w:rsidRPr="0096322D">
        <w:t>simple urinary tract infection</w:t>
      </w:r>
      <w:r w:rsidR="0023174F">
        <w:t xml:space="preserve"> can have a more severe impact on patients who are frail than those who are not. This can lead to increasing dependency and further frailty </w:t>
      </w:r>
      <w:r w:rsidR="0023174F" w:rsidRPr="0096322D">
        <w:t>(</w:t>
      </w:r>
      <w:r w:rsidR="0023174F">
        <w:t>Figure 1)</w:t>
      </w:r>
      <w:r w:rsidR="0023174F" w:rsidRPr="0096322D">
        <w:t xml:space="preserve">. </w:t>
      </w:r>
    </w:p>
    <w:p w14:paraId="687AF67A" w14:textId="77777777" w:rsidR="0023174F" w:rsidRDefault="0023174F" w:rsidP="0023174F">
      <w:pPr>
        <w:jc w:val="center"/>
      </w:pPr>
      <w:r w:rsidRPr="007C32D7">
        <w:rPr>
          <w:noProof/>
        </w:rPr>
        <w:drawing>
          <wp:inline distT="0" distB="0" distL="0" distR="0" wp14:anchorId="649D28AF" wp14:editId="7C2EAE97">
            <wp:extent cx="4869034" cy="33607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2345" cy="3363031"/>
                    </a:xfrm>
                    <a:prstGeom prst="rect">
                      <a:avLst/>
                    </a:prstGeom>
                  </pic:spPr>
                </pic:pic>
              </a:graphicData>
            </a:graphic>
          </wp:inline>
        </w:drawing>
      </w:r>
    </w:p>
    <w:p w14:paraId="71D07172" w14:textId="77777777" w:rsidR="0023174F" w:rsidRPr="00081737" w:rsidRDefault="0023174F" w:rsidP="0023174F">
      <w:pPr>
        <w:pStyle w:val="Heading3"/>
      </w:pPr>
      <w:r w:rsidRPr="005E211E">
        <w:t xml:space="preserve">Figure </w:t>
      </w:r>
      <w:fldSimple w:instr=" SEQ Figure \* ARABIC ">
        <w:r w:rsidRPr="00081737">
          <w:t>1</w:t>
        </w:r>
      </w:fldSimple>
      <w:r w:rsidRPr="00081737">
        <w:t>:Vulnerability of frail elderly people to a sudden change in health status after minor illness. (Clegg et al 20</w:t>
      </w:r>
      <w:r>
        <w:t>13</w:t>
      </w:r>
      <w:r w:rsidRPr="00081737">
        <w:t>)</w:t>
      </w:r>
    </w:p>
    <w:p w14:paraId="0E8F7BC6" w14:textId="77777777" w:rsidR="0023174F" w:rsidRDefault="0023174F" w:rsidP="0023174F">
      <w:pPr>
        <w:rPr>
          <w:color w:val="FF0000"/>
        </w:rPr>
      </w:pPr>
    </w:p>
    <w:p w14:paraId="03F7C2B0" w14:textId="318C1C1E" w:rsidR="000F1963" w:rsidRDefault="000F1963" w:rsidP="00081737"/>
    <w:p w14:paraId="797C28E0" w14:textId="21E6382F" w:rsidR="006A0D72" w:rsidRDefault="00A7051E" w:rsidP="00081737">
      <w:r>
        <w:t>Two broad models of frailty exist, the phenotype model (Fried et al 2001) and the cumulative deficit model (</w:t>
      </w:r>
      <w:proofErr w:type="spellStart"/>
      <w:r>
        <w:t>Mitinski</w:t>
      </w:r>
      <w:proofErr w:type="spellEnd"/>
      <w:r>
        <w:t xml:space="preserve"> et al 2001).  </w:t>
      </w:r>
      <w:r w:rsidR="00913859">
        <w:t>The phenotype model identifies frailty as being present if the patient has three or more of</w:t>
      </w:r>
      <w:r w:rsidR="007E2B0F">
        <w:t xml:space="preserve">: exhaustion, weakness/loss of muscle strength, reduced gait speed, weight loss and reduced physical activity. </w:t>
      </w:r>
      <w:r w:rsidR="00AD6B6F" w:rsidRPr="0096322D">
        <w:rPr>
          <w:color w:val="000000" w:themeColor="text1"/>
        </w:rPr>
        <w:t xml:space="preserve">If one or two </w:t>
      </w:r>
      <w:r w:rsidR="00CA28BE">
        <w:rPr>
          <w:color w:val="000000" w:themeColor="text1"/>
        </w:rPr>
        <w:t>of these conditions</w:t>
      </w:r>
      <w:r w:rsidR="00CA28BE" w:rsidRPr="0096322D">
        <w:rPr>
          <w:color w:val="000000" w:themeColor="text1"/>
        </w:rPr>
        <w:t xml:space="preserve"> </w:t>
      </w:r>
      <w:r w:rsidR="00AD6B6F" w:rsidRPr="0096322D">
        <w:rPr>
          <w:color w:val="000000" w:themeColor="text1"/>
        </w:rPr>
        <w:t xml:space="preserve">are present then the patient is classified as </w:t>
      </w:r>
      <w:r w:rsidR="00CA28BE">
        <w:rPr>
          <w:color w:val="000000" w:themeColor="text1"/>
        </w:rPr>
        <w:t>‘</w:t>
      </w:r>
      <w:r w:rsidR="00AD6B6F" w:rsidRPr="0096322D">
        <w:rPr>
          <w:color w:val="000000" w:themeColor="text1"/>
        </w:rPr>
        <w:t>pre-frail</w:t>
      </w:r>
      <w:r w:rsidR="00CA28BE">
        <w:rPr>
          <w:color w:val="000000" w:themeColor="text1"/>
        </w:rPr>
        <w:t>’</w:t>
      </w:r>
      <w:r w:rsidR="00AD6B6F" w:rsidRPr="0096322D">
        <w:rPr>
          <w:color w:val="000000" w:themeColor="text1"/>
        </w:rPr>
        <w:t xml:space="preserve"> and if none are present, the patient is then classified as </w:t>
      </w:r>
      <w:r w:rsidR="00CA28BE">
        <w:rPr>
          <w:color w:val="000000" w:themeColor="text1"/>
        </w:rPr>
        <w:t>‘</w:t>
      </w:r>
      <w:r w:rsidR="00AD6B6F" w:rsidRPr="0096322D">
        <w:rPr>
          <w:color w:val="000000" w:themeColor="text1"/>
        </w:rPr>
        <w:t>robust</w:t>
      </w:r>
      <w:r w:rsidR="00CA28BE">
        <w:rPr>
          <w:color w:val="000000" w:themeColor="text1"/>
        </w:rPr>
        <w:t>’.</w:t>
      </w:r>
      <w:r w:rsidR="00812872" w:rsidRPr="00812872">
        <w:t xml:space="preserve"> </w:t>
      </w:r>
      <w:proofErr w:type="spellStart"/>
      <w:r w:rsidR="00812872" w:rsidRPr="0096322D">
        <w:t>Cesari</w:t>
      </w:r>
      <w:proofErr w:type="spellEnd"/>
      <w:r w:rsidR="00812872" w:rsidRPr="0096322D">
        <w:t xml:space="preserve"> et al</w:t>
      </w:r>
      <w:r w:rsidR="00812872">
        <w:t xml:space="preserve"> </w:t>
      </w:r>
      <w:r w:rsidR="00812872" w:rsidRPr="0096322D">
        <w:lastRenderedPageBreak/>
        <w:t xml:space="preserve">(2014) argue that this model </w:t>
      </w:r>
      <w:r w:rsidR="00812872">
        <w:t xml:space="preserve">can be used in the ED </w:t>
      </w:r>
      <w:r w:rsidR="0043002E">
        <w:t xml:space="preserve">to </w:t>
      </w:r>
      <w:r w:rsidR="0043002E" w:rsidRPr="0096322D">
        <w:t>stratify</w:t>
      </w:r>
      <w:r w:rsidR="00812872">
        <w:t xml:space="preserve"> the </w:t>
      </w:r>
      <w:r w:rsidR="00812872" w:rsidRPr="0096322D">
        <w:t xml:space="preserve">population under </w:t>
      </w:r>
      <w:r w:rsidR="00812872">
        <w:t>t</w:t>
      </w:r>
      <w:r w:rsidR="0043002E">
        <w:t>h</w:t>
      </w:r>
      <w:r w:rsidR="00812872">
        <w:t xml:space="preserve">e </w:t>
      </w:r>
      <w:r w:rsidR="00812872" w:rsidRPr="0096322D">
        <w:t>three different profiles</w:t>
      </w:r>
      <w:r w:rsidR="0043002E">
        <w:t xml:space="preserve">. </w:t>
      </w:r>
    </w:p>
    <w:p w14:paraId="2D7A714E" w14:textId="2E0C8E7A" w:rsidR="007640C6" w:rsidRDefault="007E2B0F" w:rsidP="00812872">
      <w:r>
        <w:t xml:space="preserve">The cumulative deficit model takes the approach that </w:t>
      </w:r>
      <w:r w:rsidR="00812872">
        <w:t>“</w:t>
      </w:r>
      <w:r w:rsidRPr="005E211E">
        <w:t>the more things somebody has wrong with them, the more likely they are to be frail</w:t>
      </w:r>
      <w:r w:rsidR="00812872">
        <w:t>”</w:t>
      </w:r>
      <w:r>
        <w:t xml:space="preserve"> (</w:t>
      </w:r>
      <w:proofErr w:type="spellStart"/>
      <w:r w:rsidR="00F9623C">
        <w:t>Mitnitski</w:t>
      </w:r>
      <w:proofErr w:type="spellEnd"/>
      <w:r w:rsidR="00F9623C">
        <w:t xml:space="preserve"> et al 2001, p 722)</w:t>
      </w:r>
      <w:r w:rsidR="0043002E">
        <w:t xml:space="preserve"> </w:t>
      </w:r>
      <w:r w:rsidR="00F9623C">
        <w:t xml:space="preserve">so that people with more clinical illnesses and disabilities are considered frail. </w:t>
      </w:r>
      <w:r w:rsidR="007640C6">
        <w:t xml:space="preserve">The deficits could be diseases such as dementia or </w:t>
      </w:r>
      <w:r w:rsidR="007C32D7">
        <w:t>symptom</w:t>
      </w:r>
      <w:r w:rsidR="007640C6">
        <w:t>s like tremor</w:t>
      </w:r>
      <w:r w:rsidR="007C32D7">
        <w:t xml:space="preserve"> which combine to increase the risk of patients suffering an adverse outcome</w:t>
      </w:r>
      <w:r w:rsidR="00436B57">
        <w:t xml:space="preserve"> such as longer hospital stay, or in-hospital complications such as delirium</w:t>
      </w:r>
      <w:r w:rsidR="007C32D7">
        <w:t xml:space="preserve">. </w:t>
      </w:r>
    </w:p>
    <w:p w14:paraId="3F04B7C0" w14:textId="07E12F8B" w:rsidR="001F6FB0" w:rsidRPr="0096322D" w:rsidRDefault="001F6FB0" w:rsidP="001F6FB0">
      <w:r w:rsidRPr="0096322D">
        <w:t>These two models are distinctive and should be seen as complimenting each other rather than substitutes (</w:t>
      </w:r>
      <w:proofErr w:type="spellStart"/>
      <w:r w:rsidRPr="0096322D">
        <w:t>Cesari</w:t>
      </w:r>
      <w:proofErr w:type="spellEnd"/>
      <w:r w:rsidRPr="0096322D">
        <w:t xml:space="preserve"> et al 2014). Both methods measure different things and can be applied at different stages of the patient’s journey through the Emergency Department (Finlay 2022)</w:t>
      </w:r>
      <w:r w:rsidR="00436B57">
        <w:t xml:space="preserve"> although both require knowledge of the patient which may not be immediately available</w:t>
      </w:r>
      <w:r w:rsidRPr="0096322D">
        <w:t>.</w:t>
      </w:r>
    </w:p>
    <w:p w14:paraId="6FA5307F" w14:textId="77777777" w:rsidR="001E0C17" w:rsidRDefault="001E0C17" w:rsidP="00081737"/>
    <w:p w14:paraId="334AB0F2" w14:textId="66BC7BD3" w:rsidR="00EE7372" w:rsidRDefault="00F9623C" w:rsidP="00081737">
      <w:r>
        <w:t xml:space="preserve">To help clinicians to understand </w:t>
      </w:r>
      <w:r w:rsidR="007C6052">
        <w:t xml:space="preserve">how patients can present with frailty </w:t>
      </w:r>
      <w:r>
        <w:t>the</w:t>
      </w:r>
      <w:r w:rsidRPr="0096322D">
        <w:t xml:space="preserve"> </w:t>
      </w:r>
      <w:r w:rsidR="004E6105" w:rsidRPr="0096322D">
        <w:t xml:space="preserve">British Geriatric Society </w:t>
      </w:r>
      <w:r>
        <w:t>developed</w:t>
      </w:r>
      <w:r w:rsidR="004E6105" w:rsidRPr="0096322D">
        <w:t xml:space="preserve"> the concept of ‘frailty syndromes’ where they explain that a</w:t>
      </w:r>
      <w:r w:rsidR="00630BAE" w:rsidRPr="0096322D">
        <w:t xml:space="preserve"> seemingly</w:t>
      </w:r>
      <w:r w:rsidR="004E6105" w:rsidRPr="0096322D">
        <w:t xml:space="preserve"> straight forward</w:t>
      </w:r>
      <w:r w:rsidR="00630BAE" w:rsidRPr="0096322D">
        <w:t xml:space="preserve"> </w:t>
      </w:r>
      <w:r w:rsidR="004E6105" w:rsidRPr="0096322D">
        <w:t>presentation might have serious underlying medical origin</w:t>
      </w:r>
      <w:r w:rsidR="004B0904" w:rsidRPr="0096322D">
        <w:t>s</w:t>
      </w:r>
      <w:r w:rsidR="00AC200B">
        <w:t xml:space="preserve"> (British Geriatric Society 2014). They </w:t>
      </w:r>
      <w:r w:rsidR="004E6105" w:rsidRPr="0096322D">
        <w:t>describe five symptoms</w:t>
      </w:r>
      <w:r w:rsidR="004B0904" w:rsidRPr="0096322D">
        <w:t xml:space="preserve"> that</w:t>
      </w:r>
      <w:r w:rsidR="000C289D">
        <w:t xml:space="preserve">, although they can occur without frailty, </w:t>
      </w:r>
      <w:r w:rsidR="00AC200B">
        <w:t>clinicians should be aware of that could indicate the patient is frail</w:t>
      </w:r>
      <w:r w:rsidR="000C289D">
        <w:t xml:space="preserve"> (Table 1). </w:t>
      </w:r>
      <w:r w:rsidR="004B0904" w:rsidRPr="0096322D">
        <w:t xml:space="preserve"> </w:t>
      </w:r>
    </w:p>
    <w:tbl>
      <w:tblPr>
        <w:tblStyle w:val="TableGrid"/>
        <w:tblW w:w="0" w:type="auto"/>
        <w:tblLook w:val="04A0" w:firstRow="1" w:lastRow="0" w:firstColumn="1" w:lastColumn="0" w:noHBand="0" w:noVBand="1"/>
      </w:tblPr>
      <w:tblGrid>
        <w:gridCol w:w="2830"/>
        <w:gridCol w:w="6186"/>
      </w:tblGrid>
      <w:tr w:rsidR="004730F8" w14:paraId="4C166E99" w14:textId="77777777" w:rsidTr="004730F8">
        <w:trPr>
          <w:trHeight w:val="311"/>
        </w:trPr>
        <w:tc>
          <w:tcPr>
            <w:tcW w:w="2830" w:type="dxa"/>
          </w:tcPr>
          <w:p w14:paraId="0DE42C04" w14:textId="77777777" w:rsidR="004730F8" w:rsidRDefault="004730F8" w:rsidP="00AF49F0">
            <w:pPr>
              <w:spacing w:after="0" w:line="276" w:lineRule="auto"/>
            </w:pPr>
            <w:r>
              <w:t>Frailty syndrome</w:t>
            </w:r>
          </w:p>
        </w:tc>
        <w:tc>
          <w:tcPr>
            <w:tcW w:w="6186" w:type="dxa"/>
          </w:tcPr>
          <w:p w14:paraId="1E555E7C" w14:textId="1E746E3B" w:rsidR="004730F8" w:rsidRDefault="004730F8" w:rsidP="00AF49F0">
            <w:pPr>
              <w:spacing w:after="0" w:line="276" w:lineRule="auto"/>
            </w:pPr>
            <w:r>
              <w:t>Examples</w:t>
            </w:r>
          </w:p>
        </w:tc>
      </w:tr>
      <w:tr w:rsidR="004730F8" w14:paraId="65B89322" w14:textId="77777777" w:rsidTr="004730F8">
        <w:trPr>
          <w:trHeight w:val="311"/>
        </w:trPr>
        <w:tc>
          <w:tcPr>
            <w:tcW w:w="2830" w:type="dxa"/>
          </w:tcPr>
          <w:p w14:paraId="0A155D07" w14:textId="39921D40" w:rsidR="004730F8" w:rsidRPr="004730F8" w:rsidRDefault="004730F8" w:rsidP="00AF49F0">
            <w:pPr>
              <w:pStyle w:val="ListParagraph"/>
              <w:numPr>
                <w:ilvl w:val="0"/>
                <w:numId w:val="7"/>
              </w:numPr>
              <w:spacing w:after="0" w:line="276" w:lineRule="auto"/>
            </w:pPr>
            <w:r>
              <w:t>Falls</w:t>
            </w:r>
          </w:p>
        </w:tc>
        <w:tc>
          <w:tcPr>
            <w:tcW w:w="6186" w:type="dxa"/>
          </w:tcPr>
          <w:p w14:paraId="041CF390" w14:textId="2DACFC8C" w:rsidR="004730F8" w:rsidRDefault="004730F8" w:rsidP="00AF49F0">
            <w:pPr>
              <w:spacing w:after="0" w:line="276" w:lineRule="auto"/>
            </w:pPr>
            <w:r>
              <w:t>P</w:t>
            </w:r>
            <w:r w:rsidRPr="0096322D">
              <w:t>ossibly reported as ‘collapsed’, ‘legs gave way’ or ‘found lying on floor’</w:t>
            </w:r>
          </w:p>
        </w:tc>
      </w:tr>
      <w:tr w:rsidR="004730F8" w14:paraId="59414A12" w14:textId="77777777" w:rsidTr="004730F8">
        <w:trPr>
          <w:trHeight w:val="311"/>
        </w:trPr>
        <w:tc>
          <w:tcPr>
            <w:tcW w:w="2830" w:type="dxa"/>
          </w:tcPr>
          <w:p w14:paraId="7F54D39A" w14:textId="56ED2FA3" w:rsidR="004730F8" w:rsidRDefault="004730F8" w:rsidP="00AF49F0">
            <w:pPr>
              <w:pStyle w:val="ListParagraph"/>
              <w:numPr>
                <w:ilvl w:val="0"/>
                <w:numId w:val="7"/>
              </w:numPr>
              <w:spacing w:after="0" w:line="276" w:lineRule="auto"/>
            </w:pPr>
            <w:r>
              <w:t>Immobility</w:t>
            </w:r>
          </w:p>
        </w:tc>
        <w:tc>
          <w:tcPr>
            <w:tcW w:w="6186" w:type="dxa"/>
          </w:tcPr>
          <w:p w14:paraId="7446C004" w14:textId="4F50020E" w:rsidR="004730F8" w:rsidRDefault="004730F8" w:rsidP="00AF49F0">
            <w:pPr>
              <w:spacing w:after="0" w:line="276" w:lineRule="auto"/>
            </w:pPr>
            <w:r>
              <w:t>S</w:t>
            </w:r>
            <w:r w:rsidRPr="0096322D">
              <w:t>udden or more gradual deterioration in mobility; possibly reported as ‘gone off legs’ or ‘stuck in toilet’</w:t>
            </w:r>
          </w:p>
        </w:tc>
      </w:tr>
      <w:tr w:rsidR="004730F8" w14:paraId="7E383803" w14:textId="77777777" w:rsidTr="004730F8">
        <w:trPr>
          <w:trHeight w:val="311"/>
        </w:trPr>
        <w:tc>
          <w:tcPr>
            <w:tcW w:w="2830" w:type="dxa"/>
          </w:tcPr>
          <w:p w14:paraId="58B2EF1A" w14:textId="3E0B5483" w:rsidR="004730F8" w:rsidRDefault="004730F8" w:rsidP="00AF49F0">
            <w:pPr>
              <w:pStyle w:val="ListParagraph"/>
              <w:numPr>
                <w:ilvl w:val="0"/>
                <w:numId w:val="7"/>
              </w:numPr>
              <w:spacing w:after="0" w:line="276" w:lineRule="auto"/>
            </w:pPr>
            <w:r>
              <w:t>Delirium</w:t>
            </w:r>
          </w:p>
        </w:tc>
        <w:tc>
          <w:tcPr>
            <w:tcW w:w="6186" w:type="dxa"/>
          </w:tcPr>
          <w:p w14:paraId="638B9DF9" w14:textId="16F971C2" w:rsidR="004730F8" w:rsidRDefault="004730F8" w:rsidP="00AF49F0">
            <w:pPr>
              <w:spacing w:after="0" w:line="276" w:lineRule="auto"/>
            </w:pPr>
            <w:r>
              <w:t>A</w:t>
            </w:r>
            <w:r w:rsidRPr="0096322D">
              <w:t xml:space="preserve">cute confusion, </w:t>
            </w:r>
            <w:proofErr w:type="spellStart"/>
            <w:r w:rsidRPr="0096322D">
              <w:t>muddledness</w:t>
            </w:r>
            <w:proofErr w:type="spellEnd"/>
            <w:r w:rsidRPr="0096322D">
              <w:t xml:space="preserve"> or sudden worsening of confusion in someone with dementia or memory loss</w:t>
            </w:r>
          </w:p>
        </w:tc>
      </w:tr>
      <w:tr w:rsidR="004730F8" w14:paraId="2F708C75" w14:textId="77777777" w:rsidTr="004730F8">
        <w:trPr>
          <w:trHeight w:val="311"/>
        </w:trPr>
        <w:tc>
          <w:tcPr>
            <w:tcW w:w="2830" w:type="dxa"/>
          </w:tcPr>
          <w:p w14:paraId="18CFD5F6" w14:textId="10B7CBFB" w:rsidR="004730F8" w:rsidRDefault="004730F8" w:rsidP="00AF49F0">
            <w:pPr>
              <w:pStyle w:val="ListParagraph"/>
              <w:numPr>
                <w:ilvl w:val="0"/>
                <w:numId w:val="7"/>
              </w:numPr>
              <w:spacing w:after="0" w:line="276" w:lineRule="auto"/>
            </w:pPr>
            <w:r>
              <w:t>Incontinence</w:t>
            </w:r>
          </w:p>
        </w:tc>
        <w:tc>
          <w:tcPr>
            <w:tcW w:w="6186" w:type="dxa"/>
          </w:tcPr>
          <w:p w14:paraId="784FFB81" w14:textId="7AA9EF39" w:rsidR="004730F8" w:rsidRDefault="004730F8" w:rsidP="00AF49F0">
            <w:pPr>
              <w:spacing w:after="0" w:line="276" w:lineRule="auto"/>
            </w:pPr>
            <w:r>
              <w:t>N</w:t>
            </w:r>
            <w:r w:rsidRPr="0096322D">
              <w:t>ew or worsening urinary or faecal incontinence</w:t>
            </w:r>
          </w:p>
        </w:tc>
      </w:tr>
      <w:tr w:rsidR="004730F8" w14:paraId="20F5B70D" w14:textId="77777777" w:rsidTr="00081737">
        <w:trPr>
          <w:trHeight w:val="546"/>
        </w:trPr>
        <w:tc>
          <w:tcPr>
            <w:tcW w:w="2830" w:type="dxa"/>
          </w:tcPr>
          <w:p w14:paraId="33A0C43B" w14:textId="0F4227CE" w:rsidR="004730F8" w:rsidRDefault="004730F8" w:rsidP="00AF49F0">
            <w:pPr>
              <w:pStyle w:val="ListParagraph"/>
              <w:numPr>
                <w:ilvl w:val="0"/>
                <w:numId w:val="7"/>
              </w:numPr>
              <w:spacing w:after="0" w:line="276" w:lineRule="auto"/>
            </w:pPr>
            <w:r>
              <w:t>Medication</w:t>
            </w:r>
          </w:p>
        </w:tc>
        <w:tc>
          <w:tcPr>
            <w:tcW w:w="6186" w:type="dxa"/>
          </w:tcPr>
          <w:p w14:paraId="3994EA85" w14:textId="333D9CF0" w:rsidR="004730F8" w:rsidRDefault="004730F8" w:rsidP="00AF49F0">
            <w:pPr>
              <w:spacing w:after="0" w:line="276" w:lineRule="auto"/>
            </w:pPr>
            <w:r w:rsidRPr="004730F8">
              <w:t>Susceptibility to side effects of medicines- for example, confusion with codeine or hypotension with antidepressants</w:t>
            </w:r>
          </w:p>
        </w:tc>
      </w:tr>
    </w:tbl>
    <w:p w14:paraId="02BA13DA" w14:textId="55E8C087" w:rsidR="000C289D" w:rsidRPr="00081737" w:rsidRDefault="000C289D" w:rsidP="00081737">
      <w:pPr>
        <w:pStyle w:val="Heading3"/>
      </w:pPr>
      <w:r w:rsidRPr="005E211E">
        <w:t>Table 1: the five frailty syndromes (British Geriatric Society 2014).</w:t>
      </w:r>
    </w:p>
    <w:p w14:paraId="212292C3" w14:textId="79EAB9CC" w:rsidR="00473DE9" w:rsidRDefault="00473DE9" w:rsidP="00081737"/>
    <w:p w14:paraId="3B7D03D7" w14:textId="77777777" w:rsidR="00F370E2" w:rsidRDefault="00F370E2" w:rsidP="00F370E2">
      <w:pPr>
        <w:pStyle w:val="Heading2"/>
      </w:pPr>
    </w:p>
    <w:p w14:paraId="1B3654CC" w14:textId="4F639CA3" w:rsidR="0096322D" w:rsidRPr="00F370E2" w:rsidRDefault="0096322D" w:rsidP="00F370E2">
      <w:pPr>
        <w:pStyle w:val="Heading2"/>
      </w:pPr>
      <w:r w:rsidRPr="00F370E2">
        <w:t>Frailty assessment in the Emergency Department</w:t>
      </w:r>
    </w:p>
    <w:p w14:paraId="702C2343" w14:textId="392D1140" w:rsidR="00250DB2" w:rsidRPr="0096322D" w:rsidRDefault="00212810" w:rsidP="006D63CC">
      <w:r w:rsidRPr="0096322D">
        <w:t xml:space="preserve">The importance of being able to measure frailty has been recognized </w:t>
      </w:r>
      <w:r w:rsidR="002F52BF" w:rsidRPr="0096322D">
        <w:t xml:space="preserve">for a long time and </w:t>
      </w:r>
      <w:r w:rsidR="009225D0">
        <w:t xml:space="preserve">accurate identification of frailty can be used to </w:t>
      </w:r>
      <w:r w:rsidR="003E5125">
        <w:t>anticipate patient</w:t>
      </w:r>
      <w:r w:rsidR="00A87AEE">
        <w:t xml:space="preserve"> </w:t>
      </w:r>
      <w:r w:rsidR="003E5125">
        <w:t xml:space="preserve">needs </w:t>
      </w:r>
      <w:r w:rsidR="003E5125" w:rsidRPr="0096322D">
        <w:t>(</w:t>
      </w:r>
      <w:r w:rsidR="002F52BF" w:rsidRPr="0096322D">
        <w:t>Rockwood et al</w:t>
      </w:r>
      <w:r w:rsidR="00464086">
        <w:t xml:space="preserve"> </w:t>
      </w:r>
      <w:r w:rsidR="002F52BF" w:rsidRPr="0096322D">
        <w:t xml:space="preserve">2005). </w:t>
      </w:r>
      <w:proofErr w:type="spellStart"/>
      <w:r w:rsidR="002F52BF" w:rsidRPr="0096322D">
        <w:t>Boreskie</w:t>
      </w:r>
      <w:proofErr w:type="spellEnd"/>
      <w:r w:rsidR="002F52BF" w:rsidRPr="0096322D">
        <w:t xml:space="preserve"> et al (2022) state that using frailty assessment </w:t>
      </w:r>
      <w:r w:rsidR="006C4A7F" w:rsidRPr="0096322D">
        <w:t xml:space="preserve">in the </w:t>
      </w:r>
      <w:r w:rsidR="006D63CC">
        <w:t>ED</w:t>
      </w:r>
      <w:r w:rsidR="006C4A7F" w:rsidRPr="0096322D">
        <w:t xml:space="preserve"> can help put into context the acute illness </w:t>
      </w:r>
      <w:r w:rsidR="00D74E84">
        <w:t xml:space="preserve">alongside </w:t>
      </w:r>
      <w:r w:rsidR="006C4A7F" w:rsidRPr="0096322D">
        <w:t xml:space="preserve">other pre-existing conditions and therefore not only assist in triage and decision making </w:t>
      </w:r>
      <w:r w:rsidR="006C4A7F" w:rsidRPr="0096322D">
        <w:lastRenderedPageBreak/>
        <w:t xml:space="preserve">but also </w:t>
      </w:r>
      <w:r w:rsidR="003E5125" w:rsidRPr="0096322D">
        <w:t xml:space="preserve">improve </w:t>
      </w:r>
      <w:r w:rsidR="003E5125">
        <w:t>clinical</w:t>
      </w:r>
      <w:r w:rsidR="00D74E84">
        <w:t xml:space="preserve"> </w:t>
      </w:r>
      <w:r w:rsidR="006C4A7F" w:rsidRPr="0096322D">
        <w:t>decisions to better adapt to the needs of the individual.</w:t>
      </w:r>
      <w:r w:rsidR="0065752C" w:rsidRPr="0096322D">
        <w:t xml:space="preserve"> </w:t>
      </w:r>
      <w:r w:rsidR="00D74E84">
        <w:t>In UK, there is guidance that clinical frailty assessment should be completed within 30</w:t>
      </w:r>
      <w:r w:rsidR="00FD4F42">
        <w:t xml:space="preserve"> </w:t>
      </w:r>
      <w:r w:rsidR="00D74E84">
        <w:t xml:space="preserve">minutes of arrival into the Emergency Department </w:t>
      </w:r>
      <w:r w:rsidR="00FD4F42">
        <w:t xml:space="preserve">(NHS National Health Service 2019). </w:t>
      </w:r>
      <w:r w:rsidR="008C6FB8" w:rsidRPr="0096322D">
        <w:t>Failing to assess properly for the degree of frailty</w:t>
      </w:r>
      <w:r w:rsidR="001408DC" w:rsidRPr="0096322D">
        <w:t xml:space="preserve"> </w:t>
      </w:r>
      <w:r w:rsidR="008C6FB8" w:rsidRPr="0096322D">
        <w:t xml:space="preserve">can result in </w:t>
      </w:r>
      <w:r w:rsidR="001408DC" w:rsidRPr="0096322D">
        <w:t>inappropriate</w:t>
      </w:r>
      <w:r w:rsidR="008C6FB8" w:rsidRPr="0096322D">
        <w:t xml:space="preserve"> interventions for </w:t>
      </w:r>
      <w:r w:rsidR="00F819C6">
        <w:t>example</w:t>
      </w:r>
      <w:r w:rsidR="008C6FB8" w:rsidRPr="0096322D">
        <w:t xml:space="preserve"> unnecessary invasive procedures or harmful medications</w:t>
      </w:r>
      <w:r w:rsidR="001408DC" w:rsidRPr="0096322D">
        <w:t xml:space="preserve"> </w:t>
      </w:r>
      <w:r w:rsidR="00F819C6">
        <w:t xml:space="preserve">being used </w:t>
      </w:r>
      <w:r w:rsidR="001408DC" w:rsidRPr="0096322D">
        <w:t xml:space="preserve">but </w:t>
      </w:r>
      <w:r w:rsidR="00F819C6">
        <w:t xml:space="preserve">there is </w:t>
      </w:r>
      <w:r w:rsidR="001408DC" w:rsidRPr="0096322D">
        <w:t xml:space="preserve">also </w:t>
      </w:r>
      <w:r w:rsidR="00F819C6">
        <w:t xml:space="preserve">a risk that </w:t>
      </w:r>
      <w:r w:rsidR="001408DC" w:rsidRPr="0096322D">
        <w:t>treatment</w:t>
      </w:r>
      <w:r w:rsidR="00F819C6">
        <w:t xml:space="preserve"> may be withheld</w:t>
      </w:r>
      <w:r w:rsidR="001408DC" w:rsidRPr="0096322D">
        <w:t xml:space="preserve"> in the non-frail patients who are judged solely by their physiological age</w:t>
      </w:r>
      <w:r w:rsidR="0031732B" w:rsidRPr="0096322D">
        <w:t xml:space="preserve"> </w:t>
      </w:r>
      <w:r w:rsidR="00263783" w:rsidRPr="0096322D">
        <w:t>(Clegg et al 2013).</w:t>
      </w:r>
      <w:r w:rsidR="003D071E" w:rsidRPr="0096322D">
        <w:t xml:space="preserve"> This is considered as a form of modern ageism (</w:t>
      </w:r>
      <w:r w:rsidR="009C7A11" w:rsidRPr="0096322D">
        <w:t>Elliot</w:t>
      </w:r>
      <w:r w:rsidR="006D63CC">
        <w:t xml:space="preserve"> et al </w:t>
      </w:r>
      <w:r w:rsidR="009C7A11" w:rsidRPr="0096322D">
        <w:t>2017).</w:t>
      </w:r>
      <w:r w:rsidR="00502DDA" w:rsidRPr="0096322D">
        <w:t xml:space="preserve"> Such is the importance and </w:t>
      </w:r>
      <w:r w:rsidR="00961D32" w:rsidRPr="0096322D">
        <w:t>impact of assessing frailty in the Emergency Department</w:t>
      </w:r>
      <w:r w:rsidR="00502DDA" w:rsidRPr="0096322D">
        <w:t xml:space="preserve"> that it has</w:t>
      </w:r>
      <w:r w:rsidR="00961D32" w:rsidRPr="0096322D">
        <w:t xml:space="preserve"> even</w:t>
      </w:r>
      <w:r w:rsidR="00502DDA" w:rsidRPr="0096322D">
        <w:t xml:space="preserve"> been dubbed as the </w:t>
      </w:r>
      <w:r w:rsidR="00961D32" w:rsidRPr="0096322D">
        <w:t xml:space="preserve">‘vital sign’ for older adults (Brousseau et al 2018). </w:t>
      </w:r>
    </w:p>
    <w:p w14:paraId="5923493D" w14:textId="47F977E7" w:rsidR="008170CD" w:rsidRPr="0096322D" w:rsidRDefault="007F3F22" w:rsidP="00081737">
      <w:r w:rsidRPr="0096322D">
        <w:t xml:space="preserve">Frailty assessment </w:t>
      </w:r>
      <w:r w:rsidR="000F1963">
        <w:t>should</w:t>
      </w:r>
      <w:r w:rsidRPr="0096322D">
        <w:t xml:space="preserve"> happen as early as it is possible in the patients’ journey when seeking care in the </w:t>
      </w:r>
      <w:r w:rsidR="000F1963">
        <w:t>ED</w:t>
      </w:r>
      <w:r w:rsidRPr="0096322D">
        <w:t xml:space="preserve"> since it can</w:t>
      </w:r>
      <w:r w:rsidR="00205793" w:rsidRPr="0096322D">
        <w:t xml:space="preserve"> raise </w:t>
      </w:r>
      <w:r w:rsidR="003E5125">
        <w:t>flags</w:t>
      </w:r>
      <w:r w:rsidR="00205793" w:rsidRPr="0096322D">
        <w:t xml:space="preserve"> for possible serious underlying conditions as well as</w:t>
      </w:r>
      <w:r w:rsidRPr="0096322D">
        <w:t xml:space="preserve"> direct the goals of care</w:t>
      </w:r>
      <w:r w:rsidR="00C74F42">
        <w:t xml:space="preserve">. </w:t>
      </w:r>
    </w:p>
    <w:p w14:paraId="71DE1429" w14:textId="037EBCD3" w:rsidR="00484F7E" w:rsidRPr="0096322D" w:rsidRDefault="00C74F42" w:rsidP="00F370E2">
      <w:pPr>
        <w:pStyle w:val="Heading2"/>
      </w:pPr>
      <w:r>
        <w:t>Frailty assessment tools</w:t>
      </w:r>
    </w:p>
    <w:p w14:paraId="34470E97" w14:textId="47C0D786" w:rsidR="0075286F" w:rsidRPr="0096322D" w:rsidRDefault="00C74F42" w:rsidP="00081737">
      <w:r>
        <w:t xml:space="preserve">There are </w:t>
      </w:r>
      <w:r w:rsidR="00464086">
        <w:t>many</w:t>
      </w:r>
      <w:r>
        <w:t xml:space="preserve"> tools to measure frailty and a recent review identified 51 different measures applied across different settings (Faller et al </w:t>
      </w:r>
      <w:r w:rsidR="005F58AC">
        <w:t xml:space="preserve">2019). Using a </w:t>
      </w:r>
      <w:r w:rsidR="00154B86" w:rsidRPr="0096322D">
        <w:t>recognised tool</w:t>
      </w:r>
      <w:r w:rsidR="000E5E5C" w:rsidRPr="0096322D">
        <w:t xml:space="preserve"> allows</w:t>
      </w:r>
      <w:r w:rsidR="00154B86" w:rsidRPr="0096322D">
        <w:t xml:space="preserve"> clinicians to achieve a standard approach in measuring frai</w:t>
      </w:r>
      <w:r w:rsidR="000E5E5C" w:rsidRPr="0096322D">
        <w:t xml:space="preserve">lty and </w:t>
      </w:r>
      <w:r w:rsidR="0016012D">
        <w:t>obtain</w:t>
      </w:r>
      <w:r w:rsidR="000E5E5C" w:rsidRPr="0096322D">
        <w:t xml:space="preserve"> an objective result </w:t>
      </w:r>
      <w:r w:rsidR="001B34D4" w:rsidRPr="0096322D">
        <w:t xml:space="preserve">(Ahmed et al 2016). An older patient presenting </w:t>
      </w:r>
      <w:r w:rsidR="0016012D">
        <w:t>to</w:t>
      </w:r>
      <w:r w:rsidR="0016012D" w:rsidRPr="0096322D">
        <w:t xml:space="preserve"> </w:t>
      </w:r>
      <w:r w:rsidR="001B34D4" w:rsidRPr="0096322D">
        <w:t xml:space="preserve">the </w:t>
      </w:r>
      <w:r w:rsidR="0016012D">
        <w:t xml:space="preserve">ED </w:t>
      </w:r>
      <w:r w:rsidR="001B34D4" w:rsidRPr="0096322D">
        <w:t>lying on an ambulance trolley with an oxygen</w:t>
      </w:r>
      <w:r w:rsidR="00F83717" w:rsidRPr="0096322D">
        <w:t xml:space="preserve"> </w:t>
      </w:r>
      <w:r w:rsidR="001B34D4" w:rsidRPr="0096322D">
        <w:t>mask covering his face and with eyes closed is easily judged as very</w:t>
      </w:r>
      <w:r w:rsidR="0075286F" w:rsidRPr="0096322D">
        <w:t xml:space="preserve"> </w:t>
      </w:r>
      <w:r w:rsidR="001B34D4" w:rsidRPr="0096322D">
        <w:t xml:space="preserve">‘frail’ </w:t>
      </w:r>
      <w:r w:rsidR="00F83717" w:rsidRPr="0096322D">
        <w:t>at</w:t>
      </w:r>
      <w:r w:rsidR="001B34D4" w:rsidRPr="0096322D">
        <w:t xml:space="preserve"> th</w:t>
      </w:r>
      <w:r w:rsidR="00F83717" w:rsidRPr="0096322D">
        <w:t>at</w:t>
      </w:r>
      <w:r w:rsidR="001B34D4" w:rsidRPr="0096322D">
        <w:t xml:space="preserve"> moment but that may not</w:t>
      </w:r>
      <w:r w:rsidR="0016012D">
        <w:t xml:space="preserve"> be a true reflection of the patient</w:t>
      </w:r>
      <w:r w:rsidR="00BF3A39">
        <w:t>’</w:t>
      </w:r>
      <w:r w:rsidR="0016012D">
        <w:t>s normal state</w:t>
      </w:r>
      <w:r w:rsidR="001B34D4" w:rsidRPr="0096322D">
        <w:t xml:space="preserve">. </w:t>
      </w:r>
    </w:p>
    <w:p w14:paraId="0C2CE151" w14:textId="488E790C" w:rsidR="00794E75" w:rsidRPr="0096322D" w:rsidRDefault="00940433" w:rsidP="00081737">
      <w:r w:rsidRPr="0096322D">
        <w:t>The comprehensive geriatric assessment (</w:t>
      </w:r>
      <w:r w:rsidR="00C5374B">
        <w:t>CGA</w:t>
      </w:r>
      <w:r w:rsidRPr="0096322D">
        <w:t xml:space="preserve">) </w:t>
      </w:r>
      <w:r w:rsidR="00C96C1E" w:rsidRPr="0096322D">
        <w:t xml:space="preserve">is </w:t>
      </w:r>
      <w:r w:rsidRPr="0096322D">
        <w:t xml:space="preserve">the gold standard assessment to identify the needs of the older population (British Geriatric Society 2014). It is performed by geriatricians and involves </w:t>
      </w:r>
      <w:r w:rsidRPr="00081737">
        <w:t xml:space="preserve">a holistic </w:t>
      </w:r>
      <w:r w:rsidR="00C96C1E" w:rsidRPr="00081737">
        <w:t>extensive assessment of patient’s medical, social, psychological and psychosocial and functional</w:t>
      </w:r>
      <w:r w:rsidR="00C96C1E" w:rsidRPr="0096322D">
        <w:t xml:space="preserve"> domains (James 2016). </w:t>
      </w:r>
      <w:r w:rsidR="003B0346">
        <w:t xml:space="preserve">Through identifying patient issues early and targeting management it </w:t>
      </w:r>
      <w:r w:rsidR="00DF568D" w:rsidRPr="0096322D">
        <w:t>has been proven to increase patient’s independence and decrease mortality (BG</w:t>
      </w:r>
      <w:r w:rsidR="00464086">
        <w:t>S</w:t>
      </w:r>
      <w:r w:rsidR="00DF568D" w:rsidRPr="0096322D">
        <w:t xml:space="preserve"> 2014)</w:t>
      </w:r>
      <w:r w:rsidR="003B0346">
        <w:t xml:space="preserve">. As it requires </w:t>
      </w:r>
      <w:r w:rsidR="00C5374B">
        <w:t>specific geriatric</w:t>
      </w:r>
      <w:r w:rsidR="00DF568D" w:rsidRPr="0096322D">
        <w:t xml:space="preserve"> expertise</w:t>
      </w:r>
      <w:r w:rsidR="003B0346">
        <w:t xml:space="preserve"> across medicine and rehabilitation </w:t>
      </w:r>
      <w:r w:rsidR="00C5374B">
        <w:t xml:space="preserve">is </w:t>
      </w:r>
      <w:r w:rsidR="00DF568D" w:rsidRPr="0096322D">
        <w:t xml:space="preserve">not suitable for </w:t>
      </w:r>
      <w:r w:rsidR="003B0346">
        <w:t xml:space="preserve">use by non-geriatric specialists in </w:t>
      </w:r>
      <w:r w:rsidR="00DF568D" w:rsidRPr="0096322D">
        <w:t xml:space="preserve">the ED (Clegg et al 2013). </w:t>
      </w:r>
    </w:p>
    <w:p w14:paraId="6973FD06" w14:textId="01E983C6" w:rsidR="007C3663" w:rsidRPr="00360364" w:rsidRDefault="00C5374B" w:rsidP="007C3663">
      <w:r>
        <w:t xml:space="preserve">Frailty screening tools in the ED need to be </w:t>
      </w:r>
      <w:r w:rsidR="00F21AFE" w:rsidRPr="0096322D">
        <w:t>easily applied</w:t>
      </w:r>
      <w:r w:rsidR="0032348C" w:rsidRPr="0096322D">
        <w:t xml:space="preserve"> by ED staff,</w:t>
      </w:r>
      <w:r w:rsidR="00F21AFE" w:rsidRPr="0096322D">
        <w:t xml:space="preserve"> not rely heavily </w:t>
      </w:r>
      <w:r w:rsidR="0032348C" w:rsidRPr="0096322D">
        <w:t xml:space="preserve">on patient documentation, </w:t>
      </w:r>
      <w:r>
        <w:t xml:space="preserve">use </w:t>
      </w:r>
      <w:r w:rsidR="0032348C" w:rsidRPr="0096322D">
        <w:t xml:space="preserve">minimal equipment and </w:t>
      </w:r>
      <w:r>
        <w:t>be</w:t>
      </w:r>
      <w:r w:rsidRPr="0096322D">
        <w:t xml:space="preserve"> </w:t>
      </w:r>
      <w:r w:rsidR="0032348C" w:rsidRPr="0096322D">
        <w:t>replicable (Lewis et al</w:t>
      </w:r>
      <w:r w:rsidR="00464086">
        <w:t xml:space="preserve"> </w:t>
      </w:r>
      <w:r w:rsidR="0032348C" w:rsidRPr="0096322D">
        <w:t xml:space="preserve">2019). </w:t>
      </w:r>
      <w:r w:rsidR="007C3663" w:rsidRPr="00360364">
        <w:t xml:space="preserve">In a systematic review </w:t>
      </w:r>
      <w:r w:rsidR="003B0346">
        <w:t>of frailty assessment</w:t>
      </w:r>
      <w:r w:rsidR="003A0B55">
        <w:t xml:space="preserve"> studies</w:t>
      </w:r>
      <w:r w:rsidR="003B0346">
        <w:t xml:space="preserve"> in the ED </w:t>
      </w:r>
      <w:r w:rsidR="003A0B55">
        <w:t xml:space="preserve">there was low compliance to tool completion with only 52% of patients being screened, even in tools where the completion time was less than five minutes (Elliott et al 2017). This is perhaps understandable given the </w:t>
      </w:r>
      <w:r w:rsidR="007C3663" w:rsidRPr="00360364">
        <w:t>fast-paced environment</w:t>
      </w:r>
      <w:r w:rsidR="003A0B55">
        <w:t>, complexity of patients and lack of information that may be available in the ED to make an assessment</w:t>
      </w:r>
      <w:r w:rsidR="004E4995">
        <w:t xml:space="preserve">. </w:t>
      </w:r>
      <w:r w:rsidR="007C3663" w:rsidRPr="00360364">
        <w:t xml:space="preserve">Other reasons for </w:t>
      </w:r>
      <w:r w:rsidR="007C3663" w:rsidRPr="00360364">
        <w:lastRenderedPageBreak/>
        <w:t xml:space="preserve">low compliance to frailty tools were </w:t>
      </w:r>
      <w:r w:rsidR="007C3663">
        <w:t>“</w:t>
      </w:r>
      <w:r w:rsidR="007C3663" w:rsidRPr="00360364">
        <w:t>not wanting to force people into categories</w:t>
      </w:r>
      <w:r w:rsidR="007C3663">
        <w:t>”,</w:t>
      </w:r>
      <w:r w:rsidR="00464086">
        <w:t xml:space="preserve"> “</w:t>
      </w:r>
      <w:r w:rsidR="007C3663" w:rsidRPr="00360364">
        <w:t>using clinical judgement instead</w:t>
      </w:r>
      <w:r w:rsidR="007C3663">
        <w:t xml:space="preserve">” </w:t>
      </w:r>
      <w:r w:rsidR="007C3663" w:rsidRPr="00360364">
        <w:t xml:space="preserve">and that it was </w:t>
      </w:r>
      <w:r w:rsidR="007C3663">
        <w:t>“</w:t>
      </w:r>
      <w:r w:rsidR="007C3663" w:rsidRPr="00360364">
        <w:t>someone else’s role</w:t>
      </w:r>
      <w:r w:rsidR="007C3663">
        <w:t>”</w:t>
      </w:r>
      <w:r w:rsidR="007C3663" w:rsidRPr="00360364">
        <w:t xml:space="preserve"> (Elliot</w:t>
      </w:r>
      <w:r w:rsidR="007C3663">
        <w:t xml:space="preserve"> et al </w:t>
      </w:r>
      <w:r w:rsidR="007C3663" w:rsidRPr="00F71B6E">
        <w:t xml:space="preserve">2017).  </w:t>
      </w:r>
    </w:p>
    <w:p w14:paraId="0E83D720" w14:textId="0470DEA6" w:rsidR="00F21AFE" w:rsidRDefault="00371517" w:rsidP="00081737">
      <w:r w:rsidRPr="0096322D">
        <w:t>A cohort study by Lewis et al (2019) tested three</w:t>
      </w:r>
      <w:r>
        <w:t xml:space="preserve"> frailty</w:t>
      </w:r>
      <w:r w:rsidRPr="0096322D">
        <w:t xml:space="preserve"> tools to identify the most user friendly for routine use in the </w:t>
      </w:r>
      <w:r>
        <w:t>ED</w:t>
      </w:r>
      <w:r w:rsidRPr="0096322D">
        <w:t xml:space="preserve">. They have </w:t>
      </w:r>
      <w:r w:rsidR="004E4995" w:rsidRPr="0096322D">
        <w:t xml:space="preserve">simultaneously </w:t>
      </w:r>
      <w:r w:rsidRPr="0096322D">
        <w:t xml:space="preserve">tested the </w:t>
      </w:r>
      <w:r>
        <w:t>Clinical Frailty Scale (Rockwood et al 2005)</w:t>
      </w:r>
      <w:r w:rsidRPr="0096322D">
        <w:t xml:space="preserve">, </w:t>
      </w:r>
      <w:r w:rsidR="00AC2930">
        <w:t xml:space="preserve">the </w:t>
      </w:r>
      <w:r w:rsidRPr="0096322D">
        <w:t>Fried</w:t>
      </w:r>
      <w:r w:rsidR="00AC2930">
        <w:t xml:space="preserve"> scale (Fried et al</w:t>
      </w:r>
      <w:r w:rsidR="00DD725E">
        <w:t xml:space="preserve"> 2001)</w:t>
      </w:r>
      <w:r w:rsidR="00AC2930">
        <w:t xml:space="preserve"> </w:t>
      </w:r>
      <w:r w:rsidRPr="0096322D">
        <w:t>and the SUHB (Stable, unstable, help to walk, bedbound) scale</w:t>
      </w:r>
      <w:r w:rsidR="00DD725E">
        <w:t xml:space="preserve"> (Kellett et al 2014)</w:t>
      </w:r>
      <w:r w:rsidRPr="0096322D">
        <w:t xml:space="preserve">. They conclude that the CFS was the less resource intensive, easy to use and understand scores and most comprehensive tool to use in a busy ED. </w:t>
      </w:r>
      <w:r>
        <w:t xml:space="preserve"> It </w:t>
      </w:r>
      <w:r w:rsidR="004E4995">
        <w:t>is</w:t>
      </w:r>
      <w:r>
        <w:t xml:space="preserve"> found to predict outcomes in the context of urgent care where again higher frailty scores correlate with increased length of hospital stay, re-admission rate and in-patient mortality (Specialised Clinical Frailty Network, 2018).</w:t>
      </w:r>
      <w:r w:rsidR="00485DB1">
        <w:t xml:space="preserve"> The CFS is the most widely reported tool used in the ED and has been shown to be </w:t>
      </w:r>
      <w:r w:rsidR="00EA2FE4">
        <w:t xml:space="preserve">reliable and </w:t>
      </w:r>
      <w:r w:rsidR="00485DB1">
        <w:t xml:space="preserve">accurate when </w:t>
      </w:r>
      <w:r w:rsidR="00462330">
        <w:t xml:space="preserve">used by nurses </w:t>
      </w:r>
      <w:r w:rsidR="00462330" w:rsidRPr="008052FF">
        <w:t>(</w:t>
      </w:r>
      <w:proofErr w:type="spellStart"/>
      <w:r w:rsidR="004E4995">
        <w:t>O’Caoimh</w:t>
      </w:r>
      <w:proofErr w:type="spellEnd"/>
      <w:r w:rsidR="004E4995">
        <w:t xml:space="preserve"> et al 2019, </w:t>
      </w:r>
      <w:r w:rsidR="00462330" w:rsidRPr="008052FF">
        <w:t xml:space="preserve">Jarman et al </w:t>
      </w:r>
      <w:r w:rsidR="004E4995" w:rsidRPr="008052FF">
        <w:t>2021</w:t>
      </w:r>
      <w:r w:rsidR="00EC72B8">
        <w:t xml:space="preserve">). </w:t>
      </w:r>
    </w:p>
    <w:p w14:paraId="4BE178FF" w14:textId="77777777" w:rsidR="004E4995" w:rsidRDefault="004E4995" w:rsidP="00081737"/>
    <w:p w14:paraId="1C5B0DA6" w14:textId="202523F7" w:rsidR="00DB6754" w:rsidRDefault="006E18AA" w:rsidP="00081737">
      <w:r w:rsidRPr="0096322D">
        <w:t>The Clinical Frailty Scale</w:t>
      </w:r>
    </w:p>
    <w:p w14:paraId="6A602F0E" w14:textId="66095462" w:rsidR="00792D7C" w:rsidRPr="0096322D" w:rsidRDefault="00792D7C" w:rsidP="003576A5">
      <w:pPr>
        <w:jc w:val="both"/>
      </w:pPr>
      <w:r w:rsidRPr="0096322D">
        <w:t xml:space="preserve">The </w:t>
      </w:r>
      <w:r w:rsidR="00642E55">
        <w:t xml:space="preserve">Clinical Frailty Scale </w:t>
      </w:r>
      <w:r w:rsidRPr="0096322D">
        <w:t>is based on the</w:t>
      </w:r>
      <w:r w:rsidR="00642E55">
        <w:t xml:space="preserve"> cumulative deficits model of frailty. </w:t>
      </w:r>
      <w:r w:rsidRPr="0096322D">
        <w:t>Th</w:t>
      </w:r>
      <w:r w:rsidR="00642E55">
        <w:t xml:space="preserve">e original version of the scale was </w:t>
      </w:r>
      <w:r w:rsidRPr="0096322D">
        <w:t>calculated by using 70 variables (comprising of signs and symptoms, disease states, disability and abnormal laboratory results)</w:t>
      </w:r>
      <w:r w:rsidR="00603BEF">
        <w:t>. A</w:t>
      </w:r>
      <w:r w:rsidRPr="0096322D">
        <w:t xml:space="preserve">lthough proven and validated to predict outcome and mortality, having such a long assessment tool makes it difficult to manage in the clinical environment (Rockwood et al 2005). </w:t>
      </w:r>
      <w:r w:rsidR="000A3C99">
        <w:t>A</w:t>
      </w:r>
      <w:r w:rsidR="00603BEF">
        <w:t xml:space="preserve"> shorter Clinical Frailty Scale was</w:t>
      </w:r>
      <w:r w:rsidR="000A3C99">
        <w:t xml:space="preserve"> subsequently</w:t>
      </w:r>
      <w:r w:rsidR="00603BEF">
        <w:t xml:space="preserve"> developed which was </w:t>
      </w:r>
      <w:r w:rsidR="00A909B0">
        <w:t xml:space="preserve">again </w:t>
      </w:r>
      <w:r w:rsidR="00603BEF">
        <w:t xml:space="preserve">revised to </w:t>
      </w:r>
      <w:r w:rsidR="00A909B0">
        <w:t>become a</w:t>
      </w:r>
      <w:r w:rsidRPr="0096322D">
        <w:t xml:space="preserve"> 9</w:t>
      </w:r>
      <w:r w:rsidR="005E211E">
        <w:t>-</w:t>
      </w:r>
      <w:r w:rsidRPr="0096322D">
        <w:t xml:space="preserve">point scale with the revision of level names and descriptions (Rockwood and </w:t>
      </w:r>
      <w:proofErr w:type="spellStart"/>
      <w:r w:rsidRPr="0096322D">
        <w:t>Theou</w:t>
      </w:r>
      <w:proofErr w:type="spellEnd"/>
      <w:r w:rsidR="00A909B0">
        <w:t xml:space="preserve"> </w:t>
      </w:r>
      <w:r w:rsidRPr="0096322D">
        <w:t>202</w:t>
      </w:r>
      <w:r>
        <w:t>0</w:t>
      </w:r>
      <w:r w:rsidRPr="0096322D">
        <w:t>)</w:t>
      </w:r>
      <w:r w:rsidR="000A3C99">
        <w:t xml:space="preserve"> (Figure 2)</w:t>
      </w:r>
      <w:r w:rsidRPr="0096322D">
        <w:t xml:space="preserve">. </w:t>
      </w:r>
      <w:r w:rsidR="00F60FE8">
        <w:t xml:space="preserve">A score is determined by </w:t>
      </w:r>
      <w:r w:rsidR="00495A4F">
        <w:t>the patient’s</w:t>
      </w:r>
      <w:r w:rsidR="000B65E5">
        <w:t xml:space="preserve"> overall level of fitness, the presence or absence of disease, their level of dependency and their cognitive status (Davies et al 2018). </w:t>
      </w:r>
      <w:r w:rsidR="0073484A">
        <w:t xml:space="preserve">The higher the patient’s score the higher the level of frailty. </w:t>
      </w:r>
      <w:r w:rsidR="009A7171">
        <w:t>Patients who score between 1 and</w:t>
      </w:r>
      <w:r w:rsidR="00D967FB">
        <w:t xml:space="preserve"> 3</w:t>
      </w:r>
      <w:r w:rsidR="009A7171">
        <w:t xml:space="preserve"> have no active disease symptoms </w:t>
      </w:r>
      <w:r w:rsidR="00D967FB">
        <w:t xml:space="preserve">or well controlled medical conditions </w:t>
      </w:r>
      <w:r w:rsidR="009A7171">
        <w:t xml:space="preserve">and are overall well. </w:t>
      </w:r>
      <w:r w:rsidR="00D967FB">
        <w:t xml:space="preserve">Patients scoring 4 are categorised as pre-frail and have symptoms caused by a condition that limits their daily activities. </w:t>
      </w:r>
      <w:r w:rsidR="004A1169">
        <w:t xml:space="preserve">Scores of 5 to 8 indicate degrees of frailty and dependency. Terminally ill patients are scored a 9 irrespective of their baseline state </w:t>
      </w:r>
      <w:r w:rsidR="00AB39DE">
        <w:t>(Dalhousie University, 2020)</w:t>
      </w:r>
      <w:r w:rsidR="00976FA9">
        <w:t>.</w:t>
      </w:r>
      <w:r w:rsidR="0031244B" w:rsidRPr="0031244B">
        <w:rPr>
          <w:rStyle w:val="Heading3Char"/>
          <w:noProof/>
        </w:rPr>
        <w:t xml:space="preserve"> </w:t>
      </w:r>
    </w:p>
    <w:p w14:paraId="49D6C717" w14:textId="74C1D7AD" w:rsidR="003B689C" w:rsidRPr="0096322D" w:rsidRDefault="001B7161" w:rsidP="00081737">
      <w:pPr>
        <w:pStyle w:val="Heading3"/>
        <w:rPr>
          <w:rFonts w:eastAsia="Times New Roman"/>
          <w:color w:val="000000" w:themeColor="text1"/>
          <w:lang w:eastAsia="en-GB"/>
        </w:rPr>
      </w:pPr>
      <w:r w:rsidRPr="00417593">
        <w:rPr>
          <w:rStyle w:val="Heading3Char"/>
          <w:noProof/>
        </w:rPr>
        <w:lastRenderedPageBreak/>
        <w:drawing>
          <wp:anchor distT="0" distB="0" distL="114300" distR="114300" simplePos="0" relativeHeight="251658240" behindDoc="0" locked="0" layoutInCell="1" allowOverlap="1" wp14:anchorId="123E5C98" wp14:editId="6A647E87">
            <wp:simplePos x="0" y="0"/>
            <wp:positionH relativeFrom="column">
              <wp:posOffset>993140</wp:posOffset>
            </wp:positionH>
            <wp:positionV relativeFrom="paragraph">
              <wp:posOffset>123190</wp:posOffset>
            </wp:positionV>
            <wp:extent cx="4330065" cy="33343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065" cy="333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89C" w:rsidRPr="003C5150">
        <w:rPr>
          <w:rStyle w:val="Heading3Char"/>
        </w:rPr>
        <w:t xml:space="preserve">Figure 2: The clinical Frailty Scale (CFS) version 2.0. </w:t>
      </w:r>
      <w:r w:rsidR="00D707BD">
        <w:rPr>
          <w:rStyle w:val="Heading3Char"/>
        </w:rPr>
        <w:t xml:space="preserve">Available from: </w:t>
      </w:r>
      <w:hyperlink r:id="rId10" w:history="1">
        <w:r w:rsidR="00D707BD">
          <w:rPr>
            <w:rStyle w:val="Hyperlink"/>
          </w:rPr>
          <w:t>Clinical Frailty Scale - Geriatric Medicine Research - Dalhousie University</w:t>
        </w:r>
      </w:hyperlink>
      <w:r w:rsidR="00D707BD">
        <w:t xml:space="preserve"> </w:t>
      </w:r>
      <w:r w:rsidR="003B689C">
        <w:rPr>
          <w:rStyle w:val="Hyperlink"/>
          <w:rFonts w:eastAsia="Times New Roman"/>
          <w:color w:val="000000" w:themeColor="text1"/>
          <w:u w:val="none"/>
          <w:lang w:eastAsia="en-GB"/>
        </w:rPr>
        <w:t>(</w:t>
      </w:r>
      <w:r w:rsidR="003B689C" w:rsidRPr="0096322D">
        <w:rPr>
          <w:rFonts w:eastAsia="Times New Roman"/>
          <w:color w:val="000000" w:themeColor="text1"/>
          <w:lang w:eastAsia="en-GB"/>
        </w:rPr>
        <w:t xml:space="preserve">Rockwood and </w:t>
      </w:r>
      <w:proofErr w:type="spellStart"/>
      <w:r w:rsidR="003B689C" w:rsidRPr="0096322D">
        <w:rPr>
          <w:rFonts w:eastAsia="Times New Roman"/>
          <w:color w:val="000000" w:themeColor="text1"/>
          <w:lang w:eastAsia="en-GB"/>
        </w:rPr>
        <w:t>Theou</w:t>
      </w:r>
      <w:proofErr w:type="spellEnd"/>
      <w:r w:rsidR="003B689C">
        <w:rPr>
          <w:rFonts w:eastAsia="Times New Roman"/>
          <w:color w:val="000000" w:themeColor="text1"/>
          <w:lang w:eastAsia="en-GB"/>
        </w:rPr>
        <w:t xml:space="preserve"> </w:t>
      </w:r>
      <w:r w:rsidR="003B689C" w:rsidRPr="0096322D">
        <w:rPr>
          <w:rFonts w:eastAsia="Times New Roman"/>
          <w:color w:val="000000" w:themeColor="text1"/>
          <w:lang w:eastAsia="en-GB"/>
        </w:rPr>
        <w:t>2020)</w:t>
      </w:r>
      <w:r w:rsidR="003B689C">
        <w:rPr>
          <w:rFonts w:eastAsia="Times New Roman"/>
          <w:color w:val="000000" w:themeColor="text1"/>
          <w:lang w:eastAsia="en-GB"/>
        </w:rPr>
        <w:t>.</w:t>
      </w:r>
    </w:p>
    <w:p w14:paraId="5AE762E7" w14:textId="05A90A15" w:rsidR="00A874BF" w:rsidRDefault="00A874BF" w:rsidP="00081737"/>
    <w:p w14:paraId="38CF76E8" w14:textId="3B186831" w:rsidR="00A01EC5" w:rsidRPr="00432E23" w:rsidRDefault="00334DFE" w:rsidP="00495A4F">
      <w:pPr>
        <w:pStyle w:val="Heading3"/>
        <w:rPr>
          <w:b/>
          <w:bCs/>
          <w:lang w:eastAsia="en-GB"/>
        </w:rPr>
      </w:pPr>
      <w:r>
        <w:rPr>
          <w:lang w:eastAsia="en-GB"/>
        </w:rPr>
        <w:t>Tips on using the CFS</w:t>
      </w:r>
      <w:r w:rsidR="00495A4F">
        <w:rPr>
          <w:lang w:eastAsia="en-GB"/>
        </w:rPr>
        <w:t xml:space="preserve"> </w:t>
      </w:r>
      <w:r w:rsidR="005454A1" w:rsidRPr="00432E23">
        <w:rPr>
          <w:lang w:eastAsia="en-GB"/>
        </w:rPr>
        <w:t>(NHS Specialised Clinical Frailty Network</w:t>
      </w:r>
      <w:r w:rsidR="00426485" w:rsidRPr="00432E23">
        <w:rPr>
          <w:lang w:eastAsia="en-GB"/>
        </w:rPr>
        <w:t xml:space="preserve"> </w:t>
      </w:r>
      <w:r w:rsidR="005454A1" w:rsidRPr="00432E23">
        <w:rPr>
          <w:lang w:eastAsia="en-GB"/>
        </w:rPr>
        <w:t>2018</w:t>
      </w:r>
      <w:r w:rsidR="00426485" w:rsidRPr="00432E23">
        <w:rPr>
          <w:lang w:eastAsia="en-GB"/>
        </w:rPr>
        <w:t xml:space="preserve">, </w:t>
      </w:r>
      <w:r w:rsidR="0086714E" w:rsidRPr="00432E23">
        <w:rPr>
          <w:rFonts w:eastAsia="Times New Roman"/>
          <w:color w:val="000000" w:themeColor="text1"/>
          <w:lang w:eastAsia="en-GB"/>
        </w:rPr>
        <w:t xml:space="preserve">Rockwood and </w:t>
      </w:r>
      <w:proofErr w:type="spellStart"/>
      <w:r w:rsidR="0086714E" w:rsidRPr="00432E23">
        <w:rPr>
          <w:rFonts w:eastAsia="Times New Roman"/>
          <w:color w:val="000000" w:themeColor="text1"/>
          <w:lang w:eastAsia="en-GB"/>
        </w:rPr>
        <w:t>Theou</w:t>
      </w:r>
      <w:proofErr w:type="spellEnd"/>
      <w:r w:rsidR="0086714E" w:rsidRPr="00432E23">
        <w:rPr>
          <w:rFonts w:eastAsia="Times New Roman"/>
          <w:color w:val="000000" w:themeColor="text1"/>
          <w:lang w:eastAsia="en-GB"/>
        </w:rPr>
        <w:t xml:space="preserve"> </w:t>
      </w:r>
      <w:r w:rsidR="00426485" w:rsidRPr="00432E23">
        <w:rPr>
          <w:lang w:eastAsia="en-GB"/>
        </w:rPr>
        <w:t>2020</w:t>
      </w:r>
      <w:r w:rsidR="005454A1" w:rsidRPr="00432E23">
        <w:rPr>
          <w:lang w:eastAsia="en-GB"/>
        </w:rPr>
        <w:t>)</w:t>
      </w:r>
    </w:p>
    <w:p w14:paraId="485EBD60" w14:textId="1AB41617" w:rsidR="00426485" w:rsidRPr="00432E23" w:rsidRDefault="00426485" w:rsidP="00495A4F">
      <w:pPr>
        <w:pStyle w:val="Heading2"/>
        <w:numPr>
          <w:ilvl w:val="0"/>
          <w:numId w:val="18"/>
        </w:numPr>
        <w:rPr>
          <w:b w:val="0"/>
          <w:bCs w:val="0"/>
          <w:lang w:eastAsia="en-GB"/>
        </w:rPr>
      </w:pPr>
      <w:r w:rsidRPr="00432E23">
        <w:rPr>
          <w:b w:val="0"/>
          <w:bCs w:val="0"/>
          <w:lang w:eastAsia="en-GB"/>
        </w:rPr>
        <w:t>The tool is only valid for use in people 65 years and older</w:t>
      </w:r>
    </w:p>
    <w:p w14:paraId="12124421" w14:textId="65FFCC67" w:rsidR="00A63BEA" w:rsidRPr="00432E23" w:rsidRDefault="00A63BEA" w:rsidP="00495A4F">
      <w:pPr>
        <w:pStyle w:val="Heading2"/>
        <w:numPr>
          <w:ilvl w:val="0"/>
          <w:numId w:val="18"/>
        </w:numPr>
        <w:rPr>
          <w:b w:val="0"/>
          <w:bCs w:val="0"/>
          <w:lang w:eastAsia="en-GB"/>
        </w:rPr>
      </w:pPr>
      <w:r w:rsidRPr="00432E23">
        <w:rPr>
          <w:b w:val="0"/>
          <w:bCs w:val="0"/>
          <w:lang w:eastAsia="en-GB"/>
        </w:rPr>
        <w:t xml:space="preserve">Patients should be scored based on what they were like two weeks before they were ill </w:t>
      </w:r>
    </w:p>
    <w:p w14:paraId="327A8A66" w14:textId="65FC6D73" w:rsidR="009A7171" w:rsidRPr="00432E23" w:rsidRDefault="00A63BEA" w:rsidP="00495A4F">
      <w:pPr>
        <w:pStyle w:val="Heading2"/>
        <w:numPr>
          <w:ilvl w:val="0"/>
          <w:numId w:val="18"/>
        </w:numPr>
        <w:rPr>
          <w:b w:val="0"/>
          <w:bCs w:val="0"/>
          <w:lang w:eastAsia="en-GB"/>
        </w:rPr>
      </w:pPr>
      <w:r w:rsidRPr="00432E23">
        <w:rPr>
          <w:b w:val="0"/>
          <w:bCs w:val="0"/>
          <w:lang w:eastAsia="en-GB"/>
        </w:rPr>
        <w:t>Do not base your assessment on how the patient is at the time you score them</w:t>
      </w:r>
    </w:p>
    <w:p w14:paraId="1FFFBF1A" w14:textId="7D802524" w:rsidR="00426485" w:rsidRPr="00432E23" w:rsidRDefault="00426485" w:rsidP="00495A4F">
      <w:pPr>
        <w:pStyle w:val="Heading2"/>
        <w:numPr>
          <w:ilvl w:val="0"/>
          <w:numId w:val="18"/>
        </w:numPr>
        <w:rPr>
          <w:b w:val="0"/>
          <w:bCs w:val="0"/>
          <w:lang w:eastAsia="en-GB"/>
        </w:rPr>
      </w:pPr>
      <w:r w:rsidRPr="00432E23">
        <w:rPr>
          <w:b w:val="0"/>
          <w:bCs w:val="0"/>
          <w:lang w:eastAsia="en-GB"/>
        </w:rPr>
        <w:t xml:space="preserve">If the patient cannot tell you how they were two weeks ago use information from carers, </w:t>
      </w:r>
      <w:r w:rsidR="00EB327A" w:rsidRPr="00432E23">
        <w:rPr>
          <w:b w:val="0"/>
          <w:bCs w:val="0"/>
          <w:lang w:eastAsia="en-GB"/>
        </w:rPr>
        <w:t>friends,</w:t>
      </w:r>
      <w:r w:rsidRPr="00432E23">
        <w:rPr>
          <w:b w:val="0"/>
          <w:bCs w:val="0"/>
          <w:lang w:eastAsia="en-GB"/>
        </w:rPr>
        <w:t xml:space="preserve"> </w:t>
      </w:r>
      <w:r w:rsidR="00F60FE8" w:rsidRPr="00432E23">
        <w:rPr>
          <w:b w:val="0"/>
          <w:bCs w:val="0"/>
          <w:lang w:eastAsia="en-GB"/>
        </w:rPr>
        <w:t>or the GP</w:t>
      </w:r>
    </w:p>
    <w:p w14:paraId="381DDEAC" w14:textId="26C6BE18" w:rsidR="00FF4D9E" w:rsidRPr="00432E23" w:rsidRDefault="00FF4D9E" w:rsidP="00495A4F">
      <w:pPr>
        <w:pStyle w:val="Heading2"/>
        <w:numPr>
          <w:ilvl w:val="0"/>
          <w:numId w:val="18"/>
        </w:numPr>
        <w:rPr>
          <w:b w:val="0"/>
          <w:bCs w:val="0"/>
          <w:lang w:eastAsia="en-GB"/>
        </w:rPr>
      </w:pPr>
      <w:r w:rsidRPr="00432E23">
        <w:rPr>
          <w:b w:val="0"/>
          <w:bCs w:val="0"/>
          <w:lang w:eastAsia="en-GB"/>
        </w:rPr>
        <w:t>Don’t make assumptions about the patient, use prompting questions like “Do you have any problems with cooking, shopping or getting dressed?”</w:t>
      </w:r>
    </w:p>
    <w:p w14:paraId="773E889B" w14:textId="66BDF569" w:rsidR="00BF3A39" w:rsidRDefault="0086714E" w:rsidP="00F370E2">
      <w:pPr>
        <w:pStyle w:val="Heading2"/>
        <w:numPr>
          <w:ilvl w:val="0"/>
          <w:numId w:val="18"/>
        </w:numPr>
        <w:rPr>
          <w:b w:val="0"/>
          <w:bCs w:val="0"/>
          <w:lang w:eastAsia="en-GB"/>
        </w:rPr>
      </w:pPr>
      <w:r w:rsidRPr="00432E23">
        <w:rPr>
          <w:b w:val="0"/>
          <w:bCs w:val="0"/>
          <w:lang w:eastAsia="en-GB"/>
        </w:rPr>
        <w:t>Check your score with colleagues if you are unsure</w:t>
      </w:r>
    </w:p>
    <w:p w14:paraId="207CB3C2" w14:textId="77777777" w:rsidR="003F7516" w:rsidRPr="003F7516" w:rsidRDefault="003F7516" w:rsidP="003F7516">
      <w:pPr>
        <w:pStyle w:val="Heading2"/>
        <w:ind w:left="360"/>
        <w:rPr>
          <w:b w:val="0"/>
          <w:bCs w:val="0"/>
          <w:lang w:eastAsia="en-GB"/>
        </w:rPr>
      </w:pPr>
    </w:p>
    <w:p w14:paraId="5E915021" w14:textId="4C19076C" w:rsidR="00DA545E" w:rsidRPr="0096322D" w:rsidRDefault="00297C80" w:rsidP="00321256">
      <w:pPr>
        <w:pStyle w:val="Heading2"/>
        <w:rPr>
          <w:lang w:eastAsia="en-GB"/>
        </w:rPr>
      </w:pPr>
      <w:r w:rsidRPr="0096322D">
        <w:rPr>
          <w:lang w:eastAsia="en-GB"/>
        </w:rPr>
        <w:t xml:space="preserve">Possible </w:t>
      </w:r>
      <w:r w:rsidRPr="00081737">
        <w:t>disadvantages</w:t>
      </w:r>
      <w:r w:rsidRPr="0096322D">
        <w:rPr>
          <w:lang w:eastAsia="en-GB"/>
        </w:rPr>
        <w:t xml:space="preserve"> of screening tools</w:t>
      </w:r>
    </w:p>
    <w:p w14:paraId="227235D1" w14:textId="739865C3" w:rsidR="009C7A11" w:rsidRPr="00081737" w:rsidRDefault="00297C80" w:rsidP="00F71B6E">
      <w:r w:rsidRPr="00081737">
        <w:t xml:space="preserve">So far in this article we have </w:t>
      </w:r>
      <w:r w:rsidR="00495A4F">
        <w:t xml:space="preserve">identified </w:t>
      </w:r>
      <w:r w:rsidRPr="00081737">
        <w:t>the importance of frailty screening tools but as with</w:t>
      </w:r>
      <w:r w:rsidR="009C7A11" w:rsidRPr="00081737">
        <w:t xml:space="preserve"> every tool there are also some potential disadvantages. Firstly, the concept of being identified as ‘frail’ by the older population is not always well accepted a</w:t>
      </w:r>
      <w:r w:rsidR="00507D7E" w:rsidRPr="00081737">
        <w:t>s</w:t>
      </w:r>
      <w:r w:rsidR="009C7A11" w:rsidRPr="00081737">
        <w:t xml:space="preserve"> </w:t>
      </w:r>
      <w:r w:rsidR="00507D7E" w:rsidRPr="00081737">
        <w:t>social stigma associates this word only with increased vulnerability and dependency (British Geriatric Society</w:t>
      </w:r>
      <w:r w:rsidR="00042E9A">
        <w:t xml:space="preserve"> </w:t>
      </w:r>
      <w:r w:rsidR="00507D7E" w:rsidRPr="00081737">
        <w:t xml:space="preserve">2014). Most often than not older people are able to adapt and compensate well for the losses that frailty brings about and therefore don’t like to be labelled as vulnerable and frail when </w:t>
      </w:r>
      <w:r w:rsidR="00925632" w:rsidRPr="00081737">
        <w:t>they</w:t>
      </w:r>
      <w:r w:rsidR="00507D7E" w:rsidRPr="00081737">
        <w:t xml:space="preserve"> can still lead </w:t>
      </w:r>
      <w:r w:rsidR="00304789" w:rsidRPr="00081737">
        <w:t xml:space="preserve">a meaningful </w:t>
      </w:r>
      <w:r w:rsidR="00507D7E" w:rsidRPr="00081737">
        <w:t>life.</w:t>
      </w:r>
      <w:r w:rsidR="00507D7E" w:rsidRPr="00F71B6E">
        <w:t xml:space="preserve"> </w:t>
      </w:r>
      <w:r w:rsidR="00F34CE4" w:rsidRPr="00081737">
        <w:t>Not everyone has the same priorities or</w:t>
      </w:r>
      <w:r w:rsidR="00925632" w:rsidRPr="00081737">
        <w:t xml:space="preserve"> life</w:t>
      </w:r>
      <w:r w:rsidR="00F34CE4" w:rsidRPr="00081737">
        <w:t xml:space="preserve"> expectations and therefore</w:t>
      </w:r>
      <w:r w:rsidR="005406C5" w:rsidRPr="00081737">
        <w:t xml:space="preserve"> as healthcare professionals we need to be sensitive about this. It</w:t>
      </w:r>
      <w:r w:rsidR="00F34CE4" w:rsidRPr="00081737">
        <w:t xml:space="preserve"> is always best to ask the </w:t>
      </w:r>
      <w:r w:rsidR="005406C5" w:rsidRPr="00081737">
        <w:t>individual, when possible,</w:t>
      </w:r>
      <w:r w:rsidR="00F34CE4" w:rsidRPr="00081737">
        <w:t xml:space="preserve"> to discover </w:t>
      </w:r>
      <w:r w:rsidR="00F34CE4" w:rsidRPr="00081737">
        <w:lastRenderedPageBreak/>
        <w:t xml:space="preserve">what matters most </w:t>
      </w:r>
      <w:r w:rsidR="005406C5" w:rsidRPr="00081737">
        <w:t xml:space="preserve">to them </w:t>
      </w:r>
      <w:r w:rsidR="00F34CE4" w:rsidRPr="00081737">
        <w:t>before labelling t</w:t>
      </w:r>
      <w:r w:rsidR="00F34CE4" w:rsidRPr="007C3663">
        <w:t>hem as just ‘frai</w:t>
      </w:r>
      <w:r w:rsidR="00F34CE4" w:rsidRPr="00081737">
        <w:t xml:space="preserve">l’. </w:t>
      </w:r>
      <w:r w:rsidR="00C51B1A" w:rsidRPr="00081737">
        <w:t xml:space="preserve">However, it is also known that older adults might overestimate their abilities to </w:t>
      </w:r>
      <w:r w:rsidR="006E18AA" w:rsidRPr="00081737">
        <w:t>cope</w:t>
      </w:r>
      <w:r w:rsidR="00C51B1A" w:rsidRPr="00081737">
        <w:t xml:space="preserve"> whereas their famil</w:t>
      </w:r>
      <w:r w:rsidR="00551096" w:rsidRPr="00081737">
        <w:t xml:space="preserve">ies </w:t>
      </w:r>
      <w:r w:rsidR="00C51B1A" w:rsidRPr="00081737">
        <w:t>might</w:t>
      </w:r>
      <w:r w:rsidR="00551096" w:rsidRPr="00081737">
        <w:t xml:space="preserve"> </w:t>
      </w:r>
      <w:r w:rsidR="00C51B1A" w:rsidRPr="00081737">
        <w:t>underestimate</w:t>
      </w:r>
      <w:r w:rsidR="00551096" w:rsidRPr="00081737">
        <w:t xml:space="preserve"> their abilities</w:t>
      </w:r>
      <w:r w:rsidR="00904258" w:rsidRPr="00081737">
        <w:t xml:space="preserve"> (Nielsen et al 2016). </w:t>
      </w:r>
      <w:r w:rsidR="00C51B1A" w:rsidRPr="00081737">
        <w:t xml:space="preserve"> Therefore,</w:t>
      </w:r>
      <w:r w:rsidR="005406C5" w:rsidRPr="00081737">
        <w:t xml:space="preserve"> </w:t>
      </w:r>
      <w:r w:rsidR="00C51B1A" w:rsidRPr="00081737">
        <w:t>e</w:t>
      </w:r>
      <w:r w:rsidR="005406C5" w:rsidRPr="00081737">
        <w:t>ducating the older population</w:t>
      </w:r>
      <w:r w:rsidR="00C51B1A" w:rsidRPr="00081737">
        <w:t xml:space="preserve"> and their relatives</w:t>
      </w:r>
      <w:r w:rsidR="005406C5" w:rsidRPr="00081737">
        <w:t xml:space="preserve"> about frailty </w:t>
      </w:r>
      <w:r w:rsidR="00551096" w:rsidRPr="00081737">
        <w:t>screening tools</w:t>
      </w:r>
      <w:r w:rsidR="005406C5" w:rsidRPr="00081737">
        <w:t xml:space="preserve"> and ultimate care goals would help to have a better positive reception of th</w:t>
      </w:r>
      <w:r w:rsidR="00C51B1A" w:rsidRPr="00081737">
        <w:t>is</w:t>
      </w:r>
      <w:r w:rsidR="005406C5" w:rsidRPr="00081737">
        <w:t xml:space="preserve"> </w:t>
      </w:r>
      <w:r w:rsidR="00992C89" w:rsidRPr="00081737">
        <w:t>assessment</w:t>
      </w:r>
      <w:r w:rsidR="005406C5" w:rsidRPr="00081737">
        <w:t xml:space="preserve">. </w:t>
      </w:r>
    </w:p>
    <w:p w14:paraId="21290140" w14:textId="040988EF" w:rsidR="001054F3" w:rsidRDefault="00E13512" w:rsidP="00F370E2">
      <w:pPr>
        <w:pStyle w:val="Heading2"/>
      </w:pPr>
      <w:r w:rsidRPr="00E13512">
        <w:t>Conclusion</w:t>
      </w:r>
    </w:p>
    <w:p w14:paraId="3AA89144" w14:textId="77777777" w:rsidR="003F7516" w:rsidRDefault="00925632" w:rsidP="003F7516">
      <w:pPr>
        <w:rPr>
          <w:rFonts w:ascii="Calibri" w:eastAsia="Times New Roman" w:hAnsi="Calibri" w:cs="Calibri"/>
          <w:color w:val="000000" w:themeColor="text1"/>
          <w:lang w:eastAsia="en-GB"/>
        </w:rPr>
      </w:pPr>
      <w:r>
        <w:t xml:space="preserve">This article aimed to increase awareness regarding the importance of understanding frailty as a </w:t>
      </w:r>
      <w:r w:rsidR="006D63CC">
        <w:t xml:space="preserve">condition </w:t>
      </w:r>
      <w:r>
        <w:t xml:space="preserve">in the vulnerable older patients. </w:t>
      </w:r>
      <w:r w:rsidR="003D6876">
        <w:rPr>
          <w:rFonts w:ascii="Calibri" w:eastAsia="Times New Roman" w:hAnsi="Calibri" w:cs="Calibri"/>
          <w:color w:val="000000" w:themeColor="text1"/>
          <w:lang w:eastAsia="en-GB"/>
        </w:rPr>
        <w:t xml:space="preserve">The aim of frailty assessment is to initiate the appropriate care to the most vulnerable and most importantly give individualised care to our patients. </w:t>
      </w:r>
      <w:r w:rsidR="003D6876">
        <w:t xml:space="preserve">There is a need for emergency nurses to </w:t>
      </w:r>
      <w:r>
        <w:t xml:space="preserve">identify </w:t>
      </w:r>
      <w:r w:rsidR="006D63CC">
        <w:t xml:space="preserve">frailty </w:t>
      </w:r>
      <w:r>
        <w:t xml:space="preserve">because although </w:t>
      </w:r>
      <w:r w:rsidR="006D63CC">
        <w:t xml:space="preserve">it </w:t>
      </w:r>
      <w:r>
        <w:t xml:space="preserve">can’t be eliminated, </w:t>
      </w:r>
      <w:r w:rsidR="00005EC8">
        <w:t xml:space="preserve">early identification and frailty specific care can reduce complications and improve patient outcome. </w:t>
      </w:r>
      <w:r>
        <w:t xml:space="preserve">The Clinical Frailty Scale </w:t>
      </w:r>
      <w:r w:rsidR="00005EC8">
        <w:t>is</w:t>
      </w:r>
      <w:r>
        <w:rPr>
          <w:rFonts w:ascii="Calibri" w:eastAsia="Times New Roman" w:hAnsi="Calibri" w:cs="Calibri"/>
          <w:color w:val="000000" w:themeColor="text1"/>
          <w:lang w:eastAsia="en-GB"/>
        </w:rPr>
        <w:t xml:space="preserve"> appropriate for the use in the </w:t>
      </w:r>
      <w:r w:rsidR="00D80A7F">
        <w:rPr>
          <w:rFonts w:ascii="Calibri" w:eastAsia="Times New Roman" w:hAnsi="Calibri" w:cs="Calibri"/>
          <w:color w:val="000000" w:themeColor="text1"/>
          <w:lang w:eastAsia="en-GB"/>
        </w:rPr>
        <w:t xml:space="preserve">ED </w:t>
      </w:r>
      <w:r w:rsidR="0085414F">
        <w:rPr>
          <w:rFonts w:ascii="Calibri" w:eastAsia="Times New Roman" w:hAnsi="Calibri" w:cs="Calibri"/>
          <w:color w:val="000000" w:themeColor="text1"/>
          <w:lang w:eastAsia="en-GB"/>
        </w:rPr>
        <w:t>and</w:t>
      </w:r>
      <w:r>
        <w:rPr>
          <w:rFonts w:ascii="Calibri" w:eastAsia="Times New Roman" w:hAnsi="Calibri" w:cs="Calibri"/>
          <w:color w:val="000000" w:themeColor="text1"/>
          <w:lang w:eastAsia="en-GB"/>
        </w:rPr>
        <w:t xml:space="preserve"> </w:t>
      </w:r>
      <w:r w:rsidR="000E2A31">
        <w:rPr>
          <w:rFonts w:ascii="Calibri" w:eastAsia="Times New Roman" w:hAnsi="Calibri" w:cs="Calibri"/>
          <w:color w:val="000000" w:themeColor="text1"/>
          <w:lang w:eastAsia="en-GB"/>
        </w:rPr>
        <w:t>predict</w:t>
      </w:r>
      <w:r w:rsidR="003D6876">
        <w:rPr>
          <w:rFonts w:ascii="Calibri" w:eastAsia="Times New Roman" w:hAnsi="Calibri" w:cs="Calibri"/>
          <w:color w:val="000000" w:themeColor="text1"/>
          <w:lang w:eastAsia="en-GB"/>
        </w:rPr>
        <w:t>s</w:t>
      </w:r>
      <w:r w:rsidR="000E2A31">
        <w:rPr>
          <w:rFonts w:ascii="Calibri" w:eastAsia="Times New Roman" w:hAnsi="Calibri" w:cs="Calibri"/>
          <w:color w:val="000000" w:themeColor="text1"/>
          <w:lang w:eastAsia="en-GB"/>
        </w:rPr>
        <w:t xml:space="preserve"> outcome. It is not a tool</w:t>
      </w:r>
      <w:r w:rsidR="00823B17">
        <w:rPr>
          <w:rFonts w:ascii="Calibri" w:eastAsia="Times New Roman" w:hAnsi="Calibri" w:cs="Calibri"/>
          <w:color w:val="000000" w:themeColor="text1"/>
          <w:lang w:eastAsia="en-GB"/>
        </w:rPr>
        <w:t xml:space="preserve"> to be used in isolation</w:t>
      </w:r>
      <w:r w:rsidR="00D80A7F">
        <w:rPr>
          <w:rFonts w:ascii="Calibri" w:eastAsia="Times New Roman" w:hAnsi="Calibri" w:cs="Calibri"/>
          <w:color w:val="000000" w:themeColor="text1"/>
          <w:lang w:eastAsia="en-GB"/>
        </w:rPr>
        <w:t xml:space="preserve"> of other clinical information</w:t>
      </w:r>
      <w:r w:rsidR="000E2A31">
        <w:rPr>
          <w:rFonts w:ascii="Calibri" w:eastAsia="Times New Roman" w:hAnsi="Calibri" w:cs="Calibri"/>
          <w:color w:val="000000" w:themeColor="text1"/>
          <w:lang w:eastAsia="en-GB"/>
        </w:rPr>
        <w:t xml:space="preserve"> but when done timely and appropriately it will help </w:t>
      </w:r>
      <w:r w:rsidR="00823B17">
        <w:rPr>
          <w:rFonts w:ascii="Calibri" w:eastAsia="Times New Roman" w:hAnsi="Calibri" w:cs="Calibri"/>
          <w:color w:val="000000" w:themeColor="text1"/>
          <w:lang w:eastAsia="en-GB"/>
        </w:rPr>
        <w:t xml:space="preserve">responsible healthcare professionals to make the correct decisions with regards to patient’s care. </w:t>
      </w:r>
      <w:r w:rsidR="000E2A31">
        <w:rPr>
          <w:rFonts w:ascii="Calibri" w:eastAsia="Times New Roman" w:hAnsi="Calibri" w:cs="Calibri"/>
          <w:color w:val="000000" w:themeColor="text1"/>
          <w:lang w:eastAsia="en-GB"/>
        </w:rPr>
        <w:t xml:space="preserve">    </w:t>
      </w:r>
    </w:p>
    <w:p w14:paraId="2777B16D" w14:textId="36D59457" w:rsidR="009934F0" w:rsidRPr="003F7516" w:rsidRDefault="009934F0" w:rsidP="003F7516">
      <w:pPr>
        <w:rPr>
          <w:rFonts w:ascii="Calibri" w:eastAsia="Times New Roman" w:hAnsi="Calibri" w:cs="Calibri"/>
          <w:color w:val="000000" w:themeColor="text1"/>
          <w:lang w:eastAsia="en-GB"/>
        </w:rPr>
      </w:pPr>
      <w:r w:rsidRPr="00930981">
        <w:rPr>
          <w:u w:val="single"/>
        </w:rPr>
        <w:t>Additional helpful resources:</w:t>
      </w:r>
    </w:p>
    <w:p w14:paraId="086ECEBF" w14:textId="1E784BC6" w:rsidR="007A6481" w:rsidRDefault="00E13512" w:rsidP="00882ACC">
      <w:pPr>
        <w:rPr>
          <w:rStyle w:val="Hyperlink"/>
        </w:rPr>
      </w:pPr>
      <w:r>
        <w:t xml:space="preserve">NHS Specialised Clinical Frailty Network </w:t>
      </w:r>
      <w:hyperlink r:id="rId11" w:history="1">
        <w:r>
          <w:rPr>
            <w:rStyle w:val="Hyperlink"/>
          </w:rPr>
          <w:t>Specialised Clinical Frailty Network (scfn.org.uk)</w:t>
        </w:r>
      </w:hyperlink>
    </w:p>
    <w:p w14:paraId="07FF9B1D" w14:textId="0B841A93" w:rsidR="007A6481" w:rsidRPr="007A6481" w:rsidRDefault="007A6481" w:rsidP="007A6481">
      <w:pPr>
        <w:rPr>
          <w:rStyle w:val="Hyperlink"/>
          <w:color w:val="auto"/>
          <w:u w:val="none"/>
        </w:rPr>
      </w:pPr>
      <w:r w:rsidRPr="007A6481">
        <w:rPr>
          <w:rStyle w:val="Hyperlink"/>
          <w:color w:val="auto"/>
          <w:u w:val="none"/>
        </w:rPr>
        <w:t>British Geriatric Society</w:t>
      </w:r>
      <w:r>
        <w:rPr>
          <w:rStyle w:val="Hyperlink"/>
          <w:color w:val="auto"/>
          <w:u w:val="none"/>
        </w:rPr>
        <w:t xml:space="preserve"> </w:t>
      </w:r>
      <w:hyperlink r:id="rId12" w:history="1">
        <w:r>
          <w:rPr>
            <w:rStyle w:val="Hyperlink"/>
          </w:rPr>
          <w:t>Frailty | British Geriatrics Society (bgs.org.uk)</w:t>
        </w:r>
      </w:hyperlink>
    </w:p>
    <w:p w14:paraId="42911669" w14:textId="0EF87783" w:rsidR="003E5125" w:rsidRDefault="007A6481" w:rsidP="007A6481">
      <w:r w:rsidRPr="007A6481">
        <w:rPr>
          <w:rStyle w:val="Hyperlink"/>
          <w:color w:val="auto"/>
          <w:u w:val="none"/>
        </w:rPr>
        <w:t>Royal College of Nursing</w:t>
      </w:r>
      <w:r w:rsidRPr="007A6481">
        <w:t xml:space="preserve"> </w:t>
      </w:r>
      <w:hyperlink r:id="rId13" w:history="1">
        <w:r w:rsidR="003E5125" w:rsidRPr="003E5125">
          <w:rPr>
            <w:rStyle w:val="Hyperlink"/>
          </w:rPr>
          <w:t>Frailty | Older People</w:t>
        </w:r>
      </w:hyperlink>
    </w:p>
    <w:p w14:paraId="1F03F13F" w14:textId="77777777" w:rsidR="00E730EF" w:rsidRDefault="00E730EF" w:rsidP="00882ACC">
      <w:pPr>
        <w:rPr>
          <w:u w:val="single"/>
        </w:rPr>
      </w:pPr>
    </w:p>
    <w:p w14:paraId="4EED3E29" w14:textId="77777777" w:rsidR="00E730EF" w:rsidRDefault="00E730EF" w:rsidP="00882ACC">
      <w:pPr>
        <w:rPr>
          <w:u w:val="single"/>
        </w:rPr>
      </w:pPr>
    </w:p>
    <w:p w14:paraId="715D6049" w14:textId="77777777" w:rsidR="00E730EF" w:rsidRDefault="00E730EF" w:rsidP="00882ACC">
      <w:pPr>
        <w:rPr>
          <w:u w:val="single"/>
        </w:rPr>
      </w:pPr>
    </w:p>
    <w:p w14:paraId="0FA8BD9E" w14:textId="6FD9B85D" w:rsidR="00E730EF" w:rsidRDefault="00E730EF" w:rsidP="00882ACC">
      <w:pPr>
        <w:rPr>
          <w:u w:val="single"/>
        </w:rPr>
      </w:pPr>
    </w:p>
    <w:p w14:paraId="0E82BFC0" w14:textId="4902D4E2" w:rsidR="003F7516" w:rsidRDefault="003F7516" w:rsidP="00882ACC">
      <w:pPr>
        <w:rPr>
          <w:u w:val="single"/>
        </w:rPr>
      </w:pPr>
    </w:p>
    <w:p w14:paraId="0CADBB6B" w14:textId="7FFBBF20" w:rsidR="003F7516" w:rsidRDefault="003F7516" w:rsidP="00882ACC">
      <w:pPr>
        <w:rPr>
          <w:u w:val="single"/>
        </w:rPr>
      </w:pPr>
    </w:p>
    <w:p w14:paraId="77E024DC" w14:textId="6CF2FE09" w:rsidR="003F7516" w:rsidRDefault="003F7516" w:rsidP="00882ACC">
      <w:pPr>
        <w:rPr>
          <w:u w:val="single"/>
        </w:rPr>
      </w:pPr>
    </w:p>
    <w:p w14:paraId="410891AF" w14:textId="00C9CE81" w:rsidR="003F7516" w:rsidRDefault="003F7516" w:rsidP="00882ACC">
      <w:pPr>
        <w:rPr>
          <w:u w:val="single"/>
        </w:rPr>
      </w:pPr>
    </w:p>
    <w:p w14:paraId="5903DBDD" w14:textId="0416A58D" w:rsidR="003F7516" w:rsidRDefault="003F7516" w:rsidP="00882ACC">
      <w:pPr>
        <w:rPr>
          <w:u w:val="single"/>
        </w:rPr>
      </w:pPr>
    </w:p>
    <w:p w14:paraId="73D9BF40" w14:textId="038B00D3" w:rsidR="003F7516" w:rsidRDefault="003F7516" w:rsidP="00882ACC">
      <w:pPr>
        <w:rPr>
          <w:u w:val="single"/>
        </w:rPr>
      </w:pPr>
    </w:p>
    <w:p w14:paraId="06AB5AD3" w14:textId="77777777" w:rsidR="003F7516" w:rsidRDefault="003F7516" w:rsidP="00882ACC">
      <w:pPr>
        <w:rPr>
          <w:u w:val="single"/>
        </w:rPr>
      </w:pPr>
    </w:p>
    <w:p w14:paraId="528F09CF" w14:textId="2BC6CC4D" w:rsidR="000E7FD8" w:rsidRPr="00B515F7" w:rsidRDefault="004F21EE" w:rsidP="003D6031">
      <w:pPr>
        <w:pStyle w:val="Heading2"/>
        <w:rPr>
          <w:color w:val="0000FF"/>
        </w:rPr>
      </w:pPr>
      <w:r>
        <w:lastRenderedPageBreak/>
        <w:t>R</w:t>
      </w:r>
      <w:r w:rsidR="000E7FD8" w:rsidRPr="000E7FD8">
        <w:t>eference</w:t>
      </w:r>
      <w:r w:rsidR="003D6031">
        <w:t>s</w:t>
      </w:r>
    </w:p>
    <w:p w14:paraId="1F927659" w14:textId="6BBC5BF1" w:rsidR="00EA6190" w:rsidRPr="00882ACC" w:rsidRDefault="00EA6190" w:rsidP="00882ACC">
      <w:pPr>
        <w:spacing w:line="240" w:lineRule="auto"/>
        <w:rPr>
          <w:rStyle w:val="Emphasis"/>
          <w:rFonts w:ascii="Calibri" w:hAnsi="Calibri" w:cs="Calibri"/>
          <w:i w:val="0"/>
          <w:iCs w:val="0"/>
          <w:color w:val="000000" w:themeColor="text1"/>
          <w:shd w:val="clear" w:color="auto" w:fill="FFFFFF"/>
        </w:rPr>
      </w:pPr>
      <w:r w:rsidRPr="00882ACC">
        <w:rPr>
          <w:rStyle w:val="Emphasis"/>
          <w:rFonts w:ascii="Calibri" w:hAnsi="Calibri" w:cs="Calibri"/>
          <w:i w:val="0"/>
          <w:iCs w:val="0"/>
          <w:color w:val="000000" w:themeColor="text1"/>
          <w:shd w:val="clear" w:color="auto" w:fill="FFFFFF"/>
        </w:rPr>
        <w:t xml:space="preserve">Ahmed A, </w:t>
      </w:r>
      <w:proofErr w:type="spellStart"/>
      <w:r w:rsidRPr="00882ACC">
        <w:rPr>
          <w:rStyle w:val="Emphasis"/>
          <w:rFonts w:ascii="Calibri" w:hAnsi="Calibri" w:cs="Calibri"/>
          <w:i w:val="0"/>
          <w:iCs w:val="0"/>
          <w:color w:val="000000" w:themeColor="text1"/>
          <w:shd w:val="clear" w:color="auto" w:fill="FFFFFF"/>
        </w:rPr>
        <w:t>Sorajja</w:t>
      </w:r>
      <w:proofErr w:type="spellEnd"/>
      <w:r w:rsidRPr="00882ACC">
        <w:rPr>
          <w:rStyle w:val="Emphasis"/>
          <w:rFonts w:ascii="Calibri" w:hAnsi="Calibri" w:cs="Calibri"/>
          <w:i w:val="0"/>
          <w:iCs w:val="0"/>
          <w:color w:val="000000" w:themeColor="text1"/>
          <w:shd w:val="clear" w:color="auto" w:fill="FFFFFF"/>
        </w:rPr>
        <w:t xml:space="preserve"> P, Pai A, et al (2016). Prospective evaluation of the eyeball test for assessing frailty in patients with valvular heart disease. Journal of the American College of Cardiology. 25, 2911-2912. https://doi.org/10.1016/j.jacc.2016.10.016 </w:t>
      </w:r>
    </w:p>
    <w:p w14:paraId="5A154284" w14:textId="106C234A" w:rsidR="006314B6" w:rsidRPr="00882ACC" w:rsidRDefault="006314B6" w:rsidP="00882ACC">
      <w:pPr>
        <w:spacing w:line="240" w:lineRule="auto"/>
        <w:rPr>
          <w:rFonts w:ascii="Calibri" w:hAnsi="Calibri" w:cs="Calibri"/>
          <w:color w:val="000000" w:themeColor="text1"/>
          <w:spacing w:val="-3"/>
          <w:shd w:val="clear" w:color="auto" w:fill="FFFFFF"/>
        </w:rPr>
      </w:pPr>
      <w:proofErr w:type="spellStart"/>
      <w:r w:rsidRPr="00882ACC">
        <w:rPr>
          <w:rStyle w:val="Emphasis"/>
          <w:rFonts w:ascii="Calibri" w:hAnsi="Calibri" w:cs="Calibri"/>
          <w:i w:val="0"/>
          <w:iCs w:val="0"/>
          <w:color w:val="000000" w:themeColor="text1"/>
          <w:shd w:val="clear" w:color="auto" w:fill="FFFFFF"/>
        </w:rPr>
        <w:t>Aplin</w:t>
      </w:r>
      <w:proofErr w:type="spellEnd"/>
      <w:r w:rsidRPr="00882ACC">
        <w:rPr>
          <w:rStyle w:val="Emphasis"/>
          <w:rFonts w:ascii="Calibri" w:hAnsi="Calibri" w:cs="Calibri"/>
          <w:i w:val="0"/>
          <w:iCs w:val="0"/>
          <w:color w:val="000000" w:themeColor="text1"/>
          <w:shd w:val="clear" w:color="auto" w:fill="FFFFFF"/>
        </w:rPr>
        <w:t xml:space="preserve"> N (2021). Emergency Nurse. Looking out for</w:t>
      </w:r>
      <w:r w:rsidR="00DA0108" w:rsidRPr="00882ACC">
        <w:rPr>
          <w:rStyle w:val="Emphasis"/>
          <w:rFonts w:ascii="Calibri" w:hAnsi="Calibri" w:cs="Calibri"/>
          <w:i w:val="0"/>
          <w:iCs w:val="0"/>
          <w:color w:val="000000" w:themeColor="text1"/>
          <w:shd w:val="clear" w:color="auto" w:fill="FFFFFF"/>
        </w:rPr>
        <w:t xml:space="preserve"> signs of</w:t>
      </w:r>
      <w:r w:rsidRPr="00882ACC">
        <w:rPr>
          <w:rStyle w:val="Emphasis"/>
          <w:rFonts w:ascii="Calibri" w:hAnsi="Calibri" w:cs="Calibri"/>
          <w:i w:val="0"/>
          <w:iCs w:val="0"/>
          <w:color w:val="000000" w:themeColor="text1"/>
          <w:shd w:val="clear" w:color="auto" w:fill="FFFFFF"/>
        </w:rPr>
        <w:t xml:space="preserve"> frailty</w:t>
      </w:r>
      <w:r w:rsidR="00DA0108" w:rsidRPr="00882ACC">
        <w:rPr>
          <w:rStyle w:val="Emphasis"/>
          <w:rFonts w:ascii="Calibri" w:hAnsi="Calibri" w:cs="Calibri"/>
          <w:i w:val="0"/>
          <w:iCs w:val="0"/>
          <w:color w:val="000000" w:themeColor="text1"/>
          <w:shd w:val="clear" w:color="auto" w:fill="FFFFFF"/>
        </w:rPr>
        <w:t xml:space="preserve"> in older people </w:t>
      </w:r>
      <w:r w:rsidRPr="00882ACC">
        <w:rPr>
          <w:rStyle w:val="Emphasis"/>
          <w:rFonts w:ascii="Calibri" w:hAnsi="Calibri" w:cs="Calibri"/>
          <w:i w:val="0"/>
          <w:iCs w:val="0"/>
          <w:color w:val="000000" w:themeColor="text1"/>
          <w:shd w:val="clear" w:color="auto" w:fill="FFFFFF"/>
        </w:rPr>
        <w:t xml:space="preserve">in emergency care is vital. </w:t>
      </w:r>
      <w:r w:rsidR="00DA0108" w:rsidRPr="00882ACC">
        <w:rPr>
          <w:rStyle w:val="Emphasis"/>
          <w:rFonts w:ascii="Calibri" w:hAnsi="Calibri" w:cs="Calibri"/>
          <w:i w:val="0"/>
          <w:iCs w:val="0"/>
          <w:color w:val="000000" w:themeColor="text1"/>
          <w:shd w:val="clear" w:color="auto" w:fill="FFFFFF"/>
        </w:rPr>
        <w:t xml:space="preserve">29, 1, 15-15. </w:t>
      </w:r>
      <w:proofErr w:type="spellStart"/>
      <w:r w:rsidR="00DA0108" w:rsidRPr="00882ACC">
        <w:rPr>
          <w:rStyle w:val="Strong"/>
          <w:rFonts w:ascii="Calibri" w:hAnsi="Calibri" w:cs="Calibri"/>
          <w:b w:val="0"/>
          <w:bCs w:val="0"/>
          <w:color w:val="000000" w:themeColor="text1"/>
          <w:spacing w:val="-3"/>
          <w:shd w:val="clear" w:color="auto" w:fill="FFFFFF"/>
        </w:rPr>
        <w:t>doi</w:t>
      </w:r>
      <w:proofErr w:type="spellEnd"/>
      <w:r w:rsidR="00DA0108" w:rsidRPr="00882ACC">
        <w:rPr>
          <w:rStyle w:val="Strong"/>
          <w:rFonts w:ascii="Calibri" w:hAnsi="Calibri" w:cs="Calibri"/>
          <w:b w:val="0"/>
          <w:bCs w:val="0"/>
          <w:color w:val="000000" w:themeColor="text1"/>
          <w:spacing w:val="-3"/>
          <w:shd w:val="clear" w:color="auto" w:fill="FFFFFF"/>
        </w:rPr>
        <w:t>:</w:t>
      </w:r>
      <w:r w:rsidR="00DA0108" w:rsidRPr="00882ACC">
        <w:rPr>
          <w:rFonts w:ascii="Calibri" w:hAnsi="Calibri" w:cs="Calibri"/>
          <w:b/>
          <w:bCs/>
          <w:color w:val="000000" w:themeColor="text1"/>
          <w:spacing w:val="-3"/>
          <w:shd w:val="clear" w:color="auto" w:fill="FFFFFF"/>
        </w:rPr>
        <w:t> </w:t>
      </w:r>
      <w:r w:rsidR="00DA0108" w:rsidRPr="00882ACC">
        <w:rPr>
          <w:rFonts w:ascii="Calibri" w:hAnsi="Calibri" w:cs="Calibri"/>
          <w:color w:val="000000" w:themeColor="text1"/>
          <w:spacing w:val="-3"/>
          <w:shd w:val="clear" w:color="auto" w:fill="FFFFFF"/>
        </w:rPr>
        <w:t>10.7748/en.29.1.</w:t>
      </w:r>
      <w:proofErr w:type="gramStart"/>
      <w:r w:rsidR="00DA0108" w:rsidRPr="00882ACC">
        <w:rPr>
          <w:rFonts w:ascii="Calibri" w:hAnsi="Calibri" w:cs="Calibri"/>
          <w:color w:val="000000" w:themeColor="text1"/>
          <w:spacing w:val="-3"/>
          <w:shd w:val="clear" w:color="auto" w:fill="FFFFFF"/>
        </w:rPr>
        <w:t>15.s</w:t>
      </w:r>
      <w:proofErr w:type="gramEnd"/>
      <w:r w:rsidR="00DA0108" w:rsidRPr="00882ACC">
        <w:rPr>
          <w:rFonts w:ascii="Calibri" w:hAnsi="Calibri" w:cs="Calibri"/>
          <w:color w:val="000000" w:themeColor="text1"/>
          <w:spacing w:val="-3"/>
          <w:shd w:val="clear" w:color="auto" w:fill="FFFFFF"/>
        </w:rPr>
        <w:t>13</w:t>
      </w:r>
    </w:p>
    <w:p w14:paraId="5A29415E" w14:textId="19559318" w:rsidR="00553D49" w:rsidRPr="00882ACC" w:rsidRDefault="00A95022" w:rsidP="00882ACC">
      <w:pPr>
        <w:spacing w:line="240" w:lineRule="auto"/>
        <w:rPr>
          <w:rFonts w:ascii="Calibri" w:hAnsi="Calibri" w:cs="Calibri"/>
          <w:color w:val="000000" w:themeColor="text1"/>
        </w:rPr>
      </w:pPr>
      <w:r w:rsidRPr="00882ACC">
        <w:rPr>
          <w:rFonts w:ascii="Calibri" w:hAnsi="Calibri" w:cs="Calibri"/>
          <w:color w:val="000000" w:themeColor="text1"/>
          <w:spacing w:val="-3"/>
          <w:shd w:val="clear" w:color="auto" w:fill="FFFFFF"/>
        </w:rPr>
        <w:t xml:space="preserve">British Geriatric Society (2014). Fit for Frailty Part 1. </w:t>
      </w:r>
      <w:r w:rsidR="00553D49" w:rsidRPr="00882ACC">
        <w:rPr>
          <w:rFonts w:ascii="Calibri" w:hAnsi="Calibri" w:cs="Calibri"/>
          <w:color w:val="000000" w:themeColor="text1"/>
          <w:spacing w:val="-3"/>
          <w:shd w:val="clear" w:color="auto" w:fill="FFFFFF"/>
        </w:rPr>
        <w:t xml:space="preserve">https://www.bgs.org.uk/sites/default/files/content/resources/files/2018-05-23/fff_full.pdf </w:t>
      </w:r>
      <w:r w:rsidR="00553D49" w:rsidRPr="00882ACC">
        <w:rPr>
          <w:rFonts w:ascii="Calibri" w:hAnsi="Calibri" w:cs="Calibri"/>
          <w:color w:val="000000" w:themeColor="text1"/>
        </w:rPr>
        <w:t xml:space="preserve">(Last Accessed 13 November 2022.) </w:t>
      </w:r>
    </w:p>
    <w:p w14:paraId="06B811C7" w14:textId="0CF1ADCB" w:rsidR="00944CCD" w:rsidRPr="00882ACC" w:rsidRDefault="00944CCD" w:rsidP="00882ACC">
      <w:pPr>
        <w:spacing w:line="240" w:lineRule="auto"/>
        <w:rPr>
          <w:rFonts w:cstheme="minorHAnsi"/>
          <w:color w:val="000000" w:themeColor="text1"/>
        </w:rPr>
      </w:pPr>
      <w:proofErr w:type="spellStart"/>
      <w:r w:rsidRPr="00882ACC">
        <w:rPr>
          <w:rFonts w:cstheme="minorHAnsi"/>
          <w:color w:val="000000" w:themeColor="text1"/>
        </w:rPr>
        <w:t>Boreskie</w:t>
      </w:r>
      <w:proofErr w:type="spellEnd"/>
      <w:r w:rsidRPr="00882ACC">
        <w:rPr>
          <w:rFonts w:cstheme="minorHAnsi"/>
          <w:color w:val="000000" w:themeColor="text1"/>
        </w:rPr>
        <w:t xml:space="preserve"> KF, Hay JL, </w:t>
      </w:r>
      <w:proofErr w:type="spellStart"/>
      <w:r w:rsidRPr="00882ACC">
        <w:rPr>
          <w:rFonts w:cstheme="minorHAnsi"/>
          <w:color w:val="000000" w:themeColor="text1"/>
        </w:rPr>
        <w:t>Boreskie</w:t>
      </w:r>
      <w:proofErr w:type="spellEnd"/>
      <w:r w:rsidRPr="00882ACC">
        <w:rPr>
          <w:rFonts w:cstheme="minorHAnsi"/>
          <w:color w:val="000000" w:themeColor="text1"/>
        </w:rPr>
        <w:t xml:space="preserve"> PE, et al (2022). Frailty-aware care: giving value to frailty assessment across different healthcare settings. BMC Geriatrics. 22, 13. </w:t>
      </w:r>
      <w:r w:rsidRPr="00882ACC">
        <w:rPr>
          <w:rFonts w:cstheme="minorHAnsi"/>
          <w:color w:val="000000" w:themeColor="text1"/>
          <w:shd w:val="clear" w:color="auto" w:fill="FFFFFF"/>
        </w:rPr>
        <w:t>https://doi.org/10.1186/s12877-021-02722-9</w:t>
      </w:r>
    </w:p>
    <w:p w14:paraId="5C53F576" w14:textId="202A2AC2" w:rsidR="000E3C79" w:rsidRPr="00882ACC" w:rsidRDefault="000E3C79" w:rsidP="00882ACC">
      <w:pPr>
        <w:spacing w:line="240" w:lineRule="auto"/>
        <w:rPr>
          <w:rFonts w:ascii="Calibri" w:hAnsi="Calibri" w:cs="Calibri"/>
          <w:color w:val="000000" w:themeColor="text1"/>
          <w:spacing w:val="-3"/>
          <w:shd w:val="clear" w:color="auto" w:fill="FFFFFF"/>
        </w:rPr>
      </w:pPr>
      <w:r w:rsidRPr="00882ACC">
        <w:rPr>
          <w:rFonts w:ascii="Calibri" w:hAnsi="Calibri" w:cs="Calibri"/>
          <w:color w:val="000000" w:themeColor="text1"/>
          <w:spacing w:val="-3"/>
          <w:shd w:val="clear" w:color="auto" w:fill="FFFFFF"/>
        </w:rPr>
        <w:t xml:space="preserve">Brousseau AA, Dent E, Hubbard R, et al (2018). Identification of older adults with frailty in the Emergency Department using a frailty index: results from a multinational study. Age and Ageing. 47,2, 242-248. </w:t>
      </w:r>
      <w:hyperlink r:id="rId14" w:history="1">
        <w:r w:rsidR="00553D49" w:rsidRPr="00882ACC">
          <w:rPr>
            <w:rStyle w:val="Hyperlink"/>
            <w:rFonts w:ascii="Calibri" w:hAnsi="Calibri" w:cs="Calibri"/>
            <w:color w:val="000000" w:themeColor="text1"/>
            <w:spacing w:val="-3"/>
            <w:u w:val="none"/>
            <w:shd w:val="clear" w:color="auto" w:fill="FFFFFF"/>
          </w:rPr>
          <w:t>https://doi.org/10.1093/ageing/afx168</w:t>
        </w:r>
      </w:hyperlink>
    </w:p>
    <w:p w14:paraId="5DD2F036" w14:textId="5593360F" w:rsidR="00553D49" w:rsidRPr="00882ACC" w:rsidRDefault="00553D49" w:rsidP="00882ACC">
      <w:pPr>
        <w:spacing w:line="240" w:lineRule="auto"/>
        <w:rPr>
          <w:rFonts w:cstheme="minorHAnsi"/>
          <w:color w:val="000000" w:themeColor="text1"/>
          <w:spacing w:val="-3"/>
          <w:shd w:val="clear" w:color="auto" w:fill="FFFFFF"/>
        </w:rPr>
      </w:pPr>
      <w:proofErr w:type="spellStart"/>
      <w:r w:rsidRPr="00882ACC">
        <w:rPr>
          <w:rFonts w:cstheme="minorHAnsi"/>
          <w:color w:val="000000" w:themeColor="text1"/>
          <w:spacing w:val="-3"/>
          <w:shd w:val="clear" w:color="auto" w:fill="FFFFFF"/>
        </w:rPr>
        <w:t>Cesari</w:t>
      </w:r>
      <w:proofErr w:type="spellEnd"/>
      <w:r w:rsidRPr="00882ACC">
        <w:rPr>
          <w:rFonts w:cstheme="minorHAnsi"/>
          <w:color w:val="000000" w:themeColor="text1"/>
          <w:spacing w:val="-3"/>
          <w:shd w:val="clear" w:color="auto" w:fill="FFFFFF"/>
        </w:rPr>
        <w:t xml:space="preserve"> M, </w:t>
      </w:r>
      <w:proofErr w:type="spellStart"/>
      <w:r w:rsidRPr="00882ACC">
        <w:rPr>
          <w:rFonts w:cstheme="minorHAnsi"/>
          <w:color w:val="000000" w:themeColor="text1"/>
          <w:spacing w:val="-3"/>
          <w:shd w:val="clear" w:color="auto" w:fill="FFFFFF"/>
        </w:rPr>
        <w:t>Gambassi</w:t>
      </w:r>
      <w:proofErr w:type="spellEnd"/>
      <w:r w:rsidRPr="00882ACC">
        <w:rPr>
          <w:rFonts w:cstheme="minorHAnsi"/>
          <w:color w:val="000000" w:themeColor="text1"/>
          <w:spacing w:val="-3"/>
          <w:shd w:val="clear" w:color="auto" w:fill="FFFFFF"/>
        </w:rPr>
        <w:t xml:space="preserve"> G, </w:t>
      </w:r>
      <w:proofErr w:type="spellStart"/>
      <w:r w:rsidRPr="00882ACC">
        <w:rPr>
          <w:rFonts w:cstheme="minorHAnsi"/>
          <w:color w:val="000000" w:themeColor="text1"/>
          <w:spacing w:val="-3"/>
          <w:shd w:val="clear" w:color="auto" w:fill="FFFFFF"/>
        </w:rPr>
        <w:t>Abellan</w:t>
      </w:r>
      <w:proofErr w:type="spellEnd"/>
      <w:r w:rsidRPr="00882ACC">
        <w:rPr>
          <w:rFonts w:cstheme="minorHAnsi"/>
          <w:color w:val="000000" w:themeColor="text1"/>
          <w:spacing w:val="-3"/>
          <w:shd w:val="clear" w:color="auto" w:fill="FFFFFF"/>
        </w:rPr>
        <w:t xml:space="preserve"> van Kan G, et al (2014). The frailty phenotype and the frailty index different instruments for different purposes. Age and Ageing. 43, 10-12. </w:t>
      </w:r>
      <w:proofErr w:type="spellStart"/>
      <w:r w:rsidRPr="00882ACC">
        <w:rPr>
          <w:rFonts w:cstheme="minorHAnsi"/>
          <w:color w:val="000000" w:themeColor="text1"/>
          <w:shd w:val="clear" w:color="auto" w:fill="FFFFFF"/>
        </w:rPr>
        <w:t>doi</w:t>
      </w:r>
      <w:proofErr w:type="spellEnd"/>
      <w:r w:rsidRPr="00882ACC">
        <w:rPr>
          <w:rFonts w:cstheme="minorHAnsi"/>
          <w:color w:val="000000" w:themeColor="text1"/>
          <w:shd w:val="clear" w:color="auto" w:fill="FFFFFF"/>
        </w:rPr>
        <w:t>: 10.1093/ageing/aft160</w:t>
      </w:r>
    </w:p>
    <w:p w14:paraId="08BB0710" w14:textId="0FCAC3D4" w:rsidR="00BF4813" w:rsidRPr="00882ACC" w:rsidRDefault="00BF4813" w:rsidP="00882ACC">
      <w:pPr>
        <w:spacing w:line="240" w:lineRule="auto"/>
        <w:rPr>
          <w:rFonts w:ascii="Calibri" w:hAnsi="Calibri" w:cs="Calibri"/>
          <w:i/>
          <w:iCs/>
          <w:color w:val="000000" w:themeColor="text1"/>
        </w:rPr>
      </w:pPr>
      <w:r w:rsidRPr="00882ACC">
        <w:rPr>
          <w:rStyle w:val="Emphasis"/>
          <w:rFonts w:ascii="Calibri" w:hAnsi="Calibri" w:cs="Calibri"/>
          <w:i w:val="0"/>
          <w:iCs w:val="0"/>
          <w:color w:val="000000" w:themeColor="text1"/>
          <w:shd w:val="clear" w:color="auto" w:fill="FFFFFF"/>
        </w:rPr>
        <w:t xml:space="preserve">Clegg A, Young J, </w:t>
      </w:r>
      <w:proofErr w:type="spellStart"/>
      <w:r w:rsidRPr="00882ACC">
        <w:rPr>
          <w:rStyle w:val="Emphasis"/>
          <w:rFonts w:ascii="Calibri" w:hAnsi="Calibri" w:cs="Calibri"/>
          <w:i w:val="0"/>
          <w:iCs w:val="0"/>
          <w:color w:val="000000" w:themeColor="text1"/>
          <w:shd w:val="clear" w:color="auto" w:fill="FFFFFF"/>
        </w:rPr>
        <w:t>Iliffe</w:t>
      </w:r>
      <w:proofErr w:type="spellEnd"/>
      <w:r w:rsidR="00846282" w:rsidRPr="00882ACC">
        <w:rPr>
          <w:rStyle w:val="Emphasis"/>
          <w:rFonts w:ascii="Calibri" w:hAnsi="Calibri" w:cs="Calibri"/>
          <w:i w:val="0"/>
          <w:iCs w:val="0"/>
          <w:color w:val="000000" w:themeColor="text1"/>
          <w:shd w:val="clear" w:color="auto" w:fill="FFFFFF"/>
        </w:rPr>
        <w:t xml:space="preserve"> </w:t>
      </w:r>
      <w:r w:rsidRPr="00882ACC">
        <w:rPr>
          <w:rStyle w:val="Emphasis"/>
          <w:rFonts w:ascii="Calibri" w:hAnsi="Calibri" w:cs="Calibri"/>
          <w:i w:val="0"/>
          <w:iCs w:val="0"/>
          <w:color w:val="000000" w:themeColor="text1"/>
          <w:shd w:val="clear" w:color="auto" w:fill="FFFFFF"/>
        </w:rPr>
        <w:t>S</w:t>
      </w:r>
      <w:r w:rsidR="00846282" w:rsidRPr="00882ACC">
        <w:rPr>
          <w:rStyle w:val="Emphasis"/>
          <w:rFonts w:ascii="Calibri" w:hAnsi="Calibri" w:cs="Calibri"/>
          <w:i w:val="0"/>
          <w:iCs w:val="0"/>
          <w:color w:val="000000" w:themeColor="text1"/>
          <w:shd w:val="clear" w:color="auto" w:fill="FFFFFF"/>
        </w:rPr>
        <w:t>,</w:t>
      </w:r>
      <w:r w:rsidRPr="00882ACC">
        <w:rPr>
          <w:rStyle w:val="Emphasis"/>
          <w:rFonts w:ascii="Calibri" w:hAnsi="Calibri" w:cs="Calibri"/>
          <w:i w:val="0"/>
          <w:iCs w:val="0"/>
          <w:color w:val="000000" w:themeColor="text1"/>
          <w:shd w:val="clear" w:color="auto" w:fill="FFFFFF"/>
        </w:rPr>
        <w:t xml:space="preserve"> et al (2013). Frailty in elderly people. The Lancet. 381, 9868, 752-762</w:t>
      </w:r>
      <w:r w:rsidR="00105F67" w:rsidRPr="00882ACC">
        <w:rPr>
          <w:rStyle w:val="Emphasis"/>
          <w:rFonts w:ascii="Calibri" w:hAnsi="Calibri" w:cs="Calibri"/>
          <w:i w:val="0"/>
          <w:iCs w:val="0"/>
          <w:color w:val="000000" w:themeColor="text1"/>
          <w:shd w:val="clear" w:color="auto" w:fill="FFFFFF"/>
        </w:rPr>
        <w:t xml:space="preserve">. </w:t>
      </w:r>
      <w:proofErr w:type="spellStart"/>
      <w:r w:rsidR="00105F67" w:rsidRPr="00882ACC">
        <w:rPr>
          <w:rFonts w:ascii="Calibri" w:hAnsi="Calibri" w:cs="Calibri"/>
          <w:color w:val="000000" w:themeColor="text1"/>
          <w:shd w:val="clear" w:color="auto" w:fill="FFFFFF"/>
        </w:rPr>
        <w:t>doi</w:t>
      </w:r>
      <w:proofErr w:type="spellEnd"/>
      <w:r w:rsidR="00105F67" w:rsidRPr="00882ACC">
        <w:rPr>
          <w:rFonts w:ascii="Calibri" w:hAnsi="Calibri" w:cs="Calibri"/>
          <w:color w:val="000000" w:themeColor="text1"/>
          <w:shd w:val="clear" w:color="auto" w:fill="FFFFFF"/>
        </w:rPr>
        <w:t>: </w:t>
      </w:r>
      <w:hyperlink r:id="rId15" w:tgtFrame="_blank" w:history="1">
        <w:r w:rsidR="00105F67" w:rsidRPr="00882ACC">
          <w:rPr>
            <w:rStyle w:val="Hyperlink"/>
            <w:rFonts w:ascii="Calibri" w:hAnsi="Calibri" w:cs="Calibri"/>
            <w:color w:val="000000" w:themeColor="text1"/>
            <w:u w:val="none"/>
            <w:shd w:val="clear" w:color="auto" w:fill="FFFFFF"/>
          </w:rPr>
          <w:t>10.1016/S0140-6736(12)62167-9</w:t>
        </w:r>
      </w:hyperlink>
    </w:p>
    <w:p w14:paraId="1D12653C" w14:textId="5EFAD959" w:rsidR="004A0471" w:rsidRDefault="000E7FD8" w:rsidP="00882ACC">
      <w:pPr>
        <w:spacing w:line="240" w:lineRule="auto"/>
        <w:rPr>
          <w:rStyle w:val="Hyperlink"/>
          <w:rFonts w:ascii="Calibri" w:hAnsi="Calibri" w:cs="Calibri"/>
          <w:color w:val="000000" w:themeColor="text1"/>
          <w:u w:val="none"/>
        </w:rPr>
      </w:pPr>
      <w:r w:rsidRPr="00882ACC">
        <w:rPr>
          <w:rStyle w:val="HTMLCite"/>
          <w:rFonts w:ascii="Calibri" w:hAnsi="Calibri" w:cs="Calibri"/>
          <w:i w:val="0"/>
          <w:iCs w:val="0"/>
          <w:color w:val="000000" w:themeColor="text1"/>
          <w:shd w:val="clear" w:color="auto" w:fill="FFFFFF"/>
        </w:rPr>
        <w:t>Cunha A, Veronese N, de Melo Borges S, et al</w:t>
      </w:r>
      <w:r w:rsidR="002361E7" w:rsidRPr="00882ACC">
        <w:rPr>
          <w:rStyle w:val="HTMLCite"/>
          <w:rFonts w:ascii="Calibri" w:hAnsi="Calibri" w:cs="Calibri"/>
          <w:i w:val="0"/>
          <w:iCs w:val="0"/>
          <w:color w:val="000000" w:themeColor="text1"/>
          <w:shd w:val="clear" w:color="auto" w:fill="FFFFFF"/>
        </w:rPr>
        <w:t xml:space="preserve"> (2019)</w:t>
      </w:r>
      <w:r w:rsidRPr="00882ACC">
        <w:rPr>
          <w:rStyle w:val="HTMLCite"/>
          <w:rFonts w:ascii="Calibri" w:hAnsi="Calibri" w:cs="Calibri"/>
          <w:i w:val="0"/>
          <w:iCs w:val="0"/>
          <w:color w:val="000000" w:themeColor="text1"/>
          <w:shd w:val="clear" w:color="auto" w:fill="FFFFFF"/>
        </w:rPr>
        <w:t xml:space="preserve"> </w:t>
      </w:r>
      <w:r w:rsidRPr="00882ACC">
        <w:rPr>
          <w:rStyle w:val="cit-article-title"/>
          <w:rFonts w:ascii="Calibri" w:hAnsi="Calibri" w:cs="Calibri"/>
          <w:color w:val="000000" w:themeColor="text1"/>
          <w:shd w:val="clear" w:color="auto" w:fill="FFFFFF"/>
        </w:rPr>
        <w:t>Frailty as a predictor of adverse outcomes in</w:t>
      </w:r>
      <w:r w:rsidR="00481306" w:rsidRPr="00882ACC">
        <w:rPr>
          <w:rStyle w:val="cit-article-title"/>
          <w:rFonts w:ascii="Calibri" w:hAnsi="Calibri" w:cs="Calibri"/>
          <w:color w:val="000000" w:themeColor="text1"/>
          <w:shd w:val="clear" w:color="auto" w:fill="FFFFFF"/>
        </w:rPr>
        <w:t xml:space="preserve"> </w:t>
      </w:r>
      <w:r w:rsidRPr="00882ACC">
        <w:rPr>
          <w:rStyle w:val="cit-article-title"/>
          <w:rFonts w:ascii="Calibri" w:hAnsi="Calibri" w:cs="Calibri"/>
          <w:color w:val="000000" w:themeColor="text1"/>
          <w:shd w:val="clear" w:color="auto" w:fill="FFFFFF"/>
        </w:rPr>
        <w:t>hospitalized older adults: a systematic review and meta-analysis</w:t>
      </w:r>
      <w:r w:rsidRPr="00882ACC">
        <w:rPr>
          <w:rStyle w:val="HTMLCite"/>
          <w:rFonts w:ascii="Calibri" w:hAnsi="Calibri" w:cs="Calibri"/>
          <w:i w:val="0"/>
          <w:iCs w:val="0"/>
          <w:color w:val="000000" w:themeColor="text1"/>
          <w:shd w:val="clear" w:color="auto" w:fill="FFFFFF"/>
        </w:rPr>
        <w:t>. Ageing Res</w:t>
      </w:r>
      <w:r w:rsidR="00481306" w:rsidRPr="00882ACC">
        <w:rPr>
          <w:rStyle w:val="HTMLCite"/>
          <w:rFonts w:ascii="Calibri" w:hAnsi="Calibri" w:cs="Calibri"/>
          <w:i w:val="0"/>
          <w:iCs w:val="0"/>
          <w:color w:val="000000" w:themeColor="text1"/>
          <w:shd w:val="clear" w:color="auto" w:fill="FFFFFF"/>
        </w:rPr>
        <w:t>earch Reviews</w:t>
      </w:r>
      <w:r w:rsidR="002361E7" w:rsidRPr="00882ACC">
        <w:rPr>
          <w:rStyle w:val="HTMLCite"/>
          <w:rFonts w:ascii="Calibri" w:hAnsi="Calibri" w:cs="Calibri"/>
          <w:i w:val="0"/>
          <w:iCs w:val="0"/>
          <w:color w:val="000000" w:themeColor="text1"/>
          <w:shd w:val="clear" w:color="auto" w:fill="FFFFFF"/>
        </w:rPr>
        <w:t xml:space="preserve">. </w:t>
      </w:r>
      <w:r w:rsidRPr="00882ACC">
        <w:rPr>
          <w:rStyle w:val="cit-vol"/>
          <w:rFonts w:ascii="Calibri" w:hAnsi="Calibri" w:cs="Calibri"/>
          <w:color w:val="000000" w:themeColor="text1"/>
          <w:shd w:val="clear" w:color="auto" w:fill="FFFFFF"/>
        </w:rPr>
        <w:t>56</w:t>
      </w:r>
      <w:r w:rsidR="002361E7" w:rsidRPr="00882ACC">
        <w:rPr>
          <w:rStyle w:val="HTMLCite"/>
          <w:rFonts w:ascii="Calibri" w:hAnsi="Calibri" w:cs="Calibri"/>
          <w:i w:val="0"/>
          <w:iCs w:val="0"/>
          <w:color w:val="000000" w:themeColor="text1"/>
          <w:shd w:val="clear" w:color="auto" w:fill="FFFFFF"/>
        </w:rPr>
        <w:t xml:space="preserve">, </w:t>
      </w:r>
      <w:r w:rsidRPr="00882ACC">
        <w:rPr>
          <w:rStyle w:val="cit-elocation-id"/>
          <w:rFonts w:ascii="Calibri" w:hAnsi="Calibri" w:cs="Calibri"/>
          <w:color w:val="000000" w:themeColor="text1"/>
          <w:shd w:val="clear" w:color="auto" w:fill="FFFFFF"/>
        </w:rPr>
        <w:t>100960</w:t>
      </w:r>
      <w:r w:rsidRPr="00882ACC">
        <w:rPr>
          <w:rStyle w:val="HTMLCite"/>
          <w:rFonts w:ascii="Calibri" w:hAnsi="Calibri" w:cs="Calibri"/>
          <w:i w:val="0"/>
          <w:iCs w:val="0"/>
          <w:color w:val="000000" w:themeColor="text1"/>
          <w:shd w:val="clear" w:color="auto" w:fill="FFFFFF"/>
        </w:rPr>
        <w:t>. </w:t>
      </w:r>
      <w:hyperlink r:id="rId16" w:history="1">
        <w:proofErr w:type="gramStart"/>
        <w:r w:rsidRPr="00882ACC">
          <w:rPr>
            <w:rStyle w:val="Hyperlink"/>
            <w:rFonts w:ascii="Calibri" w:hAnsi="Calibri" w:cs="Calibri"/>
            <w:color w:val="000000" w:themeColor="text1"/>
            <w:u w:val="none"/>
          </w:rPr>
          <w:t>doi:10.1016/j.arr</w:t>
        </w:r>
        <w:proofErr w:type="gramEnd"/>
        <w:r w:rsidRPr="00882ACC">
          <w:rPr>
            <w:rStyle w:val="Hyperlink"/>
            <w:rFonts w:ascii="Calibri" w:hAnsi="Calibri" w:cs="Calibri"/>
            <w:color w:val="000000" w:themeColor="text1"/>
            <w:u w:val="none"/>
          </w:rPr>
          <w:t>.2019.100960</w:t>
        </w:r>
      </w:hyperlink>
    </w:p>
    <w:p w14:paraId="04CEA46B" w14:textId="57F062C2" w:rsidR="00AB39DE" w:rsidRPr="00B007E0" w:rsidRDefault="00AB39DE" w:rsidP="00AB39DE">
      <w:pPr>
        <w:pStyle w:val="CommentText"/>
        <w:rPr>
          <w:color w:val="000000" w:themeColor="text1"/>
          <w:sz w:val="22"/>
          <w:szCs w:val="22"/>
        </w:rPr>
      </w:pPr>
      <w:r w:rsidRPr="00B007E0">
        <w:rPr>
          <w:color w:val="000000" w:themeColor="text1"/>
          <w:sz w:val="22"/>
          <w:szCs w:val="22"/>
        </w:rPr>
        <w:t>Dalhousie University</w:t>
      </w:r>
      <w:r w:rsidR="00B007E0" w:rsidRPr="00B007E0">
        <w:rPr>
          <w:color w:val="000000" w:themeColor="text1"/>
          <w:sz w:val="22"/>
          <w:szCs w:val="22"/>
        </w:rPr>
        <w:t xml:space="preserve"> (2020). </w:t>
      </w:r>
      <w:r w:rsidRPr="00B007E0">
        <w:rPr>
          <w:color w:val="000000" w:themeColor="text1"/>
          <w:sz w:val="22"/>
          <w:szCs w:val="22"/>
        </w:rPr>
        <w:t>Using the Clinical Frailty Scale to rapidly assay grades of fitness and frailty.</w:t>
      </w:r>
      <w:r w:rsidR="00B007E0" w:rsidRPr="00B007E0">
        <w:rPr>
          <w:color w:val="000000" w:themeColor="text1"/>
          <w:sz w:val="22"/>
          <w:szCs w:val="22"/>
        </w:rPr>
        <w:t xml:space="preserve"> CFS Guidance Document: version 2020.</w:t>
      </w:r>
      <w:r w:rsidR="00B007E0" w:rsidRPr="00B007E0">
        <w:rPr>
          <w:sz w:val="22"/>
          <w:szCs w:val="22"/>
        </w:rPr>
        <w:t xml:space="preserve"> </w:t>
      </w:r>
      <w:r w:rsidR="00B007E0" w:rsidRPr="00B007E0">
        <w:rPr>
          <w:color w:val="000000" w:themeColor="text1"/>
          <w:sz w:val="22"/>
          <w:szCs w:val="22"/>
        </w:rPr>
        <w:t xml:space="preserve">https://cdn.dal.ca/content/dam/dalhousie/pdf/sites/gmr/CFS-Guidance-for-Use_2020Apr06_EN.pdf </w:t>
      </w:r>
      <w:r w:rsidR="00B007E0" w:rsidRPr="00B007E0">
        <w:rPr>
          <w:sz w:val="22"/>
          <w:szCs w:val="22"/>
        </w:rPr>
        <w:t>(Last accessed 12 November 2022.)</w:t>
      </w:r>
    </w:p>
    <w:p w14:paraId="20014E3E" w14:textId="6B513AA9" w:rsidR="00712EEC" w:rsidRPr="00882ACC" w:rsidRDefault="00712EEC" w:rsidP="00882ACC">
      <w:pPr>
        <w:pStyle w:val="CommentText"/>
        <w:rPr>
          <w:rFonts w:ascii="Calibri" w:hAnsi="Calibri" w:cs="Calibri"/>
          <w:color w:val="000000" w:themeColor="text1"/>
          <w:sz w:val="22"/>
          <w:szCs w:val="22"/>
          <w:shd w:val="clear" w:color="auto" w:fill="FFFFFF"/>
        </w:rPr>
      </w:pPr>
      <w:r w:rsidRPr="00882ACC">
        <w:rPr>
          <w:rFonts w:ascii="Calibri" w:hAnsi="Calibri" w:cs="Calibri"/>
          <w:color w:val="000000" w:themeColor="text1"/>
          <w:sz w:val="22"/>
          <w:szCs w:val="22"/>
          <w:shd w:val="clear" w:color="auto" w:fill="FFFFFF"/>
        </w:rPr>
        <w:t xml:space="preserve">Davies J, Whitlock J, </w:t>
      </w:r>
      <w:proofErr w:type="spellStart"/>
      <w:r w:rsidRPr="00882ACC">
        <w:rPr>
          <w:rFonts w:ascii="Calibri" w:hAnsi="Calibri" w:cs="Calibri"/>
          <w:color w:val="000000" w:themeColor="text1"/>
          <w:sz w:val="22"/>
          <w:szCs w:val="22"/>
          <w:shd w:val="clear" w:color="auto" w:fill="FFFFFF"/>
        </w:rPr>
        <w:t>Gutmanis</w:t>
      </w:r>
      <w:proofErr w:type="spellEnd"/>
      <w:r w:rsidRPr="00882ACC">
        <w:rPr>
          <w:rFonts w:ascii="Calibri" w:hAnsi="Calibri" w:cs="Calibri"/>
          <w:color w:val="000000" w:themeColor="text1"/>
          <w:sz w:val="22"/>
          <w:szCs w:val="22"/>
          <w:shd w:val="clear" w:color="auto" w:fill="FFFFFF"/>
        </w:rPr>
        <w:t xml:space="preserve"> I, et al (2018).  Inter-Rater Reliability of the Retrospectively Assigned Clinical Frailty Scale Score in a Geriatric Outreach Population. Canadian Geriatrics Journal. 21, 1, 1-5. </w:t>
      </w:r>
      <w:proofErr w:type="spellStart"/>
      <w:r w:rsidRPr="00882ACC">
        <w:rPr>
          <w:rFonts w:ascii="Calibri" w:hAnsi="Calibri" w:cs="Calibri"/>
          <w:color w:val="000000" w:themeColor="text1"/>
          <w:sz w:val="22"/>
          <w:szCs w:val="22"/>
          <w:shd w:val="clear" w:color="auto" w:fill="FFFFFF"/>
        </w:rPr>
        <w:t>doi</w:t>
      </w:r>
      <w:proofErr w:type="spellEnd"/>
      <w:r w:rsidRPr="00882ACC">
        <w:rPr>
          <w:rFonts w:ascii="Calibri" w:hAnsi="Calibri" w:cs="Calibri"/>
          <w:color w:val="000000" w:themeColor="text1"/>
          <w:sz w:val="22"/>
          <w:szCs w:val="22"/>
          <w:shd w:val="clear" w:color="auto" w:fill="FFFFFF"/>
        </w:rPr>
        <w:t>: 10.5770/cgj.21.263.</w:t>
      </w:r>
    </w:p>
    <w:p w14:paraId="26E0C0F1" w14:textId="77777777" w:rsidR="0082633E" w:rsidRPr="00882ACC" w:rsidRDefault="0082633E" w:rsidP="00882ACC">
      <w:pPr>
        <w:shd w:val="clear" w:color="auto" w:fill="FFFFFF"/>
        <w:spacing w:before="100" w:beforeAutospacing="1" w:after="100" w:afterAutospacing="1" w:line="240" w:lineRule="auto"/>
        <w:rPr>
          <w:rStyle w:val="identifier"/>
          <w:rFonts w:cstheme="minorHAnsi"/>
          <w:color w:val="000000" w:themeColor="text1"/>
        </w:rPr>
      </w:pPr>
      <w:r w:rsidRPr="00882ACC">
        <w:rPr>
          <w:rFonts w:cstheme="minorHAnsi"/>
          <w:color w:val="000000" w:themeColor="text1"/>
          <w:shd w:val="clear" w:color="auto" w:fill="FFFFFF"/>
        </w:rPr>
        <w:t xml:space="preserve">Elliot A, Phelps K, Regen E, et al (2017). Identifying frailty in the Emergency Department-feasibility study. Age and Ageing. 46,5, 840-845. </w:t>
      </w:r>
      <w:r w:rsidRPr="00882ACC">
        <w:rPr>
          <w:rStyle w:val="id-label"/>
          <w:rFonts w:cstheme="minorHAnsi"/>
          <w:color w:val="000000" w:themeColor="text1"/>
        </w:rPr>
        <w:t>DOI: </w:t>
      </w:r>
      <w:hyperlink r:id="rId17" w:tgtFrame="_blank" w:history="1">
        <w:r w:rsidRPr="00882ACC">
          <w:rPr>
            <w:rStyle w:val="Hyperlink"/>
            <w:rFonts w:cstheme="minorHAnsi"/>
            <w:color w:val="000000" w:themeColor="text1"/>
            <w:u w:val="none"/>
          </w:rPr>
          <w:t>10.1093/ageing/afx089</w:t>
        </w:r>
      </w:hyperlink>
    </w:p>
    <w:p w14:paraId="20411B61" w14:textId="450333A3" w:rsidR="00C3261D" w:rsidRPr="00882ACC" w:rsidRDefault="00C3261D" w:rsidP="00882ACC">
      <w:pPr>
        <w:shd w:val="clear" w:color="auto" w:fill="FFFFFF"/>
        <w:spacing w:before="100" w:beforeAutospacing="1" w:after="100" w:afterAutospacing="1" w:line="240" w:lineRule="auto"/>
        <w:rPr>
          <w:rFonts w:cstheme="minorHAnsi"/>
          <w:color w:val="000000" w:themeColor="text1"/>
        </w:rPr>
      </w:pPr>
      <w:r w:rsidRPr="00882ACC">
        <w:rPr>
          <w:rFonts w:ascii="Calibri" w:hAnsi="Calibri" w:cs="Calibri"/>
          <w:color w:val="000000" w:themeColor="text1"/>
          <w:shd w:val="clear" w:color="auto" w:fill="FFFFFF"/>
        </w:rPr>
        <w:t xml:space="preserve">Finlay SL (2022). Frailty: An overview of concepts, risk factors, assessment tools and interventions. Nursing older People. 34,4, 35-42. </w:t>
      </w:r>
      <w:proofErr w:type="spellStart"/>
      <w:r w:rsidRPr="00882ACC">
        <w:rPr>
          <w:color w:val="000000" w:themeColor="text1"/>
        </w:rPr>
        <w:t>doi</w:t>
      </w:r>
      <w:proofErr w:type="spellEnd"/>
      <w:r w:rsidRPr="00882ACC">
        <w:rPr>
          <w:color w:val="000000" w:themeColor="text1"/>
        </w:rPr>
        <w:t>: 10.7748/</w:t>
      </w:r>
      <w:proofErr w:type="gramStart"/>
      <w:r w:rsidRPr="00882ACC">
        <w:rPr>
          <w:color w:val="000000" w:themeColor="text1"/>
        </w:rPr>
        <w:t>nop.2022.e</w:t>
      </w:r>
      <w:proofErr w:type="gramEnd"/>
      <w:r w:rsidRPr="00882ACC">
        <w:rPr>
          <w:color w:val="000000" w:themeColor="text1"/>
        </w:rPr>
        <w:t>1394</w:t>
      </w:r>
    </w:p>
    <w:p w14:paraId="7B39F57B" w14:textId="43C43FD2" w:rsidR="007D3FFB" w:rsidRPr="00882ACC" w:rsidRDefault="007D3FFB" w:rsidP="00882ACC">
      <w:pPr>
        <w:pStyle w:val="CommentText"/>
        <w:rPr>
          <w:rStyle w:val="Hyperlink"/>
          <w:rFonts w:ascii="Calibri" w:hAnsi="Calibri" w:cs="Calibri"/>
          <w:color w:val="000000" w:themeColor="text1"/>
          <w:sz w:val="22"/>
          <w:szCs w:val="22"/>
          <w:u w:val="none"/>
        </w:rPr>
      </w:pPr>
      <w:r w:rsidRPr="00882ACC">
        <w:rPr>
          <w:rFonts w:ascii="Calibri" w:hAnsi="Calibri" w:cs="Calibri"/>
          <w:color w:val="000000" w:themeColor="text1"/>
          <w:sz w:val="22"/>
          <w:szCs w:val="22"/>
        </w:rPr>
        <w:t xml:space="preserve">Faller JW, Pereira </w:t>
      </w:r>
      <w:proofErr w:type="spellStart"/>
      <w:r w:rsidRPr="00882ACC">
        <w:rPr>
          <w:rFonts w:ascii="Calibri" w:hAnsi="Calibri" w:cs="Calibri"/>
          <w:color w:val="000000" w:themeColor="text1"/>
          <w:sz w:val="22"/>
          <w:szCs w:val="22"/>
        </w:rPr>
        <w:t>DdoN</w:t>
      </w:r>
      <w:proofErr w:type="spellEnd"/>
      <w:r w:rsidRPr="00882ACC">
        <w:rPr>
          <w:rFonts w:ascii="Calibri" w:hAnsi="Calibri" w:cs="Calibri"/>
          <w:color w:val="000000" w:themeColor="text1"/>
          <w:sz w:val="22"/>
          <w:szCs w:val="22"/>
        </w:rPr>
        <w:t xml:space="preserve">, de Souza S, et al (2019). Instruments for the detection of frailty syndrome in older adults: a systematic review. </w:t>
      </w:r>
      <w:proofErr w:type="spellStart"/>
      <w:r w:rsidRPr="00882ACC">
        <w:rPr>
          <w:rFonts w:ascii="Calibri" w:hAnsi="Calibri" w:cs="Calibri"/>
          <w:color w:val="000000" w:themeColor="text1"/>
          <w:sz w:val="22"/>
          <w:szCs w:val="22"/>
        </w:rPr>
        <w:t>PLoS</w:t>
      </w:r>
      <w:proofErr w:type="spellEnd"/>
      <w:r w:rsidRPr="00882ACC">
        <w:rPr>
          <w:rFonts w:ascii="Calibri" w:hAnsi="Calibri" w:cs="Calibri"/>
          <w:color w:val="000000" w:themeColor="text1"/>
          <w:sz w:val="22"/>
          <w:szCs w:val="22"/>
        </w:rPr>
        <w:t xml:space="preserve"> ONE. 14, 4: </w:t>
      </w:r>
      <w:r w:rsidRPr="00882ACC">
        <w:rPr>
          <w:rFonts w:ascii="Calibri" w:hAnsi="Calibri" w:cs="Calibri"/>
          <w:color w:val="000000" w:themeColor="text1"/>
          <w:sz w:val="22"/>
          <w:szCs w:val="22"/>
          <w:shd w:val="clear" w:color="auto" w:fill="FFFFFF"/>
        </w:rPr>
        <w:t xml:space="preserve">e0216166. </w:t>
      </w:r>
      <w:proofErr w:type="gramStart"/>
      <w:r w:rsidRPr="00882ACC">
        <w:rPr>
          <w:rFonts w:ascii="Calibri" w:hAnsi="Calibri" w:cs="Calibri"/>
          <w:color w:val="000000" w:themeColor="text1"/>
          <w:sz w:val="22"/>
          <w:szCs w:val="22"/>
        </w:rPr>
        <w:t>doi:10.1371/journal.pone</w:t>
      </w:r>
      <w:proofErr w:type="gramEnd"/>
      <w:r w:rsidRPr="00882ACC">
        <w:rPr>
          <w:rFonts w:ascii="Calibri" w:hAnsi="Calibri" w:cs="Calibri"/>
          <w:color w:val="000000" w:themeColor="text1"/>
          <w:sz w:val="22"/>
          <w:szCs w:val="22"/>
        </w:rPr>
        <w:t>.0216166</w:t>
      </w:r>
    </w:p>
    <w:p w14:paraId="65D34FD2" w14:textId="78CA5313" w:rsidR="004756E1" w:rsidRPr="00882ACC" w:rsidRDefault="004A0471" w:rsidP="00882ACC">
      <w:pPr>
        <w:spacing w:line="240" w:lineRule="auto"/>
        <w:rPr>
          <w:rFonts w:ascii="Calibri" w:hAnsi="Calibri" w:cs="Calibri"/>
          <w:color w:val="000000" w:themeColor="text1"/>
        </w:rPr>
      </w:pPr>
      <w:r w:rsidRPr="00882ACC">
        <w:rPr>
          <w:rStyle w:val="cit-name-surname"/>
          <w:rFonts w:ascii="Calibri" w:hAnsi="Calibri" w:cs="Calibri"/>
          <w:color w:val="000000" w:themeColor="text1"/>
        </w:rPr>
        <w:t>Fried</w:t>
      </w:r>
      <w:r w:rsidRPr="00882ACC">
        <w:rPr>
          <w:rStyle w:val="cit-auth"/>
          <w:rFonts w:ascii="Calibri" w:hAnsi="Calibri" w:cs="Calibri"/>
          <w:color w:val="000000" w:themeColor="text1"/>
        </w:rPr>
        <w:t> </w:t>
      </w:r>
      <w:r w:rsidRPr="00882ACC">
        <w:rPr>
          <w:rStyle w:val="cit-name-given-names"/>
          <w:rFonts w:ascii="Calibri" w:hAnsi="Calibri" w:cs="Calibri"/>
          <w:color w:val="000000" w:themeColor="text1"/>
        </w:rPr>
        <w:t>LP</w:t>
      </w:r>
      <w:r w:rsidRPr="00882ACC">
        <w:rPr>
          <w:rFonts w:ascii="Calibri" w:hAnsi="Calibri" w:cs="Calibri"/>
          <w:color w:val="000000" w:themeColor="text1"/>
        </w:rPr>
        <w:t>, </w:t>
      </w:r>
      <w:proofErr w:type="spellStart"/>
      <w:r w:rsidRPr="00882ACC">
        <w:rPr>
          <w:rStyle w:val="cit-name-surname"/>
          <w:rFonts w:ascii="Calibri" w:hAnsi="Calibri" w:cs="Calibri"/>
          <w:color w:val="000000" w:themeColor="text1"/>
        </w:rPr>
        <w:t>Tangen</w:t>
      </w:r>
      <w:proofErr w:type="spellEnd"/>
      <w:r w:rsidRPr="00882ACC">
        <w:rPr>
          <w:rStyle w:val="cit-auth"/>
          <w:rFonts w:ascii="Calibri" w:hAnsi="Calibri" w:cs="Calibri"/>
          <w:color w:val="000000" w:themeColor="text1"/>
        </w:rPr>
        <w:t> </w:t>
      </w:r>
      <w:r w:rsidRPr="00882ACC">
        <w:rPr>
          <w:rStyle w:val="cit-name-given-names"/>
          <w:rFonts w:ascii="Calibri" w:hAnsi="Calibri" w:cs="Calibri"/>
          <w:color w:val="000000" w:themeColor="text1"/>
        </w:rPr>
        <w:t>CM</w:t>
      </w:r>
      <w:r w:rsidRPr="00882ACC">
        <w:rPr>
          <w:rFonts w:ascii="Calibri" w:hAnsi="Calibri" w:cs="Calibri"/>
          <w:color w:val="000000" w:themeColor="text1"/>
        </w:rPr>
        <w:t>, </w:t>
      </w:r>
      <w:r w:rsidRPr="00882ACC">
        <w:rPr>
          <w:rStyle w:val="cit-name-surname"/>
          <w:rFonts w:ascii="Calibri" w:hAnsi="Calibri" w:cs="Calibri"/>
          <w:color w:val="000000" w:themeColor="text1"/>
        </w:rPr>
        <w:t>Walston</w:t>
      </w:r>
      <w:r w:rsidRPr="00882ACC">
        <w:rPr>
          <w:rStyle w:val="cit-auth"/>
          <w:rFonts w:ascii="Calibri" w:hAnsi="Calibri" w:cs="Calibri"/>
          <w:color w:val="000000" w:themeColor="text1"/>
        </w:rPr>
        <w:t> </w:t>
      </w:r>
      <w:r w:rsidRPr="00882ACC">
        <w:rPr>
          <w:rStyle w:val="cit-name-given-names"/>
          <w:rFonts w:ascii="Calibri" w:hAnsi="Calibri" w:cs="Calibri"/>
          <w:color w:val="000000" w:themeColor="text1"/>
        </w:rPr>
        <w:t>J</w:t>
      </w:r>
      <w:r w:rsidRPr="00882ACC">
        <w:rPr>
          <w:rFonts w:ascii="Calibri" w:hAnsi="Calibri" w:cs="Calibri"/>
          <w:color w:val="000000" w:themeColor="text1"/>
        </w:rPr>
        <w:t>, </w:t>
      </w:r>
      <w:r w:rsidRPr="00882ACC">
        <w:rPr>
          <w:rStyle w:val="cit-etal"/>
          <w:rFonts w:ascii="Calibri" w:hAnsi="Calibri" w:cs="Calibri"/>
          <w:color w:val="000000" w:themeColor="text1"/>
        </w:rPr>
        <w:t>et al</w:t>
      </w:r>
      <w:r w:rsidR="007F47CF" w:rsidRPr="00882ACC">
        <w:rPr>
          <w:rStyle w:val="cit-etal"/>
          <w:rFonts w:ascii="Calibri" w:hAnsi="Calibri" w:cs="Calibri"/>
          <w:color w:val="000000" w:themeColor="text1"/>
        </w:rPr>
        <w:t xml:space="preserve"> (2001) </w:t>
      </w:r>
      <w:r w:rsidRPr="00882ACC">
        <w:rPr>
          <w:rStyle w:val="cit-article-title"/>
          <w:rFonts w:ascii="Calibri" w:hAnsi="Calibri" w:cs="Calibri"/>
          <w:color w:val="000000" w:themeColor="text1"/>
          <w:shd w:val="clear" w:color="auto" w:fill="FFFFFF"/>
        </w:rPr>
        <w:t>Frailty in older adults: evidence for a phenotype</w:t>
      </w:r>
      <w:r w:rsidRPr="00882ACC">
        <w:rPr>
          <w:rStyle w:val="HTMLCite"/>
          <w:rFonts w:ascii="Calibri" w:hAnsi="Calibri" w:cs="Calibri"/>
          <w:i w:val="0"/>
          <w:iCs w:val="0"/>
          <w:color w:val="000000" w:themeColor="text1"/>
          <w:shd w:val="clear" w:color="auto" w:fill="FFFFFF"/>
        </w:rPr>
        <w:t>. </w:t>
      </w:r>
      <w:r w:rsidR="007F47CF" w:rsidRPr="00882ACC">
        <w:rPr>
          <w:rStyle w:val="HTMLCite"/>
          <w:rFonts w:ascii="Calibri" w:hAnsi="Calibri" w:cs="Calibri"/>
          <w:i w:val="0"/>
          <w:iCs w:val="0"/>
          <w:color w:val="000000" w:themeColor="text1"/>
          <w:shd w:val="clear" w:color="auto" w:fill="FFFFFF"/>
        </w:rPr>
        <w:t xml:space="preserve">The Journals of Gerontology: Series A, Biological Sciences and Medical Sciences. </w:t>
      </w:r>
      <w:r w:rsidRPr="00882ACC">
        <w:rPr>
          <w:rStyle w:val="cit-vol"/>
          <w:rFonts w:ascii="Calibri" w:hAnsi="Calibri" w:cs="Calibri"/>
          <w:color w:val="000000" w:themeColor="text1"/>
          <w:shd w:val="clear" w:color="auto" w:fill="FFFFFF"/>
        </w:rPr>
        <w:t>56</w:t>
      </w:r>
      <w:r w:rsidR="007F47CF" w:rsidRPr="00882ACC">
        <w:rPr>
          <w:rStyle w:val="HTMLCite"/>
          <w:rFonts w:ascii="Calibri" w:hAnsi="Calibri" w:cs="Calibri"/>
          <w:i w:val="0"/>
          <w:iCs w:val="0"/>
          <w:color w:val="000000" w:themeColor="text1"/>
          <w:shd w:val="clear" w:color="auto" w:fill="FFFFFF"/>
        </w:rPr>
        <w:t xml:space="preserve">, 3, </w:t>
      </w:r>
      <w:r w:rsidRPr="00882ACC">
        <w:rPr>
          <w:rStyle w:val="cit-fpage"/>
          <w:rFonts w:ascii="Calibri" w:hAnsi="Calibri" w:cs="Calibri"/>
          <w:color w:val="000000" w:themeColor="text1"/>
          <w:shd w:val="clear" w:color="auto" w:fill="FFFFFF"/>
        </w:rPr>
        <w:t>146</w:t>
      </w:r>
      <w:r w:rsidRPr="00882ACC">
        <w:rPr>
          <w:rStyle w:val="HTMLCite"/>
          <w:rFonts w:ascii="Calibri" w:hAnsi="Calibri" w:cs="Calibri"/>
          <w:i w:val="0"/>
          <w:iCs w:val="0"/>
          <w:color w:val="000000" w:themeColor="text1"/>
          <w:shd w:val="clear" w:color="auto" w:fill="FFFFFF"/>
        </w:rPr>
        <w:t>–</w:t>
      </w:r>
      <w:r w:rsidR="007F47CF" w:rsidRPr="00882ACC">
        <w:rPr>
          <w:rStyle w:val="HTMLCite"/>
          <w:rFonts w:ascii="Calibri" w:hAnsi="Calibri" w:cs="Calibri"/>
          <w:i w:val="0"/>
          <w:iCs w:val="0"/>
          <w:color w:val="000000" w:themeColor="text1"/>
          <w:shd w:val="clear" w:color="auto" w:fill="FFFFFF"/>
        </w:rPr>
        <w:t>1</w:t>
      </w:r>
      <w:r w:rsidRPr="00882ACC">
        <w:rPr>
          <w:rStyle w:val="cit-lpage"/>
          <w:rFonts w:ascii="Calibri" w:hAnsi="Calibri" w:cs="Calibri"/>
          <w:color w:val="000000" w:themeColor="text1"/>
          <w:shd w:val="clear" w:color="auto" w:fill="FFFFFF"/>
        </w:rPr>
        <w:t>57</w:t>
      </w:r>
      <w:r w:rsidR="007F47CF" w:rsidRPr="00882ACC">
        <w:rPr>
          <w:rStyle w:val="HTMLCite"/>
          <w:rFonts w:ascii="Calibri" w:hAnsi="Calibri" w:cs="Calibri"/>
          <w:i w:val="0"/>
          <w:iCs w:val="0"/>
          <w:color w:val="000000" w:themeColor="text1"/>
          <w:shd w:val="clear" w:color="auto" w:fill="FFFFFF"/>
        </w:rPr>
        <w:t>.</w:t>
      </w:r>
      <w:r w:rsidR="0021543D" w:rsidRPr="00882ACC">
        <w:rPr>
          <w:rStyle w:val="HTMLCite"/>
          <w:rFonts w:ascii="Calibri" w:hAnsi="Calibri" w:cs="Calibri"/>
          <w:i w:val="0"/>
          <w:iCs w:val="0"/>
          <w:color w:val="000000" w:themeColor="text1"/>
          <w:shd w:val="clear" w:color="auto" w:fill="FFFFFF"/>
        </w:rPr>
        <w:t xml:space="preserve"> </w:t>
      </w:r>
      <w:hyperlink r:id="rId18" w:history="1">
        <w:r w:rsidR="0021543D" w:rsidRPr="00882ACC">
          <w:rPr>
            <w:rStyle w:val="Hyperlink"/>
            <w:rFonts w:ascii="Calibri" w:hAnsi="Calibri" w:cs="Calibri"/>
            <w:color w:val="000000" w:themeColor="text1"/>
            <w:u w:val="none"/>
            <w:bdr w:val="none" w:sz="0" w:space="0" w:color="auto" w:frame="1"/>
            <w:shd w:val="clear" w:color="auto" w:fill="FFFFFF"/>
          </w:rPr>
          <w:t>https://doi.org/10.1093/gerona/56.3.M146</w:t>
        </w:r>
      </w:hyperlink>
      <w:r w:rsidR="00D942FD" w:rsidRPr="00882ACC">
        <w:rPr>
          <w:rFonts w:ascii="Calibri" w:hAnsi="Calibri" w:cs="Calibri"/>
          <w:color w:val="000000" w:themeColor="text1"/>
        </w:rPr>
        <w:t xml:space="preserve"> (Last accessed: 10 November 2022</w:t>
      </w:r>
      <w:r w:rsidR="00712EEC" w:rsidRPr="00882ACC">
        <w:rPr>
          <w:rFonts w:ascii="Calibri" w:hAnsi="Calibri" w:cs="Calibri"/>
          <w:color w:val="000000" w:themeColor="text1"/>
        </w:rPr>
        <w:t>.</w:t>
      </w:r>
      <w:r w:rsidR="00D942FD" w:rsidRPr="00882ACC">
        <w:rPr>
          <w:rFonts w:ascii="Calibri" w:hAnsi="Calibri" w:cs="Calibri"/>
          <w:color w:val="000000" w:themeColor="text1"/>
        </w:rPr>
        <w:t xml:space="preserve">) </w:t>
      </w:r>
    </w:p>
    <w:p w14:paraId="7CCB88CA" w14:textId="1871800B" w:rsidR="007A553D" w:rsidRPr="00882ACC" w:rsidRDefault="007A553D" w:rsidP="00882ACC">
      <w:pPr>
        <w:spacing w:line="240" w:lineRule="auto"/>
        <w:rPr>
          <w:rFonts w:cstheme="minorHAnsi"/>
          <w:color w:val="000000" w:themeColor="text1"/>
          <w:shd w:val="clear" w:color="auto" w:fill="FFFFFF"/>
        </w:rPr>
      </w:pPr>
      <w:r w:rsidRPr="00882ACC">
        <w:rPr>
          <w:rFonts w:cstheme="minorHAnsi"/>
          <w:color w:val="000000" w:themeColor="text1"/>
        </w:rPr>
        <w:t xml:space="preserve">Hanlon P, Nicholl BI, Jani BD et al (2018) Frailty and pre-frailty in middle-aged and older adults and its association with multimorbidity and mortality: a prospective analysis of 493737 UK Biobank participants. The Lancet Public Health. 3, 7, e323-e332. </w:t>
      </w:r>
      <w:proofErr w:type="spellStart"/>
      <w:r w:rsidRPr="00882ACC">
        <w:rPr>
          <w:rFonts w:cstheme="minorHAnsi"/>
          <w:color w:val="000000" w:themeColor="text1"/>
        </w:rPr>
        <w:t>doi</w:t>
      </w:r>
      <w:proofErr w:type="spellEnd"/>
      <w:r w:rsidRPr="00882ACC">
        <w:rPr>
          <w:rFonts w:cstheme="minorHAnsi"/>
          <w:color w:val="000000" w:themeColor="text1"/>
        </w:rPr>
        <w:t>: 10.1016/S2468-2667(18)30091-4</w:t>
      </w:r>
    </w:p>
    <w:p w14:paraId="55774814" w14:textId="484DDF0A" w:rsidR="00C51EDC" w:rsidRDefault="00C51EDC" w:rsidP="00882ACC">
      <w:pPr>
        <w:pStyle w:val="CommentText"/>
        <w:rPr>
          <w:rFonts w:ascii="Calibri" w:hAnsi="Calibri" w:cs="Calibri"/>
          <w:color w:val="000000" w:themeColor="text1"/>
          <w:sz w:val="22"/>
          <w:szCs w:val="22"/>
          <w:shd w:val="clear" w:color="auto" w:fill="FFFFFF"/>
        </w:rPr>
      </w:pPr>
      <w:r w:rsidRPr="00882ACC">
        <w:rPr>
          <w:rFonts w:ascii="Calibri" w:hAnsi="Calibri" w:cs="Calibri"/>
          <w:color w:val="000000" w:themeColor="text1"/>
          <w:sz w:val="22"/>
          <w:szCs w:val="22"/>
          <w:shd w:val="clear" w:color="auto" w:fill="FFFFFF"/>
        </w:rPr>
        <w:lastRenderedPageBreak/>
        <w:t>Jarman H, Crouch R, Baxter M, et al (2020). Frailty in major trauma study (FRAIL-T): a study protocol to determine the feasibility of nurse-led frailty assessment in elderly trauma and the impact on outcome in patients with major trauma. BMJ Open. 10</w:t>
      </w:r>
      <w:r w:rsidR="00712EEC" w:rsidRPr="00882ACC">
        <w:rPr>
          <w:rFonts w:ascii="Calibri" w:hAnsi="Calibri" w:cs="Calibri"/>
          <w:color w:val="000000" w:themeColor="text1"/>
          <w:sz w:val="22"/>
          <w:szCs w:val="22"/>
          <w:shd w:val="clear" w:color="auto" w:fill="FFFFFF"/>
        </w:rPr>
        <w:t xml:space="preserve">,8: </w:t>
      </w:r>
      <w:r w:rsidRPr="00882ACC">
        <w:rPr>
          <w:rFonts w:ascii="Calibri" w:hAnsi="Calibri" w:cs="Calibri"/>
          <w:color w:val="000000" w:themeColor="text1"/>
          <w:sz w:val="22"/>
          <w:szCs w:val="22"/>
          <w:shd w:val="clear" w:color="auto" w:fill="FFFFFF"/>
        </w:rPr>
        <w:t xml:space="preserve">e038082. </w:t>
      </w:r>
      <w:proofErr w:type="spellStart"/>
      <w:r w:rsidRPr="00882ACC">
        <w:rPr>
          <w:rFonts w:ascii="Calibri" w:hAnsi="Calibri" w:cs="Calibri"/>
          <w:color w:val="000000" w:themeColor="text1"/>
          <w:sz w:val="22"/>
          <w:szCs w:val="22"/>
          <w:shd w:val="clear" w:color="auto" w:fill="FFFFFF"/>
        </w:rPr>
        <w:t>doi</w:t>
      </w:r>
      <w:proofErr w:type="spellEnd"/>
      <w:r w:rsidRPr="00882ACC">
        <w:rPr>
          <w:rFonts w:ascii="Calibri" w:hAnsi="Calibri" w:cs="Calibri"/>
          <w:color w:val="000000" w:themeColor="text1"/>
          <w:sz w:val="22"/>
          <w:szCs w:val="22"/>
          <w:shd w:val="clear" w:color="auto" w:fill="FFFFFF"/>
        </w:rPr>
        <w:t>: 10.1136/bmjopen-2020-038082 </w:t>
      </w:r>
    </w:p>
    <w:p w14:paraId="6E725161" w14:textId="30837803" w:rsidR="00E91C13" w:rsidRDefault="00E91C13" w:rsidP="00882ACC">
      <w:pPr>
        <w:pStyle w:val="CommentText"/>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James J (2016). Comprehensive geriatric assessment during emergency admission. Nursing Older People. 28, 2, 16-22. </w:t>
      </w:r>
      <w:proofErr w:type="spellStart"/>
      <w:r w:rsidRPr="00E91C13">
        <w:rPr>
          <w:rStyle w:val="Strong"/>
          <w:rFonts w:cstheme="minorHAnsi"/>
          <w:b w:val="0"/>
          <w:bCs w:val="0"/>
          <w:color w:val="121212"/>
          <w:spacing w:val="-3"/>
          <w:sz w:val="22"/>
          <w:szCs w:val="22"/>
          <w:shd w:val="clear" w:color="auto" w:fill="FFFFFF"/>
        </w:rPr>
        <w:t>doi</w:t>
      </w:r>
      <w:proofErr w:type="spellEnd"/>
      <w:r w:rsidRPr="00E91C13">
        <w:rPr>
          <w:rStyle w:val="Strong"/>
          <w:rFonts w:cstheme="minorHAnsi"/>
          <w:color w:val="121212"/>
          <w:spacing w:val="-3"/>
          <w:sz w:val="22"/>
          <w:szCs w:val="22"/>
          <w:shd w:val="clear" w:color="auto" w:fill="FFFFFF"/>
        </w:rPr>
        <w:t>:</w:t>
      </w:r>
      <w:r w:rsidRPr="00E91C13">
        <w:rPr>
          <w:rFonts w:cstheme="minorHAnsi"/>
          <w:color w:val="121212"/>
          <w:spacing w:val="-3"/>
          <w:sz w:val="22"/>
          <w:szCs w:val="22"/>
          <w:shd w:val="clear" w:color="auto" w:fill="FFFFFF"/>
        </w:rPr>
        <w:t> 10.7748/nop.28.2.</w:t>
      </w:r>
      <w:proofErr w:type="gramStart"/>
      <w:r w:rsidRPr="00E91C13">
        <w:rPr>
          <w:rFonts w:cstheme="minorHAnsi"/>
          <w:color w:val="121212"/>
          <w:spacing w:val="-3"/>
          <w:sz w:val="22"/>
          <w:szCs w:val="22"/>
          <w:shd w:val="clear" w:color="auto" w:fill="FFFFFF"/>
        </w:rPr>
        <w:t>16.s</w:t>
      </w:r>
      <w:proofErr w:type="gramEnd"/>
      <w:r w:rsidRPr="00E91C13">
        <w:rPr>
          <w:rFonts w:cstheme="minorHAnsi"/>
          <w:color w:val="121212"/>
          <w:spacing w:val="-3"/>
          <w:sz w:val="22"/>
          <w:szCs w:val="22"/>
          <w:shd w:val="clear" w:color="auto" w:fill="FFFFFF"/>
        </w:rPr>
        <w:t>20</w:t>
      </w:r>
    </w:p>
    <w:p w14:paraId="0024511C" w14:textId="1C0012D0" w:rsidR="00076ED8" w:rsidRPr="00882ACC" w:rsidRDefault="00076ED8" w:rsidP="00882ACC">
      <w:pPr>
        <w:spacing w:line="240" w:lineRule="auto"/>
        <w:rPr>
          <w:rStyle w:val="Hyperlink"/>
          <w:rFonts w:ascii="Calibri" w:hAnsi="Calibri" w:cs="Calibri"/>
          <w:color w:val="000000" w:themeColor="text1"/>
          <w:u w:val="none"/>
        </w:rPr>
      </w:pPr>
      <w:r w:rsidRPr="00882ACC">
        <w:rPr>
          <w:rFonts w:ascii="Calibri" w:hAnsi="Calibri" w:cs="Calibri"/>
          <w:color w:val="000000" w:themeColor="text1"/>
        </w:rPr>
        <w:t xml:space="preserve">Kellett J, Clifford M., Ridley A, et al (2014). A </w:t>
      </w:r>
      <w:proofErr w:type="gramStart"/>
      <w:r w:rsidRPr="00882ACC">
        <w:rPr>
          <w:rFonts w:ascii="Calibri" w:hAnsi="Calibri" w:cs="Calibri"/>
          <w:color w:val="000000" w:themeColor="text1"/>
        </w:rPr>
        <w:t>four</w:t>
      </w:r>
      <w:r w:rsidR="0021543D" w:rsidRPr="00882ACC">
        <w:rPr>
          <w:rFonts w:ascii="Calibri" w:hAnsi="Calibri" w:cs="Calibri"/>
          <w:color w:val="000000" w:themeColor="text1"/>
        </w:rPr>
        <w:t xml:space="preserve"> </w:t>
      </w:r>
      <w:r w:rsidRPr="00882ACC">
        <w:rPr>
          <w:rFonts w:ascii="Calibri" w:hAnsi="Calibri" w:cs="Calibri"/>
          <w:color w:val="000000" w:themeColor="text1"/>
        </w:rPr>
        <w:t>item</w:t>
      </w:r>
      <w:proofErr w:type="gramEnd"/>
      <w:r w:rsidRPr="00882ACC">
        <w:rPr>
          <w:rFonts w:ascii="Calibri" w:hAnsi="Calibri" w:cs="Calibri"/>
          <w:color w:val="000000" w:themeColor="text1"/>
        </w:rPr>
        <w:t xml:space="preserve"> scale based on gait for the immediate global assessment of acutely ill medical patients – one look is more than 1000 words.</w:t>
      </w:r>
      <w:r w:rsidRPr="00882ACC">
        <w:rPr>
          <w:rFonts w:ascii="Calibri" w:hAnsi="Calibri" w:cs="Calibri"/>
          <w:i/>
          <w:iCs/>
          <w:color w:val="000000" w:themeColor="text1"/>
        </w:rPr>
        <w:t> </w:t>
      </w:r>
      <w:r w:rsidRPr="00882ACC">
        <w:rPr>
          <w:rFonts w:ascii="Calibri" w:hAnsi="Calibri" w:cs="Calibri"/>
          <w:color w:val="000000" w:themeColor="text1"/>
        </w:rPr>
        <w:t>European Geriatric Medicine</w:t>
      </w:r>
      <w:r w:rsidRPr="00882ACC">
        <w:rPr>
          <w:rFonts w:ascii="Calibri" w:hAnsi="Calibri" w:cs="Calibri"/>
          <w:i/>
          <w:iCs/>
          <w:color w:val="000000" w:themeColor="text1"/>
        </w:rPr>
        <w:t xml:space="preserve">. </w:t>
      </w:r>
      <w:r w:rsidRPr="00882ACC">
        <w:rPr>
          <w:rFonts w:ascii="Calibri" w:hAnsi="Calibri" w:cs="Calibri"/>
          <w:color w:val="000000" w:themeColor="text1"/>
        </w:rPr>
        <w:t xml:space="preserve">5,2, 92-96. </w:t>
      </w:r>
      <w:proofErr w:type="spellStart"/>
      <w:r w:rsidRPr="00882ACC">
        <w:rPr>
          <w:rFonts w:ascii="Calibri" w:hAnsi="Calibri" w:cs="Calibri"/>
          <w:color w:val="000000" w:themeColor="text1"/>
        </w:rPr>
        <w:t>doi:</w:t>
      </w:r>
      <w:hyperlink r:id="rId19" w:tgtFrame="_blank" w:history="1">
        <w:r w:rsidRPr="00882ACC">
          <w:rPr>
            <w:rStyle w:val="Hyperlink"/>
            <w:rFonts w:ascii="Calibri" w:hAnsi="Calibri" w:cs="Calibri"/>
            <w:color w:val="000000" w:themeColor="text1"/>
            <w:u w:val="none"/>
          </w:rPr>
          <w:t>https</w:t>
        </w:r>
        <w:proofErr w:type="spellEnd"/>
        <w:r w:rsidRPr="00882ACC">
          <w:rPr>
            <w:rStyle w:val="Hyperlink"/>
            <w:rFonts w:ascii="Calibri" w:hAnsi="Calibri" w:cs="Calibri"/>
            <w:color w:val="000000" w:themeColor="text1"/>
            <w:u w:val="none"/>
          </w:rPr>
          <w:t>://doi.org/10.1016/j.eurger.2013.11.011</w:t>
        </w:r>
      </w:hyperlink>
    </w:p>
    <w:p w14:paraId="3E16C95E" w14:textId="22103B46" w:rsidR="00B3301B" w:rsidRPr="00882ACC" w:rsidRDefault="00B3301B" w:rsidP="00882ACC">
      <w:pPr>
        <w:spacing w:line="240" w:lineRule="auto"/>
        <w:rPr>
          <w:color w:val="000000" w:themeColor="text1"/>
        </w:rPr>
      </w:pPr>
      <w:r w:rsidRPr="00882ACC">
        <w:rPr>
          <w:color w:val="000000" w:themeColor="text1"/>
        </w:rPr>
        <w:t>Kim S, Jung HW, Won CW (2020) What are the illnesses associated with frailty in community</w:t>
      </w:r>
      <w:r w:rsidR="00D31EC8">
        <w:rPr>
          <w:color w:val="000000" w:themeColor="text1"/>
        </w:rPr>
        <w:t xml:space="preserve"> </w:t>
      </w:r>
      <w:r w:rsidRPr="00882ACC">
        <w:rPr>
          <w:color w:val="000000" w:themeColor="text1"/>
        </w:rPr>
        <w:t xml:space="preserve">dwelling older adults: the Korean Frailty and Aging Cohort Study. Korean Journal of Internal Medicine. 35, 4, 1004-1013. </w:t>
      </w:r>
      <w:proofErr w:type="spellStart"/>
      <w:r w:rsidRPr="00882ACC">
        <w:rPr>
          <w:color w:val="000000" w:themeColor="text1"/>
        </w:rPr>
        <w:t>doi</w:t>
      </w:r>
      <w:proofErr w:type="spellEnd"/>
      <w:r w:rsidRPr="00882ACC">
        <w:rPr>
          <w:color w:val="000000" w:themeColor="text1"/>
        </w:rPr>
        <w:t>: 10.3904/kjim.2019.097</w:t>
      </w:r>
    </w:p>
    <w:p w14:paraId="65884C3F" w14:textId="79437597" w:rsidR="00882ACC" w:rsidRPr="00882ACC" w:rsidRDefault="00882ACC" w:rsidP="00882ACC">
      <w:pPr>
        <w:spacing w:line="240" w:lineRule="auto"/>
        <w:rPr>
          <w:color w:val="000000" w:themeColor="text1"/>
        </w:rPr>
      </w:pPr>
      <w:r w:rsidRPr="00882ACC">
        <w:rPr>
          <w:color w:val="000000" w:themeColor="text1"/>
        </w:rPr>
        <w:t xml:space="preserve">Lewis ET, Dent T, </w:t>
      </w:r>
      <w:proofErr w:type="spellStart"/>
      <w:r w:rsidRPr="00882ACC">
        <w:rPr>
          <w:color w:val="000000" w:themeColor="text1"/>
        </w:rPr>
        <w:t>Alkhouri</w:t>
      </w:r>
      <w:proofErr w:type="spellEnd"/>
      <w:r w:rsidRPr="00882ACC">
        <w:rPr>
          <w:color w:val="000000" w:themeColor="text1"/>
        </w:rPr>
        <w:t xml:space="preserve"> H, et al (2019). Which frailty scale for patients admitted via Emergency Department? A cohort </w:t>
      </w:r>
      <w:proofErr w:type="gramStart"/>
      <w:r w:rsidRPr="00882ACC">
        <w:rPr>
          <w:color w:val="000000" w:themeColor="text1"/>
        </w:rPr>
        <w:t>study</w:t>
      </w:r>
      <w:proofErr w:type="gramEnd"/>
      <w:r w:rsidRPr="00882ACC">
        <w:rPr>
          <w:color w:val="000000" w:themeColor="text1"/>
        </w:rPr>
        <w:t>. Archives of Gerontology and Geriatrics. 80, 104-114. https://doi.org/10.1016/j.archger.2018.11.002</w:t>
      </w:r>
    </w:p>
    <w:p w14:paraId="414C1F24" w14:textId="60B58EB6" w:rsidR="00391680" w:rsidRDefault="00391680" w:rsidP="00882ACC">
      <w:pPr>
        <w:spacing w:line="240" w:lineRule="auto"/>
        <w:rPr>
          <w:rStyle w:val="Hyperlink"/>
          <w:rFonts w:ascii="Calibri" w:hAnsi="Calibri" w:cs="Calibri"/>
          <w:color w:val="000000" w:themeColor="text1"/>
          <w:u w:val="none"/>
        </w:rPr>
      </w:pPr>
      <w:proofErr w:type="spellStart"/>
      <w:r w:rsidRPr="00882ACC">
        <w:rPr>
          <w:rStyle w:val="cit-name-surname"/>
          <w:rFonts w:ascii="Calibri" w:hAnsi="Calibri" w:cs="Calibri"/>
          <w:color w:val="000000" w:themeColor="text1"/>
        </w:rPr>
        <w:t>Mitnitski</w:t>
      </w:r>
      <w:proofErr w:type="spellEnd"/>
      <w:r w:rsidRPr="00882ACC">
        <w:rPr>
          <w:rStyle w:val="cit-auth"/>
          <w:rFonts w:ascii="Calibri" w:hAnsi="Calibri" w:cs="Calibri"/>
          <w:color w:val="000000" w:themeColor="text1"/>
        </w:rPr>
        <w:t> </w:t>
      </w:r>
      <w:r w:rsidRPr="00882ACC">
        <w:rPr>
          <w:rStyle w:val="cit-name-given-names"/>
          <w:rFonts w:ascii="Calibri" w:hAnsi="Calibri" w:cs="Calibri"/>
          <w:color w:val="000000" w:themeColor="text1"/>
        </w:rPr>
        <w:t>AB</w:t>
      </w:r>
      <w:r w:rsidRPr="00882ACC">
        <w:rPr>
          <w:rFonts w:ascii="Calibri" w:hAnsi="Calibri" w:cs="Calibri"/>
          <w:color w:val="000000" w:themeColor="text1"/>
        </w:rPr>
        <w:t>, </w:t>
      </w:r>
      <w:r w:rsidRPr="00882ACC">
        <w:rPr>
          <w:rStyle w:val="cit-name-surname"/>
          <w:rFonts w:ascii="Calibri" w:hAnsi="Calibri" w:cs="Calibri"/>
          <w:color w:val="000000" w:themeColor="text1"/>
        </w:rPr>
        <w:t>Mogilner</w:t>
      </w:r>
      <w:r w:rsidRPr="00882ACC">
        <w:rPr>
          <w:rStyle w:val="cit-auth"/>
          <w:rFonts w:ascii="Calibri" w:hAnsi="Calibri" w:cs="Calibri"/>
          <w:color w:val="000000" w:themeColor="text1"/>
        </w:rPr>
        <w:t> </w:t>
      </w:r>
      <w:r w:rsidRPr="00882ACC">
        <w:rPr>
          <w:rStyle w:val="cit-name-given-names"/>
          <w:rFonts w:ascii="Calibri" w:hAnsi="Calibri" w:cs="Calibri"/>
          <w:color w:val="000000" w:themeColor="text1"/>
        </w:rPr>
        <w:t>AJ</w:t>
      </w:r>
      <w:r w:rsidRPr="00882ACC">
        <w:rPr>
          <w:rFonts w:ascii="Calibri" w:hAnsi="Calibri" w:cs="Calibri"/>
          <w:color w:val="000000" w:themeColor="text1"/>
        </w:rPr>
        <w:t>, </w:t>
      </w:r>
      <w:r w:rsidRPr="00882ACC">
        <w:rPr>
          <w:rStyle w:val="cit-name-surname"/>
          <w:rFonts w:ascii="Calibri" w:hAnsi="Calibri" w:cs="Calibri"/>
          <w:color w:val="000000" w:themeColor="text1"/>
        </w:rPr>
        <w:t>Rockwood</w:t>
      </w:r>
      <w:r w:rsidRPr="00882ACC">
        <w:rPr>
          <w:rStyle w:val="cit-auth"/>
          <w:rFonts w:ascii="Calibri" w:hAnsi="Calibri" w:cs="Calibri"/>
          <w:color w:val="000000" w:themeColor="text1"/>
        </w:rPr>
        <w:t> </w:t>
      </w:r>
      <w:r w:rsidRPr="00882ACC">
        <w:rPr>
          <w:rStyle w:val="cit-name-given-names"/>
          <w:rFonts w:ascii="Calibri" w:hAnsi="Calibri" w:cs="Calibri"/>
          <w:color w:val="000000" w:themeColor="text1"/>
        </w:rPr>
        <w:t>K</w:t>
      </w:r>
      <w:r w:rsidRPr="00882ACC">
        <w:rPr>
          <w:rStyle w:val="HTMLCite"/>
          <w:rFonts w:ascii="Calibri" w:hAnsi="Calibri" w:cs="Calibri"/>
          <w:i w:val="0"/>
          <w:iCs w:val="0"/>
          <w:color w:val="000000" w:themeColor="text1"/>
          <w:shd w:val="clear" w:color="auto" w:fill="FFFFFF"/>
        </w:rPr>
        <w:t xml:space="preserve"> (2001) </w:t>
      </w:r>
      <w:r w:rsidRPr="00882ACC">
        <w:rPr>
          <w:rStyle w:val="cit-article-title"/>
          <w:rFonts w:ascii="Calibri" w:hAnsi="Calibri" w:cs="Calibri"/>
          <w:color w:val="000000" w:themeColor="text1"/>
          <w:shd w:val="clear" w:color="auto" w:fill="FFFFFF"/>
        </w:rPr>
        <w:t>Accumulation of deficits as a proxy measure of aging</w:t>
      </w:r>
      <w:r w:rsidRPr="00882ACC">
        <w:rPr>
          <w:rStyle w:val="HTMLCite"/>
          <w:rFonts w:ascii="Calibri" w:hAnsi="Calibri" w:cs="Calibri"/>
          <w:i w:val="0"/>
          <w:iCs w:val="0"/>
          <w:color w:val="000000" w:themeColor="text1"/>
          <w:shd w:val="clear" w:color="auto" w:fill="FFFFFF"/>
        </w:rPr>
        <w:t>. Scientific</w:t>
      </w:r>
      <w:r w:rsidR="008E497E">
        <w:rPr>
          <w:rStyle w:val="HTMLCite"/>
          <w:rFonts w:ascii="Calibri" w:hAnsi="Calibri" w:cs="Calibri"/>
          <w:i w:val="0"/>
          <w:iCs w:val="0"/>
          <w:color w:val="000000" w:themeColor="text1"/>
          <w:shd w:val="clear" w:color="auto" w:fill="FFFFFF"/>
        </w:rPr>
        <w:t xml:space="preserve"> </w:t>
      </w:r>
      <w:r w:rsidRPr="00882ACC">
        <w:rPr>
          <w:rStyle w:val="HTMLCite"/>
          <w:rFonts w:ascii="Calibri" w:hAnsi="Calibri" w:cs="Calibri"/>
          <w:i w:val="0"/>
          <w:iCs w:val="0"/>
          <w:color w:val="000000" w:themeColor="text1"/>
          <w:shd w:val="clear" w:color="auto" w:fill="FFFFFF"/>
        </w:rPr>
        <w:t>World</w:t>
      </w:r>
      <w:r w:rsidR="008E497E">
        <w:rPr>
          <w:rStyle w:val="HTMLCite"/>
          <w:rFonts w:ascii="Calibri" w:hAnsi="Calibri" w:cs="Calibri"/>
          <w:i w:val="0"/>
          <w:iCs w:val="0"/>
          <w:color w:val="000000" w:themeColor="text1"/>
          <w:shd w:val="clear" w:color="auto" w:fill="FFFFFF"/>
        </w:rPr>
        <w:t xml:space="preserve"> </w:t>
      </w:r>
      <w:r w:rsidRPr="00882ACC">
        <w:rPr>
          <w:rStyle w:val="HTMLCite"/>
          <w:rFonts w:ascii="Calibri" w:hAnsi="Calibri" w:cs="Calibri"/>
          <w:i w:val="0"/>
          <w:iCs w:val="0"/>
          <w:color w:val="000000" w:themeColor="text1"/>
          <w:shd w:val="clear" w:color="auto" w:fill="FFFFFF"/>
        </w:rPr>
        <w:t xml:space="preserve">Journal. </w:t>
      </w:r>
      <w:r w:rsidRPr="00882ACC">
        <w:rPr>
          <w:rStyle w:val="cit-vol"/>
          <w:rFonts w:ascii="Calibri" w:hAnsi="Calibri" w:cs="Calibri"/>
          <w:color w:val="000000" w:themeColor="text1"/>
          <w:shd w:val="clear" w:color="auto" w:fill="FFFFFF"/>
        </w:rPr>
        <w:t>1</w:t>
      </w:r>
      <w:r w:rsidRPr="00882ACC">
        <w:rPr>
          <w:rStyle w:val="HTMLCite"/>
          <w:rFonts w:ascii="Calibri" w:hAnsi="Calibri" w:cs="Calibri"/>
          <w:i w:val="0"/>
          <w:iCs w:val="0"/>
          <w:color w:val="000000" w:themeColor="text1"/>
          <w:shd w:val="clear" w:color="auto" w:fill="FFFFFF"/>
        </w:rPr>
        <w:t xml:space="preserve">, </w:t>
      </w:r>
      <w:r w:rsidRPr="00882ACC">
        <w:rPr>
          <w:rStyle w:val="cit-fpage"/>
          <w:rFonts w:ascii="Calibri" w:hAnsi="Calibri" w:cs="Calibri"/>
          <w:color w:val="000000" w:themeColor="text1"/>
          <w:shd w:val="clear" w:color="auto" w:fill="FFFFFF"/>
        </w:rPr>
        <w:t>323</w:t>
      </w:r>
      <w:r w:rsidRPr="00882ACC">
        <w:rPr>
          <w:rStyle w:val="HTMLCite"/>
          <w:rFonts w:ascii="Calibri" w:hAnsi="Calibri" w:cs="Calibri"/>
          <w:i w:val="0"/>
          <w:iCs w:val="0"/>
          <w:color w:val="000000" w:themeColor="text1"/>
          <w:shd w:val="clear" w:color="auto" w:fill="FFFFFF"/>
        </w:rPr>
        <w:t>–3</w:t>
      </w:r>
      <w:r w:rsidRPr="00882ACC">
        <w:rPr>
          <w:rStyle w:val="cit-lpage"/>
          <w:rFonts w:ascii="Calibri" w:hAnsi="Calibri" w:cs="Calibri"/>
          <w:color w:val="000000" w:themeColor="text1"/>
          <w:shd w:val="clear" w:color="auto" w:fill="FFFFFF"/>
        </w:rPr>
        <w:t>36</w:t>
      </w:r>
      <w:r w:rsidRPr="00882ACC">
        <w:rPr>
          <w:rStyle w:val="HTMLCite"/>
          <w:rFonts w:ascii="Calibri" w:hAnsi="Calibri" w:cs="Calibri"/>
          <w:i w:val="0"/>
          <w:iCs w:val="0"/>
          <w:color w:val="000000" w:themeColor="text1"/>
          <w:shd w:val="clear" w:color="auto" w:fill="FFFFFF"/>
        </w:rPr>
        <w:t xml:space="preserve">. </w:t>
      </w:r>
      <w:hyperlink r:id="rId20" w:history="1">
        <w:r w:rsidRPr="00882ACC">
          <w:rPr>
            <w:rStyle w:val="Hyperlink"/>
            <w:rFonts w:ascii="Calibri" w:hAnsi="Calibri" w:cs="Calibri"/>
            <w:color w:val="000000" w:themeColor="text1"/>
            <w:u w:val="none"/>
          </w:rPr>
          <w:t>doi:10.1100/tsw.2001.58</w:t>
        </w:r>
      </w:hyperlink>
    </w:p>
    <w:p w14:paraId="57208CED" w14:textId="5F99B0AA" w:rsidR="00FD4F42" w:rsidRDefault="00FD4F42" w:rsidP="00882ACC">
      <w:pPr>
        <w:spacing w:line="240" w:lineRule="auto"/>
        <w:rPr>
          <w:rStyle w:val="Hyperlink"/>
          <w:rFonts w:ascii="Calibri" w:hAnsi="Calibri" w:cs="Calibri"/>
          <w:color w:val="000000" w:themeColor="text1"/>
          <w:u w:val="none"/>
        </w:rPr>
      </w:pPr>
      <w:r>
        <w:t>NHS National Health Service. The NHS long term plan. 2019. https://www. longtermplan.nhs.uk/ (Accessed 05 Dec 2022)</w:t>
      </w:r>
    </w:p>
    <w:p w14:paraId="4662DB5F" w14:textId="3B3ABAE4" w:rsidR="00E91C13" w:rsidRDefault="00E91C13" w:rsidP="00882ACC">
      <w:pPr>
        <w:spacing w:line="240" w:lineRule="auto"/>
        <w:rPr>
          <w:rStyle w:val="Hyperlink"/>
          <w:rFonts w:ascii="Calibri" w:hAnsi="Calibri" w:cs="Calibri"/>
          <w:color w:val="000000" w:themeColor="text1"/>
          <w:u w:val="none"/>
        </w:rPr>
      </w:pPr>
      <w:r>
        <w:rPr>
          <w:rStyle w:val="Hyperlink"/>
          <w:rFonts w:ascii="Calibri" w:hAnsi="Calibri" w:cs="Calibri"/>
          <w:color w:val="000000" w:themeColor="text1"/>
          <w:u w:val="none"/>
        </w:rPr>
        <w:t>Nielsen L</w:t>
      </w:r>
      <w:r w:rsidR="007B72AA">
        <w:rPr>
          <w:rStyle w:val="Hyperlink"/>
          <w:rFonts w:ascii="Calibri" w:hAnsi="Calibri" w:cs="Calibri"/>
          <w:color w:val="000000" w:themeColor="text1"/>
          <w:u w:val="none"/>
        </w:rPr>
        <w:t>M</w:t>
      </w:r>
      <w:r>
        <w:rPr>
          <w:rStyle w:val="Hyperlink"/>
          <w:rFonts w:ascii="Calibri" w:hAnsi="Calibri" w:cs="Calibri"/>
          <w:color w:val="000000" w:themeColor="text1"/>
          <w:u w:val="none"/>
        </w:rPr>
        <w:t>,</w:t>
      </w:r>
      <w:r w:rsidR="007B72AA">
        <w:rPr>
          <w:rStyle w:val="Hyperlink"/>
          <w:rFonts w:ascii="Calibri" w:hAnsi="Calibri" w:cs="Calibri"/>
          <w:color w:val="000000" w:themeColor="text1"/>
          <w:u w:val="none"/>
        </w:rPr>
        <w:t xml:space="preserve"> </w:t>
      </w:r>
      <w:proofErr w:type="spellStart"/>
      <w:r w:rsidR="007B72AA">
        <w:rPr>
          <w:rStyle w:val="Hyperlink"/>
          <w:rFonts w:ascii="Calibri" w:hAnsi="Calibri" w:cs="Calibri"/>
          <w:color w:val="000000" w:themeColor="text1"/>
          <w:u w:val="none"/>
        </w:rPr>
        <w:t>Kirkegaard</w:t>
      </w:r>
      <w:proofErr w:type="spellEnd"/>
      <w:r w:rsidR="007B72AA">
        <w:rPr>
          <w:rStyle w:val="Hyperlink"/>
          <w:rFonts w:ascii="Calibri" w:hAnsi="Calibri" w:cs="Calibri"/>
          <w:color w:val="000000" w:themeColor="text1"/>
          <w:u w:val="none"/>
        </w:rPr>
        <w:t xml:space="preserve"> H,</w:t>
      </w:r>
      <w:r w:rsidR="007B72AA">
        <w:rPr>
          <w:rStyle w:val="Hyperlink"/>
          <w:rFonts w:ascii="Calibri" w:hAnsi="Calibri" w:cs="Calibri"/>
          <w:color w:val="000000" w:themeColor="text1"/>
          <w:sz w:val="44"/>
          <w:szCs w:val="44"/>
          <w:u w:val="none"/>
        </w:rPr>
        <w:t xml:space="preserve"> </w:t>
      </w:r>
      <w:proofErr w:type="spellStart"/>
      <w:r w:rsidR="007B72AA" w:rsidRPr="007B72AA">
        <w:rPr>
          <w:rStyle w:val="Hyperlink"/>
          <w:rFonts w:ascii="Calibri" w:hAnsi="Calibri" w:cs="Calibri"/>
          <w:color w:val="000000" w:themeColor="text1"/>
          <w:u w:val="none"/>
        </w:rPr>
        <w:t>Ostergaard</w:t>
      </w:r>
      <w:proofErr w:type="spellEnd"/>
      <w:r w:rsidR="007B72AA">
        <w:rPr>
          <w:rStyle w:val="Hyperlink"/>
          <w:rFonts w:ascii="Calibri" w:hAnsi="Calibri" w:cs="Calibri"/>
          <w:color w:val="000000" w:themeColor="text1"/>
          <w:u w:val="none"/>
        </w:rPr>
        <w:t xml:space="preserve"> LG, et al (2016).</w:t>
      </w:r>
      <w:r w:rsidR="007B72AA">
        <w:rPr>
          <w:rStyle w:val="Hyperlink"/>
          <w:rFonts w:ascii="Calibri" w:hAnsi="Calibri" w:cs="Calibri"/>
          <w:color w:val="000000" w:themeColor="text1"/>
          <w:sz w:val="44"/>
          <w:szCs w:val="44"/>
          <w:u w:val="none"/>
        </w:rPr>
        <w:t xml:space="preserve"> </w:t>
      </w:r>
      <w:r>
        <w:rPr>
          <w:rStyle w:val="Hyperlink"/>
          <w:rFonts w:ascii="Calibri" w:hAnsi="Calibri" w:cs="Calibri"/>
          <w:color w:val="000000" w:themeColor="text1"/>
          <w:u w:val="none"/>
        </w:rPr>
        <w:t xml:space="preserve">Comparison of self-reported and performance-based measures of functional ability in elderly patients in an emergency department: Implications for selection of clinical outcome measures. BMC Geriatrics. 16, 1, </w:t>
      </w:r>
      <w:r w:rsidR="007B72AA">
        <w:rPr>
          <w:rStyle w:val="Hyperlink"/>
          <w:rFonts w:ascii="Calibri" w:hAnsi="Calibri" w:cs="Calibri"/>
          <w:color w:val="000000" w:themeColor="text1"/>
          <w:u w:val="none"/>
        </w:rPr>
        <w:t xml:space="preserve">199. </w:t>
      </w:r>
      <w:r w:rsidR="007B72AA" w:rsidRPr="007B72AA">
        <w:rPr>
          <w:rStyle w:val="Hyperlink"/>
          <w:rFonts w:ascii="Calibri" w:hAnsi="Calibri" w:cs="Calibri"/>
          <w:color w:val="000000" w:themeColor="text1"/>
          <w:u w:val="none"/>
        </w:rPr>
        <w:t>https://doi.org/10.1186%2Fs12877-016-0376-1</w:t>
      </w:r>
    </w:p>
    <w:p w14:paraId="7B27A7DB" w14:textId="2212F27F" w:rsidR="002361E7" w:rsidRDefault="007F47CF" w:rsidP="00882ACC">
      <w:pPr>
        <w:pStyle w:val="CommentText"/>
        <w:rPr>
          <w:rFonts w:ascii="Calibri" w:hAnsi="Calibri" w:cs="Calibri"/>
          <w:color w:val="000000" w:themeColor="text1"/>
          <w:sz w:val="22"/>
          <w:szCs w:val="22"/>
          <w:shd w:val="clear" w:color="auto" w:fill="FFFFFF"/>
        </w:rPr>
      </w:pPr>
      <w:r w:rsidRPr="00882ACC">
        <w:rPr>
          <w:rFonts w:ascii="Calibri" w:hAnsi="Calibri" w:cs="Calibri"/>
          <w:color w:val="000000" w:themeColor="text1"/>
          <w:sz w:val="22"/>
          <w:szCs w:val="22"/>
          <w:shd w:val="clear" w:color="auto" w:fill="FFFFFF"/>
        </w:rPr>
        <w:t>R</w:t>
      </w:r>
      <w:r w:rsidR="002361E7" w:rsidRPr="00882ACC">
        <w:rPr>
          <w:rFonts w:ascii="Calibri" w:hAnsi="Calibri" w:cs="Calibri"/>
          <w:color w:val="000000" w:themeColor="text1"/>
          <w:sz w:val="22"/>
          <w:szCs w:val="22"/>
          <w:shd w:val="clear" w:color="auto" w:fill="FFFFFF"/>
        </w:rPr>
        <w:t xml:space="preserve">ockwood K, Song X, </w:t>
      </w:r>
      <w:proofErr w:type="spellStart"/>
      <w:r w:rsidR="002361E7" w:rsidRPr="00882ACC">
        <w:rPr>
          <w:rFonts w:ascii="Calibri" w:hAnsi="Calibri" w:cs="Calibri"/>
          <w:color w:val="000000" w:themeColor="text1"/>
          <w:sz w:val="22"/>
          <w:szCs w:val="22"/>
          <w:shd w:val="clear" w:color="auto" w:fill="FFFFFF"/>
        </w:rPr>
        <w:t>MacKnight</w:t>
      </w:r>
      <w:proofErr w:type="spellEnd"/>
      <w:r w:rsidR="002361E7" w:rsidRPr="00882ACC">
        <w:rPr>
          <w:rFonts w:ascii="Calibri" w:hAnsi="Calibri" w:cs="Calibri"/>
          <w:color w:val="000000" w:themeColor="text1"/>
          <w:sz w:val="22"/>
          <w:szCs w:val="22"/>
          <w:shd w:val="clear" w:color="auto" w:fill="FFFFFF"/>
        </w:rPr>
        <w:t xml:space="preserve"> C, et al (2005) A global clinical measure of fitness and frailty in elderly people. Canadian Medical Association Journal. 173</w:t>
      </w:r>
      <w:r w:rsidRPr="00882ACC">
        <w:rPr>
          <w:rFonts w:ascii="Calibri" w:hAnsi="Calibri" w:cs="Calibri"/>
          <w:color w:val="000000" w:themeColor="text1"/>
          <w:sz w:val="22"/>
          <w:szCs w:val="22"/>
          <w:shd w:val="clear" w:color="auto" w:fill="FFFFFF"/>
        </w:rPr>
        <w:t>,</w:t>
      </w:r>
      <w:r w:rsidR="002361E7" w:rsidRPr="00882ACC">
        <w:rPr>
          <w:rFonts w:ascii="Calibri" w:hAnsi="Calibri" w:cs="Calibri"/>
          <w:color w:val="000000" w:themeColor="text1"/>
          <w:sz w:val="22"/>
          <w:szCs w:val="22"/>
          <w:shd w:val="clear" w:color="auto" w:fill="FFFFFF"/>
        </w:rPr>
        <w:t>5</w:t>
      </w:r>
      <w:r w:rsidRPr="00882ACC">
        <w:rPr>
          <w:rFonts w:ascii="Calibri" w:hAnsi="Calibri" w:cs="Calibri"/>
          <w:color w:val="000000" w:themeColor="text1"/>
          <w:sz w:val="22"/>
          <w:szCs w:val="22"/>
          <w:shd w:val="clear" w:color="auto" w:fill="FFFFFF"/>
        </w:rPr>
        <w:t xml:space="preserve">, </w:t>
      </w:r>
      <w:r w:rsidR="002361E7" w:rsidRPr="00882ACC">
        <w:rPr>
          <w:rFonts w:ascii="Calibri" w:hAnsi="Calibri" w:cs="Calibri"/>
          <w:color w:val="000000" w:themeColor="text1"/>
          <w:sz w:val="22"/>
          <w:szCs w:val="22"/>
          <w:shd w:val="clear" w:color="auto" w:fill="FFFFFF"/>
        </w:rPr>
        <w:t xml:space="preserve">489-95. </w:t>
      </w:r>
      <w:proofErr w:type="spellStart"/>
      <w:r w:rsidR="002361E7" w:rsidRPr="00882ACC">
        <w:rPr>
          <w:rFonts w:ascii="Calibri" w:hAnsi="Calibri" w:cs="Calibri"/>
          <w:color w:val="000000" w:themeColor="text1"/>
          <w:sz w:val="22"/>
          <w:szCs w:val="22"/>
          <w:shd w:val="clear" w:color="auto" w:fill="FFFFFF"/>
        </w:rPr>
        <w:t>doi</w:t>
      </w:r>
      <w:proofErr w:type="spellEnd"/>
      <w:r w:rsidR="002361E7" w:rsidRPr="00882ACC">
        <w:rPr>
          <w:rFonts w:ascii="Calibri" w:hAnsi="Calibri" w:cs="Calibri"/>
          <w:color w:val="000000" w:themeColor="text1"/>
          <w:sz w:val="22"/>
          <w:szCs w:val="22"/>
          <w:shd w:val="clear" w:color="auto" w:fill="FFFFFF"/>
        </w:rPr>
        <w:t>: 10.1503/cmaj.050051 </w:t>
      </w:r>
    </w:p>
    <w:p w14:paraId="4BEDA4B7" w14:textId="0A08F8C7" w:rsidR="00D31EC8" w:rsidRPr="00882ACC" w:rsidRDefault="00D31EC8" w:rsidP="00882ACC">
      <w:pPr>
        <w:pStyle w:val="CommentText"/>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Rockwood K, </w:t>
      </w:r>
      <w:proofErr w:type="spellStart"/>
      <w:r>
        <w:rPr>
          <w:rFonts w:ascii="Calibri" w:hAnsi="Calibri" w:cs="Calibri"/>
          <w:color w:val="000000" w:themeColor="text1"/>
          <w:sz w:val="22"/>
          <w:szCs w:val="22"/>
          <w:shd w:val="clear" w:color="auto" w:fill="FFFFFF"/>
        </w:rPr>
        <w:t>Theou</w:t>
      </w:r>
      <w:proofErr w:type="spellEnd"/>
      <w:r>
        <w:rPr>
          <w:rFonts w:ascii="Calibri" w:hAnsi="Calibri" w:cs="Calibri"/>
          <w:color w:val="000000" w:themeColor="text1"/>
          <w:sz w:val="22"/>
          <w:szCs w:val="22"/>
          <w:shd w:val="clear" w:color="auto" w:fill="FFFFFF"/>
        </w:rPr>
        <w:t xml:space="preserve"> O (2020). Using the Clinical Frailty Scale in allocating scarce healthcare resources. Canadian Geriatrics Journal. 23,3, 210-215. </w:t>
      </w:r>
      <w:r w:rsidRPr="00D31EC8">
        <w:rPr>
          <w:rFonts w:ascii="Calibri" w:hAnsi="Calibri" w:cs="Calibri"/>
          <w:color w:val="000000" w:themeColor="text1"/>
          <w:sz w:val="22"/>
          <w:szCs w:val="22"/>
          <w:shd w:val="clear" w:color="auto" w:fill="FFFFFF"/>
        </w:rPr>
        <w:t>https://doi.org/10.5770%2Fcgj.23.463</w:t>
      </w:r>
    </w:p>
    <w:p w14:paraId="3F7FC01E" w14:textId="01BD5AAE" w:rsidR="00712EEC" w:rsidRPr="00882ACC" w:rsidRDefault="00712EEC" w:rsidP="00882ACC">
      <w:pPr>
        <w:pStyle w:val="CommentText"/>
        <w:rPr>
          <w:rFonts w:ascii="Calibri" w:hAnsi="Calibri" w:cs="Calibri"/>
          <w:color w:val="000000" w:themeColor="text1"/>
          <w:sz w:val="22"/>
          <w:szCs w:val="22"/>
          <w:shd w:val="clear" w:color="auto" w:fill="FFFFFF"/>
        </w:rPr>
      </w:pPr>
      <w:proofErr w:type="spellStart"/>
      <w:r w:rsidRPr="00882ACC">
        <w:rPr>
          <w:rFonts w:ascii="Calibri" w:hAnsi="Calibri" w:cs="Calibri"/>
          <w:color w:val="000000" w:themeColor="text1"/>
          <w:sz w:val="22"/>
          <w:szCs w:val="22"/>
          <w:shd w:val="clear" w:color="auto" w:fill="FFFFFF"/>
        </w:rPr>
        <w:t>O'Caoimh</w:t>
      </w:r>
      <w:proofErr w:type="spellEnd"/>
      <w:r w:rsidRPr="00882ACC">
        <w:rPr>
          <w:rFonts w:ascii="Calibri" w:hAnsi="Calibri" w:cs="Calibri"/>
          <w:color w:val="000000" w:themeColor="text1"/>
          <w:sz w:val="22"/>
          <w:szCs w:val="22"/>
          <w:shd w:val="clear" w:color="auto" w:fill="FFFFFF"/>
        </w:rPr>
        <w:t xml:space="preserve"> R, Costello M, Small C, et al (2019). Comparison of Frailty Screening Instruments in the Emergency Department. International Journey of Environmental Research and Public Health. 16,19,3626. </w:t>
      </w:r>
      <w:proofErr w:type="spellStart"/>
      <w:r w:rsidRPr="00882ACC">
        <w:rPr>
          <w:rFonts w:ascii="Calibri" w:hAnsi="Calibri" w:cs="Calibri"/>
          <w:color w:val="000000" w:themeColor="text1"/>
          <w:sz w:val="22"/>
          <w:szCs w:val="22"/>
          <w:shd w:val="clear" w:color="auto" w:fill="FFFFFF"/>
        </w:rPr>
        <w:t>doi</w:t>
      </w:r>
      <w:proofErr w:type="spellEnd"/>
      <w:r w:rsidRPr="00882ACC">
        <w:rPr>
          <w:rFonts w:ascii="Calibri" w:hAnsi="Calibri" w:cs="Calibri"/>
          <w:color w:val="000000" w:themeColor="text1"/>
          <w:sz w:val="22"/>
          <w:szCs w:val="22"/>
          <w:shd w:val="clear" w:color="auto" w:fill="FFFFFF"/>
        </w:rPr>
        <w:t>: 10.3390/ijerph16193626</w:t>
      </w:r>
    </w:p>
    <w:p w14:paraId="5F735550" w14:textId="66764166" w:rsidR="00482FBC" w:rsidRPr="00882ACC" w:rsidRDefault="00482FBC" w:rsidP="00882ACC">
      <w:pPr>
        <w:pStyle w:val="CommentText"/>
        <w:rPr>
          <w:rFonts w:ascii="Calibri" w:hAnsi="Calibri" w:cs="Calibri"/>
          <w:color w:val="000000" w:themeColor="text1"/>
          <w:sz w:val="22"/>
          <w:szCs w:val="22"/>
          <w:shd w:val="clear" w:color="auto" w:fill="FFFFFF"/>
        </w:rPr>
      </w:pPr>
      <w:r w:rsidRPr="00882ACC">
        <w:rPr>
          <w:rFonts w:ascii="Calibri" w:hAnsi="Calibri" w:cs="Calibri"/>
          <w:color w:val="000000" w:themeColor="text1"/>
          <w:sz w:val="22"/>
          <w:szCs w:val="22"/>
          <w:shd w:val="clear" w:color="auto" w:fill="FFFFFF"/>
        </w:rPr>
        <w:t xml:space="preserve">Office for National Statistics (2021). Population and household estimates, England and Wales: Census 2021. </w:t>
      </w:r>
      <w:hyperlink r:id="rId21" w:history="1">
        <w:r w:rsidRPr="00882ACC">
          <w:rPr>
            <w:rStyle w:val="Hyperlink"/>
            <w:rFonts w:ascii="Calibri" w:hAnsi="Calibri" w:cs="Calibri"/>
            <w:color w:val="000000" w:themeColor="text1"/>
            <w:sz w:val="22"/>
            <w:szCs w:val="22"/>
            <w:u w:val="none"/>
          </w:rPr>
          <w:t>https://www.ons.gov.</w:t>
        </w:r>
      </w:hyperlink>
      <w:r w:rsidRPr="00882ACC">
        <w:rPr>
          <w:rFonts w:ascii="Calibri" w:hAnsi="Calibri" w:cs="Calibri"/>
          <w:color w:val="000000" w:themeColor="text1"/>
          <w:sz w:val="22"/>
          <w:szCs w:val="22"/>
        </w:rPr>
        <w:t>uk/peoplepopulationandcommunity/populationandmigration/populationestimates/bulletins/populationandhouseholdestimatesenglandandwales/census2021 (Last accessed 13 November.)</w:t>
      </w:r>
    </w:p>
    <w:p w14:paraId="203E72F7" w14:textId="1E39AB82" w:rsidR="00846282" w:rsidRPr="00882ACC" w:rsidRDefault="00846282" w:rsidP="00882ACC">
      <w:pPr>
        <w:spacing w:line="240" w:lineRule="auto"/>
        <w:rPr>
          <w:rFonts w:cstheme="minorHAnsi"/>
          <w:color w:val="000000" w:themeColor="text1"/>
          <w:shd w:val="clear" w:color="auto" w:fill="FCFCFC"/>
        </w:rPr>
      </w:pPr>
      <w:r w:rsidRPr="00882ACC">
        <w:rPr>
          <w:rFonts w:cstheme="minorHAnsi"/>
          <w:color w:val="000000" w:themeColor="text1"/>
          <w:spacing w:val="-3"/>
          <w:shd w:val="clear" w:color="auto" w:fill="FFFFFF"/>
        </w:rPr>
        <w:t xml:space="preserve">Puig </w:t>
      </w:r>
      <w:proofErr w:type="spellStart"/>
      <w:r w:rsidRPr="00882ACC">
        <w:rPr>
          <w:rFonts w:cstheme="minorHAnsi"/>
          <w:color w:val="000000" w:themeColor="text1"/>
          <w:spacing w:val="-3"/>
          <w:shd w:val="clear" w:color="auto" w:fill="FFFFFF"/>
        </w:rPr>
        <w:t>Campmany</w:t>
      </w:r>
      <w:proofErr w:type="spellEnd"/>
      <w:r w:rsidRPr="00882ACC">
        <w:rPr>
          <w:rFonts w:cstheme="minorHAnsi"/>
          <w:color w:val="000000" w:themeColor="text1"/>
          <w:spacing w:val="-3"/>
          <w:shd w:val="clear" w:color="auto" w:fill="FFFFFF"/>
        </w:rPr>
        <w:t xml:space="preserve"> M, </w:t>
      </w:r>
      <w:proofErr w:type="spellStart"/>
      <w:r w:rsidRPr="00882ACC">
        <w:rPr>
          <w:rFonts w:cstheme="minorHAnsi"/>
          <w:color w:val="000000" w:themeColor="text1"/>
          <w:spacing w:val="-3"/>
          <w:shd w:val="clear" w:color="auto" w:fill="FFFFFF"/>
        </w:rPr>
        <w:t>Ris</w:t>
      </w:r>
      <w:proofErr w:type="spellEnd"/>
      <w:r w:rsidRPr="00882ACC">
        <w:rPr>
          <w:rFonts w:cstheme="minorHAnsi"/>
          <w:color w:val="000000" w:themeColor="text1"/>
          <w:spacing w:val="-3"/>
          <w:shd w:val="clear" w:color="auto" w:fill="FFFFFF"/>
        </w:rPr>
        <w:t xml:space="preserve"> Romeu J, </w:t>
      </w:r>
      <w:proofErr w:type="spellStart"/>
      <w:r w:rsidRPr="00882ACC">
        <w:rPr>
          <w:rFonts w:cstheme="minorHAnsi"/>
          <w:color w:val="000000" w:themeColor="text1"/>
          <w:spacing w:val="-3"/>
          <w:shd w:val="clear" w:color="auto" w:fill="FFFFFF"/>
        </w:rPr>
        <w:t>Blazquez</w:t>
      </w:r>
      <w:proofErr w:type="spellEnd"/>
      <w:r w:rsidRPr="00882ACC">
        <w:rPr>
          <w:rFonts w:cstheme="minorHAnsi"/>
          <w:color w:val="000000" w:themeColor="text1"/>
          <w:spacing w:val="-3"/>
          <w:shd w:val="clear" w:color="auto" w:fill="FFFFFF"/>
        </w:rPr>
        <w:t xml:space="preserve"> </w:t>
      </w:r>
      <w:proofErr w:type="spellStart"/>
      <w:r w:rsidRPr="00882ACC">
        <w:rPr>
          <w:rFonts w:cstheme="minorHAnsi"/>
          <w:color w:val="000000" w:themeColor="text1"/>
          <w:spacing w:val="-3"/>
          <w:shd w:val="clear" w:color="auto" w:fill="FFFFFF"/>
        </w:rPr>
        <w:t>Andion</w:t>
      </w:r>
      <w:proofErr w:type="spellEnd"/>
      <w:r w:rsidRPr="00882ACC">
        <w:rPr>
          <w:rFonts w:cstheme="minorHAnsi"/>
          <w:color w:val="000000" w:themeColor="text1"/>
          <w:spacing w:val="-3"/>
          <w:shd w:val="clear" w:color="auto" w:fill="FFFFFF"/>
        </w:rPr>
        <w:t xml:space="preserve"> M, et al (2019). Development of a comprehensive, multidisciplinary programme of care for frailty in an Emergency Department. European Geriatric Medicine. 10, 37-46. </w:t>
      </w:r>
      <w:hyperlink r:id="rId22" w:history="1">
        <w:r w:rsidR="00AA2B63" w:rsidRPr="00882ACC">
          <w:rPr>
            <w:rStyle w:val="Hyperlink"/>
            <w:rFonts w:cstheme="minorHAnsi"/>
            <w:color w:val="000000" w:themeColor="text1"/>
            <w:u w:val="none"/>
            <w:shd w:val="clear" w:color="auto" w:fill="FCFCFC"/>
          </w:rPr>
          <w:t>https://doi.org/10.1007/s41999-018-0151-2</w:t>
        </w:r>
      </w:hyperlink>
    </w:p>
    <w:p w14:paraId="2C8C3F18" w14:textId="579418AB" w:rsidR="00AA2B63" w:rsidRDefault="008C11A9" w:rsidP="00882ACC">
      <w:pPr>
        <w:shd w:val="clear" w:color="auto" w:fill="FFFFFF"/>
        <w:spacing w:after="0" w:line="240" w:lineRule="auto"/>
        <w:rPr>
          <w:rStyle w:val="identifier"/>
          <w:rFonts w:cstheme="minorHAnsi"/>
          <w:color w:val="000000" w:themeColor="text1"/>
        </w:rPr>
      </w:pPr>
      <w:r w:rsidRPr="00882ACC">
        <w:rPr>
          <w:rFonts w:cstheme="minorHAnsi"/>
          <w:color w:val="000000" w:themeColor="text1"/>
          <w:shd w:val="clear" w:color="auto" w:fill="FCFCFC"/>
        </w:rPr>
        <w:t>Turner G, Clegg A (2014). Best practice guideline for the management of frailty: a British Geriatric Society, Age UK and Royal College of General Prac</w:t>
      </w:r>
      <w:r w:rsidR="0021543D" w:rsidRPr="00882ACC">
        <w:rPr>
          <w:rFonts w:cstheme="minorHAnsi"/>
          <w:color w:val="000000" w:themeColor="text1"/>
          <w:shd w:val="clear" w:color="auto" w:fill="FCFCFC"/>
        </w:rPr>
        <w:t>titio</w:t>
      </w:r>
      <w:r w:rsidRPr="00882ACC">
        <w:rPr>
          <w:rFonts w:cstheme="minorHAnsi"/>
          <w:color w:val="000000" w:themeColor="text1"/>
          <w:shd w:val="clear" w:color="auto" w:fill="FCFCFC"/>
        </w:rPr>
        <w:t xml:space="preserve">ners </w:t>
      </w:r>
      <w:r w:rsidR="0021543D" w:rsidRPr="00882ACC">
        <w:rPr>
          <w:rFonts w:cstheme="minorHAnsi"/>
          <w:color w:val="000000" w:themeColor="text1"/>
          <w:shd w:val="clear" w:color="auto" w:fill="FCFCFC"/>
        </w:rPr>
        <w:t>r</w:t>
      </w:r>
      <w:r w:rsidRPr="00882ACC">
        <w:rPr>
          <w:rFonts w:cstheme="minorHAnsi"/>
          <w:color w:val="000000" w:themeColor="text1"/>
          <w:shd w:val="clear" w:color="auto" w:fill="FCFCFC"/>
        </w:rPr>
        <w:t>eport</w:t>
      </w:r>
      <w:r w:rsidR="0021543D" w:rsidRPr="00882ACC">
        <w:rPr>
          <w:rFonts w:cstheme="minorHAnsi"/>
          <w:color w:val="000000" w:themeColor="text1"/>
          <w:shd w:val="clear" w:color="auto" w:fill="FCFCFC"/>
        </w:rPr>
        <w:t xml:space="preserve">. Age and Ageing. 43,6, 744-747. </w:t>
      </w:r>
      <w:proofErr w:type="spellStart"/>
      <w:r w:rsidR="0021543D" w:rsidRPr="00882ACC">
        <w:rPr>
          <w:rStyle w:val="id-label"/>
          <w:rFonts w:cstheme="minorHAnsi"/>
          <w:color w:val="000000" w:themeColor="text1"/>
        </w:rPr>
        <w:t>doi</w:t>
      </w:r>
      <w:proofErr w:type="spellEnd"/>
      <w:r w:rsidR="0021543D" w:rsidRPr="00882ACC">
        <w:rPr>
          <w:rStyle w:val="id-label"/>
          <w:rFonts w:cstheme="minorHAnsi"/>
          <w:color w:val="000000" w:themeColor="text1"/>
        </w:rPr>
        <w:t>: </w:t>
      </w:r>
      <w:hyperlink r:id="rId23" w:tgtFrame="_blank" w:history="1">
        <w:r w:rsidR="0021543D" w:rsidRPr="00882ACC">
          <w:rPr>
            <w:rStyle w:val="Hyperlink"/>
            <w:rFonts w:cstheme="minorHAnsi"/>
            <w:color w:val="000000" w:themeColor="text1"/>
            <w:u w:val="none"/>
          </w:rPr>
          <w:t>10.1093/ageing/afu138</w:t>
        </w:r>
      </w:hyperlink>
    </w:p>
    <w:p w14:paraId="678336D4" w14:textId="2FDB53A2" w:rsidR="00930981" w:rsidRDefault="00930981" w:rsidP="00882ACC">
      <w:pPr>
        <w:shd w:val="clear" w:color="auto" w:fill="FFFFFF"/>
        <w:spacing w:after="0" w:line="240" w:lineRule="auto"/>
        <w:rPr>
          <w:rStyle w:val="identifier"/>
          <w:rFonts w:cstheme="minorHAnsi"/>
          <w:color w:val="000000" w:themeColor="text1"/>
        </w:rPr>
      </w:pPr>
    </w:p>
    <w:p w14:paraId="0C2447EB" w14:textId="31F01BF2" w:rsidR="00930981" w:rsidRPr="00882ACC" w:rsidRDefault="00930981" w:rsidP="00882ACC">
      <w:pPr>
        <w:shd w:val="clear" w:color="auto" w:fill="FFFFFF"/>
        <w:spacing w:after="0" w:line="240" w:lineRule="auto"/>
        <w:rPr>
          <w:rFonts w:cstheme="minorHAnsi"/>
          <w:color w:val="000000" w:themeColor="text1"/>
        </w:rPr>
      </w:pPr>
      <w:r>
        <w:rPr>
          <w:rStyle w:val="identifier"/>
          <w:rFonts w:cstheme="minorHAnsi"/>
          <w:color w:val="000000" w:themeColor="text1"/>
        </w:rPr>
        <w:t xml:space="preserve">Specialised Clinical Frailty Network (2018). Clinical Frailty scale. </w:t>
      </w:r>
      <w:r w:rsidRPr="00930981">
        <w:rPr>
          <w:rStyle w:val="identifier"/>
          <w:rFonts w:cstheme="minorHAnsi"/>
          <w:color w:val="000000" w:themeColor="text1"/>
        </w:rPr>
        <w:t>https://www.scfn.org.uk/</w:t>
      </w:r>
      <w:r w:rsidRPr="00930981">
        <w:t xml:space="preserve"> </w:t>
      </w:r>
      <w:r w:rsidRPr="00930981">
        <w:rPr>
          <w:rStyle w:val="identifier"/>
          <w:rFonts w:cstheme="minorHAnsi"/>
          <w:color w:val="000000" w:themeColor="text1"/>
        </w:rPr>
        <w:t xml:space="preserve">clinical-frailty-scale </w:t>
      </w:r>
      <w:r>
        <w:t>(Last accessed 13 November 2022.)</w:t>
      </w:r>
    </w:p>
    <w:p w14:paraId="4AF40F24" w14:textId="77777777" w:rsidR="0021543D" w:rsidRPr="0021543D" w:rsidRDefault="0021543D" w:rsidP="00882ACC">
      <w:pPr>
        <w:shd w:val="clear" w:color="auto" w:fill="FFFFFF"/>
        <w:spacing w:after="0" w:line="240" w:lineRule="auto"/>
        <w:rPr>
          <w:rStyle w:val="Emphasis"/>
          <w:rFonts w:cstheme="minorHAnsi"/>
          <w:i w:val="0"/>
          <w:iCs w:val="0"/>
          <w:color w:val="212121"/>
        </w:rPr>
      </w:pPr>
    </w:p>
    <w:p w14:paraId="7B0E0F2F" w14:textId="77777777" w:rsidR="00482FBC" w:rsidRPr="00712EEC" w:rsidRDefault="00482FBC" w:rsidP="00712EEC">
      <w:pPr>
        <w:pStyle w:val="CommentText"/>
        <w:spacing w:line="360" w:lineRule="auto"/>
        <w:rPr>
          <w:sz w:val="22"/>
          <w:szCs w:val="22"/>
        </w:rPr>
      </w:pPr>
    </w:p>
    <w:p w14:paraId="1CB3F9B8" w14:textId="77777777" w:rsidR="00712EEC" w:rsidRPr="004756E1" w:rsidRDefault="00712EEC" w:rsidP="002361E7">
      <w:pPr>
        <w:pStyle w:val="CommentText"/>
        <w:spacing w:line="360" w:lineRule="auto"/>
        <w:rPr>
          <w:rFonts w:cstheme="minorHAnsi"/>
          <w:sz w:val="22"/>
          <w:szCs w:val="22"/>
          <w:shd w:val="clear" w:color="auto" w:fill="FFFFFF"/>
        </w:rPr>
      </w:pPr>
    </w:p>
    <w:p w14:paraId="65B9304E" w14:textId="77B79C45" w:rsidR="00076ED8" w:rsidRPr="004756E1" w:rsidRDefault="00D22CB9" w:rsidP="002361E7">
      <w:pPr>
        <w:pStyle w:val="CommentText"/>
        <w:spacing w:line="360" w:lineRule="auto"/>
        <w:rPr>
          <w:rFonts w:cstheme="minorHAnsi"/>
          <w:sz w:val="22"/>
          <w:szCs w:val="22"/>
        </w:rPr>
      </w:pPr>
      <w:r>
        <w:rPr>
          <w:rFonts w:cstheme="minorHAnsi"/>
          <w:sz w:val="22"/>
          <w:szCs w:val="22"/>
        </w:rPr>
        <w:t xml:space="preserve"> </w:t>
      </w:r>
    </w:p>
    <w:p w14:paraId="076C8672" w14:textId="77777777" w:rsidR="000E7FD8" w:rsidRPr="000E7FD8" w:rsidRDefault="000E7FD8" w:rsidP="00081737">
      <w:pPr>
        <w:rPr>
          <w:u w:val="single"/>
        </w:rPr>
      </w:pPr>
    </w:p>
    <w:sectPr w:rsidR="000E7FD8" w:rsidRPr="000E7FD8">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A91F" w14:textId="77777777" w:rsidR="00CA4AB7" w:rsidRDefault="00CA4AB7" w:rsidP="00CA4AB7">
      <w:pPr>
        <w:spacing w:after="0" w:line="240" w:lineRule="auto"/>
      </w:pPr>
      <w:r>
        <w:separator/>
      </w:r>
    </w:p>
  </w:endnote>
  <w:endnote w:type="continuationSeparator" w:id="0">
    <w:p w14:paraId="79CD5462" w14:textId="77777777" w:rsidR="00CA4AB7" w:rsidRDefault="00CA4AB7" w:rsidP="00CA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B037" w14:textId="77777777" w:rsidR="00CA4AB7" w:rsidRDefault="00CA4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FF61" w14:textId="77777777" w:rsidR="00CA4AB7" w:rsidRDefault="00CA4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B11B" w14:textId="77777777" w:rsidR="00CA4AB7" w:rsidRDefault="00CA4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BF0C" w14:textId="77777777" w:rsidR="00CA4AB7" w:rsidRDefault="00CA4AB7" w:rsidP="00CA4AB7">
      <w:pPr>
        <w:spacing w:after="0" w:line="240" w:lineRule="auto"/>
      </w:pPr>
      <w:r>
        <w:separator/>
      </w:r>
    </w:p>
  </w:footnote>
  <w:footnote w:type="continuationSeparator" w:id="0">
    <w:p w14:paraId="4D63D35D" w14:textId="77777777" w:rsidR="00CA4AB7" w:rsidRDefault="00CA4AB7" w:rsidP="00CA4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5BCB" w14:textId="7588AA61" w:rsidR="00CA4AB7" w:rsidRDefault="00CA4AB7">
    <w:pPr>
      <w:pStyle w:val="Header"/>
    </w:pPr>
    <w:r>
      <w:rPr>
        <w:noProof/>
      </w:rPr>
      <w:pict w14:anchorId="0AC2F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32157" o:spid="_x0000_s2050" type="#_x0000_t136" style="position:absolute;margin-left:0;margin-top:0;width:565.55pt;height:70.65pt;rotation:315;z-index:-251655168;mso-position-horizontal:center;mso-position-horizontal-relative:margin;mso-position-vertical:center;mso-position-vertical-relative:margin" o:allowincell="f" fillcolor="silver" stroked="f">
          <v:fill opacity=".5"/>
          <v:textpath style="font-family:&quot;Calibri&quot;;font-size:1pt" string="Accepted pre-journal forma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DFE3" w14:textId="2F83E636" w:rsidR="00CA4AB7" w:rsidRDefault="00CA4AB7">
    <w:pPr>
      <w:pStyle w:val="Header"/>
    </w:pPr>
    <w:r>
      <w:rPr>
        <w:noProof/>
      </w:rPr>
      <w:pict w14:anchorId="1494E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32158" o:spid="_x0000_s2051" type="#_x0000_t136" style="position:absolute;margin-left:0;margin-top:0;width:565.55pt;height:70.65pt;rotation:315;z-index:-251653120;mso-position-horizontal:center;mso-position-horizontal-relative:margin;mso-position-vertical:center;mso-position-vertical-relative:margin" o:allowincell="f" fillcolor="silver" stroked="f">
          <v:fill opacity=".5"/>
          <v:textpath style="font-family:&quot;Calibri&quot;;font-size:1pt" string="Accepted pre-journal forma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B032" w14:textId="6CE67951" w:rsidR="00CA4AB7" w:rsidRDefault="00CA4AB7">
    <w:pPr>
      <w:pStyle w:val="Header"/>
    </w:pPr>
    <w:r>
      <w:rPr>
        <w:noProof/>
      </w:rPr>
      <w:pict w14:anchorId="0D576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32156" o:spid="_x0000_s2049" type="#_x0000_t136" style="position:absolute;margin-left:0;margin-top:0;width:565.55pt;height:70.65pt;rotation:315;z-index:-251657216;mso-position-horizontal:center;mso-position-horizontal-relative:margin;mso-position-vertical:center;mso-position-vertical-relative:margin" o:allowincell="f" fillcolor="silver" stroked="f">
          <v:fill opacity=".5"/>
          <v:textpath style="font-family:&quot;Calibri&quot;;font-size:1pt" string="Accepted pre-journal forma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D75"/>
    <w:multiLevelType w:val="multilevel"/>
    <w:tmpl w:val="6CC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47DDC"/>
    <w:multiLevelType w:val="hybridMultilevel"/>
    <w:tmpl w:val="61B6E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2E47"/>
    <w:multiLevelType w:val="hybridMultilevel"/>
    <w:tmpl w:val="2A30FEEE"/>
    <w:lvl w:ilvl="0" w:tplc="39280A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44603"/>
    <w:multiLevelType w:val="hybridMultilevel"/>
    <w:tmpl w:val="62DAD8B6"/>
    <w:lvl w:ilvl="0" w:tplc="A75AAB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83F40"/>
    <w:multiLevelType w:val="hybridMultilevel"/>
    <w:tmpl w:val="4F3E720A"/>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32212A"/>
    <w:multiLevelType w:val="multilevel"/>
    <w:tmpl w:val="DD7C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B1DF2"/>
    <w:multiLevelType w:val="hybridMultilevel"/>
    <w:tmpl w:val="26945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A4CE2"/>
    <w:multiLevelType w:val="hybridMultilevel"/>
    <w:tmpl w:val="BFC44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E35A6"/>
    <w:multiLevelType w:val="hybridMultilevel"/>
    <w:tmpl w:val="5AC6E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E0134"/>
    <w:multiLevelType w:val="hybridMultilevel"/>
    <w:tmpl w:val="65060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1B30F3"/>
    <w:multiLevelType w:val="hybridMultilevel"/>
    <w:tmpl w:val="1054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93E7C"/>
    <w:multiLevelType w:val="hybridMultilevel"/>
    <w:tmpl w:val="2A30FEEE"/>
    <w:lvl w:ilvl="0" w:tplc="39280A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C02C7"/>
    <w:multiLevelType w:val="multilevel"/>
    <w:tmpl w:val="6CAC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E63AE5"/>
    <w:multiLevelType w:val="multilevel"/>
    <w:tmpl w:val="69BE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061867"/>
    <w:multiLevelType w:val="hybridMultilevel"/>
    <w:tmpl w:val="226E4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5B0AF0"/>
    <w:multiLevelType w:val="hybridMultilevel"/>
    <w:tmpl w:val="343079BE"/>
    <w:lvl w:ilvl="0" w:tplc="CE622542">
      <w:start w:val="1"/>
      <w:numFmt w:val="lowerLetter"/>
      <w:lvlText w:val="(%1)"/>
      <w:lvlJc w:val="left"/>
      <w:pPr>
        <w:ind w:left="720" w:hanging="360"/>
      </w:pPr>
      <w:rPr>
        <w:rFonts w:ascii="Calibri" w:eastAsiaTheme="minorHAns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C4E84"/>
    <w:multiLevelType w:val="hybridMultilevel"/>
    <w:tmpl w:val="AA3A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45ECB"/>
    <w:multiLevelType w:val="hybridMultilevel"/>
    <w:tmpl w:val="EDC40BD8"/>
    <w:lvl w:ilvl="0" w:tplc="973099C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F26778"/>
    <w:multiLevelType w:val="multilevel"/>
    <w:tmpl w:val="8394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E77114"/>
    <w:multiLevelType w:val="hybridMultilevel"/>
    <w:tmpl w:val="73620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003801"/>
    <w:multiLevelType w:val="hybridMultilevel"/>
    <w:tmpl w:val="F7F61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651E31"/>
    <w:multiLevelType w:val="hybridMultilevel"/>
    <w:tmpl w:val="F844F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139C1"/>
    <w:multiLevelType w:val="hybridMultilevel"/>
    <w:tmpl w:val="FBA82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4938A4"/>
    <w:multiLevelType w:val="multilevel"/>
    <w:tmpl w:val="6840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6"/>
  </w:num>
  <w:num w:numId="4">
    <w:abstractNumId w:val="18"/>
  </w:num>
  <w:num w:numId="5">
    <w:abstractNumId w:val="5"/>
  </w:num>
  <w:num w:numId="6">
    <w:abstractNumId w:val="12"/>
  </w:num>
  <w:num w:numId="7">
    <w:abstractNumId w:val="9"/>
  </w:num>
  <w:num w:numId="8">
    <w:abstractNumId w:val="10"/>
  </w:num>
  <w:num w:numId="9">
    <w:abstractNumId w:val="2"/>
  </w:num>
  <w:num w:numId="10">
    <w:abstractNumId w:val="15"/>
  </w:num>
  <w:num w:numId="11">
    <w:abstractNumId w:val="0"/>
  </w:num>
  <w:num w:numId="12">
    <w:abstractNumId w:val="23"/>
  </w:num>
  <w:num w:numId="13">
    <w:abstractNumId w:val="19"/>
  </w:num>
  <w:num w:numId="14">
    <w:abstractNumId w:val="7"/>
  </w:num>
  <w:num w:numId="15">
    <w:abstractNumId w:val="20"/>
  </w:num>
  <w:num w:numId="16">
    <w:abstractNumId w:val="13"/>
  </w:num>
  <w:num w:numId="17">
    <w:abstractNumId w:val="1"/>
  </w:num>
  <w:num w:numId="18">
    <w:abstractNumId w:val="6"/>
  </w:num>
  <w:num w:numId="19">
    <w:abstractNumId w:val="22"/>
  </w:num>
  <w:num w:numId="20">
    <w:abstractNumId w:val="17"/>
  </w:num>
  <w:num w:numId="21">
    <w:abstractNumId w:val="3"/>
  </w:num>
  <w:num w:numId="22">
    <w:abstractNumId w:val="4"/>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EA"/>
    <w:rsid w:val="00000854"/>
    <w:rsid w:val="00001B86"/>
    <w:rsid w:val="00001B99"/>
    <w:rsid w:val="00005504"/>
    <w:rsid w:val="00005EC8"/>
    <w:rsid w:val="00010F57"/>
    <w:rsid w:val="00026D7F"/>
    <w:rsid w:val="000354B4"/>
    <w:rsid w:val="00037213"/>
    <w:rsid w:val="00042E9A"/>
    <w:rsid w:val="00046242"/>
    <w:rsid w:val="00062CAC"/>
    <w:rsid w:val="00076ED8"/>
    <w:rsid w:val="00077F5C"/>
    <w:rsid w:val="00081737"/>
    <w:rsid w:val="00083FF0"/>
    <w:rsid w:val="00090E29"/>
    <w:rsid w:val="000915CE"/>
    <w:rsid w:val="000A3C99"/>
    <w:rsid w:val="000A4F52"/>
    <w:rsid w:val="000B65E5"/>
    <w:rsid w:val="000C289D"/>
    <w:rsid w:val="000D5B5B"/>
    <w:rsid w:val="000E2A31"/>
    <w:rsid w:val="000E3C79"/>
    <w:rsid w:val="000E5E5C"/>
    <w:rsid w:val="000E7FD8"/>
    <w:rsid w:val="000F1963"/>
    <w:rsid w:val="00102B83"/>
    <w:rsid w:val="001054F3"/>
    <w:rsid w:val="00105F67"/>
    <w:rsid w:val="001063A8"/>
    <w:rsid w:val="001328D7"/>
    <w:rsid w:val="001408DC"/>
    <w:rsid w:val="00141AEB"/>
    <w:rsid w:val="0014510C"/>
    <w:rsid w:val="001518CA"/>
    <w:rsid w:val="00153744"/>
    <w:rsid w:val="00154B86"/>
    <w:rsid w:val="0016012D"/>
    <w:rsid w:val="00163980"/>
    <w:rsid w:val="00187C39"/>
    <w:rsid w:val="001965F3"/>
    <w:rsid w:val="0019680B"/>
    <w:rsid w:val="001A1893"/>
    <w:rsid w:val="001B34D4"/>
    <w:rsid w:val="001B7161"/>
    <w:rsid w:val="001C5CEF"/>
    <w:rsid w:val="001D688E"/>
    <w:rsid w:val="001D6F1F"/>
    <w:rsid w:val="001E0C17"/>
    <w:rsid w:val="001E3314"/>
    <w:rsid w:val="001E674D"/>
    <w:rsid w:val="001F6FB0"/>
    <w:rsid w:val="00205793"/>
    <w:rsid w:val="00212810"/>
    <w:rsid w:val="0021543D"/>
    <w:rsid w:val="00217F6B"/>
    <w:rsid w:val="00222001"/>
    <w:rsid w:val="0023174F"/>
    <w:rsid w:val="00233140"/>
    <w:rsid w:val="002361E7"/>
    <w:rsid w:val="00247403"/>
    <w:rsid w:val="00250DB2"/>
    <w:rsid w:val="00255B10"/>
    <w:rsid w:val="00263783"/>
    <w:rsid w:val="00272B36"/>
    <w:rsid w:val="00274BE0"/>
    <w:rsid w:val="00277BFC"/>
    <w:rsid w:val="002974E6"/>
    <w:rsid w:val="00297C80"/>
    <w:rsid w:val="00297EFC"/>
    <w:rsid w:val="002A4BFA"/>
    <w:rsid w:val="002C6097"/>
    <w:rsid w:val="002C7AA1"/>
    <w:rsid w:val="002D157B"/>
    <w:rsid w:val="002D4AAE"/>
    <w:rsid w:val="002D5B32"/>
    <w:rsid w:val="002D7857"/>
    <w:rsid w:val="002F132A"/>
    <w:rsid w:val="002F3E87"/>
    <w:rsid w:val="002F52BF"/>
    <w:rsid w:val="002F7643"/>
    <w:rsid w:val="00304789"/>
    <w:rsid w:val="00305625"/>
    <w:rsid w:val="00305FBE"/>
    <w:rsid w:val="00306D49"/>
    <w:rsid w:val="0031244B"/>
    <w:rsid w:val="0031732B"/>
    <w:rsid w:val="00321256"/>
    <w:rsid w:val="0032348C"/>
    <w:rsid w:val="00333298"/>
    <w:rsid w:val="0033407D"/>
    <w:rsid w:val="00334DFE"/>
    <w:rsid w:val="0033763E"/>
    <w:rsid w:val="00346E4C"/>
    <w:rsid w:val="00351C5A"/>
    <w:rsid w:val="0035427A"/>
    <w:rsid w:val="003576A5"/>
    <w:rsid w:val="00364EBE"/>
    <w:rsid w:val="003665B1"/>
    <w:rsid w:val="00371517"/>
    <w:rsid w:val="003812E9"/>
    <w:rsid w:val="003820AB"/>
    <w:rsid w:val="00391680"/>
    <w:rsid w:val="003A0B55"/>
    <w:rsid w:val="003A7465"/>
    <w:rsid w:val="003B0346"/>
    <w:rsid w:val="003B2E17"/>
    <w:rsid w:val="003B6647"/>
    <w:rsid w:val="003B689C"/>
    <w:rsid w:val="003B7A4A"/>
    <w:rsid w:val="003D071E"/>
    <w:rsid w:val="003D4726"/>
    <w:rsid w:val="003D5A58"/>
    <w:rsid w:val="003D6031"/>
    <w:rsid w:val="003D6876"/>
    <w:rsid w:val="003E3959"/>
    <w:rsid w:val="003E3C0E"/>
    <w:rsid w:val="003E5125"/>
    <w:rsid w:val="003F5EC1"/>
    <w:rsid w:val="003F7516"/>
    <w:rsid w:val="003F76BE"/>
    <w:rsid w:val="00403616"/>
    <w:rsid w:val="0040440C"/>
    <w:rsid w:val="0041334F"/>
    <w:rsid w:val="00417593"/>
    <w:rsid w:val="00426485"/>
    <w:rsid w:val="00427AA7"/>
    <w:rsid w:val="0043002E"/>
    <w:rsid w:val="00432E23"/>
    <w:rsid w:val="00436B57"/>
    <w:rsid w:val="00462330"/>
    <w:rsid w:val="00464086"/>
    <w:rsid w:val="004730F8"/>
    <w:rsid w:val="00473DE9"/>
    <w:rsid w:val="004756E1"/>
    <w:rsid w:val="00481306"/>
    <w:rsid w:val="00481C0D"/>
    <w:rsid w:val="00482C63"/>
    <w:rsid w:val="00482FBC"/>
    <w:rsid w:val="00484F7E"/>
    <w:rsid w:val="00485DB1"/>
    <w:rsid w:val="0049590F"/>
    <w:rsid w:val="00495A4F"/>
    <w:rsid w:val="004A0471"/>
    <w:rsid w:val="004A1169"/>
    <w:rsid w:val="004B0904"/>
    <w:rsid w:val="004B39C4"/>
    <w:rsid w:val="004D1944"/>
    <w:rsid w:val="004E4995"/>
    <w:rsid w:val="004E6105"/>
    <w:rsid w:val="004F21EE"/>
    <w:rsid w:val="00502DDA"/>
    <w:rsid w:val="005067DC"/>
    <w:rsid w:val="00507D7E"/>
    <w:rsid w:val="005127AF"/>
    <w:rsid w:val="00517FA1"/>
    <w:rsid w:val="00522453"/>
    <w:rsid w:val="00526F44"/>
    <w:rsid w:val="00530D8B"/>
    <w:rsid w:val="005406C5"/>
    <w:rsid w:val="00543340"/>
    <w:rsid w:val="005454A1"/>
    <w:rsid w:val="0054566F"/>
    <w:rsid w:val="005478DC"/>
    <w:rsid w:val="00547BE3"/>
    <w:rsid w:val="00551096"/>
    <w:rsid w:val="005533A0"/>
    <w:rsid w:val="00553A52"/>
    <w:rsid w:val="00553D49"/>
    <w:rsid w:val="00556D9D"/>
    <w:rsid w:val="00585519"/>
    <w:rsid w:val="00597FE6"/>
    <w:rsid w:val="005A4C4E"/>
    <w:rsid w:val="005C70EF"/>
    <w:rsid w:val="005E211E"/>
    <w:rsid w:val="005E5CEE"/>
    <w:rsid w:val="005F31A3"/>
    <w:rsid w:val="005F58AC"/>
    <w:rsid w:val="005F6EB5"/>
    <w:rsid w:val="00603BEF"/>
    <w:rsid w:val="00616031"/>
    <w:rsid w:val="00623C80"/>
    <w:rsid w:val="00630BAE"/>
    <w:rsid w:val="006314B6"/>
    <w:rsid w:val="00637D0D"/>
    <w:rsid w:val="00642E55"/>
    <w:rsid w:val="0065752C"/>
    <w:rsid w:val="0067314E"/>
    <w:rsid w:val="006804AE"/>
    <w:rsid w:val="006826C9"/>
    <w:rsid w:val="006A0D72"/>
    <w:rsid w:val="006A161B"/>
    <w:rsid w:val="006A2852"/>
    <w:rsid w:val="006C4A7F"/>
    <w:rsid w:val="006D4A34"/>
    <w:rsid w:val="006D5DCE"/>
    <w:rsid w:val="006D63CC"/>
    <w:rsid w:val="006E18AA"/>
    <w:rsid w:val="0071213A"/>
    <w:rsid w:val="00712EEC"/>
    <w:rsid w:val="00714DA3"/>
    <w:rsid w:val="00716278"/>
    <w:rsid w:val="00721D26"/>
    <w:rsid w:val="0073484A"/>
    <w:rsid w:val="00737C91"/>
    <w:rsid w:val="00750F41"/>
    <w:rsid w:val="0075286F"/>
    <w:rsid w:val="00754E6C"/>
    <w:rsid w:val="00763A98"/>
    <w:rsid w:val="00763B6E"/>
    <w:rsid w:val="007640C6"/>
    <w:rsid w:val="00765E73"/>
    <w:rsid w:val="00766DC1"/>
    <w:rsid w:val="00771269"/>
    <w:rsid w:val="007733E3"/>
    <w:rsid w:val="00786E37"/>
    <w:rsid w:val="00792D7C"/>
    <w:rsid w:val="00794113"/>
    <w:rsid w:val="00794E75"/>
    <w:rsid w:val="007A3686"/>
    <w:rsid w:val="007A553D"/>
    <w:rsid w:val="007A6481"/>
    <w:rsid w:val="007B72AA"/>
    <w:rsid w:val="007C32D7"/>
    <w:rsid w:val="007C3663"/>
    <w:rsid w:val="007C6052"/>
    <w:rsid w:val="007D3FFB"/>
    <w:rsid w:val="007D478C"/>
    <w:rsid w:val="007D5D20"/>
    <w:rsid w:val="007E077E"/>
    <w:rsid w:val="007E2B0F"/>
    <w:rsid w:val="007E3E8E"/>
    <w:rsid w:val="007F3F22"/>
    <w:rsid w:val="007F47CF"/>
    <w:rsid w:val="008052FF"/>
    <w:rsid w:val="00812872"/>
    <w:rsid w:val="008170CD"/>
    <w:rsid w:val="00823B17"/>
    <w:rsid w:val="0082633E"/>
    <w:rsid w:val="00831E54"/>
    <w:rsid w:val="00837DC2"/>
    <w:rsid w:val="00844D0C"/>
    <w:rsid w:val="00846282"/>
    <w:rsid w:val="00850922"/>
    <w:rsid w:val="0085414F"/>
    <w:rsid w:val="00855B02"/>
    <w:rsid w:val="008641F8"/>
    <w:rsid w:val="0086714E"/>
    <w:rsid w:val="00876C63"/>
    <w:rsid w:val="0087788C"/>
    <w:rsid w:val="00882ACC"/>
    <w:rsid w:val="008C11A9"/>
    <w:rsid w:val="008C603E"/>
    <w:rsid w:val="008C6FB8"/>
    <w:rsid w:val="008D1265"/>
    <w:rsid w:val="008D1E30"/>
    <w:rsid w:val="008E447B"/>
    <w:rsid w:val="008E497E"/>
    <w:rsid w:val="00904258"/>
    <w:rsid w:val="009061EA"/>
    <w:rsid w:val="00913859"/>
    <w:rsid w:val="009225D0"/>
    <w:rsid w:val="00924C23"/>
    <w:rsid w:val="00925632"/>
    <w:rsid w:val="009300E1"/>
    <w:rsid w:val="00930981"/>
    <w:rsid w:val="00935EB8"/>
    <w:rsid w:val="00940433"/>
    <w:rsid w:val="00941E87"/>
    <w:rsid w:val="00943C17"/>
    <w:rsid w:val="00944CCD"/>
    <w:rsid w:val="0094739B"/>
    <w:rsid w:val="00957365"/>
    <w:rsid w:val="00961D32"/>
    <w:rsid w:val="0096322D"/>
    <w:rsid w:val="00976FA9"/>
    <w:rsid w:val="0099203E"/>
    <w:rsid w:val="00992C89"/>
    <w:rsid w:val="009934F0"/>
    <w:rsid w:val="009A3D8E"/>
    <w:rsid w:val="009A7171"/>
    <w:rsid w:val="009B1F48"/>
    <w:rsid w:val="009B28AC"/>
    <w:rsid w:val="009C7A11"/>
    <w:rsid w:val="009D74BA"/>
    <w:rsid w:val="00A01EC5"/>
    <w:rsid w:val="00A11F84"/>
    <w:rsid w:val="00A40908"/>
    <w:rsid w:val="00A40E38"/>
    <w:rsid w:val="00A555B9"/>
    <w:rsid w:val="00A57B17"/>
    <w:rsid w:val="00A63BEA"/>
    <w:rsid w:val="00A7051E"/>
    <w:rsid w:val="00A86B46"/>
    <w:rsid w:val="00A874BF"/>
    <w:rsid w:val="00A87AEE"/>
    <w:rsid w:val="00A909B0"/>
    <w:rsid w:val="00A95022"/>
    <w:rsid w:val="00A958B7"/>
    <w:rsid w:val="00AA2B63"/>
    <w:rsid w:val="00AA4348"/>
    <w:rsid w:val="00AB2467"/>
    <w:rsid w:val="00AB37E7"/>
    <w:rsid w:val="00AB39DE"/>
    <w:rsid w:val="00AC200B"/>
    <w:rsid w:val="00AC2930"/>
    <w:rsid w:val="00AD6B6F"/>
    <w:rsid w:val="00AE475B"/>
    <w:rsid w:val="00AF49F0"/>
    <w:rsid w:val="00AF5ADC"/>
    <w:rsid w:val="00B007E0"/>
    <w:rsid w:val="00B06553"/>
    <w:rsid w:val="00B138BB"/>
    <w:rsid w:val="00B3006F"/>
    <w:rsid w:val="00B308E9"/>
    <w:rsid w:val="00B3301B"/>
    <w:rsid w:val="00B515F7"/>
    <w:rsid w:val="00B7227C"/>
    <w:rsid w:val="00B7241F"/>
    <w:rsid w:val="00BA1E1B"/>
    <w:rsid w:val="00BA73B1"/>
    <w:rsid w:val="00BB6538"/>
    <w:rsid w:val="00BC6AE6"/>
    <w:rsid w:val="00BD5C9D"/>
    <w:rsid w:val="00BF3A39"/>
    <w:rsid w:val="00BF4813"/>
    <w:rsid w:val="00BF7887"/>
    <w:rsid w:val="00C12551"/>
    <w:rsid w:val="00C13D63"/>
    <w:rsid w:val="00C30DD2"/>
    <w:rsid w:val="00C3261D"/>
    <w:rsid w:val="00C42F4D"/>
    <w:rsid w:val="00C4724A"/>
    <w:rsid w:val="00C51B1A"/>
    <w:rsid w:val="00C51EDC"/>
    <w:rsid w:val="00C5374B"/>
    <w:rsid w:val="00C56221"/>
    <w:rsid w:val="00C721C1"/>
    <w:rsid w:val="00C74F42"/>
    <w:rsid w:val="00C7695D"/>
    <w:rsid w:val="00C96C1E"/>
    <w:rsid w:val="00CA165C"/>
    <w:rsid w:val="00CA1763"/>
    <w:rsid w:val="00CA28BE"/>
    <w:rsid w:val="00CA4AB7"/>
    <w:rsid w:val="00CA73E6"/>
    <w:rsid w:val="00CB08FF"/>
    <w:rsid w:val="00CB3DFA"/>
    <w:rsid w:val="00CD3063"/>
    <w:rsid w:val="00CE18FC"/>
    <w:rsid w:val="00CF1AA2"/>
    <w:rsid w:val="00CF757E"/>
    <w:rsid w:val="00D17DF1"/>
    <w:rsid w:val="00D22CB9"/>
    <w:rsid w:val="00D26FF8"/>
    <w:rsid w:val="00D31EC8"/>
    <w:rsid w:val="00D470DC"/>
    <w:rsid w:val="00D54727"/>
    <w:rsid w:val="00D64B44"/>
    <w:rsid w:val="00D707BD"/>
    <w:rsid w:val="00D70E3F"/>
    <w:rsid w:val="00D74E84"/>
    <w:rsid w:val="00D80A7F"/>
    <w:rsid w:val="00D93EB7"/>
    <w:rsid w:val="00D940B8"/>
    <w:rsid w:val="00D942FD"/>
    <w:rsid w:val="00D961B0"/>
    <w:rsid w:val="00D96210"/>
    <w:rsid w:val="00D967FB"/>
    <w:rsid w:val="00DA0108"/>
    <w:rsid w:val="00DA545E"/>
    <w:rsid w:val="00DB5962"/>
    <w:rsid w:val="00DB6754"/>
    <w:rsid w:val="00DB7B83"/>
    <w:rsid w:val="00DC24D2"/>
    <w:rsid w:val="00DD725E"/>
    <w:rsid w:val="00DF568D"/>
    <w:rsid w:val="00E0484D"/>
    <w:rsid w:val="00E13512"/>
    <w:rsid w:val="00E479C0"/>
    <w:rsid w:val="00E540AA"/>
    <w:rsid w:val="00E56D0F"/>
    <w:rsid w:val="00E57332"/>
    <w:rsid w:val="00E730EF"/>
    <w:rsid w:val="00E821A4"/>
    <w:rsid w:val="00E85B0E"/>
    <w:rsid w:val="00E91C13"/>
    <w:rsid w:val="00E95871"/>
    <w:rsid w:val="00EA2FE4"/>
    <w:rsid w:val="00EA448E"/>
    <w:rsid w:val="00EA6190"/>
    <w:rsid w:val="00EB327A"/>
    <w:rsid w:val="00EC43ED"/>
    <w:rsid w:val="00EC6874"/>
    <w:rsid w:val="00EC72B8"/>
    <w:rsid w:val="00EC7F3D"/>
    <w:rsid w:val="00ED2EE8"/>
    <w:rsid w:val="00EE05EB"/>
    <w:rsid w:val="00EE7372"/>
    <w:rsid w:val="00F211D6"/>
    <w:rsid w:val="00F21AFE"/>
    <w:rsid w:val="00F26201"/>
    <w:rsid w:val="00F310E3"/>
    <w:rsid w:val="00F34CE4"/>
    <w:rsid w:val="00F370E2"/>
    <w:rsid w:val="00F5672E"/>
    <w:rsid w:val="00F60FE8"/>
    <w:rsid w:val="00F71B6E"/>
    <w:rsid w:val="00F74634"/>
    <w:rsid w:val="00F7532A"/>
    <w:rsid w:val="00F76A42"/>
    <w:rsid w:val="00F811B8"/>
    <w:rsid w:val="00F819C6"/>
    <w:rsid w:val="00F83717"/>
    <w:rsid w:val="00F9623C"/>
    <w:rsid w:val="00FD044E"/>
    <w:rsid w:val="00FD4F42"/>
    <w:rsid w:val="00FE1DA0"/>
    <w:rsid w:val="00FE1FBE"/>
    <w:rsid w:val="00FF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493A24"/>
  <w15:chartTrackingRefBased/>
  <w15:docId w15:val="{3154D662-994D-4CA8-9D50-8DBBB406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52"/>
    <w:pPr>
      <w:spacing w:after="120" w:line="360" w:lineRule="auto"/>
    </w:pPr>
  </w:style>
  <w:style w:type="paragraph" w:styleId="Heading1">
    <w:name w:val="heading 1"/>
    <w:basedOn w:val="Normal"/>
    <w:next w:val="Normal"/>
    <w:link w:val="Heading1Char"/>
    <w:uiPriority w:val="9"/>
    <w:qFormat/>
    <w:rsid w:val="00C12551"/>
    <w:pPr>
      <w:jc w:val="center"/>
      <w:outlineLvl w:val="0"/>
    </w:pPr>
    <w:rPr>
      <w:rFonts w:ascii="Calibri" w:hAnsi="Calibri" w:cs="Calibri"/>
      <w:b/>
      <w:bCs/>
      <w:sz w:val="28"/>
      <w:szCs w:val="28"/>
    </w:rPr>
  </w:style>
  <w:style w:type="paragraph" w:styleId="Heading2">
    <w:name w:val="heading 2"/>
    <w:basedOn w:val="Normal"/>
    <w:link w:val="Heading2Char"/>
    <w:uiPriority w:val="9"/>
    <w:qFormat/>
    <w:rsid w:val="00F370E2"/>
    <w:pPr>
      <w:spacing w:after="0"/>
      <w:contextualSpacing/>
      <w:jc w:val="both"/>
      <w:outlineLvl w:val="1"/>
    </w:pPr>
    <w:rPr>
      <w:rFonts w:ascii="Calibri" w:hAnsi="Calibri" w:cs="Calibri"/>
      <w:b/>
      <w:bCs/>
    </w:rPr>
  </w:style>
  <w:style w:type="paragraph" w:styleId="Heading3">
    <w:name w:val="heading 3"/>
    <w:basedOn w:val="Normal"/>
    <w:next w:val="Normal"/>
    <w:link w:val="Heading3Char"/>
    <w:uiPriority w:val="9"/>
    <w:unhideWhenUsed/>
    <w:qFormat/>
    <w:rsid w:val="005E211E"/>
    <w:pPr>
      <w:spacing w:after="0" w:line="240" w:lineRule="auto"/>
      <w:jc w:val="both"/>
      <w:outlineLvl w:val="2"/>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04"/>
    <w:pPr>
      <w:ind w:left="720"/>
      <w:contextualSpacing/>
    </w:pPr>
  </w:style>
  <w:style w:type="character" w:customStyle="1" w:styleId="Heading2Char">
    <w:name w:val="Heading 2 Char"/>
    <w:basedOn w:val="DefaultParagraphFont"/>
    <w:link w:val="Heading2"/>
    <w:uiPriority w:val="9"/>
    <w:rsid w:val="00F370E2"/>
    <w:rPr>
      <w:rFonts w:ascii="Calibri" w:hAnsi="Calibri" w:cs="Calibri"/>
      <w:b/>
      <w:bCs/>
    </w:rPr>
  </w:style>
  <w:style w:type="character" w:customStyle="1" w:styleId="value">
    <w:name w:val="value"/>
    <w:basedOn w:val="DefaultParagraphFont"/>
    <w:rsid w:val="00A01EC5"/>
  </w:style>
  <w:style w:type="character" w:styleId="Hyperlink">
    <w:name w:val="Hyperlink"/>
    <w:basedOn w:val="DefaultParagraphFont"/>
    <w:uiPriority w:val="99"/>
    <w:unhideWhenUsed/>
    <w:rsid w:val="00A01EC5"/>
    <w:rPr>
      <w:color w:val="0000FF"/>
      <w:u w:val="single"/>
    </w:rPr>
  </w:style>
  <w:style w:type="character" w:styleId="UnresolvedMention">
    <w:name w:val="Unresolved Mention"/>
    <w:basedOn w:val="DefaultParagraphFont"/>
    <w:uiPriority w:val="99"/>
    <w:semiHidden/>
    <w:unhideWhenUsed/>
    <w:rsid w:val="00A01EC5"/>
    <w:rPr>
      <w:color w:val="605E5C"/>
      <w:shd w:val="clear" w:color="auto" w:fill="E1DFDD"/>
    </w:rPr>
  </w:style>
  <w:style w:type="paragraph" w:styleId="Caption">
    <w:name w:val="caption"/>
    <w:basedOn w:val="Normal"/>
    <w:next w:val="Normal"/>
    <w:uiPriority w:val="35"/>
    <w:unhideWhenUsed/>
    <w:qFormat/>
    <w:rsid w:val="00000854"/>
    <w:pPr>
      <w:spacing w:after="200" w:line="240" w:lineRule="auto"/>
    </w:pPr>
    <w:rPr>
      <w:i/>
      <w:iCs/>
      <w:color w:val="44546A" w:themeColor="text2"/>
      <w:sz w:val="18"/>
      <w:szCs w:val="18"/>
    </w:rPr>
  </w:style>
  <w:style w:type="character" w:styleId="Emphasis">
    <w:name w:val="Emphasis"/>
    <w:basedOn w:val="DefaultParagraphFont"/>
    <w:uiPriority w:val="20"/>
    <w:qFormat/>
    <w:rsid w:val="00000854"/>
    <w:rPr>
      <w:i/>
      <w:iCs/>
    </w:rPr>
  </w:style>
  <w:style w:type="character" w:styleId="CommentReference">
    <w:name w:val="annotation reference"/>
    <w:basedOn w:val="DefaultParagraphFont"/>
    <w:uiPriority w:val="99"/>
    <w:semiHidden/>
    <w:unhideWhenUsed/>
    <w:rsid w:val="00C42F4D"/>
    <w:rPr>
      <w:sz w:val="16"/>
      <w:szCs w:val="16"/>
    </w:rPr>
  </w:style>
  <w:style w:type="paragraph" w:styleId="CommentText">
    <w:name w:val="annotation text"/>
    <w:basedOn w:val="Normal"/>
    <w:link w:val="CommentTextChar"/>
    <w:uiPriority w:val="99"/>
    <w:unhideWhenUsed/>
    <w:rsid w:val="00C42F4D"/>
    <w:pPr>
      <w:spacing w:line="240" w:lineRule="auto"/>
    </w:pPr>
    <w:rPr>
      <w:sz w:val="20"/>
      <w:szCs w:val="20"/>
    </w:rPr>
  </w:style>
  <w:style w:type="character" w:customStyle="1" w:styleId="CommentTextChar">
    <w:name w:val="Comment Text Char"/>
    <w:basedOn w:val="DefaultParagraphFont"/>
    <w:link w:val="CommentText"/>
    <w:uiPriority w:val="99"/>
    <w:rsid w:val="00C42F4D"/>
    <w:rPr>
      <w:sz w:val="20"/>
      <w:szCs w:val="20"/>
    </w:rPr>
  </w:style>
  <w:style w:type="paragraph" w:styleId="CommentSubject">
    <w:name w:val="annotation subject"/>
    <w:basedOn w:val="CommentText"/>
    <w:next w:val="CommentText"/>
    <w:link w:val="CommentSubjectChar"/>
    <w:uiPriority w:val="99"/>
    <w:semiHidden/>
    <w:unhideWhenUsed/>
    <w:rsid w:val="00C42F4D"/>
    <w:rPr>
      <w:b/>
      <w:bCs/>
    </w:rPr>
  </w:style>
  <w:style w:type="character" w:customStyle="1" w:styleId="CommentSubjectChar">
    <w:name w:val="Comment Subject Char"/>
    <w:basedOn w:val="CommentTextChar"/>
    <w:link w:val="CommentSubject"/>
    <w:uiPriority w:val="99"/>
    <w:semiHidden/>
    <w:rsid w:val="00C42F4D"/>
    <w:rPr>
      <w:b/>
      <w:bCs/>
      <w:sz w:val="20"/>
      <w:szCs w:val="20"/>
    </w:rPr>
  </w:style>
  <w:style w:type="character" w:customStyle="1" w:styleId="Heading1Char">
    <w:name w:val="Heading 1 Char"/>
    <w:basedOn w:val="DefaultParagraphFont"/>
    <w:link w:val="Heading1"/>
    <w:uiPriority w:val="9"/>
    <w:rsid w:val="00C12551"/>
    <w:rPr>
      <w:rFonts w:ascii="Calibri" w:hAnsi="Calibri" w:cs="Calibri"/>
      <w:b/>
      <w:bCs/>
      <w:sz w:val="28"/>
      <w:szCs w:val="28"/>
    </w:rPr>
  </w:style>
  <w:style w:type="character" w:customStyle="1" w:styleId="cit-auth">
    <w:name w:val="cit-auth"/>
    <w:basedOn w:val="DefaultParagraphFont"/>
    <w:rsid w:val="00F7532A"/>
  </w:style>
  <w:style w:type="character" w:customStyle="1" w:styleId="cit-name-surname">
    <w:name w:val="cit-name-surname"/>
    <w:basedOn w:val="DefaultParagraphFont"/>
    <w:rsid w:val="00F7532A"/>
  </w:style>
  <w:style w:type="character" w:customStyle="1" w:styleId="cit-name-given-names">
    <w:name w:val="cit-name-given-names"/>
    <w:basedOn w:val="DefaultParagraphFont"/>
    <w:rsid w:val="00F7532A"/>
  </w:style>
  <w:style w:type="character" w:customStyle="1" w:styleId="cit-etal">
    <w:name w:val="cit-etal"/>
    <w:basedOn w:val="DefaultParagraphFont"/>
    <w:rsid w:val="00F7532A"/>
  </w:style>
  <w:style w:type="character" w:styleId="HTMLCite">
    <w:name w:val="HTML Cite"/>
    <w:basedOn w:val="DefaultParagraphFont"/>
    <w:uiPriority w:val="99"/>
    <w:semiHidden/>
    <w:unhideWhenUsed/>
    <w:rsid w:val="00F7532A"/>
    <w:rPr>
      <w:i/>
      <w:iCs/>
    </w:rPr>
  </w:style>
  <w:style w:type="character" w:customStyle="1" w:styleId="cit-article-title">
    <w:name w:val="cit-article-title"/>
    <w:basedOn w:val="DefaultParagraphFont"/>
    <w:rsid w:val="00F7532A"/>
  </w:style>
  <w:style w:type="character" w:customStyle="1" w:styleId="cit-pub-date">
    <w:name w:val="cit-pub-date"/>
    <w:basedOn w:val="DefaultParagraphFont"/>
    <w:rsid w:val="00F7532A"/>
  </w:style>
  <w:style w:type="character" w:customStyle="1" w:styleId="cit-vol">
    <w:name w:val="cit-vol"/>
    <w:basedOn w:val="DefaultParagraphFont"/>
    <w:rsid w:val="00F7532A"/>
  </w:style>
  <w:style w:type="character" w:customStyle="1" w:styleId="cit-elocation-id">
    <w:name w:val="cit-elocation-id"/>
    <w:basedOn w:val="DefaultParagraphFont"/>
    <w:rsid w:val="00F7532A"/>
  </w:style>
  <w:style w:type="character" w:customStyle="1" w:styleId="cit-fpage">
    <w:name w:val="cit-fpage"/>
    <w:basedOn w:val="DefaultParagraphFont"/>
    <w:rsid w:val="00A7051E"/>
  </w:style>
  <w:style w:type="character" w:customStyle="1" w:styleId="cit-lpage">
    <w:name w:val="cit-lpage"/>
    <w:basedOn w:val="DefaultParagraphFont"/>
    <w:rsid w:val="00A7051E"/>
  </w:style>
  <w:style w:type="table" w:styleId="TableGrid">
    <w:name w:val="Table Grid"/>
    <w:basedOn w:val="TableNormal"/>
    <w:uiPriority w:val="39"/>
    <w:rsid w:val="000C2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2D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7FA1"/>
    <w:pPr>
      <w:spacing w:after="0" w:line="240" w:lineRule="auto"/>
    </w:pPr>
  </w:style>
  <w:style w:type="character" w:customStyle="1" w:styleId="Heading3Char">
    <w:name w:val="Heading 3 Char"/>
    <w:basedOn w:val="DefaultParagraphFont"/>
    <w:link w:val="Heading3"/>
    <w:uiPriority w:val="9"/>
    <w:rsid w:val="005E211E"/>
    <w:rPr>
      <w:rFonts w:ascii="Calibri" w:hAnsi="Calibri" w:cs="Calibri"/>
    </w:rPr>
  </w:style>
  <w:style w:type="character" w:styleId="Strong">
    <w:name w:val="Strong"/>
    <w:basedOn w:val="DefaultParagraphFont"/>
    <w:uiPriority w:val="22"/>
    <w:qFormat/>
    <w:rsid w:val="00DA0108"/>
    <w:rPr>
      <w:b/>
      <w:bCs/>
    </w:rPr>
  </w:style>
  <w:style w:type="character" w:customStyle="1" w:styleId="identifier">
    <w:name w:val="identifier"/>
    <w:basedOn w:val="DefaultParagraphFont"/>
    <w:rsid w:val="0021543D"/>
  </w:style>
  <w:style w:type="character" w:customStyle="1" w:styleId="id-label">
    <w:name w:val="id-label"/>
    <w:basedOn w:val="DefaultParagraphFont"/>
    <w:rsid w:val="0021543D"/>
  </w:style>
  <w:style w:type="paragraph" w:styleId="Header">
    <w:name w:val="header"/>
    <w:basedOn w:val="Normal"/>
    <w:link w:val="HeaderChar"/>
    <w:uiPriority w:val="99"/>
    <w:unhideWhenUsed/>
    <w:rsid w:val="00CA4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AB7"/>
  </w:style>
  <w:style w:type="paragraph" w:styleId="Footer">
    <w:name w:val="footer"/>
    <w:basedOn w:val="Normal"/>
    <w:link w:val="FooterChar"/>
    <w:uiPriority w:val="99"/>
    <w:unhideWhenUsed/>
    <w:rsid w:val="00CA4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2902">
      <w:bodyDiv w:val="1"/>
      <w:marLeft w:val="0"/>
      <w:marRight w:val="0"/>
      <w:marTop w:val="0"/>
      <w:marBottom w:val="0"/>
      <w:divBdr>
        <w:top w:val="none" w:sz="0" w:space="0" w:color="auto"/>
        <w:left w:val="none" w:sz="0" w:space="0" w:color="auto"/>
        <w:bottom w:val="none" w:sz="0" w:space="0" w:color="auto"/>
        <w:right w:val="none" w:sz="0" w:space="0" w:color="auto"/>
      </w:divBdr>
    </w:div>
    <w:div w:id="393241758">
      <w:bodyDiv w:val="1"/>
      <w:marLeft w:val="0"/>
      <w:marRight w:val="0"/>
      <w:marTop w:val="0"/>
      <w:marBottom w:val="0"/>
      <w:divBdr>
        <w:top w:val="none" w:sz="0" w:space="0" w:color="auto"/>
        <w:left w:val="none" w:sz="0" w:space="0" w:color="auto"/>
        <w:bottom w:val="none" w:sz="0" w:space="0" w:color="auto"/>
        <w:right w:val="none" w:sz="0" w:space="0" w:color="auto"/>
      </w:divBdr>
    </w:div>
    <w:div w:id="633410606">
      <w:bodyDiv w:val="1"/>
      <w:marLeft w:val="0"/>
      <w:marRight w:val="0"/>
      <w:marTop w:val="0"/>
      <w:marBottom w:val="0"/>
      <w:divBdr>
        <w:top w:val="none" w:sz="0" w:space="0" w:color="auto"/>
        <w:left w:val="none" w:sz="0" w:space="0" w:color="auto"/>
        <w:bottom w:val="none" w:sz="0" w:space="0" w:color="auto"/>
        <w:right w:val="none" w:sz="0" w:space="0" w:color="auto"/>
      </w:divBdr>
    </w:div>
    <w:div w:id="819805795">
      <w:bodyDiv w:val="1"/>
      <w:marLeft w:val="0"/>
      <w:marRight w:val="0"/>
      <w:marTop w:val="0"/>
      <w:marBottom w:val="0"/>
      <w:divBdr>
        <w:top w:val="none" w:sz="0" w:space="0" w:color="auto"/>
        <w:left w:val="none" w:sz="0" w:space="0" w:color="auto"/>
        <w:bottom w:val="none" w:sz="0" w:space="0" w:color="auto"/>
        <w:right w:val="none" w:sz="0" w:space="0" w:color="auto"/>
      </w:divBdr>
    </w:div>
    <w:div w:id="897974851">
      <w:bodyDiv w:val="1"/>
      <w:marLeft w:val="0"/>
      <w:marRight w:val="0"/>
      <w:marTop w:val="0"/>
      <w:marBottom w:val="0"/>
      <w:divBdr>
        <w:top w:val="none" w:sz="0" w:space="0" w:color="auto"/>
        <w:left w:val="none" w:sz="0" w:space="0" w:color="auto"/>
        <w:bottom w:val="none" w:sz="0" w:space="0" w:color="auto"/>
        <w:right w:val="none" w:sz="0" w:space="0" w:color="auto"/>
      </w:divBdr>
    </w:div>
    <w:div w:id="919556113">
      <w:bodyDiv w:val="1"/>
      <w:marLeft w:val="0"/>
      <w:marRight w:val="0"/>
      <w:marTop w:val="0"/>
      <w:marBottom w:val="0"/>
      <w:divBdr>
        <w:top w:val="none" w:sz="0" w:space="0" w:color="auto"/>
        <w:left w:val="none" w:sz="0" w:space="0" w:color="auto"/>
        <w:bottom w:val="none" w:sz="0" w:space="0" w:color="auto"/>
        <w:right w:val="none" w:sz="0" w:space="0" w:color="auto"/>
      </w:divBdr>
    </w:div>
    <w:div w:id="1291865479">
      <w:bodyDiv w:val="1"/>
      <w:marLeft w:val="0"/>
      <w:marRight w:val="0"/>
      <w:marTop w:val="0"/>
      <w:marBottom w:val="0"/>
      <w:divBdr>
        <w:top w:val="none" w:sz="0" w:space="0" w:color="auto"/>
        <w:left w:val="none" w:sz="0" w:space="0" w:color="auto"/>
        <w:bottom w:val="none" w:sz="0" w:space="0" w:color="auto"/>
        <w:right w:val="none" w:sz="0" w:space="0" w:color="auto"/>
      </w:divBdr>
    </w:div>
    <w:div w:id="1482112571">
      <w:bodyDiv w:val="1"/>
      <w:marLeft w:val="0"/>
      <w:marRight w:val="0"/>
      <w:marTop w:val="0"/>
      <w:marBottom w:val="0"/>
      <w:divBdr>
        <w:top w:val="none" w:sz="0" w:space="0" w:color="auto"/>
        <w:left w:val="none" w:sz="0" w:space="0" w:color="auto"/>
        <w:bottom w:val="none" w:sz="0" w:space="0" w:color="auto"/>
        <w:right w:val="none" w:sz="0" w:space="0" w:color="auto"/>
      </w:divBdr>
    </w:div>
    <w:div w:id="1592619662">
      <w:bodyDiv w:val="1"/>
      <w:marLeft w:val="0"/>
      <w:marRight w:val="0"/>
      <w:marTop w:val="0"/>
      <w:marBottom w:val="0"/>
      <w:divBdr>
        <w:top w:val="none" w:sz="0" w:space="0" w:color="auto"/>
        <w:left w:val="none" w:sz="0" w:space="0" w:color="auto"/>
        <w:bottom w:val="none" w:sz="0" w:space="0" w:color="auto"/>
        <w:right w:val="none" w:sz="0" w:space="0" w:color="auto"/>
      </w:divBdr>
    </w:div>
    <w:div w:id="18189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n.org.uk/Log-In?returnUrl=https%3a%2f%2fwww.rcn.org.uk%2fclinical-topics%2fOlder-people%2fFrailty" TargetMode="External"/><Relationship Id="rId18" Type="http://schemas.openxmlformats.org/officeDocument/2006/relationships/hyperlink" Target="https://doi.org/10.1093/gerona/56.3.M14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ns.go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bgs.org.uk/topics/frailty" TargetMode="External"/><Relationship Id="rId17" Type="http://schemas.openxmlformats.org/officeDocument/2006/relationships/hyperlink" Target="https://doi.org/10.1093/ageing/afx089" TargetMode="External"/><Relationship Id="rId25" Type="http://schemas.openxmlformats.org/officeDocument/2006/relationships/header" Target="header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dx.doi.org/10.1016/j.arr.2019.100960" TargetMode="External"/><Relationship Id="rId20" Type="http://schemas.openxmlformats.org/officeDocument/2006/relationships/hyperlink" Target="http://dx.doi.org/10.1100/tsw.2001.5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fn.org.uk/" TargetMode="External"/><Relationship Id="rId24" Type="http://schemas.openxmlformats.org/officeDocument/2006/relationships/header" Target="header1.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doi.org/10.1016%2FS0140-6736(12)62167-9" TargetMode="External"/><Relationship Id="rId23" Type="http://schemas.openxmlformats.org/officeDocument/2006/relationships/hyperlink" Target="https://doi.org/10.1093/ageing/afu138" TargetMode="External"/><Relationship Id="rId28" Type="http://schemas.openxmlformats.org/officeDocument/2006/relationships/header" Target="header3.xml"/><Relationship Id="rId10" Type="http://schemas.openxmlformats.org/officeDocument/2006/relationships/hyperlink" Target="https://www.dal.ca/sites/gmr/our-tools/clinical-frailty-scale.html" TargetMode="External"/><Relationship Id="rId19" Type="http://schemas.openxmlformats.org/officeDocument/2006/relationships/hyperlink" Target="https://doi.org/10.1016/j.eurger.2013.11.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93/ageing/afx168" TargetMode="External"/><Relationship Id="rId22" Type="http://schemas.openxmlformats.org/officeDocument/2006/relationships/hyperlink" Target="https://doi.org/10.1007/s41999-018-0151-2"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6DFD54BB747D4CAAD8D23586904F07" ma:contentTypeVersion="16" ma:contentTypeDescription="Create a new document." ma:contentTypeScope="" ma:versionID="b2b21059560e2fed7737da939aa18b1a">
  <xsd:schema xmlns:xsd="http://www.w3.org/2001/XMLSchema" xmlns:xs="http://www.w3.org/2001/XMLSchema" xmlns:p="http://schemas.microsoft.com/office/2006/metadata/properties" xmlns:ns2="8176986a-73b4-4d74-810b-a0ad5278e308" xmlns:ns3="0b397caf-cf7b-4abc-bae8-b484ff237314" targetNamespace="http://schemas.microsoft.com/office/2006/metadata/properties" ma:root="true" ma:fieldsID="c7a5e69df6b29a80d69baad272d60cce" ns2:_="" ns3:_="">
    <xsd:import namespace="8176986a-73b4-4d74-810b-a0ad5278e308"/>
    <xsd:import namespace="0b397caf-cf7b-4abc-bae8-b484ff2373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6986a-73b4-4d74-810b-a0ad5278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2fb4b68-05e7-45ca-8c1c-bcb05af3a3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397caf-cf7b-4abc-bae8-b484ff2373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81e2da8-9765-4436-a0d9-6e36334305fb}" ma:internalName="TaxCatchAll" ma:showField="CatchAllData" ma:web="0b397caf-cf7b-4abc-bae8-b484ff2373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76986a-73b4-4d74-810b-a0ad5278e308">
      <Terms xmlns="http://schemas.microsoft.com/office/infopath/2007/PartnerControls"/>
    </lcf76f155ced4ddcb4097134ff3c332f>
    <TaxCatchAll xmlns="0b397caf-cf7b-4abc-bae8-b484ff237314" xsi:nil="true"/>
  </documentManagement>
</p:properties>
</file>

<file path=customXml/itemProps1.xml><?xml version="1.0" encoding="utf-8"?>
<ds:datastoreItem xmlns:ds="http://schemas.openxmlformats.org/officeDocument/2006/customXml" ds:itemID="{CDE3ECB3-4B35-466D-85B0-0C9314B8D298}">
  <ds:schemaRefs>
    <ds:schemaRef ds:uri="http://schemas.openxmlformats.org/officeDocument/2006/bibliography"/>
  </ds:schemaRefs>
</ds:datastoreItem>
</file>

<file path=customXml/itemProps2.xml><?xml version="1.0" encoding="utf-8"?>
<ds:datastoreItem xmlns:ds="http://schemas.openxmlformats.org/officeDocument/2006/customXml" ds:itemID="{FDBBFD8B-71B7-4EDC-87D8-B78675697976}"/>
</file>

<file path=customXml/itemProps3.xml><?xml version="1.0" encoding="utf-8"?>
<ds:datastoreItem xmlns:ds="http://schemas.openxmlformats.org/officeDocument/2006/customXml" ds:itemID="{2CEE64A1-AA65-4564-A7FB-B437F7603979}"/>
</file>

<file path=customXml/itemProps4.xml><?xml version="1.0" encoding="utf-8"?>
<ds:datastoreItem xmlns:ds="http://schemas.openxmlformats.org/officeDocument/2006/customXml" ds:itemID="{CB8220A2-1E50-48BD-852C-A7227183DD34}"/>
</file>

<file path=docProps/app.xml><?xml version="1.0" encoding="utf-8"?>
<Properties xmlns="http://schemas.openxmlformats.org/officeDocument/2006/extended-properties" xmlns:vt="http://schemas.openxmlformats.org/officeDocument/2006/docPropsVTypes">
  <Template>Normal</Template>
  <TotalTime>160</TotalTime>
  <Pages>10</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Vassallo</dc:creator>
  <cp:keywords/>
  <dc:description/>
  <cp:lastModifiedBy>Heather Jarman</cp:lastModifiedBy>
  <cp:revision>4</cp:revision>
  <dcterms:created xsi:type="dcterms:W3CDTF">2022-12-08T13:44:00Z</dcterms:created>
  <dcterms:modified xsi:type="dcterms:W3CDTF">2023-04-05T12:14:00Z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0x010100FB6DFD54BB747D4CAAD8D23586904F07</vt:lpwstr>
  </property>
</Properties>
</file>