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6626" w:rsidRPr="00D2636D" w:rsidRDefault="00626626" w:rsidP="00626626">
      <w:pPr>
        <w:rPr>
          <w:rFonts w:ascii="Arial" w:hAnsi="Arial" w:cs="Arial"/>
        </w:rPr>
      </w:pPr>
    </w:p>
    <w:p w:rsidR="00626626" w:rsidRPr="00D2636D" w:rsidRDefault="00626626" w:rsidP="00626626">
      <w:pPr>
        <w:rPr>
          <w:rFonts w:ascii="Arial" w:hAnsi="Arial" w:cs="Arial"/>
        </w:rPr>
      </w:pPr>
    </w:p>
    <w:p w:rsidR="00626626" w:rsidRPr="00D2636D" w:rsidRDefault="00626626" w:rsidP="00626626">
      <w:pPr>
        <w:rPr>
          <w:rFonts w:ascii="Arial" w:hAnsi="Arial" w:cs="Arial"/>
          <w:b/>
          <w:bCs/>
        </w:rPr>
      </w:pPr>
      <w:r w:rsidRPr="00D2636D">
        <w:rPr>
          <w:rFonts w:ascii="Arial" w:hAnsi="Arial" w:cs="Arial"/>
          <w:b/>
          <w:bCs/>
        </w:rPr>
        <w:t xml:space="preserve">Table </w:t>
      </w:r>
      <w:r>
        <w:rPr>
          <w:rFonts w:ascii="Arial" w:hAnsi="Arial" w:cs="Arial"/>
          <w:b/>
          <w:bCs/>
        </w:rPr>
        <w:t>S</w:t>
      </w:r>
      <w:r w:rsidRPr="00D2636D">
        <w:rPr>
          <w:rFonts w:ascii="Arial" w:hAnsi="Arial" w:cs="Arial"/>
          <w:b/>
          <w:bCs/>
        </w:rPr>
        <w:t>1. Definitions relevant for considerations for inotropic therapy in chronic advanced heart failure</w:t>
      </w:r>
    </w:p>
    <w:p w:rsidR="00626626" w:rsidRPr="00D2636D" w:rsidRDefault="00626626" w:rsidP="00626626">
      <w:pPr>
        <w:rPr>
          <w:rFonts w:ascii="Arial" w:hAnsi="Arial" w:cs="Arial"/>
        </w:rPr>
      </w:pPr>
    </w:p>
    <w:p w:rsidR="00626626" w:rsidRPr="00D2636D" w:rsidRDefault="00626626" w:rsidP="00626626">
      <w:pPr>
        <w:rPr>
          <w:rFonts w:ascii="Arial" w:hAnsi="Arial" w:cs="Arial"/>
        </w:rPr>
      </w:pPr>
      <w:r w:rsidRPr="00D2636D">
        <w:rPr>
          <w:rFonts w:ascii="Arial" w:hAnsi="Arial" w:cs="Arial"/>
        </w:rPr>
        <w:t>Inotropes:</w:t>
      </w:r>
    </w:p>
    <w:p w:rsidR="00626626" w:rsidRPr="00D2636D" w:rsidRDefault="00626626" w:rsidP="00626626">
      <w:pPr>
        <w:rPr>
          <w:rFonts w:ascii="Arial" w:hAnsi="Arial" w:cs="Arial"/>
        </w:rPr>
      </w:pPr>
      <w:proofErr w:type="gramStart"/>
      <w:r w:rsidRPr="00D2636D">
        <w:rPr>
          <w:rFonts w:ascii="Arial" w:hAnsi="Arial" w:cs="Arial"/>
        </w:rPr>
        <w:t>A group of drugs that increase the force or the velocity (the strength) of the myocardial fibre contraction.</w:t>
      </w:r>
      <w:proofErr w:type="gramEnd"/>
      <w:r w:rsidRPr="00D2636D">
        <w:rPr>
          <w:rFonts w:ascii="Arial" w:hAnsi="Arial" w:cs="Arial"/>
        </w:rPr>
        <w:t xml:space="preserve"> Recently, inotropes have been classified by the</w:t>
      </w:r>
      <w:bookmarkStart w:id="0" w:name="_GoBack"/>
      <w:bookmarkEnd w:id="0"/>
      <w:r w:rsidRPr="00D2636D">
        <w:rPr>
          <w:rFonts w:ascii="Arial" w:hAnsi="Arial" w:cs="Arial"/>
        </w:rPr>
        <w:t xml:space="preserve">ir mechanism of action into 1) </w:t>
      </w:r>
      <w:proofErr w:type="spellStart"/>
      <w:r w:rsidRPr="00D2636D">
        <w:rPr>
          <w:rFonts w:ascii="Arial" w:hAnsi="Arial" w:cs="Arial"/>
        </w:rPr>
        <w:t>Calcitropes</w:t>
      </w:r>
      <w:proofErr w:type="spellEnd"/>
      <w:r w:rsidRPr="00D2636D">
        <w:rPr>
          <w:rFonts w:ascii="Arial" w:hAnsi="Arial" w:cs="Arial"/>
        </w:rPr>
        <w:t xml:space="preserve"> (e.g., </w:t>
      </w:r>
      <w:proofErr w:type="spellStart"/>
      <w:r w:rsidRPr="00D2636D">
        <w:rPr>
          <w:rFonts w:ascii="Arial" w:hAnsi="Arial" w:cs="Arial"/>
        </w:rPr>
        <w:t>Dobutamine</w:t>
      </w:r>
      <w:proofErr w:type="spellEnd"/>
      <w:r w:rsidRPr="00D2636D">
        <w:rPr>
          <w:rFonts w:ascii="Arial" w:hAnsi="Arial" w:cs="Arial"/>
        </w:rPr>
        <w:t xml:space="preserve">, </w:t>
      </w:r>
      <w:proofErr w:type="spellStart"/>
      <w:r w:rsidRPr="00D2636D">
        <w:rPr>
          <w:rFonts w:ascii="Arial" w:hAnsi="Arial" w:cs="Arial"/>
        </w:rPr>
        <w:t>Milrinone</w:t>
      </w:r>
      <w:proofErr w:type="spellEnd"/>
      <w:r w:rsidRPr="00D2636D">
        <w:rPr>
          <w:rFonts w:ascii="Arial" w:hAnsi="Arial" w:cs="Arial"/>
        </w:rPr>
        <w:t xml:space="preserve">) 2) </w:t>
      </w:r>
      <w:proofErr w:type="spellStart"/>
      <w:r w:rsidRPr="00D2636D">
        <w:rPr>
          <w:rFonts w:ascii="Arial" w:hAnsi="Arial" w:cs="Arial"/>
        </w:rPr>
        <w:t>myotropes</w:t>
      </w:r>
      <w:proofErr w:type="spellEnd"/>
      <w:r w:rsidRPr="00D2636D">
        <w:rPr>
          <w:rFonts w:ascii="Arial" w:hAnsi="Arial" w:cs="Arial"/>
        </w:rPr>
        <w:t xml:space="preserve"> (e.g., </w:t>
      </w:r>
      <w:proofErr w:type="spellStart"/>
      <w:r w:rsidRPr="00D2636D">
        <w:rPr>
          <w:rFonts w:ascii="Arial" w:hAnsi="Arial" w:cs="Arial"/>
        </w:rPr>
        <w:t>Omecamtiv</w:t>
      </w:r>
      <w:proofErr w:type="spellEnd"/>
      <w:r w:rsidRPr="00D2636D">
        <w:rPr>
          <w:rFonts w:ascii="Arial" w:hAnsi="Arial" w:cs="Arial"/>
        </w:rPr>
        <w:t xml:space="preserve"> </w:t>
      </w:r>
      <w:proofErr w:type="spellStart"/>
      <w:r w:rsidRPr="00D2636D">
        <w:rPr>
          <w:rFonts w:ascii="Arial" w:hAnsi="Arial" w:cs="Arial"/>
        </w:rPr>
        <w:t>Mecarbil</w:t>
      </w:r>
      <w:proofErr w:type="spellEnd"/>
      <w:proofErr w:type="gramStart"/>
      <w:r w:rsidRPr="00D2636D">
        <w:rPr>
          <w:rFonts w:ascii="Arial" w:hAnsi="Arial" w:cs="Arial"/>
        </w:rPr>
        <w:t>)  3</w:t>
      </w:r>
      <w:proofErr w:type="gramEnd"/>
      <w:r w:rsidRPr="00D2636D">
        <w:rPr>
          <w:rFonts w:ascii="Arial" w:hAnsi="Arial" w:cs="Arial"/>
        </w:rPr>
        <w:t xml:space="preserve">) </w:t>
      </w:r>
      <w:proofErr w:type="spellStart"/>
      <w:r w:rsidRPr="00D2636D">
        <w:rPr>
          <w:rFonts w:ascii="Arial" w:hAnsi="Arial" w:cs="Arial"/>
        </w:rPr>
        <w:t>mitotropes</w:t>
      </w:r>
      <w:proofErr w:type="spellEnd"/>
    </w:p>
    <w:p w:rsidR="00626626" w:rsidRPr="00D2636D" w:rsidRDefault="00626626" w:rsidP="00626626">
      <w:pPr>
        <w:rPr>
          <w:rFonts w:ascii="Arial" w:hAnsi="Arial" w:cs="Arial"/>
        </w:rPr>
      </w:pPr>
      <w:r w:rsidRPr="00D2636D">
        <w:rPr>
          <w:rFonts w:ascii="Arial" w:hAnsi="Arial" w:cs="Arial"/>
        </w:rPr>
        <w:t xml:space="preserve">Acute </w:t>
      </w:r>
      <w:proofErr w:type="spellStart"/>
      <w:r w:rsidRPr="00D2636D">
        <w:rPr>
          <w:rFonts w:ascii="Arial" w:hAnsi="Arial" w:cs="Arial"/>
        </w:rPr>
        <w:t>Cardiovasc</w:t>
      </w:r>
      <w:proofErr w:type="spellEnd"/>
      <w:r w:rsidRPr="00D2636D">
        <w:rPr>
          <w:rFonts w:ascii="Arial" w:hAnsi="Arial" w:cs="Arial"/>
        </w:rPr>
        <w:t xml:space="preserve"> Care 2021; 10: 676-686.</w:t>
      </w:r>
    </w:p>
    <w:p w:rsidR="00626626" w:rsidRPr="00D2636D" w:rsidRDefault="00626626" w:rsidP="00626626">
      <w:pPr>
        <w:rPr>
          <w:rFonts w:ascii="Arial" w:hAnsi="Arial" w:cs="Arial"/>
        </w:rPr>
      </w:pPr>
    </w:p>
    <w:p w:rsidR="00626626" w:rsidRPr="00D2636D" w:rsidRDefault="00626626" w:rsidP="00626626">
      <w:pPr>
        <w:rPr>
          <w:rFonts w:ascii="Arial" w:hAnsi="Arial" w:cs="Arial"/>
        </w:rPr>
      </w:pPr>
      <w:r w:rsidRPr="00D2636D">
        <w:rPr>
          <w:rFonts w:ascii="Arial" w:hAnsi="Arial" w:cs="Arial"/>
        </w:rPr>
        <w:t>Advanced heart failure:</w:t>
      </w:r>
    </w:p>
    <w:p w:rsidR="00626626" w:rsidRPr="00D2636D" w:rsidRDefault="00626626" w:rsidP="00626626">
      <w:pPr>
        <w:rPr>
          <w:rFonts w:ascii="Arial" w:hAnsi="Arial" w:cs="Arial"/>
        </w:rPr>
      </w:pPr>
      <w:proofErr w:type="gramStart"/>
      <w:r w:rsidRPr="00D2636D">
        <w:rPr>
          <w:rFonts w:ascii="Arial" w:hAnsi="Arial" w:cs="Arial"/>
        </w:rPr>
        <w:t>A patient fulfilling the criteria below.</w:t>
      </w:r>
      <w:proofErr w:type="gramEnd"/>
      <w:r w:rsidRPr="00D2636D">
        <w:rPr>
          <w:rFonts w:ascii="Arial" w:hAnsi="Arial" w:cs="Arial"/>
        </w:rPr>
        <w:t xml:space="preserve"> The patient can be an outpatient or admitted to hospital. </w:t>
      </w:r>
    </w:p>
    <w:p w:rsidR="00626626" w:rsidRPr="00D2636D" w:rsidRDefault="00626626" w:rsidP="00626626">
      <w:pPr>
        <w:rPr>
          <w:rFonts w:ascii="Arial" w:hAnsi="Arial" w:cs="Arial"/>
        </w:rPr>
      </w:pPr>
      <w:r w:rsidRPr="00D2636D">
        <w:rPr>
          <w:rFonts w:ascii="Arial" w:hAnsi="Arial" w:cs="Arial"/>
        </w:rPr>
        <w:t>1. Severe and persistent symptoms of heart failure [NYHA class III (advanced) or IV].</w:t>
      </w:r>
    </w:p>
    <w:p w:rsidR="00626626" w:rsidRPr="00D2636D" w:rsidRDefault="00626626" w:rsidP="00626626">
      <w:pPr>
        <w:rPr>
          <w:rFonts w:ascii="Arial" w:hAnsi="Arial" w:cs="Arial"/>
        </w:rPr>
      </w:pPr>
      <w:r w:rsidRPr="00D2636D">
        <w:rPr>
          <w:rFonts w:ascii="Arial" w:hAnsi="Arial" w:cs="Arial"/>
        </w:rPr>
        <w:t>2. Severe cardiac dysfunction defined by a reduced LVEF ≤30%, isolated RV failure (e.g., ARVC) or non-operable severe valve abnormalities or congenital abnormalities or persistently high (or increasing) BNP or NT-</w:t>
      </w:r>
      <w:proofErr w:type="spellStart"/>
      <w:r w:rsidRPr="00D2636D">
        <w:rPr>
          <w:rFonts w:ascii="Arial" w:hAnsi="Arial" w:cs="Arial"/>
        </w:rPr>
        <w:t>proBNP</w:t>
      </w:r>
      <w:proofErr w:type="spellEnd"/>
      <w:r w:rsidRPr="00D2636D">
        <w:rPr>
          <w:rFonts w:ascii="Arial" w:hAnsi="Arial" w:cs="Arial"/>
        </w:rPr>
        <w:t xml:space="preserve"> values and data of severe diastolic dysfunction or LV structural abnormalities.</w:t>
      </w:r>
    </w:p>
    <w:p w:rsidR="00626626" w:rsidRPr="00D2636D" w:rsidRDefault="00626626" w:rsidP="00626626">
      <w:pPr>
        <w:rPr>
          <w:rFonts w:ascii="Arial" w:hAnsi="Arial" w:cs="Arial"/>
        </w:rPr>
      </w:pPr>
      <w:r w:rsidRPr="00D2636D">
        <w:rPr>
          <w:rFonts w:ascii="Arial" w:hAnsi="Arial" w:cs="Arial"/>
        </w:rPr>
        <w:t>3. Episodes of pulmonary or systemic congestion requiring high-dose intravenous diuretics (or diuretic combinations) or episodes of low output requiring inotropes or vasoactive drugs or malignant arrhythmias causing &gt;1 unplanned visit or hospitalization in the last 12 months.</w:t>
      </w:r>
    </w:p>
    <w:p w:rsidR="00626626" w:rsidRPr="00D2636D" w:rsidRDefault="00626626" w:rsidP="00626626">
      <w:pPr>
        <w:rPr>
          <w:rFonts w:ascii="Arial" w:hAnsi="Arial" w:cs="Arial"/>
        </w:rPr>
      </w:pPr>
      <w:r w:rsidRPr="00D2636D">
        <w:rPr>
          <w:rFonts w:ascii="Arial" w:hAnsi="Arial" w:cs="Arial"/>
        </w:rPr>
        <w:t xml:space="preserve">4. Severe impairment of exercise capacity with inability to exercise or low 6MWTD (&lt;300 m) or </w:t>
      </w:r>
      <w:proofErr w:type="gramStart"/>
      <w:r w:rsidRPr="00D2636D">
        <w:rPr>
          <w:rFonts w:ascii="Arial" w:hAnsi="Arial" w:cs="Arial"/>
        </w:rPr>
        <w:t>pVO2(</w:t>
      </w:r>
      <w:proofErr w:type="gramEnd"/>
      <w:r w:rsidRPr="00D2636D">
        <w:rPr>
          <w:rFonts w:ascii="Arial" w:hAnsi="Arial" w:cs="Arial"/>
        </w:rPr>
        <w:t>&lt;12–14 mL/kg/min), estimated to be of cardiac origin.</w:t>
      </w:r>
    </w:p>
    <w:p w:rsidR="00626626" w:rsidRPr="00D2636D" w:rsidRDefault="00626626" w:rsidP="00626626">
      <w:pPr>
        <w:rPr>
          <w:rFonts w:ascii="Arial" w:hAnsi="Arial" w:cs="Arial"/>
        </w:rPr>
      </w:pPr>
      <w:r w:rsidRPr="00D2636D">
        <w:rPr>
          <w:rFonts w:ascii="Arial" w:hAnsi="Arial" w:cs="Arial"/>
        </w:rPr>
        <w:t>European Journal of Heart Failure 2018; 20: 1505–1535.</w:t>
      </w:r>
    </w:p>
    <w:p w:rsidR="00626626" w:rsidRPr="00D2636D" w:rsidRDefault="00626626" w:rsidP="00626626">
      <w:pPr>
        <w:rPr>
          <w:rFonts w:ascii="Arial" w:hAnsi="Arial" w:cs="Arial"/>
        </w:rPr>
      </w:pPr>
    </w:p>
    <w:p w:rsidR="00626626" w:rsidRPr="00D2636D" w:rsidRDefault="00626626" w:rsidP="00626626">
      <w:pPr>
        <w:rPr>
          <w:rFonts w:ascii="Arial" w:hAnsi="Arial" w:cs="Arial"/>
        </w:rPr>
      </w:pPr>
      <w:r w:rsidRPr="00D2636D">
        <w:rPr>
          <w:rFonts w:ascii="Arial" w:hAnsi="Arial" w:cs="Arial"/>
        </w:rPr>
        <w:t xml:space="preserve">Ambulatory advanced heart failure: </w:t>
      </w:r>
    </w:p>
    <w:p w:rsidR="00626626" w:rsidRPr="00D2636D" w:rsidRDefault="00626626" w:rsidP="00626626">
      <w:pPr>
        <w:rPr>
          <w:rFonts w:ascii="Arial" w:hAnsi="Arial" w:cs="Arial"/>
        </w:rPr>
      </w:pPr>
      <w:r w:rsidRPr="00D2636D">
        <w:rPr>
          <w:rFonts w:ascii="Arial" w:hAnsi="Arial" w:cs="Arial"/>
        </w:rPr>
        <w:t>Patients fulfilling criteria for advanced HF not currently admitted to hospital. In the INTERMACS classification they would be classified as profile 4-7 (unless on home inotrope therapy and inotrope dependent (see definitions) then=3).</w:t>
      </w:r>
    </w:p>
    <w:p w:rsidR="00626626" w:rsidRPr="00D2636D" w:rsidRDefault="00626626" w:rsidP="00626626">
      <w:pPr>
        <w:rPr>
          <w:rFonts w:ascii="Arial" w:hAnsi="Arial" w:cs="Arial"/>
        </w:rPr>
      </w:pPr>
      <w:r w:rsidRPr="00D2636D">
        <w:rPr>
          <w:rFonts w:ascii="Arial" w:hAnsi="Arial" w:cs="Arial"/>
        </w:rPr>
        <w:t>Current Heart Failure Reports 2017; 14: 498-506</w:t>
      </w:r>
    </w:p>
    <w:p w:rsidR="00626626" w:rsidRPr="00D2636D" w:rsidRDefault="00626626" w:rsidP="00626626">
      <w:pPr>
        <w:rPr>
          <w:rFonts w:ascii="Arial" w:hAnsi="Arial" w:cs="Arial"/>
        </w:rPr>
      </w:pPr>
    </w:p>
    <w:p w:rsidR="00626626" w:rsidRPr="00D2636D" w:rsidRDefault="00626626" w:rsidP="00626626">
      <w:pPr>
        <w:rPr>
          <w:rFonts w:ascii="Arial" w:hAnsi="Arial" w:cs="Arial"/>
        </w:rPr>
      </w:pPr>
      <w:r w:rsidRPr="00D2636D">
        <w:rPr>
          <w:rFonts w:ascii="Arial" w:hAnsi="Arial" w:cs="Arial"/>
        </w:rPr>
        <w:t>Acute heart failure:</w:t>
      </w:r>
    </w:p>
    <w:p w:rsidR="00626626" w:rsidRPr="00D2636D" w:rsidRDefault="00626626" w:rsidP="00626626">
      <w:pPr>
        <w:rPr>
          <w:rFonts w:ascii="Arial" w:hAnsi="Arial" w:cs="Arial"/>
        </w:rPr>
      </w:pPr>
      <w:r w:rsidRPr="00D2636D">
        <w:rPr>
          <w:rFonts w:ascii="Arial" w:hAnsi="Arial" w:cs="Arial"/>
        </w:rPr>
        <w:lastRenderedPageBreak/>
        <w:t>Refers to rapid or gradual onset of symptoms and/or signs of HF, severe enough for the patient to seek urgent medical attention, leading to an unplanned hospital admission or and emergency department visit.</w:t>
      </w:r>
    </w:p>
    <w:p w:rsidR="00626626" w:rsidRPr="00D2636D" w:rsidRDefault="00626626" w:rsidP="00626626">
      <w:pPr>
        <w:rPr>
          <w:rFonts w:ascii="Arial" w:hAnsi="Arial" w:cs="Arial"/>
        </w:rPr>
      </w:pPr>
      <w:r w:rsidRPr="00D2636D">
        <w:rPr>
          <w:rFonts w:ascii="Arial" w:hAnsi="Arial" w:cs="Arial"/>
        </w:rPr>
        <w:t>ESC Guidelines 2021</w:t>
      </w:r>
    </w:p>
    <w:p w:rsidR="00626626" w:rsidRPr="00D2636D" w:rsidRDefault="00626626" w:rsidP="00626626">
      <w:pPr>
        <w:rPr>
          <w:rFonts w:ascii="Arial" w:hAnsi="Arial" w:cs="Arial"/>
        </w:rPr>
      </w:pPr>
    </w:p>
    <w:p w:rsidR="00626626" w:rsidRPr="00D2636D" w:rsidRDefault="00626626" w:rsidP="00626626">
      <w:pPr>
        <w:rPr>
          <w:rFonts w:ascii="Arial" w:hAnsi="Arial" w:cs="Arial"/>
        </w:rPr>
      </w:pPr>
      <w:r w:rsidRPr="00D2636D">
        <w:rPr>
          <w:rFonts w:ascii="Arial" w:hAnsi="Arial" w:cs="Arial"/>
        </w:rPr>
        <w:t xml:space="preserve">Cardiogenic shock: </w:t>
      </w:r>
    </w:p>
    <w:p w:rsidR="00626626" w:rsidRPr="00D2636D" w:rsidRDefault="00626626" w:rsidP="00626626">
      <w:pPr>
        <w:rPr>
          <w:rFonts w:ascii="Arial" w:hAnsi="Arial" w:cs="Arial"/>
        </w:rPr>
      </w:pPr>
      <w:r w:rsidRPr="00D2636D">
        <w:rPr>
          <w:rFonts w:ascii="Arial" w:hAnsi="Arial" w:cs="Arial"/>
        </w:rPr>
        <w:t xml:space="preserve">A syndrome caused by a primary cardiovascular disorder in which inadequate CO results in a life-threatening state of tissue </w:t>
      </w:r>
      <w:proofErr w:type="spellStart"/>
      <w:r w:rsidRPr="00D2636D">
        <w:rPr>
          <w:rFonts w:ascii="Arial" w:hAnsi="Arial" w:cs="Arial"/>
        </w:rPr>
        <w:t>hypoperfusion</w:t>
      </w:r>
      <w:proofErr w:type="spellEnd"/>
      <w:r w:rsidRPr="00D2636D">
        <w:rPr>
          <w:rFonts w:ascii="Arial" w:hAnsi="Arial" w:cs="Arial"/>
        </w:rPr>
        <w:t xml:space="preserve"> associated with impairment of tissue oxygen metabolism and hyperlactatemia which depending on its severity, may result in multi-organ dysfunction and death. European Journal of Heart Failure (2020) 22, 1315–1341</w:t>
      </w:r>
    </w:p>
    <w:p w:rsidR="00626626" w:rsidRPr="00D2636D" w:rsidRDefault="00626626" w:rsidP="00626626">
      <w:pPr>
        <w:rPr>
          <w:rFonts w:ascii="Arial" w:hAnsi="Arial" w:cs="Arial"/>
        </w:rPr>
      </w:pPr>
    </w:p>
    <w:p w:rsidR="00626626" w:rsidRPr="00D2636D" w:rsidRDefault="00626626" w:rsidP="00626626">
      <w:pPr>
        <w:rPr>
          <w:rFonts w:ascii="Arial" w:hAnsi="Arial" w:cs="Arial"/>
        </w:rPr>
      </w:pPr>
      <w:r w:rsidRPr="00D2636D">
        <w:rPr>
          <w:rFonts w:ascii="Arial" w:hAnsi="Arial" w:cs="Arial"/>
        </w:rPr>
        <w:t xml:space="preserve">Systemic </w:t>
      </w:r>
      <w:proofErr w:type="spellStart"/>
      <w:r w:rsidRPr="00D2636D">
        <w:rPr>
          <w:rFonts w:ascii="Arial" w:hAnsi="Arial" w:cs="Arial"/>
        </w:rPr>
        <w:t>hypoperfusion</w:t>
      </w:r>
      <w:proofErr w:type="spellEnd"/>
      <w:r w:rsidRPr="00D2636D">
        <w:rPr>
          <w:rFonts w:ascii="Arial" w:hAnsi="Arial" w:cs="Arial"/>
        </w:rPr>
        <w:t>:</w:t>
      </w:r>
    </w:p>
    <w:p w:rsidR="00626626" w:rsidRPr="00D2636D" w:rsidRDefault="00626626" w:rsidP="00626626">
      <w:pPr>
        <w:rPr>
          <w:rFonts w:ascii="Arial" w:hAnsi="Arial" w:cs="Arial"/>
        </w:rPr>
      </w:pPr>
      <w:r w:rsidRPr="00D2636D">
        <w:rPr>
          <w:rFonts w:ascii="Arial" w:hAnsi="Arial" w:cs="Arial"/>
        </w:rPr>
        <w:t>A presentation including one or more of the following clinical signs: cold sweated extremities, oliguria, mental confusion, dizziness, narrow pulse AND one or more laboratory results signifying tissue hypoxia and altered cellular metabolism: elevated creatinine, metabolic acidosis or elevated lactate. Blood pressure is often but not invariably low.</w:t>
      </w:r>
    </w:p>
    <w:p w:rsidR="00626626" w:rsidRPr="00D2636D" w:rsidRDefault="00626626" w:rsidP="00626626">
      <w:pPr>
        <w:rPr>
          <w:rFonts w:ascii="Arial" w:hAnsi="Arial" w:cs="Arial"/>
        </w:rPr>
      </w:pPr>
      <w:r w:rsidRPr="00D2636D">
        <w:rPr>
          <w:rFonts w:ascii="Arial" w:hAnsi="Arial" w:cs="Arial"/>
        </w:rPr>
        <w:t>ESC Guidelines 2021</w:t>
      </w:r>
    </w:p>
    <w:p w:rsidR="00626626" w:rsidRPr="00D2636D" w:rsidRDefault="00626626" w:rsidP="00626626">
      <w:pPr>
        <w:rPr>
          <w:rFonts w:ascii="Arial" w:hAnsi="Arial" w:cs="Arial"/>
        </w:rPr>
      </w:pPr>
    </w:p>
    <w:p w:rsidR="00626626" w:rsidRPr="00D2636D" w:rsidRDefault="00626626" w:rsidP="00626626">
      <w:pPr>
        <w:rPr>
          <w:rFonts w:ascii="Arial" w:hAnsi="Arial" w:cs="Arial"/>
        </w:rPr>
      </w:pPr>
      <w:r w:rsidRPr="00D2636D">
        <w:rPr>
          <w:rFonts w:ascii="Arial" w:hAnsi="Arial" w:cs="Arial"/>
        </w:rPr>
        <w:t>Hypotension:</w:t>
      </w:r>
    </w:p>
    <w:p w:rsidR="00626626" w:rsidRPr="00D2636D" w:rsidRDefault="00626626" w:rsidP="00626626">
      <w:pPr>
        <w:rPr>
          <w:rFonts w:ascii="Arial" w:hAnsi="Arial" w:cs="Arial"/>
        </w:rPr>
      </w:pPr>
      <w:r w:rsidRPr="00D2636D">
        <w:rPr>
          <w:rFonts w:ascii="Arial" w:hAnsi="Arial" w:cs="Arial"/>
        </w:rPr>
        <w:t>A systolic blood pressure &lt; 90 mmHg. This should be differentiated from symptomatic hypotension, which requires that the patient has symptoms caused by low blood pressure (e.g., dizziness, syncope)</w:t>
      </w:r>
    </w:p>
    <w:p w:rsidR="00626626" w:rsidRPr="00D2636D" w:rsidRDefault="00626626" w:rsidP="00626626">
      <w:pPr>
        <w:rPr>
          <w:rFonts w:ascii="Arial" w:hAnsi="Arial" w:cs="Arial"/>
        </w:rPr>
      </w:pPr>
      <w:r w:rsidRPr="00D2636D">
        <w:rPr>
          <w:rFonts w:ascii="Arial" w:hAnsi="Arial" w:cs="Arial"/>
        </w:rPr>
        <w:t>ESC Guidelines 2021</w:t>
      </w:r>
    </w:p>
    <w:p w:rsidR="00626626" w:rsidRPr="00D2636D" w:rsidRDefault="00626626" w:rsidP="00626626">
      <w:pPr>
        <w:rPr>
          <w:rFonts w:ascii="Arial" w:hAnsi="Arial" w:cs="Arial"/>
        </w:rPr>
      </w:pPr>
    </w:p>
    <w:p w:rsidR="00626626" w:rsidRPr="00D2636D" w:rsidRDefault="00626626" w:rsidP="00626626">
      <w:pPr>
        <w:rPr>
          <w:rFonts w:ascii="Arial" w:hAnsi="Arial" w:cs="Arial"/>
        </w:rPr>
      </w:pPr>
      <w:r w:rsidRPr="00D2636D">
        <w:rPr>
          <w:rFonts w:ascii="Arial" w:hAnsi="Arial" w:cs="Arial"/>
        </w:rPr>
        <w:t xml:space="preserve">Repeated inotrope infusions: </w:t>
      </w:r>
    </w:p>
    <w:p w:rsidR="00626626" w:rsidRPr="00D2636D" w:rsidRDefault="00626626" w:rsidP="00626626">
      <w:pPr>
        <w:rPr>
          <w:rFonts w:ascii="Arial" w:hAnsi="Arial" w:cs="Arial"/>
        </w:rPr>
      </w:pPr>
      <w:r w:rsidRPr="00D2636D">
        <w:rPr>
          <w:rFonts w:ascii="Arial" w:hAnsi="Arial" w:cs="Arial"/>
        </w:rPr>
        <w:t>A planned strategy of repetitive intravenous infusion of short- or longer acting inotropes with fixed or variable intervals with the purpose of preventing or attenuating end organ dysfunction and reduce the need for unplanned heart failure hospitalizations or bridge for heart transplantation or long term mechanical circulatory support.</w:t>
      </w:r>
    </w:p>
    <w:p w:rsidR="00626626" w:rsidRPr="00D2636D" w:rsidRDefault="00626626" w:rsidP="00626626">
      <w:pPr>
        <w:rPr>
          <w:rFonts w:ascii="Arial" w:hAnsi="Arial" w:cs="Arial"/>
        </w:rPr>
      </w:pPr>
      <w:proofErr w:type="spellStart"/>
      <w:r w:rsidRPr="00D2636D">
        <w:rPr>
          <w:rFonts w:ascii="Arial" w:hAnsi="Arial" w:cs="Arial"/>
        </w:rPr>
        <w:t>Crit</w:t>
      </w:r>
      <w:proofErr w:type="spellEnd"/>
      <w:r w:rsidRPr="00D2636D">
        <w:rPr>
          <w:rFonts w:ascii="Arial" w:hAnsi="Arial" w:cs="Arial"/>
        </w:rPr>
        <w:t xml:space="preserve"> Care. 2019 Nov 29</w:t>
      </w:r>
      <w:proofErr w:type="gramStart"/>
      <w:r w:rsidRPr="00D2636D">
        <w:rPr>
          <w:rFonts w:ascii="Arial" w:hAnsi="Arial" w:cs="Arial"/>
        </w:rPr>
        <w:t>;23</w:t>
      </w:r>
      <w:proofErr w:type="gramEnd"/>
      <w:r w:rsidRPr="00D2636D">
        <w:rPr>
          <w:rFonts w:ascii="Arial" w:hAnsi="Arial" w:cs="Arial"/>
        </w:rPr>
        <w:t>(1):385.</w:t>
      </w:r>
    </w:p>
    <w:p w:rsidR="00626626" w:rsidRPr="00D2636D" w:rsidRDefault="00626626" w:rsidP="00626626">
      <w:pPr>
        <w:rPr>
          <w:rFonts w:ascii="Arial" w:hAnsi="Arial" w:cs="Arial"/>
        </w:rPr>
      </w:pPr>
    </w:p>
    <w:p w:rsidR="00626626" w:rsidRPr="00D2636D" w:rsidRDefault="00626626" w:rsidP="00626626">
      <w:pPr>
        <w:rPr>
          <w:rFonts w:ascii="Arial" w:hAnsi="Arial" w:cs="Arial"/>
        </w:rPr>
      </w:pPr>
      <w:r w:rsidRPr="00D2636D">
        <w:rPr>
          <w:rFonts w:ascii="Arial" w:hAnsi="Arial" w:cs="Arial"/>
        </w:rPr>
        <w:t>Diuretic resistance:</w:t>
      </w:r>
    </w:p>
    <w:p w:rsidR="00626626" w:rsidRPr="00D2636D" w:rsidRDefault="00626626" w:rsidP="00626626">
      <w:pPr>
        <w:rPr>
          <w:rFonts w:ascii="Arial" w:hAnsi="Arial" w:cs="Arial"/>
        </w:rPr>
      </w:pPr>
      <w:r w:rsidRPr="00D2636D">
        <w:rPr>
          <w:rFonts w:ascii="Arial" w:hAnsi="Arial" w:cs="Arial"/>
        </w:rPr>
        <w:t xml:space="preserve">Diuretic resistance is defined as an impaired sensitivity to diuretics resulting in the need for higher diuretic doses due to reduced </w:t>
      </w:r>
      <w:proofErr w:type="spellStart"/>
      <w:r w:rsidRPr="00D2636D">
        <w:rPr>
          <w:rFonts w:ascii="Arial" w:hAnsi="Arial" w:cs="Arial"/>
        </w:rPr>
        <w:t>natriuresis</w:t>
      </w:r>
      <w:proofErr w:type="spellEnd"/>
      <w:r w:rsidRPr="00D2636D">
        <w:rPr>
          <w:rFonts w:ascii="Arial" w:hAnsi="Arial" w:cs="Arial"/>
        </w:rPr>
        <w:t xml:space="preserve"> and diuresis limiting the possibility to achieve </w:t>
      </w:r>
      <w:proofErr w:type="spellStart"/>
      <w:r w:rsidRPr="00D2636D">
        <w:rPr>
          <w:rFonts w:ascii="Arial" w:hAnsi="Arial" w:cs="Arial"/>
        </w:rPr>
        <w:t>euvolemia</w:t>
      </w:r>
      <w:proofErr w:type="spellEnd"/>
      <w:r w:rsidRPr="00D2636D">
        <w:rPr>
          <w:rFonts w:ascii="Arial" w:hAnsi="Arial" w:cs="Arial"/>
        </w:rPr>
        <w:t xml:space="preserve">. </w:t>
      </w:r>
    </w:p>
    <w:p w:rsidR="00626626" w:rsidRPr="00D2636D" w:rsidRDefault="00626626" w:rsidP="00626626">
      <w:pPr>
        <w:rPr>
          <w:rFonts w:ascii="Arial" w:hAnsi="Arial" w:cs="Arial"/>
        </w:rPr>
      </w:pPr>
      <w:r w:rsidRPr="00D2636D">
        <w:rPr>
          <w:rFonts w:ascii="Arial" w:hAnsi="Arial" w:cs="Arial"/>
        </w:rPr>
        <w:lastRenderedPageBreak/>
        <w:t>European Journal of Heart Failure (2019) 21, 137–155</w:t>
      </w:r>
    </w:p>
    <w:p w:rsidR="00626626" w:rsidRPr="00D2636D" w:rsidRDefault="00626626" w:rsidP="00626626">
      <w:pPr>
        <w:rPr>
          <w:rFonts w:ascii="Arial" w:hAnsi="Arial" w:cs="Arial"/>
        </w:rPr>
      </w:pPr>
    </w:p>
    <w:p w:rsidR="00626626" w:rsidRPr="00D2636D" w:rsidRDefault="00626626" w:rsidP="00626626">
      <w:pPr>
        <w:rPr>
          <w:rFonts w:ascii="Arial" w:hAnsi="Arial" w:cs="Arial"/>
        </w:rPr>
      </w:pPr>
      <w:r w:rsidRPr="00D2636D">
        <w:rPr>
          <w:rFonts w:ascii="Arial" w:hAnsi="Arial" w:cs="Arial"/>
        </w:rPr>
        <w:t>Inotrope dependence</w:t>
      </w:r>
      <w:r>
        <w:rPr>
          <w:rFonts w:ascii="Arial" w:hAnsi="Arial" w:cs="Arial"/>
        </w:rPr>
        <w:t xml:space="preserve"> (Proposed ESC HFA definition)</w:t>
      </w:r>
      <w:r w:rsidRPr="00D2636D">
        <w:rPr>
          <w:rFonts w:ascii="Arial" w:hAnsi="Arial" w:cs="Arial"/>
        </w:rPr>
        <w:t>:</w:t>
      </w:r>
    </w:p>
    <w:p w:rsidR="00626626" w:rsidRPr="007E1821" w:rsidRDefault="00626626" w:rsidP="00626626">
      <w:pPr>
        <w:rPr>
          <w:rFonts w:ascii="Arial" w:hAnsi="Arial" w:cs="Arial"/>
        </w:rPr>
      </w:pPr>
      <w:r w:rsidRPr="007E1821">
        <w:rPr>
          <w:rFonts w:ascii="Arial" w:hAnsi="Arial" w:cs="Arial"/>
        </w:rPr>
        <w:t xml:space="preserve">FAILURE to wean intravenous inotropic support* within 72 hours** </w:t>
      </w:r>
    </w:p>
    <w:p w:rsidR="00626626" w:rsidRPr="007E1821" w:rsidRDefault="00626626" w:rsidP="00626626">
      <w:pPr>
        <w:rPr>
          <w:rFonts w:ascii="Arial" w:hAnsi="Arial" w:cs="Arial"/>
        </w:rPr>
      </w:pPr>
      <w:r w:rsidRPr="007E1821">
        <w:rPr>
          <w:rFonts w:ascii="Arial" w:hAnsi="Arial" w:cs="Arial"/>
        </w:rPr>
        <w:t>WITHOUT:</w:t>
      </w:r>
    </w:p>
    <w:p w:rsidR="00626626" w:rsidRPr="007E1821" w:rsidRDefault="00626626" w:rsidP="00626626">
      <w:pPr>
        <w:rPr>
          <w:rFonts w:ascii="Arial" w:hAnsi="Arial" w:cs="Arial"/>
        </w:rPr>
      </w:pPr>
      <w:r w:rsidRPr="007E1821">
        <w:rPr>
          <w:rFonts w:ascii="Arial" w:hAnsi="Arial" w:cs="Arial"/>
        </w:rPr>
        <w:t xml:space="preserve">1) </w:t>
      </w:r>
      <w:proofErr w:type="gramStart"/>
      <w:r w:rsidRPr="007E1821">
        <w:rPr>
          <w:rFonts w:ascii="Arial" w:hAnsi="Arial" w:cs="Arial"/>
        </w:rPr>
        <w:t>development</w:t>
      </w:r>
      <w:proofErr w:type="gramEnd"/>
      <w:r w:rsidRPr="007E1821">
        <w:rPr>
          <w:rFonts w:ascii="Arial" w:hAnsi="Arial" w:cs="Arial"/>
        </w:rPr>
        <w:t xml:space="preserve"> of symptomatic arterial hypotension OR </w:t>
      </w:r>
    </w:p>
    <w:p w:rsidR="00626626" w:rsidRPr="007E1821" w:rsidRDefault="00626626" w:rsidP="00626626">
      <w:pPr>
        <w:rPr>
          <w:rFonts w:ascii="Arial" w:hAnsi="Arial" w:cs="Arial"/>
        </w:rPr>
      </w:pPr>
      <w:proofErr w:type="gramStart"/>
      <w:r w:rsidRPr="007E1821">
        <w:rPr>
          <w:rFonts w:ascii="Arial" w:hAnsi="Arial" w:cs="Arial"/>
        </w:rPr>
        <w:t>2 )</w:t>
      </w:r>
      <w:proofErr w:type="gramEnd"/>
      <w:r w:rsidRPr="007E1821">
        <w:rPr>
          <w:rFonts w:ascii="Arial" w:hAnsi="Arial" w:cs="Arial"/>
        </w:rPr>
        <w:t xml:space="preserve"> worsening renal or hepatic function defined as </w:t>
      </w:r>
      <w:proofErr w:type="spellStart"/>
      <w:r w:rsidRPr="007E1821">
        <w:rPr>
          <w:rFonts w:ascii="Arial" w:hAnsi="Arial" w:cs="Arial"/>
        </w:rPr>
        <w:t>eGFR</w:t>
      </w:r>
      <w:proofErr w:type="spellEnd"/>
      <w:r w:rsidRPr="007E1821">
        <w:rPr>
          <w:rFonts w:ascii="Arial" w:hAnsi="Arial" w:cs="Arial"/>
        </w:rPr>
        <w:t xml:space="preserve"> decrease &gt; 30 % or clinically important elevation in liver enzymes or INR OR</w:t>
      </w:r>
    </w:p>
    <w:p w:rsidR="00626626" w:rsidRPr="007E1821" w:rsidRDefault="00626626" w:rsidP="00626626">
      <w:pPr>
        <w:rPr>
          <w:rFonts w:ascii="Arial" w:hAnsi="Arial" w:cs="Arial"/>
        </w:rPr>
      </w:pPr>
      <w:r w:rsidRPr="007E1821">
        <w:rPr>
          <w:rFonts w:ascii="Arial" w:hAnsi="Arial" w:cs="Arial"/>
        </w:rPr>
        <w:t xml:space="preserve">3) </w:t>
      </w:r>
      <w:proofErr w:type="gramStart"/>
      <w:r w:rsidRPr="007E1821">
        <w:rPr>
          <w:rFonts w:ascii="Arial" w:hAnsi="Arial" w:cs="Arial"/>
        </w:rPr>
        <w:t>worsening</w:t>
      </w:r>
      <w:proofErr w:type="gramEnd"/>
      <w:r w:rsidRPr="007E1821">
        <w:rPr>
          <w:rFonts w:ascii="Arial" w:hAnsi="Arial" w:cs="Arial"/>
        </w:rPr>
        <w:t xml:space="preserve"> congestion leading to or upholding NYHA IV symptoms.***</w:t>
      </w:r>
    </w:p>
    <w:p w:rsidR="00626626" w:rsidRPr="007E1821" w:rsidRDefault="00626626" w:rsidP="00626626">
      <w:pPr>
        <w:rPr>
          <w:rFonts w:ascii="Arial" w:hAnsi="Arial" w:cs="Arial"/>
        </w:rPr>
      </w:pPr>
      <w:r w:rsidRPr="007E1821">
        <w:rPr>
          <w:rFonts w:ascii="Arial" w:hAnsi="Arial" w:cs="Arial"/>
        </w:rPr>
        <w:t xml:space="preserve">The diagnosis of Inotrope dependence </w:t>
      </w:r>
      <w:r>
        <w:rPr>
          <w:rFonts w:ascii="Arial" w:hAnsi="Arial" w:cs="Arial"/>
        </w:rPr>
        <w:t xml:space="preserve">should not </w:t>
      </w:r>
      <w:r w:rsidRPr="007E1821">
        <w:rPr>
          <w:rFonts w:ascii="Arial" w:hAnsi="Arial" w:cs="Arial"/>
        </w:rPr>
        <w:t xml:space="preserve">be made during simultaneous introduction or up titration of </w:t>
      </w:r>
      <w:proofErr w:type="spellStart"/>
      <w:r w:rsidRPr="007E1821">
        <w:rPr>
          <w:rFonts w:ascii="Arial" w:hAnsi="Arial" w:cs="Arial"/>
        </w:rPr>
        <w:t>betablockers</w:t>
      </w:r>
      <w:proofErr w:type="spellEnd"/>
      <w:r w:rsidRPr="007E1821">
        <w:rPr>
          <w:rFonts w:ascii="Arial" w:hAnsi="Arial" w:cs="Arial"/>
        </w:rPr>
        <w:t xml:space="preserve"> or RAS inhibitors.</w:t>
      </w:r>
    </w:p>
    <w:p w:rsidR="00626626" w:rsidRPr="007E1821" w:rsidRDefault="00626626" w:rsidP="00626626">
      <w:pPr>
        <w:rPr>
          <w:rFonts w:ascii="Arial" w:hAnsi="Arial" w:cs="Arial"/>
        </w:rPr>
      </w:pPr>
    </w:p>
    <w:p w:rsidR="00626626" w:rsidRPr="007E1821" w:rsidRDefault="00626626" w:rsidP="00626626">
      <w:pPr>
        <w:rPr>
          <w:rFonts w:ascii="Arial" w:hAnsi="Arial" w:cs="Arial"/>
        </w:rPr>
      </w:pPr>
      <w:r w:rsidRPr="007E1821">
        <w:rPr>
          <w:rFonts w:ascii="Arial" w:hAnsi="Arial" w:cs="Arial"/>
        </w:rPr>
        <w:t xml:space="preserve">*Epinephrine, norepinephrine, dopamine, </w:t>
      </w:r>
      <w:proofErr w:type="spellStart"/>
      <w:r w:rsidRPr="007E1821">
        <w:rPr>
          <w:rFonts w:ascii="Arial" w:hAnsi="Arial" w:cs="Arial"/>
        </w:rPr>
        <w:t>dobutamine</w:t>
      </w:r>
      <w:proofErr w:type="spellEnd"/>
      <w:r w:rsidRPr="007E1821">
        <w:rPr>
          <w:rFonts w:ascii="Arial" w:hAnsi="Arial" w:cs="Arial"/>
        </w:rPr>
        <w:t xml:space="preserve">, </w:t>
      </w:r>
      <w:proofErr w:type="spellStart"/>
      <w:r w:rsidRPr="007E1821">
        <w:rPr>
          <w:rFonts w:ascii="Arial" w:hAnsi="Arial" w:cs="Arial"/>
        </w:rPr>
        <w:t>milrinone</w:t>
      </w:r>
      <w:proofErr w:type="spellEnd"/>
      <w:r w:rsidRPr="007E1821">
        <w:rPr>
          <w:rFonts w:ascii="Arial" w:hAnsi="Arial" w:cs="Arial"/>
        </w:rPr>
        <w:t>.</w:t>
      </w:r>
    </w:p>
    <w:p w:rsidR="00626626" w:rsidRPr="007E1821" w:rsidRDefault="00626626" w:rsidP="00626626">
      <w:pPr>
        <w:rPr>
          <w:rFonts w:ascii="Arial" w:hAnsi="Arial" w:cs="Arial"/>
        </w:rPr>
      </w:pPr>
      <w:r w:rsidRPr="007E1821">
        <w:rPr>
          <w:rFonts w:ascii="Arial" w:hAnsi="Arial" w:cs="Arial"/>
        </w:rPr>
        <w:t xml:space="preserve">**If the patient has received continuous intravenous inotropic support &gt; 7 days, inotrope dependence is defined as failure to reduce infusion rate at 72 hours after each attempt to reduce. In the case of </w:t>
      </w:r>
      <w:proofErr w:type="spellStart"/>
      <w:r w:rsidRPr="007E1821">
        <w:rPr>
          <w:rFonts w:ascii="Arial" w:hAnsi="Arial" w:cs="Arial"/>
        </w:rPr>
        <w:t>levosimendan</w:t>
      </w:r>
      <w:proofErr w:type="spellEnd"/>
      <w:r w:rsidRPr="007E1821">
        <w:rPr>
          <w:rFonts w:ascii="Arial" w:hAnsi="Arial" w:cs="Arial"/>
        </w:rPr>
        <w:t xml:space="preserve"> infusion, dependence is defined as need for new infusion &lt; 10 days after the former.</w:t>
      </w:r>
    </w:p>
    <w:p w:rsidR="00626626" w:rsidRPr="00D2636D" w:rsidRDefault="00626626" w:rsidP="00626626">
      <w:pPr>
        <w:rPr>
          <w:rFonts w:ascii="Arial" w:hAnsi="Arial" w:cs="Arial"/>
        </w:rPr>
      </w:pPr>
      <w:r w:rsidRPr="007E1821">
        <w:rPr>
          <w:rFonts w:ascii="Arial" w:hAnsi="Arial" w:cs="Arial"/>
        </w:rPr>
        <w:t>***In the absence of reduction in loop diuretic dose.</w:t>
      </w:r>
    </w:p>
    <w:p w:rsidR="00626626" w:rsidRPr="00D2636D" w:rsidRDefault="00626626" w:rsidP="00626626">
      <w:pPr>
        <w:rPr>
          <w:rFonts w:ascii="Arial" w:hAnsi="Arial" w:cs="Arial"/>
        </w:rPr>
      </w:pPr>
    </w:p>
    <w:p w:rsidR="00626626" w:rsidRPr="00D2636D" w:rsidRDefault="00626626" w:rsidP="00626626">
      <w:pPr>
        <w:rPr>
          <w:rFonts w:ascii="Arial" w:hAnsi="Arial" w:cs="Arial"/>
        </w:rPr>
      </w:pPr>
      <w:r w:rsidRPr="00D2636D">
        <w:rPr>
          <w:rFonts w:ascii="Arial" w:hAnsi="Arial" w:cs="Arial"/>
        </w:rPr>
        <w:t xml:space="preserve">Palliative care: </w:t>
      </w:r>
    </w:p>
    <w:p w:rsidR="00626626" w:rsidRPr="00D2636D" w:rsidRDefault="00626626" w:rsidP="00626626">
      <w:pPr>
        <w:rPr>
          <w:rFonts w:ascii="Arial" w:hAnsi="Arial" w:cs="Arial"/>
        </w:rPr>
      </w:pPr>
      <w:r w:rsidRPr="00D2636D">
        <w:rPr>
          <w:rFonts w:ascii="Arial" w:hAnsi="Arial" w:cs="Arial"/>
        </w:rPr>
        <w:t>An approach that improves the quality of life of patients and families through the prevention and relief of suffering, focusing on expert assessment and management of symptoms, evaluation and support of informal caregivers, and the interdisciplinary coordination of continuing care. Palliative treatment is not synonymous with end-of-life care.</w:t>
      </w:r>
    </w:p>
    <w:p w:rsidR="00626626" w:rsidRPr="00D2636D" w:rsidRDefault="00626626" w:rsidP="00626626">
      <w:pPr>
        <w:rPr>
          <w:rFonts w:ascii="Arial" w:hAnsi="Arial" w:cs="Arial"/>
        </w:rPr>
      </w:pPr>
      <w:r w:rsidRPr="00D2636D">
        <w:rPr>
          <w:rFonts w:ascii="Arial" w:hAnsi="Arial" w:cs="Arial"/>
        </w:rPr>
        <w:t>European Journal of Heart Failure (2020) 22, 2327–2339</w:t>
      </w:r>
    </w:p>
    <w:p w:rsidR="00626626" w:rsidRPr="00D2636D" w:rsidRDefault="00626626" w:rsidP="00626626">
      <w:pPr>
        <w:rPr>
          <w:rFonts w:ascii="Arial" w:hAnsi="Arial" w:cs="Arial"/>
        </w:rPr>
      </w:pPr>
    </w:p>
    <w:p w:rsidR="00626626" w:rsidRPr="00D2636D" w:rsidRDefault="00626626" w:rsidP="00626626">
      <w:pPr>
        <w:rPr>
          <w:rFonts w:ascii="Arial" w:hAnsi="Arial" w:cs="Arial"/>
        </w:rPr>
      </w:pPr>
      <w:r w:rsidRPr="00D2636D">
        <w:rPr>
          <w:rFonts w:ascii="Arial" w:hAnsi="Arial" w:cs="Arial"/>
        </w:rPr>
        <w:t>Intensive care unit:</w:t>
      </w:r>
    </w:p>
    <w:p w:rsidR="00626626" w:rsidRPr="00D2636D" w:rsidRDefault="00626626" w:rsidP="00626626">
      <w:pPr>
        <w:rPr>
          <w:rFonts w:ascii="Arial" w:hAnsi="Arial" w:cs="Arial"/>
        </w:rPr>
      </w:pPr>
      <w:proofErr w:type="gramStart"/>
      <w:r w:rsidRPr="00D2636D">
        <w:rPr>
          <w:rFonts w:ascii="Arial" w:hAnsi="Arial" w:cs="Arial"/>
        </w:rPr>
        <w:t xml:space="preserve">A hospital department with high level of patient monitoring options including as a minimum continuous </w:t>
      </w:r>
      <w:proofErr w:type="spellStart"/>
      <w:r w:rsidRPr="00D2636D">
        <w:rPr>
          <w:rFonts w:ascii="Arial" w:hAnsi="Arial" w:cs="Arial"/>
        </w:rPr>
        <w:t>intraarterial</w:t>
      </w:r>
      <w:proofErr w:type="spellEnd"/>
      <w:r w:rsidRPr="00D2636D">
        <w:rPr>
          <w:rFonts w:ascii="Arial" w:hAnsi="Arial" w:cs="Arial"/>
        </w:rPr>
        <w:t xml:space="preserve"> blood pressure, central venous pressure, oxygen saturation, ECG.</w:t>
      </w:r>
      <w:proofErr w:type="gramEnd"/>
      <w:r w:rsidRPr="00D2636D">
        <w:rPr>
          <w:rFonts w:ascii="Arial" w:hAnsi="Arial" w:cs="Arial"/>
        </w:rPr>
        <w:t xml:space="preserve"> Mechanical ventilation, mechanical circulatory support and continuous renal replacement therapy may be options offered.</w:t>
      </w:r>
    </w:p>
    <w:p w:rsidR="00626626" w:rsidRPr="00D2636D" w:rsidRDefault="00626626" w:rsidP="00626626">
      <w:pPr>
        <w:rPr>
          <w:rFonts w:ascii="Arial" w:hAnsi="Arial" w:cs="Arial"/>
        </w:rPr>
      </w:pPr>
    </w:p>
    <w:p w:rsidR="00626626" w:rsidRPr="00D2636D" w:rsidRDefault="00626626" w:rsidP="00626626">
      <w:pPr>
        <w:rPr>
          <w:rFonts w:ascii="Arial" w:hAnsi="Arial" w:cs="Arial"/>
        </w:rPr>
      </w:pPr>
      <w:r w:rsidRPr="00D2636D">
        <w:rPr>
          <w:rFonts w:ascii="Arial" w:hAnsi="Arial" w:cs="Arial"/>
        </w:rPr>
        <w:t>Home inotropic therapy:</w:t>
      </w:r>
    </w:p>
    <w:p w:rsidR="00626626" w:rsidRPr="00D2636D" w:rsidRDefault="00626626" w:rsidP="00626626">
      <w:pPr>
        <w:rPr>
          <w:rFonts w:ascii="Arial" w:hAnsi="Arial" w:cs="Arial"/>
        </w:rPr>
      </w:pPr>
      <w:r w:rsidRPr="00D2636D">
        <w:rPr>
          <w:rFonts w:ascii="Arial" w:hAnsi="Arial" w:cs="Arial"/>
        </w:rPr>
        <w:lastRenderedPageBreak/>
        <w:t>Continuous or intermittent intravenous infusion of inotropic drugs in the patient’s home or a non-hospital care facility (e.g., nursing home or hospice). Oral treatment with inotropic drugs or hospital-based infusion of long-acting inotropes (i.e., with prolonged effect after discharge) is NOT considered home inotropic therapy.</w:t>
      </w:r>
    </w:p>
    <w:p w:rsidR="00626626" w:rsidRPr="00D2636D" w:rsidRDefault="00626626" w:rsidP="00626626">
      <w:pPr>
        <w:rPr>
          <w:rFonts w:ascii="Arial" w:hAnsi="Arial" w:cs="Arial"/>
        </w:rPr>
      </w:pPr>
    </w:p>
    <w:p w:rsidR="00626626" w:rsidRDefault="00626626" w:rsidP="00626626">
      <w:pPr>
        <w:rPr>
          <w:rFonts w:ascii="Arial" w:hAnsi="Arial" w:cs="Arial"/>
        </w:rPr>
      </w:pPr>
    </w:p>
    <w:p w:rsidR="00626626" w:rsidRPr="006541ED" w:rsidRDefault="00626626" w:rsidP="00626626">
      <w:pPr>
        <w:rPr>
          <w:rFonts w:ascii="Arial" w:hAnsi="Arial" w:cs="Arial"/>
        </w:rPr>
      </w:pPr>
      <w:proofErr w:type="gramStart"/>
      <w:r>
        <w:rPr>
          <w:rFonts w:ascii="Arial" w:hAnsi="Arial" w:cs="Arial"/>
          <w:b/>
          <w:bCs/>
        </w:rPr>
        <w:t xml:space="preserve">Supplemental </w:t>
      </w:r>
      <w:r w:rsidRPr="006541ED">
        <w:rPr>
          <w:rFonts w:ascii="Arial" w:hAnsi="Arial" w:cs="Arial"/>
          <w:b/>
          <w:bCs/>
        </w:rPr>
        <w:t>Table 2</w:t>
      </w:r>
      <w:r w:rsidRPr="006541ED">
        <w:rPr>
          <w:rFonts w:ascii="Arial" w:hAnsi="Arial" w:cs="Arial"/>
        </w:rPr>
        <w:t>.</w:t>
      </w:r>
      <w:proofErr w:type="gramEnd"/>
      <w:r w:rsidRPr="006541ED">
        <w:rPr>
          <w:rFonts w:ascii="Arial" w:hAnsi="Arial" w:cs="Arial"/>
        </w:rPr>
        <w:t xml:space="preserve"> New and Emerging Inotropic Therapies</w:t>
      </w:r>
    </w:p>
    <w:tbl>
      <w:tblPr>
        <w:tblStyle w:val="TableGrid"/>
        <w:tblW w:w="9634" w:type="dxa"/>
        <w:tblLayout w:type="fixed"/>
        <w:tblLook w:val="04A0" w:firstRow="1" w:lastRow="0" w:firstColumn="1" w:lastColumn="0" w:noHBand="0" w:noVBand="1"/>
      </w:tblPr>
      <w:tblGrid>
        <w:gridCol w:w="1605"/>
        <w:gridCol w:w="1606"/>
        <w:gridCol w:w="1746"/>
        <w:gridCol w:w="1465"/>
        <w:gridCol w:w="1606"/>
        <w:gridCol w:w="1606"/>
      </w:tblGrid>
      <w:tr w:rsidR="00626626" w:rsidRPr="006541ED" w:rsidTr="004C77DD">
        <w:tc>
          <w:tcPr>
            <w:tcW w:w="1605" w:type="dxa"/>
          </w:tcPr>
          <w:p w:rsidR="00626626" w:rsidRPr="006541ED" w:rsidRDefault="00626626" w:rsidP="004C77DD">
            <w:pPr>
              <w:spacing w:after="200" w:line="276" w:lineRule="auto"/>
              <w:rPr>
                <w:rFonts w:ascii="Arial" w:hAnsi="Arial" w:cs="Arial"/>
                <w:b/>
                <w:lang w:val="nl-NL"/>
              </w:rPr>
            </w:pPr>
            <w:r w:rsidRPr="006541ED">
              <w:rPr>
                <w:rFonts w:ascii="Arial" w:hAnsi="Arial" w:cs="Arial"/>
                <w:b/>
                <w:lang w:val="nl-NL"/>
              </w:rPr>
              <w:t>Therapy</w:t>
            </w:r>
          </w:p>
        </w:tc>
        <w:tc>
          <w:tcPr>
            <w:tcW w:w="1606" w:type="dxa"/>
          </w:tcPr>
          <w:p w:rsidR="00626626" w:rsidRPr="006541ED" w:rsidRDefault="00626626" w:rsidP="004C77DD">
            <w:pPr>
              <w:spacing w:after="200" w:line="276" w:lineRule="auto"/>
              <w:rPr>
                <w:rFonts w:ascii="Arial" w:hAnsi="Arial" w:cs="Arial"/>
                <w:b/>
                <w:lang w:val="nl-NL"/>
              </w:rPr>
            </w:pPr>
          </w:p>
        </w:tc>
        <w:tc>
          <w:tcPr>
            <w:tcW w:w="1746" w:type="dxa"/>
          </w:tcPr>
          <w:p w:rsidR="00626626" w:rsidRPr="006541ED" w:rsidRDefault="00626626" w:rsidP="004C77DD">
            <w:pPr>
              <w:spacing w:after="200" w:line="276" w:lineRule="auto"/>
              <w:rPr>
                <w:rFonts w:ascii="Arial" w:hAnsi="Arial" w:cs="Arial"/>
                <w:b/>
                <w:lang w:val="nl-NL"/>
              </w:rPr>
            </w:pPr>
            <w:r w:rsidRPr="006541ED">
              <w:rPr>
                <w:rFonts w:ascii="Arial" w:hAnsi="Arial" w:cs="Arial"/>
                <w:b/>
                <w:lang w:val="nl-NL"/>
              </w:rPr>
              <w:t>Mechanism of action</w:t>
            </w:r>
          </w:p>
        </w:tc>
        <w:tc>
          <w:tcPr>
            <w:tcW w:w="1465" w:type="dxa"/>
          </w:tcPr>
          <w:p w:rsidR="00626626" w:rsidRPr="006541ED" w:rsidRDefault="00626626" w:rsidP="004C77DD">
            <w:pPr>
              <w:spacing w:after="200" w:line="276" w:lineRule="auto"/>
              <w:rPr>
                <w:rFonts w:ascii="Arial" w:hAnsi="Arial" w:cs="Arial"/>
                <w:b/>
                <w:lang w:val="nl-NL"/>
              </w:rPr>
            </w:pPr>
            <w:r w:rsidRPr="006541ED">
              <w:rPr>
                <w:rFonts w:ascii="Arial" w:hAnsi="Arial" w:cs="Arial"/>
                <w:b/>
                <w:lang w:val="nl-NL"/>
              </w:rPr>
              <w:t>Application</w:t>
            </w:r>
          </w:p>
        </w:tc>
        <w:tc>
          <w:tcPr>
            <w:tcW w:w="1606" w:type="dxa"/>
          </w:tcPr>
          <w:p w:rsidR="00626626" w:rsidRPr="006541ED" w:rsidRDefault="00626626" w:rsidP="004C77DD">
            <w:pPr>
              <w:spacing w:after="200" w:line="276" w:lineRule="auto"/>
              <w:rPr>
                <w:rFonts w:ascii="Arial" w:hAnsi="Arial" w:cs="Arial"/>
                <w:b/>
                <w:lang w:val="nl-NL"/>
              </w:rPr>
            </w:pPr>
            <w:r w:rsidRPr="006541ED">
              <w:rPr>
                <w:rFonts w:ascii="Arial" w:hAnsi="Arial" w:cs="Arial"/>
                <w:b/>
                <w:lang w:val="nl-NL"/>
              </w:rPr>
              <w:t>Status</w:t>
            </w:r>
          </w:p>
        </w:tc>
        <w:tc>
          <w:tcPr>
            <w:tcW w:w="1606" w:type="dxa"/>
          </w:tcPr>
          <w:p w:rsidR="00626626" w:rsidRPr="006541ED" w:rsidRDefault="00626626" w:rsidP="004C77DD">
            <w:pPr>
              <w:spacing w:after="200" w:line="276" w:lineRule="auto"/>
              <w:rPr>
                <w:rFonts w:ascii="Arial" w:hAnsi="Arial" w:cs="Arial"/>
                <w:b/>
                <w:lang w:val="en-US"/>
              </w:rPr>
            </w:pPr>
            <w:r w:rsidRPr="006541ED">
              <w:rPr>
                <w:rFonts w:ascii="Arial" w:hAnsi="Arial" w:cs="Arial"/>
                <w:b/>
                <w:lang w:val="en-US"/>
              </w:rPr>
              <w:t>Reference</w:t>
            </w:r>
          </w:p>
        </w:tc>
      </w:tr>
      <w:tr w:rsidR="00626626" w:rsidRPr="006541ED" w:rsidTr="004C77DD">
        <w:trPr>
          <w:trHeight w:val="828"/>
        </w:trPr>
        <w:tc>
          <w:tcPr>
            <w:tcW w:w="1605" w:type="dxa"/>
          </w:tcPr>
          <w:p w:rsidR="00626626" w:rsidRPr="006541ED" w:rsidRDefault="00626626" w:rsidP="004C77DD">
            <w:pPr>
              <w:spacing w:after="200" w:line="276" w:lineRule="auto"/>
              <w:rPr>
                <w:rFonts w:ascii="Arial" w:hAnsi="Arial" w:cs="Arial"/>
                <w:lang w:val="en-US"/>
              </w:rPr>
            </w:pPr>
            <w:proofErr w:type="spellStart"/>
            <w:r w:rsidRPr="006541ED">
              <w:rPr>
                <w:rFonts w:ascii="Arial" w:hAnsi="Arial" w:cs="Arial"/>
                <w:lang w:val="en-US"/>
              </w:rPr>
              <w:t>Mitotropes</w:t>
            </w:r>
            <w:proofErr w:type="spellEnd"/>
          </w:p>
        </w:tc>
        <w:tc>
          <w:tcPr>
            <w:tcW w:w="1606" w:type="dxa"/>
          </w:tcPr>
          <w:p w:rsidR="00626626" w:rsidRPr="006541ED" w:rsidRDefault="00626626" w:rsidP="004C77DD">
            <w:pPr>
              <w:spacing w:after="200" w:line="276" w:lineRule="auto"/>
              <w:rPr>
                <w:rFonts w:ascii="Arial" w:hAnsi="Arial" w:cs="Arial"/>
                <w:lang w:val="en-US"/>
              </w:rPr>
            </w:pPr>
            <w:r w:rsidRPr="006541ED">
              <w:rPr>
                <w:rFonts w:ascii="Arial" w:hAnsi="Arial" w:cs="Arial"/>
                <w:lang w:val="it-IT"/>
              </w:rPr>
              <w:t>Perhexiline, Trimetazidine</w:t>
            </w:r>
          </w:p>
        </w:tc>
        <w:tc>
          <w:tcPr>
            <w:tcW w:w="1746" w:type="dxa"/>
          </w:tcPr>
          <w:p w:rsidR="00626626" w:rsidRPr="006541ED" w:rsidRDefault="00626626" w:rsidP="004C77DD">
            <w:pPr>
              <w:spacing w:after="200" w:line="276" w:lineRule="auto"/>
              <w:rPr>
                <w:rFonts w:ascii="Arial" w:hAnsi="Arial" w:cs="Arial"/>
                <w:lang w:val="en-US"/>
              </w:rPr>
            </w:pPr>
          </w:p>
        </w:tc>
        <w:tc>
          <w:tcPr>
            <w:tcW w:w="1465" w:type="dxa"/>
          </w:tcPr>
          <w:p w:rsidR="00626626" w:rsidRPr="006541ED" w:rsidRDefault="00626626" w:rsidP="004C77DD">
            <w:pPr>
              <w:spacing w:after="200" w:line="276" w:lineRule="auto"/>
              <w:rPr>
                <w:rFonts w:ascii="Arial" w:hAnsi="Arial" w:cs="Arial"/>
                <w:lang w:val="en-US"/>
              </w:rPr>
            </w:pPr>
            <w:r w:rsidRPr="006541ED">
              <w:rPr>
                <w:rFonts w:ascii="Arial" w:hAnsi="Arial" w:cs="Arial"/>
                <w:lang w:val="it-IT"/>
              </w:rPr>
              <w:t>Peripartum CMP, non-cardiac surgery</w:t>
            </w:r>
          </w:p>
        </w:tc>
        <w:tc>
          <w:tcPr>
            <w:tcW w:w="1606" w:type="dxa"/>
          </w:tcPr>
          <w:p w:rsidR="00626626" w:rsidRPr="006541ED" w:rsidRDefault="00626626" w:rsidP="004C77DD">
            <w:pPr>
              <w:spacing w:after="200" w:line="276" w:lineRule="auto"/>
              <w:rPr>
                <w:rFonts w:ascii="Arial" w:hAnsi="Arial" w:cs="Arial"/>
                <w:lang w:val="en-US"/>
              </w:rPr>
            </w:pPr>
            <w:r w:rsidRPr="006541ED">
              <w:rPr>
                <w:rFonts w:ascii="Arial" w:hAnsi="Arial" w:cs="Arial"/>
                <w:lang w:val="it-IT"/>
              </w:rPr>
              <w:t>Clinical trials</w:t>
            </w:r>
          </w:p>
        </w:tc>
        <w:tc>
          <w:tcPr>
            <w:tcW w:w="1606" w:type="dxa"/>
          </w:tcPr>
          <w:p w:rsidR="00626626" w:rsidRPr="006541ED" w:rsidRDefault="00626626" w:rsidP="004C77DD">
            <w:pPr>
              <w:spacing w:after="200" w:line="276" w:lineRule="auto"/>
              <w:rPr>
                <w:rFonts w:ascii="Arial" w:hAnsi="Arial" w:cs="Arial"/>
                <w:lang w:val="it-IT"/>
              </w:rPr>
            </w:pPr>
            <w:r w:rsidRPr="006541ED">
              <w:rPr>
                <w:rFonts w:ascii="Arial" w:hAnsi="Arial" w:cs="Arial"/>
                <w:lang w:val="en-US"/>
              </w:rPr>
              <w:fldChar w:fldCharType="begin"/>
            </w:r>
            <w:r>
              <w:rPr>
                <w:rFonts w:ascii="Arial" w:hAnsi="Arial" w:cs="Arial"/>
                <w:lang w:val="it-IT"/>
              </w:rPr>
              <w:instrText xml:space="preserve"> ADDIN ZOTERO_ITEM CSL_CITATION {"citationID":"ErXmoPHF","properties":{"formattedCitation":"\\super 16\\nosupersub{}","plainCitation":"16","noteIndex":0},"citationItems":[{"id":"QA7nzKt7/9gL5KPrT","uris":["http://zotero.org/users/5806739/items/WJ9ZZE2Q"],"itemData":{"id":4413,"type":"article-journal","abstract":"The term \"inotrope\" is familiar and intimately connected with pharmaceuticals clinically used for treatment of low cardiac output with cardiogenic shock. Traditional inotropic agents exert their effect by modulating calcium signaling in the myocardium. Their use is associated with poor long-term outcomes. Newer molecules in development intend to break from calcium mediation and the associated detrimental long-term effects by targeting distinct mechanisms of action to improve cardiac performance. Thus, \"inotropy\" does not sufficiently describe the range of potential novel pharmaceutical products. To enhance communication around and evaluation of current, emerging, and potential therapies, this review proposes a novel nuanced and holistic framework to categorize pharmacological agents that improve myocardial performance based on 3 myocardial mechanisms: calcitropes, which alter intracellular calcium concentrations; myotropes, which affect the molecular motor and scaffolding; and mitotropes, which influence energetics. Novel chemical entities can easily be incorporated into this structure, distinguishing themselves based on their mechanisms and clinical outcomes.","container-title":"Journal of the American College of Cardiology","DOI":"10.1016/j.jacc.2019.02.051","ISSN":"1558-3597","issue":"18","journalAbbreviation":"J Am Coll Cardiol","language":"eng","note":"PMID: 31072579","page":"2345-2353","source":"PubMed","title":"Cardiac Calcitropes, Myotropes, and Mitotropes: JACC Review Topic of the Week","title-short":"Cardiac Calcitropes, Myotropes, and Mitotropes","volume":"73","author":[{"family":"Psotka","given":"Mitchell A."},{"family":"Gottlieb","given":"Stephen S."},{"family":"Francis","given":"Gary S."},{"family":"Allen","given":"Larry A."},{"family":"Teerlink","given":"John R."},{"family":"Adams","given":"Kirkwood F."},{"family":"Rosano","given":"Giuseppe M. C."},{"family":"Lancellotti","given":"Patrizio"}],"issued":{"date-parts":[["2019",5,14]]}}}],"schema":"https://github.com/citation-style-language/schema/raw/master/csl-citation.json"} </w:instrText>
            </w:r>
            <w:r w:rsidRPr="006541ED">
              <w:rPr>
                <w:rFonts w:ascii="Arial" w:hAnsi="Arial" w:cs="Arial"/>
                <w:lang w:val="en-US"/>
              </w:rPr>
              <w:fldChar w:fldCharType="separate"/>
            </w:r>
            <w:r w:rsidRPr="00D04D21">
              <w:rPr>
                <w:rFonts w:ascii="Arial" w:hAnsi="Arial" w:cs="Arial"/>
                <w:szCs w:val="24"/>
                <w:vertAlign w:val="superscript"/>
              </w:rPr>
              <w:t>16</w:t>
            </w:r>
            <w:r w:rsidRPr="006541ED">
              <w:rPr>
                <w:rFonts w:ascii="Arial" w:hAnsi="Arial" w:cs="Arial"/>
              </w:rPr>
              <w:fldChar w:fldCharType="end"/>
            </w:r>
            <w:proofErr w:type="spellStart"/>
            <w:r w:rsidRPr="006541ED">
              <w:rPr>
                <w:rFonts w:ascii="Arial" w:hAnsi="Arial" w:cs="Arial"/>
                <w:lang w:val="en-US"/>
              </w:rPr>
              <w:t>Psotka</w:t>
            </w:r>
            <w:proofErr w:type="spellEnd"/>
            <w:r w:rsidRPr="006541ED">
              <w:rPr>
                <w:rFonts w:ascii="Arial" w:hAnsi="Arial" w:cs="Arial"/>
                <w:lang w:val="en-US"/>
              </w:rPr>
              <w:t xml:space="preserve"> et al</w:t>
            </w:r>
          </w:p>
        </w:tc>
      </w:tr>
      <w:tr w:rsidR="00626626" w:rsidRPr="006541ED" w:rsidTr="004C77DD">
        <w:tc>
          <w:tcPr>
            <w:tcW w:w="1605" w:type="dxa"/>
          </w:tcPr>
          <w:p w:rsidR="00626626" w:rsidRPr="006541ED" w:rsidRDefault="00626626" w:rsidP="004C77DD">
            <w:pPr>
              <w:spacing w:after="200" w:line="276" w:lineRule="auto"/>
              <w:rPr>
                <w:rFonts w:ascii="Arial" w:hAnsi="Arial" w:cs="Arial"/>
                <w:lang w:val="en-US"/>
              </w:rPr>
            </w:pPr>
            <w:proofErr w:type="spellStart"/>
            <w:r w:rsidRPr="006541ED">
              <w:rPr>
                <w:rFonts w:ascii="Arial" w:hAnsi="Arial" w:cs="Arial"/>
                <w:lang w:val="en-US"/>
              </w:rPr>
              <w:t>Istaroxime</w:t>
            </w:r>
            <w:proofErr w:type="spellEnd"/>
          </w:p>
        </w:tc>
        <w:tc>
          <w:tcPr>
            <w:tcW w:w="1606" w:type="dxa"/>
          </w:tcPr>
          <w:p w:rsidR="00626626" w:rsidRPr="006541ED" w:rsidRDefault="00626626" w:rsidP="004C77DD">
            <w:pPr>
              <w:spacing w:after="200" w:line="276" w:lineRule="auto"/>
              <w:rPr>
                <w:rFonts w:ascii="Arial" w:hAnsi="Arial" w:cs="Arial"/>
                <w:lang w:val="en-US"/>
              </w:rPr>
            </w:pPr>
          </w:p>
        </w:tc>
        <w:tc>
          <w:tcPr>
            <w:tcW w:w="1746" w:type="dxa"/>
          </w:tcPr>
          <w:p w:rsidR="00626626" w:rsidRPr="006541ED" w:rsidRDefault="00626626" w:rsidP="004C77DD">
            <w:pPr>
              <w:spacing w:after="200" w:line="276" w:lineRule="auto"/>
              <w:rPr>
                <w:rFonts w:ascii="Arial" w:hAnsi="Arial" w:cs="Arial"/>
                <w:lang w:val="en-US"/>
              </w:rPr>
            </w:pPr>
            <w:r w:rsidRPr="006541ED">
              <w:rPr>
                <w:rFonts w:ascii="Arial" w:hAnsi="Arial" w:cs="Arial"/>
                <w:lang w:val="en-US"/>
              </w:rPr>
              <w:t>Na+/Ca+ inhibition; activation SERCA2a</w:t>
            </w:r>
          </w:p>
        </w:tc>
        <w:tc>
          <w:tcPr>
            <w:tcW w:w="1465" w:type="dxa"/>
          </w:tcPr>
          <w:p w:rsidR="00626626" w:rsidRPr="006541ED" w:rsidRDefault="00626626" w:rsidP="004C77DD">
            <w:pPr>
              <w:spacing w:after="200" w:line="276" w:lineRule="auto"/>
              <w:rPr>
                <w:rFonts w:ascii="Arial" w:hAnsi="Arial" w:cs="Arial"/>
                <w:lang w:val="en-US"/>
              </w:rPr>
            </w:pPr>
            <w:r w:rsidRPr="006541ED">
              <w:rPr>
                <w:rFonts w:ascii="Arial" w:hAnsi="Arial" w:cs="Arial"/>
                <w:lang w:val="en-US"/>
              </w:rPr>
              <w:t>Acute decompensated HF</w:t>
            </w:r>
          </w:p>
        </w:tc>
        <w:tc>
          <w:tcPr>
            <w:tcW w:w="1606" w:type="dxa"/>
          </w:tcPr>
          <w:p w:rsidR="00626626" w:rsidRPr="006541ED" w:rsidRDefault="00626626" w:rsidP="004C77DD">
            <w:pPr>
              <w:spacing w:after="200" w:line="276" w:lineRule="auto"/>
              <w:rPr>
                <w:rFonts w:ascii="Arial" w:hAnsi="Arial" w:cs="Arial"/>
                <w:lang w:val="en-US"/>
              </w:rPr>
            </w:pPr>
            <w:r w:rsidRPr="006541ED">
              <w:rPr>
                <w:rFonts w:ascii="Arial" w:hAnsi="Arial" w:cs="Arial"/>
                <w:lang w:val="en-US"/>
              </w:rPr>
              <w:t>Clinical trial</w:t>
            </w:r>
          </w:p>
        </w:tc>
        <w:tc>
          <w:tcPr>
            <w:tcW w:w="1606" w:type="dxa"/>
          </w:tcPr>
          <w:p w:rsidR="00626626" w:rsidRPr="006541ED" w:rsidRDefault="00626626" w:rsidP="004C77DD">
            <w:pPr>
              <w:spacing w:after="200" w:line="276" w:lineRule="auto"/>
              <w:rPr>
                <w:rFonts w:ascii="Arial" w:hAnsi="Arial" w:cs="Arial"/>
                <w:lang w:val="en-US"/>
              </w:rPr>
            </w:pPr>
            <w:r w:rsidRPr="006541ED">
              <w:rPr>
                <w:rFonts w:ascii="Arial" w:hAnsi="Arial" w:cs="Arial"/>
                <w:lang w:val="en-US"/>
              </w:rPr>
              <w:fldChar w:fldCharType="begin"/>
            </w:r>
            <w:r>
              <w:rPr>
                <w:rFonts w:ascii="Arial" w:hAnsi="Arial" w:cs="Arial"/>
                <w:lang w:val="en-US"/>
              </w:rPr>
              <w:instrText xml:space="preserve"> ADDIN ZOTERO_ITEM CSL_CITATION {"citationID":"0qUdRDcO","properties":{"formattedCitation":"\\super 78\\nosupersub{}","plainCitation":"78","noteIndex":0},"citationItems":[{"id":"QA7nzKt7/FiHNoRBP","uris":["http://zotero.org/users/5806739/items/FNRMFN95"],"itemData":{"id":4425,"type":"article-journal","abstract":"AIM: Istaroxime is a first-in-class agent which acts through inhibition of the sarcolemmal Na+ /K+ pump and activation of the SERCA2a pump. This study assessed the effects of a 24 h infusion of istaroxime in patients hospitalised for acute heart failure (AHF).\nMETHODS AND RESULTS: We included patients hospitalised for AHF with left ventricular ejection fraction ≤40% and E/e' &gt; 10. Patients were randomised to a 24 h intravenous infusion of placebo or istaroxime at doses of 0.5 μg/kg/min (cohort 1: placebo n = 19; istaroxime n = 41) or 1.0 μg/kg/min (cohort 2: placebo n = 20, istaroxime n = 40). The primary endpoint of change in E/e' ratio from baseline to 24 h decreased with istaroxime vs. placebo (cohort 1: -4.55 ± 4.75 istaroxime 0.5 μg/kg/min vs. -1.55 ± 4.11 placebo, P = 0.029; cohort 2: -3.16 ± 2.59 istaroxime 1.0 μg/kg/min vs. -1.08 ± 2.72 placebo, P = 0.009). Both istaroxime doses significantly increased stroke volume index and decreased heart rate. Systolic blood pressure increased with istaroxime, achieving significance with the high dose. Self-reported dyspnoea and N-terminal pro-brain natriuretic peptide improved in all groups without significant differences between istaroxime and placebo. No significant differences in cardiac troponin absolute values or clinically relevant arrhythmias were observed during or after istaroxime infusion. Serious cardiac adverse events (including arrhythmias and hypotension) did not differ between placebo and istaroxime groups. The most common adverse events were injection site reactions and gastrointestinal events, the latter primarily with istaroxime 1.0 μg/kg/min.\nCONCLUSIONS: In patients hospitalised for AHF with reduced ejection fraction, a 24 h infusion of istaroxime improved parameters of diastolic and systolic cardiac function without major cardiac adverse effects.","container-title":"European Journal of Heart Failure","DOI":"10.1002/ejhf.1743","ISSN":"1879-0844","issue":"9","journalAbbreviation":"Eur J Heart Fail","language":"eng","note":"PMID: 31975496","page":"1684-1693","source":"PubMed","title":"Treatment with 24 hour istaroxime infusion in patients hospitalised for acute heart failure: a randomised, placebo-controlled trial","title-short":"Treatment with 24 hour istaroxime infusion in patients hospitalised for acute heart failure","volume":"22","author":[{"family":"Carubelli","given":"Valentina"},{"family":"Zhang","given":"Yuhui"},{"family":"Metra","given":"Marco"},{"family":"Lombardi","given":"Carlo"},{"family":"Felker","given":"G. Michael"},{"family":"Filippatos","given":"Gerasimos"},{"family":"O'Connor","given":"Christopher M."},{"family":"Teerlink","given":"John R."},{"family":"Simmons","given":"Phillip"},{"family":"Segal","given":"Robert"},{"family":"Malfatto","given":"Gabriella"},{"family":"La Rovere","given":"Maria Teresa"},{"family":"Li","given":"Dianfu"},{"family":"Han","given":"Xiumin"},{"family":"Yuan","given":"Zuyi"},{"family":"Yao","given":"Yali"},{"family":"Li","given":"Benjamin"},{"family":"Lau","given":"Lit Fui"},{"family":"Bianchi","given":"Giuseppe"},{"family":"Zhang","given":"Jian"},{"literal":"Istaroxime ADHF Trial Group"}],"issued":{"date-parts":[["2020",9]]}}}],"schema":"https://github.com/citation-style-language/schema/raw/master/csl-citation.json"} </w:instrText>
            </w:r>
            <w:r w:rsidRPr="006541ED">
              <w:rPr>
                <w:rFonts w:ascii="Arial" w:hAnsi="Arial" w:cs="Arial"/>
                <w:lang w:val="en-US"/>
              </w:rPr>
              <w:fldChar w:fldCharType="separate"/>
            </w:r>
            <w:r w:rsidRPr="003B08F6">
              <w:rPr>
                <w:rFonts w:ascii="Arial" w:hAnsi="Arial" w:cs="Arial"/>
                <w:szCs w:val="24"/>
                <w:vertAlign w:val="superscript"/>
              </w:rPr>
              <w:t>78</w:t>
            </w:r>
            <w:r w:rsidRPr="006541ED">
              <w:rPr>
                <w:rFonts w:ascii="Arial" w:hAnsi="Arial" w:cs="Arial"/>
              </w:rPr>
              <w:fldChar w:fldCharType="end"/>
            </w:r>
            <w:proofErr w:type="spellStart"/>
            <w:r w:rsidRPr="006541ED">
              <w:rPr>
                <w:rFonts w:ascii="Arial" w:hAnsi="Arial" w:cs="Arial"/>
                <w:lang w:val="en-US"/>
              </w:rPr>
              <w:t>Carubelli</w:t>
            </w:r>
            <w:proofErr w:type="spellEnd"/>
            <w:r w:rsidRPr="006541ED">
              <w:rPr>
                <w:rFonts w:ascii="Arial" w:hAnsi="Arial" w:cs="Arial"/>
                <w:lang w:val="en-US"/>
              </w:rPr>
              <w:t xml:space="preserve"> et al</w:t>
            </w:r>
          </w:p>
        </w:tc>
      </w:tr>
      <w:tr w:rsidR="00626626" w:rsidRPr="006541ED" w:rsidTr="004C77DD">
        <w:tc>
          <w:tcPr>
            <w:tcW w:w="1605" w:type="dxa"/>
          </w:tcPr>
          <w:p w:rsidR="00626626" w:rsidRPr="006541ED" w:rsidRDefault="00626626" w:rsidP="004C77DD">
            <w:pPr>
              <w:spacing w:after="200" w:line="276" w:lineRule="auto"/>
              <w:rPr>
                <w:rFonts w:ascii="Arial" w:hAnsi="Arial" w:cs="Arial"/>
                <w:lang w:val="en-US"/>
              </w:rPr>
            </w:pPr>
            <w:proofErr w:type="spellStart"/>
            <w:r w:rsidRPr="006541ED">
              <w:rPr>
                <w:rFonts w:ascii="Arial" w:hAnsi="Arial" w:cs="Arial"/>
                <w:lang w:val="en-US"/>
              </w:rPr>
              <w:t>Myotropes</w:t>
            </w:r>
            <w:proofErr w:type="spellEnd"/>
          </w:p>
        </w:tc>
        <w:tc>
          <w:tcPr>
            <w:tcW w:w="1606" w:type="dxa"/>
          </w:tcPr>
          <w:p w:rsidR="00626626" w:rsidRPr="006541ED" w:rsidRDefault="00626626" w:rsidP="004C77DD">
            <w:pPr>
              <w:spacing w:after="200" w:line="276" w:lineRule="auto"/>
              <w:rPr>
                <w:rFonts w:ascii="Arial" w:hAnsi="Arial" w:cs="Arial"/>
                <w:lang w:val="en-US"/>
              </w:rPr>
            </w:pPr>
            <w:proofErr w:type="spellStart"/>
            <w:r w:rsidRPr="006541ED">
              <w:rPr>
                <w:rFonts w:ascii="Arial" w:hAnsi="Arial" w:cs="Arial"/>
                <w:lang w:val="en-US"/>
              </w:rPr>
              <w:t>Omecamtiv</w:t>
            </w:r>
            <w:proofErr w:type="spellEnd"/>
            <w:r w:rsidRPr="006541ED">
              <w:rPr>
                <w:rFonts w:ascii="Arial" w:hAnsi="Arial" w:cs="Arial"/>
                <w:lang w:val="en-US"/>
              </w:rPr>
              <w:t xml:space="preserve"> </w:t>
            </w:r>
            <w:proofErr w:type="spellStart"/>
            <w:r w:rsidRPr="006541ED">
              <w:rPr>
                <w:rFonts w:ascii="Arial" w:hAnsi="Arial" w:cs="Arial"/>
                <w:lang w:val="en-US"/>
              </w:rPr>
              <w:t>Mecarbil</w:t>
            </w:r>
            <w:proofErr w:type="spellEnd"/>
          </w:p>
        </w:tc>
        <w:tc>
          <w:tcPr>
            <w:tcW w:w="1746" w:type="dxa"/>
          </w:tcPr>
          <w:p w:rsidR="00626626" w:rsidRPr="006541ED" w:rsidRDefault="00626626" w:rsidP="004C77DD">
            <w:pPr>
              <w:spacing w:after="200" w:line="276" w:lineRule="auto"/>
              <w:rPr>
                <w:rFonts w:ascii="Arial" w:hAnsi="Arial" w:cs="Arial"/>
                <w:lang w:val="en-US"/>
              </w:rPr>
            </w:pPr>
            <w:r w:rsidRPr="006541ED">
              <w:rPr>
                <w:rFonts w:ascii="Arial" w:hAnsi="Arial" w:cs="Arial"/>
                <w:lang w:val="en-US"/>
              </w:rPr>
              <w:t>Myosin activation</w:t>
            </w:r>
          </w:p>
        </w:tc>
        <w:tc>
          <w:tcPr>
            <w:tcW w:w="1465" w:type="dxa"/>
          </w:tcPr>
          <w:p w:rsidR="00626626" w:rsidRPr="006541ED" w:rsidRDefault="00626626" w:rsidP="004C77DD">
            <w:pPr>
              <w:spacing w:after="200" w:line="276" w:lineRule="auto"/>
              <w:rPr>
                <w:rFonts w:ascii="Arial" w:hAnsi="Arial" w:cs="Arial"/>
                <w:lang w:val="en-US"/>
              </w:rPr>
            </w:pPr>
            <w:r w:rsidRPr="006541ED">
              <w:rPr>
                <w:rFonts w:ascii="Arial" w:hAnsi="Arial" w:cs="Arial"/>
                <w:lang w:val="en-US"/>
              </w:rPr>
              <w:t xml:space="preserve">Chronic </w:t>
            </w:r>
            <w:proofErr w:type="spellStart"/>
            <w:r w:rsidRPr="006541ED">
              <w:rPr>
                <w:rFonts w:ascii="Arial" w:hAnsi="Arial" w:cs="Arial"/>
                <w:lang w:val="en-US"/>
              </w:rPr>
              <w:t>HFrEF</w:t>
            </w:r>
            <w:proofErr w:type="spellEnd"/>
          </w:p>
        </w:tc>
        <w:tc>
          <w:tcPr>
            <w:tcW w:w="1606" w:type="dxa"/>
          </w:tcPr>
          <w:p w:rsidR="00626626" w:rsidRPr="006541ED" w:rsidRDefault="00626626" w:rsidP="004C77DD">
            <w:pPr>
              <w:spacing w:after="200" w:line="276" w:lineRule="auto"/>
              <w:rPr>
                <w:rFonts w:ascii="Arial" w:hAnsi="Arial" w:cs="Arial"/>
                <w:lang w:val="en-US"/>
              </w:rPr>
            </w:pPr>
            <w:r w:rsidRPr="006541ED">
              <w:rPr>
                <w:rFonts w:ascii="Arial" w:hAnsi="Arial" w:cs="Arial"/>
                <w:lang w:val="en-US"/>
              </w:rPr>
              <w:t>Reduce HF hospitalization/CV mortality in phase III trial</w:t>
            </w:r>
          </w:p>
        </w:tc>
        <w:tc>
          <w:tcPr>
            <w:tcW w:w="1606" w:type="dxa"/>
          </w:tcPr>
          <w:p w:rsidR="00626626" w:rsidRPr="006541ED" w:rsidRDefault="00626626" w:rsidP="004C77DD">
            <w:pPr>
              <w:spacing w:after="200" w:line="276" w:lineRule="auto"/>
              <w:rPr>
                <w:rFonts w:ascii="Arial" w:hAnsi="Arial" w:cs="Arial"/>
                <w:lang w:val="en-US"/>
              </w:rPr>
            </w:pPr>
            <w:r w:rsidRPr="006541ED">
              <w:rPr>
                <w:rFonts w:ascii="Arial" w:hAnsi="Arial" w:cs="Arial"/>
                <w:vertAlign w:val="superscript"/>
                <w:lang w:val="en-US"/>
              </w:rPr>
              <w:t>45</w:t>
            </w:r>
            <w:r w:rsidRPr="006541ED">
              <w:rPr>
                <w:rFonts w:ascii="Arial" w:hAnsi="Arial" w:cs="Arial"/>
                <w:lang w:val="en-US"/>
              </w:rPr>
              <w:t>Teerlink et al</w:t>
            </w:r>
          </w:p>
        </w:tc>
      </w:tr>
      <w:tr w:rsidR="00626626" w:rsidRPr="006541ED" w:rsidTr="004C77DD">
        <w:tc>
          <w:tcPr>
            <w:tcW w:w="1605" w:type="dxa"/>
          </w:tcPr>
          <w:p w:rsidR="00626626" w:rsidRPr="006541ED" w:rsidRDefault="00626626" w:rsidP="004C77DD">
            <w:pPr>
              <w:spacing w:after="200" w:line="276" w:lineRule="auto"/>
              <w:rPr>
                <w:rFonts w:ascii="Arial" w:hAnsi="Arial" w:cs="Arial"/>
                <w:lang w:val="en-US"/>
              </w:rPr>
            </w:pPr>
            <w:r w:rsidRPr="006541ED">
              <w:rPr>
                <w:rFonts w:ascii="Arial" w:hAnsi="Arial" w:cs="Arial"/>
                <w:lang w:val="en-US"/>
              </w:rPr>
              <w:t>Cardiac Contractility Modulation</w:t>
            </w:r>
          </w:p>
        </w:tc>
        <w:tc>
          <w:tcPr>
            <w:tcW w:w="1606" w:type="dxa"/>
          </w:tcPr>
          <w:p w:rsidR="00626626" w:rsidRPr="006541ED" w:rsidRDefault="00626626" w:rsidP="004C77DD">
            <w:pPr>
              <w:spacing w:after="200" w:line="276" w:lineRule="auto"/>
              <w:rPr>
                <w:rFonts w:ascii="Arial" w:hAnsi="Arial" w:cs="Arial"/>
                <w:lang w:val="en-US"/>
              </w:rPr>
            </w:pPr>
          </w:p>
        </w:tc>
        <w:tc>
          <w:tcPr>
            <w:tcW w:w="1746" w:type="dxa"/>
          </w:tcPr>
          <w:p w:rsidR="00626626" w:rsidRPr="006541ED" w:rsidRDefault="00626626" w:rsidP="004C77DD">
            <w:pPr>
              <w:spacing w:after="200" w:line="276" w:lineRule="auto"/>
              <w:rPr>
                <w:rFonts w:ascii="Arial" w:hAnsi="Arial" w:cs="Arial"/>
                <w:lang w:val="en-US"/>
              </w:rPr>
            </w:pPr>
            <w:r w:rsidRPr="006541ED">
              <w:rPr>
                <w:rFonts w:ascii="Arial" w:hAnsi="Arial" w:cs="Arial"/>
                <w:lang w:val="en-US"/>
              </w:rPr>
              <w:t>Pacemaker-generated electric signal in refractory period to increase calcium influx</w:t>
            </w:r>
          </w:p>
        </w:tc>
        <w:tc>
          <w:tcPr>
            <w:tcW w:w="1465" w:type="dxa"/>
          </w:tcPr>
          <w:p w:rsidR="00626626" w:rsidRPr="006541ED" w:rsidRDefault="00626626" w:rsidP="004C77DD">
            <w:pPr>
              <w:spacing w:after="200" w:line="276" w:lineRule="auto"/>
              <w:rPr>
                <w:rFonts w:ascii="Arial" w:hAnsi="Arial" w:cs="Arial"/>
                <w:lang w:val="en-US"/>
              </w:rPr>
            </w:pPr>
            <w:r w:rsidRPr="006541ED">
              <w:rPr>
                <w:rFonts w:ascii="Arial" w:hAnsi="Arial" w:cs="Arial"/>
                <w:lang w:val="en-US"/>
              </w:rPr>
              <w:t>Severe chronic HF with LVEF 25-45%, narrow QRS</w:t>
            </w:r>
          </w:p>
        </w:tc>
        <w:tc>
          <w:tcPr>
            <w:tcW w:w="1606" w:type="dxa"/>
          </w:tcPr>
          <w:p w:rsidR="00626626" w:rsidRPr="006541ED" w:rsidRDefault="00626626" w:rsidP="004C77DD">
            <w:pPr>
              <w:spacing w:after="200" w:line="276" w:lineRule="auto"/>
              <w:rPr>
                <w:rFonts w:ascii="Arial" w:hAnsi="Arial" w:cs="Arial"/>
                <w:lang w:val="en-US"/>
              </w:rPr>
            </w:pPr>
            <w:r w:rsidRPr="006541ED">
              <w:rPr>
                <w:rFonts w:ascii="Arial" w:hAnsi="Arial" w:cs="Arial"/>
                <w:lang w:val="en-US"/>
              </w:rPr>
              <w:t xml:space="preserve">Clinical trials (increased VO2 max), evidence still considered insufficient </w:t>
            </w:r>
          </w:p>
        </w:tc>
        <w:tc>
          <w:tcPr>
            <w:tcW w:w="1606" w:type="dxa"/>
          </w:tcPr>
          <w:p w:rsidR="00626626" w:rsidRPr="006541ED" w:rsidRDefault="00626626" w:rsidP="004C77DD">
            <w:pPr>
              <w:spacing w:after="200" w:line="276" w:lineRule="auto"/>
              <w:rPr>
                <w:rFonts w:ascii="Arial" w:hAnsi="Arial" w:cs="Arial"/>
                <w:lang w:val="en-US"/>
              </w:rPr>
            </w:pPr>
            <w:r w:rsidRPr="006541ED">
              <w:rPr>
                <w:rFonts w:ascii="Arial" w:hAnsi="Arial" w:cs="Arial"/>
                <w:lang w:val="en-US"/>
              </w:rPr>
              <w:fldChar w:fldCharType="begin"/>
            </w:r>
            <w:r>
              <w:rPr>
                <w:rFonts w:ascii="Arial" w:hAnsi="Arial" w:cs="Arial"/>
                <w:lang w:val="en-US"/>
              </w:rPr>
              <w:instrText xml:space="preserve"> ADDIN ZOTERO_ITEM CSL_CITATION {"citationID":"zTzdd6PN","properties":{"formattedCitation":"\\super 79\\nosupersub{}","plainCitation":"79","noteIndex":0},"citationItems":[{"id":"QA7nzKt7/RSmHVor8","uris":["http://zotero.org/users/5806739/items/8F2LTE87"],"itemData":{"id":4427,"type":"article-journal","abstract":"OBJECTIVES: This study sought to confirm a subgroup analysis of the prior FIX-HF-5 (Evaluate Safety and Efficacy of the OPTIMIZER System in Subjects With Moderate-to-Severe Heart Failure) study showing that cardiac contractility modulation (CCM) improved exercise tolerance (ET) and quality of life in patients with ejection fractions between 25% and 45%.\nBACKGROUND: CCM therapy for New York Heart Association (NYHA) functional class III and IV heart failure (HF) patients consists of nonexcitatory electrical signals delivered to the heart during the absolute refractory period.\nMETHODS: A total of 160 patients with NYHA functional class III or IV symptoms, QRS duration &lt;130 ms, and ejection fraction ≥25% and ≤45% were randomized to continued medical therapy (control, n = 86) or CCM (treatment, n = 74, unblinded) for 24 weeks. Peak Vo2 (primary endpoint), Minnesota Living With Heart Failure questionnaire, NYHA functional class, and 6-min hall walk were measured at baseline and at 12 and 24 weeks. Bayesian repeated measures linear modeling was used for the primary endpoint analysis with 30% borrowing from the FIX-HF-5 subgroup. Safety was assessed by the percentage of patients free of device-related adverse events with a pre-specified lower bound of 70%.\nRESULTS: The difference in peak Vo2 between groups was 0.84 (95% Bayesian credible interval: 0.123 to 1.552) ml O2/kg/min, satisfying the primary endpoint. Minnesota Living With Heart Failure questionnaire (p &lt; 0.001), NYHA functional class (p &lt; 0.001), and 6-min hall walk (p = 0.02) were all better in the treatment versus control group. There were 7 device-related events, yielding a lower bound of 80% of patients free of events, satisfying the primary safety endpoint. The composite of cardiovascular death and HF hospitalizations was reduced from 10.8% to 2.9% (p = 0.048).\nCONCLUSIONS: CCM is safe, improves exercise tolerance and quality of life in the specified group of HF patients, and leads to fewer HF hospitalizations. (Evaluate Safety and Efficacy of the OPTIMIZER System in Subjects With Moderate-to-Severe Heart Failure; NCT01381172).","container-title":"JACC. Heart failure","DOI":"10.1016/j.jchf.2018.04.010","ISSN":"2213-1787","issue":"10","journalAbbreviation":"JACC Heart Fail","language":"eng","note":"PMID: 29754812","page":"874-883","source":"PubMed","title":"A Randomized Controlled Trial to Evaluate the Safety and Efficacy of Cardiac Contractility Modulation","volume":"6","author":[{"family":"Abraham","given":"William T."},{"family":"Kuck","given":"Karl-Heinz"},{"family":"Goldsmith","given":"Rochelle L."},{"family":"Lindenfeld","given":"JoAnn"},{"family":"Reddy","given":"Vivek Y."},{"family":"Carson","given":"Peter E."},{"family":"Mann","given":"Douglas L."},{"family":"Saville","given":"Benjamin"},{"family":"Parise","given":"Helen"},{"family":"Chan","given":"Rodrigo"},{"family":"Wiegn","given":"Phi"},{"family":"Hastings","given":"Jeffrey L."},{"family":"Kaplan","given":"Andrew J."},{"family":"Edelmann","given":"Frank"},{"family":"Luthje","given":"Lars"},{"family":"Kahwash","given":"Rami"},{"family":"Tomassoni","given":"Gery F."},{"family":"Gutterman","given":"David D."},{"family":"Stagg","given":"Angela"},{"family":"Burkhoff","given":"Daniel"},{"family":"Hasenfuß","given":"Gerd"}],"issued":{"date-parts":[["2018",10]]}}}],"schema":"https://github.com/citation-style-language/schema/raw/master/csl-citation.json"} </w:instrText>
            </w:r>
            <w:r w:rsidRPr="006541ED">
              <w:rPr>
                <w:rFonts w:ascii="Arial" w:hAnsi="Arial" w:cs="Arial"/>
                <w:lang w:val="en-US"/>
              </w:rPr>
              <w:fldChar w:fldCharType="separate"/>
            </w:r>
            <w:r w:rsidRPr="003B08F6">
              <w:rPr>
                <w:rFonts w:ascii="Arial" w:hAnsi="Arial" w:cs="Arial"/>
                <w:szCs w:val="24"/>
                <w:vertAlign w:val="superscript"/>
              </w:rPr>
              <w:t>79</w:t>
            </w:r>
            <w:r w:rsidRPr="006541ED">
              <w:rPr>
                <w:rFonts w:ascii="Arial" w:hAnsi="Arial" w:cs="Arial"/>
              </w:rPr>
              <w:fldChar w:fldCharType="end"/>
            </w:r>
            <w:r w:rsidRPr="006541ED">
              <w:rPr>
                <w:rFonts w:ascii="Arial" w:hAnsi="Arial" w:cs="Arial"/>
                <w:lang w:val="en-US"/>
              </w:rPr>
              <w:t>Abraham et al</w:t>
            </w:r>
          </w:p>
        </w:tc>
      </w:tr>
      <w:tr w:rsidR="00626626" w:rsidRPr="006541ED" w:rsidTr="004C77DD">
        <w:tc>
          <w:tcPr>
            <w:tcW w:w="1605" w:type="dxa"/>
          </w:tcPr>
          <w:p w:rsidR="00626626" w:rsidRPr="006541ED" w:rsidRDefault="00626626" w:rsidP="004C77DD">
            <w:pPr>
              <w:spacing w:after="200" w:line="276" w:lineRule="auto"/>
              <w:rPr>
                <w:rFonts w:ascii="Arial" w:hAnsi="Arial" w:cs="Arial"/>
                <w:lang w:val="en-US"/>
              </w:rPr>
            </w:pPr>
            <w:r w:rsidRPr="006541ED">
              <w:rPr>
                <w:rFonts w:ascii="Arial" w:hAnsi="Arial" w:cs="Arial"/>
                <w:lang w:val="en-US"/>
              </w:rPr>
              <w:t>Stem Cells</w:t>
            </w:r>
          </w:p>
        </w:tc>
        <w:tc>
          <w:tcPr>
            <w:tcW w:w="1606" w:type="dxa"/>
          </w:tcPr>
          <w:p w:rsidR="00626626" w:rsidRPr="006541ED" w:rsidRDefault="00626626" w:rsidP="004C77DD">
            <w:pPr>
              <w:spacing w:after="200" w:line="276" w:lineRule="auto"/>
              <w:rPr>
                <w:rFonts w:ascii="Arial" w:hAnsi="Arial" w:cs="Arial"/>
                <w:lang w:val="en-US"/>
              </w:rPr>
            </w:pPr>
            <w:r w:rsidRPr="006541ED">
              <w:rPr>
                <w:rFonts w:ascii="Arial" w:hAnsi="Arial" w:cs="Arial"/>
                <w:lang w:val="en-US"/>
              </w:rPr>
              <w:t>First generation (bone marrow, mesenchymal stem cells)</w:t>
            </w:r>
          </w:p>
        </w:tc>
        <w:tc>
          <w:tcPr>
            <w:tcW w:w="1746" w:type="dxa"/>
          </w:tcPr>
          <w:p w:rsidR="00626626" w:rsidRPr="006541ED" w:rsidRDefault="00626626" w:rsidP="004C77DD">
            <w:pPr>
              <w:spacing w:after="200" w:line="276" w:lineRule="auto"/>
              <w:rPr>
                <w:rFonts w:ascii="Arial" w:hAnsi="Arial" w:cs="Arial"/>
                <w:lang w:val="en-US"/>
              </w:rPr>
            </w:pPr>
            <w:r w:rsidRPr="006541ED">
              <w:rPr>
                <w:rFonts w:ascii="Arial" w:hAnsi="Arial" w:cs="Arial"/>
                <w:lang w:val="en-US"/>
              </w:rPr>
              <w:t>Modification of remodeling, neovascularization, immune response (paracrine)</w:t>
            </w:r>
          </w:p>
          <w:p w:rsidR="00626626" w:rsidRPr="006541ED" w:rsidRDefault="00626626" w:rsidP="004C77DD">
            <w:pPr>
              <w:spacing w:after="200" w:line="276" w:lineRule="auto"/>
              <w:rPr>
                <w:rFonts w:ascii="Arial" w:hAnsi="Arial" w:cs="Arial"/>
                <w:lang w:val="en-US"/>
              </w:rPr>
            </w:pPr>
          </w:p>
        </w:tc>
        <w:tc>
          <w:tcPr>
            <w:tcW w:w="1465" w:type="dxa"/>
          </w:tcPr>
          <w:p w:rsidR="00626626" w:rsidRPr="006541ED" w:rsidRDefault="00626626" w:rsidP="004C77DD">
            <w:pPr>
              <w:spacing w:after="200" w:line="276" w:lineRule="auto"/>
              <w:rPr>
                <w:rFonts w:ascii="Arial" w:hAnsi="Arial" w:cs="Arial"/>
                <w:lang w:val="en-US"/>
              </w:rPr>
            </w:pPr>
            <w:r w:rsidRPr="006541ED">
              <w:rPr>
                <w:rFonts w:ascii="Arial" w:hAnsi="Arial" w:cs="Arial"/>
                <w:lang w:val="en-US"/>
              </w:rPr>
              <w:t xml:space="preserve">Chronic </w:t>
            </w:r>
            <w:proofErr w:type="spellStart"/>
            <w:r w:rsidRPr="006541ED">
              <w:rPr>
                <w:rFonts w:ascii="Arial" w:hAnsi="Arial" w:cs="Arial"/>
                <w:lang w:val="en-US"/>
              </w:rPr>
              <w:t>HFrEF</w:t>
            </w:r>
            <w:proofErr w:type="spellEnd"/>
            <w:r w:rsidRPr="006541ED">
              <w:rPr>
                <w:rFonts w:ascii="Arial" w:hAnsi="Arial" w:cs="Arial"/>
                <w:lang w:val="en-US"/>
              </w:rPr>
              <w:t>, acute myocardial infarction</w:t>
            </w:r>
          </w:p>
        </w:tc>
        <w:tc>
          <w:tcPr>
            <w:tcW w:w="1606" w:type="dxa"/>
          </w:tcPr>
          <w:p w:rsidR="00626626" w:rsidRPr="006541ED" w:rsidRDefault="00626626" w:rsidP="004C77DD">
            <w:pPr>
              <w:spacing w:after="200" w:line="276" w:lineRule="auto"/>
              <w:rPr>
                <w:rFonts w:ascii="Arial" w:hAnsi="Arial" w:cs="Arial"/>
                <w:lang w:val="en-US"/>
              </w:rPr>
            </w:pPr>
            <w:r w:rsidRPr="006541ED">
              <w:rPr>
                <w:rFonts w:ascii="Arial" w:hAnsi="Arial" w:cs="Arial"/>
                <w:lang w:val="en-US"/>
              </w:rPr>
              <w:t>Clinical trials (safe, but very limited efficacy)</w:t>
            </w:r>
          </w:p>
        </w:tc>
        <w:tc>
          <w:tcPr>
            <w:tcW w:w="1606" w:type="dxa"/>
          </w:tcPr>
          <w:p w:rsidR="00626626" w:rsidRPr="006541ED" w:rsidRDefault="00626626" w:rsidP="004C77DD">
            <w:pPr>
              <w:spacing w:after="200" w:line="276" w:lineRule="auto"/>
              <w:rPr>
                <w:rFonts w:ascii="Arial" w:hAnsi="Arial" w:cs="Arial"/>
                <w:lang w:val="en-US"/>
              </w:rPr>
            </w:pPr>
            <w:r w:rsidRPr="006541ED">
              <w:rPr>
                <w:rFonts w:ascii="Arial" w:hAnsi="Arial" w:cs="Arial"/>
                <w:lang w:val="en-US"/>
              </w:rPr>
              <w:fldChar w:fldCharType="begin"/>
            </w:r>
            <w:r>
              <w:rPr>
                <w:rFonts w:ascii="Arial" w:hAnsi="Arial" w:cs="Arial"/>
                <w:lang w:val="en-US"/>
              </w:rPr>
              <w:instrText xml:space="preserve"> ADDIN ZOTERO_ITEM CSL_CITATION {"citationID":"0RfMKuIJ","properties":{"formattedCitation":"\\super 80\\nosupersub{}","plainCitation":"80","noteIndex":0},"citationItems":[{"id":"QA7nzKt7/J3EUpjJV","uris":["http://zotero.org/users/5806739/items/XRALIUX9"],"itemData":{"id":4429,"type":"article-journal","abstract":"Despite improvements in modern cardiovascular therapy, the morbidity and mortality of ischaemic heart disease (IHD) and heart failure (HF) remain significant in Europe and worldwide. Patients with IHD may benefit from therapies that would accelerate natural processes of postnatal collateral vessel formation and/or muscle regeneration. Here, we discuss the use of cells in the context of heart repair, and the most relevant results and current limitations from clinical trials using cell-based therapies to treat IHD and HF. We identify and discuss promising potential new therapeutic strategies that include ex vivo cell-mediated gene therapy, the use of biomaterials and cell-free therapies aimed at increasing the success rates of therapy for IHD and HF. The overall aim of this Position Paper of the ESC Working Group Cellular Biology of the Heart is to provide recommendations on how to improve the therapeutic application of cell-based therapies for cardiac regeneration and repair.","container-title":"European Heart Journal","DOI":"10.1093/eurheartj/ehw113","ISSN":"1522-9645","issue":"23","journalAbbreviation":"Eur Heart J","language":"eng","note":"PMID: 27055812\nPMCID: PMC4912026","page":"1789-1798","source":"PubMed","title":"Position Paper of the European Society of Cardiology Working Group Cellular Biology of the Heart: cell-based therapies for myocardial repair and regeneration in ischemic heart disease and heart failure","title-short":"Position Paper of the European Society of Cardiology Working Group Cellular Biology of the Heart","volume":"37","author":[{"family":"Madonna","given":"Rosalinda"},{"family":"Van Laake","given":"Linda W."},{"family":"Davidson","given":"Sean M."},{"family":"Engel","given":"Felix B."},{"family":"Hausenloy","given":"Derek J."},{"family":"Lecour","given":"Sandrine"},{"family":"Leor","given":"Jonathan"},{"family":"Perrino","given":"Cinzia"},{"family":"Schulz","given":"Rainer"},{"family":"Ytrehus","given":"Kirsti"},{"family":"Landmesser","given":"Ulf"},{"family":"Mummery","given":"Christine L."},{"family":"Janssens","given":"Stefan"},{"family":"Willerson","given":"James"},{"family":"Eschenhagen","given":"Thomas"},{"family":"Ferdinandy","given":"Péter"},{"family":"Sluijter","given":"Joost P. G."}],"issued":{"date-parts":[["2016",6,14]]}}}],"schema":"https://github.com/citation-style-language/schema/raw/master/csl-citation.json"} </w:instrText>
            </w:r>
            <w:r w:rsidRPr="006541ED">
              <w:rPr>
                <w:rFonts w:ascii="Arial" w:hAnsi="Arial" w:cs="Arial"/>
                <w:lang w:val="en-US"/>
              </w:rPr>
              <w:fldChar w:fldCharType="separate"/>
            </w:r>
            <w:r w:rsidRPr="003B08F6">
              <w:rPr>
                <w:rFonts w:ascii="Arial" w:hAnsi="Arial" w:cs="Arial"/>
                <w:szCs w:val="24"/>
                <w:vertAlign w:val="superscript"/>
              </w:rPr>
              <w:t>80</w:t>
            </w:r>
            <w:r w:rsidRPr="006541ED">
              <w:rPr>
                <w:rFonts w:ascii="Arial" w:hAnsi="Arial" w:cs="Arial"/>
              </w:rPr>
              <w:fldChar w:fldCharType="end"/>
            </w:r>
            <w:r w:rsidRPr="006541ED">
              <w:rPr>
                <w:rFonts w:ascii="Arial" w:hAnsi="Arial" w:cs="Arial"/>
                <w:lang w:val="en-US"/>
              </w:rPr>
              <w:t>Madonna et al</w:t>
            </w:r>
          </w:p>
        </w:tc>
      </w:tr>
      <w:tr w:rsidR="00626626" w:rsidRPr="006541ED" w:rsidTr="004C77DD">
        <w:tc>
          <w:tcPr>
            <w:tcW w:w="1605" w:type="dxa"/>
          </w:tcPr>
          <w:p w:rsidR="00626626" w:rsidRPr="006541ED" w:rsidRDefault="00626626" w:rsidP="004C77DD">
            <w:pPr>
              <w:spacing w:after="200" w:line="276" w:lineRule="auto"/>
              <w:rPr>
                <w:rFonts w:ascii="Arial" w:hAnsi="Arial" w:cs="Arial"/>
                <w:lang w:val="en-US"/>
              </w:rPr>
            </w:pPr>
          </w:p>
        </w:tc>
        <w:tc>
          <w:tcPr>
            <w:tcW w:w="1606" w:type="dxa"/>
          </w:tcPr>
          <w:p w:rsidR="00626626" w:rsidRPr="006541ED" w:rsidRDefault="00626626" w:rsidP="004C77DD">
            <w:pPr>
              <w:spacing w:after="200" w:line="276" w:lineRule="auto"/>
              <w:rPr>
                <w:rFonts w:ascii="Arial" w:hAnsi="Arial" w:cs="Arial"/>
                <w:lang w:val="en-US"/>
              </w:rPr>
            </w:pPr>
            <w:r w:rsidRPr="006541ED">
              <w:rPr>
                <w:rFonts w:ascii="Arial" w:hAnsi="Arial" w:cs="Arial"/>
                <w:lang w:val="en-US"/>
              </w:rPr>
              <w:t>Second+ generation</w:t>
            </w:r>
          </w:p>
          <w:p w:rsidR="00626626" w:rsidRPr="006541ED" w:rsidRDefault="00626626" w:rsidP="004C77DD">
            <w:pPr>
              <w:spacing w:after="200" w:line="276" w:lineRule="auto"/>
              <w:rPr>
                <w:rFonts w:ascii="Arial" w:hAnsi="Arial" w:cs="Arial"/>
                <w:lang w:val="en-US"/>
              </w:rPr>
            </w:pPr>
            <w:r w:rsidRPr="006541ED">
              <w:rPr>
                <w:rFonts w:ascii="Arial" w:hAnsi="Arial" w:cs="Arial"/>
                <w:lang w:val="en-US"/>
              </w:rPr>
              <w:t xml:space="preserve">(pluripotent </w:t>
            </w:r>
            <w:r w:rsidRPr="006541ED">
              <w:rPr>
                <w:rFonts w:ascii="Arial" w:hAnsi="Arial" w:cs="Arial"/>
                <w:lang w:val="en-US"/>
              </w:rPr>
              <w:lastRenderedPageBreak/>
              <w:t>stem cell-derived cardiomyocytes, tissue engineering)</w:t>
            </w:r>
          </w:p>
        </w:tc>
        <w:tc>
          <w:tcPr>
            <w:tcW w:w="1746" w:type="dxa"/>
          </w:tcPr>
          <w:p w:rsidR="00626626" w:rsidRPr="006541ED" w:rsidRDefault="00626626" w:rsidP="004C77DD">
            <w:pPr>
              <w:spacing w:after="200" w:line="276" w:lineRule="auto"/>
              <w:rPr>
                <w:rFonts w:ascii="Arial" w:hAnsi="Arial" w:cs="Arial"/>
                <w:lang w:val="en-US"/>
              </w:rPr>
            </w:pPr>
            <w:r w:rsidRPr="006541ED">
              <w:rPr>
                <w:rFonts w:ascii="Arial" w:hAnsi="Arial" w:cs="Arial"/>
                <w:lang w:val="en-US"/>
              </w:rPr>
              <w:lastRenderedPageBreak/>
              <w:t xml:space="preserve">Paracrine and direct </w:t>
            </w:r>
            <w:proofErr w:type="spellStart"/>
            <w:r w:rsidRPr="006541ED">
              <w:rPr>
                <w:rFonts w:ascii="Arial" w:hAnsi="Arial" w:cs="Arial"/>
                <w:lang w:val="en-US"/>
              </w:rPr>
              <w:t>inotropy</w:t>
            </w:r>
            <w:proofErr w:type="spellEnd"/>
            <w:r w:rsidRPr="006541ED">
              <w:rPr>
                <w:rFonts w:ascii="Arial" w:hAnsi="Arial" w:cs="Arial"/>
                <w:lang w:val="en-US"/>
              </w:rPr>
              <w:t xml:space="preserve"> (new </w:t>
            </w:r>
            <w:r w:rsidRPr="006541ED">
              <w:rPr>
                <w:rFonts w:ascii="Arial" w:hAnsi="Arial" w:cs="Arial"/>
                <w:lang w:val="en-US"/>
              </w:rPr>
              <w:lastRenderedPageBreak/>
              <w:t>myocytes)</w:t>
            </w:r>
          </w:p>
          <w:p w:rsidR="00626626" w:rsidRPr="006541ED" w:rsidRDefault="00626626" w:rsidP="004C77DD">
            <w:pPr>
              <w:spacing w:after="200" w:line="276" w:lineRule="auto"/>
              <w:rPr>
                <w:rFonts w:ascii="Arial" w:hAnsi="Arial" w:cs="Arial"/>
                <w:lang w:val="en-US"/>
              </w:rPr>
            </w:pPr>
          </w:p>
        </w:tc>
        <w:tc>
          <w:tcPr>
            <w:tcW w:w="1465" w:type="dxa"/>
          </w:tcPr>
          <w:p w:rsidR="00626626" w:rsidRPr="006541ED" w:rsidRDefault="00626626" w:rsidP="004C77DD">
            <w:pPr>
              <w:spacing w:after="200" w:line="276" w:lineRule="auto"/>
              <w:rPr>
                <w:rFonts w:ascii="Arial" w:hAnsi="Arial" w:cs="Arial"/>
                <w:lang w:val="en-US"/>
              </w:rPr>
            </w:pPr>
            <w:r w:rsidRPr="006541ED">
              <w:rPr>
                <w:rFonts w:ascii="Arial" w:hAnsi="Arial" w:cs="Arial"/>
                <w:lang w:val="en-US"/>
              </w:rPr>
              <w:lastRenderedPageBreak/>
              <w:t xml:space="preserve">Chronic </w:t>
            </w:r>
            <w:proofErr w:type="spellStart"/>
            <w:r w:rsidRPr="006541ED">
              <w:rPr>
                <w:rFonts w:ascii="Arial" w:hAnsi="Arial" w:cs="Arial"/>
                <w:lang w:val="en-US"/>
              </w:rPr>
              <w:t>HFrEF</w:t>
            </w:r>
            <w:proofErr w:type="spellEnd"/>
          </w:p>
        </w:tc>
        <w:tc>
          <w:tcPr>
            <w:tcW w:w="1606" w:type="dxa"/>
          </w:tcPr>
          <w:p w:rsidR="00626626" w:rsidRPr="006541ED" w:rsidRDefault="00626626" w:rsidP="004C77DD">
            <w:pPr>
              <w:spacing w:after="200" w:line="276" w:lineRule="auto"/>
              <w:rPr>
                <w:rFonts w:ascii="Arial" w:hAnsi="Arial" w:cs="Arial"/>
                <w:lang w:val="en-US"/>
              </w:rPr>
            </w:pPr>
            <w:r w:rsidRPr="006541ED">
              <w:rPr>
                <w:rFonts w:ascii="Arial" w:hAnsi="Arial" w:cs="Arial"/>
                <w:lang w:val="en-US"/>
              </w:rPr>
              <w:t>Clinical trials (ongoing)</w:t>
            </w:r>
          </w:p>
        </w:tc>
        <w:tc>
          <w:tcPr>
            <w:tcW w:w="1606" w:type="dxa"/>
          </w:tcPr>
          <w:p w:rsidR="00626626" w:rsidRPr="006541ED" w:rsidRDefault="00626626" w:rsidP="004C77DD">
            <w:pPr>
              <w:spacing w:after="200" w:line="276" w:lineRule="auto"/>
              <w:rPr>
                <w:rFonts w:ascii="Arial" w:hAnsi="Arial" w:cs="Arial"/>
                <w:lang w:val="en-US"/>
              </w:rPr>
            </w:pPr>
            <w:r w:rsidRPr="006541ED">
              <w:rPr>
                <w:rFonts w:ascii="Arial" w:hAnsi="Arial" w:cs="Arial"/>
                <w:lang w:val="en-US"/>
              </w:rPr>
              <w:fldChar w:fldCharType="begin"/>
            </w:r>
            <w:r>
              <w:rPr>
                <w:rFonts w:ascii="Arial" w:hAnsi="Arial" w:cs="Arial"/>
                <w:lang w:val="en-US"/>
              </w:rPr>
              <w:instrText xml:space="preserve"> ADDIN ZOTERO_ITEM CSL_CITATION {"citationID":"xHlS9p73","properties":{"formattedCitation":"\\super 81\\nosupersub{}","plainCitation":"81","noteIndex":0},"citationItems":[{"id":"QA7nzKt7/9KXmhpbJ","uris":["http://zotero.org/users/5806739/items/RELGY7HY"],"itemData":{"id":4432,"type":"article-journal","abstract":"Morbidity and mortality from ischaemic heart disease (IHD) and heart failure (HF) remain significant in Europe and are increasing worldwide. Patients with IHD or HF might benefit from novel therapeutic strategies, such as cell-based therapies. We recently discussed the therapeutic potential of cell-based therapies and provided recommendations on how to improve the therapeutic translation of these novel strategies for effective cardiac regeneration and repair. Despite major advances in optimizing these strategies with respect to cell source and delivery method, the clinical outcome of cell-based therapy remains unsatisfactory. Major obstacles are the low engraftment and survival rate of transplanted cells in the harmful microenvironment of the host tissue, and the paucity or even lack of endogenous cells with repair capacity. Therefore, new ways of delivering cells and their derivatives are required in order to empower cell-based cardiac repair and regeneration in patients with IHD or HF. Strategies using tissue engineering (TE) combine cells with matrix materials to enhance cell retention or cell delivery in the transplanted area, and have recently received much attention for this purpose. Here, we summarize knowledge on novel approaches emerging from the TE scenario. In particular, we will discuss how combinations of cell/bio-materials (e.g. hydrogels, cell sheets, prefabricated matrices, microspheres, and injectable matrices) combinations might enhance cell retention or cell delivery in the transplantation areas, thereby increase the success rate of cell therapies for IHD and HF. We will not focus on the use of classical engineering approaches, employing fully synthetic materials, because of their unsatisfactory material properties which render them not clinically applicable. The overall aim of this Position Paper from the ESC Working Group Cellular Biology of the Heart is to provide recommendations on how to proceed in research with these novel TE strategies combined with cell-based therapies to boost cardiac repair in the clinical settings of IHD and HF.","container-title":"Cardiovascular Research","DOI":"10.1093/cvr/cvz010","ISSN":"1755-3245","issue":"3","journalAbbreviation":"Cardiovasc Res","language":"eng","note":"PMID: 30657875\nPMCID: PMC6383054","page":"488-500","source":"PubMed","title":"ESC Working Group on Cellular Biology of the Heart: position paper for Cardiovascular Research: tissue engineering strategies combined with cell therapies for cardiac repair in ischaemic heart disease and heart failure","title-short":"ESC Working Group on Cellular Biology of the Heart","volume":"115","author":[{"family":"Madonna","given":"Rosalinda"},{"family":"Van Laake","given":"Linda W."},{"family":"Botker","given":"Hans Erik"},{"family":"Davidson","given":"Sean M."},{"family":"De Caterina","given":"Raffaele"},{"family":"Engel","given":"Felix B."},{"family":"Eschenhagen","given":"Thomas"},{"family":"Fernandez-Aviles","given":"Francesco"},{"family":"Hausenloy","given":"Derek J."},{"family":"Hulot","given":"Jean-Sebastien"},{"family":"Lecour","given":"Sandrine"},{"family":"Leor","given":"Jonathan"},{"family":"Menasché","given":"Philippe"},{"family":"Pesce","given":"Maurizio"},{"family":"Perrino","given":"Cinzia"},{"family":"Prunier","given":"Fabrice"},{"family":"Van Linthout","given":"Sophie"},{"family":"Ytrehus","given":"Kirsti"},{"family":"Zimmermann","given":"Wolfram-Hubertus"},{"family":"Ferdinandy","given":"Peter"},{"family":"Sluijter","given":"Joost P. G."}],"issued":{"date-parts":[["2019",3,1]]}}}],"schema":"https://github.com/citation-style-language/schema/raw/master/csl-citation.json"} </w:instrText>
            </w:r>
            <w:r w:rsidRPr="006541ED">
              <w:rPr>
                <w:rFonts w:ascii="Arial" w:hAnsi="Arial" w:cs="Arial"/>
                <w:lang w:val="en-US"/>
              </w:rPr>
              <w:fldChar w:fldCharType="separate"/>
            </w:r>
            <w:r w:rsidRPr="003B08F6">
              <w:rPr>
                <w:rFonts w:ascii="Arial" w:hAnsi="Arial" w:cs="Arial"/>
                <w:szCs w:val="24"/>
                <w:vertAlign w:val="superscript"/>
              </w:rPr>
              <w:t>81</w:t>
            </w:r>
            <w:r w:rsidRPr="006541ED">
              <w:rPr>
                <w:rFonts w:ascii="Arial" w:hAnsi="Arial" w:cs="Arial"/>
              </w:rPr>
              <w:fldChar w:fldCharType="end"/>
            </w:r>
            <w:r w:rsidRPr="006541ED">
              <w:rPr>
                <w:rFonts w:ascii="Arial" w:hAnsi="Arial" w:cs="Arial"/>
                <w:lang w:val="en-US"/>
              </w:rPr>
              <w:t>Madonna et al</w:t>
            </w:r>
          </w:p>
          <w:p w:rsidR="00626626" w:rsidRPr="006541ED" w:rsidRDefault="00626626" w:rsidP="004C77DD">
            <w:pPr>
              <w:spacing w:after="200" w:line="276" w:lineRule="auto"/>
              <w:rPr>
                <w:rFonts w:ascii="Arial" w:hAnsi="Arial" w:cs="Arial"/>
                <w:lang w:val="en-US"/>
              </w:rPr>
            </w:pPr>
            <w:r w:rsidRPr="006541ED">
              <w:rPr>
                <w:rFonts w:ascii="Arial" w:hAnsi="Arial" w:cs="Arial"/>
                <w:lang w:val="en-US"/>
              </w:rPr>
              <w:fldChar w:fldCharType="begin"/>
            </w:r>
            <w:r>
              <w:rPr>
                <w:rFonts w:ascii="Arial" w:hAnsi="Arial" w:cs="Arial"/>
                <w:lang w:val="en-US"/>
              </w:rPr>
              <w:instrText xml:space="preserve"> ADDIN ZOTERO_ITEM CSL_CITATION {"citationID":"8t2HJ2oI","properties":{"formattedCitation":"\\super 82\\nosupersub{}","plainCitation":"82","noteIndex":0},"citationItems":[{"id":"QA7nzKt7/8tgUlqi3","uris":["http://zotero.org/users/5806739/items/U6F33WR9"],"itemData":{"id":4435,"type":"article-journal","abstract":"BACKGROUND: In addition to scalability, human embryonic stem cells (hESCs) have the unique advantage of allowing their directed differentiation toward lineage-specific cells.\nOBJECTIVES: This study tested the feasibility of leveraging the properties of hESCs to generate clinical-grade cardiovascular progenitor cells and assessed their safety in patients with severe ischemic left ventricular dysfunction.\nMETHODS: Six patients (median age 66.5 years [interquartile range (IQR): 60.5 to 74.7 years]; median left ventricular ejection fraction 26% [IQR: 22% to 32%]) received a median dose of 8.2 million (IQR: 5 to 10 million) hESC-derived cardiovascular progenitors embedded in a fibrin patch that was epicardially delivered during a coronary artery bypass procedure. The primary endpoint was safety at 1 year and focused on: 1) cardiac or off-target tumor, assessed by imaging (computed tomography and fluorine-18 fluorodeoxyglucose positron emission tomography scans); 2) arrhythmias, detected by serial interrogations of the cardioverter-defibrillators implanted in all patients; and 3) alloimmunization, assessed by the presence of donor-specific antibodies. Patients were followed up for a median of 18 months.\nRESULTS: The protocol generated a highly purified (median 97.5% [IQR: 95.5% to 98.7%]) population of cardiovascular progenitors. One patient died early post-operatively from treatment-unrelated comorbidities. All others had uneventful recoveries. No tumor was detected during follow-up, and none of the patients presented with arrhythmias. Three patients developed clinically silent alloimmunization. All patients were symptomatically improved with an increased systolic motion of the cell-treated segments. One patient died of heart failure after 22 months.\nCONCLUSIONS: This trial demonstrates the technical feasibility of producing clinical-grade hESC-derived cardiovascular progenitors and supports their short- and medium-term safety, thereby setting the grounds for adequately powered efficacy studies. (Transplantation of Human Embryonic Stem Cell-derived Progenitors in Severe Heart Failure [ESCORT]; NCT02057900).","container-title":"Journal of the American College of Cardiology","DOI":"10.1016/j.jacc.2017.11.047","ISSN":"1558-3597","issue":"4","journalAbbreviation":"J Am Coll Cardiol","language":"eng","note":"PMID: 29389360","page":"429-438","source":"PubMed","title":"Transplantation of Human Embryonic Stem Cell-Derived Cardiovascular Progenitors for Severe Ischemic Left Ventricular Dysfunction","volume":"71","author":[{"family":"Menasché","given":"Philippe"},{"family":"Vanneaux","given":"Valérie"},{"family":"Hagège","given":"Albert"},{"family":"Bel","given":"Alain"},{"family":"Cholley","given":"Bernard"},{"family":"Parouchev","given":"Alexandre"},{"family":"Cacciapuoti","given":"Isabelle"},{"family":"Al-Daccak","given":"Reem"},{"family":"Benhamouda","given":"Nadine"},{"family":"Blons","given":"Hélène"},{"family":"Agbulut","given":"Onnik"},{"family":"Tosca","given":"Lucie"},{"family":"Trouvin","given":"Jean-Hugues"},{"family":"Fabreguettes","given":"Jean-Roch"},{"family":"Bellamy","given":"Valérie"},{"family":"Charron","given":"Dominique"},{"family":"Tartour","given":"Eric"},{"family":"Tachdjian","given":"Gérard"},{"family":"Desnos","given":"Michel"},{"family":"Larghero","given":"Jérôme"}],"issued":{"date-parts":[["2018",1,30]]}}}],"schema":"https://github.com/citation-style-language/schema/raw/master/csl-citation.json"} </w:instrText>
            </w:r>
            <w:r w:rsidRPr="006541ED">
              <w:rPr>
                <w:rFonts w:ascii="Arial" w:hAnsi="Arial" w:cs="Arial"/>
                <w:lang w:val="en-US"/>
              </w:rPr>
              <w:fldChar w:fldCharType="separate"/>
            </w:r>
            <w:r w:rsidRPr="003B08F6">
              <w:rPr>
                <w:rFonts w:ascii="Arial" w:hAnsi="Arial" w:cs="Arial"/>
                <w:szCs w:val="24"/>
                <w:vertAlign w:val="superscript"/>
              </w:rPr>
              <w:t>82</w:t>
            </w:r>
            <w:r w:rsidRPr="006541ED">
              <w:rPr>
                <w:rFonts w:ascii="Arial" w:hAnsi="Arial" w:cs="Arial"/>
              </w:rPr>
              <w:fldChar w:fldCharType="end"/>
            </w:r>
            <w:proofErr w:type="spellStart"/>
            <w:r w:rsidRPr="006541ED">
              <w:rPr>
                <w:rFonts w:ascii="Arial" w:hAnsi="Arial" w:cs="Arial"/>
                <w:lang w:val="en-US"/>
              </w:rPr>
              <w:t>Menasche</w:t>
            </w:r>
            <w:proofErr w:type="spellEnd"/>
            <w:r w:rsidRPr="006541ED">
              <w:rPr>
                <w:rFonts w:ascii="Arial" w:hAnsi="Arial" w:cs="Arial"/>
                <w:lang w:val="en-US"/>
              </w:rPr>
              <w:t xml:space="preserve">  </w:t>
            </w:r>
            <w:r w:rsidRPr="006541ED">
              <w:rPr>
                <w:rFonts w:ascii="Arial" w:hAnsi="Arial" w:cs="Arial"/>
                <w:lang w:val="en-US"/>
              </w:rPr>
              <w:lastRenderedPageBreak/>
              <w:t>et al</w:t>
            </w:r>
          </w:p>
        </w:tc>
      </w:tr>
      <w:tr w:rsidR="00626626" w:rsidRPr="006541ED" w:rsidTr="004C77DD">
        <w:tc>
          <w:tcPr>
            <w:tcW w:w="1605" w:type="dxa"/>
          </w:tcPr>
          <w:p w:rsidR="00626626" w:rsidRPr="006541ED" w:rsidRDefault="00626626" w:rsidP="004C77DD">
            <w:pPr>
              <w:spacing w:after="200" w:line="276" w:lineRule="auto"/>
              <w:rPr>
                <w:rFonts w:ascii="Arial" w:hAnsi="Arial" w:cs="Arial"/>
                <w:lang w:val="en-US"/>
              </w:rPr>
            </w:pPr>
            <w:r w:rsidRPr="006541ED">
              <w:rPr>
                <w:rFonts w:ascii="Arial" w:hAnsi="Arial" w:cs="Arial"/>
                <w:lang w:val="en-US"/>
              </w:rPr>
              <w:lastRenderedPageBreak/>
              <w:t>Cell-Free Stem Cell Based Therapy</w:t>
            </w:r>
          </w:p>
        </w:tc>
        <w:tc>
          <w:tcPr>
            <w:tcW w:w="1606" w:type="dxa"/>
          </w:tcPr>
          <w:p w:rsidR="00626626" w:rsidRPr="006541ED" w:rsidRDefault="00626626" w:rsidP="004C77DD">
            <w:pPr>
              <w:spacing w:after="200" w:line="276" w:lineRule="auto"/>
              <w:rPr>
                <w:rFonts w:ascii="Arial" w:hAnsi="Arial" w:cs="Arial"/>
                <w:lang w:val="en-US"/>
              </w:rPr>
            </w:pPr>
          </w:p>
        </w:tc>
        <w:tc>
          <w:tcPr>
            <w:tcW w:w="1746" w:type="dxa"/>
          </w:tcPr>
          <w:p w:rsidR="00626626" w:rsidRPr="006541ED" w:rsidRDefault="00626626" w:rsidP="004C77DD">
            <w:pPr>
              <w:spacing w:after="200" w:line="276" w:lineRule="auto"/>
              <w:rPr>
                <w:rFonts w:ascii="Arial" w:hAnsi="Arial" w:cs="Arial"/>
                <w:lang w:val="en-US"/>
              </w:rPr>
            </w:pPr>
            <w:r w:rsidRPr="006541ED">
              <w:rPr>
                <w:rFonts w:ascii="Arial" w:hAnsi="Arial" w:cs="Arial"/>
                <w:lang w:val="en-US"/>
              </w:rPr>
              <w:t xml:space="preserve">Paracrine effects (e.g., via extracellular vesicle contents) </w:t>
            </w:r>
          </w:p>
        </w:tc>
        <w:tc>
          <w:tcPr>
            <w:tcW w:w="1465" w:type="dxa"/>
          </w:tcPr>
          <w:p w:rsidR="00626626" w:rsidRPr="006541ED" w:rsidRDefault="00626626" w:rsidP="004C77DD">
            <w:pPr>
              <w:spacing w:after="200" w:line="276" w:lineRule="auto"/>
              <w:rPr>
                <w:rFonts w:ascii="Arial" w:hAnsi="Arial" w:cs="Arial"/>
                <w:lang w:val="en-US"/>
              </w:rPr>
            </w:pPr>
            <w:r w:rsidRPr="006541ED">
              <w:rPr>
                <w:rFonts w:ascii="Arial" w:hAnsi="Arial" w:cs="Arial"/>
                <w:lang w:val="en-US"/>
              </w:rPr>
              <w:t xml:space="preserve">Chronic </w:t>
            </w:r>
            <w:proofErr w:type="spellStart"/>
            <w:r w:rsidRPr="006541ED">
              <w:rPr>
                <w:rFonts w:ascii="Arial" w:hAnsi="Arial" w:cs="Arial"/>
                <w:lang w:val="en-US"/>
              </w:rPr>
              <w:t>HFrEF</w:t>
            </w:r>
            <w:proofErr w:type="spellEnd"/>
            <w:r w:rsidRPr="006541ED">
              <w:rPr>
                <w:rFonts w:ascii="Arial" w:hAnsi="Arial" w:cs="Arial"/>
                <w:lang w:val="en-US"/>
              </w:rPr>
              <w:t>, acute HF?</w:t>
            </w:r>
          </w:p>
        </w:tc>
        <w:tc>
          <w:tcPr>
            <w:tcW w:w="1606" w:type="dxa"/>
          </w:tcPr>
          <w:p w:rsidR="00626626" w:rsidRPr="006541ED" w:rsidRDefault="00626626" w:rsidP="004C77DD">
            <w:pPr>
              <w:spacing w:after="200" w:line="276" w:lineRule="auto"/>
              <w:rPr>
                <w:rFonts w:ascii="Arial" w:hAnsi="Arial" w:cs="Arial"/>
                <w:lang w:val="en-US"/>
              </w:rPr>
            </w:pPr>
            <w:r w:rsidRPr="006541ED">
              <w:rPr>
                <w:rFonts w:ascii="Arial" w:hAnsi="Arial" w:cs="Arial"/>
                <w:lang w:val="en-US"/>
              </w:rPr>
              <w:t>Pre-clinical studies</w:t>
            </w:r>
          </w:p>
        </w:tc>
        <w:tc>
          <w:tcPr>
            <w:tcW w:w="1606" w:type="dxa"/>
          </w:tcPr>
          <w:p w:rsidR="00626626" w:rsidRPr="006541ED" w:rsidRDefault="00626626" w:rsidP="004C77DD">
            <w:pPr>
              <w:spacing w:after="200" w:line="276" w:lineRule="auto"/>
              <w:rPr>
                <w:rFonts w:ascii="Arial" w:hAnsi="Arial" w:cs="Arial"/>
                <w:lang w:val="en-US"/>
              </w:rPr>
            </w:pPr>
            <w:r w:rsidRPr="006541ED">
              <w:rPr>
                <w:rFonts w:ascii="Arial" w:hAnsi="Arial" w:cs="Arial"/>
                <w:lang w:val="en-US"/>
              </w:rPr>
              <w:fldChar w:fldCharType="begin"/>
            </w:r>
            <w:r>
              <w:rPr>
                <w:rFonts w:ascii="Arial" w:hAnsi="Arial" w:cs="Arial"/>
                <w:lang w:val="en-US"/>
              </w:rPr>
              <w:instrText xml:space="preserve"> ADDIN ZOTERO_ITEM CSL_CITATION {"citationID":"omY7x0QV","properties":{"formattedCitation":"\\super 81\\nosupersub{}","plainCitation":"81","noteIndex":0},"citationItems":[{"id":"QA7nzKt7/9KXmhpbJ","uris":["http://zotero.org/users/5806739/items/RELGY7HY"],"itemData":{"id":4432,"type":"article-journal","abstract":"Morbidity and mortality from ischaemic heart disease (IHD) and heart failure (HF) remain significant in Europe and are increasing worldwide. Patients with IHD or HF might benefit from novel therapeutic strategies, such as cell-based therapies. We recently discussed the therapeutic potential of cell-based therapies and provided recommendations on how to improve the therapeutic translation of these novel strategies for effective cardiac regeneration and repair. Despite major advances in optimizing these strategies with respect to cell source and delivery method, the clinical outcome of cell-based therapy remains unsatisfactory. Major obstacles are the low engraftment and survival rate of transplanted cells in the harmful microenvironment of the host tissue, and the paucity or even lack of endogenous cells with repair capacity. Therefore, new ways of delivering cells and their derivatives are required in order to empower cell-based cardiac repair and regeneration in patients with IHD or HF. Strategies using tissue engineering (TE) combine cells with matrix materials to enhance cell retention or cell delivery in the transplanted area, and have recently received much attention for this purpose. Here, we summarize knowledge on novel approaches emerging from the TE scenario. In particular, we will discuss how combinations of cell/bio-materials (e.g. hydrogels, cell sheets, prefabricated matrices, microspheres, and injectable matrices) combinations might enhance cell retention or cell delivery in the transplantation areas, thereby increase the success rate of cell therapies for IHD and HF. We will not focus on the use of classical engineering approaches, employing fully synthetic materials, because of their unsatisfactory material properties which render them not clinically applicable. The overall aim of this Position Paper from the ESC Working Group Cellular Biology of the Heart is to provide recommendations on how to proceed in research with these novel TE strategies combined with cell-based therapies to boost cardiac repair in the clinical settings of IHD and HF.","container-title":"Cardiovascular Research","DOI":"10.1093/cvr/cvz010","ISSN":"1755-3245","issue":"3","journalAbbreviation":"Cardiovasc Res","language":"eng","note":"PMID: 30657875\nPMCID: PMC6383054","page":"488-500","source":"PubMed","title":"ESC Working Group on Cellular Biology of the Heart: position paper for Cardiovascular Research: tissue engineering strategies combined with cell therapies for cardiac repair in ischaemic heart disease and heart failure","title-short":"ESC Working Group on Cellular Biology of the Heart","volume":"115","author":[{"family":"Madonna","given":"Rosalinda"},{"family":"Van Laake","given":"Linda W."},{"family":"Botker","given":"Hans Erik"},{"family":"Davidson","given":"Sean M."},{"family":"De Caterina","given":"Raffaele"},{"family":"Engel","given":"Felix B."},{"family":"Eschenhagen","given":"Thomas"},{"family":"Fernandez-Aviles","given":"Francesco"},{"family":"Hausenloy","given":"Derek J."},{"family":"Hulot","given":"Jean-Sebastien"},{"family":"Lecour","given":"Sandrine"},{"family":"Leor","given":"Jonathan"},{"family":"Menasché","given":"Philippe"},{"family":"Pesce","given":"Maurizio"},{"family":"Perrino","given":"Cinzia"},{"family":"Prunier","given":"Fabrice"},{"family":"Van Linthout","given":"Sophie"},{"family":"Ytrehus","given":"Kirsti"},{"family":"Zimmermann","given":"Wolfram-Hubertus"},{"family":"Ferdinandy","given":"Peter"},{"family":"Sluijter","given":"Joost P. G."}],"issued":{"date-parts":[["2019",3,1]]}}}],"schema":"https://github.com/citation-style-language/schema/raw/master/csl-citation.json"} </w:instrText>
            </w:r>
            <w:r w:rsidRPr="006541ED">
              <w:rPr>
                <w:rFonts w:ascii="Arial" w:hAnsi="Arial" w:cs="Arial"/>
                <w:lang w:val="en-US"/>
              </w:rPr>
              <w:fldChar w:fldCharType="separate"/>
            </w:r>
            <w:r w:rsidRPr="003B08F6">
              <w:rPr>
                <w:rFonts w:ascii="Arial" w:hAnsi="Arial" w:cs="Arial"/>
                <w:szCs w:val="24"/>
                <w:vertAlign w:val="superscript"/>
              </w:rPr>
              <w:t>81</w:t>
            </w:r>
            <w:r w:rsidRPr="006541ED">
              <w:rPr>
                <w:rFonts w:ascii="Arial" w:hAnsi="Arial" w:cs="Arial"/>
              </w:rPr>
              <w:fldChar w:fldCharType="end"/>
            </w:r>
            <w:r w:rsidRPr="006541ED">
              <w:rPr>
                <w:rFonts w:ascii="Arial" w:hAnsi="Arial" w:cs="Arial"/>
                <w:lang w:val="en-US"/>
              </w:rPr>
              <w:t>Madonna et al</w:t>
            </w:r>
          </w:p>
          <w:p w:rsidR="00626626" w:rsidRPr="006541ED" w:rsidRDefault="00626626" w:rsidP="004C77DD">
            <w:pPr>
              <w:spacing w:after="200" w:line="276" w:lineRule="auto"/>
              <w:rPr>
                <w:rFonts w:ascii="Arial" w:hAnsi="Arial" w:cs="Arial"/>
                <w:lang w:val="en-US"/>
              </w:rPr>
            </w:pPr>
            <w:r w:rsidRPr="006541ED">
              <w:rPr>
                <w:rFonts w:ascii="Arial" w:hAnsi="Arial" w:cs="Arial"/>
                <w:lang w:val="en-US"/>
              </w:rPr>
              <w:fldChar w:fldCharType="begin"/>
            </w:r>
            <w:r>
              <w:rPr>
                <w:rFonts w:ascii="Arial" w:hAnsi="Arial" w:cs="Arial"/>
                <w:lang w:val="en-US"/>
              </w:rPr>
              <w:instrText xml:space="preserve"> ADDIN ZOTERO_ITEM CSL_CITATION {"citationID":"Y56g7x3a","properties":{"formattedCitation":"\\super 83\\nosupersub{}","plainCitation":"83","noteIndex":0},"citationItems":[{"id":"QA7nzKt7/qj2R359i","uris":["http://zotero.org/users/5806739/items/CHKFN7HW"],"itemData":{"id":4437,"type":"article-journal","abstract":"The ability of extracellular vesicles (EVs) to regulate a broad range of cellular processes has recently been exploited for the treatment of diseases. For example, EVs secreted by stem cells injected into infarcted hearts can induce recovery through the delivery of stem-cell-specific miRNAs. However, the retention of the EVs and the therapeutic effects are short-lived. Here, we show that an engineered hydrogel patch capable of slowly releasing EVs secreted from cardiomyocytes derived from induced pluripotent stem (iPS) cells reduced arrhythmic burden, promoted ejection-fraction recovery, decreased cardiomyocyte apoptosis 24 hours after infarction, and reduced infarct size and cell hypertrophy 4 weeks post-infarction when implanted onto infarcted rat hearts. We also show that the EVs are enriched with cardiac-specific miRNAs known to modulate cardiomyocyte-specific processes. The extended delivery of EVs secreted from iPS-cell-derived cardiomyocytes into the heart may help understand heart recovery and treat heart injury.","container-title":"Nature Biomedical Engineering","DOI":"10.1038/s41551-018-0229-7","ISSN":"2157-846X","issue":"5","journalAbbreviation":"Nat Biomed Eng","language":"eng","note":"PMID: 30271672\nPMCID: PMC6159913","page":"293-303","source":"PubMed","title":"Cardiac recovery via extended cell-free delivery of extracellular vesicles secreted by cardiomyocytes derived from induced pluripotent stem cells","volume":"2","author":[{"family":"Liu","given":"Bohao"},{"family":"Lee","given":"Benjamin W."},{"family":"Nakanishi","given":"Koki"},{"family":"Villasante","given":"Aranzazu"},{"family":"Williamson","given":"Rebecca"},{"family":"Metz","given":"Jordan"},{"family":"Kim","given":"Jinho"},{"family":"Kanai","given":"Mariko"},{"family":"Bi","given":"Lynn"},{"family":"Brown","given":"Kristy"},{"family":"Di Paolo","given":"Gilbert"},{"family":"Homma","given":"Shunichi"},{"family":"Sims","given":"Peter A."},{"family":"Topkara","given":"Veli K."},{"family":"Vunjak-Novakovic","given":"Gordana"}],"issued":{"date-parts":[["2018",5]]}}}],"schema":"https://github.com/citation-style-language/schema/raw/master/csl-citation.json"} </w:instrText>
            </w:r>
            <w:r w:rsidRPr="006541ED">
              <w:rPr>
                <w:rFonts w:ascii="Arial" w:hAnsi="Arial" w:cs="Arial"/>
                <w:lang w:val="en-US"/>
              </w:rPr>
              <w:fldChar w:fldCharType="separate"/>
            </w:r>
            <w:r w:rsidRPr="003B08F6">
              <w:rPr>
                <w:rFonts w:ascii="Arial" w:hAnsi="Arial" w:cs="Arial"/>
                <w:szCs w:val="24"/>
                <w:vertAlign w:val="superscript"/>
              </w:rPr>
              <w:t>83</w:t>
            </w:r>
            <w:r w:rsidRPr="006541ED">
              <w:rPr>
                <w:rFonts w:ascii="Arial" w:hAnsi="Arial" w:cs="Arial"/>
              </w:rPr>
              <w:fldChar w:fldCharType="end"/>
            </w:r>
            <w:r w:rsidRPr="006541ED">
              <w:rPr>
                <w:rFonts w:ascii="Arial" w:hAnsi="Arial" w:cs="Arial"/>
                <w:lang w:val="en-US"/>
              </w:rPr>
              <w:t>Liu et al</w:t>
            </w:r>
          </w:p>
        </w:tc>
      </w:tr>
      <w:tr w:rsidR="00626626" w:rsidRPr="006541ED" w:rsidTr="004C77DD">
        <w:tc>
          <w:tcPr>
            <w:tcW w:w="1605" w:type="dxa"/>
            <w:vMerge w:val="restart"/>
          </w:tcPr>
          <w:p w:rsidR="00626626" w:rsidRPr="006541ED" w:rsidRDefault="00626626" w:rsidP="004C77DD">
            <w:pPr>
              <w:spacing w:after="200" w:line="276" w:lineRule="auto"/>
              <w:rPr>
                <w:rFonts w:ascii="Arial" w:hAnsi="Arial" w:cs="Arial"/>
                <w:lang w:val="en-US"/>
              </w:rPr>
            </w:pPr>
            <w:r w:rsidRPr="006541ED">
              <w:rPr>
                <w:rFonts w:ascii="Arial" w:hAnsi="Arial" w:cs="Arial"/>
                <w:lang w:val="en-US"/>
              </w:rPr>
              <w:t>Induced Cardiomyocyte Proliferation</w:t>
            </w:r>
          </w:p>
        </w:tc>
        <w:tc>
          <w:tcPr>
            <w:tcW w:w="1606" w:type="dxa"/>
          </w:tcPr>
          <w:p w:rsidR="00626626" w:rsidRPr="006541ED" w:rsidRDefault="00626626" w:rsidP="004C77DD">
            <w:pPr>
              <w:spacing w:after="200" w:line="276" w:lineRule="auto"/>
              <w:rPr>
                <w:rFonts w:ascii="Arial" w:hAnsi="Arial" w:cs="Arial"/>
                <w:lang w:val="en-US"/>
              </w:rPr>
            </w:pPr>
            <w:r w:rsidRPr="006541ED">
              <w:rPr>
                <w:rFonts w:ascii="Arial" w:hAnsi="Arial" w:cs="Arial"/>
                <w:lang w:val="en-US"/>
              </w:rPr>
              <w:t>Modifiers of YAP – Hippo pathway</w:t>
            </w:r>
          </w:p>
        </w:tc>
        <w:tc>
          <w:tcPr>
            <w:tcW w:w="1746" w:type="dxa"/>
            <w:vMerge w:val="restart"/>
          </w:tcPr>
          <w:p w:rsidR="00626626" w:rsidRPr="006541ED" w:rsidRDefault="00626626" w:rsidP="004C77DD">
            <w:pPr>
              <w:spacing w:after="200" w:line="276" w:lineRule="auto"/>
              <w:rPr>
                <w:rFonts w:ascii="Arial" w:hAnsi="Arial" w:cs="Arial"/>
                <w:lang w:val="en-US"/>
              </w:rPr>
            </w:pPr>
            <w:r w:rsidRPr="006541ED">
              <w:rPr>
                <w:rFonts w:ascii="Arial" w:hAnsi="Arial" w:cs="Arial"/>
                <w:lang w:val="en-US"/>
              </w:rPr>
              <w:t xml:space="preserve">Proliferation of resident cardiomyocytes </w:t>
            </w:r>
          </w:p>
        </w:tc>
        <w:tc>
          <w:tcPr>
            <w:tcW w:w="1465" w:type="dxa"/>
          </w:tcPr>
          <w:p w:rsidR="00626626" w:rsidRPr="006541ED" w:rsidRDefault="00626626" w:rsidP="004C77DD">
            <w:pPr>
              <w:spacing w:after="200" w:line="276" w:lineRule="auto"/>
              <w:rPr>
                <w:rFonts w:ascii="Arial" w:hAnsi="Arial" w:cs="Arial"/>
                <w:lang w:val="en-US"/>
              </w:rPr>
            </w:pPr>
            <w:r w:rsidRPr="006541ED">
              <w:rPr>
                <w:rFonts w:ascii="Arial" w:hAnsi="Arial" w:cs="Arial"/>
                <w:lang w:val="en-US"/>
              </w:rPr>
              <w:t xml:space="preserve">Acute HF post-myocardial infarction (in future non-genetic chronic </w:t>
            </w:r>
            <w:proofErr w:type="spellStart"/>
            <w:r w:rsidRPr="006541ED">
              <w:rPr>
                <w:rFonts w:ascii="Arial" w:hAnsi="Arial" w:cs="Arial"/>
                <w:lang w:val="en-US"/>
              </w:rPr>
              <w:t>HFrEF</w:t>
            </w:r>
            <w:proofErr w:type="spellEnd"/>
            <w:r w:rsidRPr="006541ED">
              <w:rPr>
                <w:rFonts w:ascii="Arial" w:hAnsi="Arial" w:cs="Arial"/>
                <w:lang w:val="en-US"/>
              </w:rPr>
              <w:t>?)</w:t>
            </w:r>
          </w:p>
        </w:tc>
        <w:tc>
          <w:tcPr>
            <w:tcW w:w="1606" w:type="dxa"/>
          </w:tcPr>
          <w:p w:rsidR="00626626" w:rsidRPr="006541ED" w:rsidRDefault="00626626" w:rsidP="004C77DD">
            <w:pPr>
              <w:spacing w:after="200" w:line="276" w:lineRule="auto"/>
              <w:rPr>
                <w:rFonts w:ascii="Arial" w:hAnsi="Arial" w:cs="Arial"/>
                <w:lang w:val="en-US"/>
              </w:rPr>
            </w:pPr>
            <w:r w:rsidRPr="006541ED">
              <w:rPr>
                <w:rFonts w:ascii="Arial" w:hAnsi="Arial" w:cs="Arial"/>
                <w:lang w:val="en-US"/>
              </w:rPr>
              <w:t>Pre-clinical studies</w:t>
            </w:r>
          </w:p>
        </w:tc>
        <w:tc>
          <w:tcPr>
            <w:tcW w:w="1606" w:type="dxa"/>
          </w:tcPr>
          <w:p w:rsidR="00626626" w:rsidRPr="006541ED" w:rsidRDefault="00626626" w:rsidP="004C77DD">
            <w:pPr>
              <w:spacing w:after="200" w:line="276" w:lineRule="auto"/>
              <w:rPr>
                <w:rFonts w:ascii="Arial" w:hAnsi="Arial" w:cs="Arial"/>
                <w:lang w:val="en-US"/>
              </w:rPr>
            </w:pPr>
            <w:r w:rsidRPr="006541ED">
              <w:rPr>
                <w:rFonts w:ascii="Arial" w:hAnsi="Arial" w:cs="Arial"/>
                <w:lang w:val="en-US"/>
              </w:rPr>
              <w:fldChar w:fldCharType="begin"/>
            </w:r>
            <w:r>
              <w:rPr>
                <w:rFonts w:ascii="Arial" w:hAnsi="Arial" w:cs="Arial"/>
                <w:lang w:val="en-US"/>
              </w:rPr>
              <w:instrText xml:space="preserve"> ADDIN ZOTERO_ITEM CSL_CITATION {"citationID":"dSEQX5FW","properties":{"formattedCitation":"\\super 84\\nosupersub{}","plainCitation":"84","noteIndex":0},"citationItems":[{"id":"QA7nzKt7/js0c8jrE","uris":["http://zotero.org/users/5806739/items/E5FZQVT4"],"itemData":{"id":4440,"type":"article-journal","abstract":"Prompt coronary catheterization and revascularization have markedly improved the outcomes of myocardial infarction, but have also resulted in a growing number of surviving patients with permanent structural damage of the heart, which frequently leads to heart failure. There is an unmet clinical need for treatments for this condition1, particularly given the inability of cardiomyocytes to replicate and thereby regenerate the lost contractile tissue2. Here we show that expression of human microRNA-199a in infarcted pig hearts can stimulate cardiac repair. One month after myocardial infarction and delivery of this microRNA through an adeno-associated viral vector, treated animals showed marked improvements in both global and regional contractility, increased muscle mass and reduced scar size. These functional and morphological findings correlated with cardiomyocyte de-differentiation and proliferation. However, subsequent persistent and uncontrolled expression of the microRNA resulted in sudden arrhythmic death of most of the treated pigs. Such events were concurrent with myocardial infiltration of proliferating cells displaying a poorly differentiated myoblastic phenotype. These results show that achieving cardiac repair through the stimulation of endogenous cardiomyocyte proliferation is attainable in large mammals, however dosage of this therapy needs to be tightly controlled.","container-title":"Nature","DOI":"10.1038/s41586-019-1191-6","ISSN":"1476-4687","issue":"7756","journalAbbreviation":"Nature","language":"eng","note":"PMID: 31068698\nPMCID: PMC6768803","page":"418-422","source":"PubMed","title":"MicroRNA therapy stimulates uncontrolled cardiac repair after myocardial infarction in pigs","volume":"569","author":[{"family":"Gabisonia","given":"Khatia"},{"family":"Prosdocimo","given":"Giulia"},{"family":"Aquaro","given":"Giovanni Donato"},{"family":"Carlucci","given":"Lucia"},{"family":"Zentilin","given":"Lorena"},{"family":"Secco","given":"Ilaria"},{"family":"Ali","given":"Hashim"},{"family":"Braga","given":"Luca"},{"family":"Gorgodze","given":"Nikoloz"},{"family":"Bernini","given":"Fabio"},{"family":"Burchielli","given":"Silvia"},{"family":"Collesi","given":"Chiara"},{"family":"Zandonà","given":"Lorenzo"},{"family":"Sinagra","given":"Gianfranco"},{"family":"Piacenti","given":"Marcello"},{"family":"Zacchigna","given":"Serena"},{"family":"Bussani","given":"Rossana"},{"family":"Recchia","given":"Fabio A."},{"family":"Giacca","given":"Mauro"}],"issued":{"date-parts":[["2019",5]]}}}],"schema":"https://github.com/citation-style-language/schema/raw/master/csl-citation.json"} </w:instrText>
            </w:r>
            <w:r w:rsidRPr="006541ED">
              <w:rPr>
                <w:rFonts w:ascii="Arial" w:hAnsi="Arial" w:cs="Arial"/>
                <w:lang w:val="en-US"/>
              </w:rPr>
              <w:fldChar w:fldCharType="separate"/>
            </w:r>
            <w:r w:rsidRPr="003B08F6">
              <w:rPr>
                <w:rFonts w:ascii="Arial" w:hAnsi="Arial" w:cs="Arial"/>
                <w:szCs w:val="24"/>
                <w:vertAlign w:val="superscript"/>
              </w:rPr>
              <w:t>84</w:t>
            </w:r>
            <w:r w:rsidRPr="006541ED">
              <w:rPr>
                <w:rFonts w:ascii="Arial" w:hAnsi="Arial" w:cs="Arial"/>
              </w:rPr>
              <w:fldChar w:fldCharType="end"/>
            </w:r>
            <w:proofErr w:type="spellStart"/>
            <w:r w:rsidRPr="006541ED">
              <w:rPr>
                <w:rFonts w:ascii="Arial" w:hAnsi="Arial" w:cs="Arial"/>
                <w:lang w:val="en-US"/>
              </w:rPr>
              <w:t>Gabisonia</w:t>
            </w:r>
            <w:proofErr w:type="spellEnd"/>
            <w:r w:rsidRPr="006541ED">
              <w:rPr>
                <w:rFonts w:ascii="Arial" w:hAnsi="Arial" w:cs="Arial"/>
                <w:lang w:val="en-US"/>
              </w:rPr>
              <w:t xml:space="preserve"> et al</w:t>
            </w:r>
          </w:p>
        </w:tc>
      </w:tr>
      <w:tr w:rsidR="00626626" w:rsidRPr="006541ED" w:rsidTr="004C77DD">
        <w:tc>
          <w:tcPr>
            <w:tcW w:w="1605" w:type="dxa"/>
            <w:vMerge/>
          </w:tcPr>
          <w:p w:rsidR="00626626" w:rsidRPr="006541ED" w:rsidRDefault="00626626" w:rsidP="004C77DD">
            <w:pPr>
              <w:spacing w:after="200" w:line="276" w:lineRule="auto"/>
              <w:rPr>
                <w:rFonts w:ascii="Arial" w:hAnsi="Arial" w:cs="Arial"/>
                <w:lang w:val="en-US"/>
              </w:rPr>
            </w:pPr>
          </w:p>
        </w:tc>
        <w:tc>
          <w:tcPr>
            <w:tcW w:w="1606" w:type="dxa"/>
          </w:tcPr>
          <w:p w:rsidR="00626626" w:rsidRPr="006541ED" w:rsidRDefault="00626626" w:rsidP="004C77DD">
            <w:pPr>
              <w:spacing w:after="200" w:line="276" w:lineRule="auto"/>
              <w:rPr>
                <w:rFonts w:ascii="Arial" w:hAnsi="Arial" w:cs="Arial"/>
                <w:lang w:val="en-US"/>
              </w:rPr>
            </w:pPr>
            <w:proofErr w:type="spellStart"/>
            <w:r w:rsidRPr="006541ED">
              <w:rPr>
                <w:rFonts w:ascii="Arial" w:hAnsi="Arial" w:cs="Arial"/>
                <w:lang w:val="en-US"/>
              </w:rPr>
              <w:t>Neuregulin</w:t>
            </w:r>
            <w:proofErr w:type="spellEnd"/>
          </w:p>
        </w:tc>
        <w:tc>
          <w:tcPr>
            <w:tcW w:w="1746" w:type="dxa"/>
            <w:vMerge/>
          </w:tcPr>
          <w:p w:rsidR="00626626" w:rsidRPr="006541ED" w:rsidRDefault="00626626" w:rsidP="004C77DD">
            <w:pPr>
              <w:spacing w:after="200" w:line="276" w:lineRule="auto"/>
              <w:rPr>
                <w:rFonts w:ascii="Arial" w:hAnsi="Arial" w:cs="Arial"/>
                <w:lang w:val="en-US"/>
              </w:rPr>
            </w:pPr>
          </w:p>
        </w:tc>
        <w:tc>
          <w:tcPr>
            <w:tcW w:w="1465" w:type="dxa"/>
          </w:tcPr>
          <w:p w:rsidR="00626626" w:rsidRPr="006541ED" w:rsidRDefault="00626626" w:rsidP="004C77DD">
            <w:pPr>
              <w:spacing w:after="200" w:line="276" w:lineRule="auto"/>
              <w:rPr>
                <w:rFonts w:ascii="Arial" w:hAnsi="Arial" w:cs="Arial"/>
                <w:lang w:val="en-US"/>
              </w:rPr>
            </w:pPr>
            <w:r w:rsidRPr="006541ED">
              <w:rPr>
                <w:rFonts w:ascii="Arial" w:hAnsi="Arial" w:cs="Arial"/>
                <w:lang w:val="en-US"/>
              </w:rPr>
              <w:t xml:space="preserve">Chronic </w:t>
            </w:r>
            <w:proofErr w:type="spellStart"/>
            <w:r w:rsidRPr="006541ED">
              <w:rPr>
                <w:rFonts w:ascii="Arial" w:hAnsi="Arial" w:cs="Arial"/>
                <w:lang w:val="en-US"/>
              </w:rPr>
              <w:t>HFrEF</w:t>
            </w:r>
            <w:proofErr w:type="spellEnd"/>
          </w:p>
        </w:tc>
        <w:tc>
          <w:tcPr>
            <w:tcW w:w="1606" w:type="dxa"/>
          </w:tcPr>
          <w:p w:rsidR="00626626" w:rsidRPr="006541ED" w:rsidRDefault="00626626" w:rsidP="004C77DD">
            <w:pPr>
              <w:spacing w:after="200" w:line="276" w:lineRule="auto"/>
              <w:rPr>
                <w:rFonts w:ascii="Arial" w:hAnsi="Arial" w:cs="Arial"/>
                <w:lang w:val="en-US"/>
              </w:rPr>
            </w:pPr>
            <w:r w:rsidRPr="006541ED">
              <w:rPr>
                <w:rFonts w:ascii="Arial" w:hAnsi="Arial" w:cs="Arial"/>
                <w:lang w:val="en-US"/>
              </w:rPr>
              <w:t>Clinical trials</w:t>
            </w:r>
          </w:p>
        </w:tc>
        <w:tc>
          <w:tcPr>
            <w:tcW w:w="1606" w:type="dxa"/>
          </w:tcPr>
          <w:p w:rsidR="00626626" w:rsidRPr="006541ED" w:rsidRDefault="00626626" w:rsidP="004C77DD">
            <w:pPr>
              <w:spacing w:after="200" w:line="276" w:lineRule="auto"/>
              <w:rPr>
                <w:rFonts w:ascii="Arial" w:hAnsi="Arial" w:cs="Arial"/>
                <w:lang w:val="en-US"/>
              </w:rPr>
            </w:pPr>
            <w:r w:rsidRPr="006541ED">
              <w:rPr>
                <w:rFonts w:ascii="Arial" w:hAnsi="Arial" w:cs="Arial"/>
                <w:lang w:val="en-US"/>
              </w:rPr>
              <w:fldChar w:fldCharType="begin"/>
            </w:r>
            <w:r>
              <w:rPr>
                <w:rFonts w:ascii="Arial" w:hAnsi="Arial" w:cs="Arial"/>
                <w:lang w:val="en-US"/>
              </w:rPr>
              <w:instrText xml:space="preserve"> ADDIN ZOTERO_ITEM CSL_CITATION {"citationID":"ECIUlK1n","properties":{"formattedCitation":"\\super 85\\nosupersub{}","plainCitation":"85","noteIndex":0},"citationItems":[{"id":"QA7nzKt7/SuuC6tco","uris":["http://zotero.org/users/5806739/items/33R9AN4F"],"itemData":{"id":4443,"type":"article-journal","abstract":"A first-in-human, phase 1, double blind, placebo-controlled, single ascending dose study examined the safety, tolerability, and exploratory efficacy of intravenous infusion of a recombinant growth factor, cimaglermin alfa, in patients with heart failure and left ventricular systolic dysfunction (LVSD). In these patients on optimal guideline-directed medical therapy, cimaglermin treatment was generally tolerated except for transient nausea and headache and a dose-limiting toxicity was noted at the highest planned dose. There was a dose-dependent improvement in left ventricular ejection fraction lasting 90 days following infusion. Thus, cimaglermin is a potential therapy to enhance cardiac function in LVSD and warrants further investigation.","container-title":"JACC. Basic to translational science","DOI":"10.1016/j.jacbts.2016.09.005","ISSN":"2452-302X","issue":"7","journalAbbreviation":"JACC Basic Transl Sci","language":"eng","note":"PMID: 30167542\nPMCID: PMC6113538","page":"576-586","source":"PubMed","title":"A Phase I, Single Ascending Dose Study of Cimaglermin Alfa (Neuregulin 1β3) in Patients With Systolic Dysfunction and Heart Failure","volume":"1","author":[{"family":"Lenihan","given":"Daniel J."},{"family":"Anderson","given":"Sarah A."},{"family":"Lenneman","given":"Carrie Geisberg"},{"family":"Brittain","given":"Evan"},{"family":"Muldowney","given":"James A. S."},{"family":"Mendes","given":"Lisa"},{"family":"Zhao","given":"Ping Z."},{"family":"Iaci","given":"Jennifer"},{"family":"Frohwein","given":"Stephen"},{"family":"Zolty","given":"Ronald"},{"family":"Eisen","given":"Andrew"},{"family":"Sawyer","given":"Douglas B."},{"family":"Caggiano","given":"Anthony O."}],"issued":{"date-parts":[["2016",12]]}}}],"schema":"https://github.com/citation-style-language/schema/raw/master/csl-citation.json"} </w:instrText>
            </w:r>
            <w:r w:rsidRPr="006541ED">
              <w:rPr>
                <w:rFonts w:ascii="Arial" w:hAnsi="Arial" w:cs="Arial"/>
                <w:lang w:val="en-US"/>
              </w:rPr>
              <w:fldChar w:fldCharType="separate"/>
            </w:r>
            <w:r w:rsidRPr="003B08F6">
              <w:rPr>
                <w:rFonts w:ascii="Arial" w:hAnsi="Arial" w:cs="Arial"/>
                <w:szCs w:val="24"/>
                <w:vertAlign w:val="superscript"/>
              </w:rPr>
              <w:t>85</w:t>
            </w:r>
            <w:r w:rsidRPr="006541ED">
              <w:rPr>
                <w:rFonts w:ascii="Arial" w:hAnsi="Arial" w:cs="Arial"/>
              </w:rPr>
              <w:fldChar w:fldCharType="end"/>
            </w:r>
            <w:proofErr w:type="spellStart"/>
            <w:r w:rsidRPr="006541ED">
              <w:rPr>
                <w:rFonts w:ascii="Arial" w:hAnsi="Arial" w:cs="Arial"/>
                <w:lang w:val="en-US"/>
              </w:rPr>
              <w:t>Lenihan</w:t>
            </w:r>
            <w:proofErr w:type="spellEnd"/>
            <w:r w:rsidRPr="006541ED">
              <w:rPr>
                <w:rFonts w:ascii="Arial" w:hAnsi="Arial" w:cs="Arial"/>
                <w:lang w:val="en-US"/>
              </w:rPr>
              <w:t xml:space="preserve"> et al</w:t>
            </w:r>
          </w:p>
        </w:tc>
      </w:tr>
      <w:tr w:rsidR="00626626" w:rsidRPr="006541ED" w:rsidTr="004C77DD">
        <w:tc>
          <w:tcPr>
            <w:tcW w:w="1605" w:type="dxa"/>
          </w:tcPr>
          <w:p w:rsidR="00626626" w:rsidRPr="006541ED" w:rsidRDefault="00626626" w:rsidP="004C77DD">
            <w:pPr>
              <w:spacing w:after="200" w:line="276" w:lineRule="auto"/>
              <w:rPr>
                <w:rFonts w:ascii="Arial" w:hAnsi="Arial" w:cs="Arial"/>
                <w:lang w:val="en-US"/>
              </w:rPr>
            </w:pPr>
            <w:r w:rsidRPr="006541ED">
              <w:rPr>
                <w:rFonts w:ascii="Arial" w:hAnsi="Arial" w:cs="Arial"/>
                <w:lang w:val="en-US"/>
              </w:rPr>
              <w:t>Direct Reprogramming</w:t>
            </w:r>
          </w:p>
        </w:tc>
        <w:tc>
          <w:tcPr>
            <w:tcW w:w="1606" w:type="dxa"/>
          </w:tcPr>
          <w:p w:rsidR="00626626" w:rsidRPr="006541ED" w:rsidRDefault="00626626" w:rsidP="004C77DD">
            <w:pPr>
              <w:spacing w:after="200" w:line="276" w:lineRule="auto"/>
              <w:rPr>
                <w:rFonts w:ascii="Arial" w:hAnsi="Arial" w:cs="Arial"/>
                <w:lang w:val="en-US"/>
              </w:rPr>
            </w:pPr>
            <w:r w:rsidRPr="006541ED">
              <w:rPr>
                <w:rFonts w:ascii="Arial" w:hAnsi="Arial" w:cs="Arial"/>
                <w:lang w:val="en-US"/>
              </w:rPr>
              <w:t xml:space="preserve">Small molecules, microRNAs, gene transcription factors </w:t>
            </w:r>
          </w:p>
        </w:tc>
        <w:tc>
          <w:tcPr>
            <w:tcW w:w="1746" w:type="dxa"/>
          </w:tcPr>
          <w:p w:rsidR="00626626" w:rsidRPr="006541ED" w:rsidRDefault="00626626" w:rsidP="004C77DD">
            <w:pPr>
              <w:spacing w:after="200" w:line="276" w:lineRule="auto"/>
              <w:rPr>
                <w:rFonts w:ascii="Arial" w:hAnsi="Arial" w:cs="Arial"/>
                <w:lang w:val="en-US"/>
              </w:rPr>
            </w:pPr>
            <w:r w:rsidRPr="006541ED">
              <w:rPr>
                <w:rFonts w:ascii="Arial" w:hAnsi="Arial" w:cs="Arial"/>
                <w:lang w:val="en-US"/>
              </w:rPr>
              <w:t>Trans differentiation of resident fibroblasts into cardiomyocytes</w:t>
            </w:r>
          </w:p>
        </w:tc>
        <w:tc>
          <w:tcPr>
            <w:tcW w:w="1465" w:type="dxa"/>
          </w:tcPr>
          <w:p w:rsidR="00626626" w:rsidRPr="006541ED" w:rsidRDefault="00626626" w:rsidP="004C77DD">
            <w:pPr>
              <w:spacing w:after="200" w:line="276" w:lineRule="auto"/>
              <w:rPr>
                <w:rFonts w:ascii="Arial" w:hAnsi="Arial" w:cs="Arial"/>
                <w:lang w:val="en-US"/>
              </w:rPr>
            </w:pPr>
            <w:r w:rsidRPr="006541ED">
              <w:rPr>
                <w:rFonts w:ascii="Arial" w:hAnsi="Arial" w:cs="Arial"/>
                <w:lang w:val="en-US"/>
              </w:rPr>
              <w:t xml:space="preserve">Chronic </w:t>
            </w:r>
            <w:proofErr w:type="spellStart"/>
            <w:r w:rsidRPr="006541ED">
              <w:rPr>
                <w:rFonts w:ascii="Arial" w:hAnsi="Arial" w:cs="Arial"/>
                <w:lang w:val="en-US"/>
              </w:rPr>
              <w:t>HFrEF</w:t>
            </w:r>
            <w:proofErr w:type="spellEnd"/>
            <w:r w:rsidRPr="006541ED">
              <w:rPr>
                <w:rFonts w:ascii="Arial" w:hAnsi="Arial" w:cs="Arial"/>
                <w:lang w:val="en-US"/>
              </w:rPr>
              <w:t xml:space="preserve"> (non-genetic)</w:t>
            </w:r>
          </w:p>
        </w:tc>
        <w:tc>
          <w:tcPr>
            <w:tcW w:w="1606" w:type="dxa"/>
          </w:tcPr>
          <w:p w:rsidR="00626626" w:rsidRPr="006541ED" w:rsidRDefault="00626626" w:rsidP="004C77DD">
            <w:pPr>
              <w:spacing w:after="200" w:line="276" w:lineRule="auto"/>
              <w:rPr>
                <w:rFonts w:ascii="Arial" w:hAnsi="Arial" w:cs="Arial"/>
                <w:lang w:val="en-US"/>
              </w:rPr>
            </w:pPr>
            <w:r w:rsidRPr="006541ED">
              <w:rPr>
                <w:rFonts w:ascii="Arial" w:hAnsi="Arial" w:cs="Arial"/>
                <w:lang w:val="en-US"/>
              </w:rPr>
              <w:t>Pre-clinical studies</w:t>
            </w:r>
          </w:p>
        </w:tc>
        <w:tc>
          <w:tcPr>
            <w:tcW w:w="1606" w:type="dxa"/>
          </w:tcPr>
          <w:p w:rsidR="00626626" w:rsidRPr="006541ED" w:rsidRDefault="00626626" w:rsidP="004C77DD">
            <w:pPr>
              <w:spacing w:after="200" w:line="276" w:lineRule="auto"/>
              <w:rPr>
                <w:rFonts w:ascii="Arial" w:hAnsi="Arial" w:cs="Arial"/>
                <w:lang w:val="en-US"/>
              </w:rPr>
            </w:pPr>
            <w:r w:rsidRPr="006541ED">
              <w:rPr>
                <w:rFonts w:ascii="Arial" w:hAnsi="Arial" w:cs="Arial"/>
                <w:lang w:val="en-US"/>
              </w:rPr>
              <w:fldChar w:fldCharType="begin"/>
            </w:r>
            <w:r>
              <w:rPr>
                <w:rFonts w:ascii="Arial" w:hAnsi="Arial" w:cs="Arial"/>
                <w:lang w:val="en-US"/>
              </w:rPr>
              <w:instrText xml:space="preserve"> ADDIN ZOTERO_ITEM CSL_CITATION {"citationID":"uty3aG0N","properties":{"formattedCitation":"\\super 86\\nosupersub{}","plainCitation":"86","noteIndex":0},"citationItems":[{"id":"QA7nzKt7/GfmBGTEP","uris":["http://zotero.org/users/5806739/items/QJQ9M5P9"],"itemData":{"id":4446,"type":"article-journal","abstract":"The human heart is continually operating as a muscular pump, contracting, on average, 80 times per minute to propel 8000 liters of blood through body tissues each day. Whereas damaged skeletal muscle has a profound capacity to regenerate, heart muscle, at least in mammals, has poor regenerative potential. This deficiency is attributable to the lack of resident cardiac stem cells, combined with roadblocks that limit adult cardiomyocytes from entering the cell cycle and completing division. Insights for regeneration have recently emerged from studies of animals with an elevated innate capacity for regeneration, the innovation of stem cell and reprogramming technologies, and a clearer understanding of the cardiomyocyte genetic program and key extrinsic signals. Methods to augment heart regeneration now have potential to counteract the high morbidity and mortality of cardiovascular disease.","container-title":"Science (New York, N.Y.)","DOI":"10.1126/science.aam5894","ISSN":"1095-9203","issue":"6342","journalAbbreviation":"Science","language":"eng","note":"PMID: 28596337\nPMCID: PMC5614484","page":"1035-1039","source":"PubMed","title":"Cardiac regeneration strategies: Staying young at heart","title-short":"Cardiac regeneration strategies","volume":"356","author":[{"family":"Tzahor","given":"Eldad"},{"family":"Poss","given":"Kenneth D."}],"issued":{"date-parts":[["2017",6,9]]}}}],"schema":"https://github.com/citation-style-language/schema/raw/master/csl-citation.json"} </w:instrText>
            </w:r>
            <w:r w:rsidRPr="006541ED">
              <w:rPr>
                <w:rFonts w:ascii="Arial" w:hAnsi="Arial" w:cs="Arial"/>
                <w:lang w:val="en-US"/>
              </w:rPr>
              <w:fldChar w:fldCharType="separate"/>
            </w:r>
            <w:r w:rsidRPr="003B08F6">
              <w:rPr>
                <w:rFonts w:ascii="Arial" w:hAnsi="Arial" w:cs="Arial"/>
                <w:szCs w:val="24"/>
                <w:vertAlign w:val="superscript"/>
              </w:rPr>
              <w:t>86</w:t>
            </w:r>
            <w:r w:rsidRPr="006541ED">
              <w:rPr>
                <w:rFonts w:ascii="Arial" w:hAnsi="Arial" w:cs="Arial"/>
              </w:rPr>
              <w:fldChar w:fldCharType="end"/>
            </w:r>
            <w:proofErr w:type="spellStart"/>
            <w:r w:rsidRPr="006541ED">
              <w:rPr>
                <w:rFonts w:ascii="Arial" w:hAnsi="Arial" w:cs="Arial"/>
                <w:lang w:val="en-US"/>
              </w:rPr>
              <w:t>Tzahor</w:t>
            </w:r>
            <w:proofErr w:type="spellEnd"/>
            <w:r w:rsidRPr="006541ED">
              <w:rPr>
                <w:rFonts w:ascii="Arial" w:hAnsi="Arial" w:cs="Arial"/>
                <w:lang w:val="en-US"/>
              </w:rPr>
              <w:t xml:space="preserve"> et al </w:t>
            </w:r>
          </w:p>
        </w:tc>
      </w:tr>
      <w:tr w:rsidR="00626626" w:rsidRPr="006541ED" w:rsidTr="004C77DD">
        <w:tc>
          <w:tcPr>
            <w:tcW w:w="1605" w:type="dxa"/>
            <w:vMerge w:val="restart"/>
          </w:tcPr>
          <w:p w:rsidR="00626626" w:rsidRPr="006541ED" w:rsidRDefault="00626626" w:rsidP="004C77DD">
            <w:pPr>
              <w:spacing w:after="200" w:line="276" w:lineRule="auto"/>
              <w:rPr>
                <w:rFonts w:ascii="Arial" w:hAnsi="Arial" w:cs="Arial"/>
                <w:lang w:val="en-US"/>
              </w:rPr>
            </w:pPr>
            <w:proofErr w:type="spellStart"/>
            <w:r w:rsidRPr="006541ED">
              <w:rPr>
                <w:rFonts w:ascii="Arial" w:hAnsi="Arial" w:cs="Arial"/>
                <w:lang w:val="en-US"/>
              </w:rPr>
              <w:t>Xeno</w:t>
            </w:r>
            <w:proofErr w:type="spellEnd"/>
            <w:r w:rsidRPr="006541ED">
              <w:rPr>
                <w:rFonts w:ascii="Arial" w:hAnsi="Arial" w:cs="Arial"/>
                <w:lang w:val="en-US"/>
              </w:rPr>
              <w:t>-transplantation</w:t>
            </w:r>
          </w:p>
        </w:tc>
        <w:tc>
          <w:tcPr>
            <w:tcW w:w="1606" w:type="dxa"/>
          </w:tcPr>
          <w:p w:rsidR="00626626" w:rsidRPr="006541ED" w:rsidRDefault="00626626" w:rsidP="004C77DD">
            <w:pPr>
              <w:spacing w:after="200" w:line="276" w:lineRule="auto"/>
              <w:rPr>
                <w:rFonts w:ascii="Arial" w:hAnsi="Arial" w:cs="Arial"/>
                <w:lang w:val="en-US"/>
              </w:rPr>
            </w:pPr>
            <w:r w:rsidRPr="006541ED">
              <w:rPr>
                <w:rFonts w:ascii="Arial" w:hAnsi="Arial" w:cs="Arial"/>
                <w:lang w:val="en-US"/>
              </w:rPr>
              <w:t xml:space="preserve">Total </w:t>
            </w:r>
            <w:proofErr w:type="spellStart"/>
            <w:r w:rsidRPr="006541ED">
              <w:rPr>
                <w:rFonts w:ascii="Arial" w:hAnsi="Arial" w:cs="Arial"/>
                <w:lang w:val="en-US"/>
              </w:rPr>
              <w:t>xeno</w:t>
            </w:r>
            <w:proofErr w:type="spellEnd"/>
            <w:r w:rsidRPr="006541ED">
              <w:rPr>
                <w:rFonts w:ascii="Arial" w:hAnsi="Arial" w:cs="Arial"/>
                <w:lang w:val="en-US"/>
              </w:rPr>
              <w:t xml:space="preserve"> organ</w:t>
            </w:r>
          </w:p>
        </w:tc>
        <w:tc>
          <w:tcPr>
            <w:tcW w:w="1746" w:type="dxa"/>
          </w:tcPr>
          <w:p w:rsidR="00626626" w:rsidRPr="006541ED" w:rsidRDefault="00626626" w:rsidP="004C77DD">
            <w:pPr>
              <w:spacing w:after="200" w:line="276" w:lineRule="auto"/>
              <w:rPr>
                <w:rFonts w:ascii="Arial" w:hAnsi="Arial" w:cs="Arial"/>
                <w:lang w:val="en-US"/>
              </w:rPr>
            </w:pPr>
            <w:r w:rsidRPr="006541ED">
              <w:rPr>
                <w:rFonts w:ascii="Arial" w:hAnsi="Arial" w:cs="Arial"/>
                <w:lang w:val="en-US"/>
              </w:rPr>
              <w:t>Transplantation of animal (e.g., pig) heart</w:t>
            </w:r>
          </w:p>
        </w:tc>
        <w:tc>
          <w:tcPr>
            <w:tcW w:w="1465" w:type="dxa"/>
          </w:tcPr>
          <w:p w:rsidR="00626626" w:rsidRPr="006541ED" w:rsidRDefault="00626626" w:rsidP="004C77DD">
            <w:pPr>
              <w:spacing w:after="200" w:line="276" w:lineRule="auto"/>
              <w:rPr>
                <w:rFonts w:ascii="Arial" w:hAnsi="Arial" w:cs="Arial"/>
                <w:lang w:val="en-US"/>
              </w:rPr>
            </w:pPr>
            <w:r w:rsidRPr="006541ED">
              <w:rPr>
                <w:rFonts w:ascii="Arial" w:hAnsi="Arial" w:cs="Arial"/>
                <w:lang w:val="en-US"/>
              </w:rPr>
              <w:t>End-stage HF</w:t>
            </w:r>
          </w:p>
        </w:tc>
        <w:tc>
          <w:tcPr>
            <w:tcW w:w="1606" w:type="dxa"/>
          </w:tcPr>
          <w:p w:rsidR="00626626" w:rsidRPr="006541ED" w:rsidRDefault="00626626" w:rsidP="004C77DD">
            <w:pPr>
              <w:spacing w:after="200" w:line="276" w:lineRule="auto"/>
              <w:rPr>
                <w:rFonts w:ascii="Arial" w:hAnsi="Arial" w:cs="Arial"/>
                <w:lang w:val="en-US"/>
              </w:rPr>
            </w:pPr>
            <w:r w:rsidRPr="006541ED">
              <w:rPr>
                <w:rFonts w:ascii="Arial" w:hAnsi="Arial" w:cs="Arial"/>
                <w:lang w:val="en-US"/>
              </w:rPr>
              <w:t>Pre-clinical and clinical studies</w:t>
            </w:r>
          </w:p>
        </w:tc>
        <w:tc>
          <w:tcPr>
            <w:tcW w:w="1606" w:type="dxa"/>
          </w:tcPr>
          <w:p w:rsidR="00626626" w:rsidRPr="006541ED" w:rsidRDefault="00626626" w:rsidP="004C77DD">
            <w:pPr>
              <w:spacing w:after="200" w:line="276" w:lineRule="auto"/>
              <w:rPr>
                <w:rFonts w:ascii="Arial" w:hAnsi="Arial" w:cs="Arial"/>
                <w:lang w:val="en-US"/>
              </w:rPr>
            </w:pPr>
            <w:r w:rsidRPr="006541ED">
              <w:rPr>
                <w:rFonts w:ascii="Arial" w:hAnsi="Arial" w:cs="Arial"/>
                <w:lang w:val="en-US"/>
              </w:rPr>
              <w:fldChar w:fldCharType="begin"/>
            </w:r>
            <w:r>
              <w:rPr>
                <w:rFonts w:ascii="Arial" w:hAnsi="Arial" w:cs="Arial"/>
                <w:lang w:val="en-US"/>
              </w:rPr>
              <w:instrText xml:space="preserve"> ADDIN ZOTERO_ITEM CSL_CITATION {"citationID":"igvgQid5","properties":{"formattedCitation":"\\super 87\\nosupersub{}","plainCitation":"87","noteIndex":0},"citationItems":[{"id":"QA7nzKt7/QkLVGgFJ","uris":["http://zotero.org/users/5806739/items/SDE5WK3P"],"itemData":{"id":4449,"type":"article-journal","abstract":"BACKGROUND: The demand for donated human hearts far exceeds the number available. Xenotransplantation of genetically modified porcine organs provides an alternative. In 2000, an Advisory Board of the International Society for Heart and Lung Transplantation set the benchmark for commencing clinical cardiac xenotransplantation as consistent 60% survival of non-human primates after life-supporting porcine heart transplantations. Recently, we reported the stepwise optimization of pig-to-baboon orthotopic cardiac xenotransplantation finally resulting in consistent success, with 4 recipients surviving 90 (n = 2), 182, and 195 days. Here, we report on 4 additional recipients, supporting the efficacy of our procedure.\nRESULTS: The first 2 additional recipients succumbed to porcine cytomegalovirus (PCMV) infections on Days 15 and 27, respectively. In 2 further experiments, PCMV infections were successfully avoided, and 3-months survival was achieved. Throughout all the long-term experiments, heart, liver, and renal functions remained within normal ranges. Post-mortem cardiac diameters were slightly increased when compared with that at the time of transplantation but with no detrimental effect. There were no signs of thrombotic microangiopathy. The current regimen enabled the prolonged survival and function of orthotopic cardiac xenografts in altogether 6 of 8 baboons, of which 4 were now added. These results exceed the threshold set by the Advisory Board of the International Society for Heart and Lung Transplantation.\nCONCLUSIONS: The results of our current and previous experimental cardiac xenotransplantations together fulfill for the first time the pre-clinical efficacy suggestions. PCMV-positive donor animals must be avoided.","container-title":"The Journal of Heart and Lung Transplantation: The Official Publication of the International Society for Heart Transplantation","DOI":"10.1016/j.healun.2020.05.004","ISSN":"1557-3117","issue":"8","journalAbbreviation":"J Heart Lung Transplant","language":"eng","note":"PMID: 32527674","page":"751-757","source":"PubMed","title":"Pig-to-non-human primate heart transplantation: The final step toward clinical xenotransplantation?","title-short":"Pig-to-non-human primate heart transplantation","volume":"39","author":[{"family":"Reichart","given":"Bruno"},{"family":"Längin","given":"Matthias"},{"family":"Radan","given":"Julia"},{"family":"Mokelke","given":"Maren"},{"family":"Buttgereit","given":"Ines"},{"family":"Ying","given":"Jiawei"},{"family":"Fresch","given":"Ann Kathrin"},{"family":"Mayr","given":"Tanja"},{"family":"Issl","given":"Lara"},{"family":"Buchholz","given":"Stefan"},{"family":"Michel","given":"Sebastian"},{"family":"Ellgass","given":"Reinhard"},{"family":"Mihalj","given":"Maks"},{"family":"Egerer","given":"Stefanie"},{"family":"Baehr","given":"Andrea"},{"family":"Kessler","given":"Barbara"},{"family":"Kemter","given":"Elisabeth"},{"family":"Kurome","given":"Mayuko"},{"family":"Zakhartchenko","given":"Valeri"},{"family":"Steen","given":"Stig"},{"family":"Sjöberg","given":"Trygve"},{"family":"Paskevicius","given":"Audrius"},{"family":"Krüger","given":"Luise"},{"family":"Fiebig","given":"Uwe"},{"family":"Denner","given":"Joachim"},{"family":"Godehardt","given":"Antonia W."},{"family":"Tönjes","given":"Ralf R."},{"family":"Milusev","given":"Anastasia"},{"family":"Rieben","given":"Robert"},{"family":"Sfriso","given":"Riccardo"},{"family":"Walz","given":"Christoph"},{"family":"Kirchner","given":"Thomas"},{"family":"Ayares","given":"David"},{"family":"Lampe","given":"Karen"},{"family":"Schönmann","given":"Uwe"},{"family":"Hagl","given":"Christian"},{"family":"Wolf","given":"Eckhard"},{"family":"Klymiuk","given":"Nikolai"},{"family":"Abicht","given":"Jan-Michael"},{"family":"Brenner","given":"Paolo"}],"issued":{"date-parts":[["2020",8]]}}}],"schema":"https://github.com/citation-style-language/schema/raw/master/csl-citation.json"} </w:instrText>
            </w:r>
            <w:r w:rsidRPr="006541ED">
              <w:rPr>
                <w:rFonts w:ascii="Arial" w:hAnsi="Arial" w:cs="Arial"/>
                <w:lang w:val="en-US"/>
              </w:rPr>
              <w:fldChar w:fldCharType="separate"/>
            </w:r>
            <w:r w:rsidRPr="003B08F6">
              <w:rPr>
                <w:rFonts w:ascii="Arial" w:hAnsi="Arial" w:cs="Arial"/>
                <w:szCs w:val="24"/>
                <w:vertAlign w:val="superscript"/>
              </w:rPr>
              <w:t>87</w:t>
            </w:r>
            <w:r w:rsidRPr="006541ED">
              <w:rPr>
                <w:rFonts w:ascii="Arial" w:hAnsi="Arial" w:cs="Arial"/>
              </w:rPr>
              <w:fldChar w:fldCharType="end"/>
            </w:r>
            <w:proofErr w:type="spellStart"/>
            <w:r w:rsidRPr="006541ED">
              <w:rPr>
                <w:rFonts w:ascii="Arial" w:hAnsi="Arial" w:cs="Arial"/>
                <w:lang w:val="en-US"/>
              </w:rPr>
              <w:t>Reichart</w:t>
            </w:r>
            <w:proofErr w:type="spellEnd"/>
            <w:r w:rsidRPr="006541ED">
              <w:rPr>
                <w:rFonts w:ascii="Arial" w:hAnsi="Arial" w:cs="Arial"/>
                <w:lang w:val="en-US"/>
              </w:rPr>
              <w:t xml:space="preserve"> et al</w:t>
            </w:r>
          </w:p>
          <w:p w:rsidR="00626626" w:rsidRPr="006541ED" w:rsidRDefault="00626626" w:rsidP="004C77DD">
            <w:pPr>
              <w:spacing w:after="200" w:line="276" w:lineRule="auto"/>
              <w:rPr>
                <w:rFonts w:ascii="Arial" w:hAnsi="Arial" w:cs="Arial"/>
                <w:lang w:val="en-US"/>
              </w:rPr>
            </w:pPr>
            <w:r w:rsidRPr="006541ED">
              <w:rPr>
                <w:rFonts w:ascii="Arial" w:hAnsi="Arial" w:cs="Arial"/>
                <w:lang w:val="en-US"/>
              </w:rPr>
              <w:fldChar w:fldCharType="begin"/>
            </w:r>
            <w:r>
              <w:rPr>
                <w:rFonts w:ascii="Arial" w:hAnsi="Arial" w:cs="Arial"/>
                <w:lang w:val="en-US"/>
              </w:rPr>
              <w:instrText xml:space="preserve"> ADDIN ZOTERO_ITEM CSL_CITATION {"citationID":"Crn3GUhA","properties":{"formattedCitation":"\\super 88\\nosupersub{}","plainCitation":"88","noteIndex":0},"citationItems":[{"id":2544,"uris":["http://zotero.org/users/local/LubVEyAS/items/S3A7UB3S"],"itemData":{"id":2544,"type":"article-journal","abstract":"A 57-year-old man with nonischemic cardiomyopathy who was dependent on venoarterial extracorporeal membrane oxygenation (ECMO) and was not a candidate for standard therapeutics, including a traditional allograft, received a heart from a genetically modified pig source animal that had 10 individual gene edits. Immunosuppression was based on CD40 blockade. The patient was weaned from ECMO, and the xenograft functioned normally without apparent rejection. Sudden diastolic thickening and failure of the xenograft occurred on day 49 after transplantation, and life support was withdrawn on day 60. On autopsy, the xenograft was found to be edematous, having nearly doubled in weight. Histologic examination revealed scattered myocyte necrosis, interstitial edema, and red-cell extravasation, without evidence of microvascular thrombosis - findings that were not consistent with typical rejection. Studies are under way to identify the mechanisms responsible for these changes. (Funded by the University of Maryland Medical Center and School of Medicine.).","container-title":"The New England Journal of Medicine","DOI":"10.1056/NEJMoa2201422","ISSN":"1533-4406","issue":"1","journalAbbreviation":"N Engl J Med","language":"eng","note":"PMID: 35731912","page":"35-44","source":"PubMed","title":"Genetically Modified Porcine-to-Human Cardiac Xenotransplantation","volume":"387","author":[{"family":"Griffith","given":"Bartley P."},{"family":"Goerlich","given":"Corbin E."},{"family":"Singh","given":"Avneesh K."},{"family":"Rothblatt","given":"Martine"},{"family":"Lau","given":"Christine L."},{"family":"Shah","given":"Aakash"},{"family":"Lorber","given":"Marc"},{"family":"Grazioli","given":"Alison"},{"family":"Saharia","given":"Kapil K."},{"family":"Hong","given":"Susie N."},{"family":"Joseph","given":"Susan M."},{"family":"Ayares","given":"David"},{"family":"Mohiuddin","given":"Muhammad M."}],"issued":{"date-parts":[["2022",7,7]]}}}],"schema":"https://github.com/citation-style-language/schema/raw/master/csl-citation.json"} </w:instrText>
            </w:r>
            <w:r w:rsidRPr="006541ED">
              <w:rPr>
                <w:rFonts w:ascii="Arial" w:hAnsi="Arial" w:cs="Arial"/>
                <w:lang w:val="en-US"/>
              </w:rPr>
              <w:fldChar w:fldCharType="separate"/>
            </w:r>
            <w:r w:rsidRPr="003B08F6">
              <w:rPr>
                <w:rFonts w:ascii="Arial" w:hAnsi="Arial" w:cs="Arial"/>
                <w:szCs w:val="24"/>
                <w:vertAlign w:val="superscript"/>
              </w:rPr>
              <w:t>88</w:t>
            </w:r>
            <w:r w:rsidRPr="006541ED">
              <w:rPr>
                <w:rFonts w:ascii="Arial" w:hAnsi="Arial" w:cs="Arial"/>
              </w:rPr>
              <w:fldChar w:fldCharType="end"/>
            </w:r>
            <w:r w:rsidRPr="006541ED">
              <w:rPr>
                <w:rFonts w:ascii="Arial" w:hAnsi="Arial" w:cs="Arial"/>
                <w:lang w:val="en-US"/>
              </w:rPr>
              <w:t>Griffith</w:t>
            </w:r>
          </w:p>
        </w:tc>
      </w:tr>
      <w:tr w:rsidR="00626626" w:rsidRPr="006541ED" w:rsidTr="004C77DD">
        <w:tc>
          <w:tcPr>
            <w:tcW w:w="1605" w:type="dxa"/>
            <w:vMerge/>
          </w:tcPr>
          <w:p w:rsidR="00626626" w:rsidRPr="006541ED" w:rsidRDefault="00626626" w:rsidP="004C77DD">
            <w:pPr>
              <w:spacing w:after="200" w:line="276" w:lineRule="auto"/>
              <w:rPr>
                <w:rFonts w:ascii="Arial" w:hAnsi="Arial" w:cs="Arial"/>
                <w:lang w:val="en-US"/>
              </w:rPr>
            </w:pPr>
          </w:p>
        </w:tc>
        <w:tc>
          <w:tcPr>
            <w:tcW w:w="1606" w:type="dxa"/>
          </w:tcPr>
          <w:p w:rsidR="00626626" w:rsidRPr="006541ED" w:rsidRDefault="00626626" w:rsidP="004C77DD">
            <w:pPr>
              <w:spacing w:after="200" w:line="276" w:lineRule="auto"/>
              <w:rPr>
                <w:rFonts w:ascii="Arial" w:hAnsi="Arial" w:cs="Arial"/>
                <w:lang w:val="en-US"/>
              </w:rPr>
            </w:pPr>
            <w:r w:rsidRPr="006541ED">
              <w:rPr>
                <w:rFonts w:ascii="Arial" w:hAnsi="Arial" w:cs="Arial"/>
                <w:lang w:val="en-US"/>
              </w:rPr>
              <w:t>Chimeras</w:t>
            </w:r>
          </w:p>
        </w:tc>
        <w:tc>
          <w:tcPr>
            <w:tcW w:w="1746" w:type="dxa"/>
          </w:tcPr>
          <w:p w:rsidR="00626626" w:rsidRPr="006541ED" w:rsidRDefault="00626626" w:rsidP="004C77DD">
            <w:pPr>
              <w:spacing w:after="200" w:line="276" w:lineRule="auto"/>
              <w:rPr>
                <w:rFonts w:ascii="Arial" w:hAnsi="Arial" w:cs="Arial"/>
                <w:lang w:val="en-US"/>
              </w:rPr>
            </w:pPr>
            <w:r w:rsidRPr="006541ED">
              <w:rPr>
                <w:rFonts w:ascii="Arial" w:hAnsi="Arial" w:cs="Arial"/>
                <w:lang w:val="en-US"/>
              </w:rPr>
              <w:t>Transplantation of humanized heart grown in animal</w:t>
            </w:r>
          </w:p>
        </w:tc>
        <w:tc>
          <w:tcPr>
            <w:tcW w:w="1465" w:type="dxa"/>
          </w:tcPr>
          <w:p w:rsidR="00626626" w:rsidRPr="006541ED" w:rsidRDefault="00626626" w:rsidP="004C77DD">
            <w:pPr>
              <w:spacing w:after="200" w:line="276" w:lineRule="auto"/>
              <w:rPr>
                <w:rFonts w:ascii="Arial" w:hAnsi="Arial" w:cs="Arial"/>
                <w:lang w:val="en-US"/>
              </w:rPr>
            </w:pPr>
            <w:r w:rsidRPr="006541ED">
              <w:rPr>
                <w:rFonts w:ascii="Arial" w:hAnsi="Arial" w:cs="Arial"/>
                <w:lang w:val="en-US"/>
              </w:rPr>
              <w:t>End-stage HF</w:t>
            </w:r>
          </w:p>
        </w:tc>
        <w:tc>
          <w:tcPr>
            <w:tcW w:w="1606" w:type="dxa"/>
          </w:tcPr>
          <w:p w:rsidR="00626626" w:rsidRPr="006541ED" w:rsidRDefault="00626626" w:rsidP="004C77DD">
            <w:pPr>
              <w:spacing w:after="200" w:line="276" w:lineRule="auto"/>
              <w:rPr>
                <w:rFonts w:ascii="Arial" w:hAnsi="Arial" w:cs="Arial"/>
                <w:lang w:val="en-US"/>
              </w:rPr>
            </w:pPr>
            <w:r w:rsidRPr="006541ED">
              <w:rPr>
                <w:rFonts w:ascii="Arial" w:hAnsi="Arial" w:cs="Arial"/>
                <w:lang w:val="en-US"/>
              </w:rPr>
              <w:t>Pre-clinical studies</w:t>
            </w:r>
          </w:p>
        </w:tc>
        <w:tc>
          <w:tcPr>
            <w:tcW w:w="1606" w:type="dxa"/>
          </w:tcPr>
          <w:p w:rsidR="00626626" w:rsidRPr="006541ED" w:rsidRDefault="00626626" w:rsidP="004C77DD">
            <w:pPr>
              <w:spacing w:after="200" w:line="276" w:lineRule="auto"/>
              <w:rPr>
                <w:rFonts w:ascii="Arial" w:hAnsi="Arial" w:cs="Arial"/>
                <w:lang w:val="en-US"/>
              </w:rPr>
            </w:pPr>
            <w:r w:rsidRPr="006541ED">
              <w:rPr>
                <w:rFonts w:ascii="Arial" w:hAnsi="Arial" w:cs="Arial"/>
                <w:lang w:val="en-US"/>
              </w:rPr>
              <w:fldChar w:fldCharType="begin"/>
            </w:r>
            <w:r>
              <w:rPr>
                <w:rFonts w:ascii="Arial" w:hAnsi="Arial" w:cs="Arial"/>
                <w:lang w:val="en-US"/>
              </w:rPr>
              <w:instrText xml:space="preserve"> ADDIN ZOTERO_ITEM CSL_CITATION {"citationID":"hABpdYhD","properties":{"formattedCitation":"\\super 89\\nosupersub{}","plainCitation":"89","noteIndex":0},"citationItems":[{"id":"QA7nzKt7/VxGJJtaL","uris":["http://zotero.org/users/5806739/items/ABWMHER4"],"itemData":{"id":4452,"type":"article-journal","container-title":"Circulation Research","DOI":"10.1161/CIRCRESAHA.118.314189","ISSN":"1524-4571","issue":"1","journalAbbreviation":"Circ Res","language":"eng","note":"PMID: 30605408","page":"23-25","source":"PubMed","title":"Interspecies Chimeras and the Generation of Humanized Organs","volume":"124","author":[{"family":"Garry","given":"Daniel J."},{"family":"Garry","given":"Mary G."}],"issued":{"date-parts":[["2019",1,4]]}}}],"schema":"https://github.com/citation-style-language/schema/raw/master/csl-citation.json"} </w:instrText>
            </w:r>
            <w:r w:rsidRPr="006541ED">
              <w:rPr>
                <w:rFonts w:ascii="Arial" w:hAnsi="Arial" w:cs="Arial"/>
                <w:lang w:val="en-US"/>
              </w:rPr>
              <w:fldChar w:fldCharType="separate"/>
            </w:r>
            <w:r w:rsidRPr="003B08F6">
              <w:rPr>
                <w:rFonts w:ascii="Arial" w:hAnsi="Arial" w:cs="Arial"/>
                <w:szCs w:val="24"/>
                <w:vertAlign w:val="superscript"/>
              </w:rPr>
              <w:t>89</w:t>
            </w:r>
            <w:r w:rsidRPr="006541ED">
              <w:rPr>
                <w:rFonts w:ascii="Arial" w:hAnsi="Arial" w:cs="Arial"/>
              </w:rPr>
              <w:fldChar w:fldCharType="end"/>
            </w:r>
            <w:r w:rsidRPr="006541ED">
              <w:rPr>
                <w:rFonts w:ascii="Arial" w:hAnsi="Arial" w:cs="Arial"/>
                <w:lang w:val="en-US"/>
              </w:rPr>
              <w:t>Garry et al</w:t>
            </w:r>
          </w:p>
        </w:tc>
      </w:tr>
      <w:tr w:rsidR="00626626" w:rsidRPr="006541ED" w:rsidTr="004C77DD">
        <w:tc>
          <w:tcPr>
            <w:tcW w:w="1605" w:type="dxa"/>
            <w:vMerge w:val="restart"/>
          </w:tcPr>
          <w:p w:rsidR="00626626" w:rsidRPr="006541ED" w:rsidRDefault="00626626" w:rsidP="004C77DD">
            <w:pPr>
              <w:spacing w:after="200" w:line="276" w:lineRule="auto"/>
              <w:rPr>
                <w:rFonts w:ascii="Arial" w:hAnsi="Arial" w:cs="Arial"/>
                <w:lang w:val="en-US"/>
              </w:rPr>
            </w:pPr>
            <w:r w:rsidRPr="006541ED">
              <w:rPr>
                <w:rFonts w:ascii="Arial" w:hAnsi="Arial" w:cs="Arial"/>
                <w:lang w:val="en-US"/>
              </w:rPr>
              <w:t>Genetic correction therapy</w:t>
            </w:r>
          </w:p>
        </w:tc>
        <w:tc>
          <w:tcPr>
            <w:tcW w:w="1606" w:type="dxa"/>
          </w:tcPr>
          <w:p w:rsidR="00626626" w:rsidRPr="006541ED" w:rsidRDefault="00626626" w:rsidP="004C77DD">
            <w:pPr>
              <w:spacing w:after="200" w:line="276" w:lineRule="auto"/>
              <w:rPr>
                <w:rFonts w:ascii="Arial" w:hAnsi="Arial" w:cs="Arial"/>
                <w:lang w:val="en-US"/>
              </w:rPr>
            </w:pPr>
            <w:r w:rsidRPr="006541ED">
              <w:rPr>
                <w:rFonts w:ascii="Arial" w:hAnsi="Arial" w:cs="Arial"/>
                <w:lang w:val="en-US"/>
              </w:rPr>
              <w:t>Gene therapy</w:t>
            </w:r>
          </w:p>
        </w:tc>
        <w:tc>
          <w:tcPr>
            <w:tcW w:w="1746" w:type="dxa"/>
          </w:tcPr>
          <w:p w:rsidR="00626626" w:rsidRPr="006541ED" w:rsidRDefault="00626626" w:rsidP="004C77DD">
            <w:pPr>
              <w:spacing w:after="200" w:line="276" w:lineRule="auto"/>
              <w:rPr>
                <w:rFonts w:ascii="Arial" w:hAnsi="Arial" w:cs="Arial"/>
                <w:lang w:val="en-US"/>
              </w:rPr>
            </w:pPr>
            <w:r w:rsidRPr="006541ED">
              <w:rPr>
                <w:rFonts w:ascii="Arial" w:hAnsi="Arial" w:cs="Arial"/>
                <w:lang w:val="en-US"/>
              </w:rPr>
              <w:t>(Viral) delivery to increase expression</w:t>
            </w:r>
          </w:p>
        </w:tc>
        <w:tc>
          <w:tcPr>
            <w:tcW w:w="1465" w:type="dxa"/>
          </w:tcPr>
          <w:p w:rsidR="00626626" w:rsidRPr="006541ED" w:rsidRDefault="00626626" w:rsidP="004C77DD">
            <w:pPr>
              <w:spacing w:after="200" w:line="276" w:lineRule="auto"/>
              <w:rPr>
                <w:rFonts w:ascii="Arial" w:hAnsi="Arial" w:cs="Arial"/>
                <w:lang w:val="en-US"/>
              </w:rPr>
            </w:pPr>
            <w:proofErr w:type="spellStart"/>
            <w:r w:rsidRPr="006541ED">
              <w:rPr>
                <w:rFonts w:ascii="Arial" w:hAnsi="Arial" w:cs="Arial"/>
                <w:lang w:val="en-US"/>
              </w:rPr>
              <w:t>HFrEF</w:t>
            </w:r>
            <w:proofErr w:type="spellEnd"/>
          </w:p>
        </w:tc>
        <w:tc>
          <w:tcPr>
            <w:tcW w:w="1606" w:type="dxa"/>
          </w:tcPr>
          <w:p w:rsidR="00626626" w:rsidRPr="006541ED" w:rsidRDefault="00626626" w:rsidP="004C77DD">
            <w:pPr>
              <w:spacing w:after="200" w:line="276" w:lineRule="auto"/>
              <w:rPr>
                <w:rFonts w:ascii="Arial" w:hAnsi="Arial" w:cs="Arial"/>
                <w:lang w:val="en-US"/>
              </w:rPr>
            </w:pPr>
            <w:r w:rsidRPr="006541ED">
              <w:rPr>
                <w:rFonts w:ascii="Arial" w:hAnsi="Arial" w:cs="Arial"/>
                <w:lang w:val="nl-NL"/>
              </w:rPr>
              <w:t>Clinical trials</w:t>
            </w:r>
          </w:p>
        </w:tc>
        <w:tc>
          <w:tcPr>
            <w:tcW w:w="1606" w:type="dxa"/>
          </w:tcPr>
          <w:p w:rsidR="00626626" w:rsidRPr="006541ED" w:rsidRDefault="00626626" w:rsidP="004C77DD">
            <w:pPr>
              <w:numPr>
                <w:ilvl w:val="0"/>
                <w:numId w:val="1"/>
              </w:numPr>
              <w:spacing w:after="200" w:line="276" w:lineRule="auto"/>
              <w:rPr>
                <w:rFonts w:ascii="Arial" w:hAnsi="Arial" w:cs="Arial"/>
                <w:lang w:val="en-US"/>
              </w:rPr>
            </w:pPr>
            <w:r w:rsidRPr="006541ED">
              <w:rPr>
                <w:rFonts w:ascii="Arial" w:hAnsi="Arial" w:cs="Arial"/>
                <w:lang w:val="en-US"/>
              </w:rPr>
              <w:fldChar w:fldCharType="begin"/>
            </w:r>
            <w:r>
              <w:rPr>
                <w:rFonts w:ascii="Arial" w:hAnsi="Arial" w:cs="Arial"/>
                <w:lang w:val="en-US"/>
              </w:rPr>
              <w:instrText xml:space="preserve"> ADDIN ZOTERO_ITEM CSL_CITATION {"citationID":"7ckha5qw","properties":{"formattedCitation":"\\super 90\\nosupersub{}","plainCitation":"90","noteIndex":0},"citationItems":[{"id":"QA7nzKt7/ehp5QOG7","uris":["http://zotero.org/users/5806739/items/S83C8ZAU"],"itemData":{"id":4455,"type":"article-journal","abstract":"BACKGROUND: Sarcoplasmic/endoplasmic reticulum Ca(2+)-ATPase (SERCA2a) activity is deficient in the failing heart. Correction of this abnormality by gene transfer might improve cardiac function. We aimed to investigate the clinical benefits and safety of gene therapy through infusion of adeno-associated virus 1 (AAV1)/SERCA2a in patients with heart failure and reduced ejection fraction.\nMETHODS: We did this randomised, multinational, double-blind, placebo-controlled, phase 2b trial at 67 clinical centres and hospitals in the USA, Europe, and Israel. High-risk ambulatory patients with New York Heart Association class II-IV symptoms of heart failure and a left ventricular ejection fraction of 0·35 or less due to an ischaemic or non-ischaemic cause were randomly assigned (1:1), via an interactive voice and web-response system, to receive a single intracoronary infusion of 1 × 10(13) DNase-resistant particles of AAV1/SERCA2a or placebo. Randomisation was stratified by country and by 6 min walk test distance. All patients, physicians, and outcome assessors were masked to treatment assignment. The primary efficacy endpoint was time to recurrent events, defined as hospital admission because of heart failure or ambulatory treatment for worsening heart failure. Primary efficacy endpoint analyses and safety analyses were done by modified intention to treat. This trial is registered with ClinicalTrials.gov, number NCT01643330.\nFINDINGS: Between July 9, 2012, and Feb 5, 2014, we randomly assigned 250 patients to receive either AAV1/SERCA2a (n=123) or placebo (n=127); 243 (97%) patients comprised the modified intention-to-treat population. Patients were followed up for at least 12 months; median follow-up was 17·5 months (range 1·8-29·4 months). AAV1/SERCA2a did not improve time to recurrent events compared with placebo (104 vs 128 events; hazard ratio 0·93, 95% CI 0·53-1·65; p=0·81). No safety signals were noted. 20 (16%) patients died in the placebo group and 25 (21%) patients died in the AAV1/SERCA2a group; 18 and 22 deaths, respectively, were adjudicated as being due to cardiovascular causes.\nINTERPRETATION: CUPID 2 is the largest gene transfer study done in patients with heart failure so far. Despite promising results from previous studies, AAV1/SERCA2a at the dose tested did not improve the clinical course of patients with heart failure and reduced ejection fraction. Although we did not find evidence of improved outcomes at the dose of AAV1/SERCA2a studied, our findings should stimulate further research into the use of gene therapy to treat patients with heart failure and help inform the design of future gene therapy trials.\nFUNDING: Celladon Corporation.","container-title":"Lancet (London, England)","DOI":"10.1016/S0140-6736(16)00082-9","ISSN":"1474-547X","issue":"10024","journalAbbreviation":"Lancet","language":"eng","note":"PMID: 26803443","page":"1178-1186","source":"PubMed","title":"Calcium upregulation by percutaneous administration of gene therapy in patients with cardiac disease (CUPID 2): a randomised, multinational, double-blind, placebo-controlled, phase 2b trial","title-short":"Calcium upregulation by percutaneous administration of gene therapy in patients with cardiac disease (CUPID 2)","volume":"387","author":[{"family":"Greenberg","given":"Barry"},{"family":"Butler","given":"Javed"},{"family":"Felker","given":"G. Michael"},{"family":"Ponikowski","given":"Piotr"},{"family":"Voors","given":"Adriaan A."},{"family":"Desai","given":"Akshay S."},{"family":"Barnard","given":"Denise"},{"family":"Bouchard","given":"Alain"},{"family":"Jaski","given":"Brian"},{"family":"Lyon","given":"Alexander R."},{"family":"Pogoda","given":"Janice M."},{"family":"Rudy","given":"Jeffrey J."},{"family":"Zsebo","given":"Krisztina M."}],"issued":{"date-parts":[["2016",3,19]]}}}],"schema":"https://github.com/citation-style-language/schema/raw/master/csl-citation.json"} </w:instrText>
            </w:r>
            <w:r w:rsidRPr="006541ED">
              <w:rPr>
                <w:rFonts w:ascii="Arial" w:hAnsi="Arial" w:cs="Arial"/>
                <w:lang w:val="en-US"/>
              </w:rPr>
              <w:fldChar w:fldCharType="separate"/>
            </w:r>
            <w:r w:rsidRPr="003B08F6">
              <w:rPr>
                <w:rFonts w:ascii="Arial" w:hAnsi="Arial" w:cs="Arial"/>
                <w:szCs w:val="24"/>
                <w:vertAlign w:val="superscript"/>
              </w:rPr>
              <w:t>90</w:t>
            </w:r>
            <w:r w:rsidRPr="006541ED">
              <w:rPr>
                <w:rFonts w:ascii="Arial" w:hAnsi="Arial" w:cs="Arial"/>
              </w:rPr>
              <w:fldChar w:fldCharType="end"/>
            </w:r>
            <w:r w:rsidRPr="006541ED">
              <w:rPr>
                <w:rFonts w:ascii="Arial" w:hAnsi="Arial" w:cs="Arial"/>
                <w:lang w:val="en-US"/>
              </w:rPr>
              <w:t>Greenberg et al</w:t>
            </w:r>
          </w:p>
          <w:p w:rsidR="00626626" w:rsidRPr="006541ED" w:rsidRDefault="00626626" w:rsidP="004C77DD">
            <w:pPr>
              <w:numPr>
                <w:ilvl w:val="0"/>
                <w:numId w:val="1"/>
              </w:numPr>
              <w:spacing w:after="200" w:line="276" w:lineRule="auto"/>
              <w:rPr>
                <w:rFonts w:ascii="Arial" w:hAnsi="Arial" w:cs="Arial"/>
                <w:lang w:val="en-US"/>
              </w:rPr>
            </w:pPr>
            <w:r w:rsidRPr="006541ED">
              <w:rPr>
                <w:rFonts w:ascii="Arial" w:hAnsi="Arial" w:cs="Arial"/>
                <w:lang w:val="en-US"/>
              </w:rPr>
              <w:fldChar w:fldCharType="begin"/>
            </w:r>
            <w:r>
              <w:rPr>
                <w:rFonts w:ascii="Arial" w:hAnsi="Arial" w:cs="Arial"/>
                <w:lang w:val="en-US"/>
              </w:rPr>
              <w:instrText xml:space="preserve"> ADDIN ZOTERO_ITEM CSL_CITATION {"citationID":"sv6muXA8","properties":{"formattedCitation":"\\super 91\\nosupersub{}","plainCitation":"91","noteIndex":0},"citationItems":[{"id":"QA7nzKt7/Qa2HDKiW","uris":["http://zotero.org/users/5806739/items/FQAUH63A"],"itemData":{"id":4457,"type":"article-journal","abstract":"BACKGROUND: Stromal cell-derived factor-1 (SDF-1) promotes tissue repair through mechanisms of cell survival, endogenous stem cell recruitment, and vasculogenesis. Stromal Cell-Derived Factor-1 Plasmid Treatment for Patients with Heart Failure (STOP-HF) is a Phase II, double-blind, randomized, placebo-controlled trial to evaluate safety and efficacy of a single treatment of plasmid stromal cell-derived factor-1 (pSDF-1) delivered via endomyocardial injection to patients with ischaemic heart failure (IHF).\nMETHODS: Ninety-three subjects with IHF on stable guideline-based medical therapy and left ventricular ejection fraction (LVEF) ≤40%, completed Minnesota Living with Heart Failure Questionnaire (MLWHFQ) and 6-min walk distance (6 MWD), were randomized 1 : 1 : 1 to receive a single treatment of either a 15 or 30 mg dose of pSDF-1 or placebo via endomyocardial injections. Safety and efficacy parameters were assessed at 4 and 12 months after injection. Left ventricular functional and structural measures were assessed by contrast echocardiography and quantified by a blinded independent core laboratory. Stromal Cell-Derived Factor-1 Plasmid Treatment for Patients with Heart Failure was powered based on change in 6 MWD and MLWHFQ at 4 months.\nRESULTS: Subject profiles at baseline were (mean ± SD): age 65 ± 9 years, LVEF 28 ± 7%, left ventricular end-systolic volume (LVESV) 167 ± 66 mL, N-terminal pro brain natriuretic peptide (BNP) (NTproBNP) 1120 ± 1084 pg/mL, MLWHFQ 50 ± 20 points, and 6 MWD 289 ± 99 m. Patients were 11 ± 9 years post most recent myocardial infarction. Study injections were delivered without serious adverse events in all subjects. Sixty-two patients received drug with no unanticipated serious product-related adverse events. The primary endpoint was a composite of change in 6 MWD and MLWHFQ from baseline to 4 months follow-up. The primary endpoint was not met (P = 0.89). For the patients treated with pSDF-1, there was a trend toward an improvement in LVEF at 12 months (placebo vs. 15 mg vs. 30 mg ΔLVEF: -2 vs. -0.5 vs. 1.5%, P = 0.20). A pre-specified analysis of the effects of pSDF-1 based on tertiles of LVEF at entry revealed improvements in EF and LVESV from lowest-to-highest LVEF. Patients in the first tertile of EF (&lt;26%) that received 30 mg of pSDF-1 demonstrated a 7% increase in EF compared with a 4% decrease in placebo (ΔLVEF = 11%, P = 0.01) at 12 months. There was also a trend towards improvement in LVESV, with treated patients demonstrating an 18.5 mL decrease compared with a 15 mL increase for placebo at 12 months (ΔLVESV = 33.5 mL, P = 0.12). The change in end-diastolic and end-systolic volume equated to a 14 mL increase in stroke volume in the patients treated with 30 mg of pSDF-1 compared with a decrease of -11 mL in the placebo group (ΔSV = 25 mL, P = 0.09). In addition, the 30 mg-treated cohort exhibited a trend towards improvement in NTproBNP compared with placebo at 12 months (-784 pg/mL, P = 0.23).\nCONCLUSIONS: The blinded placebo-controlled STOP-HF trial demonstrated the safety of a single endocardial administration of pSDF-1 but failed to demonstrate its primary endpoint of improved composite score at 4 months after treatment. Through a pre-specified analysis the STOP-HF trial demonstrates the potential for attenuating LV remodelling and improving EF in high-risk ischaemic cardiomyopathy. The safety profile supports repeat dosing with pSDF-1 and the degree of left ventricular remodelling suggests the potential for improved outcomes in larger future trials.","container-title":"European Heart Journal","DOI":"10.1093/eurheartj/ehv254","ISSN":"1522-9645","issue":"33","journalAbbreviation":"Eur Heart J","language":"eng","note":"PMID: 26056125\nPMCID: PMC4554960","page":"2228-2238","source":"PubMed","title":"Changes in ventricular remodelling and clinical status during the year following a single administration of stromal cell-derived factor-1 non-viral gene therapy in chronic ischaemic heart failure patients: the STOP-HF randomized Phase II trial","title-short":"Changes in ventricular remodelling and clinical status during the year following a single administration of stromal cell-derived factor-1 non-viral gene therapy in chronic ischaemic heart failure patients","volume":"36","author":[{"family":"Chung","given":"Eugene S."},{"family":"Miller","given":"Leslie"},{"family":"Patel","given":"Amit N."},{"family":"Anderson","given":"Russell David"},{"family":"Mendelsohn","given":"Farrell O."},{"family":"Traverse","given":"Jay"},{"family":"Silver","given":"Kevin H."},{"family":"Shin","given":"Julia"},{"family":"Ewald","given":"Gregory"},{"family":"Farr","given":"Mary Jane"},{"family":"Anwaruddin","given":"Saif"},{"family":"Plat","given":"Francis"},{"family":"Fisher","given":"Scott J."},{"family":"AuWerter","given":"Alexander T."},{"family":"Pastore","given":"Joseph M."},{"family":"Aras","given":"Rahul"},{"family":"Penn","given":"Marc S."}],"issued":{"date-parts":[["2015",9,1]]}}}],"schema":"https://github.com/citation-style-language/schema/raw/master/csl-citation.json"} </w:instrText>
            </w:r>
            <w:r w:rsidRPr="006541ED">
              <w:rPr>
                <w:rFonts w:ascii="Arial" w:hAnsi="Arial" w:cs="Arial"/>
                <w:lang w:val="en-US"/>
              </w:rPr>
              <w:fldChar w:fldCharType="separate"/>
            </w:r>
            <w:r w:rsidRPr="003B08F6">
              <w:rPr>
                <w:rFonts w:ascii="Arial" w:hAnsi="Arial" w:cs="Arial"/>
                <w:szCs w:val="24"/>
                <w:vertAlign w:val="superscript"/>
              </w:rPr>
              <w:t>91</w:t>
            </w:r>
            <w:r w:rsidRPr="006541ED">
              <w:rPr>
                <w:rFonts w:ascii="Arial" w:hAnsi="Arial" w:cs="Arial"/>
              </w:rPr>
              <w:fldChar w:fldCharType="end"/>
            </w:r>
            <w:r w:rsidRPr="006541ED">
              <w:rPr>
                <w:rFonts w:ascii="Arial" w:hAnsi="Arial" w:cs="Arial"/>
                <w:lang w:val="en-US"/>
              </w:rPr>
              <w:t>Chung et al</w:t>
            </w:r>
          </w:p>
          <w:p w:rsidR="00626626" w:rsidRPr="006541ED" w:rsidRDefault="00626626" w:rsidP="004C77DD">
            <w:pPr>
              <w:numPr>
                <w:ilvl w:val="0"/>
                <w:numId w:val="1"/>
              </w:numPr>
              <w:spacing w:after="200" w:line="276" w:lineRule="auto"/>
              <w:rPr>
                <w:rFonts w:ascii="Arial" w:hAnsi="Arial" w:cs="Arial"/>
                <w:lang w:val="en-US"/>
              </w:rPr>
            </w:pPr>
            <w:r w:rsidRPr="006541ED">
              <w:rPr>
                <w:rFonts w:ascii="Arial" w:hAnsi="Arial" w:cs="Arial"/>
                <w:lang w:val="en-US"/>
              </w:rPr>
              <w:fldChar w:fldCharType="begin"/>
            </w:r>
            <w:r>
              <w:rPr>
                <w:rFonts w:ascii="Arial" w:hAnsi="Arial" w:cs="Arial"/>
                <w:lang w:val="en-US"/>
              </w:rPr>
              <w:instrText xml:space="preserve"> ADDIN ZOTERO_ITEM CSL_CITATION {"citationID":"jxbhFvxb","properties":{"formattedCitation":"\\super 92\\nosupersub{}","plainCitation":"92","noteIndex":0},"citationItems":[{"id":"QA7nzKt7/ywZxvhqT","uris":["http://zotero.org/users/5806739/items/5MZSSXXD"],"itemData":{"id":4460,"type":"article-journal","abstract":"IMPORTANCE: Gene transfer has rarely been tested in randomized clinical trials.\nOBJECTIVE: To evaluate the safety and efficacy of intracoronary delivery of adenovirus 5 encoding adenylyl cyclase 6 (Ad5.hAC6) in heart failure.\nDESIGN, SETTING, AND PARTICIPANTS: A randomized, double-blind, placebo-controlled, phase 2 clinical trial was conducted in US medical centers (randomization occurred from July 19, 2010, to October 30, 2014). Participants 18 to 80 years with symptomatic heart failure (ischemic and nonischemic) and an ejection fraction (EF) of 40% or less were screened; 86 individuals were enrolled, and 56 were randomized. Data analysis was of the intention-to-treat population. Participants underwent exercise testing and measurement of left ventricular EF (echocardiography) and then cardiac catheterization, where left ventricular pressure development (+dP/dt) and decline (-dP/dt) were recorded. Participants were randomized (3:1 ratio) to receive 1 of 5 doses of intracoronary Ad5.hAC6 or placebo. Participants underwent a second catheterization 4 weeks later for measurement of dP/dt. Exercise testing and EF were assessed 4 and 12 weeks after randomization.\nINTERVENTIONS: Intracoronary administration of Ad5.hAC6 (3.2 × 109 to 1012 virus particles) or placebo.\nMAIN OUTCOMES AND MEASURES: Primary end points included exercise duration and EF before and 4 and 12 weeks after randomization and peak rates of +dP/dt and -dP/dt before and 4 weeks after randomization. Fourteen placebo participants were compared (intention to treat) with 24 Ad5.hAC6 participants receiving the highest 2 doses (D4 + 5).\nRESULTS: Fifty-six individuals were randomized and monitored for up to 1 year. Forty-two participants (75%) received Ad5.hAC6 (mean [SE] age, 63 [1] years; EF, 30% [1%]), and 14 individuals (25%) received placebo (age, 62 [1] years; EF, 30% [2%]). Exercise duration showed no significant group differences (4 weeks, P = .27; 12 weeks, P = .47, respectively). The D4 + 5 participants had increased EF at 4 weeks (+6.0 [1.7] EF units; n = 21; P &lt; .004), but not 12 weeks (+3.0 [2.4] EF units; n = 21; P = .16). Placebo participants showed no increase in EF at 4 weeks or 12 weeks. Exercise duration showed no between-group differences (4-week change from baseline: placebo, 27 [36] seconds; D4 + 5, 44 [25] seconds; P = .27; 12-week change from baseline: placebo, 44 [28] seconds; D4 + 5, 58 [29 seconds, P = .47). AC6 gene transfer increased basal left ventricular peak -dP/dt (4-week change from baseline: placebo, +93 [51] mm Hg/s; D4 + 5, -39 [33] mm Hg/s; placebo [n = 21]; P &lt; .03); AC6 did not increase arrhythmias. The admission rate for patients with heart failure was 9.5% (4 of 42) in the AC6 group and 28.6% (4 of 14) in the placebo group (relative risk, 0.33 [95% CI, 0.08-1.36]; P = .10).\nCONCLUSIONS AND RELEVANCE: AC6 gene transfer safely increased LV function beyond standard heart failure therapy, attainable with one-time administration. Larger trials are warranted.\nTRIAL REGISTRATION: clinicaltrials.gov Identifier: NCT00787059.","container-title":"JAMA cardiology","DOI":"10.1001/jamacardio.2016.0008","ISSN":"2380-6591","issue":"2","journalAbbreviation":"JAMA Cardiol","language":"eng","note":"PMID: 27437887\nPMCID: PMC5535743","page":"163-171","source":"PubMed","title":"Intracoronary Gene Transfer of Adenylyl Cyclase 6 in Patients With Heart Failure: A Randomized Clinical Trial","title-short":"Intracoronary Gene Transfer of Adenylyl Cyclase 6 in Patients With Heart Failure","volume":"1","author":[{"family":"Hammond","given":"H. Kirk"},{"family":"Penny","given":"William F."},{"family":"Traverse","given":"Jay H."},{"family":"Henry","given":"Timothy D."},{"family":"Watkins","given":"Matthew W."},{"family":"Yancy","given":"Clyde W."},{"family":"Sweis","given":"Ranya N."},{"family":"Adler","given":"Eric D."},{"family":"Patel","given":"Amit N."},{"family":"Murray","given":"David R."},{"family":"Ross","given":"Robert S."},{"family":"Bhargava","given":"Valmik"},{"family":"Maisel","given":"Alan"},{"family":"Barnard","given":"Denise D."},{"family":"Lai","given":"N. Chin"},{"family":"Dalton","given":"Nancy D."},{"family":"Lee","given":"Martin L."},{"family":"Narayan","given":"Sanjiv M."},{"family":"Blanchard","given":"Daniel G."},{"family":"Gao","given":"Mei Hua"}],"issued":{"date-parts":[["2016",5,1]]}}}],"schema":"https://github.com/citation-style-language/schema/raw/master/csl-citation.json"} </w:instrText>
            </w:r>
            <w:r w:rsidRPr="006541ED">
              <w:rPr>
                <w:rFonts w:ascii="Arial" w:hAnsi="Arial" w:cs="Arial"/>
                <w:lang w:val="en-US"/>
              </w:rPr>
              <w:fldChar w:fldCharType="separate"/>
            </w:r>
            <w:r w:rsidRPr="003B08F6">
              <w:rPr>
                <w:rFonts w:ascii="Arial" w:hAnsi="Arial" w:cs="Arial"/>
                <w:szCs w:val="24"/>
                <w:vertAlign w:val="superscript"/>
              </w:rPr>
              <w:t>92</w:t>
            </w:r>
            <w:r w:rsidRPr="006541ED">
              <w:rPr>
                <w:rFonts w:ascii="Arial" w:hAnsi="Arial" w:cs="Arial"/>
              </w:rPr>
              <w:fldChar w:fldCharType="end"/>
            </w:r>
            <w:r w:rsidRPr="006541ED">
              <w:rPr>
                <w:rFonts w:ascii="Arial" w:hAnsi="Arial" w:cs="Arial"/>
                <w:lang w:val="en-US"/>
              </w:rPr>
              <w:t>Ham</w:t>
            </w:r>
            <w:r w:rsidRPr="006541ED">
              <w:rPr>
                <w:rFonts w:ascii="Arial" w:hAnsi="Arial" w:cs="Arial"/>
                <w:lang w:val="en-US"/>
              </w:rPr>
              <w:lastRenderedPageBreak/>
              <w:t xml:space="preserve">mond et al </w:t>
            </w:r>
          </w:p>
        </w:tc>
      </w:tr>
      <w:tr w:rsidR="00626626" w:rsidRPr="006541ED" w:rsidTr="004C77DD">
        <w:tc>
          <w:tcPr>
            <w:tcW w:w="1605" w:type="dxa"/>
            <w:vMerge/>
          </w:tcPr>
          <w:p w:rsidR="00626626" w:rsidRPr="006541ED" w:rsidRDefault="00626626" w:rsidP="004C77DD">
            <w:pPr>
              <w:spacing w:after="200" w:line="276" w:lineRule="auto"/>
              <w:rPr>
                <w:rFonts w:ascii="Arial" w:hAnsi="Arial" w:cs="Arial"/>
                <w:lang w:val="en-US"/>
              </w:rPr>
            </w:pPr>
          </w:p>
        </w:tc>
        <w:tc>
          <w:tcPr>
            <w:tcW w:w="1606" w:type="dxa"/>
          </w:tcPr>
          <w:p w:rsidR="00626626" w:rsidRPr="006541ED" w:rsidRDefault="00626626" w:rsidP="004C77DD">
            <w:pPr>
              <w:spacing w:after="200" w:line="276" w:lineRule="auto"/>
              <w:rPr>
                <w:rFonts w:ascii="Arial" w:hAnsi="Arial" w:cs="Arial"/>
                <w:lang w:val="nl-NL"/>
              </w:rPr>
            </w:pPr>
            <w:r w:rsidRPr="006541ED">
              <w:rPr>
                <w:rFonts w:ascii="Arial" w:hAnsi="Arial" w:cs="Arial"/>
                <w:lang w:val="nl-NL"/>
              </w:rPr>
              <w:t>Antisense</w:t>
            </w:r>
          </w:p>
        </w:tc>
        <w:tc>
          <w:tcPr>
            <w:tcW w:w="1746" w:type="dxa"/>
          </w:tcPr>
          <w:p w:rsidR="00626626" w:rsidRPr="006541ED" w:rsidRDefault="00626626" w:rsidP="004C77DD">
            <w:pPr>
              <w:spacing w:after="200" w:line="276" w:lineRule="auto"/>
              <w:rPr>
                <w:rFonts w:ascii="Arial" w:hAnsi="Arial" w:cs="Arial"/>
                <w:lang w:val="en-US"/>
              </w:rPr>
            </w:pPr>
            <w:r w:rsidRPr="006541ED">
              <w:rPr>
                <w:rFonts w:ascii="Arial" w:hAnsi="Arial" w:cs="Arial"/>
                <w:lang w:val="en-US"/>
              </w:rPr>
              <w:t>Reduce or ablate expression, exon skipping (to avoid mutations)</w:t>
            </w:r>
          </w:p>
        </w:tc>
        <w:tc>
          <w:tcPr>
            <w:tcW w:w="1465" w:type="dxa"/>
          </w:tcPr>
          <w:p w:rsidR="00626626" w:rsidRPr="006541ED" w:rsidRDefault="00626626" w:rsidP="004C77DD">
            <w:pPr>
              <w:spacing w:after="200" w:line="276" w:lineRule="auto"/>
              <w:rPr>
                <w:rFonts w:ascii="Arial" w:hAnsi="Arial" w:cs="Arial"/>
                <w:lang w:val="en-US"/>
              </w:rPr>
            </w:pPr>
            <w:proofErr w:type="spellStart"/>
            <w:r w:rsidRPr="006541ED">
              <w:rPr>
                <w:rFonts w:ascii="Arial" w:hAnsi="Arial" w:cs="Arial"/>
                <w:lang w:val="en-US"/>
              </w:rPr>
              <w:t>HFrEF</w:t>
            </w:r>
            <w:proofErr w:type="spellEnd"/>
            <w:r w:rsidRPr="006541ED">
              <w:rPr>
                <w:rFonts w:ascii="Arial" w:hAnsi="Arial" w:cs="Arial"/>
                <w:lang w:val="en-US"/>
              </w:rPr>
              <w:t>, genetic CMP</w:t>
            </w:r>
          </w:p>
        </w:tc>
        <w:tc>
          <w:tcPr>
            <w:tcW w:w="1606" w:type="dxa"/>
          </w:tcPr>
          <w:p w:rsidR="00626626" w:rsidRPr="006541ED" w:rsidRDefault="00626626" w:rsidP="004C77DD">
            <w:pPr>
              <w:spacing w:after="200" w:line="276" w:lineRule="auto"/>
              <w:rPr>
                <w:rFonts w:ascii="Arial" w:hAnsi="Arial" w:cs="Arial"/>
                <w:lang w:val="en-US"/>
              </w:rPr>
            </w:pPr>
            <w:r w:rsidRPr="006541ED">
              <w:rPr>
                <w:rFonts w:ascii="Arial" w:hAnsi="Arial" w:cs="Arial"/>
                <w:lang w:val="en-US"/>
              </w:rPr>
              <w:t>Clinical trials (approved therapy for Duchenne neurological outcomes)</w:t>
            </w:r>
          </w:p>
        </w:tc>
        <w:tc>
          <w:tcPr>
            <w:tcW w:w="1606" w:type="dxa"/>
          </w:tcPr>
          <w:p w:rsidR="00626626" w:rsidRPr="006541ED" w:rsidRDefault="00626626" w:rsidP="004C77DD">
            <w:pPr>
              <w:numPr>
                <w:ilvl w:val="0"/>
                <w:numId w:val="2"/>
              </w:numPr>
              <w:spacing w:after="200" w:line="276" w:lineRule="auto"/>
              <w:rPr>
                <w:rFonts w:ascii="Arial" w:hAnsi="Arial" w:cs="Arial"/>
              </w:rPr>
            </w:pPr>
            <w:r w:rsidRPr="006541ED">
              <w:rPr>
                <w:rFonts w:ascii="Arial" w:hAnsi="Arial" w:cs="Arial"/>
                <w:lang w:val="en-US"/>
              </w:rPr>
              <w:fldChar w:fldCharType="begin"/>
            </w:r>
            <w:r>
              <w:rPr>
                <w:rFonts w:ascii="Arial" w:hAnsi="Arial" w:cs="Arial"/>
                <w:lang w:val="en-US"/>
              </w:rPr>
              <w:instrText xml:space="preserve"> ADDIN ZOTERO_ITEM CSL_CITATION {"citationID":"pchFnYda","properties":{"formattedCitation":"\\super 93\\nosupersub{}","plainCitation":"93","noteIndex":0},"citationItems":[{"id":"QA7nzKt7/9r1qbKTn","uris":["http://zotero.org/users/5806739/items/SDT28MWD"],"itemData":{"id":4463,"type":"article-journal","abstract":"AIMS: Cardiac microRNA-132-3p (miR-132) levels are increased in patients with heart failure (HF) and mechanistically drive cardiac remodelling processes. CDR132L, a specific antisense oligonucleotide, is a first-in-class miR-132 inhibitor that attenuates and even reverses HF in preclinical models. The aim of the current clinical Phase 1b study was to assess safety, pharmacokinetics, target engagement, and exploratory pharmacodynamic effects of CDR132L in patients on standard-of-care therapy for chronic ischaemic HF in a randomized, placebo-controlled, double-blind, dose-escalation study (NCT04045405).\nMETHODS AND RESULTS: Patients had left ventricular ejection fraction between ≥30% and &lt;50% or amino terminal fragment of pro-brain natriuretic peptide (NT-proBNP) &gt;125 ng/L at screening. Twenty-eight patients were randomized to receive CDR132L (0.32, 1, 3, and 10 mg/kg body weight) or placebo (0.9% saline) in two intravenous infusions, 4 weeks apart in four cohorts of seven (five verum and two placebo) patients each. CDR132L was safe and well tolerated, without apparent dose-limiting toxicity. A pharmacokinetic/pharmacodynamic dose modelling approach suggested an effective dose level at ≥1 mg/kg CDR132L. CDR132L treatment resulted in a dose-dependent, sustained miR-132 reduction in plasma. Patients given CDR132L ≥1 mg/kg displayed a median 23.3% NT-proBNP reduction, vs. a 0.9% median increase in the control group. CDR132L treatment induced significant QRS narrowing and encouraging positive trends for relevant cardiac fibrosis biomarkers.\nCONCLUSION: This study is the first clinical trial of an antisense drug in HF patients. CDR132L was safe and well tolerated, confirmed linear plasma pharmacokinetics with no signs of accumulation, and suggests cardiac functional improvements. Although this study is limited by the small patient numbers, the indicative efficacy of this drug is very encouraging justifying additional clinical studies to confirm the beneficial CDR132L pharmacodynamic effects for the treatment of HF.","container-title":"European Heart Journal","DOI":"10.1093/eurheartj/ehaa898","ISSN":"1522-9645","issue":"2","journalAbbreviation":"Eur Heart J","language":"eng","note":"PMID: 33245749\nPMCID: PMC7954267","page":"178-188","source":"PubMed","title":"Novel antisense therapy targeting microRNA-132 in patients with heart failure: results of a first-in-human Phase 1b randomized, double-blind, placebo-controlled study","title-short":"Novel antisense therapy targeting microRNA-132 in patients with heart failure","volume":"42","author":[{"family":"Täubel","given":"Jörg"},{"family":"Hauke","given":"Wilfried"},{"family":"Rump","given":"Steffen"},{"family":"Viereck","given":"Janika"},{"family":"Batkai","given":"Sandor"},{"family":"Poetzsch","given":"Jenny"},{"family":"Rode","given":"Laura"},{"family":"Weigt","given":"Henning"},{"family":"Genschel","given":"Celina"},{"family":"Lorch","given":"Ulrike"},{"family":"Theek","given":"Carmen"},{"family":"Levin","given":"Arthur A."},{"family":"Bauersachs","given":"Johann"},{"family":"Solomon","given":"Scott D."},{"family":"Thum","given":"Thomas"}],"issued":{"date-parts":[["2021",1,7]]}}}],"schema":"https://github.com/citation-style-language/schema/raw/master/csl-citation.json"} </w:instrText>
            </w:r>
            <w:r w:rsidRPr="006541ED">
              <w:rPr>
                <w:rFonts w:ascii="Arial" w:hAnsi="Arial" w:cs="Arial"/>
                <w:lang w:val="en-US"/>
              </w:rPr>
              <w:fldChar w:fldCharType="separate"/>
            </w:r>
            <w:r w:rsidRPr="003B08F6">
              <w:rPr>
                <w:rFonts w:ascii="Arial" w:hAnsi="Arial" w:cs="Arial"/>
                <w:szCs w:val="24"/>
                <w:vertAlign w:val="superscript"/>
              </w:rPr>
              <w:t>93</w:t>
            </w:r>
            <w:r w:rsidRPr="006541ED">
              <w:rPr>
                <w:rFonts w:ascii="Arial" w:hAnsi="Arial" w:cs="Arial"/>
              </w:rPr>
              <w:fldChar w:fldCharType="end"/>
            </w:r>
            <w:proofErr w:type="spellStart"/>
            <w:r w:rsidRPr="006541ED">
              <w:rPr>
                <w:rFonts w:ascii="Arial" w:hAnsi="Arial" w:cs="Arial"/>
                <w:lang w:val="en-US"/>
              </w:rPr>
              <w:t>Täubel</w:t>
            </w:r>
            <w:proofErr w:type="spellEnd"/>
            <w:r w:rsidRPr="006541ED">
              <w:rPr>
                <w:rFonts w:ascii="Arial" w:hAnsi="Arial" w:cs="Arial"/>
                <w:lang w:val="en-US"/>
              </w:rPr>
              <w:t xml:space="preserve"> </w:t>
            </w:r>
            <w:r w:rsidRPr="006541ED">
              <w:rPr>
                <w:rFonts w:ascii="Arial" w:hAnsi="Arial" w:cs="Arial"/>
              </w:rPr>
              <w:t>et al</w:t>
            </w:r>
          </w:p>
          <w:p w:rsidR="00626626" w:rsidRPr="006541ED" w:rsidRDefault="00626626" w:rsidP="004C77DD">
            <w:pPr>
              <w:numPr>
                <w:ilvl w:val="0"/>
                <w:numId w:val="2"/>
              </w:numPr>
              <w:spacing w:after="200" w:line="276" w:lineRule="auto"/>
              <w:rPr>
                <w:rFonts w:ascii="Arial" w:hAnsi="Arial" w:cs="Arial"/>
              </w:rPr>
            </w:pPr>
            <w:r w:rsidRPr="006541ED">
              <w:rPr>
                <w:rFonts w:ascii="Arial" w:hAnsi="Arial" w:cs="Arial"/>
                <w:lang w:val="en-US"/>
              </w:rPr>
              <w:fldChar w:fldCharType="begin"/>
            </w:r>
            <w:r>
              <w:rPr>
                <w:rFonts w:ascii="Arial" w:hAnsi="Arial" w:cs="Arial"/>
                <w:lang w:val="en-US"/>
              </w:rPr>
              <w:instrText xml:space="preserve"> ADDIN ZOTERO_ITEM CSL_CITATION {"citationID":"TmlwNv9q","properties":{"formattedCitation":"\\super 94\\nosupersub{}","plainCitation":"94","noteIndex":0},"citationItems":[{"id":"QA7nzKt7/kqGvfUPP","uris":["http://zotero.org/users/5806739/items/HVGRHYUU"],"itemData":{"id":4466,"type":"article-journal","abstract":"Importance: An unmet need remains for safe and efficacious treatments for Duchenne muscular dystrophy (DMD). To date, there are limited agents available that address the underlying cause of the disease.\nObjective: To evaluate the safety, tolerability, and efficacy of viltolarsen, a novel antisense oligonucleotide, in participants with DMD amenable to exon 53 skipping.\nDesign, Setting, and Participants: This phase 2 study was a 4-week randomized clinical trial for safety followed by a 20-week open-label treatment period of patients aged 4 to 9 years with DMD amenable to exon 53 skipping. To enroll 16 participants, with 8 participants in each of the 2 dose cohorts, 17 participants were screened. Study enrollment occurred between December 16, 2016, and August 17, 2017, at sites in the US and Canada. Data were collected from December 2016 to February 2018, and data were analyzed from April 2018 to May 2019.\nInterventions: Participants received 40 mg/kg (low dose) or 80 mg/kg (high dose) of viltolarsen administered by weekly intravenous infusion.\nMain Outcomes and Measures: Primary outcomes of the trial included safety, tolerability, and de novo dystrophin protein production measured by Western blot in participants' biceps muscles. Secondary outcomes included additional assessments of dystrophin mRNA and protein production as well as clinical muscle strength and function.\nResults: Of the 16 included boys with DMD, 15 (94%) were white, and the mean (SD) age was 7.4 (1.8) years. After 20 to 24 weeks of treatment, significant drug-induced dystrophin production was seen in both viltolarsen dose cohorts (40 mg/kg per week: mean [range] 5.7% [3.2-10.3] of normal; 80 mg/kg per week: mean [range] 5.9% [1.1-14.4] of normal). Viltolarsen was well tolerated; no treatment-emergent adverse events required dose reduction, interruption, or discontinuation of the study drug. No serious adverse events or deaths occurred during the study. Compared with 65 age-matched and treatment-matched natural history controls, all 16 participants treated with viltolarsen showed significant improvements in timed function tests from baseline, including time to stand from supine (viltolarsen: -0.19 s; control: 0.66 s), time to run/walk 10 m (viltolarsen: 0.23 m/s; control: -0.04 m/s), and 6-minute walk test (viltolarsen: 28.9 m; control: -65.3 m) at the week 25 visit.\nConclusions and Relevance: Systemic treatment of participants with DMD with viltolarsen induced de novo dystrophin production, and clinical improvement of timed function tests was observed.\nTrial Registration: ClinicalTrials.gov Identifier: NCT02740972.","container-title":"JAMA neurology","DOI":"10.1001/jamaneurol.2020.1264","ISSN":"2168-6157","issue":"8","journalAbbreviation":"JAMA Neurol","language":"eng","note":"PMID: 32453377\nPMCID: PMC7251505","page":"982-991","source":"PubMed","title":"Safety, Tolerability, and Efficacy of Viltolarsen in Boys With Duchenne Muscular Dystrophy Amenable to Exon 53 Skipping: A Phase 2 Randomized Clinical Trial","title-short":"Safety, Tolerability, and Efficacy of Viltolarsen in Boys With Duchenne Muscular Dystrophy Amenable to Exon 53 Skipping","volume":"77","author":[{"family":"Clemens","given":"Paula R."},{"family":"Rao","given":"Vamshi K."},{"family":"Connolly","given":"Anne M."},{"family":"Harper","given":"Amy D."},{"family":"Mah","given":"Jean K."},{"family":"Smith","given":"Edward C."},{"family":"McDonald","given":"Craig M."},{"family":"Zaidman","given":"Craig M."},{"family":"Morgenroth","given":"Lauren P."},{"family":"Osaki","given":"Hironori"},{"family":"Satou","given":"Youhei"},{"family":"Yamashita","given":"Taishi"},{"family":"Hoffman","given":"Eric P."},{"literal":"CINRG DNHS Investigators"}],"issued":{"date-parts":[["2020",8,1]]}}}],"schema":"https://github.com/citation-style-language/schema/raw/master/csl-citation.json"} </w:instrText>
            </w:r>
            <w:r w:rsidRPr="006541ED">
              <w:rPr>
                <w:rFonts w:ascii="Arial" w:hAnsi="Arial" w:cs="Arial"/>
                <w:lang w:val="en-US"/>
              </w:rPr>
              <w:fldChar w:fldCharType="separate"/>
            </w:r>
            <w:r w:rsidRPr="003B08F6">
              <w:rPr>
                <w:rFonts w:ascii="Arial" w:hAnsi="Arial" w:cs="Arial"/>
                <w:szCs w:val="24"/>
                <w:vertAlign w:val="superscript"/>
              </w:rPr>
              <w:t>94</w:t>
            </w:r>
            <w:r w:rsidRPr="006541ED">
              <w:rPr>
                <w:rFonts w:ascii="Arial" w:hAnsi="Arial" w:cs="Arial"/>
              </w:rPr>
              <w:fldChar w:fldCharType="end"/>
            </w:r>
            <w:r w:rsidRPr="006541ED">
              <w:rPr>
                <w:rFonts w:ascii="Arial" w:hAnsi="Arial" w:cs="Arial"/>
                <w:lang w:val="en-US"/>
              </w:rPr>
              <w:t xml:space="preserve">Clemens et al </w:t>
            </w:r>
          </w:p>
          <w:p w:rsidR="00626626" w:rsidRPr="006541ED" w:rsidRDefault="00626626" w:rsidP="004C77DD">
            <w:pPr>
              <w:spacing w:after="200" w:line="276" w:lineRule="auto"/>
              <w:rPr>
                <w:rFonts w:ascii="Arial" w:hAnsi="Arial" w:cs="Arial"/>
                <w:lang w:val="en-US"/>
              </w:rPr>
            </w:pPr>
          </w:p>
        </w:tc>
      </w:tr>
      <w:tr w:rsidR="00626626" w:rsidRPr="006541ED" w:rsidTr="004C77DD">
        <w:tc>
          <w:tcPr>
            <w:tcW w:w="1605" w:type="dxa"/>
            <w:vMerge/>
          </w:tcPr>
          <w:p w:rsidR="00626626" w:rsidRPr="006541ED" w:rsidRDefault="00626626" w:rsidP="004C77DD">
            <w:pPr>
              <w:spacing w:after="200" w:line="276" w:lineRule="auto"/>
              <w:rPr>
                <w:rFonts w:ascii="Arial" w:hAnsi="Arial" w:cs="Arial"/>
                <w:lang w:val="en-US"/>
              </w:rPr>
            </w:pPr>
          </w:p>
        </w:tc>
        <w:tc>
          <w:tcPr>
            <w:tcW w:w="1606" w:type="dxa"/>
          </w:tcPr>
          <w:p w:rsidR="00626626" w:rsidRPr="006541ED" w:rsidRDefault="00626626" w:rsidP="004C77DD">
            <w:pPr>
              <w:spacing w:after="200" w:line="276" w:lineRule="auto"/>
              <w:rPr>
                <w:rFonts w:ascii="Arial" w:hAnsi="Arial" w:cs="Arial"/>
                <w:lang w:val="nl-NL"/>
              </w:rPr>
            </w:pPr>
            <w:r w:rsidRPr="006541ED">
              <w:rPr>
                <w:rFonts w:ascii="Arial" w:hAnsi="Arial" w:cs="Arial"/>
                <w:lang w:val="nl-NL"/>
              </w:rPr>
              <w:t>Gene editing</w:t>
            </w:r>
          </w:p>
        </w:tc>
        <w:tc>
          <w:tcPr>
            <w:tcW w:w="1746" w:type="dxa"/>
          </w:tcPr>
          <w:p w:rsidR="00626626" w:rsidRPr="006541ED" w:rsidRDefault="00626626" w:rsidP="004C77DD">
            <w:pPr>
              <w:spacing w:after="200" w:line="276" w:lineRule="auto"/>
              <w:rPr>
                <w:rFonts w:ascii="Arial" w:hAnsi="Arial" w:cs="Arial"/>
                <w:lang w:val="en-US"/>
              </w:rPr>
            </w:pPr>
            <w:r w:rsidRPr="006541ED">
              <w:rPr>
                <w:rFonts w:ascii="Arial" w:hAnsi="Arial" w:cs="Arial"/>
                <w:lang w:val="en-US"/>
              </w:rPr>
              <w:t>Deletion, correction, up/downregulation (CRISPR-Cas9 base editing, prime editing)</w:t>
            </w:r>
          </w:p>
        </w:tc>
        <w:tc>
          <w:tcPr>
            <w:tcW w:w="1465" w:type="dxa"/>
          </w:tcPr>
          <w:p w:rsidR="00626626" w:rsidRPr="006541ED" w:rsidRDefault="00626626" w:rsidP="004C77DD">
            <w:pPr>
              <w:spacing w:after="200" w:line="276" w:lineRule="auto"/>
              <w:rPr>
                <w:rFonts w:ascii="Arial" w:hAnsi="Arial" w:cs="Arial"/>
                <w:lang w:val="en-US"/>
              </w:rPr>
            </w:pPr>
            <w:r w:rsidRPr="006541ED">
              <w:rPr>
                <w:rFonts w:ascii="Arial" w:hAnsi="Arial" w:cs="Arial"/>
                <w:lang w:val="en-US"/>
              </w:rPr>
              <w:t>Genetic CMP</w:t>
            </w:r>
          </w:p>
        </w:tc>
        <w:tc>
          <w:tcPr>
            <w:tcW w:w="1606" w:type="dxa"/>
          </w:tcPr>
          <w:p w:rsidR="00626626" w:rsidRPr="006541ED" w:rsidRDefault="00626626" w:rsidP="004C77DD">
            <w:pPr>
              <w:spacing w:after="200" w:line="276" w:lineRule="auto"/>
              <w:rPr>
                <w:rFonts w:ascii="Arial" w:hAnsi="Arial" w:cs="Arial"/>
                <w:lang w:val="en-US"/>
              </w:rPr>
            </w:pPr>
            <w:r w:rsidRPr="006541ED">
              <w:rPr>
                <w:rFonts w:ascii="Arial" w:hAnsi="Arial" w:cs="Arial"/>
                <w:lang w:val="en-US"/>
              </w:rPr>
              <w:t xml:space="preserve">Experimental (mainly </w:t>
            </w:r>
            <w:r w:rsidRPr="006541ED">
              <w:rPr>
                <w:rFonts w:ascii="Arial" w:hAnsi="Arial" w:cs="Arial"/>
                <w:i/>
                <w:lang w:val="en-US"/>
              </w:rPr>
              <w:t>in vitro</w:t>
            </w:r>
            <w:r w:rsidRPr="006541ED">
              <w:rPr>
                <w:rFonts w:ascii="Arial" w:hAnsi="Arial" w:cs="Arial"/>
                <w:lang w:val="en-US"/>
              </w:rPr>
              <w:t>)</w:t>
            </w:r>
          </w:p>
        </w:tc>
        <w:tc>
          <w:tcPr>
            <w:tcW w:w="1606" w:type="dxa"/>
          </w:tcPr>
          <w:p w:rsidR="00626626" w:rsidRPr="006541ED" w:rsidRDefault="00626626" w:rsidP="004C77DD">
            <w:pPr>
              <w:numPr>
                <w:ilvl w:val="0"/>
                <w:numId w:val="3"/>
              </w:numPr>
              <w:spacing w:after="200" w:line="276" w:lineRule="auto"/>
              <w:rPr>
                <w:rFonts w:ascii="Arial" w:hAnsi="Arial" w:cs="Arial"/>
              </w:rPr>
            </w:pPr>
            <w:r w:rsidRPr="006541ED">
              <w:rPr>
                <w:rFonts w:ascii="Arial" w:hAnsi="Arial" w:cs="Arial"/>
                <w:lang w:val="en-US"/>
              </w:rPr>
              <w:fldChar w:fldCharType="begin"/>
            </w:r>
            <w:r>
              <w:rPr>
                <w:rFonts w:ascii="Arial" w:hAnsi="Arial" w:cs="Arial"/>
                <w:lang w:val="en-US"/>
              </w:rPr>
              <w:instrText xml:space="preserve"> ADDIN ZOTERO_ITEM CSL_CITATION {"citationID":"k0QebGzh","properties":{"formattedCitation":"\\super 95\\nosupersub{}","plainCitation":"95","noteIndex":0},"citationItems":[{"id":"QA7nzKt7/NNMEUq4a","uris":["http://zotero.org/users/5806739/items/93ANCYRL"],"itemData":{"id":4469,"type":"article-journal","abstract":"Recent advances in genome editing technologies have magnified the prospect of single-dose cures for many genetic diseases. For most genetic disorders, precise DNA correction is anticipated to best treat patients. To install desired DNA changes with high precision, our laboratory developed base editors (BEs), which can correct the four most common single-base substitutions, and prime editors, which can install any substitution, insertion, and/or deletion over a stretch of dozens of base pairs. Compared to nuclease-dependent editing approaches that involve double-strand DNA breaks (DSBs) and often result in a large percentage of uncontrolled editing outcomes, such as mixtures of insertions and deletions (indels), larger deletions, and chromosomal rearrangements, base editors and prime editors often offer greater efficiency with fewer byproducts in slowly dividing or non-dividing cells, such as those that make up most of the cells in adult animals. Both viral and non-viral in vivo delivery methods have now been used to deliver base editors and prime editors in animal models, establishing that base editors and prime editors can serve as effective agents for in vivo therapeutic genome editing in animals. This review summarizes examples of in vivo somatic cell (post-natal) base editing and prime editing and prospects for future development.","container-title":"Molecular Therapy: The Journal of the American Society of Gene Therapy","DOI":"10.1016/j.ymthe.2021.09.002","ISSN":"1525-0024","issue":"11","journalAbbreviation":"Mol Ther","language":"eng","note":"PMID: 34509669\nPMCID: PMC8571176","page":"3107-3124","source":"PubMed","title":"In vivo somatic cell base editing and prime editing","volume":"29","author":[{"family":"Newby","given":"Gregory A."},{"family":"Liu","given":"David R."}],"issued":{"date-parts":[["2021",11,3]]}}}],"schema":"https://github.com/citation-style-language/schema/raw/master/csl-citation.json"} </w:instrText>
            </w:r>
            <w:r w:rsidRPr="006541ED">
              <w:rPr>
                <w:rFonts w:ascii="Arial" w:hAnsi="Arial" w:cs="Arial"/>
                <w:lang w:val="en-US"/>
              </w:rPr>
              <w:fldChar w:fldCharType="separate"/>
            </w:r>
            <w:r w:rsidRPr="003B08F6">
              <w:rPr>
                <w:rFonts w:ascii="Arial" w:hAnsi="Arial" w:cs="Arial"/>
                <w:szCs w:val="24"/>
                <w:vertAlign w:val="superscript"/>
              </w:rPr>
              <w:t>95</w:t>
            </w:r>
            <w:r w:rsidRPr="006541ED">
              <w:rPr>
                <w:rFonts w:ascii="Arial" w:hAnsi="Arial" w:cs="Arial"/>
              </w:rPr>
              <w:fldChar w:fldCharType="end"/>
            </w:r>
            <w:r w:rsidRPr="006541ED">
              <w:rPr>
                <w:rFonts w:ascii="Arial" w:hAnsi="Arial" w:cs="Arial"/>
                <w:lang w:val="en-US"/>
              </w:rPr>
              <w:t>Newby et al</w:t>
            </w:r>
          </w:p>
          <w:p w:rsidR="00626626" w:rsidRPr="006541ED" w:rsidRDefault="00626626" w:rsidP="004C77DD">
            <w:pPr>
              <w:spacing w:after="200" w:line="276" w:lineRule="auto"/>
              <w:rPr>
                <w:rFonts w:ascii="Arial" w:hAnsi="Arial" w:cs="Arial"/>
                <w:lang w:val="en-US"/>
              </w:rPr>
            </w:pPr>
          </w:p>
        </w:tc>
      </w:tr>
    </w:tbl>
    <w:p w:rsidR="00626626" w:rsidRPr="006541ED" w:rsidRDefault="00626626" w:rsidP="00626626">
      <w:pPr>
        <w:rPr>
          <w:rFonts w:ascii="Arial" w:hAnsi="Arial" w:cs="Arial"/>
          <w:b/>
          <w:bCs/>
        </w:rPr>
      </w:pPr>
    </w:p>
    <w:p w:rsidR="00626626" w:rsidRPr="00D2636D" w:rsidRDefault="00626626" w:rsidP="00626626">
      <w:pPr>
        <w:rPr>
          <w:rFonts w:ascii="Arial" w:hAnsi="Arial" w:cs="Arial"/>
        </w:rPr>
      </w:pPr>
    </w:p>
    <w:p w:rsidR="00626626" w:rsidRPr="00D2636D" w:rsidRDefault="00626626" w:rsidP="00626626">
      <w:pPr>
        <w:rPr>
          <w:rFonts w:ascii="Arial" w:hAnsi="Arial" w:cs="Arial"/>
        </w:rPr>
      </w:pPr>
    </w:p>
    <w:p w:rsidR="00626626" w:rsidRPr="00D2636D" w:rsidRDefault="00626626" w:rsidP="00626626">
      <w:pPr>
        <w:rPr>
          <w:rFonts w:ascii="Arial" w:hAnsi="Arial" w:cs="Arial"/>
        </w:rPr>
      </w:pPr>
    </w:p>
    <w:p w:rsidR="00626626" w:rsidRPr="00D2636D" w:rsidRDefault="00626626" w:rsidP="00626626">
      <w:pPr>
        <w:rPr>
          <w:rFonts w:ascii="Arial" w:hAnsi="Arial" w:cs="Arial"/>
        </w:rPr>
      </w:pPr>
    </w:p>
    <w:p w:rsidR="002201FA" w:rsidRDefault="002201FA"/>
    <w:sectPr w:rsidR="002201FA" w:rsidSect="00C14488">
      <w:headerReference w:type="default" r:id="rId6"/>
      <w:footerReference w:type="default" r:id="rId7"/>
      <w:pgSz w:w="11906" w:h="16838"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4281647"/>
      <w:docPartObj>
        <w:docPartGallery w:val="Page Numbers (Bottom of Page)"/>
        <w:docPartUnique/>
      </w:docPartObj>
    </w:sdtPr>
    <w:sdtEndPr/>
    <w:sdtContent>
      <w:p w:rsidR="00293BD6" w:rsidRDefault="00626626">
        <w:pPr>
          <w:pStyle w:val="Footer"/>
          <w:jc w:val="center"/>
        </w:pPr>
        <w:r>
          <w:fldChar w:fldCharType="begin"/>
        </w:r>
        <w:r>
          <w:instrText>PAGE   \* MERGEFORMAT</w:instrText>
        </w:r>
        <w:r>
          <w:fldChar w:fldCharType="separate"/>
        </w:r>
        <w:r w:rsidRPr="00626626">
          <w:rPr>
            <w:noProof/>
            <w:lang w:val="da-DK"/>
          </w:rPr>
          <w:t>6</w:t>
        </w:r>
        <w:r>
          <w:fldChar w:fldCharType="end"/>
        </w:r>
      </w:p>
    </w:sdtContent>
  </w:sdt>
  <w:p w:rsidR="00293BD6" w:rsidRDefault="00626626">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BD6" w:rsidRPr="001B2C7A" w:rsidRDefault="00626626">
    <w:pPr>
      <w:pStyle w:val="Header"/>
      <w:rPr>
        <w:lang w:val="da-DK"/>
      </w:rPr>
    </w:pPr>
    <w:r>
      <w:rPr>
        <w:lang w:val="da-DK"/>
      </w:rPr>
      <w:t>Jan 23</w:t>
    </w:r>
    <w:r>
      <w:rPr>
        <w:lang w:val="da-DK"/>
      </w:rPr>
      <w:t xml:space="preserve"> FG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CC294C"/>
    <w:multiLevelType w:val="multilevel"/>
    <w:tmpl w:val="13B8D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BFA1170"/>
    <w:multiLevelType w:val="multilevel"/>
    <w:tmpl w:val="45704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5CE34EC"/>
    <w:multiLevelType w:val="multilevel"/>
    <w:tmpl w:val="F398B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6626"/>
    <w:rsid w:val="002201FA"/>
    <w:rsid w:val="00356504"/>
    <w:rsid w:val="00626626"/>
    <w:rsid w:val="00E20948"/>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26626"/>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26626"/>
    <w:pPr>
      <w:tabs>
        <w:tab w:val="center" w:pos="4819"/>
        <w:tab w:val="right" w:pos="9638"/>
      </w:tabs>
      <w:spacing w:after="0" w:line="240" w:lineRule="auto"/>
    </w:pPr>
    <w:rPr>
      <w:lang w:val="en-GB"/>
    </w:rPr>
  </w:style>
  <w:style w:type="character" w:customStyle="1" w:styleId="HeaderChar">
    <w:name w:val="Header Char"/>
    <w:basedOn w:val="DefaultParagraphFont"/>
    <w:link w:val="Header"/>
    <w:uiPriority w:val="99"/>
    <w:rsid w:val="00626626"/>
    <w:rPr>
      <w:lang w:val="en-GB"/>
    </w:rPr>
  </w:style>
  <w:style w:type="paragraph" w:styleId="Footer">
    <w:name w:val="footer"/>
    <w:basedOn w:val="Normal"/>
    <w:link w:val="FooterChar"/>
    <w:uiPriority w:val="99"/>
    <w:unhideWhenUsed/>
    <w:rsid w:val="00626626"/>
    <w:pPr>
      <w:tabs>
        <w:tab w:val="center" w:pos="4819"/>
        <w:tab w:val="right" w:pos="9638"/>
      </w:tabs>
      <w:spacing w:after="0" w:line="240" w:lineRule="auto"/>
    </w:pPr>
    <w:rPr>
      <w:lang w:val="en-GB"/>
    </w:rPr>
  </w:style>
  <w:style w:type="character" w:customStyle="1" w:styleId="FooterChar">
    <w:name w:val="Footer Char"/>
    <w:basedOn w:val="DefaultParagraphFont"/>
    <w:link w:val="Footer"/>
    <w:uiPriority w:val="99"/>
    <w:rsid w:val="00626626"/>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26626"/>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26626"/>
    <w:pPr>
      <w:tabs>
        <w:tab w:val="center" w:pos="4819"/>
        <w:tab w:val="right" w:pos="9638"/>
      </w:tabs>
      <w:spacing w:after="0" w:line="240" w:lineRule="auto"/>
    </w:pPr>
    <w:rPr>
      <w:lang w:val="en-GB"/>
    </w:rPr>
  </w:style>
  <w:style w:type="character" w:customStyle="1" w:styleId="HeaderChar">
    <w:name w:val="Header Char"/>
    <w:basedOn w:val="DefaultParagraphFont"/>
    <w:link w:val="Header"/>
    <w:uiPriority w:val="99"/>
    <w:rsid w:val="00626626"/>
    <w:rPr>
      <w:lang w:val="en-GB"/>
    </w:rPr>
  </w:style>
  <w:style w:type="paragraph" w:styleId="Footer">
    <w:name w:val="footer"/>
    <w:basedOn w:val="Normal"/>
    <w:link w:val="FooterChar"/>
    <w:uiPriority w:val="99"/>
    <w:unhideWhenUsed/>
    <w:rsid w:val="00626626"/>
    <w:pPr>
      <w:tabs>
        <w:tab w:val="center" w:pos="4819"/>
        <w:tab w:val="right" w:pos="9638"/>
      </w:tabs>
      <w:spacing w:after="0" w:line="240" w:lineRule="auto"/>
    </w:pPr>
    <w:rPr>
      <w:lang w:val="en-GB"/>
    </w:rPr>
  </w:style>
  <w:style w:type="character" w:customStyle="1" w:styleId="FooterChar">
    <w:name w:val="Footer Char"/>
    <w:basedOn w:val="DefaultParagraphFont"/>
    <w:link w:val="Footer"/>
    <w:uiPriority w:val="99"/>
    <w:rsid w:val="00626626"/>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10956</Words>
  <Characters>62892</Characters>
  <Application>Microsoft Office Word</Application>
  <DocSecurity>0</DocSecurity>
  <Lines>1257</Lines>
  <Paragraphs>403</Paragraphs>
  <ScaleCrop>false</ScaleCrop>
  <Company/>
  <LinksUpToDate>false</LinksUpToDate>
  <CharactersWithSpaces>73445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S3G_Apply_Fixed_Case</dc:creator>
  <cp:lastModifiedBy>S3G_Apply_Fixed_Case</cp:lastModifiedBy>
  <cp:revision>1</cp:revision>
  <dcterms:created xsi:type="dcterms:W3CDTF">2023-02-25T14:54:00Z</dcterms:created>
  <dcterms:modified xsi:type="dcterms:W3CDTF">2023-02-25T14:57:00Z</dcterms:modified>
</cp:coreProperties>
</file>