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7A" w:rsidRPr="00DE0E89" w:rsidRDefault="00DE0E89">
      <w:r w:rsidRPr="00DE0E89">
        <w:rPr>
          <w:b/>
        </w:rPr>
        <w:t>Supplementary table 1</w:t>
      </w:r>
      <w:r w:rsidRPr="00DE0E89">
        <w:t>. Clinical characteristics a</w:t>
      </w:r>
      <w:r>
        <w:t>nd species distribution for patients for whom isolates were referred for this study and for the remaining patients that were included in the clinical study.</w:t>
      </w:r>
      <w:r>
        <w:fldChar w:fldCharType="begin" w:fldLock="1"/>
      </w:r>
      <w:r>
        <w:instrText>ADDIN CSL_CITATION {"citationItems":[{"id":"ITEM-1","itemData":{"DOI":"10.1016/S1473-3099(22)00872-6","ISSN":"1474-4457","PMID":"37254300","abstract":"BACKGROUND The European Confederation of Medical Mycology (ECMM) collected data on epidemiology, risk factors, treatment, and outcomes of patients with culture-proven candidaemia across Europe to assess how adherence to guideline recommendations is associated with outcomes. METHODS In this observational cohort study, 64 participating hospitals located in 20 European countries, with the number of eligible hospitals per country determined by population size, included the first ten consecutive adults with culture-proven candidaemia after July 1, 2018, and entered data into the ECMM Candida Registry (FungiScope CandiReg). We assessed ECMM Quality of Clinical Candidaemia Management (EQUAL Candida) scores reflecting adherence to recommendations of the European Society of Clinical Microbiology and Infectious Diseases and the Infectious Diseases Society of America guidelines. FINDINGS 632 patients with candidaemia were included from 64 institutions. Overall 90-day mortality was 43% (265/617), and increasing age, intensive care unit admission, point increases in the Charlson comorbidity index score, and Candida tropicalis as causative pathogen were independent baseline predictors of mortality in Cox regression analysis. EQUAL Candida score remained an independent predictor of mortality in the multivariable Cox regression analyses after adjusting for the baseline predictors, even after restricting the analysis to patients who survived for more than 7 days after diagnosis (adjusted hazard ratio 1·08 [95% CI 1·04-1·11; p&lt;0·0001] in patients with a central venous catheter and 1·09 [1·05-1·13; p&lt;0·0001] in those without one, per one score point decrease). Median duration of hospital stay was 15 days (IQR 4-30) after diagnosis of candidaemia and was extended specifically for completion of parenteral therapy in 100 (16%) of 621 patients. Initial echinocandin treatment was associated with lower overall mortality and longer duration of hospital stay among survivors than treatment with other antifungals. INTERPRETATION Although overall mortality in patients with candidaemia was high, our study indicates that adherence to clinical guideline recommendations, reflected by higher EQUAL Candida scores, might increase survival. New antifungals, with similar activity as current echinocandins but with longer half-lives or oral bioavailability, are needed to reduce duration of hospital stay. FUNDING Scynexis.","author":[{"dropping-particle":"","family":"Hoenigl","given":"Martin","non-dropping-particle":"","parse-names":false,"suffix":""},{"dropping-particle":"","family":"Salmanton-García","given":"Jon","non-dropping-particle":"","parse-names":false,"suffix":""},{"dropping-particle":"","family":"Egger","given":"Matthias","non-dropping-particle":"","parse-names":false,"suffix":""},{"dropping-particle":"","family":"Gangneux","given":"Jean-Pierre","non-dropping-particle":"","parse-names":false,"suffix":""},{"dropping-particle":"","family":"Bicanic","given":"Tihana","non-dropping-particle":"","parse-names":false,"suffix":""},{"dropping-particle":"","family":"Arikan-Akdagli","given":"Sevtap","non-dropping-particle":"","parse-names":false,"suffix":""},{"dropping-particle":"","family":"Alastruey-Izquierdo","given":"Ana","non-dropping-particle":"","parse-names":false,"suffix":""},{"dropping-particle":"","family":"Klimko","given":"Nikolai","non-dropping-particle":"","parse-names":false,"suffix":""},{"dropping-particle":"","family":"Barac","given":"Aleksandra","non-dropping-particle":"","parse-names":false,"suffix":""},{"dropping-particle":"","family":"Özenci","given":"Volkan","non-dropping-particle":"","parse-names":false,"suffix":""},{"dropping-particle":"","family":"Meijer","given":"Eelco F J","non-dropping-particle":"","parse-names":false,"suffix":""},{"dropping-particle":"","family":"Khanna","given":"Nina","non-dropping-particle":"","parse-names":false,"suffix":""},{"dropping-particle":"","family":"Bassetti","given":"Matteo","non-dropping-particle":"","parse-names":false,"suffix":""},{"dropping-particle":"","family":"Rautemaa-Richardson","given":"Riina","non-dropping-particle":"","parse-names":false,"suffix":""},{"dropping-particle":"","family":"Lagrou","given":"Katrien","non-dropping-particle":"","parse-names":false,"suffix":""},{"dropping-particle":"","family":"Adam","given":"Kai-Manuel","non-dropping-particle":"","parse-names":false,"suffix":""},{"dropping-particle":"","family":"Akalin","given":"Emin Halis","non-dropping-particle":"","parse-names":false,"suffix":""},{"dropping-particle":"","family":"Akova","given":"Murat","non-dropping-particle":"","parse-names":false,"suffix":""},{"dropping-particle":"","family":"Arsic Arsenijevic","given":"Valentina","non-dropping-particle":"","parse-names":false,"suffix":""},{"dropping-particle":"","family":"Aujayeb","given":"Avinash","non-dropping-particle":"","parse-names":false,"suffix":""},{"dropping-particle":"","family":"Blennow","given":"Ola","non-dropping-particle":"","parse-names":false,"suffix":""},{"dropping-particle":"","family":"Bretagne","given":"Stéphane","non-dropping-particle":"","parse-names":false,"suffix":""},{"dropping-particle":"","family":"Danion","given":"François","non-dropping-particle":"","parse-names":false,"suffix":""},{"dropping-particle":"","family":"Denis","given":"Blandine","non-dropping-particle":"","parse-names":false,"suffix":""},{"dropping-particle":"","family":"Jonge","given":"Nick Alexander","non-dropping-particle":"de","parse-names":false,"suffix":""},{"dropping-particle":"","family":"Desoubeaux","given":"Guillaume","non-dropping-particle":"","parse-names":false,"suffix":""},{"dropping-particle":"","family":"Drgona","given":"Lubos","non-dropping-particle":"","parse-names":false,"suffix":""},{"dropping-particle":"","family":"Erben","given":"Nurettin","non-dropping-particle":"","parse-names":false,"suffix":""},{"dropping-particle":"","family":"Gori","given":"Andrea","non-dropping-particle":"","parse-names":false,"suffix":""},{"dropping-particle":"","family":"García Rodríguez","given":"Julio","non-dropping-particle":"","parse-names":false,"suffix":""},{"dropping-particle":"","family":"Garcia-Vidal","given":"Carolina","non-dropping-particle":"","parse-names":false,"suffix":""},{"dropping-particle":"","family":"Giacobbe","given":"Daniele Roberto","non-dropping-particle":"","parse-names":false,"suffix":""},{"dropping-particle":"","family":"Goodman","given":"Anna L.","non-dropping-particle":"","parse-names":false,"suffix":""},{"dropping-particle":"","family":"Hamal","given":"Petr","non-dropping-particle":"","parse-names":false,"suffix":""},{"dropping-particle":"","family":"Hammarström","given":"Helena","non-dropping-particle":"","parse-names":false,"suffix":""},{"dropping-particle":"","family":"Toscano","given":"Cristina","non-dropping-particle":"","parse-names":false,"suffix":""},{"dropping-particle":"","family":"Lanternier","given":"Fanny","non-dropping-particle":"","parse-names":false,"suffix":""},{"dropping-particle":"","family":"Lass-Flörl","given":"Cornelia","non-dropping-particle":"","parse-names":false,"suffix":""},{"dropping-particle":"","family":"Lockhart","given":"Deborah E A","non-dropping-particle":"","parse-names":false,"suffix":""},{"dropping-particle":"","family":"Longval","given":"Thomas","non-dropping-particle":"","parse-names":false,"suffix":""},{"dropping-particle":"","family":"Loughlin","given":"Laura","non-dropping-particle":"","parse-names":false,"suffix":""},{"dropping-particle":"","family":"Matos","given":"Tadeja","non-dropping-particle":"","parse-names":false,"suffix":""},{"dropping-particle":"","family":"Mikulska","given":"Malgorzata","non-dropping-particle":"","parse-names":false,"suffix":""},{"dropping-particle":"","family":"Narayanan","given":"Manjusha","non-dropping-particle":"","parse-names":false,"suffix":""},{"dropping-particle":"","family":"Martín-Pérez","given":"Sonia","non-dropping-particle":"","parse-names":false,"suffix":""},{"dropping-particle":"","family":"Prattes","given":"Juergen","non-dropping-particle":"","parse-names":false,"suffix":""},{"dropping-particle":"","family":"Rogers","given":"Benedict","non-dropping-particle":"","parse-names":false,"suffix":""},{"dropping-particle":"","family":"Rahimli","given":"Laman","non-dropping-particle":"","parse-names":false,"suffix":""},{"dropping-particle":"","family":"Ruiz","given":"Maite","non-dropping-particle":"","parse-names":false,"suffix":""},{"dropping-particle":"","family":"Roilides","given":"Emmanuel","non-dropping-particle":"","parse-names":false,"suffix":""},{"dropping-particle":"","family":"Samarkos","given":"Michael","non-dropping-particle":"","parse-names":false,"suffix":""},{"dropping-particle":"","family":"Scharmann","given":"Ulrike","non-dropping-particle":"","parse-names":false,"suffix":""},{"dropping-particle":"","family":"Sili","given":"Uluhan","non-dropping-particle":"","parse-names":false,"suffix":""},{"dropping-particle":"","family":"Sipahi","given":"Oguz Resat","non-dropping-particle":"","parse-names":false,"suffix":""},{"dropping-particle":"","family":"Sivakova","given":"Alena","non-dropping-particle":"","parse-names":false,"suffix":""},{"dropping-particle":"","family":"Steinmann","given":"Joerg","non-dropping-particle":"","parse-names":false,"suffix":""},{"dropping-particle":"","family":"Trauth","given":"Janina","non-dropping-particle":"","parse-names":false,"suffix":""},{"dropping-particle":"","family":"Turhan","given":"Ozge","non-dropping-particle":"","parse-names":false,"suffix":""},{"dropping-particle":"","family":"Praet","given":"Jens","non-dropping-particle":"Van","parse-names":false,"suffix":""},{"dropping-particle":"","family":"Vena","given":"Antonio","non-dropping-particle":"","parse-names":false,"suffix":""},{"dropping-particle":"","family":"White","given":"P. Lewis","non-dropping-particle":"","parse-names":false,"suffix":""},{"dropping-particle":"","family":"Willinger","given":"Birgit","non-dropping-particle":"","parse-names":false,"suffix":""},{"dropping-particle":"","family":"Tortorano","given":"Anna Maria","non-dropping-particle":"","parse-names":false,"suffix":""},{"dropping-particle":"","family":"Arendrup","given":"Maiken C.","non-dropping-particle":"","parse-names":false,"suffix":""},{"dropping-particle":"","family":"Koehler","given":"Philipp","non-dropping-particle":"","parse-names":false,"suffix":""},{"dropping-particle":"","family":"Cornely","given":"Oliver A.","non-dropping-particle":"","parse-names":false,"suffix":""},{"dropping-particle":"","family":"ECMM Candida III Study Group","given":"","non-dropping-particle":"","parse-names":false,"suffix":""}],"container-title":"The Lancet. Infectious diseases","id":"ITEM-1","issue":"6","issued":{"date-parts":[["2023","6"]]},"page":"751-761","title":"Guideline adherence and survival of patients with candidaemia in Europe: results from the ECMM Candida III multinational European observational cohort study.","type":"article-journal","volume":"23"},"uris":["http://www.mendeley.com/documents/?uuid=262d7207-3cb8-48a2-9041-094473471425"]}],"mendeley":{"formattedCitation":"&lt;sup&gt;1&lt;/sup&gt;","plainTextFormattedCitation":"1","previouslyFormattedCitation":"(Hoenigl et al., 2023)"},"properties":{"noteIndex":0},"schema":"https://github.com/citation-style-language/schema/raw/master/csl-citation.json"}</w:instrText>
      </w:r>
      <w:r>
        <w:fldChar w:fldCharType="separate"/>
      </w:r>
      <w:r w:rsidRPr="00DE0E89">
        <w:rPr>
          <w:noProof/>
          <w:vertAlign w:val="superscript"/>
        </w:rPr>
        <w:t>1</w:t>
      </w:r>
      <w:r>
        <w:fldChar w:fldCharType="end"/>
      </w:r>
    </w:p>
    <w:tbl>
      <w:tblPr>
        <w:tblStyle w:val="Tabel-Gitter"/>
        <w:tblW w:w="5000" w:type="pct"/>
        <w:tblLook w:val="04A0" w:firstRow="1" w:lastRow="0" w:firstColumn="1" w:lastColumn="0" w:noHBand="0" w:noVBand="1"/>
      </w:tblPr>
      <w:tblGrid>
        <w:gridCol w:w="3106"/>
        <w:gridCol w:w="2801"/>
        <w:gridCol w:w="2670"/>
        <w:gridCol w:w="1041"/>
      </w:tblGrid>
      <w:tr w:rsidR="00DE0E89" w:rsidRPr="004B0E3B" w:rsidTr="00DE0E89">
        <w:trPr>
          <w:trHeight w:val="1083"/>
        </w:trPr>
        <w:tc>
          <w:tcPr>
            <w:tcW w:w="1615" w:type="pct"/>
          </w:tcPr>
          <w:p w:rsidR="00DE0E89" w:rsidRDefault="00DE0E89" w:rsidP="00205E16">
            <w:pPr>
              <w:rPr>
                <w:rFonts w:cstheme="minorHAnsi"/>
                <w:lang w:val="en-GB"/>
              </w:rPr>
            </w:pPr>
          </w:p>
          <w:p w:rsidR="00DE0E89" w:rsidRDefault="00DE0E89" w:rsidP="00205E16">
            <w:pPr>
              <w:rPr>
                <w:rFonts w:cstheme="minorHAnsi"/>
                <w:lang w:val="en-GB"/>
              </w:rPr>
            </w:pPr>
          </w:p>
          <w:p w:rsidR="00DE0E89" w:rsidRPr="004B0E3B" w:rsidRDefault="00DE0E89" w:rsidP="00205E16">
            <w:pPr>
              <w:rPr>
                <w:rFonts w:cstheme="minorHAnsi"/>
                <w:lang w:val="en-GB"/>
              </w:rPr>
            </w:pPr>
          </w:p>
        </w:tc>
        <w:tc>
          <w:tcPr>
            <w:tcW w:w="1456" w:type="pct"/>
            <w:tcBorders>
              <w:right w:val="single" w:sz="12" w:space="0" w:color="auto"/>
            </w:tcBorders>
          </w:tcPr>
          <w:p w:rsidR="00DE0E89" w:rsidRPr="004B0E3B" w:rsidRDefault="00DE0E89" w:rsidP="00205E16">
            <w:pPr>
              <w:jc w:val="center"/>
              <w:rPr>
                <w:rFonts w:cstheme="minorHAnsi"/>
                <w:b/>
                <w:bCs/>
                <w:lang w:val="en-GB"/>
              </w:rPr>
            </w:pPr>
            <w:r w:rsidRPr="004B0E3B">
              <w:rPr>
                <w:rFonts w:cstheme="minorHAnsi"/>
                <w:b/>
                <w:bCs/>
                <w:lang w:val="en-GB"/>
              </w:rPr>
              <w:t xml:space="preserve">Patients enrolled in </w:t>
            </w:r>
            <w:r w:rsidRPr="004B0E3B">
              <w:rPr>
                <w:rFonts w:cstheme="minorHAnsi"/>
                <w:b/>
                <w:bCs/>
                <w:i/>
                <w:lang w:val="en-GB"/>
              </w:rPr>
              <w:t>Candida</w:t>
            </w:r>
            <w:r w:rsidRPr="004B0E3B">
              <w:rPr>
                <w:rFonts w:cstheme="minorHAnsi"/>
                <w:b/>
                <w:bCs/>
                <w:lang w:val="en-GB"/>
              </w:rPr>
              <w:t xml:space="preserve"> III </w:t>
            </w:r>
            <w:r>
              <w:rPr>
                <w:rFonts w:cstheme="minorHAnsi"/>
                <w:b/>
                <w:bCs/>
                <w:lang w:val="en-GB"/>
              </w:rPr>
              <w:t>with</w:t>
            </w:r>
            <w:r w:rsidRPr="004B0E3B">
              <w:rPr>
                <w:rFonts w:cstheme="minorHAnsi"/>
                <w:b/>
                <w:bCs/>
                <w:lang w:val="en-GB"/>
              </w:rPr>
              <w:t xml:space="preserve"> isolate</w:t>
            </w:r>
            <w:r>
              <w:rPr>
                <w:rFonts w:cstheme="minorHAnsi"/>
                <w:b/>
                <w:bCs/>
                <w:lang w:val="en-GB"/>
              </w:rPr>
              <w:t>(s)</w:t>
            </w:r>
            <w:r w:rsidRPr="004B0E3B">
              <w:rPr>
                <w:rFonts w:cstheme="minorHAnsi"/>
                <w:b/>
                <w:bCs/>
                <w:lang w:val="en-GB"/>
              </w:rPr>
              <w:t xml:space="preserve"> provided (n=385)</w:t>
            </w:r>
          </w:p>
        </w:tc>
        <w:tc>
          <w:tcPr>
            <w:tcW w:w="1388" w:type="pct"/>
            <w:tcBorders>
              <w:right w:val="single" w:sz="12" w:space="0" w:color="auto"/>
            </w:tcBorders>
          </w:tcPr>
          <w:p w:rsidR="00DE0E89" w:rsidRPr="004B0E3B" w:rsidRDefault="00DE0E89" w:rsidP="00205E16">
            <w:pPr>
              <w:jc w:val="center"/>
              <w:rPr>
                <w:rFonts w:cstheme="minorHAnsi"/>
                <w:b/>
                <w:bCs/>
                <w:lang w:val="en-GB"/>
              </w:rPr>
            </w:pPr>
            <w:r w:rsidRPr="004B0E3B">
              <w:rPr>
                <w:rFonts w:cstheme="minorHAnsi"/>
                <w:b/>
                <w:bCs/>
                <w:lang w:val="en-GB"/>
              </w:rPr>
              <w:t xml:space="preserve">Patients enrolled in </w:t>
            </w:r>
            <w:r w:rsidRPr="004B0E3B">
              <w:rPr>
                <w:rFonts w:cstheme="minorHAnsi"/>
                <w:b/>
                <w:bCs/>
                <w:i/>
                <w:lang w:val="en-GB"/>
              </w:rPr>
              <w:t>Candida</w:t>
            </w:r>
            <w:r w:rsidRPr="004B0E3B">
              <w:rPr>
                <w:rFonts w:cstheme="minorHAnsi"/>
                <w:b/>
                <w:bCs/>
                <w:lang w:val="en-GB"/>
              </w:rPr>
              <w:t xml:space="preserve"> III but no isolate</w:t>
            </w:r>
            <w:r>
              <w:rPr>
                <w:rFonts w:cstheme="minorHAnsi"/>
                <w:b/>
                <w:bCs/>
                <w:lang w:val="en-GB"/>
              </w:rPr>
              <w:t>(s)</w:t>
            </w:r>
            <w:r w:rsidRPr="004B0E3B">
              <w:rPr>
                <w:rFonts w:cstheme="minorHAnsi"/>
                <w:b/>
                <w:bCs/>
                <w:lang w:val="en-GB"/>
              </w:rPr>
              <w:t xml:space="preserve"> provided (n=247)</w:t>
            </w:r>
          </w:p>
        </w:tc>
        <w:tc>
          <w:tcPr>
            <w:tcW w:w="541" w:type="pct"/>
            <w:tcBorders>
              <w:right w:val="single" w:sz="12" w:space="0" w:color="auto"/>
            </w:tcBorders>
          </w:tcPr>
          <w:p w:rsidR="00DE0E89" w:rsidRPr="004B0E3B" w:rsidRDefault="00DE0E89" w:rsidP="00DE0E89">
            <w:pPr>
              <w:spacing w:line="276" w:lineRule="auto"/>
              <w:jc w:val="center"/>
              <w:rPr>
                <w:rFonts w:cstheme="minorHAnsi"/>
                <w:b/>
                <w:bCs/>
                <w:lang w:val="en-GB"/>
              </w:rPr>
            </w:pPr>
            <w:r>
              <w:rPr>
                <w:rFonts w:cstheme="minorHAnsi"/>
                <w:b/>
                <w:bCs/>
                <w:lang w:val="en-GB"/>
              </w:rPr>
              <w:t>P (</w:t>
            </w:r>
            <w:r>
              <w:rPr>
                <w:rFonts w:ascii="Arial" w:hAnsi="Arial" w:cs="Arial"/>
                <w:sz w:val="20"/>
                <w:szCs w:val="20"/>
              </w:rPr>
              <w:t>Fisher's exact test)</w:t>
            </w:r>
          </w:p>
        </w:tc>
      </w:tr>
      <w:tr w:rsidR="00DE0E89" w:rsidRPr="004B0E3B" w:rsidTr="00205E16">
        <w:trPr>
          <w:trHeight w:val="348"/>
        </w:trPr>
        <w:tc>
          <w:tcPr>
            <w:tcW w:w="1615" w:type="pct"/>
          </w:tcPr>
          <w:p w:rsidR="00DE0E89" w:rsidRPr="004B0E3B" w:rsidRDefault="00DE0E89" w:rsidP="00205E16">
            <w:pPr>
              <w:rPr>
                <w:rFonts w:cstheme="minorHAnsi"/>
                <w:b/>
                <w:bCs/>
                <w:lang w:val="en-GB"/>
              </w:rPr>
            </w:pPr>
            <w:r w:rsidRPr="004B0E3B">
              <w:rPr>
                <w:rFonts w:cstheme="minorHAnsi"/>
                <w:b/>
                <w:bCs/>
                <w:lang w:val="en-GB"/>
              </w:rPr>
              <w:t>Enrolled by Tertiary Care Center</w:t>
            </w:r>
          </w:p>
        </w:tc>
        <w:tc>
          <w:tcPr>
            <w:tcW w:w="1456"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367 (95%)</w:t>
            </w:r>
          </w:p>
        </w:tc>
        <w:tc>
          <w:tcPr>
            <w:tcW w:w="1388"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239 (97%)</w:t>
            </w:r>
          </w:p>
        </w:tc>
        <w:tc>
          <w:tcPr>
            <w:tcW w:w="541" w:type="pct"/>
            <w:tcBorders>
              <w:right w:val="single" w:sz="12" w:space="0" w:color="auto"/>
            </w:tcBorders>
          </w:tcPr>
          <w:p w:rsidR="00DE0E89" w:rsidRDefault="00DE0E89" w:rsidP="00205E16">
            <w:pPr>
              <w:jc w:val="center"/>
              <w:rPr>
                <w:rFonts w:cstheme="minorHAnsi"/>
                <w:lang w:val="en-GB"/>
              </w:rPr>
            </w:pPr>
            <w:r>
              <w:rPr>
                <w:rFonts w:cstheme="minorHAnsi"/>
                <w:lang w:val="en-GB"/>
              </w:rPr>
              <w:t>0.4187</w:t>
            </w:r>
          </w:p>
          <w:p w:rsidR="00DE0E89" w:rsidRPr="004B0E3B" w:rsidRDefault="00DE0E89" w:rsidP="00205E16">
            <w:pPr>
              <w:jc w:val="center"/>
              <w:rPr>
                <w:rFonts w:cstheme="minorHAnsi"/>
                <w:lang w:val="en-GB"/>
              </w:rPr>
            </w:pPr>
          </w:p>
        </w:tc>
      </w:tr>
      <w:tr w:rsidR="00DE0E89" w:rsidRPr="004B0E3B" w:rsidTr="00205E16">
        <w:trPr>
          <w:trHeight w:val="348"/>
        </w:trPr>
        <w:tc>
          <w:tcPr>
            <w:tcW w:w="1615" w:type="pct"/>
          </w:tcPr>
          <w:p w:rsidR="00DE0E89" w:rsidRPr="004B0E3B" w:rsidRDefault="00DE0E89" w:rsidP="00205E16">
            <w:pPr>
              <w:rPr>
                <w:rFonts w:cstheme="minorHAnsi"/>
                <w:b/>
                <w:bCs/>
                <w:lang w:val="en-GB"/>
              </w:rPr>
            </w:pPr>
            <w:r w:rsidRPr="004B0E3B">
              <w:rPr>
                <w:rFonts w:cstheme="minorHAnsi"/>
                <w:b/>
                <w:bCs/>
                <w:lang w:val="en-GB"/>
              </w:rPr>
              <w:t>Enrolled in Secondary Care</w:t>
            </w:r>
          </w:p>
        </w:tc>
        <w:tc>
          <w:tcPr>
            <w:tcW w:w="1456"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10 (3%)</w:t>
            </w:r>
          </w:p>
        </w:tc>
        <w:tc>
          <w:tcPr>
            <w:tcW w:w="1388"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6 (2%)</w:t>
            </w:r>
          </w:p>
        </w:tc>
        <w:tc>
          <w:tcPr>
            <w:tcW w:w="541" w:type="pct"/>
            <w:tcBorders>
              <w:right w:val="single" w:sz="12" w:space="0" w:color="auto"/>
            </w:tcBorders>
          </w:tcPr>
          <w:p w:rsidR="00DE0E89" w:rsidRPr="004B0E3B" w:rsidRDefault="00DE0E89" w:rsidP="00205E16">
            <w:pPr>
              <w:jc w:val="center"/>
              <w:rPr>
                <w:rFonts w:cstheme="minorHAnsi"/>
                <w:lang w:val="en-GB"/>
              </w:rPr>
            </w:pPr>
          </w:p>
        </w:tc>
      </w:tr>
      <w:tr w:rsidR="00DE0E89" w:rsidRPr="004B0E3B" w:rsidTr="00205E16">
        <w:trPr>
          <w:trHeight w:val="348"/>
        </w:trPr>
        <w:tc>
          <w:tcPr>
            <w:tcW w:w="1615" w:type="pct"/>
          </w:tcPr>
          <w:p w:rsidR="00DE0E89" w:rsidRPr="004B0E3B" w:rsidRDefault="00DE0E89" w:rsidP="00205E16">
            <w:pPr>
              <w:rPr>
                <w:rFonts w:cstheme="minorHAnsi"/>
                <w:b/>
                <w:bCs/>
                <w:lang w:val="en-GB"/>
              </w:rPr>
            </w:pPr>
            <w:r w:rsidRPr="004B0E3B">
              <w:rPr>
                <w:rFonts w:cstheme="minorHAnsi"/>
                <w:b/>
                <w:bCs/>
                <w:lang w:val="en-GB"/>
              </w:rPr>
              <w:t>CRBSI</w:t>
            </w:r>
            <w:r w:rsidRPr="002E3EB5">
              <w:rPr>
                <w:rFonts w:cstheme="minorHAnsi"/>
                <w:b/>
                <w:bCs/>
                <w:vertAlign w:val="superscript"/>
                <w:lang w:val="en-GB"/>
              </w:rPr>
              <w:t>#</w:t>
            </w:r>
          </w:p>
        </w:tc>
        <w:tc>
          <w:tcPr>
            <w:tcW w:w="1456"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71 (18%)</w:t>
            </w:r>
          </w:p>
        </w:tc>
        <w:tc>
          <w:tcPr>
            <w:tcW w:w="1388"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59 (24%)</w:t>
            </w:r>
          </w:p>
        </w:tc>
        <w:tc>
          <w:tcPr>
            <w:tcW w:w="541" w:type="pct"/>
            <w:tcBorders>
              <w:right w:val="single" w:sz="12" w:space="0" w:color="auto"/>
            </w:tcBorders>
          </w:tcPr>
          <w:p w:rsidR="00DE0E89" w:rsidRPr="004B0E3B" w:rsidRDefault="00DE0E89" w:rsidP="00205E16">
            <w:pPr>
              <w:jc w:val="center"/>
              <w:rPr>
                <w:rFonts w:cstheme="minorHAnsi"/>
                <w:lang w:val="en-GB"/>
              </w:rPr>
            </w:pPr>
            <w:r>
              <w:rPr>
                <w:rFonts w:cstheme="minorHAnsi"/>
                <w:lang w:val="en-GB"/>
              </w:rPr>
              <w:t>0.1070</w:t>
            </w:r>
          </w:p>
        </w:tc>
      </w:tr>
      <w:tr w:rsidR="00DE0E89" w:rsidRPr="004B0E3B" w:rsidTr="00205E16">
        <w:trPr>
          <w:trHeight w:val="359"/>
        </w:trPr>
        <w:tc>
          <w:tcPr>
            <w:tcW w:w="1615" w:type="pct"/>
          </w:tcPr>
          <w:p w:rsidR="00DE0E89" w:rsidRPr="004B0E3B" w:rsidRDefault="00DE0E89" w:rsidP="00205E16">
            <w:pPr>
              <w:rPr>
                <w:rFonts w:cstheme="minorHAnsi"/>
                <w:b/>
                <w:bCs/>
                <w:lang w:val="en-GB"/>
              </w:rPr>
            </w:pPr>
            <w:r w:rsidRPr="004B0E3B">
              <w:rPr>
                <w:rFonts w:cstheme="minorHAnsi"/>
                <w:b/>
                <w:bCs/>
                <w:lang w:val="en-GB"/>
              </w:rPr>
              <w:t xml:space="preserve">Risk factors for </w:t>
            </w:r>
            <w:r>
              <w:rPr>
                <w:rFonts w:cstheme="minorHAnsi"/>
                <w:b/>
                <w:bCs/>
                <w:lang w:val="en-GB"/>
              </w:rPr>
              <w:t>IC</w:t>
            </w:r>
            <w:r w:rsidRPr="002E3EB5">
              <w:rPr>
                <w:rFonts w:cstheme="minorHAnsi"/>
                <w:b/>
                <w:bCs/>
                <w:vertAlign w:val="superscript"/>
                <w:lang w:val="en-GB"/>
              </w:rPr>
              <w:t>#</w:t>
            </w:r>
          </w:p>
        </w:tc>
        <w:tc>
          <w:tcPr>
            <w:tcW w:w="1456" w:type="pct"/>
            <w:tcBorders>
              <w:right w:val="single" w:sz="12" w:space="0" w:color="auto"/>
            </w:tcBorders>
          </w:tcPr>
          <w:p w:rsidR="00DE0E89" w:rsidRPr="004B0E3B" w:rsidRDefault="00DE0E89" w:rsidP="00205E16">
            <w:pPr>
              <w:jc w:val="center"/>
              <w:rPr>
                <w:rFonts w:cstheme="minorHAnsi"/>
                <w:lang w:val="en-GB"/>
              </w:rPr>
            </w:pPr>
          </w:p>
        </w:tc>
        <w:tc>
          <w:tcPr>
            <w:tcW w:w="1388" w:type="pct"/>
            <w:tcBorders>
              <w:right w:val="single" w:sz="12" w:space="0" w:color="auto"/>
            </w:tcBorders>
          </w:tcPr>
          <w:p w:rsidR="00DE0E89" w:rsidRPr="004B0E3B" w:rsidRDefault="00DE0E89" w:rsidP="00205E16">
            <w:pPr>
              <w:jc w:val="center"/>
              <w:rPr>
                <w:rFonts w:cstheme="minorHAnsi"/>
                <w:lang w:val="en-GB"/>
              </w:rPr>
            </w:pPr>
          </w:p>
        </w:tc>
        <w:tc>
          <w:tcPr>
            <w:tcW w:w="541" w:type="pct"/>
            <w:tcBorders>
              <w:right w:val="single" w:sz="12" w:space="0" w:color="auto"/>
            </w:tcBorders>
          </w:tcPr>
          <w:p w:rsidR="00DE0E89" w:rsidRPr="004B0E3B" w:rsidRDefault="00DE0E89" w:rsidP="00205E16">
            <w:pPr>
              <w:jc w:val="center"/>
              <w:rPr>
                <w:rFonts w:cstheme="minorHAnsi"/>
                <w:lang w:val="en-GB"/>
              </w:rPr>
            </w:pPr>
          </w:p>
        </w:tc>
      </w:tr>
      <w:tr w:rsidR="00DE0E89" w:rsidRPr="004B0E3B" w:rsidTr="00205E16">
        <w:trPr>
          <w:trHeight w:val="348"/>
        </w:trPr>
        <w:tc>
          <w:tcPr>
            <w:tcW w:w="1615" w:type="pct"/>
          </w:tcPr>
          <w:p w:rsidR="00DE0E89" w:rsidRPr="004B0E3B" w:rsidRDefault="00DE0E89" w:rsidP="00205E16">
            <w:pPr>
              <w:rPr>
                <w:rFonts w:cstheme="minorHAnsi"/>
                <w:lang w:val="en-GB"/>
              </w:rPr>
            </w:pPr>
            <w:r w:rsidRPr="004B0E3B">
              <w:rPr>
                <w:rFonts w:cstheme="minorHAnsi"/>
                <w:lang w:val="en-GB"/>
              </w:rPr>
              <w:t xml:space="preserve">  ICU</w:t>
            </w:r>
          </w:p>
        </w:tc>
        <w:tc>
          <w:tcPr>
            <w:tcW w:w="1456"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129 (34%)</w:t>
            </w:r>
          </w:p>
        </w:tc>
        <w:tc>
          <w:tcPr>
            <w:tcW w:w="1388"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105 (43%)</w:t>
            </w:r>
          </w:p>
        </w:tc>
        <w:tc>
          <w:tcPr>
            <w:tcW w:w="541" w:type="pct"/>
            <w:tcBorders>
              <w:right w:val="single" w:sz="12" w:space="0" w:color="auto"/>
            </w:tcBorders>
          </w:tcPr>
          <w:p w:rsidR="00DE0E89" w:rsidRPr="00155B31" w:rsidRDefault="00DE0E89" w:rsidP="00205E16">
            <w:pPr>
              <w:jc w:val="center"/>
              <w:rPr>
                <w:rFonts w:cstheme="minorHAnsi"/>
                <w:b/>
                <w:lang w:val="en-GB"/>
              </w:rPr>
            </w:pPr>
            <w:r w:rsidRPr="00155B31">
              <w:rPr>
                <w:rFonts w:cstheme="minorHAnsi"/>
                <w:b/>
                <w:lang w:val="en-GB"/>
              </w:rPr>
              <w:t>0.0230</w:t>
            </w:r>
          </w:p>
        </w:tc>
      </w:tr>
      <w:tr w:rsidR="00DE0E89" w:rsidRPr="004B0E3B" w:rsidTr="00205E16">
        <w:trPr>
          <w:trHeight w:val="566"/>
        </w:trPr>
        <w:tc>
          <w:tcPr>
            <w:tcW w:w="1615" w:type="pct"/>
          </w:tcPr>
          <w:p w:rsidR="00DE0E89" w:rsidRPr="004B0E3B" w:rsidRDefault="00DE0E89" w:rsidP="00205E16">
            <w:pPr>
              <w:rPr>
                <w:rFonts w:cstheme="minorHAnsi"/>
                <w:lang w:val="en-GB"/>
              </w:rPr>
            </w:pPr>
            <w:r w:rsidRPr="004B0E3B">
              <w:rPr>
                <w:rFonts w:cstheme="minorHAnsi"/>
                <w:lang w:val="en-GB"/>
              </w:rPr>
              <w:t xml:space="preserve">  Haematological/Oncological malignancy</w:t>
            </w:r>
          </w:p>
        </w:tc>
        <w:tc>
          <w:tcPr>
            <w:tcW w:w="1456"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142 (37%)</w:t>
            </w:r>
          </w:p>
        </w:tc>
        <w:tc>
          <w:tcPr>
            <w:tcW w:w="1388"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105 (43%)</w:t>
            </w:r>
          </w:p>
        </w:tc>
        <w:tc>
          <w:tcPr>
            <w:tcW w:w="541" w:type="pct"/>
            <w:tcBorders>
              <w:right w:val="single" w:sz="12" w:space="0" w:color="auto"/>
            </w:tcBorders>
          </w:tcPr>
          <w:p w:rsidR="00DE0E89" w:rsidRPr="004B0E3B" w:rsidRDefault="00DE0E89" w:rsidP="00205E16">
            <w:pPr>
              <w:jc w:val="center"/>
              <w:rPr>
                <w:rFonts w:cstheme="minorHAnsi"/>
                <w:lang w:val="en-GB"/>
              </w:rPr>
            </w:pPr>
            <w:r>
              <w:rPr>
                <w:rFonts w:cstheme="minorHAnsi"/>
                <w:lang w:val="en-GB"/>
              </w:rPr>
              <w:t>0.1813</w:t>
            </w:r>
          </w:p>
        </w:tc>
      </w:tr>
      <w:tr w:rsidR="00DE0E89" w:rsidRPr="004B0E3B" w:rsidTr="00DE0E89">
        <w:trPr>
          <w:trHeight w:val="359"/>
        </w:trPr>
        <w:tc>
          <w:tcPr>
            <w:tcW w:w="1615" w:type="pct"/>
          </w:tcPr>
          <w:p w:rsidR="00DE0E89" w:rsidRPr="004B0E3B" w:rsidRDefault="00DE0E89" w:rsidP="00205E16">
            <w:pPr>
              <w:rPr>
                <w:rFonts w:cstheme="minorHAnsi"/>
                <w:b/>
                <w:bCs/>
                <w:lang w:val="en-GB"/>
              </w:rPr>
            </w:pPr>
            <w:r w:rsidRPr="004B0E3B">
              <w:rPr>
                <w:rFonts w:cstheme="minorHAnsi"/>
                <w:b/>
                <w:bCs/>
                <w:lang w:val="en-GB"/>
              </w:rPr>
              <w:t xml:space="preserve">Causative </w:t>
            </w:r>
            <w:r w:rsidRPr="004B0E3B">
              <w:rPr>
                <w:rFonts w:cstheme="minorHAnsi"/>
                <w:b/>
                <w:bCs/>
                <w:i/>
                <w:iCs/>
                <w:lang w:val="en-GB"/>
              </w:rPr>
              <w:t>Candida</w:t>
            </w:r>
            <w:r w:rsidRPr="004B0E3B">
              <w:rPr>
                <w:rFonts w:cstheme="minorHAnsi"/>
                <w:b/>
                <w:bCs/>
                <w:lang w:val="en-GB"/>
              </w:rPr>
              <w:t xml:space="preserve"> species*</w:t>
            </w:r>
          </w:p>
        </w:tc>
        <w:tc>
          <w:tcPr>
            <w:tcW w:w="1456" w:type="pct"/>
            <w:tcBorders>
              <w:right w:val="single" w:sz="12" w:space="0" w:color="auto"/>
            </w:tcBorders>
          </w:tcPr>
          <w:p w:rsidR="00DE0E89" w:rsidRPr="004B0E3B" w:rsidRDefault="00DE0E89" w:rsidP="00205E16">
            <w:pPr>
              <w:jc w:val="center"/>
              <w:rPr>
                <w:rFonts w:cstheme="minorHAnsi"/>
                <w:lang w:val="en-GB"/>
              </w:rPr>
            </w:pPr>
          </w:p>
        </w:tc>
        <w:tc>
          <w:tcPr>
            <w:tcW w:w="1388" w:type="pct"/>
            <w:tcBorders>
              <w:right w:val="single" w:sz="12" w:space="0" w:color="auto"/>
            </w:tcBorders>
          </w:tcPr>
          <w:p w:rsidR="00DE0E89" w:rsidRPr="004B0E3B" w:rsidRDefault="00DE0E89" w:rsidP="00205E16">
            <w:pPr>
              <w:jc w:val="center"/>
              <w:rPr>
                <w:rFonts w:cstheme="minorHAnsi"/>
                <w:lang w:val="en-GB"/>
              </w:rPr>
            </w:pPr>
          </w:p>
        </w:tc>
        <w:tc>
          <w:tcPr>
            <w:tcW w:w="541" w:type="pct"/>
            <w:tcBorders>
              <w:right w:val="single" w:sz="12" w:space="0" w:color="auto"/>
            </w:tcBorders>
          </w:tcPr>
          <w:p w:rsidR="00DE0E89" w:rsidRPr="004B0E3B" w:rsidRDefault="00DE0E89" w:rsidP="00205E16">
            <w:pPr>
              <w:jc w:val="center"/>
              <w:rPr>
                <w:rFonts w:cstheme="minorHAnsi"/>
                <w:lang w:val="en-GB"/>
              </w:rPr>
            </w:pPr>
          </w:p>
        </w:tc>
      </w:tr>
      <w:tr w:rsidR="00DE0E89" w:rsidRPr="004B0E3B" w:rsidTr="00205E16">
        <w:trPr>
          <w:trHeight w:val="348"/>
        </w:trPr>
        <w:tc>
          <w:tcPr>
            <w:tcW w:w="1615" w:type="pct"/>
            <w:tcBorders>
              <w:bottom w:val="single" w:sz="4" w:space="0" w:color="auto"/>
            </w:tcBorders>
          </w:tcPr>
          <w:p w:rsidR="00DE0E89" w:rsidRPr="004B0E3B" w:rsidRDefault="00DE0E89" w:rsidP="00205E16">
            <w:pPr>
              <w:rPr>
                <w:rFonts w:cstheme="minorHAnsi"/>
                <w:lang w:val="en-GB"/>
              </w:rPr>
            </w:pPr>
            <w:r>
              <w:rPr>
                <w:rFonts w:cstheme="minorHAnsi"/>
                <w:lang w:val="en-GB"/>
              </w:rPr>
              <w:t xml:space="preserve">  Total </w:t>
            </w:r>
            <w:r w:rsidRPr="005F2FBC">
              <w:rPr>
                <w:rFonts w:cstheme="minorHAnsi"/>
                <w:i/>
                <w:lang w:val="en-GB"/>
              </w:rPr>
              <w:t>n</w:t>
            </w:r>
            <w:r>
              <w:rPr>
                <w:rFonts w:cstheme="minorHAnsi"/>
                <w:lang w:val="en-GB"/>
              </w:rPr>
              <w:t xml:space="preserve"> Isolates*</w:t>
            </w:r>
          </w:p>
        </w:tc>
        <w:tc>
          <w:tcPr>
            <w:tcW w:w="1456" w:type="pct"/>
            <w:tcBorders>
              <w:bottom w:val="single" w:sz="4" w:space="0" w:color="auto"/>
              <w:right w:val="single" w:sz="12" w:space="0" w:color="auto"/>
            </w:tcBorders>
          </w:tcPr>
          <w:p w:rsidR="00DE0E89" w:rsidRPr="004B0E3B" w:rsidRDefault="00DE0E89" w:rsidP="00205E16">
            <w:pPr>
              <w:jc w:val="center"/>
              <w:rPr>
                <w:rFonts w:cstheme="minorHAnsi"/>
                <w:lang w:val="en-GB"/>
              </w:rPr>
            </w:pPr>
            <w:r>
              <w:rPr>
                <w:rFonts w:cstheme="minorHAnsi"/>
                <w:lang w:val="en-GB"/>
              </w:rPr>
              <w:t>399</w:t>
            </w:r>
          </w:p>
        </w:tc>
        <w:tc>
          <w:tcPr>
            <w:tcW w:w="1388" w:type="pct"/>
            <w:tcBorders>
              <w:bottom w:val="single" w:sz="4" w:space="0" w:color="auto"/>
              <w:right w:val="single" w:sz="12" w:space="0" w:color="auto"/>
            </w:tcBorders>
          </w:tcPr>
          <w:p w:rsidR="00DE0E89" w:rsidRPr="004B0E3B" w:rsidRDefault="00DE0E89" w:rsidP="00205E16">
            <w:pPr>
              <w:jc w:val="center"/>
              <w:rPr>
                <w:rFonts w:cstheme="minorHAnsi"/>
                <w:lang w:val="en-GB"/>
              </w:rPr>
            </w:pPr>
            <w:r>
              <w:rPr>
                <w:rFonts w:cstheme="minorHAnsi"/>
                <w:lang w:val="en-GB"/>
              </w:rPr>
              <w:t>250</w:t>
            </w:r>
          </w:p>
        </w:tc>
        <w:tc>
          <w:tcPr>
            <w:tcW w:w="541" w:type="pct"/>
            <w:tcBorders>
              <w:bottom w:val="single" w:sz="4" w:space="0" w:color="auto"/>
              <w:right w:val="single" w:sz="12" w:space="0" w:color="auto"/>
            </w:tcBorders>
          </w:tcPr>
          <w:p w:rsidR="00DE0E89" w:rsidRDefault="00DE0E89" w:rsidP="00205E16">
            <w:pPr>
              <w:jc w:val="center"/>
              <w:rPr>
                <w:rFonts w:cstheme="minorHAnsi"/>
                <w:lang w:val="en-GB"/>
              </w:rPr>
            </w:pPr>
          </w:p>
        </w:tc>
      </w:tr>
      <w:tr w:rsidR="00DE0E89" w:rsidRPr="004B0E3B" w:rsidTr="00205E16">
        <w:trPr>
          <w:trHeight w:val="359"/>
        </w:trPr>
        <w:tc>
          <w:tcPr>
            <w:tcW w:w="1615" w:type="pct"/>
          </w:tcPr>
          <w:p w:rsidR="00DE0E89" w:rsidRPr="004B0E3B" w:rsidRDefault="00DE0E89" w:rsidP="00205E16">
            <w:pPr>
              <w:rPr>
                <w:rFonts w:cstheme="minorHAnsi"/>
                <w:i/>
                <w:iCs/>
                <w:lang w:val="en-GB"/>
              </w:rPr>
            </w:pPr>
            <w:r w:rsidRPr="004B0E3B">
              <w:rPr>
                <w:rFonts w:cstheme="minorHAnsi"/>
                <w:i/>
                <w:iCs/>
                <w:lang w:val="en-GB"/>
              </w:rPr>
              <w:t xml:space="preserve">  C. albicans</w:t>
            </w:r>
          </w:p>
        </w:tc>
        <w:tc>
          <w:tcPr>
            <w:tcW w:w="1456"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188 (47%)</w:t>
            </w:r>
          </w:p>
        </w:tc>
        <w:tc>
          <w:tcPr>
            <w:tcW w:w="1388"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103 (42%)</w:t>
            </w:r>
          </w:p>
        </w:tc>
        <w:tc>
          <w:tcPr>
            <w:tcW w:w="541" w:type="pct"/>
            <w:tcBorders>
              <w:right w:val="single" w:sz="12" w:space="0" w:color="auto"/>
            </w:tcBorders>
          </w:tcPr>
          <w:p w:rsidR="00DE0E89" w:rsidRPr="004B0E3B" w:rsidRDefault="00DE0E89" w:rsidP="00205E16">
            <w:pPr>
              <w:jc w:val="center"/>
              <w:rPr>
                <w:rFonts w:cstheme="minorHAnsi"/>
                <w:lang w:val="en-GB"/>
              </w:rPr>
            </w:pPr>
            <w:r>
              <w:rPr>
                <w:rFonts w:cstheme="minorHAnsi"/>
                <w:lang w:val="en-GB"/>
              </w:rPr>
              <w:t>0.1452</w:t>
            </w:r>
          </w:p>
        </w:tc>
      </w:tr>
      <w:tr w:rsidR="00DE0E89" w:rsidRPr="004B0E3B" w:rsidTr="00205E16">
        <w:trPr>
          <w:trHeight w:val="348"/>
        </w:trPr>
        <w:tc>
          <w:tcPr>
            <w:tcW w:w="1615" w:type="pct"/>
          </w:tcPr>
          <w:p w:rsidR="00DE0E89" w:rsidRPr="004B0E3B" w:rsidRDefault="00DE0E89" w:rsidP="00205E16">
            <w:pPr>
              <w:rPr>
                <w:rFonts w:cstheme="minorHAnsi"/>
                <w:i/>
                <w:iCs/>
                <w:lang w:val="en-GB"/>
              </w:rPr>
            </w:pPr>
            <w:r w:rsidRPr="004B0E3B">
              <w:rPr>
                <w:rFonts w:cstheme="minorHAnsi"/>
                <w:i/>
                <w:iCs/>
                <w:lang w:val="en-GB"/>
              </w:rPr>
              <w:t xml:space="preserve">  C. glabrata</w:t>
            </w:r>
          </w:p>
        </w:tc>
        <w:tc>
          <w:tcPr>
            <w:tcW w:w="1456"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89 (22%)</w:t>
            </w:r>
          </w:p>
        </w:tc>
        <w:tc>
          <w:tcPr>
            <w:tcW w:w="1388"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53 (21%)</w:t>
            </w:r>
          </w:p>
        </w:tc>
        <w:tc>
          <w:tcPr>
            <w:tcW w:w="541" w:type="pct"/>
            <w:tcBorders>
              <w:right w:val="single" w:sz="12" w:space="0" w:color="auto"/>
            </w:tcBorders>
          </w:tcPr>
          <w:p w:rsidR="00DE0E89" w:rsidRPr="004B0E3B" w:rsidRDefault="00DE0E89" w:rsidP="00205E16">
            <w:pPr>
              <w:jc w:val="center"/>
              <w:rPr>
                <w:rFonts w:cstheme="minorHAnsi"/>
                <w:lang w:val="en-GB"/>
              </w:rPr>
            </w:pPr>
          </w:p>
        </w:tc>
      </w:tr>
      <w:tr w:rsidR="00DE0E89" w:rsidRPr="004B0E3B" w:rsidTr="00205E16">
        <w:trPr>
          <w:trHeight w:val="359"/>
        </w:trPr>
        <w:tc>
          <w:tcPr>
            <w:tcW w:w="1615" w:type="pct"/>
            <w:vAlign w:val="center"/>
          </w:tcPr>
          <w:p w:rsidR="00DE0E89" w:rsidRPr="004B0E3B" w:rsidRDefault="00DE0E89" w:rsidP="00205E16">
            <w:pPr>
              <w:rPr>
                <w:rFonts w:cstheme="minorHAnsi"/>
                <w:i/>
                <w:iCs/>
                <w:lang w:val="en-GB"/>
              </w:rPr>
            </w:pPr>
            <w:r w:rsidRPr="004B0E3B">
              <w:rPr>
                <w:rFonts w:cstheme="minorHAnsi"/>
                <w:i/>
                <w:iCs/>
                <w:lang w:val="en-GB"/>
              </w:rPr>
              <w:t xml:space="preserve">  C. parapsilosis</w:t>
            </w:r>
          </w:p>
        </w:tc>
        <w:tc>
          <w:tcPr>
            <w:tcW w:w="1456" w:type="pct"/>
            <w:tcBorders>
              <w:right w:val="single" w:sz="12" w:space="0" w:color="auto"/>
            </w:tcBorders>
            <w:vAlign w:val="bottom"/>
          </w:tcPr>
          <w:p w:rsidR="00DE0E89" w:rsidRPr="004B0E3B" w:rsidRDefault="00DE0E89" w:rsidP="00205E16">
            <w:pPr>
              <w:jc w:val="center"/>
              <w:rPr>
                <w:rFonts w:cstheme="minorHAnsi"/>
                <w:lang w:val="en-GB"/>
              </w:rPr>
            </w:pPr>
            <w:r w:rsidRPr="004B0E3B">
              <w:rPr>
                <w:rFonts w:cstheme="minorHAnsi"/>
                <w:lang w:val="en-GB"/>
              </w:rPr>
              <w:t>60 (15%)</w:t>
            </w:r>
          </w:p>
        </w:tc>
        <w:tc>
          <w:tcPr>
            <w:tcW w:w="1388"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33 (13%)</w:t>
            </w:r>
          </w:p>
        </w:tc>
        <w:tc>
          <w:tcPr>
            <w:tcW w:w="541" w:type="pct"/>
            <w:tcBorders>
              <w:right w:val="single" w:sz="12" w:space="0" w:color="auto"/>
            </w:tcBorders>
          </w:tcPr>
          <w:p w:rsidR="00DE0E89" w:rsidRPr="004B0E3B" w:rsidRDefault="00DE0E89" w:rsidP="00205E16">
            <w:pPr>
              <w:jc w:val="center"/>
              <w:rPr>
                <w:rFonts w:cstheme="minorHAnsi"/>
                <w:lang w:val="en-GB"/>
              </w:rPr>
            </w:pPr>
          </w:p>
        </w:tc>
      </w:tr>
      <w:tr w:rsidR="00DE0E89" w:rsidRPr="004B0E3B" w:rsidTr="00205E16">
        <w:trPr>
          <w:trHeight w:val="348"/>
        </w:trPr>
        <w:tc>
          <w:tcPr>
            <w:tcW w:w="1615" w:type="pct"/>
          </w:tcPr>
          <w:p w:rsidR="00DE0E89" w:rsidRPr="004B0E3B" w:rsidRDefault="00DE0E89" w:rsidP="00205E16">
            <w:pPr>
              <w:rPr>
                <w:rFonts w:cstheme="minorHAnsi"/>
                <w:i/>
                <w:iCs/>
                <w:lang w:val="en-GB"/>
              </w:rPr>
            </w:pPr>
            <w:r w:rsidRPr="004B0E3B">
              <w:rPr>
                <w:rFonts w:cstheme="minorHAnsi"/>
                <w:i/>
                <w:iCs/>
                <w:lang w:val="en-GB"/>
              </w:rPr>
              <w:t xml:space="preserve">  C. tropicalis</w:t>
            </w:r>
          </w:p>
        </w:tc>
        <w:tc>
          <w:tcPr>
            <w:tcW w:w="1456"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25 (6.3%)</w:t>
            </w:r>
          </w:p>
        </w:tc>
        <w:tc>
          <w:tcPr>
            <w:tcW w:w="1388"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21 (9%)</w:t>
            </w:r>
          </w:p>
        </w:tc>
        <w:tc>
          <w:tcPr>
            <w:tcW w:w="541" w:type="pct"/>
            <w:tcBorders>
              <w:right w:val="single" w:sz="12" w:space="0" w:color="auto"/>
            </w:tcBorders>
          </w:tcPr>
          <w:p w:rsidR="00DE0E89" w:rsidRPr="004B0E3B" w:rsidRDefault="00DE0E89" w:rsidP="00205E16">
            <w:pPr>
              <w:jc w:val="center"/>
              <w:rPr>
                <w:rFonts w:cstheme="minorHAnsi"/>
                <w:lang w:val="en-GB"/>
              </w:rPr>
            </w:pPr>
            <w:r>
              <w:rPr>
                <w:rFonts w:cstheme="minorHAnsi"/>
                <w:lang w:val="en-GB"/>
              </w:rPr>
              <w:t>0.3462</w:t>
            </w:r>
          </w:p>
        </w:tc>
      </w:tr>
      <w:tr w:rsidR="00DE0E89" w:rsidRPr="004B0E3B" w:rsidTr="00205E16">
        <w:trPr>
          <w:trHeight w:val="348"/>
        </w:trPr>
        <w:tc>
          <w:tcPr>
            <w:tcW w:w="1615" w:type="pct"/>
          </w:tcPr>
          <w:p w:rsidR="00DE0E89" w:rsidRPr="004B0E3B" w:rsidRDefault="00DE0E89" w:rsidP="00205E16">
            <w:pPr>
              <w:rPr>
                <w:rFonts w:cstheme="minorHAnsi"/>
                <w:i/>
                <w:iCs/>
                <w:lang w:val="en-GB"/>
              </w:rPr>
            </w:pPr>
            <w:r w:rsidRPr="004B0E3B">
              <w:rPr>
                <w:rFonts w:cstheme="minorHAnsi"/>
                <w:i/>
                <w:iCs/>
                <w:lang w:val="en-GB"/>
              </w:rPr>
              <w:t xml:space="preserve">  C. krusei</w:t>
            </w:r>
          </w:p>
        </w:tc>
        <w:tc>
          <w:tcPr>
            <w:tcW w:w="1456"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 xml:space="preserve"> 9 (2.3%)</w:t>
            </w:r>
          </w:p>
        </w:tc>
        <w:tc>
          <w:tcPr>
            <w:tcW w:w="1388"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7 (3%)</w:t>
            </w:r>
          </w:p>
        </w:tc>
        <w:tc>
          <w:tcPr>
            <w:tcW w:w="541" w:type="pct"/>
            <w:tcBorders>
              <w:right w:val="single" w:sz="12" w:space="0" w:color="auto"/>
            </w:tcBorders>
          </w:tcPr>
          <w:p w:rsidR="00DE0E89" w:rsidRPr="004B0E3B" w:rsidRDefault="00DE0E89" w:rsidP="00205E16">
            <w:pPr>
              <w:jc w:val="center"/>
              <w:rPr>
                <w:rFonts w:cstheme="minorHAnsi"/>
                <w:lang w:val="en-GB"/>
              </w:rPr>
            </w:pPr>
          </w:p>
        </w:tc>
      </w:tr>
      <w:tr w:rsidR="00DE0E89" w:rsidRPr="004B0E3B" w:rsidTr="00205E16">
        <w:trPr>
          <w:trHeight w:val="348"/>
        </w:trPr>
        <w:tc>
          <w:tcPr>
            <w:tcW w:w="1615" w:type="pct"/>
          </w:tcPr>
          <w:p w:rsidR="00DE0E89" w:rsidRPr="004B0E3B" w:rsidRDefault="00DE0E89" w:rsidP="00205E16">
            <w:pPr>
              <w:rPr>
                <w:rFonts w:cstheme="minorHAnsi"/>
                <w:i/>
                <w:iCs/>
                <w:lang w:val="en-GB"/>
              </w:rPr>
            </w:pPr>
            <w:r w:rsidRPr="004B0E3B">
              <w:rPr>
                <w:rFonts w:cstheme="minorHAnsi"/>
                <w:i/>
                <w:iCs/>
                <w:lang w:val="en-GB"/>
              </w:rPr>
              <w:t xml:space="preserve">  C. dubliniensis</w:t>
            </w:r>
          </w:p>
        </w:tc>
        <w:tc>
          <w:tcPr>
            <w:tcW w:w="1456"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9 (2.3%)</w:t>
            </w:r>
          </w:p>
        </w:tc>
        <w:tc>
          <w:tcPr>
            <w:tcW w:w="1388"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3 (1%)</w:t>
            </w:r>
          </w:p>
        </w:tc>
        <w:tc>
          <w:tcPr>
            <w:tcW w:w="541" w:type="pct"/>
            <w:tcBorders>
              <w:right w:val="single" w:sz="12" w:space="0" w:color="auto"/>
            </w:tcBorders>
          </w:tcPr>
          <w:p w:rsidR="00DE0E89" w:rsidRPr="004B0E3B" w:rsidRDefault="00DE0E89" w:rsidP="00205E16">
            <w:pPr>
              <w:jc w:val="center"/>
              <w:rPr>
                <w:rFonts w:cstheme="minorHAnsi"/>
                <w:lang w:val="en-GB"/>
              </w:rPr>
            </w:pPr>
          </w:p>
        </w:tc>
      </w:tr>
      <w:tr w:rsidR="00DE0E89" w:rsidRPr="004B0E3B" w:rsidTr="00205E16">
        <w:trPr>
          <w:trHeight w:val="348"/>
        </w:trPr>
        <w:tc>
          <w:tcPr>
            <w:tcW w:w="1615" w:type="pct"/>
          </w:tcPr>
          <w:p w:rsidR="00DE0E89" w:rsidRPr="004B0E3B" w:rsidRDefault="00DE0E89" w:rsidP="00205E16">
            <w:pPr>
              <w:rPr>
                <w:rFonts w:cstheme="minorHAnsi"/>
                <w:i/>
                <w:iCs/>
                <w:lang w:val="en-GB"/>
              </w:rPr>
            </w:pPr>
            <w:r w:rsidRPr="004B0E3B">
              <w:rPr>
                <w:rFonts w:cstheme="minorHAnsi"/>
                <w:i/>
                <w:iCs/>
                <w:lang w:val="en-GB"/>
              </w:rPr>
              <w:t xml:space="preserve">  C. lusitaniae</w:t>
            </w:r>
          </w:p>
        </w:tc>
        <w:tc>
          <w:tcPr>
            <w:tcW w:w="1456"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4 (1</w:t>
            </w:r>
            <w:r>
              <w:rPr>
                <w:rFonts w:cstheme="minorHAnsi"/>
                <w:lang w:val="en-GB"/>
              </w:rPr>
              <w:t>.0</w:t>
            </w:r>
            <w:r w:rsidRPr="004B0E3B">
              <w:rPr>
                <w:rFonts w:cstheme="minorHAnsi"/>
                <w:lang w:val="en-GB"/>
              </w:rPr>
              <w:t>%)</w:t>
            </w:r>
          </w:p>
        </w:tc>
        <w:tc>
          <w:tcPr>
            <w:tcW w:w="1388"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4 (2%)</w:t>
            </w:r>
          </w:p>
        </w:tc>
        <w:tc>
          <w:tcPr>
            <w:tcW w:w="541" w:type="pct"/>
            <w:tcBorders>
              <w:right w:val="single" w:sz="12" w:space="0" w:color="auto"/>
            </w:tcBorders>
          </w:tcPr>
          <w:p w:rsidR="00DE0E89" w:rsidRPr="004B0E3B" w:rsidRDefault="00DE0E89" w:rsidP="00205E16">
            <w:pPr>
              <w:jc w:val="center"/>
              <w:rPr>
                <w:rFonts w:cstheme="minorHAnsi"/>
                <w:lang w:val="en-GB"/>
              </w:rPr>
            </w:pPr>
          </w:p>
        </w:tc>
      </w:tr>
      <w:tr w:rsidR="00DE0E89" w:rsidRPr="004B0E3B" w:rsidTr="00205E16">
        <w:trPr>
          <w:trHeight w:val="348"/>
        </w:trPr>
        <w:tc>
          <w:tcPr>
            <w:tcW w:w="1615" w:type="pct"/>
            <w:tcBorders>
              <w:bottom w:val="single" w:sz="4" w:space="0" w:color="auto"/>
            </w:tcBorders>
          </w:tcPr>
          <w:p w:rsidR="00DE0E89" w:rsidRPr="004B0E3B" w:rsidRDefault="00DE0E89" w:rsidP="00205E16">
            <w:pPr>
              <w:rPr>
                <w:rFonts w:cstheme="minorHAnsi"/>
                <w:i/>
                <w:iCs/>
                <w:lang w:val="en-GB"/>
              </w:rPr>
            </w:pPr>
            <w:bookmarkStart w:id="0" w:name="_Hlk120538726"/>
            <w:r w:rsidRPr="004B0E3B">
              <w:rPr>
                <w:rFonts w:cstheme="minorHAnsi"/>
                <w:i/>
                <w:iCs/>
                <w:lang w:val="en-GB"/>
              </w:rPr>
              <w:t xml:space="preserve">  C. </w:t>
            </w:r>
            <w:bookmarkEnd w:id="0"/>
            <w:r w:rsidRPr="004B0E3B">
              <w:rPr>
                <w:rFonts w:cstheme="minorHAnsi"/>
                <w:i/>
                <w:iCs/>
                <w:lang w:val="en-GB"/>
              </w:rPr>
              <w:t>guilliermondii</w:t>
            </w:r>
          </w:p>
        </w:tc>
        <w:tc>
          <w:tcPr>
            <w:tcW w:w="1456" w:type="pct"/>
            <w:tcBorders>
              <w:bottom w:val="single" w:sz="4" w:space="0" w:color="auto"/>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3 (0.8%)</w:t>
            </w:r>
          </w:p>
        </w:tc>
        <w:tc>
          <w:tcPr>
            <w:tcW w:w="1388" w:type="pct"/>
            <w:tcBorders>
              <w:bottom w:val="single" w:sz="4" w:space="0" w:color="auto"/>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3 (1%)</w:t>
            </w:r>
          </w:p>
        </w:tc>
        <w:tc>
          <w:tcPr>
            <w:tcW w:w="541" w:type="pct"/>
            <w:tcBorders>
              <w:bottom w:val="single" w:sz="4" w:space="0" w:color="auto"/>
              <w:right w:val="single" w:sz="12" w:space="0" w:color="auto"/>
            </w:tcBorders>
          </w:tcPr>
          <w:p w:rsidR="00DE0E89" w:rsidRPr="004B0E3B" w:rsidRDefault="00DE0E89" w:rsidP="00205E16">
            <w:pPr>
              <w:jc w:val="center"/>
              <w:rPr>
                <w:rFonts w:cstheme="minorHAnsi"/>
                <w:lang w:val="en-GB"/>
              </w:rPr>
            </w:pPr>
          </w:p>
        </w:tc>
      </w:tr>
      <w:tr w:rsidR="00DE0E89" w:rsidRPr="004B0E3B" w:rsidTr="00205E16">
        <w:trPr>
          <w:trHeight w:val="348"/>
        </w:trPr>
        <w:tc>
          <w:tcPr>
            <w:tcW w:w="1615" w:type="pct"/>
            <w:tcBorders>
              <w:bottom w:val="single" w:sz="4" w:space="0" w:color="auto"/>
            </w:tcBorders>
          </w:tcPr>
          <w:p w:rsidR="00DE0E89" w:rsidRPr="004B0E3B" w:rsidRDefault="00DE0E89" w:rsidP="00205E16">
            <w:pPr>
              <w:rPr>
                <w:rFonts w:cstheme="minorHAnsi"/>
                <w:i/>
                <w:iCs/>
                <w:lang w:val="en-GB"/>
              </w:rPr>
            </w:pPr>
            <w:r w:rsidRPr="004B0E3B">
              <w:rPr>
                <w:rFonts w:cstheme="minorHAnsi"/>
                <w:i/>
                <w:iCs/>
                <w:lang w:val="en-GB"/>
              </w:rPr>
              <w:t xml:space="preserve">  C. kefyr</w:t>
            </w:r>
          </w:p>
        </w:tc>
        <w:tc>
          <w:tcPr>
            <w:tcW w:w="1456" w:type="pct"/>
            <w:tcBorders>
              <w:bottom w:val="single" w:sz="4" w:space="0" w:color="auto"/>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3 (0.8%)</w:t>
            </w:r>
          </w:p>
        </w:tc>
        <w:tc>
          <w:tcPr>
            <w:tcW w:w="1388" w:type="pct"/>
            <w:tcBorders>
              <w:bottom w:val="single" w:sz="4" w:space="0" w:color="auto"/>
              <w:right w:val="single" w:sz="12" w:space="0" w:color="auto"/>
            </w:tcBorders>
          </w:tcPr>
          <w:p w:rsidR="00DE0E89" w:rsidRPr="004B0E3B" w:rsidRDefault="00DE0E89" w:rsidP="00205E16">
            <w:pPr>
              <w:jc w:val="center"/>
              <w:rPr>
                <w:rFonts w:cstheme="minorHAnsi"/>
                <w:lang w:val="en-GB"/>
              </w:rPr>
            </w:pPr>
          </w:p>
        </w:tc>
        <w:tc>
          <w:tcPr>
            <w:tcW w:w="541" w:type="pct"/>
            <w:tcBorders>
              <w:bottom w:val="single" w:sz="4" w:space="0" w:color="auto"/>
              <w:right w:val="single" w:sz="12" w:space="0" w:color="auto"/>
            </w:tcBorders>
          </w:tcPr>
          <w:p w:rsidR="00DE0E89" w:rsidRPr="004B0E3B" w:rsidRDefault="00DE0E89" w:rsidP="00205E16">
            <w:pPr>
              <w:jc w:val="center"/>
              <w:rPr>
                <w:rFonts w:cstheme="minorHAnsi"/>
                <w:lang w:val="en-GB"/>
              </w:rPr>
            </w:pPr>
          </w:p>
        </w:tc>
      </w:tr>
      <w:tr w:rsidR="00DE0E89" w:rsidRPr="004B0E3B" w:rsidTr="00205E16">
        <w:trPr>
          <w:trHeight w:val="348"/>
        </w:trPr>
        <w:tc>
          <w:tcPr>
            <w:tcW w:w="1615" w:type="pct"/>
            <w:tcBorders>
              <w:bottom w:val="single" w:sz="4" w:space="0" w:color="auto"/>
            </w:tcBorders>
          </w:tcPr>
          <w:p w:rsidR="00DE0E89" w:rsidRPr="004B0E3B" w:rsidRDefault="00DE0E89" w:rsidP="00205E16">
            <w:pPr>
              <w:rPr>
                <w:rFonts w:cstheme="minorHAnsi"/>
                <w:i/>
                <w:iCs/>
                <w:lang w:val="en-GB"/>
              </w:rPr>
            </w:pPr>
            <w:r w:rsidRPr="004B0E3B">
              <w:rPr>
                <w:rFonts w:cstheme="minorHAnsi"/>
                <w:i/>
                <w:lang w:val="en-GB"/>
              </w:rPr>
              <w:t xml:space="preserve">  C. pelliculosa</w:t>
            </w:r>
            <w:r w:rsidRPr="004B0E3B">
              <w:rPr>
                <w:rFonts w:cstheme="minorHAnsi"/>
                <w:lang w:val="en-GB"/>
              </w:rPr>
              <w:t xml:space="preserve"> </w:t>
            </w:r>
          </w:p>
        </w:tc>
        <w:tc>
          <w:tcPr>
            <w:tcW w:w="1456" w:type="pct"/>
            <w:tcBorders>
              <w:bottom w:val="single" w:sz="4" w:space="0" w:color="auto"/>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2 (0.5%)</w:t>
            </w:r>
          </w:p>
        </w:tc>
        <w:tc>
          <w:tcPr>
            <w:tcW w:w="1388" w:type="pct"/>
            <w:tcBorders>
              <w:bottom w:val="single" w:sz="4" w:space="0" w:color="auto"/>
              <w:right w:val="single" w:sz="12" w:space="0" w:color="auto"/>
            </w:tcBorders>
          </w:tcPr>
          <w:p w:rsidR="00DE0E89" w:rsidRPr="004B0E3B" w:rsidRDefault="00DE0E89" w:rsidP="00205E16">
            <w:pPr>
              <w:jc w:val="center"/>
              <w:rPr>
                <w:rFonts w:cstheme="minorHAnsi"/>
                <w:lang w:val="en-GB"/>
              </w:rPr>
            </w:pPr>
          </w:p>
        </w:tc>
        <w:tc>
          <w:tcPr>
            <w:tcW w:w="541" w:type="pct"/>
            <w:tcBorders>
              <w:bottom w:val="single" w:sz="4" w:space="0" w:color="auto"/>
              <w:right w:val="single" w:sz="12" w:space="0" w:color="auto"/>
            </w:tcBorders>
          </w:tcPr>
          <w:p w:rsidR="00DE0E89" w:rsidRPr="004B0E3B" w:rsidRDefault="00DE0E89" w:rsidP="00205E16">
            <w:pPr>
              <w:jc w:val="center"/>
              <w:rPr>
                <w:rFonts w:cstheme="minorHAnsi"/>
                <w:lang w:val="en-GB"/>
              </w:rPr>
            </w:pPr>
          </w:p>
        </w:tc>
      </w:tr>
      <w:tr w:rsidR="00DE0E89" w:rsidRPr="004B0E3B" w:rsidTr="00205E16">
        <w:trPr>
          <w:trHeight w:val="348"/>
        </w:trPr>
        <w:tc>
          <w:tcPr>
            <w:tcW w:w="1615" w:type="pct"/>
            <w:tcBorders>
              <w:bottom w:val="single" w:sz="4" w:space="0" w:color="auto"/>
            </w:tcBorders>
          </w:tcPr>
          <w:p w:rsidR="00DE0E89" w:rsidRPr="004B0E3B" w:rsidRDefault="00DE0E89" w:rsidP="00205E16">
            <w:pPr>
              <w:rPr>
                <w:rFonts w:cstheme="minorHAnsi"/>
                <w:i/>
                <w:iCs/>
                <w:lang w:val="en-GB"/>
              </w:rPr>
            </w:pPr>
            <w:r w:rsidRPr="004B0E3B">
              <w:rPr>
                <w:rFonts w:cstheme="minorHAnsi"/>
                <w:i/>
                <w:lang w:val="en-GB"/>
              </w:rPr>
              <w:t xml:space="preserve">  C. inconspicua</w:t>
            </w:r>
            <w:r w:rsidRPr="004B0E3B">
              <w:rPr>
                <w:rFonts w:cstheme="minorHAnsi"/>
                <w:lang w:val="en-GB"/>
              </w:rPr>
              <w:t xml:space="preserve"> </w:t>
            </w:r>
          </w:p>
        </w:tc>
        <w:tc>
          <w:tcPr>
            <w:tcW w:w="1456" w:type="pct"/>
            <w:tcBorders>
              <w:bottom w:val="single" w:sz="4" w:space="0" w:color="auto"/>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2 (0.5%)</w:t>
            </w:r>
          </w:p>
        </w:tc>
        <w:tc>
          <w:tcPr>
            <w:tcW w:w="1388" w:type="pct"/>
            <w:tcBorders>
              <w:bottom w:val="single" w:sz="4" w:space="0" w:color="auto"/>
              <w:right w:val="single" w:sz="12" w:space="0" w:color="auto"/>
            </w:tcBorders>
          </w:tcPr>
          <w:p w:rsidR="00DE0E89" w:rsidRPr="004B0E3B" w:rsidRDefault="00DE0E89" w:rsidP="00205E16">
            <w:pPr>
              <w:jc w:val="center"/>
              <w:rPr>
                <w:rFonts w:cstheme="minorHAnsi"/>
                <w:lang w:val="en-GB"/>
              </w:rPr>
            </w:pPr>
          </w:p>
        </w:tc>
        <w:tc>
          <w:tcPr>
            <w:tcW w:w="541" w:type="pct"/>
            <w:tcBorders>
              <w:bottom w:val="single" w:sz="4" w:space="0" w:color="auto"/>
              <w:right w:val="single" w:sz="12" w:space="0" w:color="auto"/>
            </w:tcBorders>
          </w:tcPr>
          <w:p w:rsidR="00DE0E89" w:rsidRPr="004B0E3B" w:rsidRDefault="00DE0E89" w:rsidP="00205E16">
            <w:pPr>
              <w:jc w:val="center"/>
              <w:rPr>
                <w:rFonts w:cstheme="minorHAnsi"/>
                <w:lang w:val="en-GB"/>
              </w:rPr>
            </w:pPr>
          </w:p>
        </w:tc>
      </w:tr>
      <w:tr w:rsidR="00DE0E89" w:rsidRPr="004B0E3B" w:rsidTr="00205E16">
        <w:trPr>
          <w:trHeight w:val="359"/>
        </w:trPr>
        <w:tc>
          <w:tcPr>
            <w:tcW w:w="1615" w:type="pct"/>
          </w:tcPr>
          <w:p w:rsidR="00DE0E89" w:rsidRPr="004B0E3B" w:rsidRDefault="00DE0E89" w:rsidP="00205E16">
            <w:pPr>
              <w:rPr>
                <w:rFonts w:cstheme="minorHAnsi"/>
                <w:i/>
                <w:iCs/>
                <w:lang w:val="en-GB"/>
              </w:rPr>
            </w:pPr>
            <w:r w:rsidRPr="004B0E3B">
              <w:rPr>
                <w:rFonts w:cstheme="minorHAnsi"/>
                <w:i/>
                <w:iCs/>
                <w:lang w:val="en-GB"/>
              </w:rPr>
              <w:t xml:space="preserve">  C. auris</w:t>
            </w:r>
          </w:p>
        </w:tc>
        <w:tc>
          <w:tcPr>
            <w:tcW w:w="1456"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1 (0.3%)</w:t>
            </w:r>
          </w:p>
        </w:tc>
        <w:tc>
          <w:tcPr>
            <w:tcW w:w="1388"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14 (6</w:t>
            </w:r>
            <w:proofErr w:type="gramStart"/>
            <w:r w:rsidRPr="004B0E3B">
              <w:rPr>
                <w:rFonts w:cstheme="minorHAnsi"/>
                <w:lang w:val="en-GB"/>
              </w:rPr>
              <w:t>%)</w:t>
            </w:r>
            <w:r w:rsidR="00A3581D">
              <w:rPr>
                <w:rFonts w:cstheme="minorHAnsi"/>
                <w:lang w:val="en-GB"/>
              </w:rPr>
              <w:t>*</w:t>
            </w:r>
            <w:proofErr w:type="gramEnd"/>
            <w:r w:rsidR="00A3581D">
              <w:rPr>
                <w:rFonts w:cstheme="minorHAnsi"/>
                <w:lang w:val="en-GB"/>
              </w:rPr>
              <w:t>*</w:t>
            </w:r>
          </w:p>
        </w:tc>
        <w:tc>
          <w:tcPr>
            <w:tcW w:w="541" w:type="pct"/>
            <w:tcBorders>
              <w:right w:val="single" w:sz="12" w:space="0" w:color="auto"/>
            </w:tcBorders>
          </w:tcPr>
          <w:p w:rsidR="00DE0E89" w:rsidRPr="00155B31" w:rsidRDefault="00DE0E89" w:rsidP="00205E16">
            <w:pPr>
              <w:jc w:val="center"/>
              <w:rPr>
                <w:rFonts w:cstheme="minorHAnsi"/>
                <w:b/>
                <w:lang w:val="en-GB"/>
              </w:rPr>
            </w:pPr>
            <w:r w:rsidRPr="00155B31">
              <w:rPr>
                <w:rFonts w:cstheme="minorHAnsi"/>
                <w:b/>
                <w:lang w:val="en-GB"/>
              </w:rPr>
              <w:t>&lt;0.0001</w:t>
            </w:r>
          </w:p>
        </w:tc>
      </w:tr>
      <w:tr w:rsidR="00DE0E89" w:rsidRPr="004B0E3B" w:rsidTr="00205E16">
        <w:trPr>
          <w:trHeight w:val="359"/>
        </w:trPr>
        <w:tc>
          <w:tcPr>
            <w:tcW w:w="1615" w:type="pct"/>
          </w:tcPr>
          <w:p w:rsidR="00DE0E89" w:rsidRPr="004B0E3B" w:rsidRDefault="00DE0E89" w:rsidP="00205E16">
            <w:pPr>
              <w:rPr>
                <w:rFonts w:cstheme="minorHAnsi"/>
                <w:i/>
                <w:iCs/>
                <w:lang w:val="en-GB"/>
              </w:rPr>
            </w:pPr>
            <w:r w:rsidRPr="004B0E3B">
              <w:rPr>
                <w:rFonts w:cstheme="minorHAnsi"/>
                <w:i/>
                <w:iCs/>
                <w:lang w:val="en-GB"/>
              </w:rPr>
              <w:t xml:space="preserve">  </w:t>
            </w:r>
            <w:bookmarkStart w:id="1" w:name="_Hlk120538712"/>
            <w:r w:rsidRPr="004B0E3B">
              <w:rPr>
                <w:rFonts w:cstheme="minorHAnsi"/>
                <w:i/>
                <w:iCs/>
                <w:lang w:val="en-GB"/>
              </w:rPr>
              <w:t xml:space="preserve">C. </w:t>
            </w:r>
            <w:bookmarkEnd w:id="1"/>
            <w:r w:rsidRPr="004B0E3B">
              <w:rPr>
                <w:rFonts w:cstheme="minorHAnsi"/>
                <w:i/>
                <w:iCs/>
                <w:lang w:val="en-GB"/>
              </w:rPr>
              <w:t>rugosa</w:t>
            </w:r>
          </w:p>
        </w:tc>
        <w:tc>
          <w:tcPr>
            <w:tcW w:w="1456"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1 (0.3%)</w:t>
            </w:r>
          </w:p>
        </w:tc>
        <w:tc>
          <w:tcPr>
            <w:tcW w:w="1388" w:type="pct"/>
            <w:tcBorders>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2 (1%)</w:t>
            </w:r>
          </w:p>
        </w:tc>
        <w:tc>
          <w:tcPr>
            <w:tcW w:w="541" w:type="pct"/>
            <w:tcBorders>
              <w:right w:val="single" w:sz="12" w:space="0" w:color="auto"/>
            </w:tcBorders>
          </w:tcPr>
          <w:p w:rsidR="00DE0E89" w:rsidRPr="00155B31" w:rsidRDefault="00DE0E89" w:rsidP="00205E16">
            <w:pPr>
              <w:jc w:val="center"/>
              <w:rPr>
                <w:rFonts w:cstheme="minorHAnsi"/>
                <w:b/>
                <w:lang w:val="en-GB"/>
              </w:rPr>
            </w:pPr>
          </w:p>
        </w:tc>
      </w:tr>
      <w:tr w:rsidR="00DE0E89" w:rsidRPr="004B0E3B" w:rsidTr="00205E16">
        <w:trPr>
          <w:trHeight w:val="348"/>
        </w:trPr>
        <w:tc>
          <w:tcPr>
            <w:tcW w:w="1615" w:type="pct"/>
            <w:tcBorders>
              <w:bottom w:val="single" w:sz="4" w:space="0" w:color="auto"/>
            </w:tcBorders>
          </w:tcPr>
          <w:p w:rsidR="00DE0E89" w:rsidRPr="004B0E3B" w:rsidRDefault="00DE0E89" w:rsidP="00205E16">
            <w:pPr>
              <w:rPr>
                <w:rFonts w:cstheme="minorHAnsi"/>
                <w:i/>
                <w:iCs/>
                <w:lang w:val="en-GB"/>
              </w:rPr>
            </w:pPr>
            <w:r w:rsidRPr="004B0E3B">
              <w:rPr>
                <w:rFonts w:cstheme="minorHAnsi"/>
                <w:i/>
                <w:lang w:val="en-GB"/>
              </w:rPr>
              <w:t xml:space="preserve">  C. digboiensis</w:t>
            </w:r>
          </w:p>
        </w:tc>
        <w:tc>
          <w:tcPr>
            <w:tcW w:w="1456" w:type="pct"/>
            <w:tcBorders>
              <w:bottom w:val="single" w:sz="4" w:space="0" w:color="auto"/>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1 (0.3%)</w:t>
            </w:r>
          </w:p>
        </w:tc>
        <w:tc>
          <w:tcPr>
            <w:tcW w:w="1388" w:type="pct"/>
            <w:tcBorders>
              <w:bottom w:val="single" w:sz="4" w:space="0" w:color="auto"/>
              <w:right w:val="single" w:sz="12" w:space="0" w:color="auto"/>
            </w:tcBorders>
          </w:tcPr>
          <w:p w:rsidR="00DE0E89" w:rsidRPr="004B0E3B" w:rsidRDefault="00DE0E89" w:rsidP="00205E16">
            <w:pPr>
              <w:jc w:val="center"/>
              <w:rPr>
                <w:rFonts w:cstheme="minorHAnsi"/>
                <w:lang w:val="en-GB"/>
              </w:rPr>
            </w:pPr>
          </w:p>
        </w:tc>
        <w:tc>
          <w:tcPr>
            <w:tcW w:w="541" w:type="pct"/>
            <w:tcBorders>
              <w:bottom w:val="single" w:sz="4" w:space="0" w:color="auto"/>
              <w:right w:val="single" w:sz="12" w:space="0" w:color="auto"/>
            </w:tcBorders>
          </w:tcPr>
          <w:p w:rsidR="00DE0E89" w:rsidRPr="00155B31" w:rsidRDefault="00DE0E89" w:rsidP="00205E16">
            <w:pPr>
              <w:jc w:val="center"/>
              <w:rPr>
                <w:rFonts w:cstheme="minorHAnsi"/>
                <w:b/>
                <w:lang w:val="en-GB"/>
              </w:rPr>
            </w:pPr>
          </w:p>
        </w:tc>
      </w:tr>
      <w:tr w:rsidR="00DE0E89" w:rsidRPr="004B0E3B" w:rsidTr="00205E16">
        <w:trPr>
          <w:trHeight w:val="348"/>
        </w:trPr>
        <w:tc>
          <w:tcPr>
            <w:tcW w:w="1615" w:type="pct"/>
            <w:tcBorders>
              <w:bottom w:val="single" w:sz="4" w:space="0" w:color="auto"/>
            </w:tcBorders>
          </w:tcPr>
          <w:p w:rsidR="00DE0E89" w:rsidRPr="004B0E3B" w:rsidRDefault="00DE0E89" w:rsidP="00205E16">
            <w:pPr>
              <w:rPr>
                <w:rFonts w:cstheme="minorHAnsi"/>
                <w:i/>
                <w:iCs/>
                <w:lang w:val="en-GB"/>
              </w:rPr>
            </w:pPr>
            <w:r w:rsidRPr="004B0E3B">
              <w:rPr>
                <w:rFonts w:cstheme="minorHAnsi"/>
                <w:i/>
                <w:lang w:val="en-GB"/>
              </w:rPr>
              <w:t xml:space="preserve">  C. haemulonii</w:t>
            </w:r>
          </w:p>
        </w:tc>
        <w:tc>
          <w:tcPr>
            <w:tcW w:w="1456" w:type="pct"/>
            <w:tcBorders>
              <w:bottom w:val="single" w:sz="4" w:space="0" w:color="auto"/>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1 (0.3%)</w:t>
            </w:r>
          </w:p>
        </w:tc>
        <w:tc>
          <w:tcPr>
            <w:tcW w:w="1388" w:type="pct"/>
            <w:tcBorders>
              <w:bottom w:val="single" w:sz="4" w:space="0" w:color="auto"/>
              <w:right w:val="single" w:sz="12" w:space="0" w:color="auto"/>
            </w:tcBorders>
          </w:tcPr>
          <w:p w:rsidR="00DE0E89" w:rsidRPr="004B0E3B" w:rsidRDefault="00DE0E89" w:rsidP="00205E16">
            <w:pPr>
              <w:jc w:val="center"/>
              <w:rPr>
                <w:rFonts w:cstheme="minorHAnsi"/>
                <w:lang w:val="en-GB"/>
              </w:rPr>
            </w:pPr>
          </w:p>
        </w:tc>
        <w:tc>
          <w:tcPr>
            <w:tcW w:w="541" w:type="pct"/>
            <w:tcBorders>
              <w:bottom w:val="single" w:sz="4" w:space="0" w:color="auto"/>
              <w:right w:val="single" w:sz="12" w:space="0" w:color="auto"/>
            </w:tcBorders>
          </w:tcPr>
          <w:p w:rsidR="00DE0E89" w:rsidRPr="00155B31" w:rsidRDefault="00DE0E89" w:rsidP="00205E16">
            <w:pPr>
              <w:jc w:val="center"/>
              <w:rPr>
                <w:rFonts w:cstheme="minorHAnsi"/>
                <w:b/>
                <w:lang w:val="en-GB"/>
              </w:rPr>
            </w:pPr>
          </w:p>
        </w:tc>
      </w:tr>
      <w:tr w:rsidR="00DE0E89" w:rsidRPr="004B0E3B" w:rsidTr="00205E16">
        <w:trPr>
          <w:trHeight w:val="348"/>
        </w:trPr>
        <w:tc>
          <w:tcPr>
            <w:tcW w:w="1615" w:type="pct"/>
            <w:tcBorders>
              <w:bottom w:val="single" w:sz="4" w:space="0" w:color="auto"/>
            </w:tcBorders>
          </w:tcPr>
          <w:p w:rsidR="00DE0E89" w:rsidRPr="004B0E3B" w:rsidRDefault="00DE0E89" w:rsidP="00205E16">
            <w:pPr>
              <w:rPr>
                <w:rFonts w:cstheme="minorHAnsi"/>
                <w:i/>
                <w:lang w:val="en-GB"/>
              </w:rPr>
            </w:pPr>
            <w:r w:rsidRPr="004B0E3B">
              <w:rPr>
                <w:rFonts w:cstheme="minorHAnsi"/>
                <w:i/>
                <w:lang w:val="en-GB"/>
              </w:rPr>
              <w:t xml:space="preserve">  C. orthopsilosis</w:t>
            </w:r>
          </w:p>
        </w:tc>
        <w:tc>
          <w:tcPr>
            <w:tcW w:w="1456" w:type="pct"/>
            <w:tcBorders>
              <w:bottom w:val="single" w:sz="4" w:space="0" w:color="auto"/>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1 (0.3%)</w:t>
            </w:r>
          </w:p>
        </w:tc>
        <w:tc>
          <w:tcPr>
            <w:tcW w:w="1388" w:type="pct"/>
            <w:tcBorders>
              <w:bottom w:val="single" w:sz="4" w:space="0" w:color="auto"/>
              <w:right w:val="single" w:sz="12" w:space="0" w:color="auto"/>
            </w:tcBorders>
          </w:tcPr>
          <w:p w:rsidR="00DE0E89" w:rsidRPr="004B0E3B" w:rsidRDefault="00DE0E89" w:rsidP="00205E16">
            <w:pPr>
              <w:jc w:val="center"/>
              <w:rPr>
                <w:rFonts w:cstheme="minorHAnsi"/>
                <w:lang w:val="en-GB"/>
              </w:rPr>
            </w:pPr>
          </w:p>
        </w:tc>
        <w:tc>
          <w:tcPr>
            <w:tcW w:w="541" w:type="pct"/>
            <w:tcBorders>
              <w:bottom w:val="single" w:sz="4" w:space="0" w:color="auto"/>
              <w:right w:val="single" w:sz="12" w:space="0" w:color="auto"/>
            </w:tcBorders>
          </w:tcPr>
          <w:p w:rsidR="00DE0E89" w:rsidRPr="00155B31" w:rsidRDefault="00DE0E89" w:rsidP="00205E16">
            <w:pPr>
              <w:jc w:val="center"/>
              <w:rPr>
                <w:rFonts w:cstheme="minorHAnsi"/>
                <w:b/>
                <w:lang w:val="en-GB"/>
              </w:rPr>
            </w:pPr>
          </w:p>
        </w:tc>
      </w:tr>
      <w:tr w:rsidR="00DE0E89" w:rsidRPr="004B0E3B" w:rsidTr="00205E16">
        <w:trPr>
          <w:trHeight w:val="348"/>
        </w:trPr>
        <w:tc>
          <w:tcPr>
            <w:tcW w:w="1615" w:type="pct"/>
            <w:tcBorders>
              <w:bottom w:val="single" w:sz="4" w:space="0" w:color="auto"/>
            </w:tcBorders>
          </w:tcPr>
          <w:p w:rsidR="00DE0E89" w:rsidRPr="004B0E3B" w:rsidRDefault="00DE0E89" w:rsidP="00205E16">
            <w:pPr>
              <w:rPr>
                <w:rFonts w:cstheme="minorHAnsi"/>
                <w:lang w:val="en-GB"/>
              </w:rPr>
            </w:pPr>
            <w:r w:rsidRPr="004B0E3B">
              <w:rPr>
                <w:rFonts w:cstheme="minorHAnsi"/>
                <w:lang w:val="en-GB"/>
              </w:rPr>
              <w:t xml:space="preserve">  Not specified</w:t>
            </w:r>
          </w:p>
        </w:tc>
        <w:tc>
          <w:tcPr>
            <w:tcW w:w="1456" w:type="pct"/>
            <w:tcBorders>
              <w:bottom w:val="single" w:sz="4" w:space="0" w:color="auto"/>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0</w:t>
            </w:r>
          </w:p>
        </w:tc>
        <w:tc>
          <w:tcPr>
            <w:tcW w:w="1388" w:type="pct"/>
            <w:tcBorders>
              <w:bottom w:val="single" w:sz="4" w:space="0" w:color="auto"/>
              <w:right w:val="single" w:sz="12" w:space="0" w:color="auto"/>
            </w:tcBorders>
          </w:tcPr>
          <w:p w:rsidR="00DE0E89" w:rsidRPr="004B0E3B" w:rsidRDefault="00DE0E89" w:rsidP="00205E16">
            <w:pPr>
              <w:jc w:val="center"/>
              <w:rPr>
                <w:rFonts w:cstheme="minorHAnsi"/>
                <w:lang w:val="en-GB"/>
              </w:rPr>
            </w:pPr>
            <w:r w:rsidRPr="004B0E3B">
              <w:rPr>
                <w:rFonts w:cstheme="minorHAnsi"/>
                <w:lang w:val="en-GB"/>
              </w:rPr>
              <w:t>7 (3%)</w:t>
            </w:r>
          </w:p>
        </w:tc>
        <w:tc>
          <w:tcPr>
            <w:tcW w:w="541" w:type="pct"/>
            <w:tcBorders>
              <w:bottom w:val="single" w:sz="4" w:space="0" w:color="auto"/>
              <w:right w:val="single" w:sz="12" w:space="0" w:color="auto"/>
            </w:tcBorders>
          </w:tcPr>
          <w:p w:rsidR="00DE0E89" w:rsidRPr="00155B31" w:rsidRDefault="00DE0E89" w:rsidP="00205E16">
            <w:pPr>
              <w:jc w:val="center"/>
              <w:rPr>
                <w:rFonts w:cstheme="minorHAnsi"/>
                <w:b/>
                <w:lang w:val="en-GB"/>
              </w:rPr>
            </w:pPr>
            <w:r w:rsidRPr="00155B31">
              <w:rPr>
                <w:rFonts w:cstheme="minorHAnsi"/>
                <w:b/>
                <w:lang w:val="en-GB"/>
              </w:rPr>
              <w:t>0.0012</w:t>
            </w:r>
          </w:p>
        </w:tc>
      </w:tr>
      <w:tr w:rsidR="00DE0E89" w:rsidRPr="004B0E3B" w:rsidTr="00205E16">
        <w:trPr>
          <w:trHeight w:val="348"/>
        </w:trPr>
        <w:tc>
          <w:tcPr>
            <w:tcW w:w="4459" w:type="pct"/>
            <w:gridSpan w:val="3"/>
            <w:tcBorders>
              <w:right w:val="single" w:sz="12" w:space="0" w:color="auto"/>
            </w:tcBorders>
          </w:tcPr>
          <w:p w:rsidR="00DE0E89" w:rsidRDefault="00DE0E89" w:rsidP="00205E16">
            <w:pPr>
              <w:rPr>
                <w:rFonts w:cstheme="minorHAnsi"/>
                <w:bCs/>
                <w:lang w:val="en-GB"/>
              </w:rPr>
            </w:pPr>
            <w:r w:rsidRPr="002E3EB5">
              <w:rPr>
                <w:rFonts w:cstheme="minorHAnsi"/>
                <w:b/>
                <w:bCs/>
                <w:vertAlign w:val="superscript"/>
                <w:lang w:val="en-GB"/>
              </w:rPr>
              <w:t>#</w:t>
            </w:r>
            <w:r w:rsidRPr="004B0E3B">
              <w:rPr>
                <w:rFonts w:cstheme="minorHAnsi"/>
                <w:i/>
                <w:lang w:val="en-GB"/>
              </w:rPr>
              <w:t>Abbreviations: IC = invasive candidiasis</w:t>
            </w:r>
            <w:r>
              <w:rPr>
                <w:rFonts w:cstheme="minorHAnsi"/>
                <w:i/>
                <w:lang w:val="en-GB"/>
              </w:rPr>
              <w:t xml:space="preserve">; </w:t>
            </w:r>
            <w:r w:rsidRPr="004B0E3B">
              <w:rPr>
                <w:rFonts w:cstheme="minorHAnsi"/>
                <w:bCs/>
                <w:lang w:val="en-GB"/>
              </w:rPr>
              <w:t>CRBSI</w:t>
            </w:r>
            <w:r>
              <w:rPr>
                <w:rFonts w:cstheme="minorHAnsi"/>
                <w:bCs/>
                <w:lang w:val="en-GB"/>
              </w:rPr>
              <w:t>= Catheter Related Blood Stream Infection</w:t>
            </w:r>
          </w:p>
          <w:p w:rsidR="00DE0E89" w:rsidRDefault="00DE0E89" w:rsidP="00205E16">
            <w:pPr>
              <w:rPr>
                <w:rFonts w:cstheme="minorHAnsi"/>
                <w:lang w:val="en-GB"/>
              </w:rPr>
            </w:pPr>
            <w:r>
              <w:rPr>
                <w:rFonts w:cstheme="minorHAnsi"/>
                <w:lang w:val="en-GB"/>
              </w:rPr>
              <w:t xml:space="preserve">* some patients had more than one isolate </w:t>
            </w:r>
          </w:p>
          <w:p w:rsidR="00A3581D" w:rsidRPr="005F2FBC" w:rsidRDefault="00A3581D" w:rsidP="00205E16">
            <w:pPr>
              <w:rPr>
                <w:rFonts w:cstheme="minorHAnsi"/>
                <w:lang w:val="en-GB"/>
              </w:rPr>
            </w:pPr>
            <w:bookmarkStart w:id="2" w:name="_GoBack"/>
            <w:r>
              <w:rPr>
                <w:rFonts w:cstheme="minorHAnsi"/>
                <w:lang w:val="en-GB"/>
              </w:rPr>
              <w:t xml:space="preserve">** the 13 </w:t>
            </w:r>
            <w:r w:rsidRPr="00A3581D">
              <w:rPr>
                <w:rFonts w:ascii="Calibri" w:hAnsi="Calibri" w:cs="Arial"/>
                <w:i/>
                <w:iCs/>
                <w:lang w:val="en-GB"/>
              </w:rPr>
              <w:t>C. auris</w:t>
            </w:r>
            <w:r>
              <w:rPr>
                <w:rFonts w:cstheme="minorHAnsi"/>
                <w:lang w:val="en-GB"/>
              </w:rPr>
              <w:t xml:space="preserve"> isolates not referred, all came from Russia, where they accounted for 37% of the 35 isolates.</w:t>
            </w:r>
            <w:bookmarkEnd w:id="2"/>
          </w:p>
        </w:tc>
        <w:tc>
          <w:tcPr>
            <w:tcW w:w="541" w:type="pct"/>
            <w:tcBorders>
              <w:right w:val="single" w:sz="12" w:space="0" w:color="auto"/>
            </w:tcBorders>
          </w:tcPr>
          <w:p w:rsidR="00DE0E89" w:rsidRDefault="00DE0E89" w:rsidP="00205E16">
            <w:pPr>
              <w:rPr>
                <w:rFonts w:cstheme="minorHAnsi"/>
                <w:i/>
                <w:lang w:val="en-GB"/>
              </w:rPr>
            </w:pPr>
          </w:p>
        </w:tc>
      </w:tr>
    </w:tbl>
    <w:p w:rsidR="00DE0E89" w:rsidRDefault="00DE0E89" w:rsidP="00DE0E89">
      <w:pPr>
        <w:widowControl w:val="0"/>
        <w:autoSpaceDE w:val="0"/>
        <w:autoSpaceDN w:val="0"/>
        <w:adjustRightInd w:val="0"/>
        <w:spacing w:after="0" w:line="240" w:lineRule="auto"/>
        <w:ind w:left="480" w:hanging="480"/>
      </w:pPr>
    </w:p>
    <w:p w:rsidR="00DE0E89" w:rsidRPr="00DE0E89" w:rsidRDefault="00DE0E89" w:rsidP="00DE0E89">
      <w:pPr>
        <w:widowControl w:val="0"/>
        <w:autoSpaceDE w:val="0"/>
        <w:autoSpaceDN w:val="0"/>
        <w:adjustRightInd w:val="0"/>
        <w:spacing w:line="240" w:lineRule="auto"/>
        <w:ind w:left="640" w:hanging="640"/>
        <w:rPr>
          <w:rFonts w:ascii="Calibri" w:hAnsi="Calibri" w:cs="Calibri"/>
          <w:noProof/>
        </w:rPr>
      </w:pPr>
      <w:r>
        <w:fldChar w:fldCharType="begin" w:fldLock="1"/>
      </w:r>
      <w:r>
        <w:instrText xml:space="preserve">ADDIN Mendeley Bibliography CSL_BIBLIOGRAPHY </w:instrText>
      </w:r>
      <w:r>
        <w:fldChar w:fldCharType="separate"/>
      </w:r>
      <w:r w:rsidRPr="00DE0E89">
        <w:rPr>
          <w:rFonts w:ascii="Calibri" w:hAnsi="Calibri" w:cs="Calibri"/>
          <w:noProof/>
          <w:szCs w:val="24"/>
        </w:rPr>
        <w:t>1</w:t>
      </w:r>
      <w:r w:rsidRPr="00DE0E89">
        <w:rPr>
          <w:rFonts w:ascii="Calibri" w:hAnsi="Calibri" w:cs="Calibri"/>
          <w:noProof/>
          <w:szCs w:val="24"/>
        </w:rPr>
        <w:tab/>
        <w:t xml:space="preserve">Hoenigl Martin, Salmanton-García Jon, Egger Matthias, Gangneux Jean-Pierre, Bicanic Tihana, Arikan-Akdagli Sevtap, et al. Guideline adherence and survival of patients with candidaemia in Europe: results from the ECMM Candida III multinational European observational cohort study. </w:t>
      </w:r>
      <w:r w:rsidRPr="00DE0E89">
        <w:rPr>
          <w:rFonts w:ascii="Calibri" w:hAnsi="Calibri" w:cs="Calibri"/>
          <w:i/>
          <w:iCs/>
          <w:noProof/>
          <w:szCs w:val="24"/>
        </w:rPr>
        <w:t>Lancet Infect Dis</w:t>
      </w:r>
      <w:r w:rsidRPr="00DE0E89">
        <w:rPr>
          <w:rFonts w:ascii="Calibri" w:hAnsi="Calibri" w:cs="Calibri"/>
          <w:noProof/>
          <w:szCs w:val="24"/>
        </w:rPr>
        <w:t xml:space="preserve"> 2023;</w:t>
      </w:r>
      <w:r w:rsidRPr="00DE0E89">
        <w:rPr>
          <w:rFonts w:ascii="Calibri" w:hAnsi="Calibri" w:cs="Calibri"/>
          <w:b/>
          <w:bCs/>
          <w:noProof/>
          <w:szCs w:val="24"/>
        </w:rPr>
        <w:t>23</w:t>
      </w:r>
      <w:r w:rsidRPr="00DE0E89">
        <w:rPr>
          <w:rFonts w:ascii="Calibri" w:hAnsi="Calibri" w:cs="Calibri"/>
          <w:noProof/>
          <w:szCs w:val="24"/>
        </w:rPr>
        <w:t>(6):751–61. Doi: 10.1016/S1473-3099(22)00872-6.</w:t>
      </w:r>
    </w:p>
    <w:p w:rsidR="00DE0E89" w:rsidRPr="00DE0E89" w:rsidRDefault="00DE0E89">
      <w:r>
        <w:lastRenderedPageBreak/>
        <w:fldChar w:fldCharType="end"/>
      </w:r>
    </w:p>
    <w:sectPr w:rsidR="00DE0E89" w:rsidRPr="00DE0E89" w:rsidSect="00DE0E89">
      <w:pgSz w:w="11906" w:h="16838"/>
      <w:pgMar w:top="127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89"/>
    <w:rsid w:val="00026DAC"/>
    <w:rsid w:val="000533D0"/>
    <w:rsid w:val="000918C1"/>
    <w:rsid w:val="000B06E3"/>
    <w:rsid w:val="000B4954"/>
    <w:rsid w:val="000C2309"/>
    <w:rsid w:val="000F04D5"/>
    <w:rsid w:val="0013485D"/>
    <w:rsid w:val="001428D3"/>
    <w:rsid w:val="00172C60"/>
    <w:rsid w:val="001A7B37"/>
    <w:rsid w:val="001C3EE7"/>
    <w:rsid w:val="001E24E9"/>
    <w:rsid w:val="001E73B0"/>
    <w:rsid w:val="001F60F6"/>
    <w:rsid w:val="00214C53"/>
    <w:rsid w:val="002546AB"/>
    <w:rsid w:val="002C732F"/>
    <w:rsid w:val="002F377A"/>
    <w:rsid w:val="00300CC4"/>
    <w:rsid w:val="003730ED"/>
    <w:rsid w:val="00387C6D"/>
    <w:rsid w:val="003B6115"/>
    <w:rsid w:val="003E720F"/>
    <w:rsid w:val="00400232"/>
    <w:rsid w:val="004664C3"/>
    <w:rsid w:val="004A18C2"/>
    <w:rsid w:val="004B6AEA"/>
    <w:rsid w:val="004E4D4F"/>
    <w:rsid w:val="0052722C"/>
    <w:rsid w:val="00535CF3"/>
    <w:rsid w:val="005441A2"/>
    <w:rsid w:val="00567B46"/>
    <w:rsid w:val="00572980"/>
    <w:rsid w:val="0058229D"/>
    <w:rsid w:val="00630D53"/>
    <w:rsid w:val="006369F5"/>
    <w:rsid w:val="006A29CB"/>
    <w:rsid w:val="006A64B2"/>
    <w:rsid w:val="006A714C"/>
    <w:rsid w:val="006C51D4"/>
    <w:rsid w:val="006E01F4"/>
    <w:rsid w:val="006E2ECD"/>
    <w:rsid w:val="00726055"/>
    <w:rsid w:val="00741CDE"/>
    <w:rsid w:val="007468CE"/>
    <w:rsid w:val="00765173"/>
    <w:rsid w:val="00775796"/>
    <w:rsid w:val="007942FC"/>
    <w:rsid w:val="00795168"/>
    <w:rsid w:val="007A3300"/>
    <w:rsid w:val="007A7535"/>
    <w:rsid w:val="007B1639"/>
    <w:rsid w:val="007C18D6"/>
    <w:rsid w:val="007F03BA"/>
    <w:rsid w:val="007F679B"/>
    <w:rsid w:val="00811BE7"/>
    <w:rsid w:val="008203E3"/>
    <w:rsid w:val="00892F4A"/>
    <w:rsid w:val="008B0F42"/>
    <w:rsid w:val="008C5D4E"/>
    <w:rsid w:val="00915B51"/>
    <w:rsid w:val="0096114C"/>
    <w:rsid w:val="009749AC"/>
    <w:rsid w:val="009A621B"/>
    <w:rsid w:val="009B3417"/>
    <w:rsid w:val="00A14505"/>
    <w:rsid w:val="00A3207E"/>
    <w:rsid w:val="00A3581D"/>
    <w:rsid w:val="00A75AE7"/>
    <w:rsid w:val="00AA287A"/>
    <w:rsid w:val="00AF517C"/>
    <w:rsid w:val="00B31EE6"/>
    <w:rsid w:val="00B408A5"/>
    <w:rsid w:val="00B5134F"/>
    <w:rsid w:val="00B83357"/>
    <w:rsid w:val="00B973DE"/>
    <w:rsid w:val="00BA14AE"/>
    <w:rsid w:val="00BD1F63"/>
    <w:rsid w:val="00C0378B"/>
    <w:rsid w:val="00C2483B"/>
    <w:rsid w:val="00C31E07"/>
    <w:rsid w:val="00C60081"/>
    <w:rsid w:val="00C633AC"/>
    <w:rsid w:val="00C75DBD"/>
    <w:rsid w:val="00D01BA9"/>
    <w:rsid w:val="00D02069"/>
    <w:rsid w:val="00D338D8"/>
    <w:rsid w:val="00D340B2"/>
    <w:rsid w:val="00D50B7E"/>
    <w:rsid w:val="00D554CE"/>
    <w:rsid w:val="00D632AD"/>
    <w:rsid w:val="00D901E3"/>
    <w:rsid w:val="00D95755"/>
    <w:rsid w:val="00DA2C79"/>
    <w:rsid w:val="00DB0D4F"/>
    <w:rsid w:val="00DC0AF9"/>
    <w:rsid w:val="00DC2AA0"/>
    <w:rsid w:val="00DE0E89"/>
    <w:rsid w:val="00DE2573"/>
    <w:rsid w:val="00DE4D11"/>
    <w:rsid w:val="00DE5F8B"/>
    <w:rsid w:val="00DF637A"/>
    <w:rsid w:val="00E04ECA"/>
    <w:rsid w:val="00E14BBD"/>
    <w:rsid w:val="00E24EA2"/>
    <w:rsid w:val="00E6317B"/>
    <w:rsid w:val="00E83F0D"/>
    <w:rsid w:val="00EC5DEA"/>
    <w:rsid w:val="00ED2FE0"/>
    <w:rsid w:val="00ED2FE2"/>
    <w:rsid w:val="00EE6E1D"/>
    <w:rsid w:val="00F14C91"/>
    <w:rsid w:val="00F16FAF"/>
    <w:rsid w:val="00F324F8"/>
    <w:rsid w:val="00F66266"/>
    <w:rsid w:val="00F8562E"/>
    <w:rsid w:val="00FA527D"/>
    <w:rsid w:val="00FC6095"/>
    <w:rsid w:val="00FD01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4C41"/>
  <w15:chartTrackingRefBased/>
  <w15:docId w15:val="{EF3A1F9A-5E24-4D79-8CA6-52044899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E0E8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5B5C6-5DF6-49FC-BEBE-C059F354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1997</Words>
  <Characters>11384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Cavling Arendrup</dc:creator>
  <cp:keywords/>
  <dc:description/>
  <cp:lastModifiedBy>Maiken Cavling Arendrup</cp:lastModifiedBy>
  <cp:revision>2</cp:revision>
  <dcterms:created xsi:type="dcterms:W3CDTF">2023-07-18T15:14:00Z</dcterms:created>
  <dcterms:modified xsi:type="dcterms:W3CDTF">2023-07-21T12:47:00Z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http://www.zotero.org/styles/journal-of-fungi</vt:lpwstr>
  </property>
  <property fmtid="{D5CDD505-2E9C-101B-9397-08002B2CF9AE}" pid="17" name="Mendeley Recent Style Name 7_1">
    <vt:lpwstr>Journal of Fungi</vt:lpwstr>
  </property>
  <property fmtid="{D5CDD505-2E9C-101B-9397-08002B2CF9AE}" pid="18" name="Mendeley Recent Style Id 8_1">
    <vt:lpwstr>http://www.zotero.org/styles/journal-of-infection</vt:lpwstr>
  </property>
  <property fmtid="{D5CDD505-2E9C-101B-9397-08002B2CF9AE}" pid="19" name="Mendeley Recent Style Name 8_1">
    <vt:lpwstr>Journal of Infection</vt:lpwstr>
  </property>
  <property fmtid="{D5CDD505-2E9C-101B-9397-08002B2CF9AE}" pid="20" name="Mendeley Recent Style Id 9_1">
    <vt:lpwstr>http://www.zotero.org/styles/the-lancet-infectious-diseases</vt:lpwstr>
  </property>
  <property fmtid="{D5CDD505-2E9C-101B-9397-08002B2CF9AE}" pid="21" name="Mendeley Recent Style Name 9_1">
    <vt:lpwstr>The Lancet Infectious Diseases</vt:lpwstr>
  </property>
  <property fmtid="{D5CDD505-2E9C-101B-9397-08002B2CF9AE}" pid="22" name="Mendeley Document_1">
    <vt:lpwstr>True</vt:lpwstr>
  </property>
  <property fmtid="{D5CDD505-2E9C-101B-9397-08002B2CF9AE}" pid="23" name="Mendeley Unique User Id_1">
    <vt:lpwstr>4e7308cd-7828-3b71-9909-8fca8da8f017</vt:lpwstr>
  </property>
  <property fmtid="{D5CDD505-2E9C-101B-9397-08002B2CF9AE}" pid="24" name="Mendeley Citation Style_1">
    <vt:lpwstr>http://www.zotero.org/styles/journal-of-infection</vt:lpwstr>
  </property>
</Properties>
</file>