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E5A8" w14:textId="4BB2BDFF" w:rsidR="00130E1E" w:rsidRPr="006C2F1C" w:rsidRDefault="00130E1E" w:rsidP="00130E1E">
      <w:pPr>
        <w:spacing w:after="0"/>
        <w:rPr>
          <w:rFonts w:eastAsiaTheme="majorEastAsia" w:cstheme="minorHAnsi"/>
          <w:b/>
          <w:bCs/>
          <w:sz w:val="28"/>
          <w:szCs w:val="28"/>
        </w:rPr>
      </w:pPr>
      <w:bookmarkStart w:id="0" w:name="_Hlk127430762"/>
      <w:r w:rsidRPr="006C2F1C">
        <w:rPr>
          <w:rFonts w:eastAsiaTheme="majorEastAsia" w:cstheme="minorHAnsi"/>
          <w:b/>
          <w:bCs/>
          <w:sz w:val="28"/>
          <w:szCs w:val="28"/>
        </w:rPr>
        <w:t>SUPPLEMENTARY TEXT</w:t>
      </w:r>
    </w:p>
    <w:p w14:paraId="321BED7A" w14:textId="5CDBAAFF" w:rsidR="00130E1E" w:rsidRPr="006C2F1C" w:rsidRDefault="00130E1E" w:rsidP="00130E1E">
      <w:pPr>
        <w:spacing w:after="0"/>
        <w:rPr>
          <w:rFonts w:eastAsiaTheme="majorEastAsia" w:cstheme="minorHAnsi"/>
          <w:b/>
          <w:bCs/>
          <w:sz w:val="28"/>
          <w:szCs w:val="28"/>
        </w:rPr>
      </w:pPr>
      <w:r w:rsidRPr="006C2F1C">
        <w:rPr>
          <w:rFonts w:eastAsiaTheme="majorEastAsia" w:cstheme="minorHAnsi"/>
          <w:b/>
          <w:bCs/>
          <w:sz w:val="28"/>
          <w:szCs w:val="28"/>
        </w:rPr>
        <w:t xml:space="preserve">Single-cell immune profiling reveals markers of emergency myelopoiesis that distinguish severe from mild respiratory syncytial virus (RSV) disease in </w:t>
      </w:r>
      <w:proofErr w:type="gramStart"/>
      <w:r w:rsidRPr="006C2F1C">
        <w:rPr>
          <w:rFonts w:eastAsiaTheme="majorEastAsia" w:cstheme="minorHAnsi"/>
          <w:b/>
          <w:bCs/>
          <w:sz w:val="28"/>
          <w:szCs w:val="28"/>
        </w:rPr>
        <w:t>infants</w:t>
      </w:r>
      <w:proofErr w:type="gramEnd"/>
    </w:p>
    <w:bookmarkEnd w:id="0"/>
    <w:p w14:paraId="1AD8498C" w14:textId="77777777" w:rsidR="00212DE3" w:rsidRPr="006C2F1C" w:rsidRDefault="00212DE3" w:rsidP="00212DE3">
      <w:pPr>
        <w:rPr>
          <w:rFonts w:cstheme="minorHAnsi"/>
        </w:rPr>
      </w:pPr>
      <w:r w:rsidRPr="006C2F1C">
        <w:rPr>
          <w:rFonts w:cstheme="minorHAnsi"/>
        </w:rPr>
        <w:t>Nevena Zivanovic</w:t>
      </w:r>
      <w:r w:rsidRPr="006C2F1C">
        <w:rPr>
          <w:rFonts w:cstheme="minorHAnsi"/>
          <w:vertAlign w:val="superscript"/>
        </w:rPr>
        <w:t>1, a</w:t>
      </w:r>
      <w:r w:rsidRPr="006C2F1C">
        <w:rPr>
          <w:rFonts w:cstheme="minorHAnsi"/>
        </w:rPr>
        <w:t>, Deniz Öner</w:t>
      </w:r>
      <w:r w:rsidRPr="006C2F1C">
        <w:rPr>
          <w:rFonts w:cstheme="minorHAnsi"/>
          <w:vertAlign w:val="superscript"/>
        </w:rPr>
        <w:t>1, a</w:t>
      </w:r>
      <w:r w:rsidRPr="006C2F1C">
        <w:rPr>
          <w:rFonts w:cstheme="minorHAnsi"/>
        </w:rPr>
        <w:t>, Yann Abraham</w:t>
      </w:r>
      <w:r w:rsidRPr="006C2F1C">
        <w:rPr>
          <w:rFonts w:cstheme="minorHAnsi"/>
          <w:vertAlign w:val="superscript"/>
        </w:rPr>
        <w:t>1, a</w:t>
      </w:r>
      <w:r w:rsidRPr="006C2F1C">
        <w:rPr>
          <w:rFonts w:cstheme="minorHAnsi"/>
        </w:rPr>
        <w:t>, Joseph McGinley</w:t>
      </w:r>
      <w:r w:rsidRPr="006C2F1C">
        <w:rPr>
          <w:rFonts w:cstheme="minorHAnsi"/>
          <w:vertAlign w:val="superscript"/>
        </w:rPr>
        <w:t>2, a</w:t>
      </w:r>
      <w:r w:rsidRPr="006C2F1C">
        <w:rPr>
          <w:rFonts w:cstheme="minorHAnsi"/>
        </w:rPr>
        <w:t>, Simon B. Drysdale</w:t>
      </w:r>
      <w:r w:rsidRPr="006C2F1C">
        <w:rPr>
          <w:rFonts w:cstheme="minorHAnsi"/>
          <w:vertAlign w:val="superscript"/>
        </w:rPr>
        <w:t>3</w:t>
      </w:r>
      <w:r w:rsidRPr="006C2F1C">
        <w:rPr>
          <w:rFonts w:cstheme="minorHAnsi"/>
        </w:rPr>
        <w:t>, Joanne G. Wildenbeest</w:t>
      </w:r>
      <w:r w:rsidRPr="006C2F1C">
        <w:rPr>
          <w:rFonts w:cstheme="minorHAnsi"/>
          <w:vertAlign w:val="superscript"/>
        </w:rPr>
        <w:t>4</w:t>
      </w:r>
      <w:r w:rsidRPr="006C2F1C">
        <w:rPr>
          <w:rFonts w:cstheme="minorHAnsi"/>
        </w:rPr>
        <w:t>, Marjolein Crabbe</w:t>
      </w:r>
      <w:r w:rsidRPr="006C2F1C">
        <w:rPr>
          <w:rFonts w:cstheme="minorHAnsi"/>
          <w:vertAlign w:val="superscript"/>
        </w:rPr>
        <w:t>1</w:t>
      </w:r>
      <w:r w:rsidRPr="006C2F1C">
        <w:rPr>
          <w:rFonts w:cstheme="minorHAnsi"/>
        </w:rPr>
        <w:t>, Greet Vanhoof</w:t>
      </w:r>
      <w:r w:rsidRPr="006C2F1C">
        <w:rPr>
          <w:rFonts w:cstheme="minorHAnsi"/>
          <w:vertAlign w:val="superscript"/>
        </w:rPr>
        <w:t>1</w:t>
      </w:r>
      <w:r w:rsidRPr="006C2F1C">
        <w:rPr>
          <w:rFonts w:cstheme="minorHAnsi"/>
        </w:rPr>
        <w:t>, Kim Thys</w:t>
      </w:r>
      <w:r w:rsidRPr="006C2F1C">
        <w:rPr>
          <w:rFonts w:cstheme="minorHAnsi"/>
          <w:vertAlign w:val="superscript"/>
        </w:rPr>
        <w:t>1</w:t>
      </w:r>
      <w:r w:rsidRPr="006C2F1C">
        <w:rPr>
          <w:rFonts w:cstheme="minorHAnsi"/>
        </w:rPr>
        <w:t>, Ryan S. Thwaites</w:t>
      </w:r>
      <w:r w:rsidRPr="006C2F1C">
        <w:rPr>
          <w:rFonts w:cstheme="minorHAnsi"/>
          <w:vertAlign w:val="superscript"/>
        </w:rPr>
        <w:t>5</w:t>
      </w:r>
      <w:r w:rsidRPr="006C2F1C">
        <w:rPr>
          <w:rFonts w:cstheme="minorHAnsi"/>
        </w:rPr>
        <w:t>, Hannah Robinson</w:t>
      </w:r>
      <w:r w:rsidRPr="006C2F1C">
        <w:rPr>
          <w:rFonts w:cstheme="minorHAnsi"/>
          <w:vertAlign w:val="superscript"/>
        </w:rPr>
        <w:t>2</w:t>
      </w:r>
      <w:r w:rsidRPr="006C2F1C">
        <w:rPr>
          <w:rFonts w:cstheme="minorHAnsi"/>
        </w:rPr>
        <w:t>, Louis Bont</w:t>
      </w:r>
      <w:r w:rsidRPr="006C2F1C">
        <w:rPr>
          <w:rFonts w:cstheme="minorHAnsi"/>
          <w:vertAlign w:val="superscript"/>
        </w:rPr>
        <w:t>4</w:t>
      </w:r>
      <w:r w:rsidRPr="006C2F1C">
        <w:rPr>
          <w:rFonts w:cstheme="minorHAnsi"/>
        </w:rPr>
        <w:t>, Peter J.M. Openshaw</w:t>
      </w:r>
      <w:r w:rsidRPr="006C2F1C">
        <w:rPr>
          <w:rFonts w:cstheme="minorHAnsi"/>
          <w:vertAlign w:val="superscript"/>
        </w:rPr>
        <w:t>5</w:t>
      </w:r>
      <w:r w:rsidRPr="006C2F1C">
        <w:rPr>
          <w:rFonts w:cstheme="minorHAnsi"/>
        </w:rPr>
        <w:t>, Federico Martinón-Torres</w:t>
      </w:r>
      <w:r w:rsidRPr="006C2F1C">
        <w:rPr>
          <w:rFonts w:cstheme="minorHAnsi"/>
          <w:vertAlign w:val="superscript"/>
        </w:rPr>
        <w:t>6,7,8</w:t>
      </w:r>
      <w:r w:rsidRPr="006C2F1C">
        <w:rPr>
          <w:rFonts w:cstheme="minorHAnsi"/>
        </w:rPr>
        <w:t>, RESCEU Investigators, Andrew J. Pollard</w:t>
      </w:r>
      <w:r w:rsidRPr="006C2F1C">
        <w:rPr>
          <w:rFonts w:cstheme="minorHAnsi"/>
          <w:vertAlign w:val="superscript"/>
        </w:rPr>
        <w:t>2, b</w:t>
      </w:r>
      <w:r w:rsidRPr="006C2F1C">
        <w:rPr>
          <w:rFonts w:cstheme="minorHAnsi"/>
        </w:rPr>
        <w:t>, Jeroen Aerssens</w:t>
      </w:r>
      <w:r w:rsidRPr="006C2F1C">
        <w:rPr>
          <w:rFonts w:cstheme="minorHAnsi"/>
          <w:vertAlign w:val="superscript"/>
        </w:rPr>
        <w:t>1, b</w:t>
      </w:r>
      <w:r w:rsidRPr="006C2F1C">
        <w:rPr>
          <w:rFonts w:cstheme="minorHAnsi"/>
        </w:rPr>
        <w:t>.</w:t>
      </w:r>
    </w:p>
    <w:p w14:paraId="768A4D7B" w14:textId="77777777" w:rsidR="00212DE3" w:rsidRPr="006C2F1C" w:rsidRDefault="00212DE3" w:rsidP="00212DE3">
      <w:pPr>
        <w:rPr>
          <w:rFonts w:cstheme="minorHAnsi"/>
        </w:rPr>
      </w:pPr>
      <w:r w:rsidRPr="006C2F1C">
        <w:rPr>
          <w:rFonts w:cstheme="minorHAnsi"/>
          <w:vertAlign w:val="superscript"/>
        </w:rPr>
        <w:t>1</w:t>
      </w:r>
      <w:r w:rsidRPr="006C2F1C">
        <w:rPr>
          <w:rFonts w:cstheme="minorHAnsi"/>
        </w:rPr>
        <w:t>Janssen Research &amp; Development, Beerse, Belgium</w:t>
      </w:r>
    </w:p>
    <w:p w14:paraId="32CB6EC8" w14:textId="77777777" w:rsidR="00212DE3" w:rsidRPr="006C2F1C" w:rsidRDefault="00212DE3" w:rsidP="00212DE3">
      <w:pPr>
        <w:rPr>
          <w:rFonts w:cstheme="minorHAnsi"/>
        </w:rPr>
      </w:pPr>
      <w:r w:rsidRPr="006C2F1C">
        <w:rPr>
          <w:rFonts w:cstheme="minorHAnsi"/>
          <w:vertAlign w:val="superscript"/>
        </w:rPr>
        <w:t>2</w:t>
      </w:r>
      <w:r w:rsidRPr="006C2F1C">
        <w:rPr>
          <w:rFonts w:cstheme="minorHAnsi"/>
        </w:rPr>
        <w:t xml:space="preserve">Oxford Vaccine Group, Department of </w:t>
      </w:r>
      <w:proofErr w:type="spellStart"/>
      <w:r w:rsidRPr="006C2F1C">
        <w:rPr>
          <w:rFonts w:cstheme="minorHAnsi"/>
        </w:rPr>
        <w:t>Paediatrics</w:t>
      </w:r>
      <w:proofErr w:type="spellEnd"/>
      <w:r w:rsidRPr="006C2F1C">
        <w:rPr>
          <w:rFonts w:cstheme="minorHAnsi"/>
        </w:rPr>
        <w:t>, University of Oxford, and the NIHR Oxford Biomedical Research Centre, Oxford, United Kingdom</w:t>
      </w:r>
    </w:p>
    <w:p w14:paraId="4165B550" w14:textId="77777777" w:rsidR="00212DE3" w:rsidRPr="006C2F1C" w:rsidRDefault="00212DE3" w:rsidP="00212DE3">
      <w:pPr>
        <w:rPr>
          <w:rFonts w:cstheme="minorHAnsi"/>
        </w:rPr>
      </w:pPr>
      <w:r w:rsidRPr="006C2F1C">
        <w:rPr>
          <w:rFonts w:cstheme="minorHAnsi"/>
          <w:vertAlign w:val="superscript"/>
        </w:rPr>
        <w:t>3</w:t>
      </w:r>
      <w:r w:rsidRPr="006C2F1C">
        <w:rPr>
          <w:rFonts w:cstheme="minorHAnsi"/>
        </w:rPr>
        <w:t xml:space="preserve">Centre for Neonatal and </w:t>
      </w:r>
      <w:proofErr w:type="spellStart"/>
      <w:r w:rsidRPr="006C2F1C">
        <w:rPr>
          <w:rFonts w:cstheme="minorHAnsi"/>
        </w:rPr>
        <w:t>Paediatric</w:t>
      </w:r>
      <w:proofErr w:type="spellEnd"/>
      <w:r w:rsidRPr="006C2F1C">
        <w:rPr>
          <w:rFonts w:cstheme="minorHAnsi"/>
        </w:rPr>
        <w:t xml:space="preserve"> Infection, Institute for Infection and Immunity, St George’s, University of London, London, United Kingdom</w:t>
      </w:r>
    </w:p>
    <w:p w14:paraId="75E9A2EA" w14:textId="77777777" w:rsidR="00212DE3" w:rsidRPr="006C2F1C" w:rsidRDefault="00212DE3" w:rsidP="00212DE3">
      <w:pPr>
        <w:rPr>
          <w:rFonts w:cstheme="minorHAnsi"/>
        </w:rPr>
      </w:pPr>
      <w:r w:rsidRPr="006C2F1C">
        <w:rPr>
          <w:rFonts w:cstheme="minorHAnsi"/>
          <w:vertAlign w:val="superscript"/>
        </w:rPr>
        <w:t>4</w:t>
      </w:r>
      <w:r w:rsidRPr="006C2F1C">
        <w:rPr>
          <w:rFonts w:cstheme="minorHAnsi"/>
        </w:rPr>
        <w:t>Department of Pediatric Infectious Diseases and Immunology, Wilhelmina Children’s Hospital, University Medical Center Utrecht, Utrecht, the Netherlands</w:t>
      </w:r>
    </w:p>
    <w:p w14:paraId="1F1BD795" w14:textId="77777777" w:rsidR="00212DE3" w:rsidRPr="006C2F1C" w:rsidRDefault="00212DE3" w:rsidP="00212DE3">
      <w:pPr>
        <w:rPr>
          <w:rFonts w:cstheme="minorHAnsi"/>
        </w:rPr>
      </w:pPr>
      <w:r w:rsidRPr="006C2F1C">
        <w:rPr>
          <w:rFonts w:cstheme="minorHAnsi"/>
          <w:vertAlign w:val="superscript"/>
        </w:rPr>
        <w:t>5</w:t>
      </w:r>
      <w:r w:rsidRPr="006C2F1C">
        <w:rPr>
          <w:rFonts w:cstheme="minorHAnsi"/>
        </w:rPr>
        <w:t>National Heart and Lung Institute, Imperial College London, London, United Kingdom</w:t>
      </w:r>
    </w:p>
    <w:p w14:paraId="0A2A2A40" w14:textId="77777777" w:rsidR="00212DE3" w:rsidRPr="006C2F1C" w:rsidRDefault="00212DE3" w:rsidP="00212DE3">
      <w:pPr>
        <w:rPr>
          <w:rFonts w:cstheme="minorHAnsi"/>
        </w:rPr>
      </w:pPr>
      <w:r w:rsidRPr="006C2F1C">
        <w:rPr>
          <w:rFonts w:cstheme="minorHAnsi"/>
          <w:vertAlign w:val="superscript"/>
        </w:rPr>
        <w:t>6</w:t>
      </w:r>
      <w:r w:rsidRPr="006C2F1C">
        <w:rPr>
          <w:rFonts w:cstheme="minorHAnsi"/>
        </w:rPr>
        <w:t xml:space="preserve">Translational Pediatrics and Infectious Diseases, Pediatrics Department, Hospital </w:t>
      </w:r>
      <w:proofErr w:type="spellStart"/>
      <w:r w:rsidRPr="006C2F1C">
        <w:rPr>
          <w:rFonts w:cstheme="minorHAnsi"/>
        </w:rPr>
        <w:t>Clínico</w:t>
      </w:r>
      <w:proofErr w:type="spellEnd"/>
      <w:r w:rsidRPr="006C2F1C">
        <w:rPr>
          <w:rFonts w:cstheme="minorHAnsi"/>
        </w:rPr>
        <w:t xml:space="preserve"> Universitario de Santiago de Compostela, Santiago de Compostela, Spain</w:t>
      </w:r>
    </w:p>
    <w:p w14:paraId="0EA398CB" w14:textId="77777777" w:rsidR="00212DE3" w:rsidRPr="006C2F1C" w:rsidRDefault="00212DE3" w:rsidP="00212DE3">
      <w:pPr>
        <w:rPr>
          <w:rFonts w:cstheme="minorHAnsi"/>
        </w:rPr>
      </w:pPr>
      <w:r w:rsidRPr="006C2F1C">
        <w:rPr>
          <w:rFonts w:cstheme="minorHAnsi"/>
          <w:vertAlign w:val="superscript"/>
        </w:rPr>
        <w:t>7</w:t>
      </w:r>
      <w:r w:rsidRPr="006C2F1C">
        <w:rPr>
          <w:rFonts w:cstheme="minorHAnsi"/>
        </w:rPr>
        <w:t xml:space="preserve">Genetics, Vaccines and Infections Research Group (GENVIP), Instituto de </w:t>
      </w:r>
      <w:proofErr w:type="spellStart"/>
      <w:r w:rsidRPr="006C2F1C">
        <w:rPr>
          <w:rFonts w:cstheme="minorHAnsi"/>
        </w:rPr>
        <w:t>Investigación</w:t>
      </w:r>
      <w:proofErr w:type="spellEnd"/>
      <w:r w:rsidRPr="006C2F1C">
        <w:rPr>
          <w:rFonts w:cstheme="minorHAnsi"/>
        </w:rPr>
        <w:t xml:space="preserve"> Sanitaria de Santiago, University of Santiago de Compostela, Spain</w:t>
      </w:r>
    </w:p>
    <w:p w14:paraId="3529586C" w14:textId="77777777" w:rsidR="00212DE3" w:rsidRPr="006C2F1C" w:rsidRDefault="00212DE3" w:rsidP="00212DE3">
      <w:pPr>
        <w:rPr>
          <w:rFonts w:cstheme="minorHAnsi"/>
          <w:lang w:val="es-ES"/>
        </w:rPr>
      </w:pPr>
      <w:r w:rsidRPr="006C2F1C">
        <w:rPr>
          <w:rFonts w:cstheme="minorHAnsi"/>
          <w:vertAlign w:val="superscript"/>
          <w:lang w:val="es-ES"/>
        </w:rPr>
        <w:t>8</w:t>
      </w:r>
      <w:r w:rsidRPr="006C2F1C">
        <w:rPr>
          <w:rFonts w:cstheme="minorHAnsi"/>
          <w:lang w:val="es-ES"/>
        </w:rPr>
        <w:t xml:space="preserve">Centro de Investigación Biomédica en Red de Enfermedades Respiratorias (CIBERES), Instituto de Salud Carlos III, Madrid, España </w:t>
      </w:r>
    </w:p>
    <w:p w14:paraId="0E31F550" w14:textId="77777777" w:rsidR="00212DE3" w:rsidRPr="006C2F1C" w:rsidRDefault="00212DE3" w:rsidP="00212DE3">
      <w:pPr>
        <w:rPr>
          <w:rFonts w:cstheme="minorHAnsi"/>
        </w:rPr>
      </w:pPr>
      <w:proofErr w:type="spellStart"/>
      <w:r w:rsidRPr="006C2F1C">
        <w:rPr>
          <w:rFonts w:cstheme="minorHAnsi"/>
          <w:vertAlign w:val="superscript"/>
        </w:rPr>
        <w:lastRenderedPageBreak/>
        <w:t>a</w:t>
      </w:r>
      <w:r w:rsidRPr="006C2F1C">
        <w:rPr>
          <w:rFonts w:cstheme="minorHAnsi"/>
        </w:rPr>
        <w:t>These</w:t>
      </w:r>
      <w:proofErr w:type="spellEnd"/>
      <w:r w:rsidRPr="006C2F1C">
        <w:rPr>
          <w:rFonts w:cstheme="minorHAnsi"/>
        </w:rPr>
        <w:t xml:space="preserve"> authors contributed </w:t>
      </w:r>
      <w:proofErr w:type="gramStart"/>
      <w:r w:rsidRPr="006C2F1C">
        <w:rPr>
          <w:rFonts w:cstheme="minorHAnsi"/>
        </w:rPr>
        <w:t>equally</w:t>
      </w:r>
      <w:proofErr w:type="gramEnd"/>
    </w:p>
    <w:p w14:paraId="2D9CBBE1" w14:textId="77777777" w:rsidR="00212DE3" w:rsidRPr="006C2F1C" w:rsidRDefault="00212DE3" w:rsidP="00212DE3">
      <w:pPr>
        <w:rPr>
          <w:rFonts w:cstheme="minorHAnsi"/>
        </w:rPr>
      </w:pPr>
      <w:r w:rsidRPr="006C2F1C">
        <w:rPr>
          <w:rFonts w:cstheme="minorHAnsi"/>
        </w:rPr>
        <w:t xml:space="preserve"> </w:t>
      </w:r>
      <w:proofErr w:type="spellStart"/>
      <w:r w:rsidRPr="006C2F1C">
        <w:rPr>
          <w:rFonts w:cstheme="minorHAnsi"/>
          <w:vertAlign w:val="superscript"/>
        </w:rPr>
        <w:t>b</w:t>
      </w:r>
      <w:r w:rsidRPr="006C2F1C">
        <w:rPr>
          <w:rFonts w:cstheme="minorHAnsi"/>
        </w:rPr>
        <w:t>Correspondence</w:t>
      </w:r>
      <w:proofErr w:type="spellEnd"/>
      <w:r w:rsidRPr="006C2F1C">
        <w:rPr>
          <w:rFonts w:cstheme="minorHAnsi"/>
        </w:rPr>
        <w:t xml:space="preserve">: jaerssen@its.jnj.com </w:t>
      </w:r>
    </w:p>
    <w:p w14:paraId="27C3B978" w14:textId="2C0102CB" w:rsidR="00212DE3" w:rsidRPr="006C2F1C" w:rsidRDefault="00212DE3" w:rsidP="00212DE3">
      <w:pPr>
        <w:rPr>
          <w:rFonts w:cstheme="minorHAnsi"/>
          <w:b/>
          <w:bCs/>
        </w:rPr>
      </w:pPr>
    </w:p>
    <w:p w14:paraId="3DD4FF36" w14:textId="7DAA7E91" w:rsidR="00212DE3" w:rsidRPr="006C2F1C" w:rsidRDefault="00212DE3" w:rsidP="00212DE3">
      <w:pPr>
        <w:rPr>
          <w:rFonts w:cstheme="minorHAnsi"/>
          <w:b/>
          <w:bCs/>
        </w:rPr>
      </w:pPr>
    </w:p>
    <w:p w14:paraId="10C686F3" w14:textId="2F4ABE7E" w:rsidR="00212DE3" w:rsidRPr="006C2F1C" w:rsidRDefault="00212DE3" w:rsidP="00212DE3">
      <w:pPr>
        <w:rPr>
          <w:rFonts w:cstheme="minorHAnsi"/>
          <w:b/>
          <w:bCs/>
        </w:rPr>
      </w:pPr>
    </w:p>
    <w:p w14:paraId="617AC043" w14:textId="28ED4D0E" w:rsidR="00212DE3" w:rsidRPr="006C2F1C" w:rsidRDefault="00212DE3" w:rsidP="00212DE3">
      <w:pPr>
        <w:rPr>
          <w:rFonts w:cstheme="minorHAnsi"/>
          <w:b/>
          <w:bCs/>
        </w:rPr>
      </w:pPr>
    </w:p>
    <w:p w14:paraId="32B1CE7B" w14:textId="0E90D94F" w:rsidR="00212DE3" w:rsidRPr="006C2F1C" w:rsidRDefault="00212DE3" w:rsidP="00212DE3">
      <w:pPr>
        <w:rPr>
          <w:rFonts w:cstheme="minorHAnsi"/>
          <w:b/>
          <w:bCs/>
        </w:rPr>
      </w:pPr>
    </w:p>
    <w:p w14:paraId="65ED6AB6" w14:textId="5DF21EBF" w:rsidR="00212DE3" w:rsidRPr="006C2F1C" w:rsidRDefault="00212DE3" w:rsidP="00212DE3">
      <w:pPr>
        <w:rPr>
          <w:rFonts w:cstheme="minorHAnsi"/>
          <w:b/>
          <w:bCs/>
        </w:rPr>
      </w:pPr>
    </w:p>
    <w:p w14:paraId="2C925CFB" w14:textId="34C246D1" w:rsidR="00212DE3" w:rsidRPr="006C2F1C" w:rsidRDefault="00212DE3" w:rsidP="00212DE3">
      <w:pPr>
        <w:rPr>
          <w:rFonts w:cstheme="minorHAnsi"/>
          <w:b/>
          <w:bCs/>
        </w:rPr>
      </w:pPr>
    </w:p>
    <w:p w14:paraId="1C237F9E" w14:textId="13DA129D" w:rsidR="00212DE3" w:rsidRPr="006C2F1C" w:rsidRDefault="00212DE3" w:rsidP="00212DE3">
      <w:pPr>
        <w:rPr>
          <w:rFonts w:cstheme="minorHAnsi"/>
          <w:b/>
          <w:bCs/>
        </w:rPr>
      </w:pPr>
    </w:p>
    <w:p w14:paraId="3008DB84" w14:textId="73344AC1" w:rsidR="00212DE3" w:rsidRPr="006C2F1C" w:rsidRDefault="00212DE3" w:rsidP="00212DE3">
      <w:pPr>
        <w:rPr>
          <w:rFonts w:cstheme="minorHAnsi"/>
          <w:b/>
          <w:bCs/>
        </w:rPr>
      </w:pPr>
    </w:p>
    <w:p w14:paraId="3824B511" w14:textId="4195C207" w:rsidR="00212DE3" w:rsidRPr="006C2F1C" w:rsidRDefault="00212DE3" w:rsidP="00212DE3">
      <w:pPr>
        <w:rPr>
          <w:rFonts w:cstheme="minorHAnsi"/>
          <w:b/>
          <w:bCs/>
        </w:rPr>
      </w:pPr>
    </w:p>
    <w:p w14:paraId="29416AB9" w14:textId="0774DD80" w:rsidR="00212DE3" w:rsidRPr="006C2F1C" w:rsidRDefault="00212DE3" w:rsidP="00212DE3">
      <w:pPr>
        <w:rPr>
          <w:rFonts w:cstheme="minorHAnsi"/>
          <w:b/>
          <w:bCs/>
        </w:rPr>
      </w:pPr>
    </w:p>
    <w:p w14:paraId="29622548" w14:textId="77777777" w:rsidR="00212DE3" w:rsidRPr="006C2F1C" w:rsidRDefault="00212DE3" w:rsidP="00212DE3">
      <w:pPr>
        <w:rPr>
          <w:rFonts w:cstheme="minorHAnsi"/>
          <w:b/>
          <w:bCs/>
        </w:rPr>
      </w:pPr>
    </w:p>
    <w:p w14:paraId="5DD4CDBF" w14:textId="6942BE75" w:rsidR="00212DE3" w:rsidRPr="006C2F1C" w:rsidRDefault="00212DE3" w:rsidP="00212DE3">
      <w:pPr>
        <w:rPr>
          <w:rFonts w:cstheme="minorHAnsi"/>
          <w:b/>
          <w:bCs/>
        </w:rPr>
      </w:pPr>
      <w:r w:rsidRPr="006C2F1C">
        <w:rPr>
          <w:rFonts w:cstheme="minorHAnsi"/>
          <w:b/>
          <w:bCs/>
        </w:rPr>
        <w:t>ACKNOWLEDGEMENTS</w:t>
      </w:r>
    </w:p>
    <w:p w14:paraId="47E5FE84" w14:textId="77777777" w:rsidR="00212DE3" w:rsidRPr="006C2F1C" w:rsidRDefault="00212DE3" w:rsidP="00212DE3">
      <w:pPr>
        <w:rPr>
          <w:rFonts w:cstheme="minorHAnsi"/>
        </w:rPr>
      </w:pPr>
      <w:r w:rsidRPr="006C2F1C">
        <w:rPr>
          <w:rFonts w:cstheme="minorHAnsi"/>
        </w:rPr>
        <w:t>This work was supported by the Respiratory Syncytial Virus Consortium in Europe (RESCEU) project. RESCEU has received funding from the Innovative Medicines Initiative 2 Joint Undertaking (grant number 116019). This Joint Undertaking receives support from the European Union Horizon 2020 Research and Innovation.</w:t>
      </w:r>
    </w:p>
    <w:p w14:paraId="5D61D788" w14:textId="77777777" w:rsidR="00212DE3" w:rsidRPr="006C2F1C" w:rsidRDefault="00212DE3" w:rsidP="00212DE3">
      <w:pPr>
        <w:rPr>
          <w:rFonts w:cstheme="minorHAnsi"/>
        </w:rPr>
      </w:pPr>
      <w:r w:rsidRPr="006C2F1C">
        <w:rPr>
          <w:rFonts w:cstheme="minorHAnsi"/>
        </w:rPr>
        <w:t>Graphical abstract and Figure 1 were created with BioRender.com.</w:t>
      </w:r>
    </w:p>
    <w:p w14:paraId="0100FEBD" w14:textId="346011FB" w:rsidR="00130E1E" w:rsidRPr="006C2F1C" w:rsidRDefault="00130E1E" w:rsidP="00130E1E">
      <w:pPr>
        <w:pStyle w:val="Heading1"/>
      </w:pPr>
      <w:r w:rsidRPr="006C2F1C">
        <w:lastRenderedPageBreak/>
        <w:t>Supplemental figure titles and legends</w:t>
      </w:r>
    </w:p>
    <w:p w14:paraId="1E39586E" w14:textId="77777777" w:rsidR="00130E1E" w:rsidRPr="006C2F1C" w:rsidRDefault="00130E1E" w:rsidP="00130E1E">
      <w:pPr>
        <w:rPr>
          <w:b/>
          <w:bCs/>
        </w:rPr>
      </w:pPr>
      <w:r w:rsidRPr="006C2F1C">
        <w:rPr>
          <w:b/>
          <w:bCs/>
        </w:rPr>
        <w:t>Figure S1: Gating strategy of the single-cell proteomics analysis.</w:t>
      </w:r>
    </w:p>
    <w:p w14:paraId="19022E2D" w14:textId="77777777" w:rsidR="00130E1E" w:rsidRPr="006C2F1C" w:rsidRDefault="00130E1E" w:rsidP="00130E1E">
      <w:r w:rsidRPr="006C2F1C">
        <w:t>(</w:t>
      </w:r>
      <w:r w:rsidRPr="006C2F1C">
        <w:rPr>
          <w:b/>
          <w:bCs/>
        </w:rPr>
        <w:t>A</w:t>
      </w:r>
      <w:r w:rsidRPr="006C2F1C">
        <w:t>) Gating strategy</w:t>
      </w:r>
      <w:r w:rsidRPr="006C2F1C">
        <w:rPr>
          <w:rFonts w:ascii="Calibri" w:eastAsia="Calibri" w:hAnsi="Calibri" w:cs="Calibri"/>
        </w:rPr>
        <w:t xml:space="preserve"> applied to separate cells into discrete populations based on shared marker expression, in the hierarchical order. Ce</w:t>
      </w:r>
      <w:r w:rsidRPr="006C2F1C">
        <w:t>ll populations identified by this gating strategy are highlighted in biaxial contour plots. (</w:t>
      </w:r>
      <w:r w:rsidRPr="006C2F1C">
        <w:rPr>
          <w:b/>
          <w:bCs/>
        </w:rPr>
        <w:t>B</w:t>
      </w:r>
      <w:r w:rsidRPr="006C2F1C">
        <w:t>) Granulocyte subpopulation gating strategy using combinatorial expression of CD16 and CD62L. Single CD16 vs CD62L biaxial plot is colored with median marker expression of different myeloid lineage markers (CD11c, CD11b, CD66b and CD24), and Ki67 to visualize granulocyte subset myeloid marker expression levels.</w:t>
      </w:r>
    </w:p>
    <w:p w14:paraId="03B24037" w14:textId="77777777" w:rsidR="00130E1E" w:rsidRPr="006C2F1C" w:rsidRDefault="00130E1E" w:rsidP="00130E1E">
      <w:pPr>
        <w:rPr>
          <w:b/>
          <w:bCs/>
        </w:rPr>
      </w:pPr>
      <w:r w:rsidRPr="006C2F1C">
        <w:rPr>
          <w:b/>
          <w:bCs/>
        </w:rPr>
        <w:t>Figure S2:</w:t>
      </w:r>
      <w:r w:rsidRPr="006C2F1C">
        <w:t xml:space="preserve"> </w:t>
      </w:r>
      <w:r w:rsidRPr="006C2F1C">
        <w:rPr>
          <w:b/>
          <w:bCs/>
        </w:rPr>
        <w:t xml:space="preserve">Confirmation of </w:t>
      </w:r>
      <w:proofErr w:type="spellStart"/>
      <w:r w:rsidRPr="006C2F1C">
        <w:rPr>
          <w:b/>
          <w:bCs/>
        </w:rPr>
        <w:t>FlowSOM</w:t>
      </w:r>
      <w:proofErr w:type="spellEnd"/>
      <w:r w:rsidRPr="006C2F1C">
        <w:rPr>
          <w:b/>
          <w:bCs/>
        </w:rPr>
        <w:t xml:space="preserve"> clusters based on the manually gated cell populations. </w:t>
      </w:r>
    </w:p>
    <w:p w14:paraId="6856413A" w14:textId="77777777" w:rsidR="00130E1E" w:rsidRPr="006C2F1C" w:rsidRDefault="00130E1E" w:rsidP="00130E1E">
      <w:r w:rsidRPr="006C2F1C">
        <w:t xml:space="preserve">Heatmap indicates the number of cells from manually gated cell populations present within each </w:t>
      </w:r>
      <w:proofErr w:type="spellStart"/>
      <w:r w:rsidRPr="006C2F1C">
        <w:t>FlowSOM</w:t>
      </w:r>
      <w:proofErr w:type="spellEnd"/>
      <w:r w:rsidRPr="006C2F1C">
        <w:t xml:space="preserve"> cluster normalized to the maximum number of cells in the cluster. This enables identification of clusters containing mixture </w:t>
      </w:r>
      <w:proofErr w:type="gramStart"/>
      <w:r w:rsidRPr="006C2F1C">
        <w:t>if</w:t>
      </w:r>
      <w:proofErr w:type="gramEnd"/>
      <w:r w:rsidRPr="006C2F1C">
        <w:t xml:space="preserve"> cell subtypes as identified by manual gating.</w:t>
      </w:r>
    </w:p>
    <w:p w14:paraId="50113BF4" w14:textId="64571DEF" w:rsidR="00130E1E" w:rsidRPr="006C2F1C" w:rsidRDefault="00130E1E" w:rsidP="00130E1E">
      <w:r w:rsidRPr="006C2F1C">
        <w:rPr>
          <w:b/>
          <w:bCs/>
        </w:rPr>
        <w:t xml:space="preserve">Figure S3: Phenotyping of the </w:t>
      </w:r>
      <w:proofErr w:type="spellStart"/>
      <w:r w:rsidRPr="006C2F1C">
        <w:rPr>
          <w:b/>
          <w:bCs/>
        </w:rPr>
        <w:t>metaclusters</w:t>
      </w:r>
      <w:proofErr w:type="spellEnd"/>
      <w:r w:rsidRPr="006C2F1C">
        <w:rPr>
          <w:b/>
          <w:bCs/>
        </w:rPr>
        <w:t>.</w:t>
      </w:r>
    </w:p>
    <w:p w14:paraId="4035D4C2" w14:textId="77777777" w:rsidR="00130E1E" w:rsidRPr="006C2F1C" w:rsidRDefault="00130E1E" w:rsidP="00BF6E0A">
      <w:pPr>
        <w:rPr>
          <w:rFonts w:eastAsia="Source Sans Pro" w:cstheme="minorHAnsi"/>
        </w:rPr>
      </w:pPr>
      <w:r w:rsidRPr="006C2F1C">
        <w:t>(</w:t>
      </w:r>
      <w:r w:rsidRPr="006C2F1C">
        <w:rPr>
          <w:b/>
          <w:bCs/>
        </w:rPr>
        <w:t>A</w:t>
      </w:r>
      <w:r w:rsidRPr="006C2F1C">
        <w:t xml:space="preserve">) </w:t>
      </w:r>
      <w:r w:rsidRPr="006C2F1C">
        <w:rPr>
          <w:rFonts w:cstheme="minorHAnsi"/>
        </w:rPr>
        <w:t>Heatmap representing t</w:t>
      </w:r>
      <w:r w:rsidRPr="006C2F1C">
        <w:rPr>
          <w:rFonts w:eastAsia="Source Sans Pro" w:cstheme="minorHAnsi"/>
        </w:rPr>
        <w:t xml:space="preserve">he number of cells from each </w:t>
      </w:r>
      <w:proofErr w:type="spellStart"/>
      <w:r w:rsidRPr="006C2F1C">
        <w:rPr>
          <w:rFonts w:eastAsia="Source Sans Pro" w:cstheme="minorHAnsi"/>
        </w:rPr>
        <w:t>metacluster</w:t>
      </w:r>
      <w:proofErr w:type="spellEnd"/>
      <w:r w:rsidRPr="006C2F1C">
        <w:rPr>
          <w:rFonts w:eastAsia="Source Sans Pro" w:cstheme="minorHAnsi"/>
        </w:rPr>
        <w:t xml:space="preserve"> normalized to the total population size, enabling quick identification of bubbles that correspond to the majority of a given population. Y-axis shows the list of </w:t>
      </w:r>
      <w:proofErr w:type="spellStart"/>
      <w:r w:rsidRPr="006C2F1C">
        <w:rPr>
          <w:rFonts w:eastAsia="Source Sans Pro" w:cstheme="minorHAnsi"/>
        </w:rPr>
        <w:t>metaclusters</w:t>
      </w:r>
      <w:proofErr w:type="spellEnd"/>
      <w:r w:rsidRPr="006C2F1C">
        <w:rPr>
          <w:rFonts w:eastAsia="Source Sans Pro" w:cstheme="minorHAnsi"/>
        </w:rPr>
        <w:t>, and the x-axis shows the list of manually gated cell populations. (</w:t>
      </w:r>
      <w:r w:rsidRPr="006C2F1C">
        <w:rPr>
          <w:rFonts w:eastAsia="Source Sans Pro" w:cstheme="minorHAnsi"/>
          <w:b/>
          <w:bCs/>
        </w:rPr>
        <w:t>B</w:t>
      </w:r>
      <w:r w:rsidRPr="006C2F1C">
        <w:rPr>
          <w:rFonts w:eastAsia="Source Sans Pro" w:cstheme="minorHAnsi"/>
        </w:rPr>
        <w:t xml:space="preserve">) Heatmap representing </w:t>
      </w:r>
      <w:proofErr w:type="spellStart"/>
      <w:r w:rsidRPr="006C2F1C">
        <w:rPr>
          <w:rFonts w:eastAsia="Source Sans Pro" w:cstheme="minorHAnsi"/>
        </w:rPr>
        <w:t>metacluster</w:t>
      </w:r>
      <w:proofErr w:type="spellEnd"/>
      <w:r w:rsidRPr="006C2F1C">
        <w:rPr>
          <w:rFonts w:eastAsia="Source Sans Pro" w:cstheme="minorHAnsi"/>
        </w:rPr>
        <w:t xml:space="preserve"> (y-axis) median marker expression scaled per marker (x-axis).</w:t>
      </w:r>
    </w:p>
    <w:p w14:paraId="78D1298B" w14:textId="7D243D67" w:rsidR="00DA6EA7" w:rsidRPr="006C2F1C" w:rsidRDefault="00DA6EA7" w:rsidP="00746C51">
      <w:pPr>
        <w:jc w:val="left"/>
        <w:rPr>
          <w:rFonts w:eastAsia="Source Sans Pro" w:cstheme="minorHAnsi"/>
          <w:b/>
          <w:bCs/>
        </w:rPr>
      </w:pPr>
      <w:r w:rsidRPr="006C2F1C">
        <w:rPr>
          <w:rFonts w:eastAsia="Source Sans Pro" w:cstheme="minorHAnsi"/>
          <w:b/>
          <w:bCs/>
        </w:rPr>
        <w:t xml:space="preserve">Figure S4: </w:t>
      </w:r>
      <w:r w:rsidR="00BF6E0A" w:rsidRPr="006C2F1C">
        <w:rPr>
          <w:rFonts w:eastAsia="Source Sans Pro" w:cstheme="minorHAnsi"/>
          <w:b/>
          <w:bCs/>
        </w:rPr>
        <w:t xml:space="preserve">Differential analysis of cell subsets for various comparisons of infants younger than 6 months old with different degrees of RSV disease severity </w:t>
      </w:r>
    </w:p>
    <w:p w14:paraId="06A6125F" w14:textId="025F86EC" w:rsidR="00DA6EA7" w:rsidRPr="006C2F1C" w:rsidRDefault="00BF6E0A" w:rsidP="00746C51">
      <w:pPr>
        <w:rPr>
          <w:rFonts w:eastAsia="Source Sans Pro" w:cstheme="minorHAnsi"/>
        </w:rPr>
      </w:pPr>
      <w:r w:rsidRPr="006C2F1C">
        <w:rPr>
          <w:rFonts w:eastAsia="Source Sans Pro" w:cstheme="minorHAnsi"/>
        </w:rPr>
        <w:t>Volcano plots show differential analysis of cell subsets for various comparisons of infants with different degrees of RSV disease severity. The estimated fold change is shown on x-axis and -</w:t>
      </w:r>
      <w:r w:rsidRPr="006C2F1C">
        <w:rPr>
          <w:rFonts w:eastAsia="Source Sans Pro" w:cstheme="minorHAnsi"/>
        </w:rPr>
        <w:lastRenderedPageBreak/>
        <w:t>log10 of adjusted p value is shown on y-axis. The horizontal lines represent FDR-adjusted p value &lt; 0.05.</w:t>
      </w:r>
    </w:p>
    <w:p w14:paraId="6C2FFD80" w14:textId="7254819D" w:rsidR="00130E1E" w:rsidRPr="006C2F1C" w:rsidRDefault="00130E1E" w:rsidP="00130E1E">
      <w:pPr>
        <w:spacing w:line="259" w:lineRule="auto"/>
        <w:jc w:val="left"/>
      </w:pPr>
      <w:r w:rsidRPr="006C2F1C">
        <w:rPr>
          <w:b/>
          <w:bCs/>
        </w:rPr>
        <w:t>Figure S</w:t>
      </w:r>
      <w:r w:rsidR="00DA6EA7" w:rsidRPr="006C2F1C">
        <w:rPr>
          <w:b/>
          <w:bCs/>
        </w:rPr>
        <w:t>5</w:t>
      </w:r>
      <w:r w:rsidRPr="006C2F1C">
        <w:rPr>
          <w:b/>
          <w:bCs/>
        </w:rPr>
        <w:t xml:space="preserve">: Random Forest analysis to predict cell subsets that </w:t>
      </w:r>
      <w:proofErr w:type="gramStart"/>
      <w:r w:rsidRPr="006C2F1C">
        <w:rPr>
          <w:b/>
          <w:bCs/>
        </w:rPr>
        <w:t>differentiates</w:t>
      </w:r>
      <w:proofErr w:type="gramEnd"/>
      <w:r w:rsidRPr="006C2F1C">
        <w:rPr>
          <w:b/>
          <w:bCs/>
        </w:rPr>
        <w:t xml:space="preserve"> severe RSV disease in whole blood</w:t>
      </w:r>
      <w:r w:rsidRPr="006C2F1C">
        <w:t xml:space="preserve">. </w:t>
      </w:r>
    </w:p>
    <w:p w14:paraId="081D0E57" w14:textId="77777777" w:rsidR="00130E1E" w:rsidRPr="006C2F1C" w:rsidRDefault="00130E1E" w:rsidP="00130E1E">
      <w:r w:rsidRPr="006C2F1C">
        <w:t>(</w:t>
      </w:r>
      <w:r w:rsidRPr="006C2F1C">
        <w:rPr>
          <w:b/>
          <w:bCs/>
        </w:rPr>
        <w:t>A, C</w:t>
      </w:r>
      <w:r w:rsidRPr="006C2F1C">
        <w:t xml:space="preserve">) Heatmap representing a confusion matrix, indicating the percentage of cases with correct random forest classifier's predictions and </w:t>
      </w:r>
      <w:r w:rsidRPr="006C2F1C">
        <w:rPr>
          <w:i/>
          <w:iCs/>
        </w:rPr>
        <w:t>vice versa</w:t>
      </w:r>
      <w:r w:rsidRPr="006C2F1C">
        <w:t>. In confusion matrix the columns represent the true patients’ groups labels versus the predicted ones in the rows, with the diagonal representing the percentage of times when predictions match the true label for (</w:t>
      </w:r>
      <w:r w:rsidRPr="006C2F1C">
        <w:rPr>
          <w:b/>
          <w:bCs/>
        </w:rPr>
        <w:t>A</w:t>
      </w:r>
      <w:r w:rsidRPr="006C2F1C">
        <w:t xml:space="preserve">) different RSV disease severity groups based of the </w:t>
      </w:r>
      <w:proofErr w:type="spellStart"/>
      <w:r w:rsidRPr="006C2F1C">
        <w:t>ReSVinet</w:t>
      </w:r>
      <w:proofErr w:type="spellEnd"/>
      <w:r w:rsidRPr="006C2F1C">
        <w:t xml:space="preserve"> score: healthy, mild (&lt; 7 points), moderate (&gt;= 7 points and &lt; 14 points), and severe (&gt;= 14 points) and (</w:t>
      </w:r>
      <w:r w:rsidRPr="006C2F1C">
        <w:rPr>
          <w:b/>
          <w:bCs/>
        </w:rPr>
        <w:t>C</w:t>
      </w:r>
      <w:r w:rsidRPr="006C2F1C">
        <w:t>) the length of hospital stays, classified as short (&lt;= 5 days) or long (&gt; 5 days). (</w:t>
      </w:r>
      <w:r w:rsidRPr="006C2F1C">
        <w:rPr>
          <w:b/>
          <w:bCs/>
        </w:rPr>
        <w:t>B, D</w:t>
      </w:r>
      <w:r w:rsidRPr="006C2F1C">
        <w:t>) Compositional biplot provides graphical representation of patient similarity across patient groups and of cell subsets driving their separation for (</w:t>
      </w:r>
      <w:r w:rsidRPr="006C2F1C">
        <w:rPr>
          <w:b/>
          <w:bCs/>
        </w:rPr>
        <w:t>B</w:t>
      </w:r>
      <w:r w:rsidRPr="006C2F1C">
        <w:t xml:space="preserve">) different RSV disease severity groups based of the </w:t>
      </w:r>
      <w:proofErr w:type="spellStart"/>
      <w:r w:rsidRPr="006C2F1C">
        <w:t>ReSVinet</w:t>
      </w:r>
      <w:proofErr w:type="spellEnd"/>
      <w:r w:rsidRPr="006C2F1C">
        <w:t xml:space="preserve"> score: healthy, mild (&lt; 7 points), moderate (&gt;= 7 points and &lt; 14 points), and severe (&gt;= 14 points) and (</w:t>
      </w:r>
      <w:r w:rsidRPr="006C2F1C">
        <w:rPr>
          <w:b/>
          <w:bCs/>
        </w:rPr>
        <w:t>D</w:t>
      </w:r>
      <w:r w:rsidRPr="006C2F1C">
        <w:t xml:space="preserve">) the length of hospital stays, classified as short (&lt;= 5 days) or long (&gt; 5 days). The length of the line </w:t>
      </w:r>
      <w:proofErr w:type="gramStart"/>
      <w:r w:rsidRPr="006C2F1C">
        <w:t>corresponding</w:t>
      </w:r>
      <w:proofErr w:type="gramEnd"/>
      <w:r w:rsidRPr="006C2F1C">
        <w:t xml:space="preserve"> to the importance of the feature. Line labels correspond to cell clusters (name and cluster number included).</w:t>
      </w:r>
    </w:p>
    <w:p w14:paraId="5DBBD660" w14:textId="2EFD6523" w:rsidR="00130E1E" w:rsidRPr="006C2F1C" w:rsidRDefault="00130E1E" w:rsidP="00130E1E">
      <w:pPr>
        <w:rPr>
          <w:b/>
          <w:bCs/>
        </w:rPr>
      </w:pPr>
      <w:r w:rsidRPr="006C2F1C">
        <w:rPr>
          <w:b/>
          <w:bCs/>
        </w:rPr>
        <w:t>Figure S</w:t>
      </w:r>
      <w:r w:rsidR="00DA6EA7" w:rsidRPr="006C2F1C">
        <w:rPr>
          <w:b/>
          <w:bCs/>
        </w:rPr>
        <w:t>6</w:t>
      </w:r>
      <w:r w:rsidRPr="006C2F1C">
        <w:rPr>
          <w:b/>
          <w:bCs/>
        </w:rPr>
        <w:t>: Modules showing greater correlation with the disease severity.</w:t>
      </w:r>
    </w:p>
    <w:p w14:paraId="0A1C189D" w14:textId="77777777" w:rsidR="00130E1E" w:rsidRPr="006C2F1C" w:rsidRDefault="00130E1E" w:rsidP="00130E1E">
      <w:r w:rsidRPr="006C2F1C">
        <w:t xml:space="preserve">Heatmap showing the correlation of disease severity and gene modules. Clinical characteristics such as sex and age category (younger than 3 months old, between 3 and 6 months old, and between 6 and 12 months old), and disease severity classifications such as </w:t>
      </w:r>
      <w:proofErr w:type="spellStart"/>
      <w:r w:rsidRPr="006C2F1C">
        <w:t>ReSVinet</w:t>
      </w:r>
      <w:proofErr w:type="spellEnd"/>
      <w:r w:rsidRPr="006C2F1C">
        <w:t xml:space="preserve"> score, </w:t>
      </w:r>
      <w:proofErr w:type="spellStart"/>
      <w:r w:rsidRPr="006C2F1C">
        <w:t>hospitalisation</w:t>
      </w:r>
      <w:proofErr w:type="spellEnd"/>
      <w:r w:rsidRPr="006C2F1C">
        <w:t>, and use of mechanical ventilation are shown on the x-axis. Gene modules identified by the Weighted Gene Correlation Network (WGCNA) are shown on the y-axis.</w:t>
      </w:r>
    </w:p>
    <w:p w14:paraId="5F4B7C91" w14:textId="7A3D7085" w:rsidR="00746C51" w:rsidRPr="006C2F1C" w:rsidRDefault="00746C51" w:rsidP="00130E1E"/>
    <w:p w14:paraId="69951D74" w14:textId="4EC10E39" w:rsidR="00122B94" w:rsidRPr="006C2F1C" w:rsidRDefault="00122B94" w:rsidP="00130E1E">
      <w:pPr>
        <w:rPr>
          <w:b/>
          <w:bCs/>
        </w:rPr>
      </w:pPr>
      <w:r w:rsidRPr="006C2F1C">
        <w:rPr>
          <w:b/>
          <w:bCs/>
        </w:rPr>
        <w:t xml:space="preserve">Figure S7: </w:t>
      </w:r>
      <w:r w:rsidR="006A4ED4" w:rsidRPr="006C2F1C">
        <w:rPr>
          <w:b/>
          <w:bCs/>
        </w:rPr>
        <w:t>Comparison of the expression levels of the selected genes in the “medium orchid” module between disease severity groups.</w:t>
      </w:r>
    </w:p>
    <w:p w14:paraId="64579219" w14:textId="3C842EB7" w:rsidR="00D2330A" w:rsidRPr="006C2F1C" w:rsidRDefault="006A4ED4" w:rsidP="000B2224">
      <w:r w:rsidRPr="006C2F1C">
        <w:t>Infants younger than 3 months of age were displayed in the graphs. Infants were grouped based on the hospitalization status as disease severity: Healthy controls, mild, moderate, and severe</w:t>
      </w:r>
      <w:r w:rsidR="00DA6EA7" w:rsidRPr="006C2F1C">
        <w:t>, with the colors shown in the legend.</w:t>
      </w:r>
      <w:r w:rsidRPr="006C2F1C">
        <w:t xml:space="preserve"> Expression values of the genes (A-H) </w:t>
      </w:r>
      <w:r w:rsidRPr="006C2F1C">
        <w:rPr>
          <w:i/>
          <w:iCs/>
        </w:rPr>
        <w:t>ARG1, AZU1, BPI, CEACAM8, ELANE, LCN2, MMP8, BPI</w:t>
      </w:r>
      <w:r w:rsidRPr="006C2F1C">
        <w:t>, were shown on the y-axis as Log</w:t>
      </w:r>
      <w:r w:rsidRPr="006C2F1C">
        <w:rPr>
          <w:vertAlign w:val="subscript"/>
        </w:rPr>
        <w:t>2</w:t>
      </w:r>
      <w:r w:rsidRPr="006C2F1C">
        <w:t xml:space="preserve"> intensity. </w:t>
      </w:r>
      <w:r w:rsidR="00FF05AB" w:rsidRPr="006C2F1C">
        <w:t xml:space="preserve">One-way </w:t>
      </w:r>
      <w:proofErr w:type="spellStart"/>
      <w:r w:rsidR="00FF05AB" w:rsidRPr="006C2F1C">
        <w:t>Anova</w:t>
      </w:r>
      <w:proofErr w:type="spellEnd"/>
      <w:r w:rsidR="00FF05AB" w:rsidRPr="006C2F1C">
        <w:t xml:space="preserve"> (analysis of variance) analysis with </w:t>
      </w:r>
      <w:proofErr w:type="spellStart"/>
      <w:r w:rsidR="00FF05AB" w:rsidRPr="006C2F1C">
        <w:t>TukeyHSD</w:t>
      </w:r>
      <w:proofErr w:type="spellEnd"/>
      <w:r w:rsidR="00FF05AB" w:rsidRPr="006C2F1C">
        <w:t xml:space="preserve"> (honestly significant difference) multiple comparison of means (95 % confidence level) was applied to find the significant comparisons. </w:t>
      </w:r>
      <w:r w:rsidR="009423F8" w:rsidRPr="006C2F1C">
        <w:t>Statistical significance is denoted as follows: * for p &lt; 0.05, ** for p &lt; 0.01, *** for p &lt; 0.001, and '</w:t>
      </w:r>
      <w:proofErr w:type="spellStart"/>
      <w:r w:rsidR="009423F8" w:rsidRPr="006C2F1C">
        <w:t>n.s</w:t>
      </w:r>
      <w:proofErr w:type="spellEnd"/>
      <w:r w:rsidR="009423F8" w:rsidRPr="006C2F1C">
        <w:t>.' indicates not significant.</w:t>
      </w:r>
    </w:p>
    <w:p w14:paraId="1D92BFB2" w14:textId="77777777" w:rsidR="008F7F5A" w:rsidRPr="006C2F1C" w:rsidRDefault="008F7F5A" w:rsidP="000B2224">
      <w:r w:rsidRPr="006C2F1C">
        <w:rPr>
          <w:b/>
          <w:bCs/>
        </w:rPr>
        <w:t>Figure S8: PLS-DA shows separation of RSV disease groups.</w:t>
      </w:r>
    </w:p>
    <w:p w14:paraId="7D145E67" w14:textId="2212A6C3" w:rsidR="00A55774" w:rsidRPr="006C2F1C" w:rsidRDefault="008F7F5A" w:rsidP="000B2224">
      <w:r w:rsidRPr="006C2F1C">
        <w:t>(A) Scatter plot showing the mapping of samples according to the sparse PLS-DA model into dimensions 1 and 2 using 100 most informative genes according to the sparse PLS-DA algorithm, colored according to RSV disease status. (B) Scatter plot of the feature importance of the 100 genes making in the sparse PLS-DA model, indicating the extent to which each gene drives projection onto component 1 and component 2.</w:t>
      </w:r>
      <w:r w:rsidR="00A55774" w:rsidRPr="006C2F1C">
        <w:br w:type="page"/>
      </w:r>
    </w:p>
    <w:p w14:paraId="5AEB693F" w14:textId="7DA4B464" w:rsidR="00676C9D" w:rsidRPr="006C2F1C" w:rsidRDefault="00676C9D" w:rsidP="00746C51">
      <w:pPr>
        <w:rPr>
          <w:b/>
          <w:bCs/>
        </w:rPr>
      </w:pPr>
      <w:r w:rsidRPr="006C2F1C">
        <w:rPr>
          <w:b/>
          <w:bCs/>
        </w:rPr>
        <w:lastRenderedPageBreak/>
        <w:t>Table S1</w:t>
      </w:r>
      <w:r w:rsidR="004E0675" w:rsidRPr="006C2F1C">
        <w:rPr>
          <w:b/>
          <w:bCs/>
        </w:rPr>
        <w:t>: Key resources table</w:t>
      </w:r>
    </w:p>
    <w:tbl>
      <w:tblPr>
        <w:tblW w:w="9062" w:type="dxa"/>
        <w:tblInd w:w="-10" w:type="dxa"/>
        <w:tblCellMar>
          <w:left w:w="70" w:type="dxa"/>
          <w:right w:w="70" w:type="dxa"/>
        </w:tblCellMar>
        <w:tblLook w:val="04A0" w:firstRow="1" w:lastRow="0" w:firstColumn="1" w:lastColumn="0" w:noHBand="0" w:noVBand="1"/>
      </w:tblPr>
      <w:tblGrid>
        <w:gridCol w:w="3119"/>
        <w:gridCol w:w="2410"/>
        <w:gridCol w:w="3533"/>
      </w:tblGrid>
      <w:tr w:rsidR="006C2F1C" w:rsidRPr="006C2F1C" w14:paraId="2A9206BA" w14:textId="77777777" w:rsidTr="000B2224">
        <w:trPr>
          <w:trHeight w:val="310"/>
        </w:trPr>
        <w:tc>
          <w:tcPr>
            <w:tcW w:w="3119" w:type="dxa"/>
            <w:tcBorders>
              <w:top w:val="single" w:sz="12" w:space="0" w:color="000000"/>
              <w:left w:val="single" w:sz="8" w:space="0" w:color="000000"/>
              <w:bottom w:val="single" w:sz="12" w:space="0" w:color="000000"/>
              <w:right w:val="single" w:sz="8" w:space="0" w:color="000000"/>
            </w:tcBorders>
            <w:shd w:val="clear" w:color="auto" w:fill="auto"/>
            <w:noWrap/>
            <w:vAlign w:val="center"/>
            <w:hideMark/>
          </w:tcPr>
          <w:p w14:paraId="0D0578DE"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REAGENT or RESOURCE</w:t>
            </w:r>
          </w:p>
        </w:tc>
        <w:tc>
          <w:tcPr>
            <w:tcW w:w="2410" w:type="dxa"/>
            <w:tcBorders>
              <w:top w:val="single" w:sz="12" w:space="0" w:color="000000"/>
              <w:left w:val="nil"/>
              <w:bottom w:val="single" w:sz="12" w:space="0" w:color="000000"/>
              <w:right w:val="single" w:sz="8" w:space="0" w:color="000000"/>
            </w:tcBorders>
            <w:shd w:val="clear" w:color="auto" w:fill="auto"/>
            <w:noWrap/>
            <w:vAlign w:val="center"/>
            <w:hideMark/>
          </w:tcPr>
          <w:p w14:paraId="25FA9452"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SOURCE</w:t>
            </w:r>
          </w:p>
        </w:tc>
        <w:tc>
          <w:tcPr>
            <w:tcW w:w="3533" w:type="dxa"/>
            <w:tcBorders>
              <w:top w:val="single" w:sz="12" w:space="0" w:color="000000"/>
              <w:left w:val="nil"/>
              <w:bottom w:val="single" w:sz="12" w:space="0" w:color="000000"/>
              <w:right w:val="single" w:sz="8" w:space="0" w:color="000000"/>
            </w:tcBorders>
            <w:shd w:val="clear" w:color="auto" w:fill="auto"/>
            <w:noWrap/>
            <w:vAlign w:val="center"/>
            <w:hideMark/>
          </w:tcPr>
          <w:p w14:paraId="1918E60F"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IDENTIFIER</w:t>
            </w:r>
          </w:p>
        </w:tc>
      </w:tr>
      <w:tr w:rsidR="006C2F1C" w:rsidRPr="006C2F1C" w14:paraId="38B4C15A" w14:textId="77777777" w:rsidTr="000B2224">
        <w:trPr>
          <w:gridAfter w:val="2"/>
          <w:wAfter w:w="5943" w:type="dxa"/>
          <w:trHeight w:val="310"/>
        </w:trPr>
        <w:tc>
          <w:tcPr>
            <w:tcW w:w="3119" w:type="dxa"/>
            <w:tcBorders>
              <w:top w:val="single" w:sz="12" w:space="0" w:color="000000"/>
              <w:left w:val="single" w:sz="8" w:space="0" w:color="000000"/>
              <w:bottom w:val="single" w:sz="12" w:space="0" w:color="000000"/>
              <w:right w:val="single" w:sz="8" w:space="0" w:color="000000"/>
            </w:tcBorders>
            <w:shd w:val="clear" w:color="auto" w:fill="auto"/>
            <w:noWrap/>
            <w:vAlign w:val="center"/>
            <w:hideMark/>
          </w:tcPr>
          <w:p w14:paraId="57BC9794"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Antibodies for CyTOF</w:t>
            </w:r>
          </w:p>
        </w:tc>
      </w:tr>
      <w:tr w:rsidR="006C2F1C" w:rsidRPr="006C2F1C" w14:paraId="595C0D63" w14:textId="77777777" w:rsidTr="000B2224">
        <w:trPr>
          <w:trHeight w:val="310"/>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449856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HI30 (CD45)</w:t>
            </w:r>
          </w:p>
        </w:tc>
        <w:tc>
          <w:tcPr>
            <w:tcW w:w="2410" w:type="dxa"/>
            <w:tcBorders>
              <w:top w:val="nil"/>
              <w:left w:val="nil"/>
              <w:bottom w:val="single" w:sz="8" w:space="0" w:color="auto"/>
              <w:right w:val="single" w:sz="8" w:space="0" w:color="auto"/>
            </w:tcBorders>
            <w:shd w:val="clear" w:color="auto" w:fill="auto"/>
            <w:noWrap/>
            <w:vAlign w:val="center"/>
            <w:hideMark/>
          </w:tcPr>
          <w:p w14:paraId="438F242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56B738A"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3089003B</w:t>
            </w:r>
          </w:p>
        </w:tc>
      </w:tr>
      <w:tr w:rsidR="006C2F1C" w:rsidRPr="006C2F1C" w14:paraId="6945F391"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55D793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RPA-T4 (CD4)</w:t>
            </w:r>
          </w:p>
        </w:tc>
        <w:tc>
          <w:tcPr>
            <w:tcW w:w="2410" w:type="dxa"/>
            <w:tcBorders>
              <w:top w:val="nil"/>
              <w:left w:val="nil"/>
              <w:bottom w:val="single" w:sz="8" w:space="0" w:color="auto"/>
              <w:right w:val="single" w:sz="8" w:space="0" w:color="auto"/>
            </w:tcBorders>
            <w:shd w:val="clear" w:color="auto" w:fill="auto"/>
            <w:noWrap/>
            <w:vAlign w:val="center"/>
            <w:hideMark/>
          </w:tcPr>
          <w:p w14:paraId="5E003F3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4A872EED"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555344, RRID: AB_395749</w:t>
            </w:r>
          </w:p>
        </w:tc>
      </w:tr>
      <w:tr w:rsidR="006C2F1C" w:rsidRPr="006C2F1C" w14:paraId="4789D247"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4AE6642A"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WM53 (CD33)</w:t>
            </w:r>
          </w:p>
        </w:tc>
        <w:tc>
          <w:tcPr>
            <w:tcW w:w="2410" w:type="dxa"/>
            <w:tcBorders>
              <w:top w:val="nil"/>
              <w:left w:val="nil"/>
              <w:bottom w:val="single" w:sz="8" w:space="0" w:color="auto"/>
              <w:right w:val="single" w:sz="8" w:space="0" w:color="auto"/>
            </w:tcBorders>
            <w:shd w:val="clear" w:color="auto" w:fill="auto"/>
            <w:noWrap/>
            <w:vAlign w:val="center"/>
            <w:hideMark/>
          </w:tcPr>
          <w:p w14:paraId="039D737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4A63EF74"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555449, RRID: AB_395842</w:t>
            </w:r>
          </w:p>
        </w:tc>
      </w:tr>
      <w:tr w:rsidR="006C2F1C" w:rsidRPr="006C2F1C" w14:paraId="5681C866"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31BA1E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HB15e (CD83)</w:t>
            </w:r>
          </w:p>
        </w:tc>
        <w:tc>
          <w:tcPr>
            <w:tcW w:w="2410" w:type="dxa"/>
            <w:tcBorders>
              <w:top w:val="nil"/>
              <w:left w:val="nil"/>
              <w:bottom w:val="single" w:sz="8" w:space="0" w:color="auto"/>
              <w:right w:val="single" w:sz="8" w:space="0" w:color="auto"/>
            </w:tcBorders>
            <w:shd w:val="clear" w:color="auto" w:fill="auto"/>
            <w:noWrap/>
            <w:vAlign w:val="center"/>
            <w:hideMark/>
          </w:tcPr>
          <w:p w14:paraId="061E228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4D1EB31C"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556854, RRID: AB_396525</w:t>
            </w:r>
          </w:p>
        </w:tc>
      </w:tr>
      <w:tr w:rsidR="006C2F1C" w:rsidRPr="006C2F1C" w14:paraId="0E01BF63"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FB4E45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poly (IFI27)</w:t>
            </w:r>
          </w:p>
        </w:tc>
        <w:tc>
          <w:tcPr>
            <w:tcW w:w="2410" w:type="dxa"/>
            <w:tcBorders>
              <w:top w:val="nil"/>
              <w:left w:val="nil"/>
              <w:bottom w:val="single" w:sz="8" w:space="0" w:color="auto"/>
              <w:right w:val="single" w:sz="8" w:space="0" w:color="auto"/>
            </w:tcBorders>
            <w:shd w:val="clear" w:color="auto" w:fill="auto"/>
            <w:noWrap/>
            <w:vAlign w:val="center"/>
            <w:hideMark/>
          </w:tcPr>
          <w:p w14:paraId="19A7D9E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Thermo Fisher</w:t>
            </w:r>
          </w:p>
        </w:tc>
        <w:tc>
          <w:tcPr>
            <w:tcW w:w="3533" w:type="dxa"/>
            <w:tcBorders>
              <w:top w:val="nil"/>
              <w:left w:val="nil"/>
              <w:bottom w:val="single" w:sz="8" w:space="0" w:color="auto"/>
              <w:right w:val="single" w:sz="8" w:space="0" w:color="auto"/>
            </w:tcBorders>
            <w:shd w:val="clear" w:color="auto" w:fill="auto"/>
            <w:noWrap/>
            <w:vAlign w:val="center"/>
            <w:hideMark/>
          </w:tcPr>
          <w:p w14:paraId="575E8080"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PA5-55997, RRID: AB_2642635</w:t>
            </w:r>
          </w:p>
        </w:tc>
      </w:tr>
      <w:tr w:rsidR="006C2F1C" w:rsidRPr="006C2F1C" w14:paraId="452C86C9"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8457940"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UCHT2 (CD5)</w:t>
            </w:r>
          </w:p>
        </w:tc>
        <w:tc>
          <w:tcPr>
            <w:tcW w:w="2410" w:type="dxa"/>
            <w:tcBorders>
              <w:top w:val="nil"/>
              <w:left w:val="nil"/>
              <w:bottom w:val="single" w:sz="8" w:space="0" w:color="auto"/>
              <w:right w:val="single" w:sz="8" w:space="0" w:color="auto"/>
            </w:tcBorders>
            <w:shd w:val="clear" w:color="auto" w:fill="auto"/>
            <w:noWrap/>
            <w:vAlign w:val="center"/>
            <w:hideMark/>
          </w:tcPr>
          <w:p w14:paraId="3C4942A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18EAF32"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3143007B</w:t>
            </w:r>
          </w:p>
        </w:tc>
      </w:tr>
      <w:tr w:rsidR="006C2F1C" w:rsidRPr="006C2F1C" w14:paraId="7014CDA3"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C53022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ICRF44 (CD11b)</w:t>
            </w:r>
          </w:p>
        </w:tc>
        <w:tc>
          <w:tcPr>
            <w:tcW w:w="2410" w:type="dxa"/>
            <w:tcBorders>
              <w:top w:val="nil"/>
              <w:left w:val="nil"/>
              <w:bottom w:val="single" w:sz="8" w:space="0" w:color="auto"/>
              <w:right w:val="single" w:sz="8" w:space="0" w:color="auto"/>
            </w:tcBorders>
            <w:shd w:val="clear" w:color="auto" w:fill="auto"/>
            <w:noWrap/>
            <w:vAlign w:val="center"/>
            <w:hideMark/>
          </w:tcPr>
          <w:p w14:paraId="1785FAF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09F8BDB4"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3144001B</w:t>
            </w:r>
          </w:p>
        </w:tc>
      </w:tr>
      <w:tr w:rsidR="006C2F1C" w:rsidRPr="006C2F1C" w14:paraId="4AEEA6DF"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98CF97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FN50 (CD69)</w:t>
            </w:r>
          </w:p>
        </w:tc>
        <w:tc>
          <w:tcPr>
            <w:tcW w:w="2410" w:type="dxa"/>
            <w:tcBorders>
              <w:top w:val="nil"/>
              <w:left w:val="nil"/>
              <w:bottom w:val="single" w:sz="8" w:space="0" w:color="auto"/>
              <w:right w:val="single" w:sz="8" w:space="0" w:color="auto"/>
            </w:tcBorders>
            <w:shd w:val="clear" w:color="auto" w:fill="auto"/>
            <w:noWrap/>
            <w:vAlign w:val="center"/>
            <w:hideMark/>
          </w:tcPr>
          <w:p w14:paraId="104A6AE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11F4B7C7"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555529, RRID: AB_395914</w:t>
            </w:r>
          </w:p>
        </w:tc>
      </w:tr>
      <w:tr w:rsidR="006C2F1C" w:rsidRPr="006C2F1C" w14:paraId="6C8C31F3"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90EDAE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J252D4 (CXCR5)</w:t>
            </w:r>
          </w:p>
        </w:tc>
        <w:tc>
          <w:tcPr>
            <w:tcW w:w="2410" w:type="dxa"/>
            <w:tcBorders>
              <w:top w:val="nil"/>
              <w:left w:val="nil"/>
              <w:bottom w:val="single" w:sz="8" w:space="0" w:color="auto"/>
              <w:right w:val="single" w:sz="8" w:space="0" w:color="auto"/>
            </w:tcBorders>
            <w:shd w:val="clear" w:color="auto" w:fill="auto"/>
            <w:noWrap/>
            <w:vAlign w:val="center"/>
            <w:hideMark/>
          </w:tcPr>
          <w:p w14:paraId="69F12EA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Biolegend</w:t>
            </w:r>
          </w:p>
        </w:tc>
        <w:tc>
          <w:tcPr>
            <w:tcW w:w="3533" w:type="dxa"/>
            <w:tcBorders>
              <w:top w:val="nil"/>
              <w:left w:val="nil"/>
              <w:bottom w:val="single" w:sz="8" w:space="0" w:color="auto"/>
              <w:right w:val="single" w:sz="8" w:space="0" w:color="auto"/>
            </w:tcBorders>
            <w:shd w:val="clear" w:color="auto" w:fill="auto"/>
            <w:noWrap/>
            <w:vAlign w:val="center"/>
            <w:hideMark/>
          </w:tcPr>
          <w:p w14:paraId="6498A3B9"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356902, RRID: AB_2561811</w:t>
            </w:r>
          </w:p>
        </w:tc>
      </w:tr>
      <w:tr w:rsidR="006C2F1C" w:rsidRPr="006C2F1C" w14:paraId="75BE2749"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4A39E41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HIB-19 (CD19)</w:t>
            </w:r>
          </w:p>
        </w:tc>
        <w:tc>
          <w:tcPr>
            <w:tcW w:w="2410" w:type="dxa"/>
            <w:tcBorders>
              <w:top w:val="nil"/>
              <w:left w:val="nil"/>
              <w:bottom w:val="single" w:sz="8" w:space="0" w:color="auto"/>
              <w:right w:val="single" w:sz="8" w:space="0" w:color="auto"/>
            </w:tcBorders>
            <w:shd w:val="clear" w:color="auto" w:fill="auto"/>
            <w:noWrap/>
            <w:vAlign w:val="center"/>
            <w:hideMark/>
          </w:tcPr>
          <w:p w14:paraId="29F064AE"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065339A3"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555410, RRID: AB_395810</w:t>
            </w:r>
          </w:p>
        </w:tc>
      </w:tr>
      <w:tr w:rsidR="006C2F1C" w:rsidRPr="006C2F1C" w14:paraId="23C23195"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68B145E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5A6.E9 (TCRγδ)</w:t>
            </w:r>
          </w:p>
        </w:tc>
        <w:tc>
          <w:tcPr>
            <w:tcW w:w="2410" w:type="dxa"/>
            <w:tcBorders>
              <w:top w:val="nil"/>
              <w:left w:val="nil"/>
              <w:bottom w:val="single" w:sz="8" w:space="0" w:color="auto"/>
              <w:right w:val="single" w:sz="8" w:space="0" w:color="auto"/>
            </w:tcBorders>
            <w:shd w:val="clear" w:color="auto" w:fill="auto"/>
            <w:noWrap/>
            <w:vAlign w:val="center"/>
            <w:hideMark/>
          </w:tcPr>
          <w:p w14:paraId="73D3A4C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Thermo Fisher</w:t>
            </w:r>
          </w:p>
        </w:tc>
        <w:tc>
          <w:tcPr>
            <w:tcW w:w="3533" w:type="dxa"/>
            <w:tcBorders>
              <w:top w:val="nil"/>
              <w:left w:val="nil"/>
              <w:bottom w:val="single" w:sz="8" w:space="0" w:color="auto"/>
              <w:right w:val="single" w:sz="8" w:space="0" w:color="auto"/>
            </w:tcBorders>
            <w:shd w:val="clear" w:color="auto" w:fill="auto"/>
            <w:noWrap/>
            <w:vAlign w:val="center"/>
            <w:hideMark/>
          </w:tcPr>
          <w:p w14:paraId="19655BC9"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TCR1061, RRID: AB_223500</w:t>
            </w:r>
          </w:p>
        </w:tc>
      </w:tr>
      <w:tr w:rsidR="006C2F1C" w:rsidRPr="006C2F1C" w14:paraId="45A3D338"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D89A33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UCHL1 (CD45RO)</w:t>
            </w:r>
          </w:p>
        </w:tc>
        <w:tc>
          <w:tcPr>
            <w:tcW w:w="2410" w:type="dxa"/>
            <w:tcBorders>
              <w:top w:val="nil"/>
              <w:left w:val="nil"/>
              <w:bottom w:val="single" w:sz="8" w:space="0" w:color="auto"/>
              <w:right w:val="single" w:sz="8" w:space="0" w:color="auto"/>
            </w:tcBorders>
            <w:shd w:val="clear" w:color="auto" w:fill="auto"/>
            <w:noWrap/>
            <w:vAlign w:val="center"/>
            <w:hideMark/>
          </w:tcPr>
          <w:p w14:paraId="2447A71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BE1C7B0"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3149001B</w:t>
            </w:r>
          </w:p>
        </w:tc>
      </w:tr>
      <w:tr w:rsidR="006C2F1C" w:rsidRPr="006C2F1C" w14:paraId="4729C1B8"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2BAB4E74"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D4E3M (ARG1)</w:t>
            </w:r>
          </w:p>
        </w:tc>
        <w:tc>
          <w:tcPr>
            <w:tcW w:w="2410" w:type="dxa"/>
            <w:tcBorders>
              <w:top w:val="nil"/>
              <w:left w:val="nil"/>
              <w:bottom w:val="single" w:sz="8" w:space="0" w:color="auto"/>
              <w:right w:val="single" w:sz="8" w:space="0" w:color="auto"/>
            </w:tcBorders>
            <w:shd w:val="clear" w:color="auto" w:fill="auto"/>
            <w:noWrap/>
            <w:vAlign w:val="center"/>
            <w:hideMark/>
          </w:tcPr>
          <w:p w14:paraId="65ED7F05"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Cell Signaling Technology</w:t>
            </w:r>
          </w:p>
        </w:tc>
        <w:tc>
          <w:tcPr>
            <w:tcW w:w="3533" w:type="dxa"/>
            <w:tcBorders>
              <w:top w:val="nil"/>
              <w:left w:val="nil"/>
              <w:bottom w:val="single" w:sz="8" w:space="0" w:color="auto"/>
              <w:right w:val="single" w:sz="8" w:space="0" w:color="auto"/>
            </w:tcBorders>
            <w:shd w:val="clear" w:color="auto" w:fill="auto"/>
            <w:noWrap/>
            <w:vAlign w:val="center"/>
            <w:hideMark/>
          </w:tcPr>
          <w:p w14:paraId="632EDC93"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93668, RRID:AB_2800207</w:t>
            </w:r>
          </w:p>
        </w:tc>
      </w:tr>
      <w:tr w:rsidR="006C2F1C" w:rsidRPr="006C2F1C" w14:paraId="4B3493DF"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4152EA34"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6H6 (CD123)</w:t>
            </w:r>
          </w:p>
        </w:tc>
        <w:tc>
          <w:tcPr>
            <w:tcW w:w="2410" w:type="dxa"/>
            <w:tcBorders>
              <w:top w:val="nil"/>
              <w:left w:val="nil"/>
              <w:bottom w:val="single" w:sz="8" w:space="0" w:color="auto"/>
              <w:right w:val="single" w:sz="8" w:space="0" w:color="auto"/>
            </w:tcBorders>
            <w:shd w:val="clear" w:color="auto" w:fill="auto"/>
            <w:noWrap/>
            <w:vAlign w:val="center"/>
            <w:hideMark/>
          </w:tcPr>
          <w:p w14:paraId="24EFA14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180A4F0D"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3151001B</w:t>
            </w:r>
          </w:p>
        </w:tc>
      </w:tr>
      <w:tr w:rsidR="006C2F1C" w:rsidRPr="006C2F1C" w14:paraId="33D8E39D"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087BB674"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ML5 (CD24)</w:t>
            </w:r>
          </w:p>
        </w:tc>
        <w:tc>
          <w:tcPr>
            <w:tcW w:w="2410" w:type="dxa"/>
            <w:tcBorders>
              <w:top w:val="nil"/>
              <w:left w:val="nil"/>
              <w:bottom w:val="single" w:sz="8" w:space="0" w:color="auto"/>
              <w:right w:val="single" w:sz="8" w:space="0" w:color="auto"/>
            </w:tcBorders>
            <w:shd w:val="clear" w:color="auto" w:fill="auto"/>
            <w:noWrap/>
            <w:vAlign w:val="center"/>
            <w:hideMark/>
          </w:tcPr>
          <w:p w14:paraId="0D13406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369B8FF5"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 xml:space="preserve">Cat#: 555426, RRID: AB_395820 </w:t>
            </w:r>
          </w:p>
        </w:tc>
      </w:tr>
      <w:tr w:rsidR="006C2F1C" w:rsidRPr="006C2F1C" w14:paraId="4518BD85"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F14405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DREG-56 (CD62L)</w:t>
            </w:r>
          </w:p>
        </w:tc>
        <w:tc>
          <w:tcPr>
            <w:tcW w:w="2410" w:type="dxa"/>
            <w:tcBorders>
              <w:top w:val="nil"/>
              <w:left w:val="nil"/>
              <w:bottom w:val="single" w:sz="8" w:space="0" w:color="auto"/>
              <w:right w:val="single" w:sz="8" w:space="0" w:color="auto"/>
            </w:tcBorders>
            <w:shd w:val="clear" w:color="auto" w:fill="auto"/>
            <w:noWrap/>
            <w:vAlign w:val="center"/>
            <w:hideMark/>
          </w:tcPr>
          <w:p w14:paraId="06F5E0C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21BD7748"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3153004B</w:t>
            </w:r>
          </w:p>
        </w:tc>
      </w:tr>
      <w:tr w:rsidR="006C2F1C" w:rsidRPr="006C2F1C" w14:paraId="62EF22C8"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9E9AD3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CD28.2 (CD28)</w:t>
            </w:r>
          </w:p>
        </w:tc>
        <w:tc>
          <w:tcPr>
            <w:tcW w:w="2410" w:type="dxa"/>
            <w:tcBorders>
              <w:top w:val="nil"/>
              <w:left w:val="nil"/>
              <w:bottom w:val="single" w:sz="8" w:space="0" w:color="auto"/>
              <w:right w:val="single" w:sz="8" w:space="0" w:color="auto"/>
            </w:tcBorders>
            <w:shd w:val="clear" w:color="auto" w:fill="auto"/>
            <w:noWrap/>
            <w:vAlign w:val="center"/>
            <w:hideMark/>
          </w:tcPr>
          <w:p w14:paraId="34A70A4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ML - 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0742CDFE"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555725, RRID: AB_396068</w:t>
            </w:r>
          </w:p>
        </w:tc>
      </w:tr>
      <w:tr w:rsidR="006C2F1C" w:rsidRPr="006C2F1C" w14:paraId="62933CA1"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000484A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L161 (CD1c)</w:t>
            </w:r>
          </w:p>
        </w:tc>
        <w:tc>
          <w:tcPr>
            <w:tcW w:w="2410" w:type="dxa"/>
            <w:tcBorders>
              <w:top w:val="nil"/>
              <w:left w:val="nil"/>
              <w:bottom w:val="single" w:sz="8" w:space="0" w:color="auto"/>
              <w:right w:val="single" w:sz="8" w:space="0" w:color="auto"/>
            </w:tcBorders>
            <w:shd w:val="clear" w:color="auto" w:fill="auto"/>
            <w:noWrap/>
            <w:vAlign w:val="center"/>
            <w:hideMark/>
          </w:tcPr>
          <w:p w14:paraId="4861719A"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Biolegend</w:t>
            </w:r>
          </w:p>
        </w:tc>
        <w:tc>
          <w:tcPr>
            <w:tcW w:w="3533" w:type="dxa"/>
            <w:tcBorders>
              <w:top w:val="nil"/>
              <w:left w:val="nil"/>
              <w:bottom w:val="single" w:sz="8" w:space="0" w:color="auto"/>
              <w:right w:val="single" w:sz="8" w:space="0" w:color="auto"/>
            </w:tcBorders>
            <w:shd w:val="clear" w:color="auto" w:fill="auto"/>
            <w:noWrap/>
            <w:vAlign w:val="center"/>
            <w:hideMark/>
          </w:tcPr>
          <w:p w14:paraId="5D4FFB9C"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331502, RRID: AB_1088995</w:t>
            </w:r>
          </w:p>
        </w:tc>
      </w:tr>
      <w:tr w:rsidR="006C2F1C" w:rsidRPr="006C2F1C" w14:paraId="0DDF5868"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6DD82E8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HCD14 (CD14)</w:t>
            </w:r>
          </w:p>
        </w:tc>
        <w:tc>
          <w:tcPr>
            <w:tcW w:w="2410" w:type="dxa"/>
            <w:tcBorders>
              <w:top w:val="nil"/>
              <w:left w:val="nil"/>
              <w:bottom w:val="single" w:sz="8" w:space="0" w:color="auto"/>
              <w:right w:val="single" w:sz="8" w:space="0" w:color="auto"/>
            </w:tcBorders>
            <w:shd w:val="clear" w:color="auto" w:fill="auto"/>
            <w:noWrap/>
            <w:vAlign w:val="center"/>
            <w:hideMark/>
          </w:tcPr>
          <w:p w14:paraId="197F218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3D36225E"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3156019B</w:t>
            </w:r>
          </w:p>
        </w:tc>
      </w:tr>
      <w:tr w:rsidR="006C2F1C" w:rsidRPr="006C2F1C" w14:paraId="1595E960"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69D7144"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4/P-Stat3 (pY705-STAT3)</w:t>
            </w:r>
          </w:p>
        </w:tc>
        <w:tc>
          <w:tcPr>
            <w:tcW w:w="2410" w:type="dxa"/>
            <w:tcBorders>
              <w:top w:val="nil"/>
              <w:left w:val="nil"/>
              <w:bottom w:val="single" w:sz="8" w:space="0" w:color="auto"/>
              <w:right w:val="single" w:sz="8" w:space="0" w:color="auto"/>
            </w:tcBorders>
            <w:shd w:val="clear" w:color="auto" w:fill="auto"/>
            <w:noWrap/>
            <w:vAlign w:val="center"/>
            <w:hideMark/>
          </w:tcPr>
          <w:p w14:paraId="710F119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A23EB62"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3158005A</w:t>
            </w:r>
          </w:p>
        </w:tc>
      </w:tr>
      <w:tr w:rsidR="006C2F1C" w:rsidRPr="006C2F1C" w14:paraId="7401871F"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CE4692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Bu15 (CD11c)</w:t>
            </w:r>
          </w:p>
        </w:tc>
        <w:tc>
          <w:tcPr>
            <w:tcW w:w="2410" w:type="dxa"/>
            <w:tcBorders>
              <w:top w:val="nil"/>
              <w:left w:val="nil"/>
              <w:bottom w:val="single" w:sz="8" w:space="0" w:color="auto"/>
              <w:right w:val="single" w:sz="8" w:space="0" w:color="auto"/>
            </w:tcBorders>
            <w:shd w:val="clear" w:color="auto" w:fill="auto"/>
            <w:noWrap/>
            <w:vAlign w:val="center"/>
            <w:hideMark/>
          </w:tcPr>
          <w:p w14:paraId="21A3681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14DC3F07"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3159001B</w:t>
            </w:r>
          </w:p>
        </w:tc>
      </w:tr>
      <w:tr w:rsidR="006C2F1C" w:rsidRPr="006C2F1C" w14:paraId="476DBBA9"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619873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4B10 (t-Bet)</w:t>
            </w:r>
          </w:p>
        </w:tc>
        <w:tc>
          <w:tcPr>
            <w:tcW w:w="2410" w:type="dxa"/>
            <w:tcBorders>
              <w:top w:val="nil"/>
              <w:left w:val="nil"/>
              <w:bottom w:val="single" w:sz="8" w:space="0" w:color="auto"/>
              <w:right w:val="single" w:sz="8" w:space="0" w:color="auto"/>
            </w:tcBorders>
            <w:shd w:val="clear" w:color="auto" w:fill="auto"/>
            <w:noWrap/>
            <w:vAlign w:val="center"/>
            <w:hideMark/>
          </w:tcPr>
          <w:p w14:paraId="4C645FB5"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41B874CD"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3160010B</w:t>
            </w:r>
          </w:p>
        </w:tc>
      </w:tr>
      <w:tr w:rsidR="006C2F1C" w:rsidRPr="006C2F1C" w14:paraId="06C75F10"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4477939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B56 (Ki-67)</w:t>
            </w:r>
          </w:p>
        </w:tc>
        <w:tc>
          <w:tcPr>
            <w:tcW w:w="2410" w:type="dxa"/>
            <w:tcBorders>
              <w:top w:val="nil"/>
              <w:left w:val="nil"/>
              <w:bottom w:val="single" w:sz="8" w:space="0" w:color="auto"/>
              <w:right w:val="single" w:sz="8" w:space="0" w:color="auto"/>
            </w:tcBorders>
            <w:shd w:val="clear" w:color="auto" w:fill="auto"/>
            <w:noWrap/>
            <w:vAlign w:val="center"/>
            <w:hideMark/>
          </w:tcPr>
          <w:p w14:paraId="3A65D57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FBBB06A"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3161007B</w:t>
            </w:r>
          </w:p>
        </w:tc>
      </w:tr>
      <w:tr w:rsidR="006C2F1C" w:rsidRPr="006C2F1C" w14:paraId="31B7F2F2"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69CA32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PCH101 (FOXP3)</w:t>
            </w:r>
          </w:p>
        </w:tc>
        <w:tc>
          <w:tcPr>
            <w:tcW w:w="2410" w:type="dxa"/>
            <w:tcBorders>
              <w:top w:val="nil"/>
              <w:left w:val="nil"/>
              <w:bottom w:val="single" w:sz="8" w:space="0" w:color="auto"/>
              <w:right w:val="single" w:sz="8" w:space="0" w:color="auto"/>
            </w:tcBorders>
            <w:shd w:val="clear" w:color="auto" w:fill="auto"/>
            <w:noWrap/>
            <w:vAlign w:val="center"/>
            <w:hideMark/>
          </w:tcPr>
          <w:p w14:paraId="522CCD9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1BD8D8D4"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3162011A</w:t>
            </w:r>
          </w:p>
        </w:tc>
      </w:tr>
      <w:tr w:rsidR="006C2F1C" w:rsidRPr="006C2F1C" w14:paraId="46DC14BA"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238334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D1E4M (OLMF4)</w:t>
            </w:r>
          </w:p>
        </w:tc>
        <w:tc>
          <w:tcPr>
            <w:tcW w:w="2410" w:type="dxa"/>
            <w:tcBorders>
              <w:top w:val="nil"/>
              <w:left w:val="nil"/>
              <w:bottom w:val="single" w:sz="8" w:space="0" w:color="auto"/>
              <w:right w:val="single" w:sz="8" w:space="0" w:color="auto"/>
            </w:tcBorders>
            <w:shd w:val="clear" w:color="auto" w:fill="auto"/>
            <w:noWrap/>
            <w:vAlign w:val="center"/>
            <w:hideMark/>
          </w:tcPr>
          <w:p w14:paraId="31141A2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Cell Signaling Technology</w:t>
            </w:r>
          </w:p>
        </w:tc>
        <w:tc>
          <w:tcPr>
            <w:tcW w:w="3533" w:type="dxa"/>
            <w:tcBorders>
              <w:top w:val="nil"/>
              <w:left w:val="nil"/>
              <w:bottom w:val="single" w:sz="8" w:space="0" w:color="auto"/>
              <w:right w:val="single" w:sz="8" w:space="0" w:color="auto"/>
            </w:tcBorders>
            <w:shd w:val="clear" w:color="auto" w:fill="auto"/>
            <w:noWrap/>
            <w:vAlign w:val="center"/>
            <w:hideMark/>
          </w:tcPr>
          <w:p w14:paraId="6B3B8768"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14369, RRID: AB_2798465</w:t>
            </w:r>
          </w:p>
        </w:tc>
      </w:tr>
      <w:tr w:rsidR="006C2F1C" w:rsidRPr="006C2F1C" w14:paraId="2B97AB5F"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0B43CCF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HP3G10 (CD161)</w:t>
            </w:r>
          </w:p>
        </w:tc>
        <w:tc>
          <w:tcPr>
            <w:tcW w:w="2410" w:type="dxa"/>
            <w:tcBorders>
              <w:top w:val="nil"/>
              <w:left w:val="nil"/>
              <w:bottom w:val="single" w:sz="8" w:space="0" w:color="auto"/>
              <w:right w:val="single" w:sz="8" w:space="0" w:color="auto"/>
            </w:tcBorders>
            <w:shd w:val="clear" w:color="auto" w:fill="auto"/>
            <w:noWrap/>
            <w:vAlign w:val="center"/>
            <w:hideMark/>
          </w:tcPr>
          <w:p w14:paraId="431AB7D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Biolegend</w:t>
            </w:r>
          </w:p>
        </w:tc>
        <w:tc>
          <w:tcPr>
            <w:tcW w:w="3533" w:type="dxa"/>
            <w:tcBorders>
              <w:top w:val="nil"/>
              <w:left w:val="nil"/>
              <w:bottom w:val="single" w:sz="8" w:space="0" w:color="auto"/>
              <w:right w:val="single" w:sz="8" w:space="0" w:color="auto"/>
            </w:tcBorders>
            <w:shd w:val="clear" w:color="auto" w:fill="auto"/>
            <w:noWrap/>
            <w:vAlign w:val="center"/>
            <w:hideMark/>
          </w:tcPr>
          <w:p w14:paraId="730C3920"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339902, RRID: RRID: AB_1501090</w:t>
            </w:r>
          </w:p>
        </w:tc>
      </w:tr>
      <w:tr w:rsidR="006C2F1C" w:rsidRPr="006C2F1C" w14:paraId="1C38BDC5"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795699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A019D5 (CD127)</w:t>
            </w:r>
          </w:p>
        </w:tc>
        <w:tc>
          <w:tcPr>
            <w:tcW w:w="2410" w:type="dxa"/>
            <w:tcBorders>
              <w:top w:val="nil"/>
              <w:left w:val="nil"/>
              <w:bottom w:val="single" w:sz="8" w:space="0" w:color="auto"/>
              <w:right w:val="single" w:sz="8" w:space="0" w:color="auto"/>
            </w:tcBorders>
            <w:shd w:val="clear" w:color="auto" w:fill="auto"/>
            <w:noWrap/>
            <w:vAlign w:val="center"/>
            <w:hideMark/>
          </w:tcPr>
          <w:p w14:paraId="3A01FE4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7985045E"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3165008B</w:t>
            </w:r>
          </w:p>
        </w:tc>
      </w:tr>
      <w:tr w:rsidR="006C2F1C" w:rsidRPr="006C2F1C" w14:paraId="3D2CCAD4"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10422C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HI100 (CD45RA)</w:t>
            </w:r>
          </w:p>
        </w:tc>
        <w:tc>
          <w:tcPr>
            <w:tcW w:w="2410" w:type="dxa"/>
            <w:tcBorders>
              <w:top w:val="nil"/>
              <w:left w:val="nil"/>
              <w:bottom w:val="single" w:sz="8" w:space="0" w:color="auto"/>
              <w:right w:val="single" w:sz="8" w:space="0" w:color="auto"/>
            </w:tcBorders>
            <w:shd w:val="clear" w:color="auto" w:fill="auto"/>
            <w:noWrap/>
            <w:vAlign w:val="center"/>
            <w:hideMark/>
          </w:tcPr>
          <w:p w14:paraId="66B60CC5"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7114C66B"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3166028D</w:t>
            </w:r>
          </w:p>
        </w:tc>
      </w:tr>
      <w:tr w:rsidR="006C2F1C" w:rsidRPr="006C2F1C" w14:paraId="5040123D"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A7E478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HIT2 (CD38)</w:t>
            </w:r>
          </w:p>
        </w:tc>
        <w:tc>
          <w:tcPr>
            <w:tcW w:w="2410" w:type="dxa"/>
            <w:tcBorders>
              <w:top w:val="nil"/>
              <w:left w:val="nil"/>
              <w:bottom w:val="single" w:sz="8" w:space="0" w:color="auto"/>
              <w:right w:val="single" w:sz="8" w:space="0" w:color="auto"/>
            </w:tcBorders>
            <w:shd w:val="clear" w:color="auto" w:fill="auto"/>
            <w:noWrap/>
            <w:vAlign w:val="center"/>
            <w:hideMark/>
          </w:tcPr>
          <w:p w14:paraId="798B124E"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74A3BBC"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3167001B</w:t>
            </w:r>
          </w:p>
        </w:tc>
      </w:tr>
      <w:tr w:rsidR="006C2F1C" w:rsidRPr="006C2F1C" w14:paraId="75AFA472"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FB3E35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L50-823 (GATA3)</w:t>
            </w:r>
          </w:p>
        </w:tc>
        <w:tc>
          <w:tcPr>
            <w:tcW w:w="2410" w:type="dxa"/>
            <w:tcBorders>
              <w:top w:val="nil"/>
              <w:left w:val="nil"/>
              <w:bottom w:val="single" w:sz="8" w:space="0" w:color="auto"/>
              <w:right w:val="single" w:sz="8" w:space="0" w:color="auto"/>
            </w:tcBorders>
            <w:shd w:val="clear" w:color="auto" w:fill="auto"/>
            <w:noWrap/>
            <w:vAlign w:val="center"/>
            <w:hideMark/>
          </w:tcPr>
          <w:p w14:paraId="33259D6E"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4515658B"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558686, RRID: AB_2108590</w:t>
            </w:r>
          </w:p>
        </w:tc>
      </w:tr>
      <w:tr w:rsidR="006C2F1C" w:rsidRPr="006C2F1C" w14:paraId="7663C094"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B4D8EF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2A3 (CD25)</w:t>
            </w:r>
          </w:p>
        </w:tc>
        <w:tc>
          <w:tcPr>
            <w:tcW w:w="2410" w:type="dxa"/>
            <w:tcBorders>
              <w:top w:val="nil"/>
              <w:left w:val="nil"/>
              <w:bottom w:val="single" w:sz="8" w:space="0" w:color="auto"/>
              <w:right w:val="single" w:sz="8" w:space="0" w:color="auto"/>
            </w:tcBorders>
            <w:shd w:val="clear" w:color="auto" w:fill="auto"/>
            <w:noWrap/>
            <w:vAlign w:val="center"/>
            <w:hideMark/>
          </w:tcPr>
          <w:p w14:paraId="49736FDA"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C96E645"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3169003B</w:t>
            </w:r>
          </w:p>
        </w:tc>
      </w:tr>
      <w:tr w:rsidR="006C2F1C" w:rsidRPr="006C2F1C" w14:paraId="5B35F008"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29BC682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EH12.1 (CD279 (PD1))</w:t>
            </w:r>
          </w:p>
        </w:tc>
        <w:tc>
          <w:tcPr>
            <w:tcW w:w="2410" w:type="dxa"/>
            <w:tcBorders>
              <w:top w:val="nil"/>
              <w:left w:val="nil"/>
              <w:bottom w:val="single" w:sz="8" w:space="0" w:color="auto"/>
              <w:right w:val="single" w:sz="8" w:space="0" w:color="auto"/>
            </w:tcBorders>
            <w:shd w:val="clear" w:color="auto" w:fill="auto"/>
            <w:noWrap/>
            <w:vAlign w:val="center"/>
            <w:hideMark/>
          </w:tcPr>
          <w:p w14:paraId="3BF5026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41690507"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562138, RRID: AB_10897007</w:t>
            </w:r>
          </w:p>
        </w:tc>
      </w:tr>
      <w:tr w:rsidR="006C2F1C" w:rsidRPr="006C2F1C" w14:paraId="7B04BA1D"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B755EA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GB11 (Granzyme B)</w:t>
            </w:r>
          </w:p>
        </w:tc>
        <w:tc>
          <w:tcPr>
            <w:tcW w:w="2410" w:type="dxa"/>
            <w:tcBorders>
              <w:top w:val="nil"/>
              <w:left w:val="nil"/>
              <w:bottom w:val="single" w:sz="8" w:space="0" w:color="auto"/>
              <w:right w:val="single" w:sz="8" w:space="0" w:color="auto"/>
            </w:tcBorders>
            <w:shd w:val="clear" w:color="auto" w:fill="auto"/>
            <w:noWrap/>
            <w:vAlign w:val="center"/>
            <w:hideMark/>
          </w:tcPr>
          <w:p w14:paraId="00BDDBE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0EAA0A95"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3171002B</w:t>
            </w:r>
          </w:p>
        </w:tc>
      </w:tr>
      <w:tr w:rsidR="006C2F1C" w:rsidRPr="006C2F1C" w14:paraId="1A707EED"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2D16391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2A9-1 (CX3CR1)</w:t>
            </w:r>
          </w:p>
        </w:tc>
        <w:tc>
          <w:tcPr>
            <w:tcW w:w="2410" w:type="dxa"/>
            <w:tcBorders>
              <w:top w:val="nil"/>
              <w:left w:val="nil"/>
              <w:bottom w:val="single" w:sz="8" w:space="0" w:color="auto"/>
              <w:right w:val="single" w:sz="8" w:space="0" w:color="auto"/>
            </w:tcBorders>
            <w:shd w:val="clear" w:color="auto" w:fill="auto"/>
            <w:noWrap/>
            <w:vAlign w:val="center"/>
            <w:hideMark/>
          </w:tcPr>
          <w:p w14:paraId="489A23E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5C5F471D"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3172017B</w:t>
            </w:r>
          </w:p>
        </w:tc>
      </w:tr>
      <w:tr w:rsidR="006C2F1C" w:rsidRPr="006C2F1C" w14:paraId="5AA86F49"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9474C4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1A4 (CD141)</w:t>
            </w:r>
          </w:p>
        </w:tc>
        <w:tc>
          <w:tcPr>
            <w:tcW w:w="2410" w:type="dxa"/>
            <w:tcBorders>
              <w:top w:val="nil"/>
              <w:left w:val="nil"/>
              <w:bottom w:val="single" w:sz="8" w:space="0" w:color="auto"/>
              <w:right w:val="single" w:sz="8" w:space="0" w:color="auto"/>
            </w:tcBorders>
            <w:shd w:val="clear" w:color="auto" w:fill="auto"/>
            <w:noWrap/>
            <w:vAlign w:val="center"/>
            <w:hideMark/>
          </w:tcPr>
          <w:p w14:paraId="1F45F59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59EB8BBA"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3173002B</w:t>
            </w:r>
          </w:p>
        </w:tc>
      </w:tr>
      <w:tr w:rsidR="006C2F1C" w:rsidRPr="006C2F1C" w14:paraId="223B93C4"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CB59A3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L243 (HLA-DR)</w:t>
            </w:r>
          </w:p>
        </w:tc>
        <w:tc>
          <w:tcPr>
            <w:tcW w:w="2410" w:type="dxa"/>
            <w:tcBorders>
              <w:top w:val="nil"/>
              <w:left w:val="nil"/>
              <w:bottom w:val="single" w:sz="8" w:space="0" w:color="auto"/>
              <w:right w:val="single" w:sz="8" w:space="0" w:color="auto"/>
            </w:tcBorders>
            <w:shd w:val="clear" w:color="auto" w:fill="auto"/>
            <w:noWrap/>
            <w:vAlign w:val="center"/>
            <w:hideMark/>
          </w:tcPr>
          <w:p w14:paraId="1DEAC17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520CF1FC"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3174001B</w:t>
            </w:r>
          </w:p>
        </w:tc>
      </w:tr>
      <w:tr w:rsidR="006C2F1C" w:rsidRPr="006C2F1C" w14:paraId="7DB35A93"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47255DA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29E.2A3 (CD274 (PD-L1))</w:t>
            </w:r>
          </w:p>
        </w:tc>
        <w:tc>
          <w:tcPr>
            <w:tcW w:w="2410" w:type="dxa"/>
            <w:tcBorders>
              <w:top w:val="nil"/>
              <w:left w:val="nil"/>
              <w:bottom w:val="single" w:sz="8" w:space="0" w:color="auto"/>
              <w:right w:val="single" w:sz="8" w:space="0" w:color="auto"/>
            </w:tcBorders>
            <w:shd w:val="clear" w:color="auto" w:fill="auto"/>
            <w:noWrap/>
            <w:vAlign w:val="center"/>
            <w:hideMark/>
          </w:tcPr>
          <w:p w14:paraId="7F87CE8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180BD81C"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3175017B</w:t>
            </w:r>
          </w:p>
        </w:tc>
      </w:tr>
      <w:tr w:rsidR="006C2F1C" w:rsidRPr="006C2F1C" w14:paraId="12E1A965"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942440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R19-760 (CD56)</w:t>
            </w:r>
          </w:p>
        </w:tc>
        <w:tc>
          <w:tcPr>
            <w:tcW w:w="2410" w:type="dxa"/>
            <w:tcBorders>
              <w:top w:val="nil"/>
              <w:left w:val="nil"/>
              <w:bottom w:val="single" w:sz="8" w:space="0" w:color="auto"/>
              <w:right w:val="single" w:sz="8" w:space="0" w:color="auto"/>
            </w:tcBorders>
            <w:shd w:val="clear" w:color="auto" w:fill="auto"/>
            <w:noWrap/>
            <w:vAlign w:val="center"/>
            <w:hideMark/>
          </w:tcPr>
          <w:p w14:paraId="3E38ADD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1F72D1A7"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3176013B</w:t>
            </w:r>
          </w:p>
        </w:tc>
      </w:tr>
      <w:tr w:rsidR="006C2F1C" w:rsidRPr="006C2F1C" w14:paraId="0AC9C3D9"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62C443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lastRenderedPageBreak/>
              <w:t>RPA-T8 (CD8)</w:t>
            </w:r>
          </w:p>
        </w:tc>
        <w:tc>
          <w:tcPr>
            <w:tcW w:w="2410" w:type="dxa"/>
            <w:tcBorders>
              <w:top w:val="nil"/>
              <w:left w:val="nil"/>
              <w:bottom w:val="single" w:sz="8" w:space="0" w:color="auto"/>
              <w:right w:val="single" w:sz="8" w:space="0" w:color="auto"/>
            </w:tcBorders>
            <w:shd w:val="clear" w:color="auto" w:fill="auto"/>
            <w:noWrap/>
            <w:vAlign w:val="center"/>
            <w:hideMark/>
          </w:tcPr>
          <w:p w14:paraId="1B4282A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auto"/>
              <w:right w:val="single" w:sz="8" w:space="0" w:color="auto"/>
            </w:tcBorders>
            <w:shd w:val="clear" w:color="auto" w:fill="auto"/>
            <w:noWrap/>
            <w:vAlign w:val="center"/>
            <w:hideMark/>
          </w:tcPr>
          <w:p w14:paraId="619ACD7B"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555364, RRID: AB_395767</w:t>
            </w:r>
          </w:p>
        </w:tc>
      </w:tr>
      <w:tr w:rsidR="006C2F1C" w:rsidRPr="006C2F1C" w14:paraId="6D224B88"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96B1F5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UCHT1 (CD3)</w:t>
            </w:r>
          </w:p>
        </w:tc>
        <w:tc>
          <w:tcPr>
            <w:tcW w:w="2410" w:type="dxa"/>
            <w:tcBorders>
              <w:top w:val="nil"/>
              <w:left w:val="nil"/>
              <w:bottom w:val="single" w:sz="8" w:space="0" w:color="auto"/>
              <w:right w:val="single" w:sz="8" w:space="0" w:color="auto"/>
            </w:tcBorders>
            <w:shd w:val="clear" w:color="auto" w:fill="auto"/>
            <w:noWrap/>
            <w:vAlign w:val="center"/>
            <w:hideMark/>
          </w:tcPr>
          <w:p w14:paraId="1D9E3FB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nil"/>
              <w:right w:val="nil"/>
            </w:tcBorders>
            <w:shd w:val="clear" w:color="auto" w:fill="auto"/>
            <w:noWrap/>
            <w:vAlign w:val="center"/>
            <w:hideMark/>
          </w:tcPr>
          <w:p w14:paraId="5AFE6980"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555330, RRID: AB_395737</w:t>
            </w:r>
          </w:p>
        </w:tc>
      </w:tr>
      <w:tr w:rsidR="006C2F1C" w:rsidRPr="006C2F1C" w14:paraId="5552C752"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7B8A02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80H3 (CD66b)</w:t>
            </w:r>
          </w:p>
        </w:tc>
        <w:tc>
          <w:tcPr>
            <w:tcW w:w="2410" w:type="dxa"/>
            <w:tcBorders>
              <w:top w:val="nil"/>
              <w:left w:val="nil"/>
              <w:bottom w:val="single" w:sz="8" w:space="0" w:color="auto"/>
              <w:right w:val="single" w:sz="8" w:space="0" w:color="auto"/>
            </w:tcBorders>
            <w:shd w:val="clear" w:color="auto" w:fill="auto"/>
            <w:noWrap/>
            <w:vAlign w:val="center"/>
            <w:hideMark/>
          </w:tcPr>
          <w:p w14:paraId="60E5133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Abnova</w:t>
            </w:r>
          </w:p>
        </w:tc>
        <w:tc>
          <w:tcPr>
            <w:tcW w:w="3533" w:type="dxa"/>
            <w:tcBorders>
              <w:top w:val="single" w:sz="8" w:space="0" w:color="auto"/>
              <w:left w:val="nil"/>
              <w:bottom w:val="single" w:sz="8" w:space="0" w:color="auto"/>
              <w:right w:val="single" w:sz="8" w:space="0" w:color="auto"/>
            </w:tcBorders>
            <w:shd w:val="clear" w:color="auto" w:fill="auto"/>
            <w:noWrap/>
            <w:vAlign w:val="center"/>
            <w:hideMark/>
          </w:tcPr>
          <w:p w14:paraId="4F1E37E2"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MAB4157, RRID: AB_10632094</w:t>
            </w:r>
          </w:p>
        </w:tc>
      </w:tr>
      <w:tr w:rsidR="006C2F1C" w:rsidRPr="006C2F1C" w14:paraId="085C30D3"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63B5760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3G8 (CD16)</w:t>
            </w:r>
          </w:p>
        </w:tc>
        <w:tc>
          <w:tcPr>
            <w:tcW w:w="2410" w:type="dxa"/>
            <w:tcBorders>
              <w:top w:val="nil"/>
              <w:left w:val="nil"/>
              <w:bottom w:val="single" w:sz="8" w:space="0" w:color="auto"/>
              <w:right w:val="single" w:sz="8" w:space="0" w:color="auto"/>
            </w:tcBorders>
            <w:shd w:val="clear" w:color="auto" w:fill="auto"/>
            <w:noWrap/>
            <w:vAlign w:val="center"/>
            <w:hideMark/>
          </w:tcPr>
          <w:p w14:paraId="437E7B5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Fluidigm (Standard Bio)</w:t>
            </w:r>
          </w:p>
        </w:tc>
        <w:tc>
          <w:tcPr>
            <w:tcW w:w="3533" w:type="dxa"/>
            <w:tcBorders>
              <w:top w:val="nil"/>
              <w:left w:val="nil"/>
              <w:bottom w:val="single" w:sz="8" w:space="0" w:color="auto"/>
              <w:right w:val="single" w:sz="8" w:space="0" w:color="auto"/>
            </w:tcBorders>
            <w:shd w:val="clear" w:color="auto" w:fill="auto"/>
            <w:noWrap/>
            <w:vAlign w:val="center"/>
            <w:hideMark/>
          </w:tcPr>
          <w:p w14:paraId="664F3975" w14:textId="77777777" w:rsidR="004E0675" w:rsidRPr="006C2F1C" w:rsidRDefault="004E0675" w:rsidP="004E0675">
            <w:pPr>
              <w:spacing w:after="0" w:line="240" w:lineRule="auto"/>
              <w:jc w:val="left"/>
              <w:rPr>
                <w:rFonts w:ascii="Calibri" w:eastAsia="Times New Roman" w:hAnsi="Calibri" w:cs="Calibri"/>
                <w:i/>
                <w:iCs/>
                <w:sz w:val="22"/>
                <w:szCs w:val="22"/>
                <w:lang w:val="nl-BE" w:eastAsia="nl-BE"/>
              </w:rPr>
            </w:pPr>
            <w:r w:rsidRPr="006C2F1C">
              <w:rPr>
                <w:rFonts w:ascii="Calibri" w:eastAsia="Times New Roman" w:hAnsi="Calibri" w:cs="Calibri"/>
                <w:i/>
                <w:iCs/>
                <w:sz w:val="22"/>
                <w:szCs w:val="22"/>
                <w:lang w:val="nl-BE" w:eastAsia="nl-BE"/>
              </w:rPr>
              <w:t>Cat#: 3209002B</w:t>
            </w:r>
          </w:p>
        </w:tc>
      </w:tr>
      <w:tr w:rsidR="006C2F1C" w:rsidRPr="006C2F1C" w14:paraId="2585CF01" w14:textId="77777777" w:rsidTr="000B2224">
        <w:trPr>
          <w:trHeight w:val="298"/>
        </w:trPr>
        <w:tc>
          <w:tcPr>
            <w:tcW w:w="3119" w:type="dxa"/>
            <w:tcBorders>
              <w:top w:val="nil"/>
              <w:left w:val="single" w:sz="8" w:space="0" w:color="000000"/>
              <w:bottom w:val="single" w:sz="12" w:space="0" w:color="000000"/>
              <w:right w:val="single" w:sz="8" w:space="0" w:color="000000"/>
            </w:tcBorders>
            <w:shd w:val="clear" w:color="auto" w:fill="auto"/>
            <w:noWrap/>
            <w:vAlign w:val="center"/>
            <w:hideMark/>
          </w:tcPr>
          <w:p w14:paraId="53C9B0AB"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Biological samples</w:t>
            </w:r>
          </w:p>
        </w:tc>
        <w:tc>
          <w:tcPr>
            <w:tcW w:w="2410" w:type="dxa"/>
            <w:tcBorders>
              <w:top w:val="nil"/>
              <w:left w:val="nil"/>
              <w:bottom w:val="single" w:sz="12" w:space="0" w:color="000000"/>
              <w:right w:val="single" w:sz="8" w:space="0" w:color="000000"/>
            </w:tcBorders>
            <w:shd w:val="clear" w:color="auto" w:fill="auto"/>
            <w:noWrap/>
            <w:vAlign w:val="center"/>
            <w:hideMark/>
          </w:tcPr>
          <w:p w14:paraId="7B8B7BCA"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 </w:t>
            </w:r>
          </w:p>
        </w:tc>
        <w:tc>
          <w:tcPr>
            <w:tcW w:w="3533" w:type="dxa"/>
            <w:tcBorders>
              <w:top w:val="nil"/>
              <w:left w:val="nil"/>
              <w:bottom w:val="single" w:sz="12" w:space="0" w:color="000000"/>
              <w:right w:val="single" w:sz="8" w:space="0" w:color="000000"/>
            </w:tcBorders>
            <w:shd w:val="clear" w:color="auto" w:fill="auto"/>
            <w:noWrap/>
            <w:vAlign w:val="center"/>
            <w:hideMark/>
          </w:tcPr>
          <w:p w14:paraId="3118F54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 </w:t>
            </w:r>
          </w:p>
        </w:tc>
      </w:tr>
      <w:tr w:rsidR="006C2F1C" w:rsidRPr="006C2F1C" w14:paraId="04A0E609" w14:textId="77777777" w:rsidTr="000B2224">
        <w:trPr>
          <w:trHeight w:val="310"/>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9630DAA"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r w:rsidRPr="006C2F1C">
              <w:rPr>
                <w:rFonts w:ascii="Calibri" w:eastAsia="Times New Roman" w:hAnsi="Calibri" w:cs="Calibri"/>
                <w:sz w:val="22"/>
                <w:szCs w:val="22"/>
                <w:lang w:val="en-GB" w:eastAsia="nl-BE"/>
              </w:rPr>
              <w:t>Whole blood from healthy adults (reference sample)</w:t>
            </w:r>
          </w:p>
        </w:tc>
        <w:tc>
          <w:tcPr>
            <w:tcW w:w="2410" w:type="dxa"/>
            <w:tcBorders>
              <w:top w:val="nil"/>
              <w:left w:val="nil"/>
              <w:bottom w:val="single" w:sz="8" w:space="0" w:color="000000"/>
              <w:right w:val="single" w:sz="8" w:space="0" w:color="000000"/>
            </w:tcBorders>
            <w:shd w:val="clear" w:color="auto" w:fill="auto"/>
            <w:noWrap/>
            <w:vAlign w:val="center"/>
            <w:hideMark/>
          </w:tcPr>
          <w:p w14:paraId="0810045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Janssen Biobank</w:t>
            </w:r>
          </w:p>
        </w:tc>
        <w:tc>
          <w:tcPr>
            <w:tcW w:w="3533" w:type="dxa"/>
            <w:tcBorders>
              <w:top w:val="nil"/>
              <w:left w:val="nil"/>
              <w:bottom w:val="single" w:sz="8" w:space="0" w:color="000000"/>
              <w:right w:val="single" w:sz="8" w:space="0" w:color="000000"/>
            </w:tcBorders>
            <w:shd w:val="clear" w:color="auto" w:fill="auto"/>
            <w:noWrap/>
            <w:vAlign w:val="center"/>
            <w:hideMark/>
          </w:tcPr>
          <w:p w14:paraId="6983E97A"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N/A</w:t>
            </w:r>
          </w:p>
        </w:tc>
      </w:tr>
      <w:tr w:rsidR="006C2F1C" w:rsidRPr="006C2F1C" w14:paraId="14330233" w14:textId="77777777" w:rsidTr="000B2224">
        <w:trPr>
          <w:trHeight w:val="334"/>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2BA58C49"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r w:rsidRPr="006C2F1C">
              <w:rPr>
                <w:rFonts w:ascii="Calibri" w:eastAsia="Times New Roman" w:hAnsi="Calibri" w:cs="Calibri"/>
                <w:sz w:val="22"/>
                <w:szCs w:val="22"/>
                <w:lang w:val="en-GB" w:eastAsia="nl-BE"/>
              </w:rPr>
              <w:t>Whole blood from RSV-infected infants</w:t>
            </w:r>
          </w:p>
        </w:tc>
        <w:tc>
          <w:tcPr>
            <w:tcW w:w="2410" w:type="dxa"/>
            <w:tcBorders>
              <w:top w:val="nil"/>
              <w:left w:val="nil"/>
              <w:bottom w:val="single" w:sz="8" w:space="0" w:color="000000"/>
              <w:right w:val="single" w:sz="8" w:space="0" w:color="000000"/>
            </w:tcBorders>
            <w:shd w:val="clear" w:color="auto" w:fill="auto"/>
            <w:noWrap/>
            <w:vAlign w:val="center"/>
            <w:hideMark/>
          </w:tcPr>
          <w:p w14:paraId="09039C0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RESCEU infant birth cohort</w:t>
            </w:r>
            <w:r w:rsidRPr="006C2F1C">
              <w:rPr>
                <w:rFonts w:ascii="Calibri" w:eastAsia="Times New Roman" w:hAnsi="Calibri" w:cs="Calibri"/>
                <w:sz w:val="22"/>
                <w:szCs w:val="22"/>
                <w:vertAlign w:val="superscript"/>
                <w:lang w:val="nl-BE" w:eastAsia="nl-BE"/>
              </w:rPr>
              <w:t>28</w:t>
            </w:r>
            <w:r w:rsidRPr="006C2F1C">
              <w:rPr>
                <w:rFonts w:ascii="Calibri" w:eastAsia="Times New Roman" w:hAnsi="Calibri" w:cs="Calibri"/>
                <w:sz w:val="22"/>
                <w:szCs w:val="22"/>
                <w:lang w:val="nl-BE" w:eastAsia="nl-BE"/>
              </w:rPr>
              <w:t>, RESCEU infant case-control cohort</w:t>
            </w:r>
            <w:r w:rsidRPr="006C2F1C">
              <w:rPr>
                <w:rFonts w:ascii="Calibri" w:eastAsia="Times New Roman" w:hAnsi="Calibri" w:cs="Calibri"/>
                <w:sz w:val="22"/>
                <w:szCs w:val="22"/>
                <w:vertAlign w:val="superscript"/>
                <w:lang w:val="nl-BE" w:eastAsia="nl-BE"/>
              </w:rPr>
              <w:t>27</w:t>
            </w:r>
          </w:p>
        </w:tc>
        <w:tc>
          <w:tcPr>
            <w:tcW w:w="3533" w:type="dxa"/>
            <w:tcBorders>
              <w:top w:val="nil"/>
              <w:left w:val="nil"/>
              <w:bottom w:val="single" w:sz="8" w:space="0" w:color="000000"/>
              <w:right w:val="single" w:sz="8" w:space="0" w:color="000000"/>
            </w:tcBorders>
            <w:shd w:val="clear" w:color="auto" w:fill="auto"/>
            <w:noWrap/>
            <w:vAlign w:val="center"/>
            <w:hideMark/>
          </w:tcPr>
          <w:p w14:paraId="6A853AF0"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N/A</w:t>
            </w:r>
          </w:p>
        </w:tc>
      </w:tr>
      <w:tr w:rsidR="006C2F1C" w:rsidRPr="006C2F1C" w14:paraId="68F571EA" w14:textId="77777777" w:rsidTr="000B2224">
        <w:trPr>
          <w:trHeight w:val="334"/>
        </w:trPr>
        <w:tc>
          <w:tcPr>
            <w:tcW w:w="3119" w:type="dxa"/>
            <w:tcBorders>
              <w:top w:val="nil"/>
              <w:left w:val="single" w:sz="8" w:space="0" w:color="000000"/>
              <w:bottom w:val="single" w:sz="12" w:space="0" w:color="000000"/>
              <w:right w:val="single" w:sz="8" w:space="0" w:color="000000"/>
            </w:tcBorders>
            <w:shd w:val="clear" w:color="auto" w:fill="auto"/>
            <w:noWrap/>
            <w:vAlign w:val="center"/>
            <w:hideMark/>
          </w:tcPr>
          <w:p w14:paraId="03E81F6B"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r w:rsidRPr="006C2F1C">
              <w:rPr>
                <w:rFonts w:ascii="Calibri" w:eastAsia="Times New Roman" w:hAnsi="Calibri" w:cs="Calibri"/>
                <w:sz w:val="22"/>
                <w:szCs w:val="22"/>
                <w:lang w:val="en-GB" w:eastAsia="nl-BE"/>
              </w:rPr>
              <w:t>Whole blood from healthy infants</w:t>
            </w:r>
          </w:p>
        </w:tc>
        <w:tc>
          <w:tcPr>
            <w:tcW w:w="2410" w:type="dxa"/>
            <w:tcBorders>
              <w:top w:val="nil"/>
              <w:left w:val="nil"/>
              <w:bottom w:val="single" w:sz="12" w:space="0" w:color="000000"/>
              <w:right w:val="single" w:sz="8" w:space="0" w:color="000000"/>
            </w:tcBorders>
            <w:shd w:val="clear" w:color="auto" w:fill="auto"/>
            <w:noWrap/>
            <w:vAlign w:val="center"/>
            <w:hideMark/>
          </w:tcPr>
          <w:p w14:paraId="7B0A0AE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RESCEU infant case-control cohort</w:t>
            </w:r>
            <w:r w:rsidRPr="006C2F1C">
              <w:rPr>
                <w:rFonts w:ascii="Calibri" w:eastAsia="Times New Roman" w:hAnsi="Calibri" w:cs="Calibri"/>
                <w:sz w:val="22"/>
                <w:szCs w:val="22"/>
                <w:vertAlign w:val="superscript"/>
                <w:lang w:val="nl-BE" w:eastAsia="nl-BE"/>
              </w:rPr>
              <w:t>27</w:t>
            </w:r>
          </w:p>
        </w:tc>
        <w:tc>
          <w:tcPr>
            <w:tcW w:w="3533" w:type="dxa"/>
            <w:tcBorders>
              <w:top w:val="nil"/>
              <w:left w:val="nil"/>
              <w:bottom w:val="single" w:sz="12" w:space="0" w:color="000000"/>
              <w:right w:val="single" w:sz="8" w:space="0" w:color="000000"/>
            </w:tcBorders>
            <w:shd w:val="clear" w:color="auto" w:fill="auto"/>
            <w:noWrap/>
            <w:vAlign w:val="center"/>
            <w:hideMark/>
          </w:tcPr>
          <w:p w14:paraId="4B507716"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N/A</w:t>
            </w:r>
          </w:p>
        </w:tc>
      </w:tr>
      <w:tr w:rsidR="006C2F1C" w:rsidRPr="006C2F1C" w14:paraId="06764534" w14:textId="77777777" w:rsidTr="000B2224">
        <w:trPr>
          <w:gridAfter w:val="2"/>
          <w:wAfter w:w="5943" w:type="dxa"/>
          <w:trHeight w:val="596"/>
        </w:trPr>
        <w:tc>
          <w:tcPr>
            <w:tcW w:w="3119" w:type="dxa"/>
            <w:tcBorders>
              <w:top w:val="single" w:sz="12" w:space="0" w:color="000000"/>
              <w:left w:val="single" w:sz="8" w:space="0" w:color="000000"/>
              <w:bottom w:val="single" w:sz="12" w:space="0" w:color="000000"/>
              <w:right w:val="single" w:sz="8" w:space="0" w:color="000000"/>
            </w:tcBorders>
            <w:shd w:val="clear" w:color="auto" w:fill="auto"/>
            <w:noWrap/>
            <w:vAlign w:val="center"/>
            <w:hideMark/>
          </w:tcPr>
          <w:p w14:paraId="2B1FFF91"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Chemicals, peptides, and recombinant proteins</w:t>
            </w:r>
          </w:p>
        </w:tc>
      </w:tr>
      <w:tr w:rsidR="006C2F1C" w:rsidRPr="006C2F1C" w14:paraId="739AB069" w14:textId="77777777" w:rsidTr="000B2224">
        <w:trPr>
          <w:trHeight w:val="310"/>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224F5FE"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Smart tube</w:t>
            </w:r>
          </w:p>
        </w:tc>
        <w:tc>
          <w:tcPr>
            <w:tcW w:w="2410" w:type="dxa"/>
            <w:tcBorders>
              <w:top w:val="nil"/>
              <w:left w:val="nil"/>
              <w:bottom w:val="nil"/>
              <w:right w:val="single" w:sz="8" w:space="0" w:color="000000"/>
            </w:tcBorders>
            <w:shd w:val="clear" w:color="auto" w:fill="auto"/>
            <w:noWrap/>
            <w:vAlign w:val="center"/>
            <w:hideMark/>
          </w:tcPr>
          <w:p w14:paraId="6EFDDFB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Smart Tube, Inc</w:t>
            </w:r>
            <w:r w:rsidRPr="006C2F1C">
              <w:rPr>
                <w:rFonts w:ascii="Calibri" w:eastAsia="Times New Roman" w:hAnsi="Calibri" w:cs="Calibri"/>
                <w:sz w:val="16"/>
                <w:szCs w:val="16"/>
                <w:lang w:val="nl-BE" w:eastAsia="nl-BE"/>
              </w:rPr>
              <w:t> </w:t>
            </w:r>
          </w:p>
        </w:tc>
        <w:tc>
          <w:tcPr>
            <w:tcW w:w="3533" w:type="dxa"/>
            <w:tcBorders>
              <w:top w:val="nil"/>
              <w:left w:val="nil"/>
              <w:bottom w:val="single" w:sz="8" w:space="0" w:color="000000"/>
              <w:right w:val="single" w:sz="8" w:space="0" w:color="000000"/>
            </w:tcBorders>
            <w:shd w:val="clear" w:color="auto" w:fill="auto"/>
            <w:noWrap/>
            <w:vAlign w:val="center"/>
            <w:hideMark/>
          </w:tcPr>
          <w:p w14:paraId="1C7C9CDE"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501351690</w:t>
            </w:r>
          </w:p>
        </w:tc>
      </w:tr>
      <w:tr w:rsidR="006C2F1C" w:rsidRPr="006C2F1C" w14:paraId="6933F944"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06E9C1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Thaw-Lyse Buffer</w:t>
            </w:r>
          </w:p>
        </w:tc>
        <w:tc>
          <w:tcPr>
            <w:tcW w:w="2410" w:type="dxa"/>
            <w:tcBorders>
              <w:top w:val="single" w:sz="8" w:space="0" w:color="000000"/>
              <w:left w:val="nil"/>
              <w:bottom w:val="single" w:sz="8" w:space="0" w:color="000000"/>
              <w:right w:val="single" w:sz="8" w:space="0" w:color="000000"/>
            </w:tcBorders>
            <w:shd w:val="clear" w:color="auto" w:fill="auto"/>
            <w:noWrap/>
            <w:vAlign w:val="center"/>
            <w:hideMark/>
          </w:tcPr>
          <w:p w14:paraId="7E66E03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Smart Tube, Inc</w:t>
            </w:r>
          </w:p>
        </w:tc>
        <w:tc>
          <w:tcPr>
            <w:tcW w:w="3533" w:type="dxa"/>
            <w:tcBorders>
              <w:top w:val="nil"/>
              <w:left w:val="nil"/>
              <w:bottom w:val="single" w:sz="8" w:space="0" w:color="000000"/>
              <w:right w:val="single" w:sz="8" w:space="0" w:color="000000"/>
            </w:tcBorders>
            <w:shd w:val="clear" w:color="auto" w:fill="auto"/>
            <w:noWrap/>
            <w:vAlign w:val="center"/>
            <w:hideMark/>
          </w:tcPr>
          <w:p w14:paraId="4BB4913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501351696</w:t>
            </w:r>
          </w:p>
        </w:tc>
      </w:tr>
      <w:tr w:rsidR="006C2F1C" w:rsidRPr="006C2F1C" w14:paraId="2AD56271"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09EEA370"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proofErr w:type="spellStart"/>
            <w:r w:rsidRPr="006C2F1C">
              <w:rPr>
                <w:rFonts w:ascii="Calibri" w:eastAsia="Times New Roman" w:hAnsi="Calibri" w:cs="Calibri"/>
                <w:sz w:val="22"/>
                <w:szCs w:val="22"/>
                <w:lang w:val="en-GB" w:eastAsia="nl-BE"/>
              </w:rPr>
              <w:t>UltraPure</w:t>
            </w:r>
            <w:proofErr w:type="spellEnd"/>
            <w:r w:rsidRPr="006C2F1C">
              <w:rPr>
                <w:rFonts w:ascii="Calibri" w:eastAsia="Times New Roman" w:hAnsi="Calibri" w:cs="Calibri"/>
                <w:sz w:val="22"/>
                <w:szCs w:val="22"/>
                <w:lang w:val="en-GB" w:eastAsia="nl-BE"/>
              </w:rPr>
              <w:t xml:space="preserve">™ DNase/RNase-Free Distilled Water </w:t>
            </w:r>
          </w:p>
        </w:tc>
        <w:tc>
          <w:tcPr>
            <w:tcW w:w="2410" w:type="dxa"/>
            <w:tcBorders>
              <w:top w:val="nil"/>
              <w:left w:val="nil"/>
              <w:bottom w:val="single" w:sz="8" w:space="0" w:color="000000"/>
              <w:right w:val="single" w:sz="8" w:space="0" w:color="000000"/>
            </w:tcBorders>
            <w:shd w:val="clear" w:color="auto" w:fill="auto"/>
            <w:noWrap/>
            <w:vAlign w:val="center"/>
            <w:hideMark/>
          </w:tcPr>
          <w:p w14:paraId="2300AB3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Invitrogen™</w:t>
            </w:r>
          </w:p>
        </w:tc>
        <w:tc>
          <w:tcPr>
            <w:tcW w:w="3533" w:type="dxa"/>
            <w:tcBorders>
              <w:top w:val="nil"/>
              <w:left w:val="nil"/>
              <w:bottom w:val="single" w:sz="8" w:space="0" w:color="000000"/>
              <w:right w:val="single" w:sz="8" w:space="0" w:color="000000"/>
            </w:tcBorders>
            <w:shd w:val="clear" w:color="auto" w:fill="auto"/>
            <w:noWrap/>
            <w:vAlign w:val="center"/>
            <w:hideMark/>
          </w:tcPr>
          <w:p w14:paraId="6BB571A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10977035</w:t>
            </w:r>
          </w:p>
        </w:tc>
      </w:tr>
      <w:tr w:rsidR="006C2F1C" w:rsidRPr="006C2F1C" w14:paraId="41FD672D"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72E5600"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PBS</w:t>
            </w:r>
          </w:p>
        </w:tc>
        <w:tc>
          <w:tcPr>
            <w:tcW w:w="2410" w:type="dxa"/>
            <w:tcBorders>
              <w:top w:val="nil"/>
              <w:left w:val="nil"/>
              <w:bottom w:val="single" w:sz="8" w:space="0" w:color="000000"/>
              <w:right w:val="single" w:sz="8" w:space="0" w:color="000000"/>
            </w:tcBorders>
            <w:shd w:val="clear" w:color="auto" w:fill="auto"/>
            <w:noWrap/>
            <w:vAlign w:val="center"/>
            <w:hideMark/>
          </w:tcPr>
          <w:p w14:paraId="27A62CB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Sigma-Aldrich</w:t>
            </w:r>
            <w:r w:rsidRPr="006C2F1C">
              <w:rPr>
                <w:rFonts w:ascii="Calibri" w:eastAsia="Times New Roman" w:hAnsi="Calibri" w:cs="Calibri"/>
                <w:sz w:val="16"/>
                <w:szCs w:val="16"/>
                <w:lang w:val="nl-BE" w:eastAsia="nl-BE"/>
              </w:rPr>
              <w:t> </w:t>
            </w:r>
          </w:p>
        </w:tc>
        <w:tc>
          <w:tcPr>
            <w:tcW w:w="3533" w:type="dxa"/>
            <w:tcBorders>
              <w:top w:val="nil"/>
              <w:left w:val="nil"/>
              <w:bottom w:val="single" w:sz="8" w:space="0" w:color="000000"/>
              <w:right w:val="single" w:sz="8" w:space="0" w:color="000000"/>
            </w:tcBorders>
            <w:shd w:val="clear" w:color="auto" w:fill="auto"/>
            <w:noWrap/>
            <w:vAlign w:val="center"/>
            <w:hideMark/>
          </w:tcPr>
          <w:p w14:paraId="2D0F60B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806552</w:t>
            </w:r>
          </w:p>
        </w:tc>
      </w:tr>
      <w:tr w:rsidR="006C2F1C" w:rsidRPr="006C2F1C" w14:paraId="58BA7756" w14:textId="77777777" w:rsidTr="000B2224">
        <w:trPr>
          <w:trHeight w:val="298"/>
        </w:trPr>
        <w:tc>
          <w:tcPr>
            <w:tcW w:w="3119" w:type="dxa"/>
            <w:tcBorders>
              <w:top w:val="nil"/>
              <w:left w:val="single" w:sz="8" w:space="0" w:color="000000"/>
              <w:bottom w:val="nil"/>
              <w:right w:val="single" w:sz="8" w:space="0" w:color="000000"/>
            </w:tcBorders>
            <w:shd w:val="clear" w:color="auto" w:fill="auto"/>
            <w:noWrap/>
            <w:vAlign w:val="center"/>
            <w:hideMark/>
          </w:tcPr>
          <w:p w14:paraId="316C135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Lyse 2Buffer</w:t>
            </w:r>
          </w:p>
        </w:tc>
        <w:tc>
          <w:tcPr>
            <w:tcW w:w="2410" w:type="dxa"/>
            <w:tcBorders>
              <w:top w:val="nil"/>
              <w:left w:val="nil"/>
              <w:bottom w:val="nil"/>
              <w:right w:val="single" w:sz="8" w:space="0" w:color="000000"/>
            </w:tcBorders>
            <w:shd w:val="clear" w:color="auto" w:fill="auto"/>
            <w:noWrap/>
            <w:vAlign w:val="center"/>
            <w:hideMark/>
          </w:tcPr>
          <w:p w14:paraId="1A2FFE2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Smart tube Inc</w:t>
            </w:r>
            <w:r w:rsidRPr="006C2F1C">
              <w:rPr>
                <w:rFonts w:ascii="Calibri" w:eastAsia="Times New Roman" w:hAnsi="Calibri" w:cs="Calibri"/>
                <w:sz w:val="16"/>
                <w:szCs w:val="16"/>
                <w:lang w:val="nl-BE" w:eastAsia="nl-BE"/>
              </w:rPr>
              <w:t> </w:t>
            </w:r>
          </w:p>
        </w:tc>
        <w:tc>
          <w:tcPr>
            <w:tcW w:w="3533" w:type="dxa"/>
            <w:tcBorders>
              <w:top w:val="nil"/>
              <w:left w:val="nil"/>
              <w:bottom w:val="single" w:sz="8" w:space="0" w:color="000000"/>
              <w:right w:val="single" w:sz="8" w:space="0" w:color="000000"/>
            </w:tcBorders>
            <w:shd w:val="clear" w:color="auto" w:fill="auto"/>
            <w:noWrap/>
            <w:vAlign w:val="center"/>
            <w:hideMark/>
          </w:tcPr>
          <w:p w14:paraId="3E36D5F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501351694</w:t>
            </w:r>
          </w:p>
        </w:tc>
      </w:tr>
      <w:tr w:rsidR="006C2F1C" w:rsidRPr="006C2F1C" w14:paraId="5A0227BB" w14:textId="77777777" w:rsidTr="000B2224">
        <w:trPr>
          <w:trHeight w:val="298"/>
        </w:trPr>
        <w:tc>
          <w:tcPr>
            <w:tcW w:w="311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480F098"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Stain buffer</w:t>
            </w:r>
          </w:p>
        </w:tc>
        <w:tc>
          <w:tcPr>
            <w:tcW w:w="2410" w:type="dxa"/>
            <w:tcBorders>
              <w:top w:val="single" w:sz="8" w:space="0" w:color="000000"/>
              <w:left w:val="nil"/>
              <w:bottom w:val="single" w:sz="8" w:space="0" w:color="000000"/>
              <w:right w:val="single" w:sz="8" w:space="0" w:color="000000"/>
            </w:tcBorders>
            <w:shd w:val="clear" w:color="auto" w:fill="auto"/>
            <w:noWrap/>
            <w:vAlign w:val="center"/>
            <w:hideMark/>
          </w:tcPr>
          <w:p w14:paraId="619A9C3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r w:rsidRPr="006C2F1C">
              <w:rPr>
                <w:rFonts w:ascii="Calibri" w:eastAsia="Times New Roman" w:hAnsi="Calibri" w:cs="Calibri"/>
                <w:sz w:val="16"/>
                <w:szCs w:val="16"/>
                <w:lang w:val="nl-BE" w:eastAsia="nl-BE"/>
              </w:rPr>
              <w:t> </w:t>
            </w:r>
          </w:p>
        </w:tc>
        <w:tc>
          <w:tcPr>
            <w:tcW w:w="3533" w:type="dxa"/>
            <w:tcBorders>
              <w:top w:val="nil"/>
              <w:left w:val="nil"/>
              <w:bottom w:val="single" w:sz="8" w:space="0" w:color="000000"/>
              <w:right w:val="single" w:sz="8" w:space="0" w:color="000000"/>
            </w:tcBorders>
            <w:shd w:val="clear" w:color="auto" w:fill="auto"/>
            <w:noWrap/>
            <w:vAlign w:val="center"/>
            <w:hideMark/>
          </w:tcPr>
          <w:p w14:paraId="0368794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554657</w:t>
            </w:r>
          </w:p>
        </w:tc>
      </w:tr>
      <w:tr w:rsidR="006C2F1C" w:rsidRPr="006C2F1C" w14:paraId="1A7375D2"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1FBB29F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Maxpar 10X Barcode Perm Buffer</w:t>
            </w:r>
          </w:p>
        </w:tc>
        <w:tc>
          <w:tcPr>
            <w:tcW w:w="2410" w:type="dxa"/>
            <w:tcBorders>
              <w:top w:val="nil"/>
              <w:left w:val="nil"/>
              <w:bottom w:val="single" w:sz="8" w:space="0" w:color="000000"/>
              <w:right w:val="single" w:sz="8" w:space="0" w:color="000000"/>
            </w:tcBorders>
            <w:shd w:val="clear" w:color="auto" w:fill="auto"/>
            <w:noWrap/>
            <w:vAlign w:val="center"/>
            <w:hideMark/>
          </w:tcPr>
          <w:p w14:paraId="6A44E9C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Standard Bio Tools</w:t>
            </w:r>
          </w:p>
        </w:tc>
        <w:tc>
          <w:tcPr>
            <w:tcW w:w="3533" w:type="dxa"/>
            <w:tcBorders>
              <w:top w:val="nil"/>
              <w:left w:val="nil"/>
              <w:bottom w:val="single" w:sz="8" w:space="0" w:color="000000"/>
              <w:right w:val="single" w:sz="8" w:space="0" w:color="000000"/>
            </w:tcBorders>
            <w:shd w:val="clear" w:color="auto" w:fill="auto"/>
            <w:noWrap/>
            <w:vAlign w:val="center"/>
            <w:hideMark/>
          </w:tcPr>
          <w:p w14:paraId="70CA42D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201057</w:t>
            </w:r>
          </w:p>
        </w:tc>
      </w:tr>
      <w:tr w:rsidR="006C2F1C" w:rsidRPr="006C2F1C" w14:paraId="3F1429A9"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A7BBDD9"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r w:rsidRPr="006C2F1C">
              <w:rPr>
                <w:rFonts w:ascii="Calibri" w:eastAsia="Times New Roman" w:hAnsi="Calibri" w:cs="Calibri"/>
                <w:sz w:val="22"/>
                <w:szCs w:val="22"/>
                <w:lang w:val="en-GB" w:eastAsia="nl-BE"/>
              </w:rPr>
              <w:t>Cell-ID™ 20-Plex Pd Barcoding Kit</w:t>
            </w:r>
          </w:p>
        </w:tc>
        <w:tc>
          <w:tcPr>
            <w:tcW w:w="2410" w:type="dxa"/>
            <w:tcBorders>
              <w:top w:val="nil"/>
              <w:left w:val="nil"/>
              <w:bottom w:val="single" w:sz="8" w:space="0" w:color="000000"/>
              <w:right w:val="single" w:sz="8" w:space="0" w:color="000000"/>
            </w:tcBorders>
            <w:shd w:val="clear" w:color="auto" w:fill="auto"/>
            <w:noWrap/>
            <w:vAlign w:val="center"/>
            <w:hideMark/>
          </w:tcPr>
          <w:p w14:paraId="582F0F6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Standard Bio Tools</w:t>
            </w:r>
          </w:p>
        </w:tc>
        <w:tc>
          <w:tcPr>
            <w:tcW w:w="3533" w:type="dxa"/>
            <w:tcBorders>
              <w:top w:val="nil"/>
              <w:left w:val="nil"/>
              <w:bottom w:val="single" w:sz="8" w:space="0" w:color="000000"/>
              <w:right w:val="single" w:sz="8" w:space="0" w:color="000000"/>
            </w:tcBorders>
            <w:shd w:val="clear" w:color="auto" w:fill="auto"/>
            <w:noWrap/>
            <w:vAlign w:val="center"/>
            <w:hideMark/>
          </w:tcPr>
          <w:p w14:paraId="206E35D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201060</w:t>
            </w:r>
          </w:p>
        </w:tc>
      </w:tr>
      <w:tr w:rsidR="006C2F1C" w:rsidRPr="006C2F1C" w14:paraId="105BD7F4"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038F06D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 xml:space="preserve">TruStain FcXTM </w:t>
            </w:r>
          </w:p>
        </w:tc>
        <w:tc>
          <w:tcPr>
            <w:tcW w:w="2410" w:type="dxa"/>
            <w:tcBorders>
              <w:top w:val="nil"/>
              <w:left w:val="nil"/>
              <w:bottom w:val="single" w:sz="8" w:space="0" w:color="000000"/>
              <w:right w:val="single" w:sz="8" w:space="0" w:color="000000"/>
            </w:tcBorders>
            <w:shd w:val="clear" w:color="auto" w:fill="auto"/>
            <w:noWrap/>
            <w:vAlign w:val="center"/>
            <w:hideMark/>
          </w:tcPr>
          <w:p w14:paraId="21066D21"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Biolegend</w:t>
            </w:r>
          </w:p>
        </w:tc>
        <w:tc>
          <w:tcPr>
            <w:tcW w:w="3533" w:type="dxa"/>
            <w:tcBorders>
              <w:top w:val="nil"/>
              <w:left w:val="nil"/>
              <w:bottom w:val="single" w:sz="8" w:space="0" w:color="000000"/>
              <w:right w:val="single" w:sz="8" w:space="0" w:color="000000"/>
            </w:tcBorders>
            <w:shd w:val="clear" w:color="auto" w:fill="auto"/>
            <w:noWrap/>
            <w:vAlign w:val="center"/>
            <w:hideMark/>
          </w:tcPr>
          <w:p w14:paraId="0E954A9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422302</w:t>
            </w:r>
          </w:p>
        </w:tc>
      </w:tr>
      <w:tr w:rsidR="006C2F1C" w:rsidRPr="006C2F1C" w14:paraId="44515892"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2E78759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Maxpar® Cell Staining Buffer</w:t>
            </w:r>
          </w:p>
        </w:tc>
        <w:tc>
          <w:tcPr>
            <w:tcW w:w="2410" w:type="dxa"/>
            <w:tcBorders>
              <w:top w:val="nil"/>
              <w:left w:val="nil"/>
              <w:bottom w:val="single" w:sz="8" w:space="0" w:color="000000"/>
              <w:right w:val="single" w:sz="8" w:space="0" w:color="000000"/>
            </w:tcBorders>
            <w:shd w:val="clear" w:color="auto" w:fill="auto"/>
            <w:noWrap/>
            <w:vAlign w:val="center"/>
            <w:hideMark/>
          </w:tcPr>
          <w:p w14:paraId="5E442CC5"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Standard Bio Tools</w:t>
            </w:r>
          </w:p>
        </w:tc>
        <w:tc>
          <w:tcPr>
            <w:tcW w:w="3533" w:type="dxa"/>
            <w:tcBorders>
              <w:top w:val="nil"/>
              <w:left w:val="nil"/>
              <w:bottom w:val="single" w:sz="8" w:space="0" w:color="000000"/>
              <w:right w:val="single" w:sz="8" w:space="0" w:color="000000"/>
            </w:tcBorders>
            <w:shd w:val="clear" w:color="auto" w:fill="auto"/>
            <w:noWrap/>
            <w:vAlign w:val="center"/>
            <w:hideMark/>
          </w:tcPr>
          <w:p w14:paraId="787678A0"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201068</w:t>
            </w:r>
          </w:p>
        </w:tc>
      </w:tr>
      <w:tr w:rsidR="006C2F1C" w:rsidRPr="006C2F1C" w14:paraId="3310A395"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061B6AE4"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r w:rsidRPr="006C2F1C">
              <w:rPr>
                <w:rFonts w:ascii="Calibri" w:eastAsia="Times New Roman" w:hAnsi="Calibri" w:cs="Calibri"/>
                <w:sz w:val="22"/>
                <w:szCs w:val="22"/>
                <w:lang w:val="en-GB" w:eastAsia="nl-BE"/>
              </w:rPr>
              <w:t xml:space="preserve">BD </w:t>
            </w:r>
            <w:proofErr w:type="spellStart"/>
            <w:r w:rsidRPr="006C2F1C">
              <w:rPr>
                <w:rFonts w:ascii="Calibri" w:eastAsia="Times New Roman" w:hAnsi="Calibri" w:cs="Calibri"/>
                <w:sz w:val="22"/>
                <w:szCs w:val="22"/>
                <w:lang w:val="en-GB" w:eastAsia="nl-BE"/>
              </w:rPr>
              <w:t>Phosflow</w:t>
            </w:r>
            <w:proofErr w:type="spellEnd"/>
            <w:r w:rsidRPr="006C2F1C">
              <w:rPr>
                <w:rFonts w:ascii="Calibri" w:eastAsia="Times New Roman" w:hAnsi="Calibri" w:cs="Calibri"/>
                <w:sz w:val="22"/>
                <w:szCs w:val="22"/>
                <w:lang w:val="en-GB" w:eastAsia="nl-BE"/>
              </w:rPr>
              <w:t xml:space="preserve">™ Perm Buffer III </w:t>
            </w:r>
          </w:p>
        </w:tc>
        <w:tc>
          <w:tcPr>
            <w:tcW w:w="2410" w:type="dxa"/>
            <w:tcBorders>
              <w:top w:val="nil"/>
              <w:left w:val="nil"/>
              <w:bottom w:val="single" w:sz="8" w:space="0" w:color="000000"/>
              <w:right w:val="single" w:sz="8" w:space="0" w:color="000000"/>
            </w:tcBorders>
            <w:shd w:val="clear" w:color="auto" w:fill="auto"/>
            <w:noWrap/>
            <w:vAlign w:val="center"/>
            <w:hideMark/>
          </w:tcPr>
          <w:p w14:paraId="64E073C9"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BD Biosciences</w:t>
            </w:r>
          </w:p>
        </w:tc>
        <w:tc>
          <w:tcPr>
            <w:tcW w:w="3533" w:type="dxa"/>
            <w:tcBorders>
              <w:top w:val="nil"/>
              <w:left w:val="nil"/>
              <w:bottom w:val="single" w:sz="8" w:space="0" w:color="000000"/>
              <w:right w:val="single" w:sz="8" w:space="0" w:color="000000"/>
            </w:tcBorders>
            <w:shd w:val="clear" w:color="auto" w:fill="auto"/>
            <w:noWrap/>
            <w:vAlign w:val="center"/>
            <w:hideMark/>
          </w:tcPr>
          <w:p w14:paraId="11C6C063"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558050</w:t>
            </w:r>
          </w:p>
        </w:tc>
      </w:tr>
      <w:tr w:rsidR="006C2F1C" w:rsidRPr="006C2F1C" w14:paraId="4B0477A7"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7B9781D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Cell Acquisition Solution</w:t>
            </w:r>
          </w:p>
        </w:tc>
        <w:tc>
          <w:tcPr>
            <w:tcW w:w="2410" w:type="dxa"/>
            <w:tcBorders>
              <w:top w:val="nil"/>
              <w:left w:val="nil"/>
              <w:bottom w:val="single" w:sz="8" w:space="0" w:color="000000"/>
              <w:right w:val="single" w:sz="8" w:space="0" w:color="000000"/>
            </w:tcBorders>
            <w:shd w:val="clear" w:color="auto" w:fill="auto"/>
            <w:noWrap/>
            <w:vAlign w:val="center"/>
            <w:hideMark/>
          </w:tcPr>
          <w:p w14:paraId="7E5D0C50"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Standard Bio Tools</w:t>
            </w:r>
          </w:p>
        </w:tc>
        <w:tc>
          <w:tcPr>
            <w:tcW w:w="3533" w:type="dxa"/>
            <w:tcBorders>
              <w:top w:val="nil"/>
              <w:left w:val="nil"/>
              <w:bottom w:val="single" w:sz="8" w:space="0" w:color="000000"/>
              <w:right w:val="single" w:sz="8" w:space="0" w:color="000000"/>
            </w:tcBorders>
            <w:shd w:val="clear" w:color="auto" w:fill="auto"/>
            <w:noWrap/>
            <w:vAlign w:val="center"/>
            <w:hideMark/>
          </w:tcPr>
          <w:p w14:paraId="52AE58F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201244</w:t>
            </w:r>
          </w:p>
        </w:tc>
      </w:tr>
      <w:tr w:rsidR="006C2F1C" w:rsidRPr="006C2F1C" w14:paraId="58E7B313"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2D450F93"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r w:rsidRPr="006C2F1C">
              <w:rPr>
                <w:rFonts w:ascii="Calibri" w:eastAsia="Times New Roman" w:hAnsi="Calibri" w:cs="Calibri"/>
                <w:sz w:val="22"/>
                <w:szCs w:val="22"/>
                <w:lang w:val="en-GB" w:eastAsia="nl-BE"/>
              </w:rPr>
              <w:t>EQ Four Element Calibration Beads</w:t>
            </w:r>
          </w:p>
        </w:tc>
        <w:tc>
          <w:tcPr>
            <w:tcW w:w="2410" w:type="dxa"/>
            <w:tcBorders>
              <w:top w:val="nil"/>
              <w:left w:val="nil"/>
              <w:bottom w:val="single" w:sz="8" w:space="0" w:color="000000"/>
              <w:right w:val="single" w:sz="8" w:space="0" w:color="000000"/>
            </w:tcBorders>
            <w:shd w:val="clear" w:color="auto" w:fill="auto"/>
            <w:noWrap/>
            <w:vAlign w:val="center"/>
            <w:hideMark/>
          </w:tcPr>
          <w:p w14:paraId="4D734302"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Standard Bio Tools</w:t>
            </w:r>
          </w:p>
        </w:tc>
        <w:tc>
          <w:tcPr>
            <w:tcW w:w="3533" w:type="dxa"/>
            <w:tcBorders>
              <w:top w:val="nil"/>
              <w:left w:val="nil"/>
              <w:bottom w:val="single" w:sz="8" w:space="0" w:color="000000"/>
              <w:right w:val="single" w:sz="8" w:space="0" w:color="000000"/>
            </w:tcBorders>
            <w:shd w:val="clear" w:color="auto" w:fill="auto"/>
            <w:noWrap/>
            <w:vAlign w:val="center"/>
            <w:hideMark/>
          </w:tcPr>
          <w:p w14:paraId="59DE7DF0"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201078</w:t>
            </w:r>
          </w:p>
        </w:tc>
      </w:tr>
      <w:tr w:rsidR="006C2F1C" w:rsidRPr="006C2F1C" w14:paraId="1D3CA914" w14:textId="77777777" w:rsidTr="000B2224">
        <w:trPr>
          <w:gridAfter w:val="2"/>
          <w:wAfter w:w="5943" w:type="dxa"/>
          <w:trHeight w:val="298"/>
        </w:trPr>
        <w:tc>
          <w:tcPr>
            <w:tcW w:w="3119" w:type="dxa"/>
            <w:tcBorders>
              <w:top w:val="single" w:sz="8" w:space="0" w:color="000000"/>
              <w:left w:val="single" w:sz="8" w:space="0" w:color="000000"/>
              <w:bottom w:val="single" w:sz="12" w:space="0" w:color="000000"/>
              <w:right w:val="single" w:sz="8" w:space="0" w:color="000000"/>
            </w:tcBorders>
            <w:shd w:val="clear" w:color="auto" w:fill="auto"/>
            <w:noWrap/>
            <w:vAlign w:val="center"/>
            <w:hideMark/>
          </w:tcPr>
          <w:p w14:paraId="53C8422D" w14:textId="77777777" w:rsidR="004E0675" w:rsidRPr="006C2F1C" w:rsidRDefault="004E0675" w:rsidP="004E0675">
            <w:pPr>
              <w:spacing w:after="0" w:line="240" w:lineRule="auto"/>
              <w:jc w:val="left"/>
              <w:rPr>
                <w:rFonts w:ascii="Calibri" w:eastAsia="Times New Roman" w:hAnsi="Calibri" w:cs="Calibri"/>
                <w:b/>
                <w:bCs/>
                <w:sz w:val="22"/>
                <w:szCs w:val="22"/>
                <w:lang w:val="nl-BE" w:eastAsia="nl-BE"/>
              </w:rPr>
            </w:pPr>
            <w:r w:rsidRPr="006C2F1C">
              <w:rPr>
                <w:rFonts w:ascii="Calibri" w:eastAsia="Times New Roman" w:hAnsi="Calibri" w:cs="Calibri"/>
                <w:b/>
                <w:bCs/>
                <w:sz w:val="22"/>
                <w:szCs w:val="22"/>
                <w:lang w:val="nl-BE" w:eastAsia="nl-BE"/>
              </w:rPr>
              <w:t>Critical commercial assays</w:t>
            </w:r>
          </w:p>
        </w:tc>
      </w:tr>
      <w:tr w:rsidR="006C2F1C" w:rsidRPr="006C2F1C" w14:paraId="078BC34A" w14:textId="77777777" w:rsidTr="000B2224">
        <w:trPr>
          <w:trHeight w:val="310"/>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37425DEC"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Maxpar® Antibody Labeling Kit</w:t>
            </w:r>
          </w:p>
        </w:tc>
        <w:tc>
          <w:tcPr>
            <w:tcW w:w="2410" w:type="dxa"/>
            <w:tcBorders>
              <w:top w:val="nil"/>
              <w:left w:val="nil"/>
              <w:bottom w:val="single" w:sz="8" w:space="0" w:color="000000"/>
              <w:right w:val="single" w:sz="8" w:space="0" w:color="000000"/>
            </w:tcBorders>
            <w:shd w:val="clear" w:color="auto" w:fill="auto"/>
            <w:noWrap/>
            <w:vAlign w:val="center"/>
            <w:hideMark/>
          </w:tcPr>
          <w:p w14:paraId="0819FEC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Standard BioTools</w:t>
            </w:r>
          </w:p>
        </w:tc>
        <w:tc>
          <w:tcPr>
            <w:tcW w:w="3533" w:type="dxa"/>
            <w:tcBorders>
              <w:top w:val="nil"/>
              <w:left w:val="nil"/>
              <w:bottom w:val="single" w:sz="8" w:space="0" w:color="000000"/>
              <w:right w:val="single" w:sz="8" w:space="0" w:color="000000"/>
            </w:tcBorders>
            <w:shd w:val="clear" w:color="auto" w:fill="auto"/>
            <w:noWrap/>
            <w:vAlign w:val="center"/>
            <w:hideMark/>
          </w:tcPr>
          <w:p w14:paraId="684FDC2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201300</w:t>
            </w:r>
          </w:p>
        </w:tc>
      </w:tr>
      <w:tr w:rsidR="006C2F1C" w:rsidRPr="006C2F1C" w14:paraId="5B8F33C2"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D23919A"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proofErr w:type="spellStart"/>
            <w:r w:rsidRPr="006C2F1C">
              <w:rPr>
                <w:rFonts w:ascii="Calibri" w:eastAsia="Times New Roman" w:hAnsi="Calibri" w:cs="Calibri"/>
                <w:sz w:val="22"/>
                <w:szCs w:val="22"/>
                <w:lang w:val="en-GB" w:eastAsia="nl-BE"/>
              </w:rPr>
              <w:t>QIAsymphony</w:t>
            </w:r>
            <w:proofErr w:type="spellEnd"/>
            <w:r w:rsidRPr="006C2F1C">
              <w:rPr>
                <w:rFonts w:ascii="Calibri" w:eastAsia="Times New Roman" w:hAnsi="Calibri" w:cs="Calibri"/>
                <w:sz w:val="22"/>
                <w:szCs w:val="22"/>
                <w:lang w:val="en-GB" w:eastAsia="nl-BE"/>
              </w:rPr>
              <w:t xml:space="preserve"> PAXgene Blood RNA Kit </w:t>
            </w:r>
          </w:p>
        </w:tc>
        <w:tc>
          <w:tcPr>
            <w:tcW w:w="2410" w:type="dxa"/>
            <w:tcBorders>
              <w:top w:val="nil"/>
              <w:left w:val="nil"/>
              <w:bottom w:val="single" w:sz="8" w:space="0" w:color="000000"/>
              <w:right w:val="single" w:sz="8" w:space="0" w:color="000000"/>
            </w:tcBorders>
            <w:shd w:val="clear" w:color="auto" w:fill="auto"/>
            <w:noWrap/>
            <w:vAlign w:val="center"/>
            <w:hideMark/>
          </w:tcPr>
          <w:p w14:paraId="3895BAD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QIAGEN</w:t>
            </w:r>
          </w:p>
        </w:tc>
        <w:tc>
          <w:tcPr>
            <w:tcW w:w="3533" w:type="dxa"/>
            <w:tcBorders>
              <w:top w:val="nil"/>
              <w:left w:val="nil"/>
              <w:bottom w:val="single" w:sz="8" w:space="0" w:color="000000"/>
              <w:right w:val="single" w:sz="8" w:space="0" w:color="000000"/>
            </w:tcBorders>
            <w:shd w:val="clear" w:color="auto" w:fill="auto"/>
            <w:noWrap/>
            <w:vAlign w:val="center"/>
            <w:hideMark/>
          </w:tcPr>
          <w:p w14:paraId="632E2B57"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762635</w:t>
            </w:r>
          </w:p>
        </w:tc>
      </w:tr>
      <w:tr w:rsidR="006C2F1C" w:rsidRPr="006C2F1C" w14:paraId="6147120B" w14:textId="77777777" w:rsidTr="000B2224">
        <w:trPr>
          <w:trHeight w:val="298"/>
        </w:trPr>
        <w:tc>
          <w:tcPr>
            <w:tcW w:w="3119" w:type="dxa"/>
            <w:tcBorders>
              <w:top w:val="nil"/>
              <w:left w:val="single" w:sz="8" w:space="0" w:color="000000"/>
              <w:bottom w:val="single" w:sz="8" w:space="0" w:color="000000"/>
              <w:right w:val="single" w:sz="8" w:space="0" w:color="000000"/>
            </w:tcBorders>
            <w:shd w:val="clear" w:color="auto" w:fill="auto"/>
            <w:noWrap/>
            <w:vAlign w:val="center"/>
            <w:hideMark/>
          </w:tcPr>
          <w:p w14:paraId="5547604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Clariom™ GOScreen microarray</w:t>
            </w:r>
          </w:p>
        </w:tc>
        <w:tc>
          <w:tcPr>
            <w:tcW w:w="2410" w:type="dxa"/>
            <w:tcBorders>
              <w:top w:val="nil"/>
              <w:left w:val="nil"/>
              <w:bottom w:val="single" w:sz="8" w:space="0" w:color="000000"/>
              <w:right w:val="single" w:sz="8" w:space="0" w:color="000000"/>
            </w:tcBorders>
            <w:shd w:val="clear" w:color="auto" w:fill="auto"/>
            <w:noWrap/>
            <w:vAlign w:val="center"/>
            <w:hideMark/>
          </w:tcPr>
          <w:p w14:paraId="2E469DBA"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Thermo Fisher</w:t>
            </w:r>
          </w:p>
        </w:tc>
        <w:tc>
          <w:tcPr>
            <w:tcW w:w="3533" w:type="dxa"/>
            <w:tcBorders>
              <w:top w:val="nil"/>
              <w:left w:val="nil"/>
              <w:bottom w:val="single" w:sz="8" w:space="0" w:color="000000"/>
              <w:right w:val="single" w:sz="8" w:space="0" w:color="000000"/>
            </w:tcBorders>
            <w:shd w:val="clear" w:color="auto" w:fill="auto"/>
            <w:noWrap/>
            <w:vAlign w:val="center"/>
            <w:hideMark/>
          </w:tcPr>
          <w:p w14:paraId="661DB90B"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952361</w:t>
            </w:r>
          </w:p>
        </w:tc>
      </w:tr>
      <w:tr w:rsidR="006C2F1C" w:rsidRPr="006C2F1C" w14:paraId="606DC443" w14:textId="77777777" w:rsidTr="000B2224">
        <w:trPr>
          <w:trHeight w:val="298"/>
        </w:trPr>
        <w:tc>
          <w:tcPr>
            <w:tcW w:w="3119" w:type="dxa"/>
            <w:tcBorders>
              <w:top w:val="nil"/>
              <w:left w:val="single" w:sz="8" w:space="0" w:color="000000"/>
              <w:bottom w:val="single" w:sz="12" w:space="0" w:color="000000"/>
              <w:right w:val="single" w:sz="8" w:space="0" w:color="000000"/>
            </w:tcBorders>
            <w:shd w:val="clear" w:color="auto" w:fill="auto"/>
            <w:noWrap/>
            <w:vAlign w:val="center"/>
            <w:hideMark/>
          </w:tcPr>
          <w:p w14:paraId="3CAF01FC" w14:textId="77777777" w:rsidR="004E0675" w:rsidRPr="006C2F1C" w:rsidRDefault="004E0675" w:rsidP="004E0675">
            <w:pPr>
              <w:spacing w:after="0" w:line="240" w:lineRule="auto"/>
              <w:jc w:val="left"/>
              <w:rPr>
                <w:rFonts w:ascii="Calibri" w:eastAsia="Times New Roman" w:hAnsi="Calibri" w:cs="Calibri"/>
                <w:sz w:val="22"/>
                <w:szCs w:val="22"/>
                <w:lang w:val="en-GB" w:eastAsia="nl-BE"/>
              </w:rPr>
            </w:pPr>
            <w:proofErr w:type="spellStart"/>
            <w:r w:rsidRPr="006C2F1C">
              <w:rPr>
                <w:rFonts w:ascii="Calibri" w:eastAsia="Times New Roman" w:hAnsi="Calibri" w:cs="Calibri"/>
                <w:sz w:val="22"/>
                <w:szCs w:val="22"/>
                <w:lang w:val="en-GB" w:eastAsia="nl-BE"/>
              </w:rPr>
              <w:t>Thermo</w:t>
            </w:r>
            <w:proofErr w:type="spellEnd"/>
            <w:r w:rsidRPr="006C2F1C">
              <w:rPr>
                <w:rFonts w:ascii="Calibri" w:eastAsia="Times New Roman" w:hAnsi="Calibri" w:cs="Calibri"/>
                <w:sz w:val="22"/>
                <w:szCs w:val="22"/>
                <w:lang w:val="en-GB" w:eastAsia="nl-BE"/>
              </w:rPr>
              <w:t xml:space="preserve"> Fisher; </w:t>
            </w:r>
            <w:proofErr w:type="spellStart"/>
            <w:r w:rsidRPr="006C2F1C">
              <w:rPr>
                <w:rFonts w:ascii="Calibri" w:eastAsia="Times New Roman" w:hAnsi="Calibri" w:cs="Calibri"/>
                <w:sz w:val="22"/>
                <w:szCs w:val="22"/>
                <w:lang w:val="en-GB" w:eastAsia="nl-BE"/>
              </w:rPr>
              <w:t>GeneChip</w:t>
            </w:r>
            <w:proofErr w:type="spellEnd"/>
            <w:r w:rsidRPr="006C2F1C">
              <w:rPr>
                <w:rFonts w:ascii="Calibri" w:eastAsia="Times New Roman" w:hAnsi="Calibri" w:cs="Calibri"/>
                <w:sz w:val="22"/>
                <w:szCs w:val="22"/>
                <w:lang w:val="en-GB" w:eastAsia="nl-BE"/>
              </w:rPr>
              <w:t xml:space="preserve"> Pico Reagent Kit</w:t>
            </w:r>
          </w:p>
        </w:tc>
        <w:tc>
          <w:tcPr>
            <w:tcW w:w="2410" w:type="dxa"/>
            <w:tcBorders>
              <w:top w:val="nil"/>
              <w:left w:val="nil"/>
              <w:bottom w:val="single" w:sz="12" w:space="0" w:color="000000"/>
              <w:right w:val="single" w:sz="8" w:space="0" w:color="000000"/>
            </w:tcBorders>
            <w:shd w:val="clear" w:color="auto" w:fill="auto"/>
            <w:noWrap/>
            <w:vAlign w:val="center"/>
            <w:hideMark/>
          </w:tcPr>
          <w:p w14:paraId="20EBE64F"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Thermo Fisher</w:t>
            </w:r>
          </w:p>
        </w:tc>
        <w:tc>
          <w:tcPr>
            <w:tcW w:w="3533" w:type="dxa"/>
            <w:tcBorders>
              <w:top w:val="nil"/>
              <w:left w:val="nil"/>
              <w:bottom w:val="single" w:sz="12" w:space="0" w:color="000000"/>
              <w:right w:val="single" w:sz="8" w:space="0" w:color="000000"/>
            </w:tcBorders>
            <w:shd w:val="clear" w:color="auto" w:fill="auto"/>
            <w:noWrap/>
            <w:vAlign w:val="center"/>
            <w:hideMark/>
          </w:tcPr>
          <w:p w14:paraId="14EF1C4D" w14:textId="77777777" w:rsidR="004E0675" w:rsidRPr="006C2F1C" w:rsidRDefault="004E0675" w:rsidP="004E0675">
            <w:pPr>
              <w:spacing w:after="0" w:line="240" w:lineRule="auto"/>
              <w:jc w:val="left"/>
              <w:rPr>
                <w:rFonts w:ascii="Calibri" w:eastAsia="Times New Roman" w:hAnsi="Calibri" w:cs="Calibri"/>
                <w:sz w:val="22"/>
                <w:szCs w:val="22"/>
                <w:lang w:val="nl-BE" w:eastAsia="nl-BE"/>
              </w:rPr>
            </w:pPr>
            <w:r w:rsidRPr="006C2F1C">
              <w:rPr>
                <w:rFonts w:ascii="Calibri" w:eastAsia="Times New Roman" w:hAnsi="Calibri" w:cs="Calibri"/>
                <w:sz w:val="22"/>
                <w:szCs w:val="22"/>
                <w:lang w:val="nl-BE" w:eastAsia="nl-BE"/>
              </w:rPr>
              <w:t>Cat#: 902622</w:t>
            </w:r>
          </w:p>
        </w:tc>
      </w:tr>
    </w:tbl>
    <w:p w14:paraId="67D63862" w14:textId="143A9BE1" w:rsidR="00676C9D" w:rsidRPr="006C2F1C" w:rsidRDefault="00676C9D">
      <w:pPr>
        <w:spacing w:line="259" w:lineRule="auto"/>
        <w:jc w:val="left"/>
        <w:rPr>
          <w:b/>
          <w:bCs/>
          <w:lang w:val="nl-BE"/>
        </w:rPr>
      </w:pPr>
      <w:r w:rsidRPr="006C2F1C">
        <w:rPr>
          <w:b/>
          <w:bCs/>
          <w:lang w:val="nl-BE"/>
        </w:rPr>
        <w:br w:type="page"/>
      </w:r>
    </w:p>
    <w:p w14:paraId="521B4B67" w14:textId="15FA9425" w:rsidR="00130E1E" w:rsidRPr="006C2F1C" w:rsidRDefault="00130E1E" w:rsidP="00130E1E">
      <w:pPr>
        <w:spacing w:after="0" w:line="240" w:lineRule="auto"/>
        <w:rPr>
          <w:b/>
          <w:bCs/>
        </w:rPr>
      </w:pPr>
      <w:r w:rsidRPr="006C2F1C">
        <w:rPr>
          <w:b/>
          <w:bCs/>
        </w:rPr>
        <w:lastRenderedPageBreak/>
        <w:t>Table S</w:t>
      </w:r>
      <w:r w:rsidR="00676C9D" w:rsidRPr="006C2F1C">
        <w:rPr>
          <w:b/>
          <w:bCs/>
        </w:rPr>
        <w:t>2</w:t>
      </w:r>
      <w:r w:rsidRPr="006C2F1C">
        <w:rPr>
          <w:b/>
          <w:bCs/>
        </w:rPr>
        <w:t>:</w:t>
      </w:r>
      <w:r w:rsidRPr="006C2F1C">
        <w:t xml:space="preserve"> </w:t>
      </w:r>
      <w:r w:rsidRPr="006C2F1C">
        <w:rPr>
          <w:b/>
          <w:bCs/>
        </w:rPr>
        <w:t>Clinical and demographic characteristics of the infants for the transcriptomics analyses</w:t>
      </w:r>
    </w:p>
    <w:p w14:paraId="7C289BF6" w14:textId="77777777" w:rsidR="00130E1E" w:rsidRPr="006C2F1C" w:rsidRDefault="00130E1E" w:rsidP="00130E1E">
      <w:pPr>
        <w:spacing w:after="0" w:line="240" w:lineRule="auto"/>
        <w:rPr>
          <w:b/>
          <w:bCs/>
        </w:rPr>
      </w:pPr>
    </w:p>
    <w:tbl>
      <w:tblPr>
        <w:tblW w:w="10372" w:type="dxa"/>
        <w:tblLook w:val="04A0" w:firstRow="1" w:lastRow="0" w:firstColumn="1" w:lastColumn="0" w:noHBand="0" w:noVBand="1"/>
      </w:tblPr>
      <w:tblGrid>
        <w:gridCol w:w="2260"/>
        <w:gridCol w:w="1463"/>
        <w:gridCol w:w="1791"/>
        <w:gridCol w:w="2424"/>
        <w:gridCol w:w="2434"/>
      </w:tblGrid>
      <w:tr w:rsidR="006C2F1C" w:rsidRPr="006C2F1C" w14:paraId="3F04CADC" w14:textId="77777777" w:rsidTr="006928BB">
        <w:trPr>
          <w:trHeight w:val="1292"/>
        </w:trPr>
        <w:tc>
          <w:tcPr>
            <w:tcW w:w="2260" w:type="dxa"/>
            <w:tcBorders>
              <w:top w:val="single" w:sz="12" w:space="0" w:color="000000"/>
              <w:left w:val="nil"/>
              <w:right w:val="nil"/>
            </w:tcBorders>
            <w:shd w:val="clear" w:color="000000" w:fill="FFFFFF"/>
            <w:vAlign w:val="center"/>
            <w:hideMark/>
          </w:tcPr>
          <w:p w14:paraId="3CF41BA3" w14:textId="77777777" w:rsidR="00130E1E" w:rsidRPr="006C2F1C" w:rsidRDefault="00130E1E" w:rsidP="006928BB">
            <w:pPr>
              <w:spacing w:after="0" w:line="240" w:lineRule="auto"/>
              <w:rPr>
                <w:rFonts w:ascii="Arial" w:eastAsia="Times New Roman" w:hAnsi="Arial" w:cs="Arial"/>
                <w:b/>
                <w:bCs/>
                <w:sz w:val="20"/>
                <w:szCs w:val="20"/>
                <w:lang w:eastAsia="en-GB"/>
              </w:rPr>
            </w:pPr>
          </w:p>
        </w:tc>
        <w:tc>
          <w:tcPr>
            <w:tcW w:w="1463" w:type="dxa"/>
            <w:tcBorders>
              <w:top w:val="single" w:sz="12" w:space="0" w:color="000000"/>
              <w:left w:val="nil"/>
              <w:bottom w:val="nil"/>
              <w:right w:val="nil"/>
            </w:tcBorders>
            <w:shd w:val="clear" w:color="000000" w:fill="FFFFFF"/>
            <w:vAlign w:val="center"/>
            <w:hideMark/>
          </w:tcPr>
          <w:p w14:paraId="7BD50C03" w14:textId="77777777" w:rsidR="00130E1E" w:rsidRPr="006C2F1C" w:rsidRDefault="00130E1E" w:rsidP="006928BB">
            <w:pPr>
              <w:spacing w:after="0" w:line="240" w:lineRule="auto"/>
              <w:jc w:val="center"/>
              <w:rPr>
                <w:rFonts w:ascii="Arial" w:eastAsia="Times New Roman" w:hAnsi="Arial" w:cs="Arial"/>
                <w:b/>
                <w:bCs/>
                <w:sz w:val="20"/>
                <w:szCs w:val="20"/>
                <w:lang w:eastAsia="en-GB"/>
              </w:rPr>
            </w:pPr>
            <w:r w:rsidRPr="006C2F1C">
              <w:rPr>
                <w:lang w:eastAsia="en-GB"/>
              </w:rPr>
              <w:t>Healthy controls</w:t>
            </w:r>
          </w:p>
        </w:tc>
        <w:tc>
          <w:tcPr>
            <w:tcW w:w="1791" w:type="dxa"/>
            <w:tcBorders>
              <w:top w:val="single" w:sz="12" w:space="0" w:color="000000"/>
              <w:left w:val="nil"/>
              <w:bottom w:val="nil"/>
              <w:right w:val="nil"/>
            </w:tcBorders>
            <w:shd w:val="clear" w:color="000000" w:fill="FFFFFF"/>
            <w:vAlign w:val="center"/>
            <w:hideMark/>
          </w:tcPr>
          <w:p w14:paraId="373ABA17" w14:textId="77777777" w:rsidR="00130E1E" w:rsidRPr="006C2F1C" w:rsidRDefault="00130E1E" w:rsidP="006928BB">
            <w:pPr>
              <w:spacing w:after="120" w:line="240" w:lineRule="auto"/>
              <w:jc w:val="center"/>
              <w:rPr>
                <w:lang w:eastAsia="en-GB"/>
              </w:rPr>
            </w:pPr>
            <w:r w:rsidRPr="006C2F1C">
              <w:rPr>
                <w:lang w:eastAsia="en-GB"/>
              </w:rPr>
              <w:t>MILD</w:t>
            </w:r>
          </w:p>
          <w:p w14:paraId="6301C684" w14:textId="77777777" w:rsidR="00130E1E" w:rsidRPr="006C2F1C" w:rsidRDefault="00130E1E" w:rsidP="006928BB">
            <w:pPr>
              <w:spacing w:after="0" w:line="240" w:lineRule="auto"/>
              <w:jc w:val="center"/>
              <w:rPr>
                <w:rFonts w:ascii="Arial" w:eastAsia="Times New Roman" w:hAnsi="Arial" w:cs="Arial"/>
                <w:b/>
                <w:bCs/>
                <w:sz w:val="20"/>
                <w:szCs w:val="20"/>
                <w:lang w:eastAsia="en-GB"/>
              </w:rPr>
            </w:pPr>
            <w:r w:rsidRPr="006C2F1C">
              <w:rPr>
                <w:lang w:eastAsia="en-GB"/>
              </w:rPr>
              <w:t>(RSV-infected, non-hospitalized)</w:t>
            </w:r>
          </w:p>
        </w:tc>
        <w:tc>
          <w:tcPr>
            <w:tcW w:w="2424" w:type="dxa"/>
            <w:tcBorders>
              <w:top w:val="single" w:sz="12" w:space="0" w:color="000000"/>
              <w:left w:val="nil"/>
              <w:bottom w:val="nil"/>
              <w:right w:val="nil"/>
            </w:tcBorders>
            <w:shd w:val="clear" w:color="000000" w:fill="FFFFFF"/>
            <w:vAlign w:val="center"/>
            <w:hideMark/>
          </w:tcPr>
          <w:p w14:paraId="56299EB4" w14:textId="77777777" w:rsidR="00130E1E" w:rsidRPr="006C2F1C" w:rsidRDefault="00130E1E" w:rsidP="006928BB">
            <w:pPr>
              <w:spacing w:after="120" w:line="240" w:lineRule="auto"/>
              <w:jc w:val="center"/>
              <w:rPr>
                <w:lang w:eastAsia="en-GB"/>
              </w:rPr>
            </w:pPr>
            <w:r w:rsidRPr="006C2F1C">
              <w:rPr>
                <w:lang w:eastAsia="en-GB"/>
              </w:rPr>
              <w:t>MODERATE</w:t>
            </w:r>
          </w:p>
          <w:p w14:paraId="15BA36AF" w14:textId="77777777" w:rsidR="00130E1E" w:rsidRPr="006C2F1C" w:rsidRDefault="00130E1E" w:rsidP="006928BB">
            <w:pPr>
              <w:spacing w:after="0" w:line="240" w:lineRule="auto"/>
              <w:jc w:val="center"/>
              <w:rPr>
                <w:rFonts w:ascii="Arial" w:eastAsia="Times New Roman" w:hAnsi="Arial" w:cs="Arial"/>
                <w:b/>
                <w:bCs/>
                <w:sz w:val="20"/>
                <w:szCs w:val="20"/>
                <w:lang w:eastAsia="en-GB"/>
              </w:rPr>
            </w:pPr>
            <w:r w:rsidRPr="006C2F1C">
              <w:rPr>
                <w:lang w:eastAsia="en-GB"/>
              </w:rPr>
              <w:t>(RSV-infected, hospitalized without mechanical ventilation)</w:t>
            </w:r>
          </w:p>
        </w:tc>
        <w:tc>
          <w:tcPr>
            <w:tcW w:w="2434" w:type="dxa"/>
            <w:tcBorders>
              <w:top w:val="single" w:sz="12" w:space="0" w:color="000000"/>
              <w:left w:val="nil"/>
              <w:bottom w:val="nil"/>
              <w:right w:val="nil"/>
            </w:tcBorders>
            <w:shd w:val="clear" w:color="000000" w:fill="FFFFFF"/>
            <w:vAlign w:val="center"/>
            <w:hideMark/>
          </w:tcPr>
          <w:p w14:paraId="23D0A281" w14:textId="77777777" w:rsidR="00130E1E" w:rsidRPr="006C2F1C" w:rsidRDefault="00130E1E" w:rsidP="006928BB">
            <w:pPr>
              <w:spacing w:after="120" w:line="240" w:lineRule="auto"/>
              <w:jc w:val="center"/>
              <w:rPr>
                <w:lang w:eastAsia="en-GB"/>
              </w:rPr>
            </w:pPr>
            <w:r w:rsidRPr="006C2F1C">
              <w:rPr>
                <w:lang w:eastAsia="en-GB"/>
              </w:rPr>
              <w:t>SEVERE</w:t>
            </w:r>
          </w:p>
          <w:p w14:paraId="15F6FAEB" w14:textId="77777777" w:rsidR="00130E1E" w:rsidRPr="006C2F1C" w:rsidRDefault="00130E1E" w:rsidP="006928BB">
            <w:pPr>
              <w:spacing w:after="0" w:line="240" w:lineRule="auto"/>
              <w:jc w:val="center"/>
              <w:rPr>
                <w:rFonts w:ascii="Arial" w:eastAsia="Times New Roman" w:hAnsi="Arial" w:cs="Arial"/>
                <w:b/>
                <w:bCs/>
                <w:sz w:val="20"/>
                <w:szCs w:val="20"/>
                <w:lang w:eastAsia="en-GB"/>
              </w:rPr>
            </w:pPr>
            <w:r w:rsidRPr="006C2F1C">
              <w:rPr>
                <w:lang w:eastAsia="en-GB"/>
              </w:rPr>
              <w:t>(RSV-infected, hospitalized with mechanical ventilation)</w:t>
            </w:r>
          </w:p>
        </w:tc>
      </w:tr>
      <w:tr w:rsidR="006C2F1C" w:rsidRPr="006C2F1C" w14:paraId="1FC694BF" w14:textId="77777777" w:rsidTr="006928BB">
        <w:trPr>
          <w:trHeight w:val="301"/>
        </w:trPr>
        <w:tc>
          <w:tcPr>
            <w:tcW w:w="2260" w:type="dxa"/>
            <w:tcBorders>
              <w:left w:val="nil"/>
              <w:bottom w:val="single" w:sz="8" w:space="0" w:color="000000"/>
              <w:right w:val="nil"/>
            </w:tcBorders>
            <w:shd w:val="clear" w:color="000000" w:fill="FFFFFF"/>
            <w:vAlign w:val="center"/>
            <w:hideMark/>
          </w:tcPr>
          <w:p w14:paraId="35E72A52" w14:textId="77777777" w:rsidR="00130E1E" w:rsidRPr="006C2F1C" w:rsidRDefault="00130E1E" w:rsidP="006928BB">
            <w:pPr>
              <w:spacing w:after="0" w:line="240" w:lineRule="auto"/>
              <w:rPr>
                <w:rFonts w:ascii="Arial" w:eastAsia="Times New Roman" w:hAnsi="Arial" w:cs="Arial"/>
                <w:i/>
                <w:iCs/>
                <w:sz w:val="20"/>
                <w:szCs w:val="20"/>
                <w:lang w:eastAsia="en-GB"/>
              </w:rPr>
            </w:pPr>
            <w:r w:rsidRPr="006C2F1C">
              <w:rPr>
                <w:rFonts w:ascii="Arial" w:eastAsia="Times New Roman" w:hAnsi="Arial" w:cs="Arial"/>
                <w:i/>
                <w:iCs/>
                <w:sz w:val="20"/>
                <w:szCs w:val="20"/>
                <w:lang w:eastAsia="en-GB"/>
              </w:rPr>
              <w:t>Infants</w:t>
            </w:r>
          </w:p>
        </w:tc>
        <w:tc>
          <w:tcPr>
            <w:tcW w:w="1463" w:type="dxa"/>
            <w:tcBorders>
              <w:top w:val="nil"/>
              <w:left w:val="nil"/>
              <w:bottom w:val="single" w:sz="8" w:space="0" w:color="000000"/>
              <w:right w:val="nil"/>
            </w:tcBorders>
            <w:shd w:val="clear" w:color="000000" w:fill="FFFFFF"/>
            <w:vAlign w:val="center"/>
            <w:hideMark/>
          </w:tcPr>
          <w:p w14:paraId="004F61D0" w14:textId="77777777" w:rsidR="00130E1E" w:rsidRPr="006C2F1C" w:rsidRDefault="00130E1E" w:rsidP="006928BB">
            <w:pPr>
              <w:spacing w:after="0" w:line="240" w:lineRule="auto"/>
              <w:jc w:val="center"/>
              <w:rPr>
                <w:rFonts w:ascii="Arial" w:eastAsia="Times New Roman" w:hAnsi="Arial" w:cs="Arial"/>
                <w:i/>
                <w:iCs/>
                <w:sz w:val="20"/>
                <w:szCs w:val="20"/>
                <w:lang w:eastAsia="en-GB"/>
              </w:rPr>
            </w:pPr>
            <w:r w:rsidRPr="006C2F1C">
              <w:rPr>
                <w:rFonts w:ascii="Arial" w:eastAsia="Times New Roman" w:hAnsi="Arial" w:cs="Arial"/>
                <w:i/>
                <w:iCs/>
                <w:sz w:val="20"/>
                <w:szCs w:val="20"/>
                <w:lang w:eastAsia="en-GB"/>
              </w:rPr>
              <w:t>(N=56)</w:t>
            </w:r>
          </w:p>
        </w:tc>
        <w:tc>
          <w:tcPr>
            <w:tcW w:w="1791" w:type="dxa"/>
            <w:tcBorders>
              <w:top w:val="nil"/>
              <w:left w:val="nil"/>
              <w:bottom w:val="single" w:sz="8" w:space="0" w:color="000000"/>
              <w:right w:val="nil"/>
            </w:tcBorders>
            <w:shd w:val="clear" w:color="000000" w:fill="FFFFFF"/>
            <w:vAlign w:val="center"/>
            <w:hideMark/>
          </w:tcPr>
          <w:p w14:paraId="006809C3" w14:textId="77777777" w:rsidR="00130E1E" w:rsidRPr="006C2F1C" w:rsidRDefault="00130E1E" w:rsidP="006928BB">
            <w:pPr>
              <w:spacing w:after="0" w:line="240" w:lineRule="auto"/>
              <w:jc w:val="center"/>
              <w:rPr>
                <w:rFonts w:ascii="Arial" w:eastAsia="Times New Roman" w:hAnsi="Arial" w:cs="Arial"/>
                <w:i/>
                <w:iCs/>
                <w:sz w:val="20"/>
                <w:szCs w:val="20"/>
                <w:lang w:eastAsia="en-GB"/>
              </w:rPr>
            </w:pPr>
            <w:r w:rsidRPr="006C2F1C">
              <w:rPr>
                <w:rFonts w:ascii="Arial" w:eastAsia="Times New Roman" w:hAnsi="Arial" w:cs="Arial"/>
                <w:i/>
                <w:iCs/>
                <w:sz w:val="20"/>
                <w:szCs w:val="20"/>
                <w:lang w:eastAsia="en-GB"/>
              </w:rPr>
              <w:t>(N=72)</w:t>
            </w:r>
          </w:p>
        </w:tc>
        <w:tc>
          <w:tcPr>
            <w:tcW w:w="2424" w:type="dxa"/>
            <w:tcBorders>
              <w:top w:val="nil"/>
              <w:left w:val="nil"/>
              <w:bottom w:val="single" w:sz="8" w:space="0" w:color="000000"/>
              <w:right w:val="nil"/>
            </w:tcBorders>
            <w:shd w:val="clear" w:color="000000" w:fill="FFFFFF"/>
            <w:vAlign w:val="center"/>
            <w:hideMark/>
          </w:tcPr>
          <w:p w14:paraId="324B1CDD" w14:textId="77777777" w:rsidR="00130E1E" w:rsidRPr="006C2F1C" w:rsidRDefault="00130E1E" w:rsidP="006928BB">
            <w:pPr>
              <w:spacing w:after="0" w:line="240" w:lineRule="auto"/>
              <w:jc w:val="center"/>
              <w:rPr>
                <w:rFonts w:ascii="Arial" w:eastAsia="Times New Roman" w:hAnsi="Arial" w:cs="Arial"/>
                <w:i/>
                <w:iCs/>
                <w:sz w:val="20"/>
                <w:szCs w:val="20"/>
                <w:lang w:eastAsia="en-GB"/>
              </w:rPr>
            </w:pPr>
            <w:r w:rsidRPr="006C2F1C">
              <w:rPr>
                <w:rFonts w:ascii="Arial" w:eastAsia="Times New Roman" w:hAnsi="Arial" w:cs="Arial"/>
                <w:i/>
                <w:iCs/>
                <w:sz w:val="20"/>
                <w:szCs w:val="20"/>
                <w:lang w:eastAsia="en-GB"/>
              </w:rPr>
              <w:t>(N=92)</w:t>
            </w:r>
          </w:p>
        </w:tc>
        <w:tc>
          <w:tcPr>
            <w:tcW w:w="2434" w:type="dxa"/>
            <w:tcBorders>
              <w:top w:val="nil"/>
              <w:left w:val="nil"/>
              <w:bottom w:val="single" w:sz="8" w:space="0" w:color="000000"/>
              <w:right w:val="nil"/>
            </w:tcBorders>
            <w:shd w:val="clear" w:color="000000" w:fill="FFFFFF"/>
            <w:vAlign w:val="center"/>
            <w:hideMark/>
          </w:tcPr>
          <w:p w14:paraId="069F13C8" w14:textId="77777777" w:rsidR="00130E1E" w:rsidRPr="006C2F1C" w:rsidRDefault="00130E1E" w:rsidP="006928BB">
            <w:pPr>
              <w:spacing w:after="0" w:line="240" w:lineRule="auto"/>
              <w:jc w:val="center"/>
              <w:rPr>
                <w:rFonts w:ascii="Arial" w:eastAsia="Times New Roman" w:hAnsi="Arial" w:cs="Arial"/>
                <w:i/>
                <w:iCs/>
                <w:sz w:val="20"/>
                <w:szCs w:val="20"/>
                <w:lang w:eastAsia="en-GB"/>
              </w:rPr>
            </w:pPr>
            <w:r w:rsidRPr="006C2F1C">
              <w:rPr>
                <w:rFonts w:ascii="Arial" w:eastAsia="Times New Roman" w:hAnsi="Arial" w:cs="Arial"/>
                <w:i/>
                <w:iCs/>
                <w:sz w:val="20"/>
                <w:szCs w:val="20"/>
                <w:lang w:eastAsia="en-GB"/>
              </w:rPr>
              <w:t>(N=48)</w:t>
            </w:r>
          </w:p>
        </w:tc>
      </w:tr>
      <w:tr w:rsidR="006C2F1C" w:rsidRPr="006C2F1C" w14:paraId="7CAF79B0" w14:textId="77777777" w:rsidTr="006928BB">
        <w:trPr>
          <w:trHeight w:val="289"/>
        </w:trPr>
        <w:tc>
          <w:tcPr>
            <w:tcW w:w="2260" w:type="dxa"/>
            <w:tcBorders>
              <w:top w:val="nil"/>
              <w:left w:val="nil"/>
              <w:bottom w:val="nil"/>
              <w:right w:val="nil"/>
            </w:tcBorders>
            <w:shd w:val="clear" w:color="000000" w:fill="FFFFFF"/>
            <w:noWrap/>
            <w:vAlign w:val="center"/>
            <w:hideMark/>
          </w:tcPr>
          <w:p w14:paraId="20451E3F" w14:textId="77777777" w:rsidR="00130E1E" w:rsidRPr="006C2F1C" w:rsidRDefault="00130E1E" w:rsidP="006928BB">
            <w:pPr>
              <w:spacing w:after="0" w:line="240" w:lineRule="auto"/>
              <w:rPr>
                <w:rFonts w:ascii="Arial" w:eastAsia="Times New Roman" w:hAnsi="Arial" w:cs="Arial"/>
                <w:b/>
                <w:bCs/>
                <w:sz w:val="20"/>
                <w:szCs w:val="20"/>
                <w:lang w:eastAsia="en-GB"/>
              </w:rPr>
            </w:pPr>
            <w:r w:rsidRPr="006C2F1C">
              <w:rPr>
                <w:rFonts w:ascii="Arial" w:eastAsia="Times New Roman" w:hAnsi="Arial" w:cs="Arial"/>
                <w:b/>
                <w:bCs/>
                <w:sz w:val="20"/>
                <w:szCs w:val="20"/>
                <w:lang w:eastAsia="en-GB"/>
              </w:rPr>
              <w:t>Age at enrolment</w:t>
            </w:r>
          </w:p>
        </w:tc>
        <w:tc>
          <w:tcPr>
            <w:tcW w:w="1463" w:type="dxa"/>
            <w:tcBorders>
              <w:top w:val="nil"/>
              <w:left w:val="nil"/>
              <w:bottom w:val="nil"/>
              <w:right w:val="nil"/>
            </w:tcBorders>
            <w:shd w:val="clear" w:color="000000" w:fill="FFFFFF"/>
            <w:noWrap/>
            <w:vAlign w:val="center"/>
            <w:hideMark/>
          </w:tcPr>
          <w:p w14:paraId="16A6113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1791" w:type="dxa"/>
            <w:tcBorders>
              <w:top w:val="nil"/>
              <w:left w:val="nil"/>
              <w:bottom w:val="nil"/>
              <w:right w:val="nil"/>
            </w:tcBorders>
            <w:shd w:val="clear" w:color="000000" w:fill="FFFFFF"/>
            <w:noWrap/>
            <w:vAlign w:val="center"/>
            <w:hideMark/>
          </w:tcPr>
          <w:p w14:paraId="7BEF679F"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24" w:type="dxa"/>
            <w:tcBorders>
              <w:top w:val="nil"/>
              <w:left w:val="nil"/>
              <w:bottom w:val="nil"/>
              <w:right w:val="nil"/>
            </w:tcBorders>
            <w:shd w:val="clear" w:color="000000" w:fill="FFFFFF"/>
            <w:noWrap/>
            <w:vAlign w:val="center"/>
            <w:hideMark/>
          </w:tcPr>
          <w:p w14:paraId="2A6731E4"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34" w:type="dxa"/>
            <w:tcBorders>
              <w:top w:val="nil"/>
              <w:left w:val="nil"/>
              <w:bottom w:val="nil"/>
              <w:right w:val="nil"/>
            </w:tcBorders>
            <w:shd w:val="clear" w:color="000000" w:fill="FFFFFF"/>
            <w:noWrap/>
            <w:vAlign w:val="center"/>
            <w:hideMark/>
          </w:tcPr>
          <w:p w14:paraId="53F1C21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r>
      <w:tr w:rsidR="006C2F1C" w:rsidRPr="006C2F1C" w14:paraId="222ACD00" w14:textId="77777777" w:rsidTr="006928BB">
        <w:trPr>
          <w:trHeight w:val="289"/>
        </w:trPr>
        <w:tc>
          <w:tcPr>
            <w:tcW w:w="2260" w:type="dxa"/>
            <w:tcBorders>
              <w:top w:val="nil"/>
              <w:left w:val="nil"/>
              <w:bottom w:val="nil"/>
              <w:right w:val="nil"/>
            </w:tcBorders>
            <w:shd w:val="clear" w:color="000000" w:fill="FFFFFF"/>
            <w:noWrap/>
            <w:vAlign w:val="center"/>
            <w:hideMark/>
          </w:tcPr>
          <w:p w14:paraId="72DC61E0"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 xml:space="preserve">   Below 3 months</w:t>
            </w:r>
          </w:p>
        </w:tc>
        <w:tc>
          <w:tcPr>
            <w:tcW w:w="1463" w:type="dxa"/>
            <w:tcBorders>
              <w:top w:val="nil"/>
              <w:left w:val="nil"/>
              <w:bottom w:val="nil"/>
              <w:right w:val="nil"/>
            </w:tcBorders>
            <w:shd w:val="clear" w:color="000000" w:fill="FFFFFF"/>
            <w:noWrap/>
            <w:vAlign w:val="center"/>
            <w:hideMark/>
          </w:tcPr>
          <w:p w14:paraId="0BA3C1D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8 (14.3%)</w:t>
            </w:r>
          </w:p>
        </w:tc>
        <w:tc>
          <w:tcPr>
            <w:tcW w:w="1791" w:type="dxa"/>
            <w:tcBorders>
              <w:top w:val="nil"/>
              <w:left w:val="nil"/>
              <w:bottom w:val="nil"/>
              <w:right w:val="nil"/>
            </w:tcBorders>
            <w:shd w:val="clear" w:color="000000" w:fill="FFFFFF"/>
            <w:noWrap/>
            <w:vAlign w:val="center"/>
            <w:hideMark/>
          </w:tcPr>
          <w:p w14:paraId="24502B80"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13 (18.1%)</w:t>
            </w:r>
          </w:p>
        </w:tc>
        <w:tc>
          <w:tcPr>
            <w:tcW w:w="2424" w:type="dxa"/>
            <w:tcBorders>
              <w:top w:val="nil"/>
              <w:left w:val="nil"/>
              <w:bottom w:val="nil"/>
              <w:right w:val="nil"/>
            </w:tcBorders>
            <w:shd w:val="clear" w:color="000000" w:fill="FFFFFF"/>
            <w:noWrap/>
            <w:vAlign w:val="center"/>
            <w:hideMark/>
          </w:tcPr>
          <w:p w14:paraId="32A1918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46 (50.0%)</w:t>
            </w:r>
          </w:p>
        </w:tc>
        <w:tc>
          <w:tcPr>
            <w:tcW w:w="2434" w:type="dxa"/>
            <w:tcBorders>
              <w:top w:val="nil"/>
              <w:left w:val="nil"/>
              <w:bottom w:val="nil"/>
              <w:right w:val="nil"/>
            </w:tcBorders>
            <w:shd w:val="clear" w:color="000000" w:fill="FFFFFF"/>
            <w:noWrap/>
            <w:vAlign w:val="center"/>
            <w:hideMark/>
          </w:tcPr>
          <w:p w14:paraId="7B590BE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43 (89.6%)</w:t>
            </w:r>
          </w:p>
        </w:tc>
      </w:tr>
      <w:tr w:rsidR="006C2F1C" w:rsidRPr="006C2F1C" w14:paraId="4058B8C9" w14:textId="77777777" w:rsidTr="006928BB">
        <w:trPr>
          <w:trHeight w:val="289"/>
        </w:trPr>
        <w:tc>
          <w:tcPr>
            <w:tcW w:w="2260" w:type="dxa"/>
            <w:tcBorders>
              <w:top w:val="nil"/>
              <w:left w:val="nil"/>
              <w:bottom w:val="nil"/>
              <w:right w:val="nil"/>
            </w:tcBorders>
            <w:shd w:val="clear" w:color="000000" w:fill="FFFFFF"/>
            <w:noWrap/>
            <w:vAlign w:val="center"/>
            <w:hideMark/>
          </w:tcPr>
          <w:p w14:paraId="5F074D71"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 xml:space="preserve">   3 to &lt; 6 months</w:t>
            </w:r>
          </w:p>
        </w:tc>
        <w:tc>
          <w:tcPr>
            <w:tcW w:w="1463" w:type="dxa"/>
            <w:tcBorders>
              <w:top w:val="nil"/>
              <w:left w:val="nil"/>
              <w:bottom w:val="nil"/>
              <w:right w:val="nil"/>
            </w:tcBorders>
            <w:shd w:val="clear" w:color="000000" w:fill="FFFFFF"/>
            <w:noWrap/>
            <w:vAlign w:val="center"/>
            <w:hideMark/>
          </w:tcPr>
          <w:p w14:paraId="3632DD17"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18 (32.1%)</w:t>
            </w:r>
          </w:p>
        </w:tc>
        <w:tc>
          <w:tcPr>
            <w:tcW w:w="1791" w:type="dxa"/>
            <w:tcBorders>
              <w:top w:val="nil"/>
              <w:left w:val="nil"/>
              <w:bottom w:val="nil"/>
              <w:right w:val="nil"/>
            </w:tcBorders>
            <w:shd w:val="clear" w:color="000000" w:fill="FFFFFF"/>
            <w:noWrap/>
            <w:vAlign w:val="center"/>
            <w:hideMark/>
          </w:tcPr>
          <w:p w14:paraId="58588A8E"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16 (22.2%)</w:t>
            </w:r>
          </w:p>
        </w:tc>
        <w:tc>
          <w:tcPr>
            <w:tcW w:w="2424" w:type="dxa"/>
            <w:tcBorders>
              <w:top w:val="nil"/>
              <w:left w:val="nil"/>
              <w:bottom w:val="nil"/>
              <w:right w:val="nil"/>
            </w:tcBorders>
            <w:shd w:val="clear" w:color="000000" w:fill="FFFFFF"/>
            <w:noWrap/>
            <w:vAlign w:val="center"/>
            <w:hideMark/>
          </w:tcPr>
          <w:p w14:paraId="57C84333"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25 (27.2%)</w:t>
            </w:r>
          </w:p>
        </w:tc>
        <w:tc>
          <w:tcPr>
            <w:tcW w:w="2434" w:type="dxa"/>
            <w:tcBorders>
              <w:top w:val="nil"/>
              <w:left w:val="nil"/>
              <w:bottom w:val="nil"/>
              <w:right w:val="nil"/>
            </w:tcBorders>
            <w:shd w:val="clear" w:color="000000" w:fill="FFFFFF"/>
            <w:noWrap/>
            <w:vAlign w:val="center"/>
            <w:hideMark/>
          </w:tcPr>
          <w:p w14:paraId="38C6DEA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 (6.3%)</w:t>
            </w:r>
          </w:p>
        </w:tc>
      </w:tr>
      <w:tr w:rsidR="006C2F1C" w:rsidRPr="006C2F1C" w14:paraId="76AF7294" w14:textId="77777777" w:rsidTr="006928BB">
        <w:trPr>
          <w:trHeight w:val="289"/>
        </w:trPr>
        <w:tc>
          <w:tcPr>
            <w:tcW w:w="2260" w:type="dxa"/>
            <w:tcBorders>
              <w:top w:val="nil"/>
              <w:left w:val="nil"/>
              <w:bottom w:val="nil"/>
              <w:right w:val="nil"/>
            </w:tcBorders>
            <w:shd w:val="clear" w:color="000000" w:fill="FFFFFF"/>
            <w:noWrap/>
            <w:vAlign w:val="center"/>
            <w:hideMark/>
          </w:tcPr>
          <w:p w14:paraId="26B5C41F"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 xml:space="preserve">   6 to 12 months</w:t>
            </w:r>
          </w:p>
        </w:tc>
        <w:tc>
          <w:tcPr>
            <w:tcW w:w="1463" w:type="dxa"/>
            <w:tcBorders>
              <w:top w:val="nil"/>
              <w:left w:val="nil"/>
              <w:bottom w:val="nil"/>
              <w:right w:val="nil"/>
            </w:tcBorders>
            <w:shd w:val="clear" w:color="000000" w:fill="FFFFFF"/>
            <w:noWrap/>
            <w:vAlign w:val="center"/>
            <w:hideMark/>
          </w:tcPr>
          <w:p w14:paraId="2631AF9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30 (53.6%)</w:t>
            </w:r>
          </w:p>
        </w:tc>
        <w:tc>
          <w:tcPr>
            <w:tcW w:w="1791" w:type="dxa"/>
            <w:tcBorders>
              <w:top w:val="nil"/>
              <w:left w:val="nil"/>
              <w:bottom w:val="nil"/>
              <w:right w:val="nil"/>
            </w:tcBorders>
            <w:shd w:val="clear" w:color="000000" w:fill="FFFFFF"/>
            <w:noWrap/>
            <w:vAlign w:val="center"/>
            <w:hideMark/>
          </w:tcPr>
          <w:p w14:paraId="5B29A432"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43 (59.7%)</w:t>
            </w:r>
          </w:p>
        </w:tc>
        <w:tc>
          <w:tcPr>
            <w:tcW w:w="2424" w:type="dxa"/>
            <w:tcBorders>
              <w:top w:val="nil"/>
              <w:left w:val="nil"/>
              <w:bottom w:val="nil"/>
              <w:right w:val="nil"/>
            </w:tcBorders>
            <w:shd w:val="clear" w:color="000000" w:fill="FFFFFF"/>
            <w:noWrap/>
            <w:vAlign w:val="center"/>
            <w:hideMark/>
          </w:tcPr>
          <w:p w14:paraId="678CED6D"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21 (22.8%)</w:t>
            </w:r>
          </w:p>
        </w:tc>
        <w:tc>
          <w:tcPr>
            <w:tcW w:w="2434" w:type="dxa"/>
            <w:tcBorders>
              <w:top w:val="nil"/>
              <w:left w:val="nil"/>
              <w:bottom w:val="nil"/>
              <w:right w:val="nil"/>
            </w:tcBorders>
            <w:shd w:val="clear" w:color="000000" w:fill="FFFFFF"/>
            <w:noWrap/>
            <w:vAlign w:val="center"/>
            <w:hideMark/>
          </w:tcPr>
          <w:p w14:paraId="247D5194"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 (4.2%)</w:t>
            </w:r>
          </w:p>
        </w:tc>
      </w:tr>
      <w:tr w:rsidR="006C2F1C" w:rsidRPr="006C2F1C" w14:paraId="5237C25D" w14:textId="77777777" w:rsidTr="006928BB">
        <w:trPr>
          <w:trHeight w:val="289"/>
        </w:trPr>
        <w:tc>
          <w:tcPr>
            <w:tcW w:w="2260" w:type="dxa"/>
            <w:tcBorders>
              <w:top w:val="nil"/>
              <w:left w:val="nil"/>
              <w:bottom w:val="nil"/>
              <w:right w:val="nil"/>
            </w:tcBorders>
            <w:shd w:val="clear" w:color="000000" w:fill="FFFFFF"/>
            <w:noWrap/>
            <w:vAlign w:val="center"/>
            <w:hideMark/>
          </w:tcPr>
          <w:p w14:paraId="43CB9379" w14:textId="77777777" w:rsidR="00130E1E" w:rsidRPr="006C2F1C" w:rsidRDefault="00130E1E" w:rsidP="006928BB">
            <w:pPr>
              <w:spacing w:after="0" w:line="240" w:lineRule="auto"/>
              <w:rPr>
                <w:rFonts w:ascii="Arial" w:eastAsia="Times New Roman" w:hAnsi="Arial" w:cs="Arial"/>
                <w:b/>
                <w:bCs/>
                <w:sz w:val="20"/>
                <w:szCs w:val="20"/>
                <w:lang w:eastAsia="en-GB"/>
              </w:rPr>
            </w:pPr>
            <w:r w:rsidRPr="006C2F1C">
              <w:rPr>
                <w:rFonts w:ascii="Arial" w:eastAsia="Times New Roman" w:hAnsi="Arial" w:cs="Arial"/>
                <w:b/>
                <w:bCs/>
                <w:sz w:val="20"/>
                <w:szCs w:val="20"/>
                <w:lang w:eastAsia="en-GB"/>
              </w:rPr>
              <w:t>Sex</w:t>
            </w:r>
          </w:p>
        </w:tc>
        <w:tc>
          <w:tcPr>
            <w:tcW w:w="1463" w:type="dxa"/>
            <w:tcBorders>
              <w:top w:val="nil"/>
              <w:left w:val="nil"/>
              <w:bottom w:val="nil"/>
              <w:right w:val="nil"/>
            </w:tcBorders>
            <w:shd w:val="clear" w:color="000000" w:fill="FFFFFF"/>
            <w:noWrap/>
            <w:vAlign w:val="center"/>
            <w:hideMark/>
          </w:tcPr>
          <w:p w14:paraId="73E55E9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1791" w:type="dxa"/>
            <w:tcBorders>
              <w:top w:val="nil"/>
              <w:left w:val="nil"/>
              <w:bottom w:val="nil"/>
              <w:right w:val="nil"/>
            </w:tcBorders>
            <w:shd w:val="clear" w:color="000000" w:fill="FFFFFF"/>
            <w:noWrap/>
            <w:vAlign w:val="center"/>
            <w:hideMark/>
          </w:tcPr>
          <w:p w14:paraId="416B0506"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24" w:type="dxa"/>
            <w:tcBorders>
              <w:top w:val="nil"/>
              <w:left w:val="nil"/>
              <w:bottom w:val="nil"/>
              <w:right w:val="nil"/>
            </w:tcBorders>
            <w:shd w:val="clear" w:color="000000" w:fill="FFFFFF"/>
            <w:noWrap/>
            <w:vAlign w:val="center"/>
            <w:hideMark/>
          </w:tcPr>
          <w:p w14:paraId="41AC9152"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34" w:type="dxa"/>
            <w:tcBorders>
              <w:top w:val="nil"/>
              <w:left w:val="nil"/>
              <w:bottom w:val="nil"/>
              <w:right w:val="nil"/>
            </w:tcBorders>
            <w:shd w:val="clear" w:color="000000" w:fill="FFFFFF"/>
            <w:noWrap/>
            <w:vAlign w:val="center"/>
            <w:hideMark/>
          </w:tcPr>
          <w:p w14:paraId="144FBDF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r>
      <w:tr w:rsidR="006C2F1C" w:rsidRPr="006C2F1C" w14:paraId="3D1EC7C3" w14:textId="77777777" w:rsidTr="006928BB">
        <w:trPr>
          <w:trHeight w:val="289"/>
        </w:trPr>
        <w:tc>
          <w:tcPr>
            <w:tcW w:w="2260" w:type="dxa"/>
            <w:tcBorders>
              <w:top w:val="nil"/>
              <w:left w:val="nil"/>
              <w:bottom w:val="nil"/>
              <w:right w:val="nil"/>
            </w:tcBorders>
            <w:shd w:val="clear" w:color="000000" w:fill="FFFFFF"/>
            <w:noWrap/>
            <w:vAlign w:val="center"/>
            <w:hideMark/>
          </w:tcPr>
          <w:p w14:paraId="40283982"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Female</w:t>
            </w:r>
          </w:p>
        </w:tc>
        <w:tc>
          <w:tcPr>
            <w:tcW w:w="1463" w:type="dxa"/>
            <w:tcBorders>
              <w:top w:val="nil"/>
              <w:left w:val="nil"/>
              <w:bottom w:val="nil"/>
              <w:right w:val="nil"/>
            </w:tcBorders>
            <w:shd w:val="clear" w:color="000000" w:fill="FFFFFF"/>
            <w:noWrap/>
            <w:vAlign w:val="center"/>
            <w:hideMark/>
          </w:tcPr>
          <w:p w14:paraId="62331441"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18 (32.1%)</w:t>
            </w:r>
          </w:p>
        </w:tc>
        <w:tc>
          <w:tcPr>
            <w:tcW w:w="1791" w:type="dxa"/>
            <w:tcBorders>
              <w:top w:val="nil"/>
              <w:left w:val="nil"/>
              <w:bottom w:val="nil"/>
              <w:right w:val="nil"/>
            </w:tcBorders>
            <w:shd w:val="clear" w:color="000000" w:fill="FFFFFF"/>
            <w:noWrap/>
            <w:vAlign w:val="center"/>
            <w:hideMark/>
          </w:tcPr>
          <w:p w14:paraId="5C9CEE42" w14:textId="49121C64"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36 (50%)</w:t>
            </w:r>
          </w:p>
        </w:tc>
        <w:tc>
          <w:tcPr>
            <w:tcW w:w="2424" w:type="dxa"/>
            <w:tcBorders>
              <w:top w:val="nil"/>
              <w:left w:val="nil"/>
              <w:bottom w:val="nil"/>
              <w:right w:val="nil"/>
            </w:tcBorders>
            <w:shd w:val="clear" w:color="000000" w:fill="FFFFFF"/>
            <w:noWrap/>
            <w:vAlign w:val="center"/>
            <w:hideMark/>
          </w:tcPr>
          <w:p w14:paraId="0B6D425B"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40 (43.5%)</w:t>
            </w:r>
          </w:p>
        </w:tc>
        <w:tc>
          <w:tcPr>
            <w:tcW w:w="2434" w:type="dxa"/>
            <w:tcBorders>
              <w:top w:val="nil"/>
              <w:left w:val="nil"/>
              <w:bottom w:val="nil"/>
              <w:right w:val="nil"/>
            </w:tcBorders>
            <w:shd w:val="clear" w:color="000000" w:fill="FFFFFF"/>
            <w:noWrap/>
            <w:vAlign w:val="center"/>
            <w:hideMark/>
          </w:tcPr>
          <w:p w14:paraId="79975181"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18 (37.5%)</w:t>
            </w:r>
          </w:p>
        </w:tc>
      </w:tr>
      <w:tr w:rsidR="006C2F1C" w:rsidRPr="006C2F1C" w14:paraId="52E61A8D" w14:textId="77777777" w:rsidTr="006928BB">
        <w:trPr>
          <w:trHeight w:val="289"/>
        </w:trPr>
        <w:tc>
          <w:tcPr>
            <w:tcW w:w="2260" w:type="dxa"/>
            <w:tcBorders>
              <w:top w:val="nil"/>
              <w:left w:val="nil"/>
              <w:bottom w:val="nil"/>
              <w:right w:val="nil"/>
            </w:tcBorders>
            <w:shd w:val="clear" w:color="000000" w:fill="FFFFFF"/>
            <w:noWrap/>
            <w:vAlign w:val="center"/>
            <w:hideMark/>
          </w:tcPr>
          <w:p w14:paraId="60E24E18"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Male</w:t>
            </w:r>
          </w:p>
        </w:tc>
        <w:tc>
          <w:tcPr>
            <w:tcW w:w="1463" w:type="dxa"/>
            <w:tcBorders>
              <w:top w:val="nil"/>
              <w:left w:val="nil"/>
              <w:bottom w:val="nil"/>
              <w:right w:val="nil"/>
            </w:tcBorders>
            <w:shd w:val="clear" w:color="000000" w:fill="FFFFFF"/>
            <w:noWrap/>
            <w:vAlign w:val="center"/>
            <w:hideMark/>
          </w:tcPr>
          <w:p w14:paraId="64DAC8C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38 (67.9%)</w:t>
            </w:r>
          </w:p>
        </w:tc>
        <w:tc>
          <w:tcPr>
            <w:tcW w:w="1791" w:type="dxa"/>
            <w:tcBorders>
              <w:top w:val="nil"/>
              <w:left w:val="nil"/>
              <w:bottom w:val="nil"/>
              <w:right w:val="nil"/>
            </w:tcBorders>
            <w:shd w:val="clear" w:color="000000" w:fill="FFFFFF"/>
            <w:noWrap/>
            <w:vAlign w:val="center"/>
            <w:hideMark/>
          </w:tcPr>
          <w:p w14:paraId="3855873C" w14:textId="56D81712"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36 (50%)</w:t>
            </w:r>
          </w:p>
        </w:tc>
        <w:tc>
          <w:tcPr>
            <w:tcW w:w="2424" w:type="dxa"/>
            <w:tcBorders>
              <w:top w:val="nil"/>
              <w:left w:val="nil"/>
              <w:bottom w:val="nil"/>
              <w:right w:val="nil"/>
            </w:tcBorders>
            <w:shd w:val="clear" w:color="000000" w:fill="FFFFFF"/>
            <w:noWrap/>
            <w:vAlign w:val="center"/>
            <w:hideMark/>
          </w:tcPr>
          <w:p w14:paraId="4431D5D3"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52 (56.5%)</w:t>
            </w:r>
          </w:p>
        </w:tc>
        <w:tc>
          <w:tcPr>
            <w:tcW w:w="2434" w:type="dxa"/>
            <w:tcBorders>
              <w:top w:val="nil"/>
              <w:left w:val="nil"/>
              <w:bottom w:val="nil"/>
              <w:right w:val="nil"/>
            </w:tcBorders>
            <w:shd w:val="clear" w:color="000000" w:fill="FFFFFF"/>
            <w:noWrap/>
            <w:vAlign w:val="center"/>
            <w:hideMark/>
          </w:tcPr>
          <w:p w14:paraId="46E4CF00"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30 (62.5%)</w:t>
            </w:r>
          </w:p>
        </w:tc>
      </w:tr>
      <w:tr w:rsidR="006C2F1C" w:rsidRPr="006C2F1C" w14:paraId="2A415582" w14:textId="77777777" w:rsidTr="006928BB">
        <w:trPr>
          <w:trHeight w:val="289"/>
        </w:trPr>
        <w:tc>
          <w:tcPr>
            <w:tcW w:w="2260" w:type="dxa"/>
            <w:tcBorders>
              <w:top w:val="nil"/>
              <w:left w:val="nil"/>
              <w:bottom w:val="nil"/>
              <w:right w:val="nil"/>
            </w:tcBorders>
            <w:shd w:val="clear" w:color="000000" w:fill="FFFFFF"/>
            <w:noWrap/>
            <w:vAlign w:val="center"/>
            <w:hideMark/>
          </w:tcPr>
          <w:p w14:paraId="60956E1C" w14:textId="77777777" w:rsidR="00130E1E" w:rsidRPr="006C2F1C" w:rsidRDefault="00130E1E" w:rsidP="006928BB">
            <w:pPr>
              <w:spacing w:after="0" w:line="240" w:lineRule="auto"/>
              <w:rPr>
                <w:rFonts w:ascii="Arial" w:eastAsia="Times New Roman" w:hAnsi="Arial" w:cs="Arial"/>
                <w:b/>
                <w:bCs/>
                <w:sz w:val="20"/>
                <w:szCs w:val="20"/>
                <w:lang w:eastAsia="en-GB"/>
              </w:rPr>
            </w:pPr>
            <w:r w:rsidRPr="006C2F1C">
              <w:rPr>
                <w:rFonts w:ascii="Arial" w:eastAsia="Times New Roman" w:hAnsi="Arial" w:cs="Arial"/>
                <w:b/>
                <w:bCs/>
                <w:sz w:val="20"/>
                <w:szCs w:val="20"/>
                <w:lang w:eastAsia="en-GB"/>
              </w:rPr>
              <w:t>Site</w:t>
            </w:r>
          </w:p>
        </w:tc>
        <w:tc>
          <w:tcPr>
            <w:tcW w:w="1463" w:type="dxa"/>
            <w:tcBorders>
              <w:top w:val="nil"/>
              <w:left w:val="nil"/>
              <w:bottom w:val="nil"/>
              <w:right w:val="nil"/>
            </w:tcBorders>
            <w:shd w:val="clear" w:color="000000" w:fill="FFFFFF"/>
            <w:noWrap/>
            <w:vAlign w:val="center"/>
            <w:hideMark/>
          </w:tcPr>
          <w:p w14:paraId="5FAE0EA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1791" w:type="dxa"/>
            <w:tcBorders>
              <w:top w:val="nil"/>
              <w:left w:val="nil"/>
              <w:bottom w:val="nil"/>
              <w:right w:val="nil"/>
            </w:tcBorders>
            <w:shd w:val="clear" w:color="000000" w:fill="FFFFFF"/>
            <w:noWrap/>
            <w:vAlign w:val="center"/>
            <w:hideMark/>
          </w:tcPr>
          <w:p w14:paraId="3375C8E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24" w:type="dxa"/>
            <w:tcBorders>
              <w:top w:val="nil"/>
              <w:left w:val="nil"/>
              <w:bottom w:val="nil"/>
              <w:right w:val="nil"/>
            </w:tcBorders>
            <w:shd w:val="clear" w:color="000000" w:fill="FFFFFF"/>
            <w:noWrap/>
            <w:vAlign w:val="center"/>
            <w:hideMark/>
          </w:tcPr>
          <w:p w14:paraId="48A93FC0"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34" w:type="dxa"/>
            <w:tcBorders>
              <w:top w:val="nil"/>
              <w:left w:val="nil"/>
              <w:bottom w:val="nil"/>
              <w:right w:val="nil"/>
            </w:tcBorders>
            <w:shd w:val="clear" w:color="000000" w:fill="FFFFFF"/>
            <w:noWrap/>
            <w:vAlign w:val="center"/>
            <w:hideMark/>
          </w:tcPr>
          <w:p w14:paraId="1FFF8FEE"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r>
      <w:tr w:rsidR="006C2F1C" w:rsidRPr="006C2F1C" w14:paraId="7E98B91A" w14:textId="77777777" w:rsidTr="006928BB">
        <w:trPr>
          <w:trHeight w:val="289"/>
        </w:trPr>
        <w:tc>
          <w:tcPr>
            <w:tcW w:w="2260" w:type="dxa"/>
            <w:tcBorders>
              <w:top w:val="nil"/>
              <w:left w:val="nil"/>
              <w:bottom w:val="nil"/>
              <w:right w:val="nil"/>
            </w:tcBorders>
            <w:shd w:val="clear" w:color="000000" w:fill="FFFFFF"/>
            <w:noWrap/>
            <w:vAlign w:val="center"/>
            <w:hideMark/>
          </w:tcPr>
          <w:p w14:paraId="277A30F9"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IMPERIAL</w:t>
            </w:r>
          </w:p>
        </w:tc>
        <w:tc>
          <w:tcPr>
            <w:tcW w:w="1463" w:type="dxa"/>
            <w:tcBorders>
              <w:top w:val="nil"/>
              <w:left w:val="nil"/>
              <w:bottom w:val="nil"/>
              <w:right w:val="nil"/>
            </w:tcBorders>
            <w:shd w:val="clear" w:color="000000" w:fill="FFFFFF"/>
            <w:noWrap/>
            <w:vAlign w:val="center"/>
            <w:hideMark/>
          </w:tcPr>
          <w:p w14:paraId="15B584A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 (7.1%)</w:t>
            </w:r>
          </w:p>
        </w:tc>
        <w:tc>
          <w:tcPr>
            <w:tcW w:w="1791" w:type="dxa"/>
            <w:tcBorders>
              <w:top w:val="nil"/>
              <w:left w:val="nil"/>
              <w:bottom w:val="nil"/>
              <w:right w:val="nil"/>
            </w:tcBorders>
            <w:shd w:val="clear" w:color="000000" w:fill="FFFFFF"/>
            <w:noWrap/>
            <w:vAlign w:val="center"/>
            <w:hideMark/>
          </w:tcPr>
          <w:p w14:paraId="6FAE6CA7"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 (2.8%)</w:t>
            </w:r>
          </w:p>
        </w:tc>
        <w:tc>
          <w:tcPr>
            <w:tcW w:w="2424" w:type="dxa"/>
            <w:tcBorders>
              <w:top w:val="nil"/>
              <w:left w:val="nil"/>
              <w:bottom w:val="nil"/>
              <w:right w:val="nil"/>
            </w:tcBorders>
            <w:shd w:val="clear" w:color="000000" w:fill="FFFFFF"/>
            <w:noWrap/>
            <w:vAlign w:val="center"/>
            <w:hideMark/>
          </w:tcPr>
          <w:p w14:paraId="118B4426"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c>
          <w:tcPr>
            <w:tcW w:w="2434" w:type="dxa"/>
            <w:tcBorders>
              <w:top w:val="nil"/>
              <w:left w:val="nil"/>
              <w:bottom w:val="nil"/>
              <w:right w:val="nil"/>
            </w:tcBorders>
            <w:shd w:val="clear" w:color="000000" w:fill="FFFFFF"/>
            <w:noWrap/>
            <w:vAlign w:val="center"/>
            <w:hideMark/>
          </w:tcPr>
          <w:p w14:paraId="26C2147D"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 (6.3%)</w:t>
            </w:r>
          </w:p>
        </w:tc>
      </w:tr>
      <w:tr w:rsidR="006C2F1C" w:rsidRPr="006C2F1C" w14:paraId="5C5F149A" w14:textId="77777777" w:rsidTr="006928BB">
        <w:trPr>
          <w:trHeight w:val="289"/>
        </w:trPr>
        <w:tc>
          <w:tcPr>
            <w:tcW w:w="2260" w:type="dxa"/>
            <w:tcBorders>
              <w:top w:val="nil"/>
              <w:left w:val="nil"/>
              <w:bottom w:val="nil"/>
              <w:right w:val="nil"/>
            </w:tcBorders>
            <w:shd w:val="clear" w:color="000000" w:fill="FFFFFF"/>
            <w:noWrap/>
            <w:vAlign w:val="center"/>
            <w:hideMark/>
          </w:tcPr>
          <w:p w14:paraId="44021567"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OXFORD</w:t>
            </w:r>
          </w:p>
        </w:tc>
        <w:tc>
          <w:tcPr>
            <w:tcW w:w="1463" w:type="dxa"/>
            <w:tcBorders>
              <w:top w:val="nil"/>
              <w:left w:val="nil"/>
              <w:bottom w:val="nil"/>
              <w:right w:val="nil"/>
            </w:tcBorders>
            <w:shd w:val="clear" w:color="000000" w:fill="FFFFFF"/>
            <w:noWrap/>
            <w:vAlign w:val="center"/>
            <w:hideMark/>
          </w:tcPr>
          <w:p w14:paraId="1EFBED1B"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25 (44.6%)</w:t>
            </w:r>
          </w:p>
        </w:tc>
        <w:tc>
          <w:tcPr>
            <w:tcW w:w="1791" w:type="dxa"/>
            <w:tcBorders>
              <w:top w:val="nil"/>
              <w:left w:val="nil"/>
              <w:bottom w:val="nil"/>
              <w:right w:val="nil"/>
            </w:tcBorders>
            <w:shd w:val="clear" w:color="000000" w:fill="FFFFFF"/>
            <w:noWrap/>
            <w:vAlign w:val="center"/>
            <w:hideMark/>
          </w:tcPr>
          <w:p w14:paraId="41C3F2B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23 (31.9%)</w:t>
            </w:r>
          </w:p>
        </w:tc>
        <w:tc>
          <w:tcPr>
            <w:tcW w:w="2424" w:type="dxa"/>
            <w:tcBorders>
              <w:top w:val="nil"/>
              <w:left w:val="nil"/>
              <w:bottom w:val="nil"/>
              <w:right w:val="nil"/>
            </w:tcBorders>
            <w:shd w:val="clear" w:color="000000" w:fill="FFFFFF"/>
            <w:noWrap/>
            <w:vAlign w:val="center"/>
            <w:hideMark/>
          </w:tcPr>
          <w:p w14:paraId="1543EC8B"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57 (62.0%)</w:t>
            </w:r>
          </w:p>
        </w:tc>
        <w:tc>
          <w:tcPr>
            <w:tcW w:w="2434" w:type="dxa"/>
            <w:tcBorders>
              <w:top w:val="nil"/>
              <w:left w:val="nil"/>
              <w:bottom w:val="nil"/>
              <w:right w:val="nil"/>
            </w:tcBorders>
            <w:shd w:val="clear" w:color="000000" w:fill="FFFFFF"/>
            <w:noWrap/>
            <w:vAlign w:val="center"/>
            <w:hideMark/>
          </w:tcPr>
          <w:p w14:paraId="69D6469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 (6.3%)</w:t>
            </w:r>
          </w:p>
        </w:tc>
      </w:tr>
      <w:tr w:rsidR="006C2F1C" w:rsidRPr="006C2F1C" w14:paraId="24B1EFCB" w14:textId="77777777" w:rsidTr="006928BB">
        <w:trPr>
          <w:trHeight w:val="289"/>
        </w:trPr>
        <w:tc>
          <w:tcPr>
            <w:tcW w:w="2260" w:type="dxa"/>
            <w:tcBorders>
              <w:top w:val="nil"/>
              <w:left w:val="nil"/>
              <w:bottom w:val="nil"/>
              <w:right w:val="nil"/>
            </w:tcBorders>
            <w:shd w:val="clear" w:color="000000" w:fill="FFFFFF"/>
            <w:noWrap/>
            <w:vAlign w:val="center"/>
            <w:hideMark/>
          </w:tcPr>
          <w:p w14:paraId="46A63A8D"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UMCU</w:t>
            </w:r>
          </w:p>
        </w:tc>
        <w:tc>
          <w:tcPr>
            <w:tcW w:w="1463" w:type="dxa"/>
            <w:tcBorders>
              <w:top w:val="nil"/>
              <w:left w:val="nil"/>
              <w:bottom w:val="nil"/>
              <w:right w:val="nil"/>
            </w:tcBorders>
            <w:shd w:val="clear" w:color="000000" w:fill="FFFFFF"/>
            <w:noWrap/>
            <w:vAlign w:val="center"/>
            <w:hideMark/>
          </w:tcPr>
          <w:p w14:paraId="72210E8F"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27 (48.2%)</w:t>
            </w:r>
          </w:p>
        </w:tc>
        <w:tc>
          <w:tcPr>
            <w:tcW w:w="1791" w:type="dxa"/>
            <w:tcBorders>
              <w:top w:val="nil"/>
              <w:left w:val="nil"/>
              <w:bottom w:val="nil"/>
              <w:right w:val="nil"/>
            </w:tcBorders>
            <w:shd w:val="clear" w:color="000000" w:fill="FFFFFF"/>
            <w:noWrap/>
            <w:vAlign w:val="center"/>
            <w:hideMark/>
          </w:tcPr>
          <w:p w14:paraId="79386DE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39 (54.2%)</w:t>
            </w:r>
          </w:p>
        </w:tc>
        <w:tc>
          <w:tcPr>
            <w:tcW w:w="2424" w:type="dxa"/>
            <w:tcBorders>
              <w:top w:val="nil"/>
              <w:left w:val="nil"/>
              <w:bottom w:val="nil"/>
              <w:right w:val="nil"/>
            </w:tcBorders>
            <w:shd w:val="clear" w:color="000000" w:fill="FFFFFF"/>
            <w:noWrap/>
            <w:vAlign w:val="center"/>
            <w:hideMark/>
          </w:tcPr>
          <w:p w14:paraId="04DCE467"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25 (27.2%)</w:t>
            </w:r>
          </w:p>
        </w:tc>
        <w:tc>
          <w:tcPr>
            <w:tcW w:w="2434" w:type="dxa"/>
            <w:tcBorders>
              <w:top w:val="nil"/>
              <w:left w:val="nil"/>
              <w:bottom w:val="nil"/>
              <w:right w:val="nil"/>
            </w:tcBorders>
            <w:shd w:val="clear" w:color="000000" w:fill="FFFFFF"/>
            <w:noWrap/>
            <w:vAlign w:val="center"/>
            <w:hideMark/>
          </w:tcPr>
          <w:p w14:paraId="293300C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38 (79.2%)</w:t>
            </w:r>
          </w:p>
        </w:tc>
      </w:tr>
      <w:tr w:rsidR="006C2F1C" w:rsidRPr="006C2F1C" w14:paraId="48EA02C8" w14:textId="77777777" w:rsidTr="006928BB">
        <w:trPr>
          <w:trHeight w:val="289"/>
        </w:trPr>
        <w:tc>
          <w:tcPr>
            <w:tcW w:w="2260" w:type="dxa"/>
            <w:tcBorders>
              <w:top w:val="nil"/>
              <w:left w:val="nil"/>
              <w:bottom w:val="nil"/>
              <w:right w:val="nil"/>
            </w:tcBorders>
            <w:shd w:val="clear" w:color="000000" w:fill="FFFFFF"/>
            <w:noWrap/>
            <w:vAlign w:val="center"/>
            <w:hideMark/>
          </w:tcPr>
          <w:p w14:paraId="5949113E"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SERGAS</w:t>
            </w:r>
          </w:p>
        </w:tc>
        <w:tc>
          <w:tcPr>
            <w:tcW w:w="1463" w:type="dxa"/>
            <w:tcBorders>
              <w:top w:val="nil"/>
              <w:left w:val="nil"/>
              <w:bottom w:val="nil"/>
              <w:right w:val="nil"/>
            </w:tcBorders>
            <w:shd w:val="clear" w:color="000000" w:fill="FFFFFF"/>
            <w:noWrap/>
            <w:vAlign w:val="center"/>
            <w:hideMark/>
          </w:tcPr>
          <w:p w14:paraId="632750D6"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c>
          <w:tcPr>
            <w:tcW w:w="1791" w:type="dxa"/>
            <w:tcBorders>
              <w:top w:val="nil"/>
              <w:left w:val="nil"/>
              <w:bottom w:val="nil"/>
              <w:right w:val="nil"/>
            </w:tcBorders>
            <w:shd w:val="clear" w:color="000000" w:fill="FFFFFF"/>
            <w:noWrap/>
            <w:vAlign w:val="center"/>
            <w:hideMark/>
          </w:tcPr>
          <w:p w14:paraId="76550F5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8 (11.1%)</w:t>
            </w:r>
          </w:p>
        </w:tc>
        <w:tc>
          <w:tcPr>
            <w:tcW w:w="2424" w:type="dxa"/>
            <w:tcBorders>
              <w:top w:val="nil"/>
              <w:left w:val="nil"/>
              <w:bottom w:val="nil"/>
              <w:right w:val="nil"/>
            </w:tcBorders>
            <w:shd w:val="clear" w:color="000000" w:fill="FFFFFF"/>
            <w:noWrap/>
            <w:vAlign w:val="center"/>
            <w:hideMark/>
          </w:tcPr>
          <w:p w14:paraId="383B32A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10 (10.9%)</w:t>
            </w:r>
          </w:p>
        </w:tc>
        <w:tc>
          <w:tcPr>
            <w:tcW w:w="2434" w:type="dxa"/>
            <w:tcBorders>
              <w:top w:val="nil"/>
              <w:left w:val="nil"/>
              <w:bottom w:val="nil"/>
              <w:right w:val="nil"/>
            </w:tcBorders>
            <w:shd w:val="clear" w:color="000000" w:fill="FFFFFF"/>
            <w:noWrap/>
            <w:vAlign w:val="center"/>
            <w:hideMark/>
          </w:tcPr>
          <w:p w14:paraId="5213492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 (8.3%)</w:t>
            </w:r>
          </w:p>
        </w:tc>
      </w:tr>
      <w:tr w:rsidR="006C2F1C" w:rsidRPr="006C2F1C" w14:paraId="27EEDBC9" w14:textId="77777777" w:rsidTr="006928BB">
        <w:trPr>
          <w:trHeight w:val="289"/>
        </w:trPr>
        <w:tc>
          <w:tcPr>
            <w:tcW w:w="2260" w:type="dxa"/>
            <w:tcBorders>
              <w:top w:val="nil"/>
              <w:left w:val="nil"/>
              <w:bottom w:val="nil"/>
              <w:right w:val="nil"/>
            </w:tcBorders>
            <w:shd w:val="clear" w:color="000000" w:fill="FFFFFF"/>
            <w:noWrap/>
            <w:vAlign w:val="center"/>
            <w:hideMark/>
          </w:tcPr>
          <w:p w14:paraId="5479938A" w14:textId="77777777" w:rsidR="00130E1E" w:rsidRPr="006C2F1C" w:rsidRDefault="00130E1E" w:rsidP="006928BB">
            <w:pPr>
              <w:spacing w:after="0" w:line="240" w:lineRule="auto"/>
              <w:rPr>
                <w:rFonts w:ascii="Arial" w:eastAsia="Times New Roman" w:hAnsi="Arial" w:cs="Arial"/>
                <w:b/>
                <w:bCs/>
                <w:sz w:val="20"/>
                <w:szCs w:val="20"/>
                <w:lang w:eastAsia="en-GB"/>
              </w:rPr>
            </w:pPr>
            <w:proofErr w:type="spellStart"/>
            <w:r w:rsidRPr="006C2F1C">
              <w:rPr>
                <w:rFonts w:ascii="Arial" w:eastAsia="Times New Roman" w:hAnsi="Arial" w:cs="Arial"/>
                <w:b/>
                <w:bCs/>
                <w:sz w:val="20"/>
                <w:szCs w:val="20"/>
                <w:lang w:eastAsia="en-GB"/>
              </w:rPr>
              <w:t>ReSVinet</w:t>
            </w:r>
            <w:proofErr w:type="spellEnd"/>
            <w:r w:rsidRPr="006C2F1C">
              <w:rPr>
                <w:rFonts w:ascii="Arial" w:eastAsia="Times New Roman" w:hAnsi="Arial" w:cs="Arial"/>
                <w:b/>
                <w:bCs/>
                <w:sz w:val="20"/>
                <w:szCs w:val="20"/>
                <w:lang w:eastAsia="en-GB"/>
              </w:rPr>
              <w:t xml:space="preserve"> score</w:t>
            </w:r>
          </w:p>
        </w:tc>
        <w:tc>
          <w:tcPr>
            <w:tcW w:w="1463" w:type="dxa"/>
            <w:tcBorders>
              <w:top w:val="nil"/>
              <w:left w:val="nil"/>
              <w:bottom w:val="nil"/>
              <w:right w:val="nil"/>
            </w:tcBorders>
            <w:shd w:val="clear" w:color="000000" w:fill="FFFFFF"/>
            <w:noWrap/>
            <w:vAlign w:val="center"/>
            <w:hideMark/>
          </w:tcPr>
          <w:p w14:paraId="571DE9A7"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1791" w:type="dxa"/>
            <w:tcBorders>
              <w:top w:val="nil"/>
              <w:left w:val="nil"/>
              <w:bottom w:val="nil"/>
              <w:right w:val="nil"/>
            </w:tcBorders>
            <w:shd w:val="clear" w:color="000000" w:fill="FFFFFF"/>
            <w:noWrap/>
            <w:vAlign w:val="center"/>
            <w:hideMark/>
          </w:tcPr>
          <w:p w14:paraId="31998150"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24" w:type="dxa"/>
            <w:tcBorders>
              <w:top w:val="nil"/>
              <w:left w:val="nil"/>
              <w:bottom w:val="nil"/>
              <w:right w:val="nil"/>
            </w:tcBorders>
            <w:shd w:val="clear" w:color="000000" w:fill="FFFFFF"/>
            <w:noWrap/>
            <w:vAlign w:val="center"/>
            <w:hideMark/>
          </w:tcPr>
          <w:p w14:paraId="6902A523"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34" w:type="dxa"/>
            <w:tcBorders>
              <w:top w:val="nil"/>
              <w:left w:val="nil"/>
              <w:bottom w:val="nil"/>
              <w:right w:val="nil"/>
            </w:tcBorders>
            <w:shd w:val="clear" w:color="000000" w:fill="FFFFFF"/>
            <w:noWrap/>
            <w:vAlign w:val="center"/>
            <w:hideMark/>
          </w:tcPr>
          <w:p w14:paraId="25863012"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r>
      <w:tr w:rsidR="006C2F1C" w:rsidRPr="006C2F1C" w14:paraId="73A1646B" w14:textId="77777777" w:rsidTr="006928BB">
        <w:trPr>
          <w:trHeight w:val="289"/>
        </w:trPr>
        <w:tc>
          <w:tcPr>
            <w:tcW w:w="2260" w:type="dxa"/>
            <w:tcBorders>
              <w:top w:val="nil"/>
              <w:left w:val="nil"/>
              <w:bottom w:val="nil"/>
              <w:right w:val="nil"/>
            </w:tcBorders>
            <w:shd w:val="clear" w:color="000000" w:fill="FFFFFF"/>
            <w:noWrap/>
            <w:vAlign w:val="center"/>
            <w:hideMark/>
          </w:tcPr>
          <w:p w14:paraId="11727F2C"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Mean (SD)</w:t>
            </w:r>
          </w:p>
        </w:tc>
        <w:tc>
          <w:tcPr>
            <w:tcW w:w="1463" w:type="dxa"/>
            <w:tcBorders>
              <w:top w:val="nil"/>
              <w:left w:val="nil"/>
              <w:bottom w:val="nil"/>
              <w:right w:val="nil"/>
            </w:tcBorders>
            <w:shd w:val="clear" w:color="000000" w:fill="FFFFFF"/>
            <w:noWrap/>
            <w:vAlign w:val="center"/>
            <w:hideMark/>
          </w:tcPr>
          <w:p w14:paraId="70856398" w14:textId="3AF9F936" w:rsidR="00130E1E" w:rsidRPr="006C2F1C" w:rsidRDefault="00BF6E0A"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484AA94B" w14:textId="22DA6722"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3.73 (2)</w:t>
            </w:r>
          </w:p>
        </w:tc>
        <w:tc>
          <w:tcPr>
            <w:tcW w:w="2424" w:type="dxa"/>
            <w:tcBorders>
              <w:top w:val="nil"/>
              <w:left w:val="nil"/>
              <w:bottom w:val="nil"/>
              <w:right w:val="nil"/>
            </w:tcBorders>
            <w:shd w:val="clear" w:color="000000" w:fill="FFFFFF"/>
            <w:noWrap/>
            <w:vAlign w:val="center"/>
            <w:hideMark/>
          </w:tcPr>
          <w:p w14:paraId="734D6B73"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8.93 (2.96)</w:t>
            </w:r>
          </w:p>
        </w:tc>
        <w:tc>
          <w:tcPr>
            <w:tcW w:w="2434" w:type="dxa"/>
            <w:tcBorders>
              <w:top w:val="nil"/>
              <w:left w:val="nil"/>
              <w:bottom w:val="nil"/>
              <w:right w:val="nil"/>
            </w:tcBorders>
            <w:shd w:val="clear" w:color="000000" w:fill="FFFFFF"/>
            <w:noWrap/>
            <w:vAlign w:val="center"/>
            <w:hideMark/>
          </w:tcPr>
          <w:p w14:paraId="7C20065F"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13.9 (3.25)</w:t>
            </w:r>
          </w:p>
        </w:tc>
      </w:tr>
      <w:tr w:rsidR="006C2F1C" w:rsidRPr="006C2F1C" w14:paraId="4E96316B" w14:textId="77777777" w:rsidTr="006928BB">
        <w:trPr>
          <w:trHeight w:val="289"/>
        </w:trPr>
        <w:tc>
          <w:tcPr>
            <w:tcW w:w="2260" w:type="dxa"/>
            <w:tcBorders>
              <w:top w:val="nil"/>
              <w:left w:val="nil"/>
              <w:bottom w:val="nil"/>
              <w:right w:val="nil"/>
            </w:tcBorders>
            <w:shd w:val="clear" w:color="000000" w:fill="FFFFFF"/>
            <w:noWrap/>
            <w:vAlign w:val="center"/>
            <w:hideMark/>
          </w:tcPr>
          <w:p w14:paraId="11964B18"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Median [Min, Max]</w:t>
            </w:r>
          </w:p>
        </w:tc>
        <w:tc>
          <w:tcPr>
            <w:tcW w:w="1463" w:type="dxa"/>
            <w:tcBorders>
              <w:top w:val="nil"/>
              <w:left w:val="nil"/>
              <w:bottom w:val="nil"/>
              <w:right w:val="nil"/>
            </w:tcBorders>
            <w:shd w:val="clear" w:color="000000" w:fill="FFFFFF"/>
            <w:noWrap/>
            <w:vAlign w:val="center"/>
            <w:hideMark/>
          </w:tcPr>
          <w:p w14:paraId="4DCB92B0" w14:textId="2FB34703" w:rsidR="00130E1E" w:rsidRPr="006C2F1C" w:rsidRDefault="00BF6E0A"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15C741E8" w14:textId="309A75B6"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3.5 [0, 10]</w:t>
            </w:r>
          </w:p>
        </w:tc>
        <w:tc>
          <w:tcPr>
            <w:tcW w:w="2424" w:type="dxa"/>
            <w:tcBorders>
              <w:top w:val="nil"/>
              <w:left w:val="nil"/>
              <w:bottom w:val="nil"/>
              <w:right w:val="nil"/>
            </w:tcBorders>
            <w:shd w:val="clear" w:color="000000" w:fill="FFFFFF"/>
            <w:noWrap/>
            <w:vAlign w:val="center"/>
            <w:hideMark/>
          </w:tcPr>
          <w:p w14:paraId="18381E33" w14:textId="68E9157A"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9.00 [2, 15]</w:t>
            </w:r>
          </w:p>
        </w:tc>
        <w:tc>
          <w:tcPr>
            <w:tcW w:w="2434" w:type="dxa"/>
            <w:tcBorders>
              <w:top w:val="nil"/>
              <w:left w:val="nil"/>
              <w:bottom w:val="nil"/>
              <w:right w:val="nil"/>
            </w:tcBorders>
            <w:shd w:val="clear" w:color="000000" w:fill="FFFFFF"/>
            <w:noWrap/>
            <w:vAlign w:val="center"/>
            <w:hideMark/>
          </w:tcPr>
          <w:p w14:paraId="3BEB57DB" w14:textId="44C90030"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15 [6, 18]</w:t>
            </w:r>
          </w:p>
        </w:tc>
      </w:tr>
      <w:tr w:rsidR="006C2F1C" w:rsidRPr="006C2F1C" w14:paraId="314AED2A" w14:textId="77777777" w:rsidTr="006928BB">
        <w:trPr>
          <w:trHeight w:val="289"/>
        </w:trPr>
        <w:tc>
          <w:tcPr>
            <w:tcW w:w="2260" w:type="dxa"/>
            <w:tcBorders>
              <w:top w:val="nil"/>
              <w:left w:val="nil"/>
              <w:bottom w:val="nil"/>
              <w:right w:val="nil"/>
            </w:tcBorders>
            <w:shd w:val="clear" w:color="000000" w:fill="FFFFFF"/>
            <w:noWrap/>
            <w:vAlign w:val="center"/>
            <w:hideMark/>
          </w:tcPr>
          <w:p w14:paraId="72F2ACEF"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Missing</w:t>
            </w:r>
          </w:p>
        </w:tc>
        <w:tc>
          <w:tcPr>
            <w:tcW w:w="1463" w:type="dxa"/>
            <w:tcBorders>
              <w:top w:val="nil"/>
              <w:left w:val="nil"/>
              <w:bottom w:val="nil"/>
              <w:right w:val="nil"/>
            </w:tcBorders>
            <w:shd w:val="clear" w:color="000000" w:fill="FFFFFF"/>
            <w:noWrap/>
            <w:vAlign w:val="center"/>
            <w:hideMark/>
          </w:tcPr>
          <w:p w14:paraId="62E14F93" w14:textId="6E190415" w:rsidR="00130E1E" w:rsidRPr="006C2F1C" w:rsidRDefault="00BF6E0A"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78B692E4"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6 (8.3%)</w:t>
            </w:r>
          </w:p>
        </w:tc>
        <w:tc>
          <w:tcPr>
            <w:tcW w:w="2424" w:type="dxa"/>
            <w:tcBorders>
              <w:top w:val="nil"/>
              <w:left w:val="nil"/>
              <w:bottom w:val="nil"/>
              <w:right w:val="nil"/>
            </w:tcBorders>
            <w:shd w:val="clear" w:color="000000" w:fill="FFFFFF"/>
            <w:noWrap/>
            <w:vAlign w:val="center"/>
            <w:hideMark/>
          </w:tcPr>
          <w:p w14:paraId="0F2E2287"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c>
          <w:tcPr>
            <w:tcW w:w="2434" w:type="dxa"/>
            <w:tcBorders>
              <w:top w:val="nil"/>
              <w:left w:val="nil"/>
              <w:bottom w:val="nil"/>
              <w:right w:val="nil"/>
            </w:tcBorders>
            <w:shd w:val="clear" w:color="000000" w:fill="FFFFFF"/>
            <w:noWrap/>
            <w:vAlign w:val="center"/>
            <w:hideMark/>
          </w:tcPr>
          <w:p w14:paraId="77EF458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r>
      <w:tr w:rsidR="006C2F1C" w:rsidRPr="006C2F1C" w14:paraId="6DCBAC34" w14:textId="77777777" w:rsidTr="006928BB">
        <w:trPr>
          <w:trHeight w:val="289"/>
        </w:trPr>
        <w:tc>
          <w:tcPr>
            <w:tcW w:w="2260" w:type="dxa"/>
            <w:tcBorders>
              <w:top w:val="nil"/>
              <w:left w:val="nil"/>
              <w:bottom w:val="nil"/>
              <w:right w:val="nil"/>
            </w:tcBorders>
            <w:shd w:val="clear" w:color="000000" w:fill="FFFFFF"/>
            <w:noWrap/>
            <w:vAlign w:val="center"/>
            <w:hideMark/>
          </w:tcPr>
          <w:p w14:paraId="227922D3" w14:textId="77777777" w:rsidR="00130E1E" w:rsidRPr="006C2F1C" w:rsidRDefault="00130E1E" w:rsidP="006928BB">
            <w:pPr>
              <w:spacing w:after="0" w:line="240" w:lineRule="auto"/>
              <w:rPr>
                <w:rFonts w:ascii="Arial" w:eastAsia="Times New Roman" w:hAnsi="Arial" w:cs="Arial"/>
                <w:b/>
                <w:bCs/>
                <w:sz w:val="20"/>
                <w:szCs w:val="20"/>
                <w:lang w:eastAsia="en-GB"/>
              </w:rPr>
            </w:pPr>
            <w:r w:rsidRPr="006C2F1C">
              <w:rPr>
                <w:rFonts w:ascii="Arial" w:eastAsia="Times New Roman" w:hAnsi="Arial" w:cs="Arial"/>
                <w:b/>
                <w:bCs/>
                <w:sz w:val="20"/>
                <w:szCs w:val="20"/>
                <w:lang w:eastAsia="en-GB"/>
              </w:rPr>
              <w:t>Respiratory support</w:t>
            </w:r>
          </w:p>
        </w:tc>
        <w:tc>
          <w:tcPr>
            <w:tcW w:w="1463" w:type="dxa"/>
            <w:tcBorders>
              <w:top w:val="nil"/>
              <w:left w:val="nil"/>
              <w:bottom w:val="nil"/>
              <w:right w:val="nil"/>
            </w:tcBorders>
            <w:shd w:val="clear" w:color="000000" w:fill="FFFFFF"/>
            <w:noWrap/>
            <w:vAlign w:val="center"/>
            <w:hideMark/>
          </w:tcPr>
          <w:p w14:paraId="1C39C5D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1791" w:type="dxa"/>
            <w:tcBorders>
              <w:top w:val="nil"/>
              <w:left w:val="nil"/>
              <w:bottom w:val="nil"/>
              <w:right w:val="nil"/>
            </w:tcBorders>
            <w:shd w:val="clear" w:color="000000" w:fill="FFFFFF"/>
            <w:noWrap/>
            <w:vAlign w:val="center"/>
            <w:hideMark/>
          </w:tcPr>
          <w:p w14:paraId="6F67334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24" w:type="dxa"/>
            <w:tcBorders>
              <w:top w:val="nil"/>
              <w:left w:val="nil"/>
              <w:bottom w:val="nil"/>
              <w:right w:val="nil"/>
            </w:tcBorders>
            <w:shd w:val="clear" w:color="000000" w:fill="FFFFFF"/>
            <w:noWrap/>
            <w:vAlign w:val="center"/>
            <w:hideMark/>
          </w:tcPr>
          <w:p w14:paraId="6527F04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34" w:type="dxa"/>
            <w:tcBorders>
              <w:top w:val="nil"/>
              <w:left w:val="nil"/>
              <w:bottom w:val="nil"/>
              <w:right w:val="nil"/>
            </w:tcBorders>
            <w:shd w:val="clear" w:color="000000" w:fill="FFFFFF"/>
            <w:noWrap/>
            <w:vAlign w:val="center"/>
            <w:hideMark/>
          </w:tcPr>
          <w:p w14:paraId="4839D5CB"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r>
      <w:tr w:rsidR="006C2F1C" w:rsidRPr="006C2F1C" w14:paraId="05B34FDA" w14:textId="77777777" w:rsidTr="006928BB">
        <w:trPr>
          <w:trHeight w:val="289"/>
        </w:trPr>
        <w:tc>
          <w:tcPr>
            <w:tcW w:w="2260" w:type="dxa"/>
            <w:tcBorders>
              <w:top w:val="nil"/>
              <w:left w:val="nil"/>
              <w:bottom w:val="nil"/>
              <w:right w:val="nil"/>
            </w:tcBorders>
            <w:shd w:val="clear" w:color="000000" w:fill="FFFFFF"/>
            <w:noWrap/>
            <w:vAlign w:val="center"/>
            <w:hideMark/>
          </w:tcPr>
          <w:p w14:paraId="399A3077"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No</w:t>
            </w:r>
          </w:p>
        </w:tc>
        <w:tc>
          <w:tcPr>
            <w:tcW w:w="1463" w:type="dxa"/>
            <w:tcBorders>
              <w:top w:val="nil"/>
              <w:left w:val="nil"/>
              <w:bottom w:val="nil"/>
              <w:right w:val="nil"/>
            </w:tcBorders>
            <w:shd w:val="clear" w:color="000000" w:fill="FFFFFF"/>
            <w:noWrap/>
            <w:vAlign w:val="center"/>
            <w:hideMark/>
          </w:tcPr>
          <w:p w14:paraId="6B421C85"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624D0B9B"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50 (69.4%)</w:t>
            </w:r>
          </w:p>
        </w:tc>
        <w:tc>
          <w:tcPr>
            <w:tcW w:w="2424" w:type="dxa"/>
            <w:tcBorders>
              <w:top w:val="nil"/>
              <w:left w:val="nil"/>
              <w:bottom w:val="nil"/>
              <w:right w:val="nil"/>
            </w:tcBorders>
            <w:shd w:val="clear" w:color="000000" w:fill="FFFFFF"/>
            <w:noWrap/>
            <w:vAlign w:val="center"/>
            <w:hideMark/>
          </w:tcPr>
          <w:p w14:paraId="40C32BB9"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20 (21.7%)</w:t>
            </w:r>
          </w:p>
        </w:tc>
        <w:tc>
          <w:tcPr>
            <w:tcW w:w="2434" w:type="dxa"/>
            <w:tcBorders>
              <w:top w:val="nil"/>
              <w:left w:val="nil"/>
              <w:bottom w:val="nil"/>
              <w:right w:val="nil"/>
            </w:tcBorders>
            <w:shd w:val="clear" w:color="000000" w:fill="FFFFFF"/>
            <w:noWrap/>
            <w:vAlign w:val="center"/>
            <w:hideMark/>
          </w:tcPr>
          <w:p w14:paraId="1A71400F"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r>
      <w:tr w:rsidR="006C2F1C" w:rsidRPr="006C2F1C" w14:paraId="3D908BD7" w14:textId="77777777" w:rsidTr="006928BB">
        <w:trPr>
          <w:trHeight w:val="289"/>
        </w:trPr>
        <w:tc>
          <w:tcPr>
            <w:tcW w:w="2260" w:type="dxa"/>
            <w:tcBorders>
              <w:top w:val="nil"/>
              <w:left w:val="nil"/>
              <w:bottom w:val="nil"/>
              <w:right w:val="nil"/>
            </w:tcBorders>
            <w:shd w:val="clear" w:color="000000" w:fill="FFFFFF"/>
            <w:noWrap/>
            <w:vAlign w:val="center"/>
            <w:hideMark/>
          </w:tcPr>
          <w:p w14:paraId="4B0B0DD9"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Yes</w:t>
            </w:r>
          </w:p>
        </w:tc>
        <w:tc>
          <w:tcPr>
            <w:tcW w:w="1463" w:type="dxa"/>
            <w:tcBorders>
              <w:top w:val="nil"/>
              <w:left w:val="nil"/>
              <w:bottom w:val="nil"/>
              <w:right w:val="nil"/>
            </w:tcBorders>
            <w:shd w:val="clear" w:color="000000" w:fill="FFFFFF"/>
            <w:noWrap/>
            <w:vAlign w:val="center"/>
            <w:hideMark/>
          </w:tcPr>
          <w:p w14:paraId="021F2BC2"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00DE5080"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c>
          <w:tcPr>
            <w:tcW w:w="2424" w:type="dxa"/>
            <w:tcBorders>
              <w:top w:val="nil"/>
              <w:left w:val="nil"/>
              <w:bottom w:val="nil"/>
              <w:right w:val="nil"/>
            </w:tcBorders>
            <w:shd w:val="clear" w:color="000000" w:fill="FFFFFF"/>
            <w:noWrap/>
            <w:vAlign w:val="center"/>
            <w:hideMark/>
          </w:tcPr>
          <w:p w14:paraId="6BC2F99E"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72 (78.3%)</w:t>
            </w:r>
          </w:p>
        </w:tc>
        <w:tc>
          <w:tcPr>
            <w:tcW w:w="2434" w:type="dxa"/>
            <w:tcBorders>
              <w:top w:val="nil"/>
              <w:left w:val="nil"/>
              <w:bottom w:val="nil"/>
              <w:right w:val="nil"/>
            </w:tcBorders>
            <w:shd w:val="clear" w:color="000000" w:fill="FFFFFF"/>
            <w:noWrap/>
            <w:vAlign w:val="center"/>
            <w:hideMark/>
          </w:tcPr>
          <w:p w14:paraId="31EF1F4D"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48 (100%)</w:t>
            </w:r>
          </w:p>
        </w:tc>
      </w:tr>
      <w:tr w:rsidR="006C2F1C" w:rsidRPr="006C2F1C" w14:paraId="0EAA6B29" w14:textId="77777777" w:rsidTr="006928BB">
        <w:trPr>
          <w:trHeight w:val="289"/>
        </w:trPr>
        <w:tc>
          <w:tcPr>
            <w:tcW w:w="2260" w:type="dxa"/>
            <w:tcBorders>
              <w:top w:val="nil"/>
              <w:left w:val="nil"/>
              <w:bottom w:val="nil"/>
              <w:right w:val="nil"/>
            </w:tcBorders>
            <w:shd w:val="clear" w:color="000000" w:fill="FFFFFF"/>
            <w:noWrap/>
            <w:vAlign w:val="center"/>
            <w:hideMark/>
          </w:tcPr>
          <w:p w14:paraId="6D5179CA"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Missing</w:t>
            </w:r>
          </w:p>
        </w:tc>
        <w:tc>
          <w:tcPr>
            <w:tcW w:w="1463" w:type="dxa"/>
            <w:tcBorders>
              <w:top w:val="nil"/>
              <w:left w:val="nil"/>
              <w:bottom w:val="nil"/>
              <w:right w:val="nil"/>
            </w:tcBorders>
            <w:shd w:val="clear" w:color="000000" w:fill="FFFFFF"/>
            <w:noWrap/>
            <w:vAlign w:val="center"/>
            <w:hideMark/>
          </w:tcPr>
          <w:p w14:paraId="69BA2D8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267234BE"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22 (30.6%)</w:t>
            </w:r>
          </w:p>
        </w:tc>
        <w:tc>
          <w:tcPr>
            <w:tcW w:w="2424" w:type="dxa"/>
            <w:tcBorders>
              <w:top w:val="nil"/>
              <w:left w:val="nil"/>
              <w:bottom w:val="nil"/>
              <w:right w:val="nil"/>
            </w:tcBorders>
            <w:shd w:val="clear" w:color="000000" w:fill="FFFFFF"/>
            <w:noWrap/>
            <w:vAlign w:val="center"/>
            <w:hideMark/>
          </w:tcPr>
          <w:p w14:paraId="065E318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c>
          <w:tcPr>
            <w:tcW w:w="2434" w:type="dxa"/>
            <w:tcBorders>
              <w:top w:val="nil"/>
              <w:left w:val="nil"/>
              <w:bottom w:val="nil"/>
              <w:right w:val="nil"/>
            </w:tcBorders>
            <w:shd w:val="clear" w:color="000000" w:fill="FFFFFF"/>
            <w:noWrap/>
            <w:vAlign w:val="center"/>
            <w:hideMark/>
          </w:tcPr>
          <w:p w14:paraId="669F7723"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r>
      <w:tr w:rsidR="006C2F1C" w:rsidRPr="006C2F1C" w14:paraId="01A701C5" w14:textId="77777777" w:rsidTr="006928BB">
        <w:trPr>
          <w:trHeight w:val="289"/>
        </w:trPr>
        <w:tc>
          <w:tcPr>
            <w:tcW w:w="2260" w:type="dxa"/>
            <w:tcBorders>
              <w:top w:val="nil"/>
              <w:left w:val="nil"/>
              <w:bottom w:val="nil"/>
              <w:right w:val="nil"/>
            </w:tcBorders>
            <w:shd w:val="clear" w:color="000000" w:fill="FFFFFF"/>
            <w:noWrap/>
            <w:vAlign w:val="center"/>
            <w:hideMark/>
          </w:tcPr>
          <w:p w14:paraId="3ADDB785" w14:textId="77777777" w:rsidR="00130E1E" w:rsidRPr="006C2F1C" w:rsidRDefault="00130E1E" w:rsidP="006928BB">
            <w:pPr>
              <w:spacing w:after="0" w:line="240" w:lineRule="auto"/>
              <w:rPr>
                <w:rFonts w:ascii="Arial" w:eastAsia="Times New Roman" w:hAnsi="Arial" w:cs="Arial"/>
                <w:b/>
                <w:bCs/>
                <w:sz w:val="20"/>
                <w:szCs w:val="20"/>
                <w:lang w:eastAsia="en-GB"/>
              </w:rPr>
            </w:pPr>
            <w:r w:rsidRPr="006C2F1C">
              <w:rPr>
                <w:rFonts w:ascii="Arial" w:eastAsia="Times New Roman" w:hAnsi="Arial" w:cs="Arial"/>
                <w:b/>
                <w:bCs/>
                <w:sz w:val="20"/>
                <w:szCs w:val="20"/>
                <w:lang w:eastAsia="en-GB"/>
              </w:rPr>
              <w:t>Timing of sampling</w:t>
            </w:r>
          </w:p>
        </w:tc>
        <w:tc>
          <w:tcPr>
            <w:tcW w:w="1463" w:type="dxa"/>
            <w:tcBorders>
              <w:top w:val="nil"/>
              <w:left w:val="nil"/>
              <w:bottom w:val="nil"/>
              <w:right w:val="nil"/>
            </w:tcBorders>
            <w:shd w:val="clear" w:color="000000" w:fill="FFFFFF"/>
            <w:noWrap/>
            <w:vAlign w:val="center"/>
            <w:hideMark/>
          </w:tcPr>
          <w:p w14:paraId="66D648E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1791" w:type="dxa"/>
            <w:tcBorders>
              <w:top w:val="nil"/>
              <w:left w:val="nil"/>
              <w:bottom w:val="nil"/>
              <w:right w:val="nil"/>
            </w:tcBorders>
            <w:shd w:val="clear" w:color="000000" w:fill="FFFFFF"/>
            <w:noWrap/>
            <w:vAlign w:val="center"/>
            <w:hideMark/>
          </w:tcPr>
          <w:p w14:paraId="45B87D3F"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24" w:type="dxa"/>
            <w:tcBorders>
              <w:top w:val="nil"/>
              <w:left w:val="nil"/>
              <w:bottom w:val="nil"/>
              <w:right w:val="nil"/>
            </w:tcBorders>
            <w:shd w:val="clear" w:color="000000" w:fill="FFFFFF"/>
            <w:noWrap/>
            <w:vAlign w:val="center"/>
            <w:hideMark/>
          </w:tcPr>
          <w:p w14:paraId="51A9A8DC"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c>
          <w:tcPr>
            <w:tcW w:w="2434" w:type="dxa"/>
            <w:tcBorders>
              <w:top w:val="nil"/>
              <w:left w:val="nil"/>
              <w:bottom w:val="nil"/>
              <w:right w:val="nil"/>
            </w:tcBorders>
            <w:shd w:val="clear" w:color="000000" w:fill="FFFFFF"/>
            <w:noWrap/>
            <w:vAlign w:val="center"/>
            <w:hideMark/>
          </w:tcPr>
          <w:p w14:paraId="74BFEAFE"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 </w:t>
            </w:r>
          </w:p>
        </w:tc>
      </w:tr>
      <w:tr w:rsidR="006C2F1C" w:rsidRPr="006C2F1C" w14:paraId="2A6392AF" w14:textId="77777777" w:rsidTr="006928BB">
        <w:trPr>
          <w:trHeight w:val="289"/>
        </w:trPr>
        <w:tc>
          <w:tcPr>
            <w:tcW w:w="2260" w:type="dxa"/>
            <w:tcBorders>
              <w:top w:val="nil"/>
              <w:left w:val="nil"/>
              <w:bottom w:val="nil"/>
              <w:right w:val="nil"/>
            </w:tcBorders>
            <w:shd w:val="clear" w:color="000000" w:fill="FFFFFF"/>
            <w:noWrap/>
            <w:vAlign w:val="center"/>
            <w:hideMark/>
          </w:tcPr>
          <w:p w14:paraId="7EFBA0D4"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Mean (SD)</w:t>
            </w:r>
          </w:p>
        </w:tc>
        <w:tc>
          <w:tcPr>
            <w:tcW w:w="1463" w:type="dxa"/>
            <w:tcBorders>
              <w:top w:val="nil"/>
              <w:left w:val="nil"/>
              <w:bottom w:val="nil"/>
              <w:right w:val="nil"/>
            </w:tcBorders>
            <w:shd w:val="clear" w:color="000000" w:fill="FFFFFF"/>
            <w:noWrap/>
            <w:vAlign w:val="center"/>
            <w:hideMark/>
          </w:tcPr>
          <w:p w14:paraId="1655E30D"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77F4164D"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3.25 (1.32)</w:t>
            </w:r>
          </w:p>
        </w:tc>
        <w:tc>
          <w:tcPr>
            <w:tcW w:w="2424" w:type="dxa"/>
            <w:tcBorders>
              <w:top w:val="nil"/>
              <w:left w:val="nil"/>
              <w:bottom w:val="nil"/>
              <w:right w:val="nil"/>
            </w:tcBorders>
            <w:shd w:val="clear" w:color="000000" w:fill="FFFFFF"/>
            <w:noWrap/>
            <w:vAlign w:val="center"/>
            <w:hideMark/>
          </w:tcPr>
          <w:p w14:paraId="6A088B18"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4.12 (1.55)</w:t>
            </w:r>
          </w:p>
        </w:tc>
        <w:tc>
          <w:tcPr>
            <w:tcW w:w="2434" w:type="dxa"/>
            <w:tcBorders>
              <w:top w:val="nil"/>
              <w:left w:val="nil"/>
              <w:bottom w:val="nil"/>
              <w:right w:val="nil"/>
            </w:tcBorders>
            <w:shd w:val="clear" w:color="000000" w:fill="FFFFFF"/>
            <w:noWrap/>
            <w:vAlign w:val="center"/>
            <w:hideMark/>
          </w:tcPr>
          <w:p w14:paraId="64CD1320"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4.31 (2.51)</w:t>
            </w:r>
          </w:p>
        </w:tc>
      </w:tr>
      <w:tr w:rsidR="006C2F1C" w:rsidRPr="006C2F1C" w14:paraId="55802694" w14:textId="77777777" w:rsidTr="006928BB">
        <w:trPr>
          <w:trHeight w:val="289"/>
        </w:trPr>
        <w:tc>
          <w:tcPr>
            <w:tcW w:w="2260" w:type="dxa"/>
            <w:tcBorders>
              <w:top w:val="nil"/>
              <w:left w:val="nil"/>
              <w:bottom w:val="nil"/>
              <w:right w:val="nil"/>
            </w:tcBorders>
            <w:shd w:val="clear" w:color="000000" w:fill="FFFFFF"/>
            <w:noWrap/>
            <w:vAlign w:val="center"/>
            <w:hideMark/>
          </w:tcPr>
          <w:p w14:paraId="48FF182B"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Median [Min, Max]</w:t>
            </w:r>
          </w:p>
        </w:tc>
        <w:tc>
          <w:tcPr>
            <w:tcW w:w="1463" w:type="dxa"/>
            <w:tcBorders>
              <w:top w:val="nil"/>
              <w:left w:val="nil"/>
              <w:bottom w:val="nil"/>
              <w:right w:val="nil"/>
            </w:tcBorders>
            <w:shd w:val="clear" w:color="000000" w:fill="FFFFFF"/>
            <w:noWrap/>
            <w:vAlign w:val="center"/>
            <w:hideMark/>
          </w:tcPr>
          <w:p w14:paraId="7D4F063B"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nil"/>
              <w:right w:val="nil"/>
            </w:tcBorders>
            <w:shd w:val="clear" w:color="000000" w:fill="FFFFFF"/>
            <w:noWrap/>
            <w:vAlign w:val="center"/>
            <w:hideMark/>
          </w:tcPr>
          <w:p w14:paraId="5BAEF2C1" w14:textId="50BE80E1"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3.00 [0, 7]</w:t>
            </w:r>
          </w:p>
        </w:tc>
        <w:tc>
          <w:tcPr>
            <w:tcW w:w="2424" w:type="dxa"/>
            <w:tcBorders>
              <w:top w:val="nil"/>
              <w:left w:val="nil"/>
              <w:bottom w:val="nil"/>
              <w:right w:val="nil"/>
            </w:tcBorders>
            <w:shd w:val="clear" w:color="000000" w:fill="FFFFFF"/>
            <w:noWrap/>
            <w:vAlign w:val="center"/>
            <w:hideMark/>
          </w:tcPr>
          <w:p w14:paraId="61A3B08D" w14:textId="70669843"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4.00 [1, 8]</w:t>
            </w:r>
          </w:p>
        </w:tc>
        <w:tc>
          <w:tcPr>
            <w:tcW w:w="2434" w:type="dxa"/>
            <w:tcBorders>
              <w:top w:val="nil"/>
              <w:left w:val="nil"/>
              <w:bottom w:val="nil"/>
              <w:right w:val="nil"/>
            </w:tcBorders>
            <w:shd w:val="clear" w:color="000000" w:fill="FFFFFF"/>
            <w:noWrap/>
            <w:vAlign w:val="center"/>
            <w:hideMark/>
          </w:tcPr>
          <w:p w14:paraId="5FB8F447" w14:textId="2AEC2506"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4.00 [0, 16]</w:t>
            </w:r>
          </w:p>
        </w:tc>
      </w:tr>
      <w:tr w:rsidR="006C2F1C" w:rsidRPr="006C2F1C" w14:paraId="6D2D7B42" w14:textId="77777777" w:rsidTr="006928BB">
        <w:trPr>
          <w:trHeight w:val="301"/>
        </w:trPr>
        <w:tc>
          <w:tcPr>
            <w:tcW w:w="2260" w:type="dxa"/>
            <w:tcBorders>
              <w:top w:val="nil"/>
              <w:left w:val="nil"/>
              <w:bottom w:val="single" w:sz="12" w:space="0" w:color="000000"/>
              <w:right w:val="nil"/>
            </w:tcBorders>
            <w:shd w:val="clear" w:color="000000" w:fill="FFFFFF"/>
            <w:noWrap/>
            <w:vAlign w:val="center"/>
            <w:hideMark/>
          </w:tcPr>
          <w:p w14:paraId="3054CCFD" w14:textId="77777777" w:rsidR="00130E1E" w:rsidRPr="006C2F1C" w:rsidRDefault="00130E1E" w:rsidP="006928BB">
            <w:pPr>
              <w:spacing w:after="0" w:line="240" w:lineRule="auto"/>
              <w:ind w:firstLineChars="200" w:firstLine="400"/>
              <w:rPr>
                <w:rFonts w:ascii="Arial" w:eastAsia="Times New Roman" w:hAnsi="Arial" w:cs="Arial"/>
                <w:sz w:val="20"/>
                <w:szCs w:val="20"/>
                <w:lang w:eastAsia="en-GB"/>
              </w:rPr>
            </w:pPr>
            <w:r w:rsidRPr="006C2F1C">
              <w:rPr>
                <w:rFonts w:ascii="Arial" w:eastAsia="Times New Roman" w:hAnsi="Arial" w:cs="Arial"/>
                <w:sz w:val="20"/>
                <w:szCs w:val="20"/>
                <w:lang w:eastAsia="en-GB"/>
              </w:rPr>
              <w:t>Missing</w:t>
            </w:r>
          </w:p>
        </w:tc>
        <w:tc>
          <w:tcPr>
            <w:tcW w:w="1463" w:type="dxa"/>
            <w:tcBorders>
              <w:top w:val="nil"/>
              <w:left w:val="nil"/>
              <w:bottom w:val="single" w:sz="12" w:space="0" w:color="000000"/>
              <w:right w:val="nil"/>
            </w:tcBorders>
            <w:shd w:val="clear" w:color="000000" w:fill="FFFFFF"/>
            <w:noWrap/>
            <w:vAlign w:val="center"/>
            <w:hideMark/>
          </w:tcPr>
          <w:p w14:paraId="4048DBDA"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NA</w:t>
            </w:r>
          </w:p>
        </w:tc>
        <w:tc>
          <w:tcPr>
            <w:tcW w:w="1791" w:type="dxa"/>
            <w:tcBorders>
              <w:top w:val="nil"/>
              <w:left w:val="nil"/>
              <w:bottom w:val="single" w:sz="12" w:space="0" w:color="000000"/>
              <w:right w:val="nil"/>
            </w:tcBorders>
            <w:shd w:val="clear" w:color="000000" w:fill="FFFFFF"/>
            <w:noWrap/>
            <w:vAlign w:val="center"/>
            <w:hideMark/>
          </w:tcPr>
          <w:p w14:paraId="46272126"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4 (5.6%)</w:t>
            </w:r>
          </w:p>
        </w:tc>
        <w:tc>
          <w:tcPr>
            <w:tcW w:w="2424" w:type="dxa"/>
            <w:tcBorders>
              <w:top w:val="nil"/>
              <w:left w:val="nil"/>
              <w:bottom w:val="single" w:sz="12" w:space="0" w:color="000000"/>
              <w:right w:val="nil"/>
            </w:tcBorders>
            <w:shd w:val="clear" w:color="000000" w:fill="FFFFFF"/>
            <w:noWrap/>
            <w:vAlign w:val="center"/>
            <w:hideMark/>
          </w:tcPr>
          <w:p w14:paraId="662F784F"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1 (1.1%)</w:t>
            </w:r>
          </w:p>
        </w:tc>
        <w:tc>
          <w:tcPr>
            <w:tcW w:w="2434" w:type="dxa"/>
            <w:tcBorders>
              <w:top w:val="nil"/>
              <w:left w:val="nil"/>
              <w:bottom w:val="single" w:sz="12" w:space="0" w:color="000000"/>
              <w:right w:val="nil"/>
            </w:tcBorders>
            <w:shd w:val="clear" w:color="000000" w:fill="FFFFFF"/>
            <w:noWrap/>
            <w:vAlign w:val="center"/>
            <w:hideMark/>
          </w:tcPr>
          <w:p w14:paraId="46274FCE" w14:textId="77777777" w:rsidR="00130E1E" w:rsidRPr="006C2F1C" w:rsidRDefault="00130E1E" w:rsidP="006928BB">
            <w:pPr>
              <w:spacing w:after="0" w:line="240" w:lineRule="auto"/>
              <w:jc w:val="center"/>
              <w:rPr>
                <w:rFonts w:ascii="Arial" w:eastAsia="Times New Roman" w:hAnsi="Arial" w:cs="Arial"/>
                <w:sz w:val="20"/>
                <w:szCs w:val="20"/>
                <w:lang w:eastAsia="en-GB"/>
              </w:rPr>
            </w:pPr>
            <w:r w:rsidRPr="006C2F1C">
              <w:rPr>
                <w:rFonts w:ascii="Arial" w:eastAsia="Times New Roman" w:hAnsi="Arial" w:cs="Arial"/>
                <w:sz w:val="20"/>
                <w:szCs w:val="20"/>
                <w:lang w:eastAsia="en-GB"/>
              </w:rPr>
              <w:t>0 (0%)</w:t>
            </w:r>
          </w:p>
        </w:tc>
      </w:tr>
    </w:tbl>
    <w:p w14:paraId="04DE82A0" w14:textId="77777777" w:rsidR="00130E1E" w:rsidRPr="006C2F1C" w:rsidRDefault="00130E1E" w:rsidP="00130E1E">
      <w:pPr>
        <w:spacing w:after="0" w:line="240" w:lineRule="auto"/>
        <w:rPr>
          <w:sz w:val="20"/>
          <w:szCs w:val="20"/>
        </w:rPr>
      </w:pPr>
    </w:p>
    <w:p w14:paraId="6745DA1D" w14:textId="77777777" w:rsidR="00130E1E" w:rsidRPr="006C2F1C" w:rsidRDefault="00130E1E" w:rsidP="00130E1E">
      <w:pPr>
        <w:spacing w:after="0" w:line="240" w:lineRule="auto"/>
        <w:rPr>
          <w:sz w:val="20"/>
          <w:szCs w:val="20"/>
        </w:rPr>
      </w:pPr>
      <w:r w:rsidRPr="006C2F1C">
        <w:rPr>
          <w:sz w:val="20"/>
          <w:szCs w:val="20"/>
        </w:rPr>
        <w:t xml:space="preserve">Data are represented as number of subjects (%) unless otherwise is stated. </w:t>
      </w:r>
    </w:p>
    <w:p w14:paraId="639983E4" w14:textId="3E8A6FBD" w:rsidR="000B2224" w:rsidRPr="006C2F1C" w:rsidRDefault="000B2224" w:rsidP="000B2224">
      <w:pPr>
        <w:spacing w:line="259" w:lineRule="auto"/>
        <w:jc w:val="left"/>
      </w:pPr>
    </w:p>
    <w:sectPr w:rsidR="000B2224" w:rsidRPr="006C2F1C" w:rsidSect="00696479">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1E"/>
    <w:rsid w:val="000B2224"/>
    <w:rsid w:val="00122B94"/>
    <w:rsid w:val="00130E1E"/>
    <w:rsid w:val="00212DE3"/>
    <w:rsid w:val="00394F9A"/>
    <w:rsid w:val="004E0675"/>
    <w:rsid w:val="00676C9D"/>
    <w:rsid w:val="00696479"/>
    <w:rsid w:val="006A4ED4"/>
    <w:rsid w:val="006C2F1C"/>
    <w:rsid w:val="00746C51"/>
    <w:rsid w:val="008F7F5A"/>
    <w:rsid w:val="009423F8"/>
    <w:rsid w:val="00A52491"/>
    <w:rsid w:val="00A55774"/>
    <w:rsid w:val="00AE60BF"/>
    <w:rsid w:val="00BF6E0A"/>
    <w:rsid w:val="00D2330A"/>
    <w:rsid w:val="00DA6EA7"/>
    <w:rsid w:val="00FF05A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8186"/>
  <w15:chartTrackingRefBased/>
  <w15:docId w15:val="{725ABE48-3100-4B51-998B-2AD86813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1E"/>
    <w:pPr>
      <w:spacing w:line="480" w:lineRule="auto"/>
      <w:jc w:val="both"/>
    </w:pPr>
    <w:rPr>
      <w:rFonts w:eastAsiaTheme="minorEastAsia"/>
      <w:sz w:val="24"/>
      <w:szCs w:val="24"/>
      <w:lang w:val="en-US"/>
    </w:rPr>
  </w:style>
  <w:style w:type="paragraph" w:styleId="Heading1">
    <w:name w:val="heading 1"/>
    <w:basedOn w:val="Heading2"/>
    <w:next w:val="Normal"/>
    <w:link w:val="Heading1Char"/>
    <w:uiPriority w:val="9"/>
    <w:qFormat/>
    <w:rsid w:val="00130E1E"/>
    <w:pPr>
      <w:keepNext w:val="0"/>
      <w:keepLines w:val="0"/>
      <w:spacing w:before="0" w:after="160"/>
      <w:outlineLvl w:val="0"/>
    </w:pPr>
    <w:rPr>
      <w:rFonts w:asciiTheme="minorHAnsi" w:eastAsiaTheme="minorEastAsia" w:hAnsiTheme="minorHAnsi" w:cstheme="minorBidi"/>
      <w:b/>
      <w:bCs/>
      <w:smallCaps/>
      <w:color w:val="auto"/>
      <w:sz w:val="24"/>
      <w:szCs w:val="24"/>
    </w:rPr>
  </w:style>
  <w:style w:type="paragraph" w:styleId="Heading2">
    <w:name w:val="heading 2"/>
    <w:basedOn w:val="Normal"/>
    <w:next w:val="Normal"/>
    <w:link w:val="Heading2Char"/>
    <w:uiPriority w:val="9"/>
    <w:semiHidden/>
    <w:unhideWhenUsed/>
    <w:qFormat/>
    <w:rsid w:val="00130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E1E"/>
    <w:rPr>
      <w:rFonts w:eastAsiaTheme="minorEastAsia"/>
      <w:b/>
      <w:bCs/>
      <w:smallCaps/>
      <w:sz w:val="24"/>
      <w:szCs w:val="24"/>
      <w:lang w:val="en-US"/>
    </w:rPr>
  </w:style>
  <w:style w:type="character" w:customStyle="1" w:styleId="Heading2Char">
    <w:name w:val="Heading 2 Char"/>
    <w:basedOn w:val="DefaultParagraphFont"/>
    <w:link w:val="Heading2"/>
    <w:uiPriority w:val="9"/>
    <w:semiHidden/>
    <w:rsid w:val="00130E1E"/>
    <w:rPr>
      <w:rFonts w:asciiTheme="majorHAnsi" w:eastAsiaTheme="majorEastAsia" w:hAnsiTheme="majorHAnsi" w:cstheme="majorBidi"/>
      <w:color w:val="2F5496" w:themeColor="accent1" w:themeShade="BF"/>
      <w:sz w:val="26"/>
      <w:szCs w:val="26"/>
      <w:lang w:val="en-US"/>
    </w:rPr>
  </w:style>
  <w:style w:type="character" w:styleId="LineNumber">
    <w:name w:val="line number"/>
    <w:basedOn w:val="DefaultParagraphFont"/>
    <w:uiPriority w:val="99"/>
    <w:semiHidden/>
    <w:unhideWhenUsed/>
    <w:rsid w:val="00696479"/>
  </w:style>
  <w:style w:type="paragraph" w:styleId="Revision">
    <w:name w:val="Revision"/>
    <w:hidden/>
    <w:uiPriority w:val="99"/>
    <w:semiHidden/>
    <w:rsid w:val="00676C9D"/>
    <w:pPr>
      <w:spacing w:after="0" w:line="240" w:lineRule="auto"/>
    </w:pPr>
    <w:rPr>
      <w:rFonts w:eastAsiaTheme="minorEastAsia"/>
      <w:sz w:val="24"/>
      <w:szCs w:val="24"/>
      <w:lang w:val="en-US"/>
    </w:rPr>
  </w:style>
  <w:style w:type="character" w:styleId="Hyperlink">
    <w:name w:val="Hyperlink"/>
    <w:basedOn w:val="DefaultParagraphFont"/>
    <w:uiPriority w:val="99"/>
    <w:semiHidden/>
    <w:unhideWhenUsed/>
    <w:rsid w:val="004E06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7906">
      <w:bodyDiv w:val="1"/>
      <w:marLeft w:val="0"/>
      <w:marRight w:val="0"/>
      <w:marTop w:val="0"/>
      <w:marBottom w:val="0"/>
      <w:divBdr>
        <w:top w:val="none" w:sz="0" w:space="0" w:color="auto"/>
        <w:left w:val="none" w:sz="0" w:space="0" w:color="auto"/>
        <w:bottom w:val="none" w:sz="0" w:space="0" w:color="auto"/>
        <w:right w:val="none" w:sz="0" w:space="0" w:color="auto"/>
      </w:divBdr>
    </w:div>
    <w:div w:id="883759509">
      <w:bodyDiv w:val="1"/>
      <w:marLeft w:val="0"/>
      <w:marRight w:val="0"/>
      <w:marTop w:val="0"/>
      <w:marBottom w:val="0"/>
      <w:divBdr>
        <w:top w:val="none" w:sz="0" w:space="0" w:color="auto"/>
        <w:left w:val="none" w:sz="0" w:space="0" w:color="auto"/>
        <w:bottom w:val="none" w:sz="0" w:space="0" w:color="auto"/>
        <w:right w:val="none" w:sz="0" w:space="0" w:color="auto"/>
      </w:divBdr>
    </w:div>
    <w:div w:id="1174152882">
      <w:bodyDiv w:val="1"/>
      <w:marLeft w:val="0"/>
      <w:marRight w:val="0"/>
      <w:marTop w:val="0"/>
      <w:marBottom w:val="0"/>
      <w:divBdr>
        <w:top w:val="none" w:sz="0" w:space="0" w:color="auto"/>
        <w:left w:val="none" w:sz="0" w:space="0" w:color="auto"/>
        <w:bottom w:val="none" w:sz="0" w:space="0" w:color="auto"/>
        <w:right w:val="none" w:sz="0" w:space="0" w:color="auto"/>
      </w:divBdr>
    </w:div>
    <w:div w:id="16332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410B-0737-4F1F-A138-1A5A3E35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Oner</dc:creator>
  <cp:keywords/>
  <dc:description/>
  <cp:lastModifiedBy>Kipgen, Thangminlun</cp:lastModifiedBy>
  <cp:revision>6</cp:revision>
  <dcterms:created xsi:type="dcterms:W3CDTF">2023-10-30T22:17:00Z</dcterms:created>
  <dcterms:modified xsi:type="dcterms:W3CDTF">2023-12-18T10:36:00Z</dcterms:modified>
</cp:coreProperties>
</file>