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F769" w14:textId="5D2A6E6E" w:rsidR="003230DB" w:rsidRPr="003230DB" w:rsidRDefault="003230DB" w:rsidP="003230DB">
      <w:pPr>
        <w:jc w:val="center"/>
        <w:rPr>
          <w:b/>
          <w:sz w:val="52"/>
        </w:rPr>
      </w:pPr>
      <w:r w:rsidRPr="003230DB">
        <w:rPr>
          <w:b/>
          <w:sz w:val="52"/>
        </w:rPr>
        <w:t>SUPPLEMENTARY</w:t>
      </w:r>
    </w:p>
    <w:p w14:paraId="16FDC5D2" w14:textId="1471CB5A" w:rsidR="003230DB" w:rsidRPr="003230DB" w:rsidRDefault="003230DB" w:rsidP="003230DB">
      <w:pPr>
        <w:jc w:val="center"/>
        <w:rPr>
          <w:b/>
          <w:sz w:val="52"/>
        </w:rPr>
      </w:pPr>
      <w:r w:rsidRPr="003230DB">
        <w:rPr>
          <w:b/>
          <w:sz w:val="52"/>
        </w:rPr>
        <w:t>DOCUMENT</w:t>
      </w:r>
    </w:p>
    <w:p w14:paraId="6D7343EA" w14:textId="7A014BA9" w:rsidR="003230DB" w:rsidRDefault="003230DB" w:rsidP="003230DB">
      <w:pPr>
        <w:jc w:val="center"/>
      </w:pPr>
    </w:p>
    <w:p w14:paraId="1EC082B7" w14:textId="5A6364BF" w:rsidR="003230DB" w:rsidRDefault="003230DB" w:rsidP="003230DB">
      <w:pPr>
        <w:jc w:val="center"/>
      </w:pPr>
    </w:p>
    <w:p w14:paraId="15A69F7F" w14:textId="77777777" w:rsidR="003230DB" w:rsidRDefault="003230DB" w:rsidP="003230DB">
      <w:pPr>
        <w:spacing w:after="0" w:line="36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Trends in laboratory-confirmed bacterial meningitis (2012-2019): national observational study, England</w:t>
      </w:r>
    </w:p>
    <w:p w14:paraId="34418296" w14:textId="77777777" w:rsidR="003230DB" w:rsidRDefault="003230DB" w:rsidP="003230DB">
      <w:pPr>
        <w:spacing w:after="0" w:line="360" w:lineRule="auto"/>
        <w:contextualSpacing/>
        <w:jc w:val="center"/>
        <w:rPr>
          <w:bCs/>
          <w:sz w:val="24"/>
          <w:szCs w:val="24"/>
        </w:rPr>
      </w:pPr>
    </w:p>
    <w:p w14:paraId="503B77DA" w14:textId="4E0C1EB5" w:rsidR="003230DB" w:rsidRDefault="003230DB" w:rsidP="003230DB">
      <w:pPr>
        <w:spacing w:after="0" w:line="360" w:lineRule="auto"/>
        <w:contextualSpacing/>
        <w:jc w:val="center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</w:rPr>
        <w:t>Sathyavani Subbarao</w:t>
      </w:r>
      <w:r w:rsidRPr="00753FFD">
        <w:rPr>
          <w:bCs/>
          <w:sz w:val="24"/>
          <w:szCs w:val="24"/>
          <w:vertAlign w:val="superscript"/>
        </w:rPr>
        <w:t>1</w:t>
      </w:r>
      <w:r>
        <w:rPr>
          <w:bCs/>
          <w:sz w:val="24"/>
          <w:szCs w:val="24"/>
          <w:vertAlign w:val="superscript"/>
        </w:rPr>
        <w:t>,3</w:t>
      </w:r>
      <w:r>
        <w:rPr>
          <w:bCs/>
          <w:sz w:val="24"/>
          <w:szCs w:val="24"/>
        </w:rPr>
        <w:t>, Sonia Ribeiro</w:t>
      </w:r>
      <w:r w:rsidRPr="00753FFD">
        <w:rPr>
          <w:bCs/>
          <w:sz w:val="24"/>
          <w:szCs w:val="24"/>
          <w:vertAlign w:val="superscript"/>
        </w:rPr>
        <w:t>1</w:t>
      </w:r>
      <w:proofErr w:type="gramStart"/>
      <w:r>
        <w:rPr>
          <w:bCs/>
          <w:sz w:val="24"/>
          <w:szCs w:val="24"/>
        </w:rPr>
        <w:t>,</w:t>
      </w:r>
      <w:r w:rsidR="007C1BF2">
        <w:rPr>
          <w:bCs/>
          <w:sz w:val="24"/>
          <w:szCs w:val="24"/>
        </w:rPr>
        <w:t xml:space="preserve"> ,</w:t>
      </w:r>
      <w:proofErr w:type="gramEnd"/>
      <w:r w:rsidR="007C1BF2">
        <w:rPr>
          <w:bCs/>
          <w:sz w:val="24"/>
          <w:szCs w:val="24"/>
        </w:rPr>
        <w:t xml:space="preserve"> Helen Campbell,</w:t>
      </w:r>
      <w:r w:rsidR="007C1BF2" w:rsidRPr="002C4767">
        <w:rPr>
          <w:bCs/>
          <w:sz w:val="24"/>
          <w:szCs w:val="24"/>
          <w:vertAlign w:val="superscript"/>
        </w:rPr>
        <w:t>1</w:t>
      </w:r>
      <w:r w:rsidR="007C1B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Ifeanyichukwu</w:t>
      </w:r>
      <w:proofErr w:type="spellEnd"/>
      <w:r>
        <w:rPr>
          <w:bCs/>
          <w:sz w:val="24"/>
          <w:szCs w:val="24"/>
        </w:rPr>
        <w:t xml:space="preserve"> Okike</w:t>
      </w:r>
      <w:r w:rsidRPr="00753FFD">
        <w:rPr>
          <w:bCs/>
          <w:sz w:val="24"/>
          <w:szCs w:val="24"/>
          <w:vertAlign w:val="superscript"/>
        </w:rPr>
        <w:t>4</w:t>
      </w:r>
      <w:r>
        <w:rPr>
          <w:bCs/>
          <w:sz w:val="24"/>
          <w:szCs w:val="24"/>
        </w:rPr>
        <w:t>, Mary E Ramsay</w:t>
      </w:r>
      <w:r w:rsidRPr="00753FFD">
        <w:rPr>
          <w:bCs/>
          <w:sz w:val="24"/>
          <w:szCs w:val="24"/>
          <w:vertAlign w:val="superscript"/>
        </w:rPr>
        <w:t>1</w:t>
      </w:r>
      <w:r w:rsidRPr="00753FF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Shamez N Ladhani,</w:t>
      </w:r>
      <w:r w:rsidRPr="002B2E2A">
        <w:rPr>
          <w:bCs/>
          <w:sz w:val="24"/>
          <w:szCs w:val="24"/>
          <w:vertAlign w:val="superscript"/>
        </w:rPr>
        <w:t>1,2</w:t>
      </w:r>
    </w:p>
    <w:p w14:paraId="5BF4BDC3" w14:textId="5720D035" w:rsidR="003230DB" w:rsidRDefault="003230DB" w:rsidP="003230DB">
      <w:pPr>
        <w:spacing w:after="0" w:line="360" w:lineRule="auto"/>
        <w:contextualSpacing/>
        <w:jc w:val="center"/>
        <w:rPr>
          <w:bCs/>
          <w:sz w:val="24"/>
          <w:szCs w:val="24"/>
          <w:vertAlign w:val="superscript"/>
        </w:rPr>
      </w:pPr>
    </w:p>
    <w:p w14:paraId="20E07073" w14:textId="5D46B488" w:rsidR="003230DB" w:rsidRDefault="003230DB" w:rsidP="003230DB">
      <w:pPr>
        <w:spacing w:after="0" w:line="360" w:lineRule="auto"/>
        <w:contextualSpacing/>
        <w:jc w:val="center"/>
        <w:rPr>
          <w:bCs/>
          <w:sz w:val="24"/>
          <w:szCs w:val="24"/>
          <w:vertAlign w:val="superscript"/>
        </w:rPr>
      </w:pPr>
    </w:p>
    <w:p w14:paraId="4CB01496" w14:textId="77777777" w:rsidR="003230DB" w:rsidRDefault="003230DB" w:rsidP="003230DB">
      <w:pPr>
        <w:spacing w:after="0" w:line="360" w:lineRule="auto"/>
        <w:contextualSpacing/>
        <w:jc w:val="center"/>
        <w:rPr>
          <w:bCs/>
          <w:sz w:val="24"/>
          <w:szCs w:val="24"/>
        </w:rPr>
        <w:sectPr w:rsidR="003230DB" w:rsidSect="003230DB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950"/>
        <w:gridCol w:w="950"/>
        <w:gridCol w:w="1050"/>
        <w:gridCol w:w="951"/>
        <w:gridCol w:w="951"/>
        <w:gridCol w:w="951"/>
        <w:gridCol w:w="1050"/>
        <w:gridCol w:w="951"/>
        <w:gridCol w:w="1050"/>
        <w:gridCol w:w="1906"/>
        <w:gridCol w:w="780"/>
      </w:tblGrid>
      <w:tr w:rsidR="009F0AEF" w:rsidRPr="009F0AEF" w14:paraId="37B3AB63" w14:textId="77777777" w:rsidTr="009F0AEF">
        <w:trPr>
          <w:trHeight w:val="1188"/>
          <w:jc w:val="center"/>
        </w:trPr>
        <w:tc>
          <w:tcPr>
            <w:tcW w:w="960" w:type="dxa"/>
            <w:noWrap/>
            <w:hideMark/>
          </w:tcPr>
          <w:p w14:paraId="6C30BD33" w14:textId="77777777" w:rsidR="009F0AEF" w:rsidRPr="009F0AEF" w:rsidRDefault="009F0AEF"/>
        </w:tc>
        <w:tc>
          <w:tcPr>
            <w:tcW w:w="950" w:type="dxa"/>
            <w:textDirection w:val="btLr"/>
            <w:hideMark/>
          </w:tcPr>
          <w:p w14:paraId="24D732AF" w14:textId="77777777" w:rsidR="009F0AEF" w:rsidRPr="009F0AEF" w:rsidRDefault="009F0AEF" w:rsidP="009F0AEF">
            <w:r w:rsidRPr="009F0AEF">
              <w:t>2012</w:t>
            </w:r>
          </w:p>
        </w:tc>
        <w:tc>
          <w:tcPr>
            <w:tcW w:w="950" w:type="dxa"/>
            <w:textDirection w:val="btLr"/>
            <w:hideMark/>
          </w:tcPr>
          <w:p w14:paraId="6EC02AD4" w14:textId="77777777" w:rsidR="009F0AEF" w:rsidRPr="009F0AEF" w:rsidRDefault="009F0AEF" w:rsidP="009F0AEF">
            <w:r w:rsidRPr="009F0AEF">
              <w:t>2013</w:t>
            </w:r>
          </w:p>
        </w:tc>
        <w:tc>
          <w:tcPr>
            <w:tcW w:w="1050" w:type="dxa"/>
            <w:textDirection w:val="btLr"/>
            <w:hideMark/>
          </w:tcPr>
          <w:p w14:paraId="5D37FD40" w14:textId="77777777" w:rsidR="009F0AEF" w:rsidRPr="009F0AEF" w:rsidRDefault="009F0AEF" w:rsidP="009F0AEF">
            <w:r w:rsidRPr="009F0AEF">
              <w:t>2014</w:t>
            </w:r>
          </w:p>
        </w:tc>
        <w:tc>
          <w:tcPr>
            <w:tcW w:w="951" w:type="dxa"/>
            <w:textDirection w:val="btLr"/>
            <w:hideMark/>
          </w:tcPr>
          <w:p w14:paraId="47FB725E" w14:textId="77777777" w:rsidR="009F0AEF" w:rsidRPr="009F0AEF" w:rsidRDefault="009F0AEF" w:rsidP="009F0AEF">
            <w:r w:rsidRPr="009F0AEF">
              <w:t>2015</w:t>
            </w:r>
          </w:p>
        </w:tc>
        <w:tc>
          <w:tcPr>
            <w:tcW w:w="951" w:type="dxa"/>
            <w:textDirection w:val="btLr"/>
            <w:hideMark/>
          </w:tcPr>
          <w:p w14:paraId="145F4C21" w14:textId="77777777" w:rsidR="009F0AEF" w:rsidRPr="009F0AEF" w:rsidRDefault="009F0AEF" w:rsidP="009F0AEF">
            <w:r w:rsidRPr="009F0AEF">
              <w:t>2016</w:t>
            </w:r>
          </w:p>
        </w:tc>
        <w:tc>
          <w:tcPr>
            <w:tcW w:w="951" w:type="dxa"/>
            <w:textDirection w:val="btLr"/>
            <w:hideMark/>
          </w:tcPr>
          <w:p w14:paraId="26F84882" w14:textId="77777777" w:rsidR="009F0AEF" w:rsidRPr="009F0AEF" w:rsidRDefault="009F0AEF" w:rsidP="009F0AEF">
            <w:r w:rsidRPr="009F0AEF">
              <w:t>2017</w:t>
            </w:r>
          </w:p>
        </w:tc>
        <w:tc>
          <w:tcPr>
            <w:tcW w:w="1050" w:type="dxa"/>
            <w:textDirection w:val="btLr"/>
            <w:hideMark/>
          </w:tcPr>
          <w:p w14:paraId="1E0277C0" w14:textId="77777777" w:rsidR="009F0AEF" w:rsidRPr="009F0AEF" w:rsidRDefault="009F0AEF" w:rsidP="009F0AEF">
            <w:r w:rsidRPr="009F0AEF">
              <w:t>2018</w:t>
            </w:r>
          </w:p>
        </w:tc>
        <w:tc>
          <w:tcPr>
            <w:tcW w:w="951" w:type="dxa"/>
            <w:textDirection w:val="btLr"/>
            <w:hideMark/>
          </w:tcPr>
          <w:p w14:paraId="5FB8B007" w14:textId="77777777" w:rsidR="009F0AEF" w:rsidRPr="009F0AEF" w:rsidRDefault="009F0AEF" w:rsidP="009F0AEF">
            <w:r w:rsidRPr="009F0AEF">
              <w:t>2019</w:t>
            </w:r>
          </w:p>
        </w:tc>
        <w:tc>
          <w:tcPr>
            <w:tcW w:w="1050" w:type="dxa"/>
            <w:vMerge w:val="restart"/>
            <w:textDirection w:val="btLr"/>
            <w:hideMark/>
          </w:tcPr>
          <w:p w14:paraId="4B45EDFC" w14:textId="7977FBF2" w:rsidR="009F0AEF" w:rsidRPr="009F0AEF" w:rsidRDefault="009F0AEF" w:rsidP="009F0AEF">
            <w:r w:rsidRPr="009F0AEF">
              <w:t xml:space="preserve">mean </w:t>
            </w:r>
            <w:proofErr w:type="gramStart"/>
            <w:r w:rsidRPr="009F0AEF">
              <w:t>incidence(</w:t>
            </w:r>
            <w:proofErr w:type="gramEnd"/>
            <w:r w:rsidRPr="009F0AEF">
              <w:t>mean annual total)</w:t>
            </w:r>
            <w:r w:rsidR="00447615">
              <w:t>/100,000</w:t>
            </w:r>
          </w:p>
        </w:tc>
        <w:tc>
          <w:tcPr>
            <w:tcW w:w="1906" w:type="dxa"/>
            <w:vMerge w:val="restart"/>
            <w:textDirection w:val="btLr"/>
            <w:hideMark/>
          </w:tcPr>
          <w:p w14:paraId="54C7B689" w14:textId="3E06317F" w:rsidR="009F0AEF" w:rsidRPr="00447615" w:rsidRDefault="00447615" w:rsidP="009F0AEF">
            <w:r w:rsidRPr="00447615">
              <w:t>change in incidence per year/100,000 (95% C.I)</w:t>
            </w:r>
          </w:p>
        </w:tc>
        <w:tc>
          <w:tcPr>
            <w:tcW w:w="780" w:type="dxa"/>
            <w:vMerge w:val="restart"/>
            <w:textDirection w:val="btLr"/>
            <w:hideMark/>
          </w:tcPr>
          <w:p w14:paraId="0CB28562" w14:textId="77777777" w:rsidR="009F0AEF" w:rsidRPr="009F0AEF" w:rsidRDefault="009F0AEF" w:rsidP="009F0AEF">
            <w:r w:rsidRPr="009F0AEF">
              <w:t>p value</w:t>
            </w:r>
          </w:p>
        </w:tc>
      </w:tr>
      <w:tr w:rsidR="009F0AEF" w:rsidRPr="009F0AEF" w14:paraId="36E742FD" w14:textId="77777777" w:rsidTr="009F0AEF">
        <w:trPr>
          <w:trHeight w:val="1080"/>
          <w:jc w:val="center"/>
        </w:trPr>
        <w:tc>
          <w:tcPr>
            <w:tcW w:w="960" w:type="dxa"/>
            <w:noWrap/>
            <w:hideMark/>
          </w:tcPr>
          <w:p w14:paraId="02C2C3F1" w14:textId="77777777" w:rsidR="009F0AEF" w:rsidRPr="009F0AEF" w:rsidRDefault="009F0AEF">
            <w:r w:rsidRPr="009F0AEF">
              <w:t>Age group</w:t>
            </w:r>
          </w:p>
        </w:tc>
        <w:tc>
          <w:tcPr>
            <w:tcW w:w="950" w:type="dxa"/>
            <w:noWrap/>
            <w:textDirection w:val="btLr"/>
            <w:hideMark/>
          </w:tcPr>
          <w:p w14:paraId="04E3B944" w14:textId="77777777" w:rsidR="009F0AEF" w:rsidRPr="009F0AEF" w:rsidRDefault="009F0AEF" w:rsidP="009F0AEF">
            <w:r w:rsidRPr="009F0AEF">
              <w:t>Incidence (N)</w:t>
            </w:r>
          </w:p>
        </w:tc>
        <w:tc>
          <w:tcPr>
            <w:tcW w:w="950" w:type="dxa"/>
            <w:noWrap/>
            <w:textDirection w:val="btLr"/>
            <w:hideMark/>
          </w:tcPr>
          <w:p w14:paraId="2F470879" w14:textId="77777777" w:rsidR="009F0AEF" w:rsidRPr="009F0AEF" w:rsidRDefault="009F0AEF" w:rsidP="009F0AEF">
            <w:r w:rsidRPr="009F0AEF">
              <w:t>Incidence (N)</w:t>
            </w:r>
          </w:p>
        </w:tc>
        <w:tc>
          <w:tcPr>
            <w:tcW w:w="1050" w:type="dxa"/>
            <w:noWrap/>
            <w:textDirection w:val="btLr"/>
            <w:hideMark/>
          </w:tcPr>
          <w:p w14:paraId="531CDF37" w14:textId="77777777" w:rsidR="009F0AEF" w:rsidRPr="009F0AEF" w:rsidRDefault="009F0AEF" w:rsidP="009F0AEF">
            <w:r w:rsidRPr="009F0AEF">
              <w:t>Incidence (N)</w:t>
            </w:r>
          </w:p>
        </w:tc>
        <w:tc>
          <w:tcPr>
            <w:tcW w:w="951" w:type="dxa"/>
            <w:noWrap/>
            <w:textDirection w:val="btLr"/>
            <w:hideMark/>
          </w:tcPr>
          <w:p w14:paraId="15AC26B3" w14:textId="77777777" w:rsidR="009F0AEF" w:rsidRPr="009F0AEF" w:rsidRDefault="009F0AEF" w:rsidP="009F0AEF">
            <w:r w:rsidRPr="009F0AEF">
              <w:t>Incidence (N)</w:t>
            </w:r>
          </w:p>
        </w:tc>
        <w:tc>
          <w:tcPr>
            <w:tcW w:w="951" w:type="dxa"/>
            <w:noWrap/>
            <w:textDirection w:val="btLr"/>
            <w:hideMark/>
          </w:tcPr>
          <w:p w14:paraId="0855576E" w14:textId="77777777" w:rsidR="009F0AEF" w:rsidRPr="009F0AEF" w:rsidRDefault="009F0AEF" w:rsidP="009F0AEF">
            <w:r w:rsidRPr="009F0AEF">
              <w:t>Incidence (N)</w:t>
            </w:r>
          </w:p>
        </w:tc>
        <w:tc>
          <w:tcPr>
            <w:tcW w:w="951" w:type="dxa"/>
            <w:noWrap/>
            <w:textDirection w:val="btLr"/>
            <w:hideMark/>
          </w:tcPr>
          <w:p w14:paraId="4D07C57E" w14:textId="77777777" w:rsidR="009F0AEF" w:rsidRPr="009F0AEF" w:rsidRDefault="009F0AEF" w:rsidP="009F0AEF">
            <w:r w:rsidRPr="009F0AEF">
              <w:t>Incidence (N)</w:t>
            </w:r>
          </w:p>
        </w:tc>
        <w:tc>
          <w:tcPr>
            <w:tcW w:w="1050" w:type="dxa"/>
            <w:noWrap/>
            <w:textDirection w:val="btLr"/>
            <w:hideMark/>
          </w:tcPr>
          <w:p w14:paraId="3E3044E5" w14:textId="77777777" w:rsidR="009F0AEF" w:rsidRPr="009F0AEF" w:rsidRDefault="009F0AEF" w:rsidP="009F0AEF">
            <w:r w:rsidRPr="009F0AEF">
              <w:t>Incidence (N)</w:t>
            </w:r>
          </w:p>
        </w:tc>
        <w:tc>
          <w:tcPr>
            <w:tcW w:w="951" w:type="dxa"/>
            <w:noWrap/>
            <w:textDirection w:val="btLr"/>
            <w:hideMark/>
          </w:tcPr>
          <w:p w14:paraId="5CCFE207" w14:textId="77777777" w:rsidR="009F0AEF" w:rsidRPr="009F0AEF" w:rsidRDefault="009F0AEF" w:rsidP="009F0AEF">
            <w:r w:rsidRPr="009F0AEF">
              <w:t>Incidence (N)</w:t>
            </w:r>
          </w:p>
        </w:tc>
        <w:tc>
          <w:tcPr>
            <w:tcW w:w="1050" w:type="dxa"/>
            <w:vMerge/>
            <w:hideMark/>
          </w:tcPr>
          <w:p w14:paraId="2E1F0268" w14:textId="77777777" w:rsidR="009F0AEF" w:rsidRPr="009F0AEF" w:rsidRDefault="009F0AEF"/>
        </w:tc>
        <w:tc>
          <w:tcPr>
            <w:tcW w:w="1906" w:type="dxa"/>
            <w:vMerge/>
            <w:hideMark/>
          </w:tcPr>
          <w:p w14:paraId="76AC1DC7" w14:textId="77777777" w:rsidR="009F0AEF" w:rsidRPr="009F0AEF" w:rsidRDefault="009F0AEF"/>
        </w:tc>
        <w:tc>
          <w:tcPr>
            <w:tcW w:w="780" w:type="dxa"/>
            <w:vMerge/>
            <w:hideMark/>
          </w:tcPr>
          <w:p w14:paraId="43FF5EDE" w14:textId="77777777" w:rsidR="009F0AEF" w:rsidRPr="009F0AEF" w:rsidRDefault="009F0AEF"/>
        </w:tc>
      </w:tr>
      <w:tr w:rsidR="009F0AEF" w:rsidRPr="009F0AEF" w14:paraId="6E5B91C4" w14:textId="77777777" w:rsidTr="009F0AEF">
        <w:trPr>
          <w:trHeight w:val="288"/>
          <w:jc w:val="center"/>
        </w:trPr>
        <w:tc>
          <w:tcPr>
            <w:tcW w:w="960" w:type="dxa"/>
            <w:noWrap/>
            <w:hideMark/>
          </w:tcPr>
          <w:p w14:paraId="6101C3AB" w14:textId="77777777" w:rsidR="009F0AEF" w:rsidRPr="009F0AEF" w:rsidRDefault="009F0AEF" w:rsidP="009F0AEF">
            <w:r w:rsidRPr="009F0AEF">
              <w:t>&lt;3m</w:t>
            </w:r>
          </w:p>
        </w:tc>
        <w:tc>
          <w:tcPr>
            <w:tcW w:w="950" w:type="dxa"/>
            <w:noWrap/>
            <w:hideMark/>
          </w:tcPr>
          <w:p w14:paraId="1BBC5635" w14:textId="77777777" w:rsidR="009F0AEF" w:rsidRPr="009F0AEF" w:rsidRDefault="009F0AEF" w:rsidP="009F0AEF">
            <w:r w:rsidRPr="009F0AEF">
              <w:t>41.93 (73)</w:t>
            </w:r>
          </w:p>
        </w:tc>
        <w:tc>
          <w:tcPr>
            <w:tcW w:w="950" w:type="dxa"/>
            <w:noWrap/>
            <w:hideMark/>
          </w:tcPr>
          <w:p w14:paraId="2343F5FD" w14:textId="77777777" w:rsidR="009F0AEF" w:rsidRPr="009F0AEF" w:rsidRDefault="009F0AEF" w:rsidP="009F0AEF">
            <w:r w:rsidRPr="009F0AEF">
              <w:t>49.67 (84)</w:t>
            </w:r>
          </w:p>
        </w:tc>
        <w:tc>
          <w:tcPr>
            <w:tcW w:w="1050" w:type="dxa"/>
            <w:noWrap/>
            <w:hideMark/>
          </w:tcPr>
          <w:p w14:paraId="0140B05F" w14:textId="77777777" w:rsidR="009F0AEF" w:rsidRPr="009F0AEF" w:rsidRDefault="009F0AEF" w:rsidP="009F0AEF">
            <w:r w:rsidRPr="009F0AEF">
              <w:t>72.27 (120)</w:t>
            </w:r>
          </w:p>
        </w:tc>
        <w:tc>
          <w:tcPr>
            <w:tcW w:w="951" w:type="dxa"/>
            <w:noWrap/>
            <w:hideMark/>
          </w:tcPr>
          <w:p w14:paraId="29BAEE9A" w14:textId="77777777" w:rsidR="009F0AEF" w:rsidRPr="009F0AEF" w:rsidRDefault="009F0AEF" w:rsidP="009F0AEF">
            <w:r w:rsidRPr="009F0AEF">
              <w:t>55.51 (92)</w:t>
            </w:r>
          </w:p>
        </w:tc>
        <w:tc>
          <w:tcPr>
            <w:tcW w:w="951" w:type="dxa"/>
            <w:noWrap/>
            <w:hideMark/>
          </w:tcPr>
          <w:p w14:paraId="0360455E" w14:textId="77777777" w:rsidR="009F0AEF" w:rsidRPr="009F0AEF" w:rsidRDefault="009F0AEF" w:rsidP="009F0AEF">
            <w:r w:rsidRPr="009F0AEF">
              <w:t>48.42 (81)</w:t>
            </w:r>
          </w:p>
        </w:tc>
        <w:tc>
          <w:tcPr>
            <w:tcW w:w="951" w:type="dxa"/>
            <w:noWrap/>
            <w:hideMark/>
          </w:tcPr>
          <w:p w14:paraId="1F51E7B4" w14:textId="77777777" w:rsidR="009F0AEF" w:rsidRPr="009F0AEF" w:rsidRDefault="009F0AEF" w:rsidP="009F0AEF">
            <w:r w:rsidRPr="009F0AEF">
              <w:t>56.93 (93)</w:t>
            </w:r>
          </w:p>
        </w:tc>
        <w:tc>
          <w:tcPr>
            <w:tcW w:w="1050" w:type="dxa"/>
            <w:noWrap/>
            <w:hideMark/>
          </w:tcPr>
          <w:p w14:paraId="2432973B" w14:textId="77777777" w:rsidR="009F0AEF" w:rsidRPr="009F0AEF" w:rsidRDefault="009F0AEF" w:rsidP="009F0AEF">
            <w:r w:rsidRPr="009F0AEF">
              <w:t>63.97 (102)</w:t>
            </w:r>
          </w:p>
        </w:tc>
        <w:tc>
          <w:tcPr>
            <w:tcW w:w="951" w:type="dxa"/>
            <w:noWrap/>
            <w:hideMark/>
          </w:tcPr>
          <w:p w14:paraId="43E0826B" w14:textId="77777777" w:rsidR="009F0AEF" w:rsidRPr="009F0AEF" w:rsidRDefault="009F0AEF" w:rsidP="009F0AEF">
            <w:r w:rsidRPr="009F0AEF">
              <w:t>56.23 (87)</w:t>
            </w:r>
          </w:p>
        </w:tc>
        <w:tc>
          <w:tcPr>
            <w:tcW w:w="1050" w:type="dxa"/>
            <w:noWrap/>
            <w:hideMark/>
          </w:tcPr>
          <w:p w14:paraId="16F82C1C" w14:textId="77777777" w:rsidR="009F0AEF" w:rsidRPr="009F0AEF" w:rsidRDefault="009F0AEF" w:rsidP="009F0AEF">
            <w:r w:rsidRPr="009F0AEF">
              <w:t>55.61 (732)</w:t>
            </w:r>
          </w:p>
        </w:tc>
        <w:tc>
          <w:tcPr>
            <w:tcW w:w="1906" w:type="dxa"/>
            <w:noWrap/>
            <w:hideMark/>
          </w:tcPr>
          <w:p w14:paraId="49C0F940" w14:textId="77777777" w:rsidR="009F0AEF" w:rsidRPr="009F0AEF" w:rsidRDefault="009F0AEF" w:rsidP="009F0AEF">
            <w:r w:rsidRPr="009F0AEF">
              <w:t>1.411(-2.171,4.993)</w:t>
            </w:r>
          </w:p>
        </w:tc>
        <w:tc>
          <w:tcPr>
            <w:tcW w:w="780" w:type="dxa"/>
            <w:noWrap/>
            <w:hideMark/>
          </w:tcPr>
          <w:p w14:paraId="0B26E63E" w14:textId="77777777" w:rsidR="009F0AEF" w:rsidRPr="009F0AEF" w:rsidRDefault="009F0AEF" w:rsidP="009F0AEF">
            <w:r w:rsidRPr="009F0AEF">
              <w:t>0.372</w:t>
            </w:r>
          </w:p>
        </w:tc>
      </w:tr>
      <w:tr w:rsidR="009F0AEF" w:rsidRPr="009F0AEF" w14:paraId="2E1D8898" w14:textId="77777777" w:rsidTr="009F0AEF">
        <w:trPr>
          <w:trHeight w:val="288"/>
          <w:jc w:val="center"/>
        </w:trPr>
        <w:tc>
          <w:tcPr>
            <w:tcW w:w="960" w:type="dxa"/>
            <w:noWrap/>
            <w:hideMark/>
          </w:tcPr>
          <w:p w14:paraId="49F403B7" w14:textId="77777777" w:rsidR="009F0AEF" w:rsidRPr="009F0AEF" w:rsidRDefault="009F0AEF" w:rsidP="009F0AEF">
            <w:r w:rsidRPr="009F0AEF">
              <w:t>3-11m</w:t>
            </w:r>
          </w:p>
        </w:tc>
        <w:tc>
          <w:tcPr>
            <w:tcW w:w="950" w:type="dxa"/>
            <w:noWrap/>
            <w:hideMark/>
          </w:tcPr>
          <w:p w14:paraId="313F5288" w14:textId="77777777" w:rsidR="009F0AEF" w:rsidRPr="009F0AEF" w:rsidRDefault="009F0AEF" w:rsidP="009F0AEF">
            <w:r w:rsidRPr="009F0AEF">
              <w:t>7.47 (39)</w:t>
            </w:r>
          </w:p>
        </w:tc>
        <w:tc>
          <w:tcPr>
            <w:tcW w:w="950" w:type="dxa"/>
            <w:noWrap/>
            <w:hideMark/>
          </w:tcPr>
          <w:p w14:paraId="654DF715" w14:textId="77777777" w:rsidR="009F0AEF" w:rsidRPr="009F0AEF" w:rsidRDefault="009F0AEF" w:rsidP="009F0AEF">
            <w:r w:rsidRPr="009F0AEF">
              <w:t>8.28 (42)</w:t>
            </w:r>
          </w:p>
        </w:tc>
        <w:tc>
          <w:tcPr>
            <w:tcW w:w="1050" w:type="dxa"/>
            <w:noWrap/>
            <w:hideMark/>
          </w:tcPr>
          <w:p w14:paraId="7B0CCBFF" w14:textId="77777777" w:rsidR="009F0AEF" w:rsidRPr="009F0AEF" w:rsidRDefault="009F0AEF" w:rsidP="009F0AEF">
            <w:r w:rsidRPr="009F0AEF">
              <w:t>7.43 (37)</w:t>
            </w:r>
          </w:p>
        </w:tc>
        <w:tc>
          <w:tcPr>
            <w:tcW w:w="951" w:type="dxa"/>
            <w:noWrap/>
            <w:hideMark/>
          </w:tcPr>
          <w:p w14:paraId="34FB0101" w14:textId="77777777" w:rsidR="009F0AEF" w:rsidRPr="009F0AEF" w:rsidRDefault="009F0AEF" w:rsidP="009F0AEF">
            <w:r w:rsidRPr="009F0AEF">
              <w:t>9.45 (47)</w:t>
            </w:r>
          </w:p>
        </w:tc>
        <w:tc>
          <w:tcPr>
            <w:tcW w:w="951" w:type="dxa"/>
            <w:noWrap/>
            <w:hideMark/>
          </w:tcPr>
          <w:p w14:paraId="1C625783" w14:textId="77777777" w:rsidR="009F0AEF" w:rsidRPr="009F0AEF" w:rsidRDefault="009F0AEF" w:rsidP="009F0AEF">
            <w:r w:rsidRPr="009F0AEF">
              <w:t>10.16 (51)</w:t>
            </w:r>
          </w:p>
        </w:tc>
        <w:tc>
          <w:tcPr>
            <w:tcW w:w="951" w:type="dxa"/>
            <w:noWrap/>
            <w:hideMark/>
          </w:tcPr>
          <w:p w14:paraId="03C3EF65" w14:textId="77777777" w:rsidR="009F0AEF" w:rsidRPr="009F0AEF" w:rsidRDefault="009F0AEF" w:rsidP="009F0AEF">
            <w:r w:rsidRPr="009F0AEF">
              <w:t>6.73 (33)</w:t>
            </w:r>
          </w:p>
        </w:tc>
        <w:tc>
          <w:tcPr>
            <w:tcW w:w="1050" w:type="dxa"/>
            <w:noWrap/>
            <w:hideMark/>
          </w:tcPr>
          <w:p w14:paraId="0EC3AF04" w14:textId="77777777" w:rsidR="009F0AEF" w:rsidRPr="009F0AEF" w:rsidRDefault="009F0AEF" w:rsidP="009F0AEF">
            <w:r w:rsidRPr="009F0AEF">
              <w:t>7.32 (35)</w:t>
            </w:r>
          </w:p>
        </w:tc>
        <w:tc>
          <w:tcPr>
            <w:tcW w:w="951" w:type="dxa"/>
            <w:noWrap/>
            <w:hideMark/>
          </w:tcPr>
          <w:p w14:paraId="041DDE36" w14:textId="77777777" w:rsidR="009F0AEF" w:rsidRPr="009F0AEF" w:rsidRDefault="009F0AEF" w:rsidP="009F0AEF">
            <w:r w:rsidRPr="009F0AEF">
              <w:t>7.54 (35)</w:t>
            </w:r>
          </w:p>
        </w:tc>
        <w:tc>
          <w:tcPr>
            <w:tcW w:w="1050" w:type="dxa"/>
            <w:noWrap/>
            <w:hideMark/>
          </w:tcPr>
          <w:p w14:paraId="08E2621C" w14:textId="77777777" w:rsidR="009F0AEF" w:rsidRPr="009F0AEF" w:rsidRDefault="009F0AEF" w:rsidP="009F0AEF">
            <w:r w:rsidRPr="009F0AEF">
              <w:t>8.05 (319)</w:t>
            </w:r>
          </w:p>
        </w:tc>
        <w:tc>
          <w:tcPr>
            <w:tcW w:w="1906" w:type="dxa"/>
            <w:noWrap/>
            <w:hideMark/>
          </w:tcPr>
          <w:p w14:paraId="6FDA9141" w14:textId="77777777" w:rsidR="009F0AEF" w:rsidRPr="009F0AEF" w:rsidRDefault="009F0AEF" w:rsidP="009F0AEF">
            <w:r w:rsidRPr="009F0AEF">
              <w:t>-0.067(-0.544,0.409)</w:t>
            </w:r>
          </w:p>
        </w:tc>
        <w:tc>
          <w:tcPr>
            <w:tcW w:w="780" w:type="dxa"/>
            <w:noWrap/>
            <w:hideMark/>
          </w:tcPr>
          <w:p w14:paraId="2F035696" w14:textId="77777777" w:rsidR="009F0AEF" w:rsidRPr="009F0AEF" w:rsidRDefault="009F0AEF" w:rsidP="009F0AEF">
            <w:r w:rsidRPr="009F0AEF">
              <w:t>0.741</w:t>
            </w:r>
          </w:p>
        </w:tc>
      </w:tr>
      <w:tr w:rsidR="009F0AEF" w:rsidRPr="009F0AEF" w14:paraId="35A6E66A" w14:textId="77777777" w:rsidTr="009F0AEF">
        <w:trPr>
          <w:trHeight w:val="288"/>
          <w:jc w:val="center"/>
        </w:trPr>
        <w:tc>
          <w:tcPr>
            <w:tcW w:w="960" w:type="dxa"/>
            <w:noWrap/>
            <w:hideMark/>
          </w:tcPr>
          <w:p w14:paraId="3E0DE95D" w14:textId="77777777" w:rsidR="009F0AEF" w:rsidRPr="009F0AEF" w:rsidRDefault="009F0AEF" w:rsidP="009F0AEF">
            <w:r w:rsidRPr="009F0AEF">
              <w:t>1-4</w:t>
            </w:r>
          </w:p>
        </w:tc>
        <w:tc>
          <w:tcPr>
            <w:tcW w:w="950" w:type="dxa"/>
            <w:noWrap/>
            <w:hideMark/>
          </w:tcPr>
          <w:p w14:paraId="36BE6CD4" w14:textId="77777777" w:rsidR="009F0AEF" w:rsidRPr="009F0AEF" w:rsidRDefault="009F0AEF" w:rsidP="009F0AEF">
            <w:r w:rsidRPr="009F0AEF">
              <w:t>1.11 (30)</w:t>
            </w:r>
          </w:p>
        </w:tc>
        <w:tc>
          <w:tcPr>
            <w:tcW w:w="950" w:type="dxa"/>
            <w:noWrap/>
            <w:hideMark/>
          </w:tcPr>
          <w:p w14:paraId="4261C4E7" w14:textId="77777777" w:rsidR="009F0AEF" w:rsidRPr="009F0AEF" w:rsidRDefault="009F0AEF" w:rsidP="009F0AEF">
            <w:r w:rsidRPr="009F0AEF">
              <w:t>1.06 (29)</w:t>
            </w:r>
          </w:p>
        </w:tc>
        <w:tc>
          <w:tcPr>
            <w:tcW w:w="1050" w:type="dxa"/>
            <w:noWrap/>
            <w:hideMark/>
          </w:tcPr>
          <w:p w14:paraId="3BCB9B20" w14:textId="77777777" w:rsidR="009F0AEF" w:rsidRPr="009F0AEF" w:rsidRDefault="009F0AEF" w:rsidP="009F0AEF">
            <w:r w:rsidRPr="009F0AEF">
              <w:t>1.48 (41)</w:t>
            </w:r>
          </w:p>
        </w:tc>
        <w:tc>
          <w:tcPr>
            <w:tcW w:w="951" w:type="dxa"/>
            <w:noWrap/>
            <w:hideMark/>
          </w:tcPr>
          <w:p w14:paraId="0D0ADFDD" w14:textId="77777777" w:rsidR="009F0AEF" w:rsidRPr="009F0AEF" w:rsidRDefault="009F0AEF" w:rsidP="009F0AEF">
            <w:r w:rsidRPr="009F0AEF">
              <w:t>1.01 (28)</w:t>
            </w:r>
          </w:p>
        </w:tc>
        <w:tc>
          <w:tcPr>
            <w:tcW w:w="951" w:type="dxa"/>
            <w:noWrap/>
            <w:hideMark/>
          </w:tcPr>
          <w:p w14:paraId="753ACE77" w14:textId="77777777" w:rsidR="009F0AEF" w:rsidRPr="009F0AEF" w:rsidRDefault="009F0AEF" w:rsidP="009F0AEF">
            <w:r w:rsidRPr="009F0AEF">
              <w:t>1.09 (30)</w:t>
            </w:r>
          </w:p>
        </w:tc>
        <w:tc>
          <w:tcPr>
            <w:tcW w:w="951" w:type="dxa"/>
            <w:noWrap/>
            <w:hideMark/>
          </w:tcPr>
          <w:p w14:paraId="6C0F995F" w14:textId="77777777" w:rsidR="009F0AEF" w:rsidRPr="009F0AEF" w:rsidRDefault="009F0AEF" w:rsidP="009F0AEF">
            <w:r w:rsidRPr="009F0AEF">
              <w:t>1.1 (30)</w:t>
            </w:r>
          </w:p>
        </w:tc>
        <w:tc>
          <w:tcPr>
            <w:tcW w:w="1050" w:type="dxa"/>
            <w:noWrap/>
            <w:hideMark/>
          </w:tcPr>
          <w:p w14:paraId="2D7BD251" w14:textId="77777777" w:rsidR="009F0AEF" w:rsidRPr="009F0AEF" w:rsidRDefault="009F0AEF" w:rsidP="009F0AEF">
            <w:r w:rsidRPr="009F0AEF">
              <w:t>1.26 (34)</w:t>
            </w:r>
          </w:p>
        </w:tc>
        <w:tc>
          <w:tcPr>
            <w:tcW w:w="951" w:type="dxa"/>
            <w:noWrap/>
            <w:hideMark/>
          </w:tcPr>
          <w:p w14:paraId="02402A32" w14:textId="77777777" w:rsidR="009F0AEF" w:rsidRPr="009F0AEF" w:rsidRDefault="009F0AEF" w:rsidP="009F0AEF">
            <w:r w:rsidRPr="009F0AEF">
              <w:t>1.01 (27)</w:t>
            </w:r>
          </w:p>
        </w:tc>
        <w:tc>
          <w:tcPr>
            <w:tcW w:w="1050" w:type="dxa"/>
            <w:noWrap/>
            <w:hideMark/>
          </w:tcPr>
          <w:p w14:paraId="729F7F8D" w14:textId="77777777" w:rsidR="009F0AEF" w:rsidRPr="009F0AEF" w:rsidRDefault="009F0AEF" w:rsidP="009F0AEF">
            <w:r w:rsidRPr="009F0AEF">
              <w:t>1.14 (249)</w:t>
            </w:r>
          </w:p>
        </w:tc>
        <w:tc>
          <w:tcPr>
            <w:tcW w:w="1906" w:type="dxa"/>
            <w:noWrap/>
            <w:hideMark/>
          </w:tcPr>
          <w:p w14:paraId="6BED37B0" w14:textId="77777777" w:rsidR="009F0AEF" w:rsidRPr="009F0AEF" w:rsidRDefault="009F0AEF" w:rsidP="009F0AEF">
            <w:r w:rsidRPr="009F0AEF">
              <w:t>-0.01(-0.074,0.054)</w:t>
            </w:r>
          </w:p>
        </w:tc>
        <w:tc>
          <w:tcPr>
            <w:tcW w:w="780" w:type="dxa"/>
            <w:noWrap/>
            <w:hideMark/>
          </w:tcPr>
          <w:p w14:paraId="067E4843" w14:textId="77777777" w:rsidR="009F0AEF" w:rsidRPr="009F0AEF" w:rsidRDefault="009F0AEF" w:rsidP="009F0AEF">
            <w:r w:rsidRPr="009F0AEF">
              <w:t>0.718</w:t>
            </w:r>
          </w:p>
        </w:tc>
      </w:tr>
      <w:tr w:rsidR="009F0AEF" w:rsidRPr="009F0AEF" w14:paraId="0F567581" w14:textId="77777777" w:rsidTr="009F0AEF">
        <w:trPr>
          <w:trHeight w:val="288"/>
          <w:jc w:val="center"/>
        </w:trPr>
        <w:tc>
          <w:tcPr>
            <w:tcW w:w="960" w:type="dxa"/>
            <w:noWrap/>
            <w:hideMark/>
          </w:tcPr>
          <w:p w14:paraId="5EE25390" w14:textId="77777777" w:rsidR="009F0AEF" w:rsidRPr="009F0AEF" w:rsidRDefault="009F0AEF" w:rsidP="009F0AEF">
            <w:r w:rsidRPr="009F0AEF">
              <w:t>5-14</w:t>
            </w:r>
          </w:p>
        </w:tc>
        <w:tc>
          <w:tcPr>
            <w:tcW w:w="950" w:type="dxa"/>
            <w:noWrap/>
            <w:hideMark/>
          </w:tcPr>
          <w:p w14:paraId="2BAC9A19" w14:textId="77777777" w:rsidR="009F0AEF" w:rsidRPr="009F0AEF" w:rsidRDefault="009F0AEF" w:rsidP="009F0AEF">
            <w:r w:rsidRPr="009F0AEF">
              <w:t>0.31 (19)</w:t>
            </w:r>
          </w:p>
        </w:tc>
        <w:tc>
          <w:tcPr>
            <w:tcW w:w="950" w:type="dxa"/>
            <w:noWrap/>
            <w:hideMark/>
          </w:tcPr>
          <w:p w14:paraId="17A0824F" w14:textId="77777777" w:rsidR="009F0AEF" w:rsidRPr="009F0AEF" w:rsidRDefault="009F0AEF" w:rsidP="009F0AEF">
            <w:r w:rsidRPr="009F0AEF">
              <w:t>0.45 (28)</w:t>
            </w:r>
          </w:p>
        </w:tc>
        <w:tc>
          <w:tcPr>
            <w:tcW w:w="1050" w:type="dxa"/>
            <w:noWrap/>
            <w:hideMark/>
          </w:tcPr>
          <w:p w14:paraId="03B3C048" w14:textId="77777777" w:rsidR="009F0AEF" w:rsidRPr="009F0AEF" w:rsidRDefault="009F0AEF" w:rsidP="009F0AEF">
            <w:r w:rsidRPr="009F0AEF">
              <w:t>0.24 (15)</w:t>
            </w:r>
          </w:p>
        </w:tc>
        <w:tc>
          <w:tcPr>
            <w:tcW w:w="951" w:type="dxa"/>
            <w:noWrap/>
            <w:hideMark/>
          </w:tcPr>
          <w:p w14:paraId="21E44ABF" w14:textId="77777777" w:rsidR="009F0AEF" w:rsidRPr="009F0AEF" w:rsidRDefault="009F0AEF" w:rsidP="009F0AEF">
            <w:r w:rsidRPr="009F0AEF">
              <w:t>0.17 (11)</w:t>
            </w:r>
          </w:p>
        </w:tc>
        <w:tc>
          <w:tcPr>
            <w:tcW w:w="951" w:type="dxa"/>
            <w:noWrap/>
            <w:hideMark/>
          </w:tcPr>
          <w:p w14:paraId="4E144AE4" w14:textId="77777777" w:rsidR="009F0AEF" w:rsidRPr="009F0AEF" w:rsidRDefault="009F0AEF" w:rsidP="009F0AEF">
            <w:r w:rsidRPr="009F0AEF">
              <w:t>0.23 (15)</w:t>
            </w:r>
          </w:p>
        </w:tc>
        <w:tc>
          <w:tcPr>
            <w:tcW w:w="951" w:type="dxa"/>
            <w:noWrap/>
            <w:hideMark/>
          </w:tcPr>
          <w:p w14:paraId="7B89EDEF" w14:textId="77777777" w:rsidR="009F0AEF" w:rsidRPr="009F0AEF" w:rsidRDefault="009F0AEF" w:rsidP="009F0AEF">
            <w:r w:rsidRPr="009F0AEF">
              <w:t>0.26 (17)</w:t>
            </w:r>
          </w:p>
        </w:tc>
        <w:tc>
          <w:tcPr>
            <w:tcW w:w="1050" w:type="dxa"/>
            <w:noWrap/>
            <w:hideMark/>
          </w:tcPr>
          <w:p w14:paraId="7579D33F" w14:textId="77777777" w:rsidR="009F0AEF" w:rsidRPr="009F0AEF" w:rsidRDefault="009F0AEF" w:rsidP="009F0AEF">
            <w:r w:rsidRPr="009F0AEF">
              <w:t>0.38 (26)</w:t>
            </w:r>
          </w:p>
        </w:tc>
        <w:tc>
          <w:tcPr>
            <w:tcW w:w="951" w:type="dxa"/>
            <w:noWrap/>
            <w:hideMark/>
          </w:tcPr>
          <w:p w14:paraId="5DAA079A" w14:textId="77777777" w:rsidR="009F0AEF" w:rsidRPr="009F0AEF" w:rsidRDefault="009F0AEF" w:rsidP="009F0AEF">
            <w:r w:rsidRPr="009F0AEF">
              <w:t>0.22 (15)</w:t>
            </w:r>
          </w:p>
        </w:tc>
        <w:tc>
          <w:tcPr>
            <w:tcW w:w="1050" w:type="dxa"/>
            <w:noWrap/>
            <w:hideMark/>
          </w:tcPr>
          <w:p w14:paraId="5EF2988D" w14:textId="77777777" w:rsidR="009F0AEF" w:rsidRPr="009F0AEF" w:rsidRDefault="009F0AEF" w:rsidP="009F0AEF">
            <w:r w:rsidRPr="009F0AEF">
              <w:t>0.28 (146)</w:t>
            </w:r>
          </w:p>
        </w:tc>
        <w:tc>
          <w:tcPr>
            <w:tcW w:w="1906" w:type="dxa"/>
            <w:noWrap/>
            <w:hideMark/>
          </w:tcPr>
          <w:p w14:paraId="1BD351DC" w14:textId="77777777" w:rsidR="009F0AEF" w:rsidRPr="009F0AEF" w:rsidRDefault="009F0AEF" w:rsidP="009F0AEF">
            <w:r w:rsidRPr="009F0AEF">
              <w:t>-0.011(-0.048,0.026)</w:t>
            </w:r>
          </w:p>
        </w:tc>
        <w:tc>
          <w:tcPr>
            <w:tcW w:w="780" w:type="dxa"/>
            <w:noWrap/>
            <w:hideMark/>
          </w:tcPr>
          <w:p w14:paraId="14F82956" w14:textId="77777777" w:rsidR="009F0AEF" w:rsidRPr="009F0AEF" w:rsidRDefault="009F0AEF" w:rsidP="009F0AEF">
            <w:r w:rsidRPr="009F0AEF">
              <w:t>0.495</w:t>
            </w:r>
          </w:p>
        </w:tc>
      </w:tr>
      <w:tr w:rsidR="009F0AEF" w:rsidRPr="009F0AEF" w14:paraId="0DC6343D" w14:textId="77777777" w:rsidTr="009F0AEF">
        <w:trPr>
          <w:trHeight w:val="288"/>
          <w:jc w:val="center"/>
        </w:trPr>
        <w:tc>
          <w:tcPr>
            <w:tcW w:w="960" w:type="dxa"/>
            <w:noWrap/>
            <w:hideMark/>
          </w:tcPr>
          <w:p w14:paraId="02E67E41" w14:textId="77777777" w:rsidR="009F0AEF" w:rsidRPr="009F0AEF" w:rsidRDefault="009F0AEF" w:rsidP="009F0AEF">
            <w:r w:rsidRPr="009F0AEF">
              <w:t>15-44</w:t>
            </w:r>
          </w:p>
        </w:tc>
        <w:tc>
          <w:tcPr>
            <w:tcW w:w="950" w:type="dxa"/>
            <w:noWrap/>
            <w:hideMark/>
          </w:tcPr>
          <w:p w14:paraId="5F86336A" w14:textId="77777777" w:rsidR="009F0AEF" w:rsidRPr="009F0AEF" w:rsidRDefault="009F0AEF" w:rsidP="009F0AEF">
            <w:r w:rsidRPr="009F0AEF">
              <w:t>0.67 (143)</w:t>
            </w:r>
          </w:p>
        </w:tc>
        <w:tc>
          <w:tcPr>
            <w:tcW w:w="950" w:type="dxa"/>
            <w:noWrap/>
            <w:hideMark/>
          </w:tcPr>
          <w:p w14:paraId="3A6F655E" w14:textId="77777777" w:rsidR="009F0AEF" w:rsidRPr="009F0AEF" w:rsidRDefault="009F0AEF" w:rsidP="009F0AEF">
            <w:r w:rsidRPr="009F0AEF">
              <w:t>0.52 (111)</w:t>
            </w:r>
          </w:p>
        </w:tc>
        <w:tc>
          <w:tcPr>
            <w:tcW w:w="1050" w:type="dxa"/>
            <w:noWrap/>
            <w:hideMark/>
          </w:tcPr>
          <w:p w14:paraId="5E909B4B" w14:textId="77777777" w:rsidR="009F0AEF" w:rsidRPr="009F0AEF" w:rsidRDefault="009F0AEF" w:rsidP="009F0AEF">
            <w:r w:rsidRPr="009F0AEF">
              <w:t>0.5 (106)</w:t>
            </w:r>
          </w:p>
        </w:tc>
        <w:tc>
          <w:tcPr>
            <w:tcW w:w="951" w:type="dxa"/>
            <w:noWrap/>
            <w:hideMark/>
          </w:tcPr>
          <w:p w14:paraId="6CA26569" w14:textId="77777777" w:rsidR="009F0AEF" w:rsidRPr="009F0AEF" w:rsidRDefault="009F0AEF" w:rsidP="009F0AEF">
            <w:r w:rsidRPr="009F0AEF">
              <w:t>0.47 (100)</w:t>
            </w:r>
          </w:p>
        </w:tc>
        <w:tc>
          <w:tcPr>
            <w:tcW w:w="951" w:type="dxa"/>
            <w:noWrap/>
            <w:hideMark/>
          </w:tcPr>
          <w:p w14:paraId="2D194CD4" w14:textId="77777777" w:rsidR="009F0AEF" w:rsidRPr="009F0AEF" w:rsidRDefault="009F0AEF" w:rsidP="009F0AEF">
            <w:r w:rsidRPr="009F0AEF">
              <w:t>0.49 (104)</w:t>
            </w:r>
          </w:p>
        </w:tc>
        <w:tc>
          <w:tcPr>
            <w:tcW w:w="951" w:type="dxa"/>
            <w:noWrap/>
            <w:hideMark/>
          </w:tcPr>
          <w:p w14:paraId="3EA53935" w14:textId="77777777" w:rsidR="009F0AEF" w:rsidRPr="009F0AEF" w:rsidRDefault="009F0AEF" w:rsidP="009F0AEF">
            <w:r w:rsidRPr="009F0AEF">
              <w:t>0.55 (117)</w:t>
            </w:r>
          </w:p>
        </w:tc>
        <w:tc>
          <w:tcPr>
            <w:tcW w:w="1050" w:type="dxa"/>
            <w:noWrap/>
            <w:hideMark/>
          </w:tcPr>
          <w:p w14:paraId="63907813" w14:textId="77777777" w:rsidR="009F0AEF" w:rsidRPr="009F0AEF" w:rsidRDefault="009F0AEF" w:rsidP="009F0AEF">
            <w:r w:rsidRPr="009F0AEF">
              <w:t>0.42 (90)</w:t>
            </w:r>
          </w:p>
        </w:tc>
        <w:tc>
          <w:tcPr>
            <w:tcW w:w="951" w:type="dxa"/>
            <w:noWrap/>
            <w:hideMark/>
          </w:tcPr>
          <w:p w14:paraId="385B583B" w14:textId="77777777" w:rsidR="009F0AEF" w:rsidRPr="009F0AEF" w:rsidRDefault="009F0AEF" w:rsidP="009F0AEF">
            <w:r w:rsidRPr="009F0AEF">
              <w:t>0.49 (104)</w:t>
            </w:r>
          </w:p>
        </w:tc>
        <w:tc>
          <w:tcPr>
            <w:tcW w:w="1050" w:type="dxa"/>
            <w:noWrap/>
            <w:hideMark/>
          </w:tcPr>
          <w:p w14:paraId="2354956B" w14:textId="77777777" w:rsidR="009F0AEF" w:rsidRPr="009F0AEF" w:rsidRDefault="009F0AEF" w:rsidP="009F0AEF">
            <w:r w:rsidRPr="009F0AEF">
              <w:t>0.51 (875)</w:t>
            </w:r>
          </w:p>
        </w:tc>
        <w:tc>
          <w:tcPr>
            <w:tcW w:w="1906" w:type="dxa"/>
            <w:noWrap/>
            <w:hideMark/>
          </w:tcPr>
          <w:p w14:paraId="7EF4F65F" w14:textId="77777777" w:rsidR="009F0AEF" w:rsidRPr="009F0AEF" w:rsidRDefault="009F0AEF" w:rsidP="009F0AEF">
            <w:r w:rsidRPr="009F0AEF">
              <w:t>-0.019(-0.042,0.004)</w:t>
            </w:r>
          </w:p>
        </w:tc>
        <w:tc>
          <w:tcPr>
            <w:tcW w:w="780" w:type="dxa"/>
            <w:noWrap/>
            <w:hideMark/>
          </w:tcPr>
          <w:p w14:paraId="169C85D0" w14:textId="77777777" w:rsidR="009F0AEF" w:rsidRPr="009F0AEF" w:rsidRDefault="009F0AEF" w:rsidP="009F0AEF">
            <w:r w:rsidRPr="009F0AEF">
              <w:t>0.096</w:t>
            </w:r>
          </w:p>
        </w:tc>
      </w:tr>
      <w:tr w:rsidR="009F0AEF" w:rsidRPr="009F0AEF" w14:paraId="4662230C" w14:textId="77777777" w:rsidTr="009F0AEF">
        <w:trPr>
          <w:trHeight w:val="288"/>
          <w:jc w:val="center"/>
        </w:trPr>
        <w:tc>
          <w:tcPr>
            <w:tcW w:w="960" w:type="dxa"/>
            <w:noWrap/>
            <w:hideMark/>
          </w:tcPr>
          <w:p w14:paraId="07CEBA11" w14:textId="77777777" w:rsidR="009F0AEF" w:rsidRPr="009F0AEF" w:rsidRDefault="009F0AEF" w:rsidP="009F0AEF">
            <w:r w:rsidRPr="009F0AEF">
              <w:t>45-64</w:t>
            </w:r>
          </w:p>
        </w:tc>
        <w:tc>
          <w:tcPr>
            <w:tcW w:w="950" w:type="dxa"/>
            <w:noWrap/>
            <w:hideMark/>
          </w:tcPr>
          <w:p w14:paraId="20C4D09B" w14:textId="77777777" w:rsidR="009F0AEF" w:rsidRPr="009F0AEF" w:rsidRDefault="009F0AEF" w:rsidP="009F0AEF">
            <w:r w:rsidRPr="009F0AEF">
              <w:t>1.02 (138)</w:t>
            </w:r>
          </w:p>
        </w:tc>
        <w:tc>
          <w:tcPr>
            <w:tcW w:w="950" w:type="dxa"/>
            <w:noWrap/>
            <w:hideMark/>
          </w:tcPr>
          <w:p w14:paraId="39838727" w14:textId="77777777" w:rsidR="009F0AEF" w:rsidRPr="009F0AEF" w:rsidRDefault="009F0AEF" w:rsidP="009F0AEF">
            <w:r w:rsidRPr="009F0AEF">
              <w:t>0.71 (96)</w:t>
            </w:r>
          </w:p>
        </w:tc>
        <w:tc>
          <w:tcPr>
            <w:tcW w:w="1050" w:type="dxa"/>
            <w:noWrap/>
            <w:hideMark/>
          </w:tcPr>
          <w:p w14:paraId="05E4A988" w14:textId="77777777" w:rsidR="009F0AEF" w:rsidRPr="009F0AEF" w:rsidRDefault="009F0AEF" w:rsidP="009F0AEF">
            <w:r w:rsidRPr="009F0AEF">
              <w:t>0.82 (113)</w:t>
            </w:r>
          </w:p>
        </w:tc>
        <w:tc>
          <w:tcPr>
            <w:tcW w:w="951" w:type="dxa"/>
            <w:noWrap/>
            <w:hideMark/>
          </w:tcPr>
          <w:p w14:paraId="30486906" w14:textId="77777777" w:rsidR="009F0AEF" w:rsidRPr="009F0AEF" w:rsidRDefault="009F0AEF" w:rsidP="009F0AEF">
            <w:r w:rsidRPr="009F0AEF">
              <w:t>0.97 (135)</w:t>
            </w:r>
          </w:p>
        </w:tc>
        <w:tc>
          <w:tcPr>
            <w:tcW w:w="951" w:type="dxa"/>
            <w:noWrap/>
            <w:hideMark/>
          </w:tcPr>
          <w:p w14:paraId="64F1E1DF" w14:textId="77777777" w:rsidR="009F0AEF" w:rsidRPr="009F0AEF" w:rsidRDefault="009F0AEF" w:rsidP="009F0AEF">
            <w:r w:rsidRPr="009F0AEF">
              <w:t>0.86 (121)</w:t>
            </w:r>
          </w:p>
        </w:tc>
        <w:tc>
          <w:tcPr>
            <w:tcW w:w="951" w:type="dxa"/>
            <w:noWrap/>
            <w:hideMark/>
          </w:tcPr>
          <w:p w14:paraId="2E7307EC" w14:textId="77777777" w:rsidR="009F0AEF" w:rsidRPr="009F0AEF" w:rsidRDefault="009F0AEF" w:rsidP="009F0AEF">
            <w:r w:rsidRPr="009F0AEF">
              <w:t>0.84 (119)</w:t>
            </w:r>
          </w:p>
        </w:tc>
        <w:tc>
          <w:tcPr>
            <w:tcW w:w="1050" w:type="dxa"/>
            <w:noWrap/>
            <w:hideMark/>
          </w:tcPr>
          <w:p w14:paraId="0E03AF65" w14:textId="77777777" w:rsidR="009F0AEF" w:rsidRPr="009F0AEF" w:rsidRDefault="009F0AEF" w:rsidP="009F0AEF">
            <w:r w:rsidRPr="009F0AEF">
              <w:t>0.87 (124)</w:t>
            </w:r>
          </w:p>
        </w:tc>
        <w:tc>
          <w:tcPr>
            <w:tcW w:w="951" w:type="dxa"/>
            <w:noWrap/>
            <w:hideMark/>
          </w:tcPr>
          <w:p w14:paraId="3E6C742F" w14:textId="77777777" w:rsidR="009F0AEF" w:rsidRPr="009F0AEF" w:rsidRDefault="009F0AEF" w:rsidP="009F0AEF">
            <w:r w:rsidRPr="009F0AEF">
              <w:t>0.91 (131)</w:t>
            </w:r>
          </w:p>
        </w:tc>
        <w:tc>
          <w:tcPr>
            <w:tcW w:w="1050" w:type="dxa"/>
            <w:noWrap/>
            <w:hideMark/>
          </w:tcPr>
          <w:p w14:paraId="61B1F548" w14:textId="77777777" w:rsidR="009F0AEF" w:rsidRPr="009F0AEF" w:rsidRDefault="009F0AEF" w:rsidP="009F0AEF">
            <w:r w:rsidRPr="009F0AEF">
              <w:t>0.87 (977)</w:t>
            </w:r>
          </w:p>
        </w:tc>
        <w:tc>
          <w:tcPr>
            <w:tcW w:w="1906" w:type="dxa"/>
            <w:noWrap/>
            <w:hideMark/>
          </w:tcPr>
          <w:p w14:paraId="031BAC91" w14:textId="77777777" w:rsidR="009F0AEF" w:rsidRPr="009F0AEF" w:rsidRDefault="009F0AEF" w:rsidP="009F0AEF">
            <w:r w:rsidRPr="009F0AEF">
              <w:t>-0.001(-0.04,0.039)</w:t>
            </w:r>
          </w:p>
        </w:tc>
        <w:tc>
          <w:tcPr>
            <w:tcW w:w="780" w:type="dxa"/>
            <w:noWrap/>
            <w:hideMark/>
          </w:tcPr>
          <w:p w14:paraId="57B7EF3F" w14:textId="77777777" w:rsidR="009F0AEF" w:rsidRPr="009F0AEF" w:rsidRDefault="009F0AEF" w:rsidP="009F0AEF">
            <w:r w:rsidRPr="009F0AEF">
              <w:t>0.967</w:t>
            </w:r>
          </w:p>
        </w:tc>
      </w:tr>
      <w:tr w:rsidR="009F0AEF" w:rsidRPr="009F0AEF" w14:paraId="7B3DA81C" w14:textId="77777777" w:rsidTr="009F0AEF">
        <w:trPr>
          <w:trHeight w:val="288"/>
          <w:jc w:val="center"/>
        </w:trPr>
        <w:tc>
          <w:tcPr>
            <w:tcW w:w="960" w:type="dxa"/>
            <w:noWrap/>
            <w:hideMark/>
          </w:tcPr>
          <w:p w14:paraId="3DE76810" w14:textId="77777777" w:rsidR="009F0AEF" w:rsidRPr="009F0AEF" w:rsidRDefault="009F0AEF" w:rsidP="009F0AEF">
            <w:r w:rsidRPr="009F0AEF">
              <w:t>65+</w:t>
            </w:r>
          </w:p>
        </w:tc>
        <w:tc>
          <w:tcPr>
            <w:tcW w:w="950" w:type="dxa"/>
            <w:noWrap/>
            <w:hideMark/>
          </w:tcPr>
          <w:p w14:paraId="71900C72" w14:textId="77777777" w:rsidR="009F0AEF" w:rsidRPr="009F0AEF" w:rsidRDefault="009F0AEF" w:rsidP="009F0AEF">
            <w:r w:rsidRPr="009F0AEF">
              <w:t>1.58 (143)</w:t>
            </w:r>
          </w:p>
        </w:tc>
        <w:tc>
          <w:tcPr>
            <w:tcW w:w="950" w:type="dxa"/>
            <w:noWrap/>
            <w:hideMark/>
          </w:tcPr>
          <w:p w14:paraId="3E3A5B10" w14:textId="77777777" w:rsidR="009F0AEF" w:rsidRPr="009F0AEF" w:rsidRDefault="009F0AEF" w:rsidP="009F0AEF">
            <w:r w:rsidRPr="009F0AEF">
              <w:t>1.04 (97)</w:t>
            </w:r>
          </w:p>
        </w:tc>
        <w:tc>
          <w:tcPr>
            <w:tcW w:w="1050" w:type="dxa"/>
            <w:noWrap/>
            <w:hideMark/>
          </w:tcPr>
          <w:p w14:paraId="5FC45325" w14:textId="77777777" w:rsidR="009F0AEF" w:rsidRPr="009F0AEF" w:rsidRDefault="009F0AEF" w:rsidP="009F0AEF">
            <w:r w:rsidRPr="009F0AEF">
              <w:t>0.98 (93)</w:t>
            </w:r>
          </w:p>
        </w:tc>
        <w:tc>
          <w:tcPr>
            <w:tcW w:w="951" w:type="dxa"/>
            <w:noWrap/>
            <w:hideMark/>
          </w:tcPr>
          <w:p w14:paraId="09B6A695" w14:textId="77777777" w:rsidR="009F0AEF" w:rsidRPr="009F0AEF" w:rsidRDefault="009F0AEF" w:rsidP="009F0AEF">
            <w:r w:rsidRPr="009F0AEF">
              <w:t>0.8 (78)</w:t>
            </w:r>
          </w:p>
        </w:tc>
        <w:tc>
          <w:tcPr>
            <w:tcW w:w="951" w:type="dxa"/>
            <w:noWrap/>
            <w:hideMark/>
          </w:tcPr>
          <w:p w14:paraId="3F216A6F" w14:textId="77777777" w:rsidR="009F0AEF" w:rsidRPr="009F0AEF" w:rsidRDefault="009F0AEF" w:rsidP="009F0AEF">
            <w:r w:rsidRPr="009F0AEF">
              <w:t>0.84 (83)</w:t>
            </w:r>
          </w:p>
        </w:tc>
        <w:tc>
          <w:tcPr>
            <w:tcW w:w="951" w:type="dxa"/>
            <w:noWrap/>
            <w:hideMark/>
          </w:tcPr>
          <w:p w14:paraId="7FFD0906" w14:textId="77777777" w:rsidR="009F0AEF" w:rsidRPr="009F0AEF" w:rsidRDefault="009F0AEF" w:rsidP="009F0AEF">
            <w:r w:rsidRPr="009F0AEF">
              <w:t>0.9 (90)</w:t>
            </w:r>
          </w:p>
        </w:tc>
        <w:tc>
          <w:tcPr>
            <w:tcW w:w="1050" w:type="dxa"/>
            <w:noWrap/>
            <w:hideMark/>
          </w:tcPr>
          <w:p w14:paraId="2950302E" w14:textId="77777777" w:rsidR="009F0AEF" w:rsidRPr="009F0AEF" w:rsidRDefault="009F0AEF" w:rsidP="009F0AEF">
            <w:r w:rsidRPr="009F0AEF">
              <w:t>0.86 (88)</w:t>
            </w:r>
          </w:p>
        </w:tc>
        <w:tc>
          <w:tcPr>
            <w:tcW w:w="951" w:type="dxa"/>
            <w:noWrap/>
            <w:hideMark/>
          </w:tcPr>
          <w:p w14:paraId="04551813" w14:textId="77777777" w:rsidR="009F0AEF" w:rsidRPr="009F0AEF" w:rsidRDefault="009F0AEF" w:rsidP="009F0AEF">
            <w:r w:rsidRPr="009F0AEF">
              <w:t>0.88 (91)</w:t>
            </w:r>
          </w:p>
        </w:tc>
        <w:tc>
          <w:tcPr>
            <w:tcW w:w="1050" w:type="dxa"/>
            <w:noWrap/>
            <w:hideMark/>
          </w:tcPr>
          <w:p w14:paraId="4F894FB1" w14:textId="77777777" w:rsidR="009F0AEF" w:rsidRPr="009F0AEF" w:rsidRDefault="009F0AEF" w:rsidP="009F0AEF">
            <w:r w:rsidRPr="009F0AEF">
              <w:t>0.99 (763)</w:t>
            </w:r>
          </w:p>
        </w:tc>
        <w:tc>
          <w:tcPr>
            <w:tcW w:w="1906" w:type="dxa"/>
            <w:noWrap/>
            <w:hideMark/>
          </w:tcPr>
          <w:p w14:paraId="61C31B61" w14:textId="77777777" w:rsidR="009F0AEF" w:rsidRPr="009F0AEF" w:rsidRDefault="009F0AEF" w:rsidP="009F0AEF">
            <w:r w:rsidRPr="009F0AEF">
              <w:t>-0.071(-0.145,0.003)</w:t>
            </w:r>
          </w:p>
        </w:tc>
        <w:tc>
          <w:tcPr>
            <w:tcW w:w="780" w:type="dxa"/>
            <w:noWrap/>
            <w:hideMark/>
          </w:tcPr>
          <w:p w14:paraId="14FE4F87" w14:textId="77777777" w:rsidR="009F0AEF" w:rsidRPr="009F0AEF" w:rsidRDefault="009F0AEF" w:rsidP="009F0AEF">
            <w:r w:rsidRPr="009F0AEF">
              <w:t>0.057</w:t>
            </w:r>
          </w:p>
        </w:tc>
      </w:tr>
    </w:tbl>
    <w:p w14:paraId="53F22A6F" w14:textId="77777777" w:rsidR="003230DB" w:rsidRDefault="003230DB" w:rsidP="003230DB">
      <w:pPr>
        <w:spacing w:line="360" w:lineRule="auto"/>
      </w:pPr>
    </w:p>
    <w:p w14:paraId="0C52BC12" w14:textId="77777777" w:rsidR="003230DB" w:rsidRDefault="003230DB" w:rsidP="003230DB">
      <w:p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CD348EA" wp14:editId="10A0FCBF">
                <wp:extent cx="8532421" cy="451262"/>
                <wp:effectExtent l="0" t="0" r="21590" b="25400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2421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8FA83" w14:textId="16E3F8E6" w:rsidR="003230DB" w:rsidRDefault="003230DB" w:rsidP="003230DB">
                            <w:r>
                              <w:t xml:space="preserve">Supplementary Table 1: Incidence of </w:t>
                            </w:r>
                            <w:proofErr w:type="spellStart"/>
                            <w:r w:rsidR="00DA7EA3">
                              <w:t>laboaratory</w:t>
                            </w:r>
                            <w:proofErr w:type="spellEnd"/>
                            <w:r w:rsidR="00DA7EA3">
                              <w:t xml:space="preserve">-confirmed </w:t>
                            </w:r>
                            <w:r>
                              <w:t xml:space="preserve">bacterial meningitis by age-group and </w:t>
                            </w:r>
                            <w:r w:rsidR="00DA7EA3">
                              <w:t xml:space="preserve">year, with trends over time and </w:t>
                            </w:r>
                            <w:r>
                              <w:t xml:space="preserve">95% confidence interval estimated by linear regression analysis.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D348E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671.8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" fillcolor="white [3201]" strokeweight=".5pt">
                <v:textbox>
                  <w:txbxContent>
                    <w:p w14:paraId="7E18FA83" w14:textId="16E3F8E6" w:rsidR="003230DB" w:rsidRDefault="003230DB" w:rsidP="003230DB">
                      <w:r>
                        <w:t xml:space="preserve">Supplementary Table 1: Incidence of </w:t>
                      </w:r>
                      <w:proofErr w:type="spellStart"/>
                      <w:r w:rsidR="00DA7EA3">
                        <w:t>laboaratory</w:t>
                      </w:r>
                      <w:proofErr w:type="spellEnd"/>
                      <w:r w:rsidR="00DA7EA3">
                        <w:t xml:space="preserve">-confirmed </w:t>
                      </w:r>
                      <w:r>
                        <w:t xml:space="preserve">bacterial meningitis by age-group and </w:t>
                      </w:r>
                      <w:r w:rsidR="00DA7EA3">
                        <w:t xml:space="preserve">year, with trends over time and </w:t>
                      </w:r>
                      <w:r>
                        <w:t xml:space="preserve">95% confidence interval estimated by linear regression analysis.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05A68D" w14:textId="77777777" w:rsidR="003230DB" w:rsidRDefault="003230DB" w:rsidP="003230DB">
      <w:r>
        <w:br w:type="page"/>
      </w:r>
    </w:p>
    <w:p w14:paraId="4F98CBC1" w14:textId="1AEA612D" w:rsidR="004A05F3" w:rsidRDefault="00D96070">
      <w:r>
        <w:rPr>
          <w:noProof/>
          <w:lang w:eastAsia="en-GB"/>
        </w:rPr>
        <w:drawing>
          <wp:inline distT="0" distB="0" distL="0" distR="0" wp14:anchorId="1F970EF1" wp14:editId="2DE6DF0C">
            <wp:extent cx="6419850" cy="4994481"/>
            <wp:effectExtent l="0" t="0" r="0" b="0"/>
            <wp:docPr id="26" name="Picture 26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Diagram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62" cy="500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62A4C" w14:textId="167F8211" w:rsidR="003230DB" w:rsidRDefault="00D96070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BE55C28" wp14:editId="4CCF90A3">
                <wp:extent cx="7655442" cy="531628"/>
                <wp:effectExtent l="0" t="0" r="22225" b="2095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5442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678B6" w14:textId="2E2C84BB" w:rsidR="00D96070" w:rsidRDefault="00C02F16" w:rsidP="00D96070">
                            <w:r>
                              <w:t xml:space="preserve">Supplementary </w:t>
                            </w:r>
                            <w:r w:rsidR="00D96070">
                              <w:t xml:space="preserve">Figure 1. Total numbers of cases </w:t>
                            </w:r>
                            <w:r w:rsidR="00DA7EA3">
                              <w:t xml:space="preserve">of laboratory-confirmed bacterial meningitis </w:t>
                            </w:r>
                            <w:r w:rsidR="00D96070">
                              <w:t xml:space="preserve">by month </w:t>
                            </w:r>
                            <w:r w:rsidR="00DA7EA3">
                              <w:t xml:space="preserve">of year </w:t>
                            </w:r>
                            <w:r w:rsidR="00D96070">
                              <w:t xml:space="preserve">for </w:t>
                            </w:r>
                            <w:r w:rsidR="00DA7EA3">
                              <w:t>the major G</w:t>
                            </w:r>
                            <w:r w:rsidR="00D96070">
                              <w:t xml:space="preserve">ram positive and </w:t>
                            </w:r>
                            <w:r w:rsidR="00DA7EA3">
                              <w:t>G</w:t>
                            </w:r>
                            <w:r w:rsidR="00D96070">
                              <w:t>ram</w:t>
                            </w:r>
                            <w:r w:rsidR="00DA7EA3">
                              <w:t>-</w:t>
                            </w:r>
                            <w:r w:rsidR="00D96070">
                              <w:t>negative pathogens.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E55C28" id="Text Box 2" o:spid="_x0000_s1027" type="#_x0000_t202" style="width:602.8pt;height:4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" fillcolor="white [3201]" strokeweight=".5pt">
                <v:textbox>
                  <w:txbxContent>
                    <w:p w14:paraId="78C678B6" w14:textId="2E2C84BB" w:rsidR="00D96070" w:rsidRDefault="00C02F16" w:rsidP="00D96070">
                      <w:r>
                        <w:t xml:space="preserve">Supplementary </w:t>
                      </w:r>
                      <w:r w:rsidR="00D96070">
                        <w:t xml:space="preserve">Figure 1. Total numbers of cases </w:t>
                      </w:r>
                      <w:r w:rsidR="00DA7EA3">
                        <w:t xml:space="preserve">of laboratory-confirmed bacterial meningitis </w:t>
                      </w:r>
                      <w:r w:rsidR="00D96070">
                        <w:t xml:space="preserve">by month </w:t>
                      </w:r>
                      <w:r w:rsidR="00DA7EA3">
                        <w:t xml:space="preserve">of year </w:t>
                      </w:r>
                      <w:r w:rsidR="00D96070">
                        <w:t xml:space="preserve">for </w:t>
                      </w:r>
                      <w:r w:rsidR="00DA7EA3">
                        <w:t>the major G</w:t>
                      </w:r>
                      <w:r w:rsidR="00D96070">
                        <w:t xml:space="preserve">ram positive and </w:t>
                      </w:r>
                      <w:r w:rsidR="00DA7EA3">
                        <w:t>G</w:t>
                      </w:r>
                      <w:r w:rsidR="00D96070">
                        <w:t>ram</w:t>
                      </w:r>
                      <w:r w:rsidR="00DA7EA3">
                        <w:t>-</w:t>
                      </w:r>
                      <w:r w:rsidR="00D96070">
                        <w:t>negative pathogens.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E2CCCD" w14:textId="77777777" w:rsidR="00372726" w:rsidRDefault="00372726" w:rsidP="00372726">
      <w:pPr>
        <w:spacing w:after="0" w:line="360" w:lineRule="auto"/>
        <w:contextualSpacing/>
      </w:pPr>
      <w:r>
        <w:rPr>
          <w:noProof/>
          <w:lang w:eastAsia="en-GB"/>
        </w:rPr>
        <w:drawing>
          <wp:inline distT="0" distB="0" distL="0" distR="0" wp14:anchorId="08077C07" wp14:editId="222DCCEC">
            <wp:extent cx="8450580" cy="4635366"/>
            <wp:effectExtent l="0" t="0" r="7620" b="0"/>
            <wp:docPr id="29" name="Picture 29" descr="A picture containing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l_ages_prop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7362" cy="466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7BA00" w14:textId="77777777" w:rsidR="00372726" w:rsidRDefault="00372726" w:rsidP="00372726">
      <w:pPr>
        <w:spacing w:after="0" w:line="360" w:lineRule="auto"/>
        <w:contextualSpacing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21B2BF0" wp14:editId="7771647C">
                <wp:extent cx="8553450" cy="807720"/>
                <wp:effectExtent l="0" t="0" r="19050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04AD0" w14:textId="6A3ACFDA" w:rsidR="00372726" w:rsidRDefault="00BE263B" w:rsidP="00372726">
                            <w:r>
                              <w:t>Supplementary Figure 2</w:t>
                            </w:r>
                            <w:r w:rsidR="00372726">
                              <w:t>.</w:t>
                            </w:r>
                            <w:r>
                              <w:t xml:space="preserve"> </w:t>
                            </w:r>
                            <w:r w:rsidR="00372726">
                              <w:t xml:space="preserve"> Proportions of bacterial meningitis cases caused by specific bacteria in different age groups during 2012-19 in England. Abbreviations: </w:t>
                            </w:r>
                            <w:proofErr w:type="spellStart"/>
                            <w:proofErr w:type="gramStart"/>
                            <w:r w:rsidR="00372726">
                              <w:t>L.monocytogenes</w:t>
                            </w:r>
                            <w:proofErr w:type="spellEnd"/>
                            <w:proofErr w:type="gramEnd"/>
                            <w:r w:rsidR="00372726">
                              <w:t xml:space="preserve">= Listeria monocytogenes; </w:t>
                            </w:r>
                            <w:proofErr w:type="spellStart"/>
                            <w:r w:rsidR="00372726">
                              <w:t>S.aureus</w:t>
                            </w:r>
                            <w:proofErr w:type="spellEnd"/>
                            <w:r w:rsidR="00372726">
                              <w:t xml:space="preserve"> = Staphylococcus aureus, </w:t>
                            </w:r>
                            <w:proofErr w:type="spellStart"/>
                            <w:r w:rsidR="00372726">
                              <w:t>S.pneumoniae</w:t>
                            </w:r>
                            <w:proofErr w:type="spellEnd"/>
                            <w:r w:rsidR="00372726">
                              <w:t xml:space="preserve">= Streptococcal pneumoniae, E.coli= Escherichia coli, </w:t>
                            </w:r>
                            <w:proofErr w:type="spellStart"/>
                            <w:r w:rsidR="00372726">
                              <w:t>H.influenzae</w:t>
                            </w:r>
                            <w:proofErr w:type="spellEnd"/>
                            <w:r w:rsidR="00372726">
                              <w:t xml:space="preserve">-Haemophilus influenzae, </w:t>
                            </w:r>
                            <w:proofErr w:type="spellStart"/>
                            <w:r w:rsidR="00372726">
                              <w:t>N.meningitidis</w:t>
                            </w:r>
                            <w:proofErr w:type="spellEnd"/>
                            <w:r w:rsidR="00372726">
                              <w:t xml:space="preserve">= Neisseria meningitidis, CNS= Coagulase negative Staphylococci, </w:t>
                            </w:r>
                            <w:proofErr w:type="spellStart"/>
                            <w:r w:rsidR="00372726">
                              <w:t>Mtb</w:t>
                            </w:r>
                            <w:proofErr w:type="spellEnd"/>
                            <w:r w:rsidR="00372726">
                              <w:t>= Mycobacterium tuberculosis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1B2BF0" id="Text Box 20" o:spid="_x0000_s1028" type="#_x0000_t202" style="width:673.5pt;height:6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" fillcolor="white [3201]" strokeweight=".5pt">
                <v:textbox>
                  <w:txbxContent>
                    <w:p w14:paraId="01204AD0" w14:textId="6A3ACFDA" w:rsidR="00372726" w:rsidRDefault="00BE263B" w:rsidP="00372726">
                      <w:r>
                        <w:t xml:space="preserve">Supplementary Figure </w:t>
                      </w:r>
                      <w:r>
                        <w:t>2</w:t>
                      </w:r>
                      <w:r w:rsidR="00372726">
                        <w:t>.</w:t>
                      </w:r>
                      <w:r>
                        <w:t xml:space="preserve"> </w:t>
                      </w:r>
                      <w:r w:rsidR="00372726">
                        <w:t xml:space="preserve"> Proportions of bacterial meningitis cases caused by specific bacteria in different age groups during 2012-19 in England. Abbreviations: </w:t>
                      </w:r>
                      <w:proofErr w:type="spellStart"/>
                      <w:proofErr w:type="gramStart"/>
                      <w:r w:rsidR="00372726">
                        <w:t>L.monocytogenes</w:t>
                      </w:r>
                      <w:proofErr w:type="spellEnd"/>
                      <w:proofErr w:type="gramEnd"/>
                      <w:r w:rsidR="00372726">
                        <w:t xml:space="preserve">= Listeria monocytogenes; </w:t>
                      </w:r>
                      <w:proofErr w:type="spellStart"/>
                      <w:r w:rsidR="00372726">
                        <w:t>S.aureus</w:t>
                      </w:r>
                      <w:proofErr w:type="spellEnd"/>
                      <w:r w:rsidR="00372726">
                        <w:t xml:space="preserve"> = Staphylococcus aureus, </w:t>
                      </w:r>
                      <w:proofErr w:type="spellStart"/>
                      <w:r w:rsidR="00372726">
                        <w:t>S.pneumoniae</w:t>
                      </w:r>
                      <w:proofErr w:type="spellEnd"/>
                      <w:r w:rsidR="00372726">
                        <w:t xml:space="preserve">= Streptococcal pneumoniae, E.coli= Escherichia coli, </w:t>
                      </w:r>
                      <w:proofErr w:type="spellStart"/>
                      <w:r w:rsidR="00372726">
                        <w:t>H.influenzae</w:t>
                      </w:r>
                      <w:proofErr w:type="spellEnd"/>
                      <w:r w:rsidR="00372726">
                        <w:t xml:space="preserve">-Haemophilus influenzae, </w:t>
                      </w:r>
                      <w:proofErr w:type="spellStart"/>
                      <w:r w:rsidR="00372726">
                        <w:t>N.meningitidis</w:t>
                      </w:r>
                      <w:proofErr w:type="spellEnd"/>
                      <w:r w:rsidR="00372726">
                        <w:t xml:space="preserve">= Neisseria meningitidis, CNS= Coagulase negative Staphylococci, </w:t>
                      </w:r>
                      <w:proofErr w:type="spellStart"/>
                      <w:r w:rsidR="00372726">
                        <w:t>Mtb</w:t>
                      </w:r>
                      <w:proofErr w:type="spellEnd"/>
                      <w:r w:rsidR="00372726">
                        <w:t>= Mycobacterium tuberculosis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AD8DA9" w14:textId="77777777" w:rsidR="00372726" w:rsidRDefault="00372726"/>
    <w:p w14:paraId="2AB4A323" w14:textId="77777777" w:rsidR="00C53D9D" w:rsidRDefault="00C53D9D" w:rsidP="00C53D9D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1D25BDAA" wp14:editId="4580CF06">
            <wp:extent cx="6334125" cy="4513748"/>
            <wp:effectExtent l="0" t="0" r="0" b="1270"/>
            <wp:docPr id="31" name="Picture 3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e_BacDeath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182" cy="451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332EE" w14:textId="67976BD6" w:rsidR="000701AA" w:rsidRDefault="00C53D9D" w:rsidP="00C53D9D">
      <w:p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4EF0BEA" wp14:editId="4AE5EC55">
                <wp:extent cx="8886825" cy="571500"/>
                <wp:effectExtent l="0" t="0" r="28575" b="19050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7D9D3" w14:textId="3AE3D52C" w:rsidR="00C53D9D" w:rsidRDefault="00C53D9D" w:rsidP="00C53D9D">
                            <w:r>
                              <w:t xml:space="preserve">Supplementary Figure </w:t>
                            </w:r>
                            <w:r w:rsidR="003230DB">
                              <w:t>3</w:t>
                            </w:r>
                            <w:r>
                              <w:t xml:space="preserve">.  Proportions of cases who died </w:t>
                            </w:r>
                            <w:r w:rsidR="00DA7EA3">
                              <w:t xml:space="preserve">within </w:t>
                            </w:r>
                            <w:r>
                              <w:t xml:space="preserve">30 days </w:t>
                            </w:r>
                            <w:r w:rsidR="00DA7EA3">
                              <w:t xml:space="preserve">of laboratory confirmation </w:t>
                            </w:r>
                            <w:r>
                              <w:t>by age-</w:t>
                            </w:r>
                            <w:r w:rsidR="00DA7EA3">
                              <w:t xml:space="preserve">(A) </w:t>
                            </w:r>
                            <w:r>
                              <w:t xml:space="preserve">group and by </w:t>
                            </w:r>
                            <w:r w:rsidR="00DA7EA3">
                              <w:t>pathogen (</w:t>
                            </w:r>
                            <w:r>
                              <w:t>B</w:t>
                            </w:r>
                            <w:r w:rsidR="00DA7EA3">
                              <w:t>)</w:t>
                            </w:r>
                            <w:r>
                              <w:t>. The numbers inside the bar-chart represent the total numbers</w:t>
                            </w:r>
                            <w:r w:rsidR="00DA7EA3">
                              <w:t xml:space="preserve"> of cases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EF0BEA" id="Text Box 23" o:spid="_x0000_s1029" type="#_x0000_t202" style="width:699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" fillcolor="white [3201]" strokeweight=".5pt">
                <v:textbox>
                  <w:txbxContent>
                    <w:p w14:paraId="69F7D9D3" w14:textId="3AE3D52C" w:rsidR="00C53D9D" w:rsidRDefault="00C53D9D" w:rsidP="00C53D9D">
                      <w:r>
                        <w:t xml:space="preserve">Supplementary Figure </w:t>
                      </w:r>
                      <w:r w:rsidR="003230DB">
                        <w:t>3</w:t>
                      </w:r>
                      <w:r>
                        <w:t xml:space="preserve">.  Proportions of cases who died </w:t>
                      </w:r>
                      <w:r w:rsidR="00DA7EA3">
                        <w:t xml:space="preserve">within </w:t>
                      </w:r>
                      <w:r>
                        <w:t xml:space="preserve">30 days </w:t>
                      </w:r>
                      <w:r w:rsidR="00DA7EA3">
                        <w:t xml:space="preserve">of laboratory confirmation </w:t>
                      </w:r>
                      <w:r>
                        <w:t>by age-</w:t>
                      </w:r>
                      <w:r w:rsidR="00DA7EA3">
                        <w:t xml:space="preserve">(A) </w:t>
                      </w:r>
                      <w:r>
                        <w:t xml:space="preserve">group and by </w:t>
                      </w:r>
                      <w:r w:rsidR="00DA7EA3">
                        <w:t>pathogen (</w:t>
                      </w:r>
                      <w:r>
                        <w:t>B</w:t>
                      </w:r>
                      <w:r w:rsidR="00DA7EA3">
                        <w:t>)</w:t>
                      </w:r>
                      <w:r>
                        <w:t>. The numbers inside the bar-chart represent the total numbers</w:t>
                      </w:r>
                      <w:r w:rsidR="00DA7EA3">
                        <w:t xml:space="preserve"> of cases</w:t>
                      </w:r>
                      <w: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10EE2C" w14:textId="08D51AB3" w:rsidR="000701AA" w:rsidRDefault="000701AA"/>
    <w:p w14:paraId="7A6AA119" w14:textId="77777777" w:rsidR="000701AA" w:rsidRPr="002C1E09" w:rsidRDefault="000701AA" w:rsidP="000701AA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63951D66" wp14:editId="14A8DD4A">
            <wp:extent cx="9042023" cy="4105275"/>
            <wp:effectExtent l="0" t="0" r="6985" b="0"/>
            <wp:docPr id="32" name="Picture 32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Graphical user interface, application, table, Exce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5598" cy="410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EA132" w14:textId="392B5296" w:rsidR="003C6A25" w:rsidRPr="005D25AF" w:rsidRDefault="000701AA" w:rsidP="00162593">
      <w:pPr>
        <w:spacing w:line="360" w:lineRule="auto"/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C8B4F60" wp14:editId="084C9354">
                <wp:extent cx="9201150" cy="808075"/>
                <wp:effectExtent l="0" t="0" r="19050" b="11430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0" cy="80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11182" w14:textId="349B969C" w:rsidR="000701AA" w:rsidRDefault="00EA5B3D" w:rsidP="000701AA">
                            <w:r>
                              <w:t xml:space="preserve">Supplementary Figure </w:t>
                            </w:r>
                            <w:r w:rsidR="003230DB">
                              <w:t>4</w:t>
                            </w:r>
                            <w:r w:rsidR="000701AA">
                              <w:t xml:space="preserve">. Kaplan-Meier curves for survival probabilities at 30 days stratified by age group and </w:t>
                            </w:r>
                            <w:r w:rsidR="00850DA8">
                              <w:t>pathogen</w:t>
                            </w:r>
                            <w:r w:rsidR="000701AA">
                              <w:t xml:space="preserve">. Follow-up period </w:t>
                            </w:r>
                            <w:r w:rsidR="00850DA8">
                              <w:t xml:space="preserve">was limited </w:t>
                            </w:r>
                            <w:r w:rsidR="000701AA">
                              <w:t>to 30 days</w:t>
                            </w:r>
                            <w:r w:rsidR="00850DA8">
                              <w:t xml:space="preserve">; </w:t>
                            </w:r>
                            <w:r w:rsidR="000701AA">
                              <w:t xml:space="preserve">those that did not linked </w:t>
                            </w:r>
                            <w:r w:rsidR="00850DA8">
                              <w:t>to an electronic Patient Demographic Service (PDS) record to confirm status (alive/dead)</w:t>
                            </w:r>
                            <w:r w:rsidR="000701AA">
                              <w:t xml:space="preserve"> and those </w:t>
                            </w:r>
                            <w:r w:rsidR="00850DA8">
                              <w:t xml:space="preserve">who </w:t>
                            </w:r>
                            <w:r w:rsidR="000701AA">
                              <w:t xml:space="preserve">died after 30 days after their test date were censored. The </w:t>
                            </w:r>
                            <w:proofErr w:type="gramStart"/>
                            <w:r w:rsidR="000701AA">
                              <w:t>tables</w:t>
                            </w:r>
                            <w:proofErr w:type="gramEnd"/>
                            <w:r w:rsidR="000701AA">
                              <w:t xml:space="preserve"> below each curve </w:t>
                            </w:r>
                            <w:r w:rsidR="00850DA8">
                              <w:t xml:space="preserve">summarises </w:t>
                            </w:r>
                            <w:r w:rsidR="000701AA">
                              <w:t xml:space="preserve">those at risk at 5-day intervals.  Statistical significance was estimated by the log-rank calculation.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B4F60" id="Text Box 25" o:spid="_x0000_s1030" type="#_x0000_t202" style="width:724.5pt;height:6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" fillcolor="white [3201]" strokeweight=".5pt">
                <v:textbox>
                  <w:txbxContent>
                    <w:p w14:paraId="08B11182" w14:textId="349B969C" w:rsidR="000701AA" w:rsidRDefault="00EA5B3D" w:rsidP="000701AA">
                      <w:r>
                        <w:t xml:space="preserve">Supplementary Figure </w:t>
                      </w:r>
                      <w:r w:rsidR="003230DB">
                        <w:t>4</w:t>
                      </w:r>
                      <w:r w:rsidR="000701AA">
                        <w:t xml:space="preserve">. Kaplan-Meier curves for survival probabilities at 30 days stratified by age group and </w:t>
                      </w:r>
                      <w:r w:rsidR="00850DA8">
                        <w:t>pathogen</w:t>
                      </w:r>
                      <w:r w:rsidR="000701AA">
                        <w:t xml:space="preserve">. Follow-up period </w:t>
                      </w:r>
                      <w:r w:rsidR="00850DA8">
                        <w:t xml:space="preserve">was limited </w:t>
                      </w:r>
                      <w:r w:rsidR="000701AA">
                        <w:t>to 30 days</w:t>
                      </w:r>
                      <w:r w:rsidR="00850DA8">
                        <w:t xml:space="preserve">; </w:t>
                      </w:r>
                      <w:r w:rsidR="000701AA">
                        <w:t xml:space="preserve">those that did not linked </w:t>
                      </w:r>
                      <w:r w:rsidR="00850DA8">
                        <w:t>to an electronic Patient Demographic Service (PDS) record to confirm status (alive/dead)</w:t>
                      </w:r>
                      <w:r w:rsidR="000701AA">
                        <w:t xml:space="preserve"> and those </w:t>
                      </w:r>
                      <w:r w:rsidR="00850DA8">
                        <w:t xml:space="preserve">who </w:t>
                      </w:r>
                      <w:r w:rsidR="000701AA">
                        <w:t xml:space="preserve">died after 30 days after their test date were censored. The </w:t>
                      </w:r>
                      <w:proofErr w:type="gramStart"/>
                      <w:r w:rsidR="000701AA">
                        <w:t>tables</w:t>
                      </w:r>
                      <w:proofErr w:type="gramEnd"/>
                      <w:r w:rsidR="000701AA">
                        <w:t xml:space="preserve"> below each curve </w:t>
                      </w:r>
                      <w:r w:rsidR="00850DA8">
                        <w:t xml:space="preserve">summarises </w:t>
                      </w:r>
                      <w:r w:rsidR="000701AA">
                        <w:t xml:space="preserve">those at risk at 5-day intervals.  Statistical significance was estimated by the log-rank calculation.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C6A25" w:rsidRPr="005D25AF" w:rsidSect="003230D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autoUpdateBibliography" w:val="true"/>
    <w:docVar w:name="paperpile-clusterType" w:val="normal"/>
    <w:docVar w:name="paperpile-doc-id" w:val="H973U133Q524O245"/>
    <w:docVar w:name="paperpile-doc-name" w:val="Supplementary_Section_shamez.docx"/>
    <w:docVar w:name="paperpile-includeDoi" w:val="false"/>
    <w:docVar w:name="paperpile-styleFile" w:val="vancouver.csl"/>
    <w:docVar w:name="paperpile-styleId" w:val="pp-vancouver"/>
    <w:docVar w:name="paperpile-styleLabel" w:val="Vancouver"/>
    <w:docVar w:name="paperpile-styleLocale" w:val="en-US"/>
  </w:docVars>
  <w:rsids>
    <w:rsidRoot w:val="000B1574"/>
    <w:rsid w:val="00067BC3"/>
    <w:rsid w:val="000701AA"/>
    <w:rsid w:val="000B1574"/>
    <w:rsid w:val="000C1ACB"/>
    <w:rsid w:val="00162593"/>
    <w:rsid w:val="001C3E70"/>
    <w:rsid w:val="003230DB"/>
    <w:rsid w:val="003448C7"/>
    <w:rsid w:val="00372726"/>
    <w:rsid w:val="003C6A25"/>
    <w:rsid w:val="00447615"/>
    <w:rsid w:val="004A05F3"/>
    <w:rsid w:val="004A242E"/>
    <w:rsid w:val="00683C7E"/>
    <w:rsid w:val="00727744"/>
    <w:rsid w:val="007C1BF2"/>
    <w:rsid w:val="00850DA8"/>
    <w:rsid w:val="00924405"/>
    <w:rsid w:val="009417BC"/>
    <w:rsid w:val="009647A9"/>
    <w:rsid w:val="009F0AEF"/>
    <w:rsid w:val="00A97A9C"/>
    <w:rsid w:val="00B66D26"/>
    <w:rsid w:val="00B92912"/>
    <w:rsid w:val="00BE263B"/>
    <w:rsid w:val="00C02F16"/>
    <w:rsid w:val="00C53D9D"/>
    <w:rsid w:val="00D96070"/>
    <w:rsid w:val="00DA7EA3"/>
    <w:rsid w:val="00EA5B3D"/>
    <w:rsid w:val="00F3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3A52"/>
  <w15:chartTrackingRefBased/>
  <w15:docId w15:val="{730A7825-F9D1-436E-8CF2-1D8F4E4C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448C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">
    <w:name w:val="Table Grid"/>
    <w:basedOn w:val="TableNormal"/>
    <w:uiPriority w:val="39"/>
    <w:rsid w:val="0072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01F3-8F95-4E66-B14A-FB374368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199</Words>
  <Characters>1228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 subbarao</dc:creator>
  <cp:keywords/>
  <dc:description/>
  <cp:lastModifiedBy>vani subbarao</cp:lastModifiedBy>
  <cp:revision>6</cp:revision>
  <dcterms:created xsi:type="dcterms:W3CDTF">2021-12-12T16:53:00Z</dcterms:created>
  <dcterms:modified xsi:type="dcterms:W3CDTF">2022-02-03T13:53:00Z</dcterms:modified>
</cp:coreProperties>
</file>