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A2125" w14:textId="5C34A961" w:rsidR="00C02A42" w:rsidRPr="00E676E1" w:rsidRDefault="00B2665C" w:rsidP="00B54D2A">
      <w:pPr>
        <w:spacing w:after="0"/>
        <w:rPr>
          <w:rFonts w:asciiTheme="majorHAnsi" w:hAnsiTheme="majorHAnsi" w:cstheme="majorHAnsi"/>
          <w:b/>
          <w:bCs/>
          <w:sz w:val="32"/>
          <w:szCs w:val="32"/>
        </w:rPr>
      </w:pPr>
      <w:r w:rsidRPr="00E676E1">
        <w:rPr>
          <w:rFonts w:asciiTheme="majorHAnsi" w:hAnsiTheme="majorHAnsi" w:cstheme="majorHAnsi"/>
          <w:b/>
          <w:bCs/>
          <w:sz w:val="32"/>
          <w:szCs w:val="32"/>
        </w:rPr>
        <w:t>O</w:t>
      </w:r>
      <w:r w:rsidR="00105FF3" w:rsidRPr="00E676E1">
        <w:rPr>
          <w:rFonts w:asciiTheme="majorHAnsi" w:hAnsiTheme="majorHAnsi" w:cstheme="majorHAnsi"/>
          <w:b/>
          <w:bCs/>
          <w:sz w:val="32"/>
          <w:szCs w:val="32"/>
        </w:rPr>
        <w:t xml:space="preserve">pioid </w:t>
      </w:r>
      <w:r w:rsidR="00A747A4">
        <w:rPr>
          <w:rFonts w:asciiTheme="majorHAnsi" w:hAnsiTheme="majorHAnsi" w:cstheme="majorHAnsi"/>
          <w:b/>
          <w:bCs/>
          <w:sz w:val="32"/>
          <w:szCs w:val="32"/>
        </w:rPr>
        <w:t>use</w:t>
      </w:r>
      <w:r w:rsidRPr="00E676E1">
        <w:rPr>
          <w:rFonts w:asciiTheme="majorHAnsi" w:hAnsiTheme="majorHAnsi" w:cstheme="majorHAnsi"/>
          <w:b/>
          <w:bCs/>
          <w:sz w:val="32"/>
          <w:szCs w:val="32"/>
        </w:rPr>
        <w:t xml:space="preserve"> and associated factors</w:t>
      </w:r>
      <w:r w:rsidR="00105FF3" w:rsidRPr="00E676E1">
        <w:rPr>
          <w:rFonts w:asciiTheme="majorHAnsi" w:hAnsiTheme="majorHAnsi" w:cstheme="majorHAnsi"/>
          <w:b/>
          <w:bCs/>
          <w:sz w:val="32"/>
          <w:szCs w:val="32"/>
        </w:rPr>
        <w:t xml:space="preserve"> in 1,</w:t>
      </w:r>
      <w:r w:rsidR="00E04876" w:rsidRPr="00E676E1">
        <w:rPr>
          <w:rFonts w:asciiTheme="majorHAnsi" w:hAnsiTheme="majorHAnsi" w:cstheme="majorHAnsi"/>
          <w:b/>
          <w:bCs/>
          <w:sz w:val="32"/>
          <w:szCs w:val="32"/>
        </w:rPr>
        <w:t>676</w:t>
      </w:r>
      <w:r w:rsidR="00AD71E5" w:rsidRPr="00E676E1">
        <w:rPr>
          <w:rFonts w:asciiTheme="majorHAnsi" w:hAnsiTheme="majorHAnsi" w:cstheme="majorHAnsi"/>
          <w:b/>
          <w:bCs/>
          <w:sz w:val="32"/>
          <w:szCs w:val="32"/>
        </w:rPr>
        <w:t xml:space="preserve"> </w:t>
      </w:r>
      <w:r w:rsidR="00105FF3" w:rsidRPr="00E676E1">
        <w:rPr>
          <w:rFonts w:asciiTheme="majorHAnsi" w:hAnsiTheme="majorHAnsi" w:cstheme="majorHAnsi"/>
          <w:b/>
          <w:bCs/>
          <w:sz w:val="32"/>
          <w:szCs w:val="32"/>
        </w:rPr>
        <w:t xml:space="preserve">inflammatory bowel disease patients: A multicentre </w:t>
      </w:r>
      <w:r w:rsidR="00B54D2A" w:rsidRPr="00E676E1">
        <w:rPr>
          <w:rFonts w:asciiTheme="majorHAnsi" w:hAnsiTheme="majorHAnsi" w:cstheme="majorHAnsi"/>
          <w:b/>
          <w:bCs/>
          <w:sz w:val="32"/>
          <w:szCs w:val="32"/>
        </w:rPr>
        <w:t>quality improvement project</w:t>
      </w:r>
    </w:p>
    <w:p w14:paraId="203E0047" w14:textId="77777777" w:rsidR="00FD44CA" w:rsidRPr="00E676E1" w:rsidRDefault="00FD44CA" w:rsidP="00B54D2A">
      <w:pPr>
        <w:spacing w:after="0"/>
        <w:rPr>
          <w:rFonts w:asciiTheme="majorHAnsi" w:hAnsiTheme="majorHAnsi" w:cstheme="majorHAnsi"/>
          <w:b/>
          <w:bCs/>
          <w:sz w:val="32"/>
          <w:szCs w:val="32"/>
        </w:rPr>
      </w:pPr>
    </w:p>
    <w:p w14:paraId="056E0CEC" w14:textId="40DC87C8" w:rsidR="00C02A42" w:rsidRPr="00E676E1" w:rsidRDefault="00917DA3" w:rsidP="00C02A42">
      <w:pPr>
        <w:spacing w:line="276" w:lineRule="auto"/>
        <w:rPr>
          <w:rFonts w:asciiTheme="majorHAnsi" w:hAnsiTheme="majorHAnsi" w:cstheme="majorHAnsi"/>
          <w:color w:val="000000" w:themeColor="text1"/>
        </w:rPr>
      </w:pPr>
      <w:r w:rsidRPr="00E676E1">
        <w:rPr>
          <w:rFonts w:asciiTheme="majorHAnsi" w:hAnsiTheme="majorHAnsi" w:cstheme="majorHAnsi"/>
          <w:color w:val="000000" w:themeColor="text1"/>
        </w:rPr>
        <w:t>Samantha Baillie,</w:t>
      </w:r>
      <w:r w:rsidR="00965EF9" w:rsidRPr="00E676E1">
        <w:rPr>
          <w:rFonts w:asciiTheme="majorHAnsi" w:hAnsiTheme="majorHAnsi" w:cstheme="majorHAnsi"/>
          <w:color w:val="000000" w:themeColor="text1"/>
          <w:vertAlign w:val="superscript"/>
        </w:rPr>
        <w:t>1</w:t>
      </w:r>
      <w:r w:rsidRPr="00E676E1">
        <w:rPr>
          <w:rFonts w:asciiTheme="majorHAnsi" w:hAnsiTheme="majorHAnsi" w:cstheme="majorHAnsi"/>
          <w:color w:val="000000" w:themeColor="text1"/>
        </w:rPr>
        <w:t xml:space="preserve"> </w:t>
      </w:r>
      <w:r w:rsidR="00212936" w:rsidRPr="00E676E1">
        <w:rPr>
          <w:rFonts w:asciiTheme="majorHAnsi" w:hAnsiTheme="majorHAnsi" w:cstheme="majorHAnsi"/>
          <w:color w:val="000000" w:themeColor="text1"/>
        </w:rPr>
        <w:t xml:space="preserve">Jimmy </w:t>
      </w:r>
      <w:r w:rsidR="00536337" w:rsidRPr="00E676E1">
        <w:rPr>
          <w:rFonts w:asciiTheme="majorHAnsi" w:hAnsiTheme="majorHAnsi" w:cstheme="majorHAnsi"/>
          <w:color w:val="000000" w:themeColor="text1"/>
        </w:rPr>
        <w:t xml:space="preserve">K. </w:t>
      </w:r>
      <w:r w:rsidR="00212936" w:rsidRPr="00E676E1">
        <w:rPr>
          <w:rFonts w:asciiTheme="majorHAnsi" w:hAnsiTheme="majorHAnsi" w:cstheme="majorHAnsi"/>
          <w:color w:val="000000" w:themeColor="text1"/>
        </w:rPr>
        <w:t>Limdi,</w:t>
      </w:r>
      <w:r w:rsidR="00212936" w:rsidRPr="00E676E1">
        <w:rPr>
          <w:rFonts w:asciiTheme="majorHAnsi" w:hAnsiTheme="majorHAnsi" w:cstheme="majorHAnsi"/>
          <w:color w:val="000000" w:themeColor="text1"/>
          <w:vertAlign w:val="superscript"/>
        </w:rPr>
        <w:t>2</w:t>
      </w:r>
      <w:r w:rsidR="00212936" w:rsidRPr="00E676E1">
        <w:rPr>
          <w:rFonts w:asciiTheme="majorHAnsi" w:hAnsiTheme="majorHAnsi" w:cstheme="majorHAnsi"/>
          <w:color w:val="000000" w:themeColor="text1"/>
        </w:rPr>
        <w:t xml:space="preserve"> </w:t>
      </w:r>
      <w:r w:rsidRPr="00E676E1">
        <w:rPr>
          <w:rFonts w:asciiTheme="majorHAnsi" w:hAnsiTheme="majorHAnsi" w:cstheme="majorHAnsi"/>
          <w:color w:val="000000" w:themeColor="text1"/>
        </w:rPr>
        <w:t>Ash Bassi,</w:t>
      </w:r>
      <w:r w:rsidR="00212936" w:rsidRPr="00E676E1">
        <w:rPr>
          <w:rFonts w:asciiTheme="majorHAnsi" w:hAnsiTheme="majorHAnsi" w:cstheme="majorHAnsi"/>
          <w:color w:val="000000" w:themeColor="text1"/>
          <w:vertAlign w:val="superscript"/>
        </w:rPr>
        <w:t>3</w:t>
      </w:r>
      <w:r w:rsidRPr="00E676E1">
        <w:rPr>
          <w:rFonts w:asciiTheme="majorHAnsi" w:hAnsiTheme="majorHAnsi" w:cstheme="majorHAnsi"/>
          <w:color w:val="000000" w:themeColor="text1"/>
        </w:rPr>
        <w:t xml:space="preserve"> </w:t>
      </w:r>
      <w:r w:rsidR="00965EF9" w:rsidRPr="00E676E1">
        <w:rPr>
          <w:rFonts w:asciiTheme="majorHAnsi" w:hAnsiTheme="majorHAnsi" w:cstheme="majorHAnsi"/>
          <w:color w:val="000000" w:themeColor="text1"/>
        </w:rPr>
        <w:t>Aileen Fraser,</w:t>
      </w:r>
      <w:r w:rsidR="00212936" w:rsidRPr="00E676E1">
        <w:rPr>
          <w:rFonts w:asciiTheme="majorHAnsi" w:hAnsiTheme="majorHAnsi" w:cstheme="majorHAnsi"/>
          <w:color w:val="000000" w:themeColor="text1"/>
          <w:vertAlign w:val="superscript"/>
        </w:rPr>
        <w:t>4</w:t>
      </w:r>
      <w:r w:rsidR="00965EF9" w:rsidRPr="00E676E1">
        <w:rPr>
          <w:rFonts w:asciiTheme="majorHAnsi" w:hAnsiTheme="majorHAnsi" w:cstheme="majorHAnsi"/>
          <w:color w:val="000000" w:themeColor="text1"/>
        </w:rPr>
        <w:t xml:space="preserve"> Gareth </w:t>
      </w:r>
      <w:r w:rsidR="00EF023B" w:rsidRPr="00E676E1">
        <w:rPr>
          <w:rFonts w:asciiTheme="majorHAnsi" w:hAnsiTheme="majorHAnsi" w:cstheme="majorHAnsi"/>
          <w:color w:val="000000" w:themeColor="text1"/>
        </w:rPr>
        <w:t xml:space="preserve">C. </w:t>
      </w:r>
      <w:r w:rsidR="00965EF9" w:rsidRPr="00E676E1">
        <w:rPr>
          <w:rFonts w:asciiTheme="majorHAnsi" w:hAnsiTheme="majorHAnsi" w:cstheme="majorHAnsi"/>
          <w:color w:val="000000" w:themeColor="text1"/>
        </w:rPr>
        <w:t>Parkes,</w:t>
      </w:r>
      <w:r w:rsidR="00965EF9" w:rsidRPr="00E676E1">
        <w:rPr>
          <w:rFonts w:asciiTheme="majorHAnsi" w:hAnsiTheme="majorHAnsi" w:cstheme="majorHAnsi"/>
          <w:color w:val="000000" w:themeColor="text1"/>
          <w:vertAlign w:val="superscript"/>
        </w:rPr>
        <w:t>5</w:t>
      </w:r>
      <w:r w:rsidR="00965EF9" w:rsidRPr="00E676E1">
        <w:rPr>
          <w:rFonts w:asciiTheme="majorHAnsi" w:hAnsiTheme="majorHAnsi" w:cstheme="majorHAnsi"/>
          <w:color w:val="000000" w:themeColor="text1"/>
        </w:rPr>
        <w:t xml:space="preserve"> Glyn Scott,</w:t>
      </w:r>
      <w:r w:rsidR="00965EF9" w:rsidRPr="00E676E1">
        <w:rPr>
          <w:rFonts w:asciiTheme="majorHAnsi" w:hAnsiTheme="majorHAnsi" w:cstheme="majorHAnsi"/>
          <w:color w:val="000000" w:themeColor="text1"/>
          <w:vertAlign w:val="superscript"/>
        </w:rPr>
        <w:t>6</w:t>
      </w:r>
      <w:r w:rsidR="00965EF9" w:rsidRPr="00E676E1">
        <w:rPr>
          <w:rFonts w:asciiTheme="majorHAnsi" w:hAnsiTheme="majorHAnsi" w:cstheme="majorHAnsi"/>
          <w:color w:val="000000" w:themeColor="text1"/>
        </w:rPr>
        <w:t xml:space="preserve"> Tim Raine,</w:t>
      </w:r>
      <w:r w:rsidR="00965EF9" w:rsidRPr="00E676E1">
        <w:rPr>
          <w:rFonts w:asciiTheme="majorHAnsi" w:hAnsiTheme="majorHAnsi" w:cstheme="majorHAnsi"/>
          <w:color w:val="000000" w:themeColor="text1"/>
          <w:vertAlign w:val="superscript"/>
        </w:rPr>
        <w:t>7</w:t>
      </w:r>
      <w:r w:rsidR="00965EF9" w:rsidRPr="00E676E1">
        <w:rPr>
          <w:rFonts w:asciiTheme="majorHAnsi" w:hAnsiTheme="majorHAnsi" w:cstheme="majorHAnsi"/>
          <w:color w:val="000000" w:themeColor="text1"/>
        </w:rPr>
        <w:t xml:space="preserve"> Christopher </w:t>
      </w:r>
      <w:r w:rsidR="00EF023B" w:rsidRPr="00E676E1">
        <w:rPr>
          <w:rFonts w:asciiTheme="majorHAnsi" w:hAnsiTheme="majorHAnsi" w:cstheme="majorHAnsi"/>
          <w:color w:val="000000" w:themeColor="text1"/>
        </w:rPr>
        <w:t xml:space="preserve">A. </w:t>
      </w:r>
      <w:r w:rsidR="00965EF9" w:rsidRPr="00E676E1">
        <w:rPr>
          <w:rFonts w:asciiTheme="majorHAnsi" w:hAnsiTheme="majorHAnsi" w:cstheme="majorHAnsi"/>
          <w:color w:val="000000" w:themeColor="text1"/>
        </w:rPr>
        <w:t>Lamb,</w:t>
      </w:r>
      <w:r w:rsidR="00965EF9" w:rsidRPr="00E676E1">
        <w:rPr>
          <w:rFonts w:asciiTheme="majorHAnsi" w:hAnsiTheme="majorHAnsi" w:cstheme="majorHAnsi"/>
          <w:color w:val="000000" w:themeColor="text1"/>
          <w:vertAlign w:val="superscript"/>
        </w:rPr>
        <w:t>8</w:t>
      </w:r>
      <w:r w:rsidR="00EF023B" w:rsidRPr="00E676E1">
        <w:rPr>
          <w:rFonts w:asciiTheme="majorHAnsi" w:hAnsiTheme="majorHAnsi" w:cstheme="majorHAnsi"/>
          <w:color w:val="000000" w:themeColor="text1"/>
          <w:vertAlign w:val="superscript"/>
        </w:rPr>
        <w:t>,9</w:t>
      </w:r>
      <w:r w:rsidR="00965EF9" w:rsidRPr="00E676E1">
        <w:rPr>
          <w:rFonts w:asciiTheme="majorHAnsi" w:hAnsiTheme="majorHAnsi" w:cstheme="majorHAnsi"/>
          <w:color w:val="000000" w:themeColor="text1"/>
        </w:rPr>
        <w:t xml:space="preserve"> </w:t>
      </w:r>
      <w:r w:rsidR="00965EF9" w:rsidRPr="00E676E1">
        <w:rPr>
          <w:rFonts w:asciiTheme="majorHAnsi" w:hAnsiTheme="majorHAnsi" w:cstheme="majorHAnsi"/>
        </w:rPr>
        <w:t>Nic</w:t>
      </w:r>
      <w:r w:rsidR="00EF023B" w:rsidRPr="00E676E1">
        <w:rPr>
          <w:rFonts w:asciiTheme="majorHAnsi" w:hAnsiTheme="majorHAnsi" w:cstheme="majorHAnsi"/>
        </w:rPr>
        <w:t xml:space="preserve">holas A. </w:t>
      </w:r>
      <w:r w:rsidR="00965EF9" w:rsidRPr="00E676E1">
        <w:rPr>
          <w:rFonts w:asciiTheme="majorHAnsi" w:hAnsiTheme="majorHAnsi" w:cstheme="majorHAnsi"/>
          <w:color w:val="000000" w:themeColor="text1"/>
        </w:rPr>
        <w:t>Kennedy,</w:t>
      </w:r>
      <w:r w:rsidR="00580D47" w:rsidRPr="00E676E1">
        <w:rPr>
          <w:rFonts w:asciiTheme="majorHAnsi" w:hAnsiTheme="majorHAnsi" w:cstheme="majorHAnsi"/>
          <w:color w:val="000000" w:themeColor="text1"/>
          <w:vertAlign w:val="superscript"/>
        </w:rPr>
        <w:t>10,11</w:t>
      </w:r>
      <w:r w:rsidR="00965EF9" w:rsidRPr="00E676E1">
        <w:rPr>
          <w:rFonts w:asciiTheme="majorHAnsi" w:hAnsiTheme="majorHAnsi" w:cstheme="majorHAnsi"/>
          <w:color w:val="000000" w:themeColor="text1"/>
        </w:rPr>
        <w:t xml:space="preserve"> Natalia Fumis,</w:t>
      </w:r>
      <w:r w:rsidR="00965EF9" w:rsidRPr="00E676E1">
        <w:rPr>
          <w:rFonts w:asciiTheme="majorHAnsi" w:hAnsiTheme="majorHAnsi" w:cstheme="majorHAnsi"/>
          <w:color w:val="000000" w:themeColor="text1"/>
          <w:vertAlign w:val="superscript"/>
        </w:rPr>
        <w:t>1</w:t>
      </w:r>
      <w:r w:rsidR="00580D47" w:rsidRPr="00E676E1">
        <w:rPr>
          <w:rFonts w:asciiTheme="majorHAnsi" w:hAnsiTheme="majorHAnsi" w:cstheme="majorHAnsi"/>
          <w:color w:val="000000" w:themeColor="text1"/>
          <w:vertAlign w:val="superscript"/>
        </w:rPr>
        <w:t>2</w:t>
      </w:r>
      <w:r w:rsidR="00965EF9" w:rsidRPr="00E676E1">
        <w:rPr>
          <w:rFonts w:asciiTheme="majorHAnsi" w:hAnsiTheme="majorHAnsi" w:cstheme="majorHAnsi"/>
          <w:color w:val="000000" w:themeColor="text1"/>
        </w:rPr>
        <w:t xml:space="preserve"> Melissa Smith,</w:t>
      </w:r>
      <w:r w:rsidR="00965EF9" w:rsidRPr="00E676E1">
        <w:rPr>
          <w:rFonts w:asciiTheme="majorHAnsi" w:hAnsiTheme="majorHAnsi" w:cstheme="majorHAnsi"/>
          <w:color w:val="000000" w:themeColor="text1"/>
          <w:vertAlign w:val="superscript"/>
        </w:rPr>
        <w:t>1</w:t>
      </w:r>
      <w:r w:rsidR="00580D47" w:rsidRPr="00E676E1">
        <w:rPr>
          <w:rFonts w:asciiTheme="majorHAnsi" w:hAnsiTheme="majorHAnsi" w:cstheme="majorHAnsi"/>
          <w:color w:val="000000" w:themeColor="text1"/>
          <w:vertAlign w:val="superscript"/>
        </w:rPr>
        <w:t>3</w:t>
      </w:r>
      <w:r w:rsidR="00965EF9" w:rsidRPr="00E676E1">
        <w:rPr>
          <w:rFonts w:asciiTheme="majorHAnsi" w:hAnsiTheme="majorHAnsi" w:cstheme="majorHAnsi"/>
          <w:color w:val="000000" w:themeColor="text1"/>
        </w:rPr>
        <w:t xml:space="preserve"> </w:t>
      </w:r>
      <w:r w:rsidR="00916A1E" w:rsidRPr="00E676E1">
        <w:rPr>
          <w:rFonts w:asciiTheme="majorHAnsi" w:hAnsiTheme="majorHAnsi" w:cstheme="majorHAnsi"/>
          <w:color w:val="000000" w:themeColor="text1"/>
        </w:rPr>
        <w:t>Andrew Nicolaou,</w:t>
      </w:r>
      <w:r w:rsidR="00916A1E" w:rsidRPr="00E676E1">
        <w:rPr>
          <w:rFonts w:asciiTheme="majorHAnsi" w:hAnsiTheme="majorHAnsi" w:cstheme="majorHAnsi"/>
          <w:color w:val="000000" w:themeColor="text1"/>
          <w:vertAlign w:val="superscript"/>
        </w:rPr>
        <w:t>1</w:t>
      </w:r>
      <w:r w:rsidR="00580D47" w:rsidRPr="00E676E1">
        <w:rPr>
          <w:rFonts w:asciiTheme="majorHAnsi" w:hAnsiTheme="majorHAnsi" w:cstheme="majorHAnsi"/>
          <w:color w:val="000000" w:themeColor="text1"/>
          <w:vertAlign w:val="superscript"/>
        </w:rPr>
        <w:t>4</w:t>
      </w:r>
      <w:r w:rsidR="00916A1E" w:rsidRPr="00E676E1">
        <w:rPr>
          <w:rFonts w:asciiTheme="majorHAnsi" w:hAnsiTheme="majorHAnsi" w:cstheme="majorHAnsi"/>
          <w:color w:val="000000" w:themeColor="text1"/>
        </w:rPr>
        <w:t xml:space="preserve"> </w:t>
      </w:r>
      <w:r w:rsidR="00965EF9" w:rsidRPr="00E676E1">
        <w:rPr>
          <w:rFonts w:asciiTheme="majorHAnsi" w:hAnsiTheme="majorHAnsi" w:cstheme="majorHAnsi"/>
          <w:color w:val="000000" w:themeColor="text1"/>
        </w:rPr>
        <w:t>Holly Emms,</w:t>
      </w:r>
      <w:r w:rsidR="00580D47" w:rsidRPr="00E676E1">
        <w:rPr>
          <w:rFonts w:asciiTheme="majorHAnsi" w:hAnsiTheme="majorHAnsi" w:cstheme="majorHAnsi"/>
          <w:color w:val="000000" w:themeColor="text1"/>
          <w:vertAlign w:val="superscript"/>
        </w:rPr>
        <w:t>10</w:t>
      </w:r>
      <w:r w:rsidR="00965EF9" w:rsidRPr="00E676E1">
        <w:rPr>
          <w:rFonts w:asciiTheme="majorHAnsi" w:hAnsiTheme="majorHAnsi" w:cstheme="majorHAnsi"/>
          <w:color w:val="000000" w:themeColor="text1"/>
        </w:rPr>
        <w:t xml:space="preserve"> John Wye,</w:t>
      </w:r>
      <w:r w:rsidR="00965EF9" w:rsidRPr="00E676E1">
        <w:rPr>
          <w:rFonts w:asciiTheme="majorHAnsi" w:hAnsiTheme="majorHAnsi" w:cstheme="majorHAnsi"/>
          <w:color w:val="000000" w:themeColor="text1"/>
          <w:vertAlign w:val="superscript"/>
        </w:rPr>
        <w:t>7</w:t>
      </w:r>
      <w:r w:rsidR="00965EF9" w:rsidRPr="00E676E1">
        <w:rPr>
          <w:rFonts w:asciiTheme="majorHAnsi" w:hAnsiTheme="majorHAnsi" w:cstheme="majorHAnsi"/>
          <w:color w:val="000000" w:themeColor="text1"/>
        </w:rPr>
        <w:t xml:space="preserve"> Anouk Lehmann,</w:t>
      </w:r>
      <w:r w:rsidR="00965EF9" w:rsidRPr="00E676E1">
        <w:rPr>
          <w:rFonts w:asciiTheme="majorHAnsi" w:hAnsiTheme="majorHAnsi" w:cstheme="majorHAnsi"/>
          <w:color w:val="000000" w:themeColor="text1"/>
          <w:vertAlign w:val="superscript"/>
        </w:rPr>
        <w:t>5</w:t>
      </w:r>
      <w:r w:rsidR="00965EF9" w:rsidRPr="00E676E1">
        <w:rPr>
          <w:rFonts w:asciiTheme="majorHAnsi" w:hAnsiTheme="majorHAnsi" w:cstheme="majorHAnsi"/>
          <w:color w:val="000000" w:themeColor="text1"/>
        </w:rPr>
        <w:t xml:space="preserve"> Isabel Carbery,</w:t>
      </w:r>
      <w:r w:rsidR="00916A1E" w:rsidRPr="00E676E1">
        <w:rPr>
          <w:rFonts w:asciiTheme="majorHAnsi" w:hAnsiTheme="majorHAnsi" w:cstheme="majorHAnsi"/>
          <w:color w:val="000000" w:themeColor="text1"/>
          <w:vertAlign w:val="superscript"/>
        </w:rPr>
        <w:t>1</w:t>
      </w:r>
      <w:r w:rsidR="004D66EA" w:rsidRPr="00E676E1">
        <w:rPr>
          <w:rFonts w:asciiTheme="majorHAnsi" w:hAnsiTheme="majorHAnsi" w:cstheme="majorHAnsi"/>
          <w:color w:val="000000" w:themeColor="text1"/>
          <w:vertAlign w:val="superscript"/>
        </w:rPr>
        <w:t>5</w:t>
      </w:r>
      <w:r w:rsidR="00965EF9" w:rsidRPr="00E676E1">
        <w:rPr>
          <w:rFonts w:asciiTheme="majorHAnsi" w:hAnsiTheme="majorHAnsi" w:cstheme="majorHAnsi"/>
          <w:color w:val="000000" w:themeColor="text1"/>
        </w:rPr>
        <w:t xml:space="preserve"> James Goodhand,</w:t>
      </w:r>
      <w:r w:rsidR="004D66EA" w:rsidRPr="00E676E1">
        <w:rPr>
          <w:rFonts w:asciiTheme="majorHAnsi" w:hAnsiTheme="majorHAnsi" w:cstheme="majorHAnsi"/>
          <w:color w:val="000000" w:themeColor="text1"/>
          <w:vertAlign w:val="superscript"/>
        </w:rPr>
        <w:t>10</w:t>
      </w:r>
      <w:r w:rsidR="00965EF9" w:rsidRPr="00E676E1">
        <w:rPr>
          <w:rFonts w:asciiTheme="majorHAnsi" w:hAnsiTheme="majorHAnsi" w:cstheme="majorHAnsi"/>
          <w:color w:val="000000" w:themeColor="text1"/>
        </w:rPr>
        <w:t xml:space="preserve"> Robert Lees,</w:t>
      </w:r>
      <w:r w:rsidR="00916A1E" w:rsidRPr="00E676E1">
        <w:rPr>
          <w:rFonts w:asciiTheme="majorHAnsi" w:hAnsiTheme="majorHAnsi" w:cstheme="majorHAnsi"/>
          <w:color w:val="000000" w:themeColor="text1"/>
          <w:vertAlign w:val="superscript"/>
        </w:rPr>
        <w:t>8</w:t>
      </w:r>
      <w:r w:rsidR="00965EF9" w:rsidRPr="00E676E1">
        <w:rPr>
          <w:rFonts w:asciiTheme="majorHAnsi" w:hAnsiTheme="majorHAnsi" w:cstheme="majorHAnsi"/>
          <w:color w:val="000000" w:themeColor="text1"/>
        </w:rPr>
        <w:t xml:space="preserve"> </w:t>
      </w:r>
      <w:r w:rsidR="004D66EA" w:rsidRPr="00E676E1">
        <w:rPr>
          <w:rFonts w:asciiTheme="majorHAnsi" w:hAnsiTheme="majorHAnsi" w:cstheme="majorHAnsi"/>
          <w:color w:val="000000" w:themeColor="text1"/>
          <w:shd w:val="clear" w:color="auto" w:fill="FFFFFF"/>
        </w:rPr>
        <w:t>Waleed Beshyah,</w:t>
      </w:r>
      <w:r w:rsidR="004D66EA" w:rsidRPr="00E676E1">
        <w:rPr>
          <w:rFonts w:asciiTheme="majorHAnsi" w:hAnsiTheme="majorHAnsi" w:cstheme="majorHAnsi"/>
          <w:color w:val="000000" w:themeColor="text1"/>
          <w:shd w:val="clear" w:color="auto" w:fill="FFFFFF"/>
          <w:vertAlign w:val="superscript"/>
        </w:rPr>
        <w:t>2</w:t>
      </w:r>
      <w:r w:rsidR="004D66EA" w:rsidRPr="00E676E1">
        <w:rPr>
          <w:rFonts w:asciiTheme="majorHAnsi" w:hAnsiTheme="majorHAnsi" w:cstheme="majorHAnsi"/>
          <w:color w:val="000000" w:themeColor="text1"/>
        </w:rPr>
        <w:t xml:space="preserve"> </w:t>
      </w:r>
      <w:r w:rsidR="00965EF9" w:rsidRPr="00E676E1">
        <w:rPr>
          <w:rFonts w:asciiTheme="majorHAnsi" w:hAnsiTheme="majorHAnsi" w:cstheme="majorHAnsi"/>
          <w:color w:val="000000" w:themeColor="text1"/>
        </w:rPr>
        <w:t>Pavit Luthra,</w:t>
      </w:r>
      <w:r w:rsidR="00916A1E" w:rsidRPr="00E676E1">
        <w:rPr>
          <w:rFonts w:asciiTheme="majorHAnsi" w:hAnsiTheme="majorHAnsi" w:cstheme="majorHAnsi"/>
          <w:color w:val="000000" w:themeColor="text1"/>
          <w:vertAlign w:val="superscript"/>
        </w:rPr>
        <w:t>5</w:t>
      </w:r>
      <w:r w:rsidR="00965EF9" w:rsidRPr="00E676E1">
        <w:rPr>
          <w:rFonts w:asciiTheme="majorHAnsi" w:hAnsiTheme="majorHAnsi" w:cstheme="majorHAnsi"/>
          <w:color w:val="000000" w:themeColor="text1"/>
        </w:rPr>
        <w:t xml:space="preserve"> Richard Pollok</w:t>
      </w:r>
      <w:r w:rsidR="002F3B4A" w:rsidRPr="00E676E1">
        <w:rPr>
          <w:rFonts w:asciiTheme="majorHAnsi" w:hAnsiTheme="majorHAnsi" w:cstheme="majorHAnsi"/>
          <w:color w:val="000000" w:themeColor="text1"/>
        </w:rPr>
        <w:t>,</w:t>
      </w:r>
      <w:r w:rsidR="00916A1E" w:rsidRPr="00E676E1">
        <w:rPr>
          <w:rFonts w:asciiTheme="majorHAnsi" w:hAnsiTheme="majorHAnsi" w:cstheme="majorHAnsi"/>
          <w:color w:val="000000" w:themeColor="text1"/>
          <w:vertAlign w:val="superscript"/>
        </w:rPr>
        <w:t>1</w:t>
      </w:r>
      <w:r w:rsidR="002F3B4A" w:rsidRPr="00E676E1">
        <w:rPr>
          <w:rFonts w:asciiTheme="majorHAnsi" w:hAnsiTheme="majorHAnsi" w:cstheme="majorHAnsi"/>
          <w:color w:val="000000" w:themeColor="text1"/>
        </w:rPr>
        <w:t>*</w:t>
      </w:r>
      <w:r w:rsidR="00BE76F1" w:rsidRPr="00E676E1">
        <w:rPr>
          <w:rFonts w:asciiTheme="majorHAnsi" w:hAnsiTheme="majorHAnsi" w:cstheme="majorHAnsi"/>
          <w:color w:val="000000" w:themeColor="text1"/>
        </w:rPr>
        <w:t xml:space="preserve"> </w:t>
      </w:r>
      <w:r w:rsidR="00C02A42" w:rsidRPr="00E676E1">
        <w:rPr>
          <w:rFonts w:asciiTheme="majorHAnsi" w:hAnsiTheme="majorHAnsi" w:cstheme="majorHAnsi"/>
          <w:color w:val="000000" w:themeColor="text1"/>
        </w:rPr>
        <w:t>Christian P</w:t>
      </w:r>
      <w:r w:rsidR="00EF023B" w:rsidRPr="00E676E1">
        <w:rPr>
          <w:rFonts w:asciiTheme="majorHAnsi" w:hAnsiTheme="majorHAnsi" w:cstheme="majorHAnsi"/>
          <w:color w:val="000000" w:themeColor="text1"/>
        </w:rPr>
        <w:t>.</w:t>
      </w:r>
      <w:r w:rsidR="00C02A42" w:rsidRPr="00E676E1">
        <w:rPr>
          <w:rFonts w:asciiTheme="majorHAnsi" w:hAnsiTheme="majorHAnsi" w:cstheme="majorHAnsi"/>
          <w:color w:val="000000" w:themeColor="text1"/>
        </w:rPr>
        <w:t xml:space="preserve"> Selinger</w:t>
      </w:r>
      <w:r w:rsidR="002F3B4A" w:rsidRPr="00E676E1">
        <w:rPr>
          <w:rFonts w:asciiTheme="majorHAnsi" w:hAnsiTheme="majorHAnsi" w:cstheme="majorHAnsi"/>
          <w:color w:val="000000" w:themeColor="text1"/>
          <w:vertAlign w:val="superscript"/>
        </w:rPr>
        <w:t>1</w:t>
      </w:r>
      <w:r w:rsidR="004D66EA" w:rsidRPr="00E676E1">
        <w:rPr>
          <w:rFonts w:asciiTheme="majorHAnsi" w:hAnsiTheme="majorHAnsi" w:cstheme="majorHAnsi"/>
          <w:color w:val="000000" w:themeColor="text1"/>
          <w:vertAlign w:val="superscript"/>
        </w:rPr>
        <w:t>5</w:t>
      </w:r>
      <w:r w:rsidR="002F3B4A" w:rsidRPr="00E676E1">
        <w:rPr>
          <w:rFonts w:asciiTheme="majorHAnsi" w:hAnsiTheme="majorHAnsi" w:cstheme="majorHAnsi"/>
          <w:color w:val="000000" w:themeColor="text1"/>
        </w:rPr>
        <w:t>*</w:t>
      </w:r>
      <w:r w:rsidR="00C02A42" w:rsidRPr="00E676E1">
        <w:rPr>
          <w:rFonts w:asciiTheme="majorHAnsi" w:hAnsiTheme="majorHAnsi" w:cstheme="majorHAnsi"/>
          <w:color w:val="000000" w:themeColor="text1"/>
        </w:rPr>
        <w:t xml:space="preserve"> </w:t>
      </w:r>
    </w:p>
    <w:p w14:paraId="1654EDEA" w14:textId="0E5A964C" w:rsidR="00C02A42" w:rsidRPr="00E676E1" w:rsidRDefault="002F3B4A" w:rsidP="00C02A42">
      <w:pPr>
        <w:spacing w:line="276" w:lineRule="auto"/>
        <w:rPr>
          <w:rFonts w:asciiTheme="majorHAnsi" w:hAnsiTheme="majorHAnsi" w:cstheme="majorHAnsi"/>
        </w:rPr>
      </w:pPr>
      <w:r w:rsidRPr="00E676E1">
        <w:rPr>
          <w:rFonts w:asciiTheme="majorHAnsi" w:hAnsiTheme="majorHAnsi" w:cstheme="majorHAnsi"/>
        </w:rPr>
        <w:t>*Joint senior author</w:t>
      </w:r>
    </w:p>
    <w:p w14:paraId="3F90CFA2" w14:textId="6FDCF043" w:rsidR="00916A1E" w:rsidRPr="00E676E1" w:rsidRDefault="00A051A8" w:rsidP="00916A1E">
      <w:pPr>
        <w:pStyle w:val="ListParagraph"/>
        <w:numPr>
          <w:ilvl w:val="0"/>
          <w:numId w:val="2"/>
        </w:numPr>
        <w:spacing w:line="276" w:lineRule="auto"/>
        <w:rPr>
          <w:rFonts w:asciiTheme="majorHAnsi" w:hAnsiTheme="majorHAnsi" w:cstheme="majorHAnsi"/>
        </w:rPr>
      </w:pPr>
      <w:r w:rsidRPr="00E676E1">
        <w:rPr>
          <w:rFonts w:asciiTheme="majorHAnsi" w:hAnsiTheme="majorHAnsi" w:cstheme="majorHAnsi"/>
          <w:color w:val="242424"/>
          <w:shd w:val="clear" w:color="auto" w:fill="FFFFFF"/>
        </w:rPr>
        <w:t>Department of Gastroenterology</w:t>
      </w:r>
      <w:r w:rsidR="00916A1E" w:rsidRPr="00E676E1">
        <w:rPr>
          <w:rFonts w:asciiTheme="majorHAnsi" w:hAnsiTheme="majorHAnsi" w:cstheme="majorHAnsi"/>
        </w:rPr>
        <w:t>, St George</w:t>
      </w:r>
      <w:r w:rsidR="00E04876" w:rsidRPr="00E676E1">
        <w:rPr>
          <w:rFonts w:asciiTheme="majorHAnsi" w:hAnsiTheme="majorHAnsi" w:cstheme="majorHAnsi"/>
        </w:rPr>
        <w:t>’</w:t>
      </w:r>
      <w:r w:rsidR="00916A1E" w:rsidRPr="00E676E1">
        <w:rPr>
          <w:rFonts w:asciiTheme="majorHAnsi" w:hAnsiTheme="majorHAnsi" w:cstheme="majorHAnsi"/>
        </w:rPr>
        <w:t>s</w:t>
      </w:r>
      <w:r w:rsidR="00E04876" w:rsidRPr="00E676E1">
        <w:rPr>
          <w:rFonts w:asciiTheme="majorHAnsi" w:hAnsiTheme="majorHAnsi" w:cstheme="majorHAnsi"/>
        </w:rPr>
        <w:t xml:space="preserve"> University of London &amp;</w:t>
      </w:r>
      <w:r w:rsidR="00916A1E" w:rsidRPr="00E676E1">
        <w:rPr>
          <w:rFonts w:asciiTheme="majorHAnsi" w:hAnsiTheme="majorHAnsi" w:cstheme="majorHAnsi"/>
        </w:rPr>
        <w:t xml:space="preserve"> University Hospital Foundation NHS Trust, London, UK</w:t>
      </w:r>
    </w:p>
    <w:p w14:paraId="41BE89CD" w14:textId="61687191" w:rsidR="00212936" w:rsidRPr="00E676E1" w:rsidRDefault="00A051A8" w:rsidP="00212936">
      <w:pPr>
        <w:pStyle w:val="ListParagraph"/>
        <w:numPr>
          <w:ilvl w:val="0"/>
          <w:numId w:val="2"/>
        </w:numPr>
        <w:spacing w:line="276" w:lineRule="auto"/>
        <w:rPr>
          <w:rFonts w:asciiTheme="majorHAnsi" w:hAnsiTheme="majorHAnsi" w:cstheme="majorHAnsi"/>
        </w:rPr>
      </w:pPr>
      <w:r w:rsidRPr="00E676E1">
        <w:rPr>
          <w:rFonts w:asciiTheme="majorHAnsi" w:hAnsiTheme="majorHAnsi" w:cstheme="majorHAnsi"/>
          <w:color w:val="242424"/>
          <w:shd w:val="clear" w:color="auto" w:fill="FFFFFF"/>
        </w:rPr>
        <w:t>Department of Gastroenterology</w:t>
      </w:r>
      <w:r w:rsidR="00212936" w:rsidRPr="00E676E1">
        <w:rPr>
          <w:rFonts w:asciiTheme="majorHAnsi" w:hAnsiTheme="majorHAnsi" w:cstheme="majorHAnsi"/>
        </w:rPr>
        <w:t>, Northern Care Alliance, Manchester, UK</w:t>
      </w:r>
    </w:p>
    <w:p w14:paraId="0F121848" w14:textId="2B39D3B1" w:rsidR="00916A1E" w:rsidRPr="00E676E1" w:rsidRDefault="004F0E8B" w:rsidP="00916A1E">
      <w:pPr>
        <w:pStyle w:val="ListParagraph"/>
        <w:numPr>
          <w:ilvl w:val="0"/>
          <w:numId w:val="2"/>
        </w:numPr>
        <w:spacing w:line="276" w:lineRule="auto"/>
        <w:rPr>
          <w:rFonts w:asciiTheme="majorHAnsi" w:hAnsiTheme="majorHAnsi" w:cstheme="majorHAnsi"/>
        </w:rPr>
      </w:pPr>
      <w:r w:rsidRPr="00E676E1">
        <w:rPr>
          <w:rFonts w:asciiTheme="majorHAnsi" w:hAnsiTheme="majorHAnsi" w:cstheme="majorHAnsi"/>
          <w:color w:val="242424"/>
          <w:shd w:val="clear" w:color="auto" w:fill="FFFFFF"/>
        </w:rPr>
        <w:t xml:space="preserve">Department of </w:t>
      </w:r>
      <w:r w:rsidR="00916A1E" w:rsidRPr="00E676E1">
        <w:rPr>
          <w:rFonts w:asciiTheme="majorHAnsi" w:hAnsiTheme="majorHAnsi" w:cstheme="majorHAnsi"/>
          <w:color w:val="242424"/>
          <w:shd w:val="clear" w:color="auto" w:fill="FFFFFF"/>
        </w:rPr>
        <w:t>Gastroenterology</w:t>
      </w:r>
      <w:r w:rsidR="00916A1E" w:rsidRPr="00E676E1">
        <w:rPr>
          <w:rFonts w:asciiTheme="majorHAnsi" w:hAnsiTheme="majorHAnsi" w:cstheme="majorHAnsi"/>
        </w:rPr>
        <w:t>, St Helens and Knowsley NHS Trust, St Helens, UK</w:t>
      </w:r>
    </w:p>
    <w:p w14:paraId="647AFC6C" w14:textId="02A5A32E" w:rsidR="00916A1E" w:rsidRPr="00E676E1" w:rsidRDefault="004F0E8B" w:rsidP="00916A1E">
      <w:pPr>
        <w:pStyle w:val="ListParagraph"/>
        <w:numPr>
          <w:ilvl w:val="0"/>
          <w:numId w:val="2"/>
        </w:numPr>
        <w:spacing w:line="276" w:lineRule="auto"/>
        <w:rPr>
          <w:rFonts w:asciiTheme="majorHAnsi" w:hAnsiTheme="majorHAnsi" w:cstheme="majorHAnsi"/>
        </w:rPr>
      </w:pPr>
      <w:r w:rsidRPr="00E676E1">
        <w:rPr>
          <w:rFonts w:asciiTheme="majorHAnsi" w:hAnsiTheme="majorHAnsi" w:cstheme="majorHAnsi"/>
          <w:color w:val="242424"/>
          <w:shd w:val="clear" w:color="auto" w:fill="FFFFFF"/>
        </w:rPr>
        <w:t xml:space="preserve">Department of </w:t>
      </w:r>
      <w:r w:rsidR="00916A1E" w:rsidRPr="00E676E1">
        <w:rPr>
          <w:rFonts w:asciiTheme="majorHAnsi" w:hAnsiTheme="majorHAnsi" w:cstheme="majorHAnsi"/>
          <w:color w:val="242424"/>
          <w:shd w:val="clear" w:color="auto" w:fill="FFFFFF"/>
        </w:rPr>
        <w:t>Gastroenterology</w:t>
      </w:r>
      <w:r w:rsidR="00916A1E" w:rsidRPr="00E676E1">
        <w:rPr>
          <w:rFonts w:asciiTheme="majorHAnsi" w:hAnsiTheme="majorHAnsi" w:cstheme="majorHAnsi"/>
        </w:rPr>
        <w:t>, University Hospitals Bristol</w:t>
      </w:r>
      <w:r w:rsidR="0006104B" w:rsidRPr="00E676E1">
        <w:rPr>
          <w:rFonts w:asciiTheme="majorHAnsi" w:hAnsiTheme="majorHAnsi" w:cstheme="majorHAnsi"/>
        </w:rPr>
        <w:t xml:space="preserve"> and Weston Trust</w:t>
      </w:r>
      <w:r w:rsidR="00916A1E" w:rsidRPr="00E676E1">
        <w:rPr>
          <w:rFonts w:asciiTheme="majorHAnsi" w:hAnsiTheme="majorHAnsi" w:cstheme="majorHAnsi"/>
        </w:rPr>
        <w:t>, Bristol, UK</w:t>
      </w:r>
    </w:p>
    <w:p w14:paraId="7BB7F9DC" w14:textId="0A895735" w:rsidR="00916A1E" w:rsidRPr="00E676E1" w:rsidRDefault="004F0E8B" w:rsidP="00916A1E">
      <w:pPr>
        <w:pStyle w:val="ListParagraph"/>
        <w:numPr>
          <w:ilvl w:val="0"/>
          <w:numId w:val="2"/>
        </w:numPr>
        <w:spacing w:line="276" w:lineRule="auto"/>
        <w:rPr>
          <w:rFonts w:asciiTheme="majorHAnsi" w:hAnsiTheme="majorHAnsi" w:cstheme="majorHAnsi"/>
        </w:rPr>
      </w:pPr>
      <w:r w:rsidRPr="00E676E1">
        <w:rPr>
          <w:rFonts w:asciiTheme="majorHAnsi" w:hAnsiTheme="majorHAnsi" w:cstheme="majorHAnsi"/>
          <w:color w:val="242424"/>
          <w:shd w:val="clear" w:color="auto" w:fill="FFFFFF"/>
        </w:rPr>
        <w:t xml:space="preserve">Department of </w:t>
      </w:r>
      <w:r w:rsidR="00916A1E" w:rsidRPr="00E676E1">
        <w:rPr>
          <w:rFonts w:asciiTheme="majorHAnsi" w:hAnsiTheme="majorHAnsi" w:cstheme="majorHAnsi"/>
          <w:color w:val="242424"/>
          <w:shd w:val="clear" w:color="auto" w:fill="FFFFFF"/>
        </w:rPr>
        <w:t>Gastroenterology</w:t>
      </w:r>
      <w:r w:rsidR="00916A1E" w:rsidRPr="00E676E1">
        <w:rPr>
          <w:rFonts w:asciiTheme="majorHAnsi" w:hAnsiTheme="majorHAnsi" w:cstheme="majorHAnsi"/>
        </w:rPr>
        <w:t>, Barts Health NHS Trust, London, UK</w:t>
      </w:r>
    </w:p>
    <w:p w14:paraId="134CDE9D" w14:textId="7317A6A5" w:rsidR="00916A1E" w:rsidRPr="00E676E1" w:rsidRDefault="004F0E8B" w:rsidP="00916A1E">
      <w:pPr>
        <w:pStyle w:val="ListParagraph"/>
        <w:numPr>
          <w:ilvl w:val="0"/>
          <w:numId w:val="2"/>
        </w:numPr>
        <w:spacing w:line="276" w:lineRule="auto"/>
        <w:rPr>
          <w:rFonts w:asciiTheme="majorHAnsi" w:hAnsiTheme="majorHAnsi" w:cstheme="majorHAnsi"/>
        </w:rPr>
      </w:pPr>
      <w:r w:rsidRPr="00E676E1">
        <w:rPr>
          <w:rFonts w:asciiTheme="majorHAnsi" w:hAnsiTheme="majorHAnsi" w:cstheme="majorHAnsi"/>
          <w:color w:val="242424"/>
          <w:shd w:val="clear" w:color="auto" w:fill="FFFFFF"/>
        </w:rPr>
        <w:t xml:space="preserve">Department of </w:t>
      </w:r>
      <w:r w:rsidR="001E0A91" w:rsidRPr="00E676E1">
        <w:rPr>
          <w:rFonts w:asciiTheme="majorHAnsi" w:hAnsiTheme="majorHAnsi" w:cstheme="majorHAnsi"/>
          <w:color w:val="242424"/>
          <w:shd w:val="clear" w:color="auto" w:fill="FFFFFF"/>
        </w:rPr>
        <w:t>Gastroenterology</w:t>
      </w:r>
      <w:r w:rsidR="001E0A91" w:rsidRPr="00E676E1">
        <w:rPr>
          <w:rFonts w:asciiTheme="majorHAnsi" w:hAnsiTheme="majorHAnsi" w:cstheme="majorHAnsi"/>
        </w:rPr>
        <w:t>, East Kent Hospitals University NHS foundation Trust, UK</w:t>
      </w:r>
    </w:p>
    <w:p w14:paraId="6D60F842" w14:textId="0BE86411" w:rsidR="001E0A91" w:rsidRPr="00E676E1" w:rsidRDefault="004F0E8B" w:rsidP="00916A1E">
      <w:pPr>
        <w:pStyle w:val="ListParagraph"/>
        <w:numPr>
          <w:ilvl w:val="0"/>
          <w:numId w:val="2"/>
        </w:numPr>
        <w:spacing w:line="276" w:lineRule="auto"/>
        <w:rPr>
          <w:rFonts w:asciiTheme="majorHAnsi" w:hAnsiTheme="majorHAnsi" w:cstheme="majorHAnsi"/>
        </w:rPr>
      </w:pPr>
      <w:r w:rsidRPr="00E676E1">
        <w:rPr>
          <w:rFonts w:asciiTheme="majorHAnsi" w:hAnsiTheme="majorHAnsi" w:cstheme="majorHAnsi"/>
          <w:color w:val="242424"/>
          <w:shd w:val="clear" w:color="auto" w:fill="FFFFFF"/>
        </w:rPr>
        <w:t xml:space="preserve">Department of </w:t>
      </w:r>
      <w:r w:rsidR="001E0A91" w:rsidRPr="00E676E1">
        <w:rPr>
          <w:rFonts w:asciiTheme="majorHAnsi" w:hAnsiTheme="majorHAnsi" w:cstheme="majorHAnsi"/>
          <w:color w:val="242424"/>
          <w:shd w:val="clear" w:color="auto" w:fill="FFFFFF"/>
        </w:rPr>
        <w:t xml:space="preserve">Gastroenterology, </w:t>
      </w:r>
      <w:r w:rsidRPr="00E676E1">
        <w:rPr>
          <w:rFonts w:asciiTheme="majorHAnsi" w:hAnsiTheme="majorHAnsi" w:cstheme="majorHAnsi"/>
          <w:color w:val="242424"/>
          <w:shd w:val="clear" w:color="auto" w:fill="FFFFFF"/>
        </w:rPr>
        <w:t>Cambridge University Hospitals NHS Trust</w:t>
      </w:r>
      <w:r w:rsidR="001E0A91" w:rsidRPr="00E676E1">
        <w:rPr>
          <w:rFonts w:asciiTheme="majorHAnsi" w:hAnsiTheme="majorHAnsi" w:cstheme="majorHAnsi"/>
          <w:color w:val="242424"/>
          <w:shd w:val="clear" w:color="auto" w:fill="FFFFFF"/>
        </w:rPr>
        <w:t>, Cambridge, UK</w:t>
      </w:r>
    </w:p>
    <w:p w14:paraId="20770B2A" w14:textId="16F889ED" w:rsidR="001E0A91" w:rsidRPr="00E676E1" w:rsidRDefault="004F0E8B" w:rsidP="00916A1E">
      <w:pPr>
        <w:pStyle w:val="ListParagraph"/>
        <w:numPr>
          <w:ilvl w:val="0"/>
          <w:numId w:val="2"/>
        </w:numPr>
        <w:spacing w:line="276" w:lineRule="auto"/>
        <w:rPr>
          <w:rFonts w:asciiTheme="majorHAnsi" w:hAnsiTheme="majorHAnsi" w:cstheme="majorHAnsi"/>
        </w:rPr>
      </w:pPr>
      <w:r w:rsidRPr="00E676E1">
        <w:rPr>
          <w:rFonts w:asciiTheme="majorHAnsi" w:hAnsiTheme="majorHAnsi" w:cstheme="majorHAnsi"/>
          <w:color w:val="242424"/>
          <w:shd w:val="clear" w:color="auto" w:fill="FFFFFF"/>
        </w:rPr>
        <w:t xml:space="preserve">Department of </w:t>
      </w:r>
      <w:r w:rsidR="001E0A91" w:rsidRPr="00E676E1">
        <w:rPr>
          <w:rFonts w:asciiTheme="majorHAnsi" w:hAnsiTheme="majorHAnsi" w:cstheme="majorHAnsi"/>
          <w:color w:val="242424"/>
          <w:shd w:val="clear" w:color="auto" w:fill="FFFFFF"/>
        </w:rPr>
        <w:t>Gastroenterology</w:t>
      </w:r>
      <w:r w:rsidR="001E0A91" w:rsidRPr="00E676E1">
        <w:rPr>
          <w:rFonts w:asciiTheme="majorHAnsi" w:hAnsiTheme="majorHAnsi" w:cstheme="majorHAnsi"/>
        </w:rPr>
        <w:t>, The Newcastle upon Tyne Hospitals NHS Foundation Trust, Newcastle, UK</w:t>
      </w:r>
    </w:p>
    <w:p w14:paraId="49AE4FBA" w14:textId="739D249E" w:rsidR="00EF023B" w:rsidRPr="00E676E1" w:rsidRDefault="00EF023B" w:rsidP="00916A1E">
      <w:pPr>
        <w:pStyle w:val="ListParagraph"/>
        <w:numPr>
          <w:ilvl w:val="0"/>
          <w:numId w:val="2"/>
        </w:numPr>
        <w:spacing w:line="276" w:lineRule="auto"/>
        <w:rPr>
          <w:rFonts w:asciiTheme="majorHAnsi" w:hAnsiTheme="majorHAnsi" w:cstheme="majorHAnsi"/>
        </w:rPr>
      </w:pPr>
      <w:r w:rsidRPr="00E676E1">
        <w:rPr>
          <w:rFonts w:asciiTheme="majorHAnsi" w:hAnsiTheme="majorHAnsi" w:cstheme="majorHAnsi"/>
        </w:rPr>
        <w:t>Translational &amp; Clinical Research Institute, Faculty of Medical Sciences, Newcastle University, UK</w:t>
      </w:r>
    </w:p>
    <w:p w14:paraId="57D0039E" w14:textId="64DFA4FE" w:rsidR="001E0A91" w:rsidRPr="00E676E1" w:rsidRDefault="00580D47" w:rsidP="00916A1E">
      <w:pPr>
        <w:pStyle w:val="ListParagraph"/>
        <w:numPr>
          <w:ilvl w:val="0"/>
          <w:numId w:val="2"/>
        </w:numPr>
        <w:spacing w:line="276" w:lineRule="auto"/>
        <w:rPr>
          <w:rFonts w:asciiTheme="majorHAnsi" w:hAnsiTheme="majorHAnsi" w:cstheme="majorHAnsi"/>
          <w:color w:val="000000" w:themeColor="text1"/>
        </w:rPr>
      </w:pPr>
      <w:r w:rsidRPr="00E676E1">
        <w:rPr>
          <w:rFonts w:asciiTheme="majorHAnsi" w:hAnsiTheme="majorHAnsi" w:cstheme="majorHAnsi"/>
          <w:color w:val="000000" w:themeColor="text1"/>
        </w:rPr>
        <w:t xml:space="preserve">Department of </w:t>
      </w:r>
      <w:r w:rsidR="001E0A91" w:rsidRPr="00E676E1">
        <w:rPr>
          <w:rFonts w:asciiTheme="majorHAnsi" w:hAnsiTheme="majorHAnsi" w:cstheme="majorHAnsi"/>
          <w:color w:val="000000" w:themeColor="text1"/>
        </w:rPr>
        <w:t>Gastroenterology, Royal Devon University NHS Foundation Trust, UK</w:t>
      </w:r>
    </w:p>
    <w:p w14:paraId="4F17C28A" w14:textId="420B7D73" w:rsidR="00580D47" w:rsidRPr="00E676E1" w:rsidRDefault="00580D47" w:rsidP="00916A1E">
      <w:pPr>
        <w:pStyle w:val="ListParagraph"/>
        <w:numPr>
          <w:ilvl w:val="0"/>
          <w:numId w:val="2"/>
        </w:numPr>
        <w:spacing w:line="276" w:lineRule="auto"/>
        <w:rPr>
          <w:rFonts w:asciiTheme="majorHAnsi" w:hAnsiTheme="majorHAnsi" w:cstheme="majorHAnsi"/>
          <w:color w:val="000000" w:themeColor="text1"/>
        </w:rPr>
      </w:pPr>
      <w:r w:rsidRPr="00E676E1">
        <w:rPr>
          <w:rFonts w:asciiTheme="majorHAnsi" w:hAnsiTheme="majorHAnsi" w:cstheme="majorHAnsi"/>
          <w:color w:val="000000" w:themeColor="text1"/>
          <w:shd w:val="clear" w:color="auto" w:fill="FFFFFF"/>
        </w:rPr>
        <w:t>Exeter IBD Research Group, University of Exeter, Exeter, UK</w:t>
      </w:r>
    </w:p>
    <w:p w14:paraId="72C99783" w14:textId="7756C963" w:rsidR="001E0A91" w:rsidRPr="00E676E1" w:rsidRDefault="00580D47" w:rsidP="00916A1E">
      <w:pPr>
        <w:pStyle w:val="ListParagraph"/>
        <w:numPr>
          <w:ilvl w:val="0"/>
          <w:numId w:val="2"/>
        </w:numPr>
        <w:spacing w:line="276" w:lineRule="auto"/>
        <w:rPr>
          <w:rFonts w:asciiTheme="majorHAnsi" w:hAnsiTheme="majorHAnsi" w:cstheme="majorHAnsi"/>
        </w:rPr>
      </w:pPr>
      <w:r w:rsidRPr="00E676E1">
        <w:rPr>
          <w:rFonts w:asciiTheme="majorHAnsi" w:hAnsiTheme="majorHAnsi" w:cstheme="majorHAnsi"/>
        </w:rPr>
        <w:t xml:space="preserve">Department of </w:t>
      </w:r>
      <w:r w:rsidR="001E0A91" w:rsidRPr="00E676E1">
        <w:rPr>
          <w:rFonts w:asciiTheme="majorHAnsi" w:hAnsiTheme="majorHAnsi" w:cstheme="majorHAnsi"/>
        </w:rPr>
        <w:t>Gastroenterology, Cardiff and Vale University Health Board, Cardiff, UK</w:t>
      </w:r>
    </w:p>
    <w:p w14:paraId="5778C6EF" w14:textId="1B05AFCA" w:rsidR="001E0A91" w:rsidRPr="00E676E1" w:rsidRDefault="00580D47" w:rsidP="00916A1E">
      <w:pPr>
        <w:pStyle w:val="ListParagraph"/>
        <w:numPr>
          <w:ilvl w:val="0"/>
          <w:numId w:val="2"/>
        </w:numPr>
        <w:spacing w:line="276" w:lineRule="auto"/>
        <w:rPr>
          <w:rFonts w:asciiTheme="majorHAnsi" w:hAnsiTheme="majorHAnsi" w:cstheme="majorHAnsi"/>
        </w:rPr>
      </w:pPr>
      <w:r w:rsidRPr="00E676E1">
        <w:rPr>
          <w:rFonts w:asciiTheme="majorHAnsi" w:hAnsiTheme="majorHAnsi" w:cstheme="majorHAnsi"/>
        </w:rPr>
        <w:t xml:space="preserve">Department of </w:t>
      </w:r>
      <w:r w:rsidR="001E0A91" w:rsidRPr="00E676E1">
        <w:rPr>
          <w:rFonts w:asciiTheme="majorHAnsi" w:hAnsiTheme="majorHAnsi" w:cstheme="majorHAnsi"/>
        </w:rPr>
        <w:t>Gastroenterology, University Hospitals of Sussex NHS Foundation Trust, Brighton</w:t>
      </w:r>
      <w:r w:rsidRPr="00E676E1">
        <w:rPr>
          <w:rFonts w:asciiTheme="majorHAnsi" w:hAnsiTheme="majorHAnsi" w:cstheme="majorHAnsi"/>
        </w:rPr>
        <w:t>,</w:t>
      </w:r>
      <w:r w:rsidR="001E0A91" w:rsidRPr="00E676E1">
        <w:rPr>
          <w:rFonts w:asciiTheme="majorHAnsi" w:hAnsiTheme="majorHAnsi" w:cstheme="majorHAnsi"/>
        </w:rPr>
        <w:t xml:space="preserve"> UK</w:t>
      </w:r>
    </w:p>
    <w:p w14:paraId="34AC6C8C" w14:textId="00E03878" w:rsidR="001E0A91" w:rsidRPr="00E676E1" w:rsidRDefault="001E0A91" w:rsidP="001E0A91">
      <w:pPr>
        <w:pStyle w:val="ListParagraph"/>
        <w:numPr>
          <w:ilvl w:val="0"/>
          <w:numId w:val="2"/>
        </w:numPr>
        <w:spacing w:line="276" w:lineRule="auto"/>
        <w:rPr>
          <w:rFonts w:asciiTheme="majorHAnsi" w:hAnsiTheme="majorHAnsi" w:cstheme="majorHAnsi"/>
        </w:rPr>
      </w:pPr>
      <w:r w:rsidRPr="00E676E1">
        <w:rPr>
          <w:rFonts w:asciiTheme="majorHAnsi" w:hAnsiTheme="majorHAnsi" w:cstheme="majorHAnsi"/>
        </w:rPr>
        <w:t>Pain Medicine, St George</w:t>
      </w:r>
      <w:r w:rsidR="00E04876" w:rsidRPr="00E676E1">
        <w:rPr>
          <w:rFonts w:asciiTheme="majorHAnsi" w:hAnsiTheme="majorHAnsi" w:cstheme="majorHAnsi"/>
        </w:rPr>
        <w:t>’</w:t>
      </w:r>
      <w:r w:rsidRPr="00E676E1">
        <w:rPr>
          <w:rFonts w:asciiTheme="majorHAnsi" w:hAnsiTheme="majorHAnsi" w:cstheme="majorHAnsi"/>
        </w:rPr>
        <w:t>s University Hospital Foundation NHS Trust, London, UK</w:t>
      </w:r>
    </w:p>
    <w:p w14:paraId="2D48DC53" w14:textId="7B3FAA92" w:rsidR="005A21A7" w:rsidRPr="00E676E1" w:rsidRDefault="00C02A42" w:rsidP="00E3240F">
      <w:pPr>
        <w:pStyle w:val="ListParagraph"/>
        <w:numPr>
          <w:ilvl w:val="0"/>
          <w:numId w:val="2"/>
        </w:numPr>
        <w:spacing w:line="276" w:lineRule="auto"/>
        <w:rPr>
          <w:rFonts w:asciiTheme="majorHAnsi" w:hAnsiTheme="majorHAnsi" w:cstheme="majorHAnsi"/>
        </w:rPr>
      </w:pPr>
      <w:r w:rsidRPr="00E676E1">
        <w:rPr>
          <w:rFonts w:asciiTheme="majorHAnsi" w:hAnsiTheme="majorHAnsi" w:cstheme="majorHAnsi"/>
        </w:rPr>
        <w:t>Leeds Gastroenterology Institute, Leeds Teaching Hospitals, Leeds, UK</w:t>
      </w:r>
    </w:p>
    <w:p w14:paraId="547FAC7E" w14:textId="253E70BD" w:rsidR="00E3240F" w:rsidRPr="00E676E1" w:rsidRDefault="00E3240F" w:rsidP="00E3240F">
      <w:pPr>
        <w:spacing w:line="276" w:lineRule="auto"/>
        <w:rPr>
          <w:rFonts w:asciiTheme="majorHAnsi" w:hAnsiTheme="majorHAnsi" w:cstheme="majorHAnsi"/>
        </w:rPr>
      </w:pPr>
    </w:p>
    <w:p w14:paraId="6777BFBA" w14:textId="78031DD4" w:rsidR="00E3240F" w:rsidRPr="00E676E1" w:rsidRDefault="00E3240F" w:rsidP="00E3240F">
      <w:pPr>
        <w:spacing w:line="276" w:lineRule="auto"/>
        <w:rPr>
          <w:rFonts w:asciiTheme="majorHAnsi" w:hAnsiTheme="majorHAnsi" w:cstheme="majorHAnsi"/>
        </w:rPr>
      </w:pPr>
    </w:p>
    <w:p w14:paraId="2A9C575C" w14:textId="77777777" w:rsidR="00E3240F" w:rsidRPr="00E676E1" w:rsidRDefault="00E3240F" w:rsidP="00E3240F">
      <w:pPr>
        <w:spacing w:line="276" w:lineRule="auto"/>
        <w:rPr>
          <w:rFonts w:asciiTheme="majorHAnsi" w:hAnsiTheme="majorHAnsi" w:cstheme="majorHAnsi"/>
        </w:rPr>
      </w:pPr>
    </w:p>
    <w:p w14:paraId="297943B8" w14:textId="2B412F0E" w:rsidR="00C02A42" w:rsidRPr="00E676E1" w:rsidRDefault="00C02A42" w:rsidP="00C02A42">
      <w:pPr>
        <w:spacing w:line="276" w:lineRule="auto"/>
        <w:rPr>
          <w:rFonts w:asciiTheme="majorHAnsi" w:hAnsiTheme="majorHAnsi" w:cstheme="majorHAnsi"/>
          <w:u w:val="single"/>
        </w:rPr>
      </w:pPr>
      <w:r w:rsidRPr="00E676E1">
        <w:rPr>
          <w:rFonts w:asciiTheme="majorHAnsi" w:hAnsiTheme="majorHAnsi" w:cstheme="majorHAnsi"/>
          <w:u w:val="single"/>
        </w:rPr>
        <w:lastRenderedPageBreak/>
        <w:t>Corresponding author:</w:t>
      </w:r>
    </w:p>
    <w:p w14:paraId="648DC43E" w14:textId="55912431" w:rsidR="00556CA4" w:rsidRPr="00E676E1" w:rsidRDefault="00E1569F" w:rsidP="00D46918">
      <w:pPr>
        <w:spacing w:line="276" w:lineRule="auto"/>
        <w:rPr>
          <w:rFonts w:asciiTheme="majorHAnsi" w:hAnsiTheme="majorHAnsi" w:cstheme="majorHAnsi"/>
        </w:rPr>
      </w:pPr>
      <w:r w:rsidRPr="00E676E1">
        <w:rPr>
          <w:rFonts w:asciiTheme="majorHAnsi" w:hAnsiTheme="majorHAnsi" w:cstheme="majorHAnsi"/>
        </w:rPr>
        <w:t>Samantha Baillie</w:t>
      </w:r>
      <w:r w:rsidR="00C44594" w:rsidRPr="00E676E1">
        <w:rPr>
          <w:rFonts w:asciiTheme="majorHAnsi" w:hAnsiTheme="majorHAnsi" w:cstheme="majorHAnsi"/>
        </w:rPr>
        <w:t xml:space="preserve"> </w:t>
      </w:r>
      <w:hyperlink r:id="rId8" w:history="1">
        <w:r w:rsidR="00556CA4" w:rsidRPr="00E676E1">
          <w:rPr>
            <w:rStyle w:val="Hyperlink"/>
            <w:rFonts w:asciiTheme="majorHAnsi" w:hAnsiTheme="majorHAnsi" w:cstheme="majorHAnsi"/>
          </w:rPr>
          <w:t>s.baillie1@nhs.net</w:t>
        </w:r>
      </w:hyperlink>
    </w:p>
    <w:p w14:paraId="4E3E8712" w14:textId="77777777" w:rsidR="00556CA4" w:rsidRPr="00E676E1" w:rsidRDefault="00556CA4" w:rsidP="00556CA4">
      <w:pPr>
        <w:spacing w:line="276" w:lineRule="auto"/>
        <w:rPr>
          <w:rFonts w:asciiTheme="majorHAnsi" w:hAnsiTheme="majorHAnsi" w:cstheme="majorHAnsi"/>
        </w:rPr>
      </w:pPr>
      <w:r w:rsidRPr="00E676E1">
        <w:rPr>
          <w:rFonts w:asciiTheme="majorHAnsi" w:hAnsiTheme="majorHAnsi" w:cstheme="majorHAnsi"/>
        </w:rPr>
        <w:t xml:space="preserve">Richard Pollok </w:t>
      </w:r>
      <w:r w:rsidRPr="00E676E1">
        <w:rPr>
          <w:rStyle w:val="Hyperlink"/>
          <w:rFonts w:asciiTheme="majorHAnsi" w:hAnsiTheme="majorHAnsi" w:cstheme="majorHAnsi"/>
        </w:rPr>
        <w:t>richard.pollok@nhs.net</w:t>
      </w:r>
    </w:p>
    <w:p w14:paraId="6A421D97" w14:textId="77777777" w:rsidR="002A347D" w:rsidRPr="00E676E1" w:rsidRDefault="002A347D" w:rsidP="002A347D">
      <w:pPr>
        <w:spacing w:line="276" w:lineRule="auto"/>
        <w:rPr>
          <w:rFonts w:asciiTheme="majorHAnsi" w:hAnsiTheme="majorHAnsi" w:cstheme="majorHAnsi"/>
          <w:u w:val="single"/>
        </w:rPr>
      </w:pPr>
      <w:r w:rsidRPr="00E676E1">
        <w:rPr>
          <w:rFonts w:asciiTheme="majorHAnsi" w:hAnsiTheme="majorHAnsi" w:cstheme="majorHAnsi"/>
          <w:u w:val="single"/>
        </w:rPr>
        <w:t>Acknowledgements:</w:t>
      </w:r>
    </w:p>
    <w:p w14:paraId="05761DC6" w14:textId="3D184B54" w:rsidR="002A347D" w:rsidRPr="00E676E1" w:rsidRDefault="002A347D" w:rsidP="002A347D">
      <w:pPr>
        <w:spacing w:line="276" w:lineRule="auto"/>
        <w:rPr>
          <w:rFonts w:asciiTheme="majorHAnsi" w:hAnsiTheme="majorHAnsi" w:cstheme="majorHAnsi"/>
        </w:rPr>
      </w:pPr>
      <w:r w:rsidRPr="00E676E1">
        <w:rPr>
          <w:rFonts w:asciiTheme="majorHAnsi" w:hAnsiTheme="majorHAnsi" w:cstheme="majorHAnsi"/>
        </w:rPr>
        <w:t>CAL acknowledges support from the NIHR Newcastle Biomedical Research Centre. The views expressed are those of the authors and not necessarily those of the NIHR or the Department of Health and Social Care.</w:t>
      </w:r>
      <w:r w:rsidR="001C0C57" w:rsidRPr="00E676E1">
        <w:rPr>
          <w:rFonts w:asciiTheme="majorHAnsi" w:hAnsiTheme="majorHAnsi" w:cstheme="majorHAnsi"/>
        </w:rPr>
        <w:t xml:space="preserve"> </w:t>
      </w:r>
    </w:p>
    <w:p w14:paraId="680E9A13" w14:textId="7C916BFB" w:rsidR="001C0C57" w:rsidRPr="00E676E1" w:rsidRDefault="001C0C57" w:rsidP="002A347D">
      <w:pPr>
        <w:spacing w:line="276" w:lineRule="auto"/>
        <w:rPr>
          <w:rFonts w:asciiTheme="majorHAnsi" w:hAnsiTheme="majorHAnsi" w:cstheme="majorHAnsi"/>
        </w:rPr>
      </w:pPr>
      <w:r w:rsidRPr="00E676E1">
        <w:rPr>
          <w:rFonts w:asciiTheme="majorHAnsi" w:hAnsiTheme="majorHAnsi" w:cstheme="majorHAnsi"/>
        </w:rPr>
        <w:t xml:space="preserve">RP acknowledges the support of </w:t>
      </w:r>
      <w:r w:rsidRPr="00E676E1">
        <w:rPr>
          <w:rFonts w:asciiTheme="majorHAnsi" w:hAnsiTheme="majorHAnsi" w:cstheme="majorHAnsi"/>
          <w:color w:val="000000"/>
        </w:rPr>
        <w:t>a Wel</w:t>
      </w:r>
      <w:r w:rsidR="00881AA6" w:rsidRPr="00E676E1">
        <w:rPr>
          <w:rFonts w:asciiTheme="majorHAnsi" w:hAnsiTheme="majorHAnsi" w:cstheme="majorHAnsi"/>
          <w:color w:val="000000"/>
        </w:rPr>
        <w:t>l</w:t>
      </w:r>
      <w:r w:rsidRPr="00E676E1">
        <w:rPr>
          <w:rFonts w:asciiTheme="majorHAnsi" w:hAnsiTheme="majorHAnsi" w:cstheme="majorHAnsi"/>
          <w:color w:val="000000"/>
        </w:rPr>
        <w:t>come Trust Institute Strategic Support Fund (ISSF) grant.</w:t>
      </w:r>
    </w:p>
    <w:p w14:paraId="1A76EF07" w14:textId="77777777" w:rsidR="00C02A42" w:rsidRPr="00E676E1" w:rsidRDefault="00C02A42" w:rsidP="00C02A42">
      <w:pPr>
        <w:spacing w:line="276" w:lineRule="auto"/>
        <w:rPr>
          <w:rFonts w:asciiTheme="majorHAnsi" w:hAnsiTheme="majorHAnsi" w:cstheme="majorHAnsi"/>
          <w:u w:val="single"/>
        </w:rPr>
      </w:pPr>
      <w:r w:rsidRPr="00E676E1">
        <w:rPr>
          <w:rFonts w:asciiTheme="majorHAnsi" w:hAnsiTheme="majorHAnsi" w:cstheme="majorHAnsi"/>
          <w:u w:val="single"/>
        </w:rPr>
        <w:t>Authorship contributions:</w:t>
      </w:r>
    </w:p>
    <w:p w14:paraId="44B997ED" w14:textId="2C838AFC" w:rsidR="00C15709" w:rsidRPr="00E676E1" w:rsidRDefault="00C02A42" w:rsidP="00D46918">
      <w:pPr>
        <w:spacing w:line="276" w:lineRule="auto"/>
        <w:rPr>
          <w:rFonts w:asciiTheme="majorHAnsi" w:hAnsiTheme="majorHAnsi" w:cstheme="majorHAnsi"/>
        </w:rPr>
      </w:pPr>
      <w:r w:rsidRPr="00E676E1">
        <w:rPr>
          <w:rFonts w:asciiTheme="majorHAnsi" w:hAnsiTheme="majorHAnsi" w:cstheme="majorHAnsi"/>
        </w:rPr>
        <w:t>CPS</w:t>
      </w:r>
      <w:r w:rsidR="00E04876" w:rsidRPr="00E676E1">
        <w:rPr>
          <w:rFonts w:asciiTheme="majorHAnsi" w:hAnsiTheme="majorHAnsi" w:cstheme="majorHAnsi"/>
        </w:rPr>
        <w:t xml:space="preserve"> and RP</w:t>
      </w:r>
      <w:r w:rsidRPr="00E676E1">
        <w:rPr>
          <w:rFonts w:asciiTheme="majorHAnsi" w:hAnsiTheme="majorHAnsi" w:cstheme="majorHAnsi"/>
        </w:rPr>
        <w:t xml:space="preserve"> designed the study. All authors collected the data. SB performed the analysis. All authors interpreted the results. SB wrote the draft manuscript. All authors critically reviewed the draft manuscript and approved the final manuscript.</w:t>
      </w:r>
      <w:r w:rsidR="00813D4E" w:rsidRPr="00E676E1">
        <w:rPr>
          <w:rFonts w:asciiTheme="majorHAnsi" w:hAnsiTheme="majorHAnsi" w:cstheme="majorHAnsi"/>
        </w:rPr>
        <w:t xml:space="preserve"> The guarantor of this article is Dr Christian Selinger.</w:t>
      </w:r>
    </w:p>
    <w:p w14:paraId="0BFC6689" w14:textId="5648068F" w:rsidR="00241184" w:rsidRPr="00E676E1" w:rsidRDefault="00241184">
      <w:pPr>
        <w:spacing w:after="0"/>
        <w:rPr>
          <w:rFonts w:asciiTheme="majorHAnsi" w:hAnsiTheme="majorHAnsi" w:cstheme="majorHAnsi"/>
        </w:rPr>
      </w:pPr>
      <w:r w:rsidRPr="00E676E1">
        <w:rPr>
          <w:rFonts w:asciiTheme="majorHAnsi" w:hAnsiTheme="majorHAnsi" w:cstheme="majorHAnsi"/>
        </w:rPr>
        <w:t>ORCiD</w:t>
      </w:r>
    </w:p>
    <w:p w14:paraId="150D2C46" w14:textId="77777777" w:rsidR="00241184" w:rsidRPr="00E676E1" w:rsidRDefault="00241184" w:rsidP="00241184">
      <w:pPr>
        <w:spacing w:after="0"/>
        <w:rPr>
          <w:rFonts w:asciiTheme="majorHAnsi" w:hAnsiTheme="majorHAnsi" w:cstheme="majorHAnsi"/>
        </w:rPr>
      </w:pPr>
      <w:r w:rsidRPr="00E676E1">
        <w:rPr>
          <w:rFonts w:asciiTheme="majorHAnsi" w:hAnsiTheme="majorHAnsi" w:cstheme="majorHAnsi"/>
        </w:rPr>
        <w:t>Samantha Baillie 0000-0003-3280-0347</w:t>
      </w:r>
    </w:p>
    <w:p w14:paraId="356838E5" w14:textId="77777777" w:rsidR="00241184" w:rsidRPr="00E676E1" w:rsidRDefault="00241184" w:rsidP="00241184">
      <w:pPr>
        <w:spacing w:after="0"/>
        <w:rPr>
          <w:rFonts w:asciiTheme="majorHAnsi" w:hAnsiTheme="majorHAnsi" w:cstheme="majorHAnsi"/>
        </w:rPr>
      </w:pPr>
      <w:r w:rsidRPr="00E676E1">
        <w:rPr>
          <w:rFonts w:asciiTheme="majorHAnsi" w:hAnsiTheme="majorHAnsi" w:cstheme="majorHAnsi"/>
        </w:rPr>
        <w:t>Jimmy K. Limdi 0000-0002-1039-6251</w:t>
      </w:r>
    </w:p>
    <w:p w14:paraId="7A5B7D42" w14:textId="77777777" w:rsidR="00241184" w:rsidRPr="00E676E1" w:rsidRDefault="00241184" w:rsidP="00241184">
      <w:pPr>
        <w:spacing w:after="0"/>
        <w:rPr>
          <w:rFonts w:asciiTheme="majorHAnsi" w:hAnsiTheme="majorHAnsi" w:cstheme="majorHAnsi"/>
        </w:rPr>
      </w:pPr>
      <w:r w:rsidRPr="00E676E1">
        <w:rPr>
          <w:rFonts w:asciiTheme="majorHAnsi" w:hAnsiTheme="majorHAnsi" w:cstheme="majorHAnsi"/>
        </w:rPr>
        <w:t xml:space="preserve">Aileen Fraser 0000-0001-6462-5091 </w:t>
      </w:r>
    </w:p>
    <w:p w14:paraId="22E1458A" w14:textId="77777777" w:rsidR="00241184" w:rsidRPr="00E676E1" w:rsidRDefault="00241184" w:rsidP="00241184">
      <w:pPr>
        <w:spacing w:after="0"/>
        <w:rPr>
          <w:rFonts w:asciiTheme="majorHAnsi" w:hAnsiTheme="majorHAnsi" w:cstheme="majorHAnsi"/>
        </w:rPr>
      </w:pPr>
      <w:r w:rsidRPr="00E676E1">
        <w:rPr>
          <w:rFonts w:asciiTheme="majorHAnsi" w:hAnsiTheme="majorHAnsi" w:cstheme="majorHAnsi"/>
        </w:rPr>
        <w:t>Gareth Parkes 0000-0002-5285-7714</w:t>
      </w:r>
    </w:p>
    <w:p w14:paraId="37357CA6" w14:textId="77777777" w:rsidR="00241184" w:rsidRPr="00E676E1" w:rsidRDefault="00241184" w:rsidP="00241184">
      <w:pPr>
        <w:spacing w:after="0"/>
        <w:rPr>
          <w:rFonts w:asciiTheme="majorHAnsi" w:hAnsiTheme="majorHAnsi" w:cstheme="majorHAnsi"/>
        </w:rPr>
      </w:pPr>
      <w:r w:rsidRPr="00E676E1">
        <w:rPr>
          <w:rFonts w:asciiTheme="majorHAnsi" w:hAnsiTheme="majorHAnsi" w:cstheme="majorHAnsi"/>
        </w:rPr>
        <w:t>Tim Raine 0000-0002-5855-9873</w:t>
      </w:r>
    </w:p>
    <w:p w14:paraId="19FBCB04" w14:textId="77777777" w:rsidR="00241184" w:rsidRPr="00E676E1" w:rsidRDefault="00241184" w:rsidP="00241184">
      <w:pPr>
        <w:spacing w:after="0"/>
        <w:rPr>
          <w:rFonts w:asciiTheme="majorHAnsi" w:hAnsiTheme="majorHAnsi" w:cstheme="majorHAnsi"/>
        </w:rPr>
      </w:pPr>
      <w:r w:rsidRPr="00E676E1">
        <w:rPr>
          <w:rFonts w:asciiTheme="majorHAnsi" w:hAnsiTheme="majorHAnsi" w:cstheme="majorHAnsi"/>
        </w:rPr>
        <w:t>Christopher A. Lamb 0000-0002-7271-4956</w:t>
      </w:r>
    </w:p>
    <w:p w14:paraId="6BA822B4" w14:textId="77777777" w:rsidR="00241184" w:rsidRPr="00E676E1" w:rsidRDefault="00241184" w:rsidP="00241184">
      <w:pPr>
        <w:spacing w:after="0"/>
        <w:rPr>
          <w:rFonts w:asciiTheme="majorHAnsi" w:hAnsiTheme="majorHAnsi" w:cstheme="majorHAnsi"/>
        </w:rPr>
      </w:pPr>
      <w:r w:rsidRPr="00E676E1">
        <w:rPr>
          <w:rFonts w:asciiTheme="majorHAnsi" w:hAnsiTheme="majorHAnsi" w:cstheme="majorHAnsi"/>
        </w:rPr>
        <w:t>Melissa Smith 0000-0002-7442-6093</w:t>
      </w:r>
    </w:p>
    <w:p w14:paraId="2C4853D2" w14:textId="77777777" w:rsidR="00241184" w:rsidRPr="00E676E1" w:rsidRDefault="00241184" w:rsidP="00241184">
      <w:pPr>
        <w:spacing w:after="0"/>
        <w:rPr>
          <w:rFonts w:asciiTheme="majorHAnsi" w:hAnsiTheme="majorHAnsi" w:cstheme="majorHAnsi"/>
        </w:rPr>
      </w:pPr>
      <w:r w:rsidRPr="00E676E1">
        <w:rPr>
          <w:rFonts w:asciiTheme="majorHAnsi" w:hAnsiTheme="majorHAnsi" w:cstheme="majorHAnsi"/>
        </w:rPr>
        <w:t>Nicholas A. Kennedy 0000-0003-4368-1961</w:t>
      </w:r>
    </w:p>
    <w:p w14:paraId="6DC45FA6" w14:textId="77777777" w:rsidR="00241184" w:rsidRPr="00E676E1" w:rsidRDefault="00241184" w:rsidP="00241184">
      <w:pPr>
        <w:spacing w:after="0"/>
        <w:rPr>
          <w:rFonts w:asciiTheme="majorHAnsi" w:hAnsiTheme="majorHAnsi" w:cstheme="majorHAnsi"/>
        </w:rPr>
      </w:pPr>
      <w:r w:rsidRPr="00E676E1">
        <w:rPr>
          <w:rFonts w:asciiTheme="majorHAnsi" w:hAnsiTheme="majorHAnsi" w:cstheme="majorHAnsi"/>
        </w:rPr>
        <w:t>Holly Emms 0000-0003-0428-8737</w:t>
      </w:r>
    </w:p>
    <w:p w14:paraId="219664A2" w14:textId="77777777" w:rsidR="00241184" w:rsidRPr="00E676E1" w:rsidRDefault="00241184" w:rsidP="00241184">
      <w:pPr>
        <w:spacing w:after="0"/>
        <w:rPr>
          <w:rFonts w:asciiTheme="majorHAnsi" w:hAnsiTheme="majorHAnsi" w:cstheme="majorHAnsi"/>
        </w:rPr>
      </w:pPr>
      <w:r w:rsidRPr="00E676E1">
        <w:rPr>
          <w:rFonts w:asciiTheme="majorHAnsi" w:hAnsiTheme="majorHAnsi" w:cstheme="majorHAnsi"/>
        </w:rPr>
        <w:t>Isabel Carbery 0000-0002-4591-7336</w:t>
      </w:r>
    </w:p>
    <w:p w14:paraId="219F621C" w14:textId="77777777" w:rsidR="00241184" w:rsidRPr="00E676E1" w:rsidRDefault="00241184" w:rsidP="00241184">
      <w:pPr>
        <w:spacing w:after="0"/>
        <w:rPr>
          <w:rFonts w:asciiTheme="majorHAnsi" w:hAnsiTheme="majorHAnsi" w:cstheme="majorHAnsi"/>
        </w:rPr>
      </w:pPr>
      <w:r w:rsidRPr="00E676E1">
        <w:rPr>
          <w:rFonts w:asciiTheme="majorHAnsi" w:hAnsiTheme="majorHAnsi" w:cstheme="majorHAnsi"/>
        </w:rPr>
        <w:t>James Goodhand 0000-0003-3112-376X</w:t>
      </w:r>
    </w:p>
    <w:p w14:paraId="7A839C0B" w14:textId="77777777" w:rsidR="00241184" w:rsidRPr="00E676E1" w:rsidRDefault="00241184" w:rsidP="00241184">
      <w:pPr>
        <w:spacing w:after="0"/>
        <w:rPr>
          <w:rFonts w:asciiTheme="majorHAnsi" w:hAnsiTheme="majorHAnsi" w:cstheme="majorHAnsi"/>
        </w:rPr>
      </w:pPr>
      <w:r w:rsidRPr="00E676E1">
        <w:rPr>
          <w:rFonts w:asciiTheme="majorHAnsi" w:hAnsiTheme="majorHAnsi" w:cstheme="majorHAnsi"/>
        </w:rPr>
        <w:t>Richard Pollok 0000-0001-6452-6763</w:t>
      </w:r>
    </w:p>
    <w:p w14:paraId="76A7E7E2" w14:textId="6C8ADCE9" w:rsidR="00491A6F" w:rsidRPr="00E676E1" w:rsidRDefault="00241184" w:rsidP="00827B18">
      <w:pPr>
        <w:spacing w:after="0"/>
        <w:rPr>
          <w:rFonts w:asciiTheme="majorHAnsi" w:hAnsiTheme="majorHAnsi" w:cstheme="majorHAnsi"/>
        </w:rPr>
      </w:pPr>
      <w:r w:rsidRPr="00E676E1">
        <w:rPr>
          <w:rFonts w:asciiTheme="majorHAnsi" w:hAnsiTheme="majorHAnsi" w:cstheme="majorHAnsi"/>
        </w:rPr>
        <w:t>Christian Selinger 0000-0003-2022-5859</w:t>
      </w:r>
      <w:r w:rsidR="00C15709" w:rsidRPr="00E676E1">
        <w:rPr>
          <w:rFonts w:asciiTheme="majorHAnsi" w:hAnsiTheme="majorHAnsi" w:cstheme="majorHAnsi"/>
        </w:rPr>
        <w:br w:type="page"/>
      </w:r>
    </w:p>
    <w:p w14:paraId="22BC4008" w14:textId="60C38218" w:rsidR="00E00F1F" w:rsidRPr="00E676E1" w:rsidRDefault="00E00F1F" w:rsidP="00B85FF1">
      <w:pPr>
        <w:spacing w:after="0" w:line="480" w:lineRule="auto"/>
        <w:textAlignment w:val="baseline"/>
        <w:rPr>
          <w:rFonts w:asciiTheme="majorHAnsi" w:hAnsiTheme="majorHAnsi" w:cstheme="majorHAnsi"/>
          <w:color w:val="333333"/>
        </w:rPr>
      </w:pPr>
      <w:r w:rsidRPr="00E676E1">
        <w:rPr>
          <w:rFonts w:asciiTheme="majorHAnsi" w:hAnsiTheme="majorHAnsi" w:cstheme="majorHAnsi"/>
          <w:b/>
          <w:bCs/>
          <w:bdr w:val="none" w:sz="0" w:space="0" w:color="auto" w:frame="1"/>
        </w:rPr>
        <w:lastRenderedPageBreak/>
        <w:t>Abstract</w:t>
      </w:r>
    </w:p>
    <w:p w14:paraId="1B632E5E" w14:textId="77777777" w:rsidR="00E00F1F" w:rsidRPr="00E676E1" w:rsidRDefault="00E00F1F" w:rsidP="00EA1098">
      <w:pPr>
        <w:autoSpaceDE w:val="0"/>
        <w:autoSpaceDN w:val="0"/>
        <w:adjustRightInd w:val="0"/>
        <w:spacing w:after="0" w:line="480" w:lineRule="auto"/>
        <w:rPr>
          <w:rFonts w:asciiTheme="majorHAnsi" w:eastAsiaTheme="minorHAnsi" w:hAnsiTheme="majorHAnsi" w:cstheme="majorHAnsi"/>
          <w:lang w:eastAsia="en-US"/>
        </w:rPr>
      </w:pPr>
      <w:r w:rsidRPr="00E676E1">
        <w:rPr>
          <w:rFonts w:asciiTheme="majorHAnsi" w:eastAsiaTheme="minorHAnsi" w:hAnsiTheme="majorHAnsi" w:cstheme="majorHAnsi"/>
          <w:b/>
          <w:bCs/>
          <w:lang w:eastAsia="en-US"/>
        </w:rPr>
        <w:t>Objective:</w:t>
      </w:r>
      <w:r w:rsidRPr="00E676E1">
        <w:rPr>
          <w:rFonts w:asciiTheme="majorHAnsi" w:eastAsiaTheme="minorHAnsi" w:hAnsiTheme="majorHAnsi" w:cstheme="majorHAnsi"/>
          <w:lang w:eastAsia="en-US"/>
        </w:rPr>
        <w:t xml:space="preserve"> Despite its association with poorer outcomes, opioid use in inflammatory bowel disease (IBD) is not well characterised in the United Kingdom (UK). We aimed to examine the extent of opioid use, the associated factors and the use of mitigation techniques such as pain-service review and opioid weaning plans among individuals with IBD.</w:t>
      </w:r>
    </w:p>
    <w:p w14:paraId="46F67E0D" w14:textId="3CEA82C9" w:rsidR="00E00F1F" w:rsidRPr="00E676E1" w:rsidRDefault="00E00F1F" w:rsidP="00EA1098">
      <w:pPr>
        <w:autoSpaceDE w:val="0"/>
        <w:autoSpaceDN w:val="0"/>
        <w:adjustRightInd w:val="0"/>
        <w:spacing w:after="0" w:line="480" w:lineRule="auto"/>
        <w:rPr>
          <w:rFonts w:asciiTheme="majorHAnsi" w:eastAsiaTheme="minorHAnsi" w:hAnsiTheme="majorHAnsi" w:cstheme="majorHAnsi"/>
          <w:lang w:eastAsia="en-US"/>
        </w:rPr>
      </w:pPr>
      <w:r w:rsidRPr="00E676E1">
        <w:rPr>
          <w:rFonts w:asciiTheme="majorHAnsi" w:eastAsiaTheme="minorHAnsi" w:hAnsiTheme="majorHAnsi" w:cstheme="majorHAnsi"/>
          <w:b/>
          <w:bCs/>
          <w:lang w:eastAsia="en-US"/>
        </w:rPr>
        <w:t xml:space="preserve">Methods: </w:t>
      </w:r>
      <w:r w:rsidRPr="00E676E1">
        <w:rPr>
          <w:rFonts w:asciiTheme="majorHAnsi" w:eastAsiaTheme="minorHAnsi" w:hAnsiTheme="majorHAnsi" w:cstheme="majorHAnsi"/>
          <w:lang w:eastAsia="en-US"/>
        </w:rPr>
        <w:t xml:space="preserve">Data was collected from consecutive patients attending IBD outpatient appointments at 12 </w:t>
      </w:r>
      <w:r w:rsidR="00B85FF1" w:rsidRPr="00E676E1">
        <w:rPr>
          <w:rFonts w:asciiTheme="majorHAnsi" w:eastAsiaTheme="minorHAnsi" w:hAnsiTheme="majorHAnsi" w:cstheme="majorHAnsi"/>
          <w:lang w:eastAsia="en-US"/>
        </w:rPr>
        <w:t>UK</w:t>
      </w:r>
      <w:r w:rsidRPr="00E676E1">
        <w:rPr>
          <w:rFonts w:asciiTheme="majorHAnsi" w:eastAsiaTheme="minorHAnsi" w:hAnsiTheme="majorHAnsi" w:cstheme="majorHAnsi"/>
          <w:lang w:eastAsia="en-US"/>
        </w:rPr>
        <w:t xml:space="preserve"> hospitals. A pre-defined questionnaire was used to collect data including patient demographics, IBD history, opioid use in the past year (&gt;2 weeks) and opioid</w:t>
      </w:r>
      <w:r w:rsidR="00EA1098" w:rsidRPr="00E676E1">
        <w:rPr>
          <w:rFonts w:asciiTheme="majorHAnsi" w:eastAsiaTheme="minorHAnsi" w:hAnsiTheme="majorHAnsi" w:cstheme="majorHAnsi"/>
          <w:lang w:eastAsia="en-US"/>
        </w:rPr>
        <w:t>-use</w:t>
      </w:r>
      <w:r w:rsidRPr="00E676E1">
        <w:rPr>
          <w:rFonts w:asciiTheme="majorHAnsi" w:eastAsiaTheme="minorHAnsi" w:hAnsiTheme="majorHAnsi" w:cstheme="majorHAnsi"/>
          <w:lang w:eastAsia="en-US"/>
        </w:rPr>
        <w:t xml:space="preserve"> mitigation techniques. Additionally, consecutive IBD-related hospital stays leading up to July 2019 were reviewed with data collected regarding opioid use at admission, discharge and follow-up as well as details of the admission indication. </w:t>
      </w:r>
    </w:p>
    <w:p w14:paraId="794E9182" w14:textId="6EC5FD65" w:rsidR="00E00F1F" w:rsidRPr="00E676E1" w:rsidRDefault="00E00F1F" w:rsidP="00EA1098">
      <w:pPr>
        <w:autoSpaceDE w:val="0"/>
        <w:autoSpaceDN w:val="0"/>
        <w:adjustRightInd w:val="0"/>
        <w:spacing w:after="0" w:line="480" w:lineRule="auto"/>
        <w:rPr>
          <w:rFonts w:asciiTheme="majorHAnsi" w:eastAsiaTheme="minorHAnsi" w:hAnsiTheme="majorHAnsi" w:cstheme="majorHAnsi"/>
          <w:lang w:eastAsia="en-US"/>
        </w:rPr>
      </w:pPr>
      <w:r w:rsidRPr="00E676E1">
        <w:rPr>
          <w:rFonts w:asciiTheme="majorHAnsi" w:eastAsiaTheme="minorHAnsi" w:hAnsiTheme="majorHAnsi" w:cstheme="majorHAnsi"/>
          <w:b/>
          <w:bCs/>
          <w:lang w:eastAsia="en-US"/>
        </w:rPr>
        <w:t xml:space="preserve">Results: </w:t>
      </w:r>
      <w:r w:rsidRPr="00E676E1">
        <w:rPr>
          <w:rFonts w:asciiTheme="majorHAnsi" w:eastAsiaTheme="minorHAnsi" w:hAnsiTheme="majorHAnsi" w:cstheme="majorHAnsi"/>
          <w:lang w:eastAsia="en-US"/>
        </w:rPr>
        <w:t xml:space="preserve">In 1,352 outpatients, 12% had used opioids within the past 12 months. Over half of these individuals were taking opioids for non-IBD pain and less than half had undergone an attempted opioid wean. </w:t>
      </w:r>
    </w:p>
    <w:p w14:paraId="563131CB" w14:textId="01FB09A7" w:rsidR="00E00F1F" w:rsidRPr="00E676E1" w:rsidRDefault="00E00F1F" w:rsidP="00EA1098">
      <w:pPr>
        <w:autoSpaceDE w:val="0"/>
        <w:autoSpaceDN w:val="0"/>
        <w:adjustRightInd w:val="0"/>
        <w:spacing w:after="0" w:line="480" w:lineRule="auto"/>
        <w:rPr>
          <w:rFonts w:asciiTheme="majorHAnsi" w:eastAsiaTheme="minorHAnsi" w:hAnsiTheme="majorHAnsi" w:cstheme="majorHAnsi"/>
          <w:lang w:eastAsia="en-US"/>
        </w:rPr>
      </w:pPr>
      <w:r w:rsidRPr="00E676E1">
        <w:rPr>
          <w:rFonts w:asciiTheme="majorHAnsi" w:eastAsiaTheme="minorHAnsi" w:hAnsiTheme="majorHAnsi" w:cstheme="majorHAnsi"/>
          <w:lang w:eastAsia="en-US"/>
        </w:rPr>
        <w:t>In 324 hospitalised patients, 27% were prescribed opioids at discharge from hospital. At 12 months post-discharge, 11% were using opioids.</w:t>
      </w:r>
      <w:r w:rsidR="00B85FF1" w:rsidRPr="00E676E1">
        <w:rPr>
          <w:rFonts w:asciiTheme="majorHAnsi" w:eastAsiaTheme="minorHAnsi" w:hAnsiTheme="majorHAnsi" w:cstheme="majorHAnsi"/>
          <w:lang w:eastAsia="en-US"/>
        </w:rPr>
        <w:t xml:space="preserve"> Factors associated with opioid use in both cohorts included female sex, Crohn’s disease and previous surgery.</w:t>
      </w:r>
    </w:p>
    <w:p w14:paraId="38502578" w14:textId="77777777" w:rsidR="00E00F1F" w:rsidRPr="00E676E1" w:rsidRDefault="00E00F1F" w:rsidP="00EA1098">
      <w:pPr>
        <w:autoSpaceDE w:val="0"/>
        <w:autoSpaceDN w:val="0"/>
        <w:adjustRightInd w:val="0"/>
        <w:spacing w:after="0" w:line="480" w:lineRule="auto"/>
        <w:rPr>
          <w:rFonts w:asciiTheme="majorHAnsi" w:eastAsiaTheme="minorHAnsi" w:hAnsiTheme="majorHAnsi" w:cstheme="majorHAnsi"/>
          <w:lang w:eastAsia="en-US"/>
        </w:rPr>
      </w:pPr>
      <w:r w:rsidRPr="00E676E1">
        <w:rPr>
          <w:rFonts w:asciiTheme="majorHAnsi" w:eastAsiaTheme="minorHAnsi" w:hAnsiTheme="majorHAnsi" w:cstheme="majorHAnsi"/>
          <w:b/>
          <w:bCs/>
          <w:lang w:eastAsia="en-US"/>
        </w:rPr>
        <w:t>Conclusions:</w:t>
      </w:r>
    </w:p>
    <w:p w14:paraId="75BA3592" w14:textId="3FCF8CDC" w:rsidR="00E00F1F" w:rsidRPr="00E676E1" w:rsidRDefault="00E00F1F" w:rsidP="00EA1098">
      <w:pPr>
        <w:autoSpaceDE w:val="0"/>
        <w:autoSpaceDN w:val="0"/>
        <w:adjustRightInd w:val="0"/>
        <w:spacing w:after="0" w:line="480" w:lineRule="auto"/>
        <w:rPr>
          <w:rFonts w:asciiTheme="majorHAnsi" w:eastAsiaTheme="minorHAnsi" w:hAnsiTheme="majorHAnsi" w:cstheme="majorHAnsi"/>
          <w:lang w:eastAsia="en-US"/>
        </w:rPr>
      </w:pPr>
      <w:r w:rsidRPr="00E676E1">
        <w:rPr>
          <w:rFonts w:asciiTheme="majorHAnsi" w:eastAsiaTheme="minorHAnsi" w:hAnsiTheme="majorHAnsi" w:cstheme="majorHAnsi"/>
          <w:lang w:eastAsia="en-US"/>
        </w:rPr>
        <w:t>One in ten IBD patients attending outpatient appointments were opioid-exposed in the past year while a quarter of inpatients were discharged with opioids, and 11% continued to use opioids 12 months after discharge. IBD services should aim to identify patients exposed to opioids, reduce exposure where possible and facilitate access to alternative pain management approaches.</w:t>
      </w:r>
    </w:p>
    <w:p w14:paraId="2408BAB0" w14:textId="77777777" w:rsidR="00E00F1F" w:rsidRPr="00E676E1" w:rsidRDefault="00E00F1F" w:rsidP="00B85FF1">
      <w:pPr>
        <w:spacing w:after="0" w:line="480" w:lineRule="auto"/>
        <w:textAlignment w:val="baseline"/>
        <w:rPr>
          <w:rFonts w:asciiTheme="majorHAnsi" w:hAnsiTheme="majorHAnsi" w:cstheme="majorHAnsi"/>
          <w:b/>
          <w:bCs/>
          <w:bdr w:val="none" w:sz="0" w:space="0" w:color="auto" w:frame="1"/>
        </w:rPr>
      </w:pPr>
    </w:p>
    <w:p w14:paraId="3669C8F3" w14:textId="77777777" w:rsidR="00E00F1F" w:rsidRPr="00E676E1" w:rsidRDefault="00E00F1F" w:rsidP="00B85FF1">
      <w:pPr>
        <w:spacing w:after="0" w:line="480" w:lineRule="auto"/>
        <w:textAlignment w:val="baseline"/>
        <w:rPr>
          <w:rFonts w:asciiTheme="majorHAnsi" w:hAnsiTheme="majorHAnsi" w:cstheme="majorHAnsi"/>
          <w:b/>
          <w:bCs/>
          <w:bdr w:val="none" w:sz="0" w:space="0" w:color="auto" w:frame="1"/>
        </w:rPr>
      </w:pPr>
    </w:p>
    <w:p w14:paraId="78D31AEC" w14:textId="6DD5995F" w:rsidR="004C4467" w:rsidRPr="00E676E1" w:rsidRDefault="004C4467" w:rsidP="00B85FF1">
      <w:pPr>
        <w:spacing w:after="0" w:line="480" w:lineRule="auto"/>
        <w:textAlignment w:val="baseline"/>
        <w:rPr>
          <w:rFonts w:asciiTheme="majorHAnsi" w:hAnsiTheme="majorHAnsi" w:cstheme="majorHAnsi"/>
        </w:rPr>
      </w:pPr>
      <w:r w:rsidRPr="00E676E1">
        <w:rPr>
          <w:rFonts w:asciiTheme="majorHAnsi" w:hAnsiTheme="majorHAnsi" w:cstheme="majorHAnsi"/>
          <w:b/>
          <w:bCs/>
          <w:bdr w:val="none" w:sz="0" w:space="0" w:color="auto" w:frame="1"/>
        </w:rPr>
        <w:t>What is already known on this topic</w:t>
      </w:r>
      <w:r w:rsidRPr="00E676E1">
        <w:rPr>
          <w:rFonts w:asciiTheme="majorHAnsi" w:hAnsiTheme="majorHAnsi" w:cstheme="majorHAnsi"/>
        </w:rPr>
        <w:t> – </w:t>
      </w:r>
      <w:r w:rsidR="007F3296" w:rsidRPr="00E676E1">
        <w:rPr>
          <w:rFonts w:asciiTheme="majorHAnsi" w:hAnsiTheme="majorHAnsi" w:cstheme="majorHAnsi"/>
        </w:rPr>
        <w:t>Opioid</w:t>
      </w:r>
      <w:r w:rsidR="00881AA6" w:rsidRPr="00E676E1">
        <w:rPr>
          <w:rFonts w:asciiTheme="majorHAnsi" w:hAnsiTheme="majorHAnsi" w:cstheme="majorHAnsi"/>
        </w:rPr>
        <w:t>-</w:t>
      </w:r>
      <w:r w:rsidR="007F3296" w:rsidRPr="00E676E1">
        <w:rPr>
          <w:rFonts w:asciiTheme="majorHAnsi" w:hAnsiTheme="majorHAnsi" w:cstheme="majorHAnsi"/>
        </w:rPr>
        <w:t>exposure is on the rise</w:t>
      </w:r>
      <w:r w:rsidR="008E7FB3" w:rsidRPr="00E676E1">
        <w:rPr>
          <w:rFonts w:asciiTheme="majorHAnsi" w:hAnsiTheme="majorHAnsi" w:cstheme="majorHAnsi"/>
        </w:rPr>
        <w:t xml:space="preserve"> in the UK general population and </w:t>
      </w:r>
      <w:r w:rsidR="005948FE" w:rsidRPr="00E676E1">
        <w:rPr>
          <w:rFonts w:asciiTheme="majorHAnsi" w:hAnsiTheme="majorHAnsi" w:cstheme="majorHAnsi"/>
        </w:rPr>
        <w:t xml:space="preserve">previous findings suggest </w:t>
      </w:r>
      <w:r w:rsidR="00881AA6" w:rsidRPr="00E676E1">
        <w:rPr>
          <w:rFonts w:asciiTheme="majorHAnsi" w:hAnsiTheme="majorHAnsi" w:cstheme="majorHAnsi"/>
        </w:rPr>
        <w:t>opioid-exposure is</w:t>
      </w:r>
      <w:r w:rsidR="005948FE" w:rsidRPr="00E676E1">
        <w:rPr>
          <w:rFonts w:asciiTheme="majorHAnsi" w:hAnsiTheme="majorHAnsi" w:cstheme="majorHAnsi"/>
        </w:rPr>
        <w:t xml:space="preserve"> greater in </w:t>
      </w:r>
      <w:r w:rsidR="008E7FB3" w:rsidRPr="00E676E1">
        <w:rPr>
          <w:rFonts w:asciiTheme="majorHAnsi" w:hAnsiTheme="majorHAnsi" w:cstheme="majorHAnsi"/>
        </w:rPr>
        <w:t>IBD</w:t>
      </w:r>
      <w:r w:rsidR="00881AA6" w:rsidRPr="00E676E1">
        <w:rPr>
          <w:rFonts w:asciiTheme="majorHAnsi" w:hAnsiTheme="majorHAnsi" w:cstheme="majorHAnsi"/>
        </w:rPr>
        <w:t xml:space="preserve"> than in the general population</w:t>
      </w:r>
      <w:r w:rsidR="005948FE" w:rsidRPr="00E676E1">
        <w:rPr>
          <w:rFonts w:asciiTheme="majorHAnsi" w:hAnsiTheme="majorHAnsi" w:cstheme="majorHAnsi"/>
        </w:rPr>
        <w:t>. Studies from N</w:t>
      </w:r>
      <w:r w:rsidR="007F3296" w:rsidRPr="00E676E1">
        <w:rPr>
          <w:rFonts w:asciiTheme="majorHAnsi" w:hAnsiTheme="majorHAnsi" w:cstheme="majorHAnsi"/>
        </w:rPr>
        <w:t>orth America show</w:t>
      </w:r>
      <w:r w:rsidR="008E7FB3" w:rsidRPr="00E676E1">
        <w:rPr>
          <w:rFonts w:asciiTheme="majorHAnsi" w:hAnsiTheme="majorHAnsi" w:cstheme="majorHAnsi"/>
        </w:rPr>
        <w:t xml:space="preserve"> individuals with IBD are frequently prescribed opioids, </w:t>
      </w:r>
      <w:r w:rsidR="007F3296" w:rsidRPr="00E676E1">
        <w:rPr>
          <w:rFonts w:asciiTheme="majorHAnsi" w:hAnsiTheme="majorHAnsi" w:cstheme="majorHAnsi"/>
        </w:rPr>
        <w:t xml:space="preserve">however </w:t>
      </w:r>
      <w:r w:rsidR="007D3CEC" w:rsidRPr="00E676E1">
        <w:rPr>
          <w:rFonts w:asciiTheme="majorHAnsi" w:hAnsiTheme="majorHAnsi" w:cstheme="majorHAnsi"/>
        </w:rPr>
        <w:t xml:space="preserve">data relating to </w:t>
      </w:r>
      <w:r w:rsidR="00194224" w:rsidRPr="00E676E1">
        <w:rPr>
          <w:rFonts w:asciiTheme="majorHAnsi" w:hAnsiTheme="majorHAnsi" w:cstheme="majorHAnsi"/>
        </w:rPr>
        <w:t>Europe</w:t>
      </w:r>
      <w:r w:rsidR="007D3CEC" w:rsidRPr="00E676E1">
        <w:rPr>
          <w:rFonts w:asciiTheme="majorHAnsi" w:hAnsiTheme="majorHAnsi" w:cstheme="majorHAnsi"/>
        </w:rPr>
        <w:t xml:space="preserve"> </w:t>
      </w:r>
      <w:r w:rsidR="00881AA6" w:rsidRPr="00E676E1">
        <w:rPr>
          <w:rFonts w:asciiTheme="majorHAnsi" w:hAnsiTheme="majorHAnsi" w:cstheme="majorHAnsi"/>
        </w:rPr>
        <w:t>is</w:t>
      </w:r>
      <w:r w:rsidR="007D3CEC" w:rsidRPr="00E676E1">
        <w:rPr>
          <w:rFonts w:asciiTheme="majorHAnsi" w:hAnsiTheme="majorHAnsi" w:cstheme="majorHAnsi"/>
        </w:rPr>
        <w:t xml:space="preserve"> lacking</w:t>
      </w:r>
      <w:r w:rsidR="008E7FB3" w:rsidRPr="00E676E1">
        <w:rPr>
          <w:rFonts w:asciiTheme="majorHAnsi" w:hAnsiTheme="majorHAnsi" w:cstheme="majorHAnsi"/>
        </w:rPr>
        <w:t xml:space="preserve">. </w:t>
      </w:r>
    </w:p>
    <w:p w14:paraId="55BCD0D6" w14:textId="099B7217" w:rsidR="004C4467" w:rsidRPr="00E676E1" w:rsidRDefault="004C4467" w:rsidP="00B85FF1">
      <w:pPr>
        <w:spacing w:after="0" w:line="480" w:lineRule="auto"/>
        <w:textAlignment w:val="baseline"/>
        <w:rPr>
          <w:rFonts w:asciiTheme="majorHAnsi" w:hAnsiTheme="majorHAnsi" w:cstheme="majorHAnsi"/>
        </w:rPr>
      </w:pPr>
      <w:r w:rsidRPr="00E676E1">
        <w:rPr>
          <w:rFonts w:asciiTheme="majorHAnsi" w:hAnsiTheme="majorHAnsi" w:cstheme="majorHAnsi"/>
          <w:b/>
          <w:bCs/>
          <w:bdr w:val="none" w:sz="0" w:space="0" w:color="auto" w:frame="1"/>
        </w:rPr>
        <w:t>What this study adds</w:t>
      </w:r>
      <w:r w:rsidRPr="00E676E1">
        <w:rPr>
          <w:rFonts w:asciiTheme="majorHAnsi" w:hAnsiTheme="majorHAnsi" w:cstheme="majorHAnsi"/>
        </w:rPr>
        <w:t> – </w:t>
      </w:r>
      <w:r w:rsidR="00131A0F" w:rsidRPr="00E676E1">
        <w:rPr>
          <w:rFonts w:asciiTheme="majorHAnsi" w:hAnsiTheme="majorHAnsi" w:cstheme="majorHAnsi"/>
          <w:bdr w:val="none" w:sz="0" w:space="0" w:color="auto" w:frame="1"/>
        </w:rPr>
        <w:t>One</w:t>
      </w:r>
      <w:r w:rsidR="007D3CEC" w:rsidRPr="00E676E1">
        <w:rPr>
          <w:rFonts w:asciiTheme="majorHAnsi" w:hAnsiTheme="majorHAnsi" w:cstheme="majorHAnsi"/>
          <w:bdr w:val="none" w:sz="0" w:space="0" w:color="auto" w:frame="1"/>
        </w:rPr>
        <w:t xml:space="preserve"> tenth </w:t>
      </w:r>
      <w:r w:rsidR="00CB09CB" w:rsidRPr="00E676E1">
        <w:rPr>
          <w:rFonts w:asciiTheme="majorHAnsi" w:hAnsiTheme="majorHAnsi" w:cstheme="majorHAnsi"/>
          <w:bdr w:val="none" w:sz="0" w:space="0" w:color="auto" w:frame="1"/>
        </w:rPr>
        <w:t xml:space="preserve">of </w:t>
      </w:r>
      <w:r w:rsidR="005948FE" w:rsidRPr="00E676E1">
        <w:rPr>
          <w:rFonts w:asciiTheme="majorHAnsi" w:hAnsiTheme="majorHAnsi" w:cstheme="majorHAnsi"/>
          <w:bdr w:val="none" w:sz="0" w:space="0" w:color="auto" w:frame="1"/>
        </w:rPr>
        <w:t>out</w:t>
      </w:r>
      <w:r w:rsidR="00EC468E" w:rsidRPr="00E676E1">
        <w:rPr>
          <w:rFonts w:asciiTheme="majorHAnsi" w:hAnsiTheme="majorHAnsi" w:cstheme="majorHAnsi"/>
          <w:bdr w:val="none" w:sz="0" w:space="0" w:color="auto" w:frame="1"/>
        </w:rPr>
        <w:t xml:space="preserve">patients with IBD were exposed to opioids in the previous year and </w:t>
      </w:r>
      <w:r w:rsidR="007D3CEC" w:rsidRPr="00E676E1">
        <w:rPr>
          <w:rFonts w:asciiTheme="majorHAnsi" w:hAnsiTheme="majorHAnsi" w:cstheme="majorHAnsi"/>
          <w:bdr w:val="none" w:sz="0" w:space="0" w:color="auto" w:frame="1"/>
        </w:rPr>
        <w:t>a quarter of</w:t>
      </w:r>
      <w:r w:rsidR="00EC468E" w:rsidRPr="00E676E1">
        <w:rPr>
          <w:rFonts w:asciiTheme="majorHAnsi" w:hAnsiTheme="majorHAnsi" w:cstheme="majorHAnsi"/>
          <w:bdr w:val="none" w:sz="0" w:space="0" w:color="auto" w:frame="1"/>
        </w:rPr>
        <w:t xml:space="preserve"> hospitalised IBD patients </w:t>
      </w:r>
      <w:r w:rsidR="00E3240F" w:rsidRPr="00E676E1">
        <w:rPr>
          <w:rFonts w:asciiTheme="majorHAnsi" w:hAnsiTheme="majorHAnsi" w:cstheme="majorHAnsi"/>
          <w:bdr w:val="none" w:sz="0" w:space="0" w:color="auto" w:frame="1"/>
        </w:rPr>
        <w:t>were</w:t>
      </w:r>
      <w:r w:rsidR="00EC468E" w:rsidRPr="00E676E1">
        <w:rPr>
          <w:rFonts w:asciiTheme="majorHAnsi" w:hAnsiTheme="majorHAnsi" w:cstheme="majorHAnsi"/>
          <w:bdr w:val="none" w:sz="0" w:space="0" w:color="auto" w:frame="1"/>
        </w:rPr>
        <w:t xml:space="preserve"> discharged </w:t>
      </w:r>
      <w:r w:rsidR="005948FE" w:rsidRPr="00E676E1">
        <w:rPr>
          <w:rFonts w:asciiTheme="majorHAnsi" w:hAnsiTheme="majorHAnsi" w:cstheme="majorHAnsi"/>
          <w:bdr w:val="none" w:sz="0" w:space="0" w:color="auto" w:frame="1"/>
        </w:rPr>
        <w:t>on</w:t>
      </w:r>
      <w:r w:rsidR="00EC468E" w:rsidRPr="00E676E1">
        <w:rPr>
          <w:rFonts w:asciiTheme="majorHAnsi" w:hAnsiTheme="majorHAnsi" w:cstheme="majorHAnsi"/>
          <w:bdr w:val="none" w:sz="0" w:space="0" w:color="auto" w:frame="1"/>
        </w:rPr>
        <w:t xml:space="preserve"> opioids. </w:t>
      </w:r>
      <w:r w:rsidR="007D3CEC" w:rsidRPr="00E676E1">
        <w:rPr>
          <w:rFonts w:asciiTheme="majorHAnsi" w:hAnsiTheme="majorHAnsi" w:cstheme="majorHAnsi"/>
          <w:bdr w:val="none" w:sz="0" w:space="0" w:color="auto" w:frame="1"/>
        </w:rPr>
        <w:t xml:space="preserve">Over half of opioid </w:t>
      </w:r>
      <w:r w:rsidR="005948FE" w:rsidRPr="00E676E1">
        <w:rPr>
          <w:rFonts w:asciiTheme="majorHAnsi" w:hAnsiTheme="majorHAnsi" w:cstheme="majorHAnsi"/>
          <w:bdr w:val="none" w:sz="0" w:space="0" w:color="auto" w:frame="1"/>
        </w:rPr>
        <w:t>use</w:t>
      </w:r>
      <w:r w:rsidR="007D3CEC" w:rsidRPr="00E676E1">
        <w:rPr>
          <w:rFonts w:asciiTheme="majorHAnsi" w:hAnsiTheme="majorHAnsi" w:cstheme="majorHAnsi"/>
          <w:bdr w:val="none" w:sz="0" w:space="0" w:color="auto" w:frame="1"/>
        </w:rPr>
        <w:t xml:space="preserve"> </w:t>
      </w:r>
      <w:r w:rsidR="0033666C" w:rsidRPr="00E676E1">
        <w:rPr>
          <w:rFonts w:asciiTheme="majorHAnsi" w:hAnsiTheme="majorHAnsi" w:cstheme="majorHAnsi"/>
          <w:bdr w:val="none" w:sz="0" w:space="0" w:color="auto" w:frame="1"/>
        </w:rPr>
        <w:t xml:space="preserve">is </w:t>
      </w:r>
      <w:r w:rsidR="007D3CEC" w:rsidRPr="00E676E1">
        <w:rPr>
          <w:rFonts w:asciiTheme="majorHAnsi" w:hAnsiTheme="majorHAnsi" w:cstheme="majorHAnsi"/>
          <w:bdr w:val="none" w:sz="0" w:space="0" w:color="auto" w:frame="1"/>
        </w:rPr>
        <w:t>related to</w:t>
      </w:r>
      <w:r w:rsidR="00881AA6" w:rsidRPr="00E676E1">
        <w:rPr>
          <w:rFonts w:asciiTheme="majorHAnsi" w:hAnsiTheme="majorHAnsi" w:cstheme="majorHAnsi"/>
          <w:bdr w:val="none" w:sz="0" w:space="0" w:color="auto" w:frame="1"/>
        </w:rPr>
        <w:t xml:space="preserve"> </w:t>
      </w:r>
      <w:r w:rsidR="007D3CEC" w:rsidRPr="00E676E1">
        <w:rPr>
          <w:rFonts w:asciiTheme="majorHAnsi" w:hAnsiTheme="majorHAnsi" w:cstheme="majorHAnsi"/>
          <w:bdr w:val="none" w:sz="0" w:space="0" w:color="auto" w:frame="1"/>
        </w:rPr>
        <w:t>non-IBD</w:t>
      </w:r>
      <w:r w:rsidR="00CB09CB" w:rsidRPr="00E676E1">
        <w:rPr>
          <w:rFonts w:asciiTheme="majorHAnsi" w:hAnsiTheme="majorHAnsi" w:cstheme="majorHAnsi"/>
          <w:bdr w:val="none" w:sz="0" w:space="0" w:color="auto" w:frame="1"/>
        </w:rPr>
        <w:t xml:space="preserve"> pain</w:t>
      </w:r>
      <w:r w:rsidR="005948FE" w:rsidRPr="00E676E1">
        <w:rPr>
          <w:rFonts w:asciiTheme="majorHAnsi" w:hAnsiTheme="majorHAnsi" w:cstheme="majorHAnsi"/>
          <w:bdr w:val="none" w:sz="0" w:space="0" w:color="auto" w:frame="1"/>
        </w:rPr>
        <w:t>, mostly musculoskeletal</w:t>
      </w:r>
      <w:r w:rsidR="007D3CEC" w:rsidRPr="00E676E1">
        <w:rPr>
          <w:rFonts w:asciiTheme="majorHAnsi" w:hAnsiTheme="majorHAnsi" w:cstheme="majorHAnsi"/>
          <w:bdr w:val="none" w:sz="0" w:space="0" w:color="auto" w:frame="1"/>
        </w:rPr>
        <w:t>.</w:t>
      </w:r>
      <w:r w:rsidR="00194224" w:rsidRPr="00E676E1">
        <w:rPr>
          <w:rFonts w:asciiTheme="majorHAnsi" w:hAnsiTheme="majorHAnsi" w:cstheme="majorHAnsi"/>
          <w:bdr w:val="none" w:sz="0" w:space="0" w:color="auto" w:frame="1"/>
        </w:rPr>
        <w:t xml:space="preserve"> Almost three quarters of patients discharged on opioids had no </w:t>
      </w:r>
      <w:r w:rsidR="005948FE" w:rsidRPr="00E676E1">
        <w:rPr>
          <w:rFonts w:asciiTheme="majorHAnsi" w:hAnsiTheme="majorHAnsi" w:cstheme="majorHAnsi"/>
          <w:bdr w:val="none" w:sz="0" w:space="0" w:color="auto" w:frame="1"/>
        </w:rPr>
        <w:t xml:space="preserve">opioid </w:t>
      </w:r>
      <w:r w:rsidR="00194224" w:rsidRPr="00E676E1">
        <w:rPr>
          <w:rFonts w:asciiTheme="majorHAnsi" w:hAnsiTheme="majorHAnsi" w:cstheme="majorHAnsi"/>
          <w:bdr w:val="none" w:sz="0" w:space="0" w:color="auto" w:frame="1"/>
        </w:rPr>
        <w:t>weaning plan.</w:t>
      </w:r>
    </w:p>
    <w:p w14:paraId="47A47A62" w14:textId="2022BB6B" w:rsidR="004C4467" w:rsidRPr="00E676E1" w:rsidRDefault="004C4467" w:rsidP="00A215A7">
      <w:pPr>
        <w:spacing w:after="0" w:line="480" w:lineRule="auto"/>
        <w:textAlignment w:val="baseline"/>
        <w:rPr>
          <w:rFonts w:asciiTheme="majorHAnsi" w:hAnsiTheme="majorHAnsi" w:cstheme="majorHAnsi"/>
        </w:rPr>
      </w:pPr>
      <w:r w:rsidRPr="00E676E1">
        <w:rPr>
          <w:rFonts w:asciiTheme="majorHAnsi" w:hAnsiTheme="majorHAnsi" w:cstheme="majorHAnsi"/>
          <w:b/>
          <w:bCs/>
          <w:bdr w:val="none" w:sz="0" w:space="0" w:color="auto" w:frame="1"/>
        </w:rPr>
        <w:t xml:space="preserve">How this study might affect research, </w:t>
      </w:r>
      <w:r w:rsidR="00881AA6" w:rsidRPr="00E676E1">
        <w:rPr>
          <w:rFonts w:asciiTheme="majorHAnsi" w:hAnsiTheme="majorHAnsi" w:cstheme="majorHAnsi"/>
          <w:b/>
          <w:bCs/>
          <w:bdr w:val="none" w:sz="0" w:space="0" w:color="auto" w:frame="1"/>
        </w:rPr>
        <w:t xml:space="preserve">practice </w:t>
      </w:r>
      <w:r w:rsidRPr="00E676E1">
        <w:rPr>
          <w:rFonts w:asciiTheme="majorHAnsi" w:hAnsiTheme="majorHAnsi" w:cstheme="majorHAnsi"/>
          <w:b/>
          <w:bCs/>
          <w:bdr w:val="none" w:sz="0" w:space="0" w:color="auto" w:frame="1"/>
        </w:rPr>
        <w:t>or policy</w:t>
      </w:r>
      <w:r w:rsidRPr="00E676E1">
        <w:rPr>
          <w:rFonts w:asciiTheme="majorHAnsi" w:hAnsiTheme="majorHAnsi" w:cstheme="majorHAnsi"/>
        </w:rPr>
        <w:t> –</w:t>
      </w:r>
      <w:r w:rsidR="007D3CEC" w:rsidRPr="00E676E1">
        <w:rPr>
          <w:rFonts w:asciiTheme="majorHAnsi" w:hAnsiTheme="majorHAnsi" w:cstheme="majorHAnsi"/>
        </w:rPr>
        <w:t xml:space="preserve"> </w:t>
      </w:r>
      <w:bookmarkStart w:id="0" w:name="_Hlk127684835"/>
      <w:r w:rsidR="007D3CEC" w:rsidRPr="00E676E1">
        <w:rPr>
          <w:rFonts w:asciiTheme="majorHAnsi" w:hAnsiTheme="majorHAnsi" w:cstheme="majorHAnsi"/>
        </w:rPr>
        <w:t>Th</w:t>
      </w:r>
      <w:r w:rsidR="005948FE" w:rsidRPr="00E676E1">
        <w:rPr>
          <w:rFonts w:asciiTheme="majorHAnsi" w:hAnsiTheme="majorHAnsi" w:cstheme="majorHAnsi"/>
        </w:rPr>
        <w:t>ere is a significant risk of opioid</w:t>
      </w:r>
      <w:r w:rsidR="00881AA6" w:rsidRPr="00E676E1">
        <w:rPr>
          <w:rFonts w:asciiTheme="majorHAnsi" w:hAnsiTheme="majorHAnsi" w:cstheme="majorHAnsi"/>
        </w:rPr>
        <w:t>-</w:t>
      </w:r>
      <w:r w:rsidR="005948FE" w:rsidRPr="00E676E1">
        <w:rPr>
          <w:rFonts w:asciiTheme="majorHAnsi" w:hAnsiTheme="majorHAnsi" w:cstheme="majorHAnsi"/>
        </w:rPr>
        <w:t>exposure among IBD patients. Th</w:t>
      </w:r>
      <w:r w:rsidR="00131A0F" w:rsidRPr="00E676E1">
        <w:rPr>
          <w:rFonts w:asciiTheme="majorHAnsi" w:hAnsiTheme="majorHAnsi" w:cstheme="majorHAnsi"/>
        </w:rPr>
        <w:t>is</w:t>
      </w:r>
      <w:r w:rsidR="005948FE" w:rsidRPr="00E676E1">
        <w:rPr>
          <w:rFonts w:asciiTheme="majorHAnsi" w:hAnsiTheme="majorHAnsi" w:cstheme="majorHAnsi"/>
        </w:rPr>
        <w:t xml:space="preserve"> </w:t>
      </w:r>
      <w:r w:rsidR="007D3CEC" w:rsidRPr="00E676E1">
        <w:rPr>
          <w:rFonts w:asciiTheme="majorHAnsi" w:hAnsiTheme="majorHAnsi" w:cstheme="majorHAnsi"/>
        </w:rPr>
        <w:t>risk may be reduced by the wider use of op</w:t>
      </w:r>
      <w:r w:rsidR="00131A0F" w:rsidRPr="00E676E1">
        <w:rPr>
          <w:rFonts w:asciiTheme="majorHAnsi" w:hAnsiTheme="majorHAnsi" w:cstheme="majorHAnsi"/>
        </w:rPr>
        <w:t>ioid weaning</w:t>
      </w:r>
      <w:r w:rsidR="007D3CEC" w:rsidRPr="00E676E1">
        <w:rPr>
          <w:rFonts w:asciiTheme="majorHAnsi" w:hAnsiTheme="majorHAnsi" w:cstheme="majorHAnsi"/>
        </w:rPr>
        <w:t xml:space="preserve"> </w:t>
      </w:r>
      <w:r w:rsidR="005948FE" w:rsidRPr="00E676E1">
        <w:rPr>
          <w:rFonts w:asciiTheme="majorHAnsi" w:hAnsiTheme="majorHAnsi" w:cstheme="majorHAnsi"/>
        </w:rPr>
        <w:t>plans</w:t>
      </w:r>
      <w:r w:rsidR="007D3CEC" w:rsidRPr="00E676E1">
        <w:rPr>
          <w:rFonts w:asciiTheme="majorHAnsi" w:hAnsiTheme="majorHAnsi" w:cstheme="majorHAnsi"/>
        </w:rPr>
        <w:t xml:space="preserve"> and </w:t>
      </w:r>
      <w:r w:rsidR="00131A0F" w:rsidRPr="00E676E1">
        <w:rPr>
          <w:rFonts w:asciiTheme="majorHAnsi" w:hAnsiTheme="majorHAnsi" w:cstheme="majorHAnsi"/>
        </w:rPr>
        <w:t>appropriate r</w:t>
      </w:r>
      <w:r w:rsidR="007D3CEC" w:rsidRPr="00E676E1">
        <w:rPr>
          <w:rFonts w:asciiTheme="majorHAnsi" w:hAnsiTheme="majorHAnsi" w:cstheme="majorHAnsi"/>
        </w:rPr>
        <w:t xml:space="preserve">eferral to </w:t>
      </w:r>
      <w:r w:rsidR="000A2804" w:rsidRPr="00E676E1">
        <w:rPr>
          <w:rFonts w:asciiTheme="majorHAnsi" w:hAnsiTheme="majorHAnsi" w:cstheme="majorHAnsi"/>
        </w:rPr>
        <w:t>pain service</w:t>
      </w:r>
      <w:r w:rsidR="007D3CEC" w:rsidRPr="00E676E1">
        <w:rPr>
          <w:rFonts w:asciiTheme="majorHAnsi" w:hAnsiTheme="majorHAnsi" w:cstheme="majorHAnsi"/>
        </w:rPr>
        <w:t>s</w:t>
      </w:r>
      <w:r w:rsidR="005948FE" w:rsidRPr="00E676E1">
        <w:rPr>
          <w:rFonts w:asciiTheme="majorHAnsi" w:hAnsiTheme="majorHAnsi" w:cstheme="majorHAnsi"/>
        </w:rPr>
        <w:t>.</w:t>
      </w:r>
      <w:r w:rsidR="00194224" w:rsidRPr="00E676E1">
        <w:rPr>
          <w:rFonts w:asciiTheme="majorHAnsi" w:hAnsiTheme="majorHAnsi" w:cstheme="majorHAnsi"/>
        </w:rPr>
        <w:t xml:space="preserve"> </w:t>
      </w:r>
      <w:r w:rsidR="00833136" w:rsidRPr="00E676E1">
        <w:rPr>
          <w:rFonts w:asciiTheme="majorHAnsi" w:hAnsiTheme="majorHAnsi" w:cstheme="majorHAnsi"/>
        </w:rPr>
        <w:t>These</w:t>
      </w:r>
      <w:r w:rsidR="00194224" w:rsidRPr="00E676E1">
        <w:rPr>
          <w:rFonts w:asciiTheme="majorHAnsi" w:hAnsiTheme="majorHAnsi" w:cstheme="majorHAnsi"/>
        </w:rPr>
        <w:t xml:space="preserve"> measures </w:t>
      </w:r>
      <w:r w:rsidR="00833136" w:rsidRPr="00E676E1">
        <w:rPr>
          <w:rFonts w:asciiTheme="majorHAnsi" w:hAnsiTheme="majorHAnsi" w:cstheme="majorHAnsi"/>
        </w:rPr>
        <w:t>should</w:t>
      </w:r>
      <w:r w:rsidR="00EE3BDC" w:rsidRPr="00E676E1">
        <w:rPr>
          <w:rFonts w:asciiTheme="majorHAnsi" w:hAnsiTheme="majorHAnsi" w:cstheme="majorHAnsi"/>
        </w:rPr>
        <w:t xml:space="preserve"> be</w:t>
      </w:r>
      <w:r w:rsidR="00194224" w:rsidRPr="00E676E1">
        <w:rPr>
          <w:rFonts w:asciiTheme="majorHAnsi" w:hAnsiTheme="majorHAnsi" w:cstheme="majorHAnsi"/>
        </w:rPr>
        <w:t xml:space="preserve"> </w:t>
      </w:r>
      <w:r w:rsidR="00131A0F" w:rsidRPr="00E676E1">
        <w:rPr>
          <w:rFonts w:asciiTheme="majorHAnsi" w:hAnsiTheme="majorHAnsi" w:cstheme="majorHAnsi"/>
        </w:rPr>
        <w:t>evaluat</w:t>
      </w:r>
      <w:r w:rsidR="00A44DBC" w:rsidRPr="00E676E1">
        <w:rPr>
          <w:rFonts w:asciiTheme="majorHAnsi" w:hAnsiTheme="majorHAnsi" w:cstheme="majorHAnsi"/>
        </w:rPr>
        <w:t>ed in</w:t>
      </w:r>
      <w:r w:rsidR="00194224" w:rsidRPr="00E676E1">
        <w:rPr>
          <w:rFonts w:asciiTheme="majorHAnsi" w:hAnsiTheme="majorHAnsi" w:cstheme="majorHAnsi"/>
        </w:rPr>
        <w:t xml:space="preserve"> future quality improvement initiatives.</w:t>
      </w:r>
      <w:r w:rsidR="00A215A7" w:rsidRPr="00E676E1">
        <w:rPr>
          <w:rFonts w:asciiTheme="majorHAnsi" w:hAnsiTheme="majorHAnsi" w:cstheme="majorHAnsi"/>
        </w:rPr>
        <w:t xml:space="preserve"> </w:t>
      </w:r>
    </w:p>
    <w:p w14:paraId="5FFA0A44" w14:textId="77777777" w:rsidR="004C4467" w:rsidRPr="00E676E1" w:rsidRDefault="004C4467" w:rsidP="00B72B28">
      <w:pPr>
        <w:spacing w:after="0" w:line="480" w:lineRule="auto"/>
        <w:rPr>
          <w:rFonts w:asciiTheme="minorHAnsi" w:hAnsiTheme="minorHAnsi" w:cstheme="minorHAnsi"/>
        </w:rPr>
      </w:pPr>
      <w:bookmarkStart w:id="1" w:name="systematic_review"/>
      <w:bookmarkEnd w:id="0"/>
      <w:bookmarkEnd w:id="1"/>
    </w:p>
    <w:p w14:paraId="10BCA564" w14:textId="3021B975" w:rsidR="007219F7" w:rsidRPr="00E676E1" w:rsidRDefault="00B72B28" w:rsidP="00B72B28">
      <w:pPr>
        <w:spacing w:after="0"/>
        <w:rPr>
          <w:rFonts w:asciiTheme="majorHAnsi" w:hAnsiTheme="majorHAnsi" w:cstheme="majorHAnsi"/>
          <w:u w:val="single"/>
        </w:rPr>
      </w:pPr>
      <w:r w:rsidRPr="00E676E1">
        <w:rPr>
          <w:rFonts w:asciiTheme="majorHAnsi" w:hAnsiTheme="majorHAnsi" w:cstheme="majorHAnsi"/>
          <w:u w:val="single"/>
        </w:rPr>
        <w:br w:type="page"/>
      </w:r>
    </w:p>
    <w:p w14:paraId="10E0E6A6" w14:textId="2A867F6B" w:rsidR="003E0A70" w:rsidRPr="00E676E1" w:rsidRDefault="007219F7" w:rsidP="00D937F2">
      <w:pPr>
        <w:spacing w:line="480" w:lineRule="auto"/>
        <w:rPr>
          <w:rFonts w:asciiTheme="majorHAnsi" w:hAnsiTheme="majorHAnsi" w:cstheme="majorHAnsi"/>
          <w:b/>
          <w:sz w:val="28"/>
          <w:szCs w:val="28"/>
        </w:rPr>
      </w:pPr>
      <w:r w:rsidRPr="00E676E1">
        <w:rPr>
          <w:rFonts w:asciiTheme="majorHAnsi" w:hAnsiTheme="majorHAnsi" w:cstheme="majorHAnsi"/>
          <w:b/>
          <w:sz w:val="28"/>
          <w:szCs w:val="28"/>
        </w:rPr>
        <w:lastRenderedPageBreak/>
        <w:t>Introduction</w:t>
      </w:r>
      <w:r w:rsidR="00214D69" w:rsidRPr="00E676E1">
        <w:rPr>
          <w:rFonts w:asciiTheme="majorHAnsi" w:hAnsiTheme="majorHAnsi" w:cstheme="majorHAnsi"/>
          <w:b/>
          <w:sz w:val="28"/>
          <w:szCs w:val="28"/>
        </w:rPr>
        <w:t>:</w:t>
      </w:r>
    </w:p>
    <w:p w14:paraId="0665916A" w14:textId="5382C941" w:rsidR="003E0A70" w:rsidRPr="00E676E1" w:rsidRDefault="00B2665C" w:rsidP="003E0A70">
      <w:pPr>
        <w:spacing w:line="480" w:lineRule="auto"/>
        <w:rPr>
          <w:rFonts w:asciiTheme="majorHAnsi" w:hAnsiTheme="majorHAnsi" w:cstheme="majorHAnsi"/>
        </w:rPr>
      </w:pPr>
      <w:r w:rsidRPr="00E676E1">
        <w:rPr>
          <w:rFonts w:asciiTheme="majorHAnsi" w:hAnsiTheme="majorHAnsi" w:cstheme="majorHAnsi"/>
        </w:rPr>
        <w:t>Most</w:t>
      </w:r>
      <w:r w:rsidR="00896A6E" w:rsidRPr="00E676E1">
        <w:rPr>
          <w:rFonts w:asciiTheme="majorHAnsi" w:hAnsiTheme="majorHAnsi" w:cstheme="majorHAnsi"/>
        </w:rPr>
        <w:t xml:space="preserve"> individuals with inflammatory bowel disease (IBD) experience pain </w:t>
      </w:r>
      <w:r w:rsidR="009B50B3" w:rsidRPr="00E676E1">
        <w:rPr>
          <w:rFonts w:asciiTheme="majorHAnsi" w:hAnsiTheme="majorHAnsi" w:cstheme="majorHAnsi"/>
        </w:rPr>
        <w:t>and this</w:t>
      </w:r>
      <w:r w:rsidR="00984159" w:rsidRPr="00E676E1">
        <w:rPr>
          <w:rFonts w:asciiTheme="majorHAnsi" w:hAnsiTheme="majorHAnsi" w:cstheme="majorHAnsi"/>
        </w:rPr>
        <w:t xml:space="preserve"> is associated with poorer quality of life</w:t>
      </w:r>
      <w:r w:rsidR="001A4A4C" w:rsidRPr="00E676E1">
        <w:rPr>
          <w:rFonts w:asciiTheme="majorHAnsi" w:hAnsiTheme="majorHAnsi" w:cstheme="majorHAnsi"/>
        </w:rPr>
        <w:t xml:space="preserve">, </w:t>
      </w:r>
      <w:r w:rsidR="00984159" w:rsidRPr="00E676E1">
        <w:rPr>
          <w:rFonts w:asciiTheme="majorHAnsi" w:hAnsiTheme="majorHAnsi" w:cstheme="majorHAnsi"/>
        </w:rPr>
        <w:t xml:space="preserve">increased </w:t>
      </w:r>
      <w:r w:rsidR="00001472" w:rsidRPr="00E676E1">
        <w:rPr>
          <w:rFonts w:asciiTheme="majorHAnsi" w:hAnsiTheme="majorHAnsi" w:cstheme="majorHAnsi"/>
        </w:rPr>
        <w:t>healthcare utilisation</w:t>
      </w:r>
      <w:r w:rsidR="001A4A4C" w:rsidRPr="00E676E1">
        <w:rPr>
          <w:rFonts w:asciiTheme="majorHAnsi" w:hAnsiTheme="majorHAnsi" w:cstheme="majorHAnsi"/>
        </w:rPr>
        <w:t xml:space="preserve"> and worse clinical outcomes</w:t>
      </w:r>
      <w:r w:rsidR="00001472" w:rsidRPr="00E676E1">
        <w:rPr>
          <w:rFonts w:asciiTheme="majorHAnsi" w:hAnsiTheme="majorHAnsi" w:cstheme="majorHAnsi"/>
        </w:rPr>
        <w:t>.</w:t>
      </w:r>
      <w:r w:rsidR="00001472" w:rsidRPr="00E676E1">
        <w:rPr>
          <w:rFonts w:asciiTheme="majorHAnsi" w:hAnsiTheme="majorHAnsi" w:cstheme="majorHAnsi"/>
        </w:rPr>
        <w:fldChar w:fldCharType="begin"/>
      </w:r>
      <w:r w:rsidR="00001472" w:rsidRPr="00E676E1">
        <w:rPr>
          <w:rFonts w:asciiTheme="majorHAnsi" w:hAnsiTheme="majorHAnsi" w:cstheme="majorHAnsi"/>
        </w:rPr>
        <w:instrText xml:space="preserve"> ADDIN ZOTERO_TEMP </w:instrText>
      </w:r>
      <w:r w:rsidR="00001472" w:rsidRPr="00E676E1">
        <w:rPr>
          <w:rFonts w:asciiTheme="majorHAnsi" w:hAnsiTheme="majorHAnsi" w:cstheme="majorHAnsi"/>
        </w:rPr>
        <w:fldChar w:fldCharType="end"/>
      </w:r>
      <w:r w:rsidR="00001472" w:rsidRPr="00E676E1">
        <w:rPr>
          <w:rFonts w:asciiTheme="majorHAnsi" w:hAnsiTheme="majorHAnsi" w:cstheme="majorHAnsi"/>
        </w:rPr>
        <w:fldChar w:fldCharType="begin"/>
      </w:r>
      <w:r w:rsidR="003910A3" w:rsidRPr="00E676E1">
        <w:rPr>
          <w:rFonts w:asciiTheme="majorHAnsi" w:hAnsiTheme="majorHAnsi" w:cstheme="majorHAnsi"/>
        </w:rPr>
        <w:instrText xml:space="preserve"> ADDIN ZOTERO_ITEM CSL_CITATION {"citationID":"QdnTTtzU","properties":{"formattedCitation":"\\super 1\\nosupersub{}","plainCitation":"1","noteIndex":0},"citationItems":[{"id":2054,"uris":["http://zotero.org/users/5360735/items/FDUYRQG4"],"itemData":{"id":2054,"type":"article-journal","abstract":"Pain is commonly experienced by patients with inflammatory bowel disease (IBD). Unfortunately, pain management is a challenge in IBD care, as currently available analgesics are associated with adverse events. Our understanding of the impact of opioid use on healthcare utilization among IBD patients remains limited.A systematic search was completed using PubMed, Embase, the Cochrane Library, and Scopus through May of 2020. The exposure of interest was any opioid medication prescribed by a healthcare provider. Outcomes included readmissions rate, hospitalization, hospital length of stay, healthcare costs, emergency department visits, outpatient visits, IBD-related surgeries, and IBD-related medication utilization. Meta-analysis was conducted on study outcomes reported in at least 4 studies using random-effects models to estimate pooled relative risk (RR) and 95% confidence interval (CI).We identified 1969 articles, of which 30 met inclusion criteria. Meta-analysis showed an association between opioid use and longer length of stay (mean difference, 2.25 days; 95% CI, 1.29-3.22), higher likelihood of prior IBD-related surgery (RR, 1.72; 95% CI, 1.32-2.25), and higher rates of biologic use (RR, 1.38; 95% CI, 1.13-1.68) but no difference in 30-day readmissions (RR, 1.17; 95% CI, 0.86-1.61), immunomodulator use (RR, 1.13; 95% CI, 0.89-1.44), or corticosteroid use (RR, 1.36; 95% CI, 0.88-2.10) in patients with IBD. On systematic review, opioid use was associated with increased hospitalizations, healthcare costs, emergency department visits, outpatient visits, and polypharmacy.Opioids use among patients with IBD is associated with increased healthcare utilization. Nonopioid alternatives are needed to reduce burden on the healthcare system and improve patient outcomes.Pain control in inflammatory bowel disease presents a challenge due to the potential for adverse effects of opioids in this population. This systematic review and meta-analysis demonstrates that opioid use in inflammatory bowel disease is associated with increased healthcare utilization.","container-title":"Inflammatory Bowel Diseases","DOI":"10.1093/ibd/izac021","ISSN":"1078-0998","journalAbbreviation":"Inflammatory Bowel Diseases","page":"izac021","title":"The Relationship Between Opioid Use and Healthcare Utilization in Patients With Inflammatory Bowel Disease: A Systematic Review and Meta-Analysis","author":[{"family":"Sheehan","given":"Jessica L"},{"family":"Jacob","given":"Janson"},{"family":"Berinstein","given":"Elliot M"},{"family":"Greene-Higgs","given":"LaVana"},{"family":"Steiner","given":"Calen A"},{"family":"Berry","given":"Sameer K"},{"family":"Shannon","given":"Carol"},{"family":"Cohen-Mekelburg","given":"Shirley A"},{"family":"Higgins","given":"Peter D R"},{"family":"Berinstein","given":"Jeffrey A"}],"issued":{"date-parts":[["2022",3,1]]}}}],"schema":"https://github.com/citation-style-language/schema/raw/master/csl-citation.json"} </w:instrText>
      </w:r>
      <w:r w:rsidR="00001472" w:rsidRPr="00E676E1">
        <w:rPr>
          <w:rFonts w:asciiTheme="majorHAnsi" w:hAnsiTheme="majorHAnsi" w:cstheme="majorHAnsi"/>
        </w:rPr>
        <w:fldChar w:fldCharType="separate"/>
      </w:r>
      <w:r w:rsidR="003910A3" w:rsidRPr="00E676E1">
        <w:rPr>
          <w:rFonts w:ascii="Calibri Light" w:hAnsiTheme="majorHAnsi" w:cs="Calibri Light"/>
          <w:vertAlign w:val="superscript"/>
        </w:rPr>
        <w:t>1</w:t>
      </w:r>
      <w:r w:rsidR="00001472" w:rsidRPr="00E676E1">
        <w:rPr>
          <w:rFonts w:asciiTheme="majorHAnsi" w:hAnsiTheme="majorHAnsi" w:cstheme="majorHAnsi"/>
        </w:rPr>
        <w:fldChar w:fldCharType="end"/>
      </w:r>
      <w:r w:rsidR="00001472" w:rsidRPr="00E676E1">
        <w:rPr>
          <w:rFonts w:asciiTheme="majorHAnsi" w:hAnsiTheme="majorHAnsi" w:cstheme="majorHAnsi"/>
        </w:rPr>
        <w:t xml:space="preserve"> </w:t>
      </w:r>
      <w:r w:rsidR="00896A6E" w:rsidRPr="00E676E1">
        <w:rPr>
          <w:rFonts w:asciiTheme="majorHAnsi" w:hAnsiTheme="majorHAnsi" w:cstheme="majorHAnsi"/>
        </w:rPr>
        <w:t xml:space="preserve">While opioid medications are used to relieve cancer-related pain, </w:t>
      </w:r>
      <w:r w:rsidR="006A0034" w:rsidRPr="00E676E1">
        <w:rPr>
          <w:rFonts w:asciiTheme="majorHAnsi" w:hAnsiTheme="majorHAnsi" w:cstheme="majorHAnsi"/>
        </w:rPr>
        <w:t xml:space="preserve">there is little evidence that they are helpful for </w:t>
      </w:r>
      <w:r w:rsidR="001A4A4C" w:rsidRPr="00E676E1">
        <w:rPr>
          <w:rFonts w:asciiTheme="majorHAnsi" w:hAnsiTheme="majorHAnsi" w:cstheme="majorHAnsi"/>
        </w:rPr>
        <w:t>the relief of chronic</w:t>
      </w:r>
      <w:r w:rsidR="006A0034" w:rsidRPr="00E676E1">
        <w:rPr>
          <w:rFonts w:asciiTheme="majorHAnsi" w:hAnsiTheme="majorHAnsi" w:cstheme="majorHAnsi"/>
        </w:rPr>
        <w:t xml:space="preserve"> pain</w:t>
      </w:r>
      <w:r w:rsidR="006A0034" w:rsidRPr="00E676E1">
        <w:rPr>
          <w:rFonts w:asciiTheme="majorHAnsi" w:hAnsiTheme="majorHAnsi" w:cstheme="majorHAnsi"/>
        </w:rPr>
        <w:fldChar w:fldCharType="begin"/>
      </w:r>
      <w:r w:rsidR="003910A3" w:rsidRPr="00E676E1">
        <w:rPr>
          <w:rFonts w:asciiTheme="majorHAnsi" w:hAnsiTheme="majorHAnsi" w:cstheme="majorHAnsi"/>
        </w:rPr>
        <w:instrText xml:space="preserve"> ADDIN ZOTERO_ITEM CSL_CITATION {"citationID":"BAcRtauR","properties":{"formattedCitation":"\\super 2\\nosupersub{}","plainCitation":"2","noteIndex":0},"citationItems":[{"id":17055,"uris":["http://zotero.org/users/5360735/items/IQSI9D9G"],"itemData":{"id":17055,"type":"document","title":"The effectiveness of opioids for long term pain. Opioids Aware.","URL":"https://www.fpm.ac.uk/opioids-aware-clinical-use-opioids/opioids-long-term-pain","author":[{"family":"","given":"Faculty of Pain Medicine."}],"accessed":{"date-parts":[["2022",8,5]]}}}],"schema":"https://github.com/citation-style-language/schema/raw/master/csl-citation.json"} </w:instrText>
      </w:r>
      <w:r w:rsidR="006A0034" w:rsidRPr="00E676E1">
        <w:rPr>
          <w:rFonts w:asciiTheme="majorHAnsi" w:hAnsiTheme="majorHAnsi" w:cstheme="majorHAnsi"/>
        </w:rPr>
        <w:fldChar w:fldCharType="separate"/>
      </w:r>
      <w:r w:rsidR="003910A3" w:rsidRPr="00E676E1">
        <w:rPr>
          <w:rFonts w:ascii="Calibri Light" w:hAnsiTheme="majorHAnsi" w:cs="Calibri Light"/>
          <w:vertAlign w:val="superscript"/>
        </w:rPr>
        <w:t>2</w:t>
      </w:r>
      <w:r w:rsidR="006A0034" w:rsidRPr="00E676E1">
        <w:rPr>
          <w:rFonts w:asciiTheme="majorHAnsi" w:hAnsiTheme="majorHAnsi" w:cstheme="majorHAnsi"/>
        </w:rPr>
        <w:fldChar w:fldCharType="end"/>
      </w:r>
      <w:r w:rsidR="006A0034" w:rsidRPr="00E676E1">
        <w:rPr>
          <w:rFonts w:asciiTheme="majorHAnsi" w:hAnsiTheme="majorHAnsi" w:cstheme="majorHAnsi"/>
        </w:rPr>
        <w:t xml:space="preserve"> </w:t>
      </w:r>
      <w:r w:rsidR="00896A6E" w:rsidRPr="00E676E1">
        <w:rPr>
          <w:rFonts w:asciiTheme="majorHAnsi" w:hAnsiTheme="majorHAnsi" w:cstheme="majorHAnsi"/>
        </w:rPr>
        <w:t>and</w:t>
      </w:r>
      <w:r w:rsidR="00EC7C63" w:rsidRPr="00E676E1">
        <w:rPr>
          <w:rFonts w:asciiTheme="majorHAnsi" w:hAnsiTheme="majorHAnsi" w:cstheme="majorHAnsi"/>
        </w:rPr>
        <w:t xml:space="preserve"> </w:t>
      </w:r>
      <w:r w:rsidR="000C68C9" w:rsidRPr="00E676E1">
        <w:rPr>
          <w:rFonts w:asciiTheme="majorHAnsi" w:hAnsiTheme="majorHAnsi" w:cstheme="majorHAnsi"/>
        </w:rPr>
        <w:t xml:space="preserve">opioids </w:t>
      </w:r>
      <w:r w:rsidR="00896A6E" w:rsidRPr="00E676E1">
        <w:rPr>
          <w:rFonts w:asciiTheme="majorHAnsi" w:hAnsiTheme="majorHAnsi" w:cstheme="majorHAnsi"/>
        </w:rPr>
        <w:t xml:space="preserve">are associated with </w:t>
      </w:r>
      <w:r w:rsidR="001A4A4C" w:rsidRPr="00E676E1">
        <w:rPr>
          <w:rFonts w:asciiTheme="majorHAnsi" w:hAnsiTheme="majorHAnsi" w:cstheme="majorHAnsi"/>
        </w:rPr>
        <w:t xml:space="preserve">many </w:t>
      </w:r>
      <w:r w:rsidR="00896A6E" w:rsidRPr="00E676E1">
        <w:rPr>
          <w:rFonts w:asciiTheme="majorHAnsi" w:hAnsiTheme="majorHAnsi" w:cstheme="majorHAnsi"/>
        </w:rPr>
        <w:t>side effects including nausea, narcotic bowel syndrome,</w:t>
      </w:r>
      <w:r w:rsidR="000A2804" w:rsidRPr="00E676E1">
        <w:rPr>
          <w:rFonts w:asciiTheme="majorHAnsi" w:hAnsiTheme="majorHAnsi" w:cstheme="majorHAnsi"/>
        </w:rPr>
        <w:t xml:space="preserve"> paradoxical exacerbation of pain,</w:t>
      </w:r>
      <w:r w:rsidR="00896A6E" w:rsidRPr="00E676E1">
        <w:rPr>
          <w:rFonts w:asciiTheme="majorHAnsi" w:hAnsiTheme="majorHAnsi" w:cstheme="majorHAnsi"/>
        </w:rPr>
        <w:t xml:space="preserve"> increased disease flares and increased mortality</w:t>
      </w:r>
      <w:r w:rsidR="00833136" w:rsidRPr="00E676E1">
        <w:rPr>
          <w:rFonts w:asciiTheme="majorHAnsi" w:hAnsiTheme="majorHAnsi" w:cstheme="majorHAnsi"/>
        </w:rPr>
        <w:t xml:space="preserve"> in IBD</w:t>
      </w:r>
      <w:r w:rsidR="00896A6E" w:rsidRPr="00E676E1">
        <w:rPr>
          <w:rFonts w:asciiTheme="majorHAnsi" w:hAnsiTheme="majorHAnsi" w:cstheme="majorHAnsi"/>
        </w:rPr>
        <w:t>.</w:t>
      </w:r>
      <w:r w:rsidR="00F23B44" w:rsidRPr="00E676E1">
        <w:rPr>
          <w:rFonts w:asciiTheme="majorHAnsi" w:hAnsiTheme="majorHAnsi" w:cstheme="majorHAnsi"/>
        </w:rPr>
        <w:fldChar w:fldCharType="begin"/>
      </w:r>
      <w:r w:rsidR="00F23B44" w:rsidRPr="00E676E1">
        <w:rPr>
          <w:rFonts w:asciiTheme="majorHAnsi" w:hAnsiTheme="majorHAnsi" w:cstheme="majorHAnsi"/>
        </w:rPr>
        <w:instrText xml:space="preserve"> ADDIN ZOTERO_ITEM CSL_CITATION {"citationID":"UEVWnBOS","properties":{"formattedCitation":"\\super 3\\uc0\\u8211{}6\\nosupersub{}","plainCitation":"3–6","noteIndex":0},"citationItems":[{"id":2048,"uris":["http://zotero.org/users/5360735/items/FS2TH67B"],"itemData":{"id":2048,"type":"article-journal","abstract":"Harms and benefits of opioids for chronic noncancer pain remain unclear.To systematically review randomized clinical trials (RCTs) of opioids for chronic noncancer pain.The databases of CENTRAL, CINAHL, EMBASE, MEDLINE, AMED, and PsycINFO were searched from inception to April 2018 for RCTs of opioids for chronic noncancer pain vs any nonopioid control.Paired reviewers independently extracted data. The analyses used random-effects models and the Grading of Recommendations Assessment, Development and Evaluation to rate the quality of the evidence.The primary outcomes were pain intensity (score range, 0-10 cm on a visual analog scale for pain; lower is better and the minimally important difference [MID] is 1 cm), physical functioning (score range, 0-100 points on the 36-item Short Form physical component score [SF-36 PCS]; higher is better and the MID is 5 points), and incidence of vomiting.Ninety-six RCTs including 26 169 participants (61% female; median age, 58 years [interquartile range, 51-61 years]) were included. Of the included studies, there were 25 trials of neuropathic pain, 32 trials of nociceptive pain, 33 trials of central sensitization (pain present in the absence of tissue damage), and 6 trials of mixed types of pain. Compared with placebo, opioid use was associated with reduced pain (weighted mean difference [WMD], −0.69 cm [95% CI, −0.82 to −0.56 cm] on a 10-cm visual analog scale for pain; modeled risk difference for achieving the MID, 11.9% [95% CI, 9.7% to 14.1%]), improved physical functioning (WMD, 2.04 points [95% CI, 1.41 to 2.68 points] on the 100-point SF-36 PCS; modeled risk difference for achieving the MID, 8.5% [95% CI, 5.9% to 11.2%]), and increased vomiting (5.9% with opioids vs 2.3% with placebo for trials that excluded patients with adverse events during a run-in period). Low- to moderate-quality evidence suggested similar associations of opioids with improvements in pain and physical functioning compared with nonsteroidal anti-inflammatory drugs (pain: WMD, −0.60 cm [95% CI, −1.54 to 0.34 cm]; physical functioning: WMD, −0.90 points [95% CI, −2.69 to 0.89 points]), tricyclic antidepressants (pain: WMD, −0.13 cm [95% CI, −0.99 to 0.74 cm]; physical functioning: WMD, −5.31 points [95% CI, −13.77 to 3.14 points]), and anticonvulsants (pain: WMD, −0.90 cm [95% CI, −1.65 to −0.14 cm]; physical functioning: WMD, 0.45 points [95% CI, −5.77 to 6.66 points]).In this meta-analysis of RCTs of patients with chronic noncancer pain, evidence from high-quality studies showed that opioid use was associated with statistically significant but small improvements in pain and physical functioning, and increased risk of vomiting compared with placebo. Comparisons of opioids with nonopioid alternatives suggested that the benefit for pain and functioning may be similar, although the evidence was from studies of only low to moderate quality.","container-title":"JAMA","DOI":"10.1001/jama.2018.18472","ISSN":"0098-7484","issue":"23","journalAbbreviation":"JAMA","page":"2448-2460","title":"Opioids for Chronic Noncancer Pain: A Systematic Review and Meta-analysis","volume":"320","author":[{"family":"Busse","given":"Jason W."},{"family":"Wang","given":"Li"},{"family":"Kamaleldin","given":"Mostafa"},{"family":"Craigie","given":"Samantha"},{"family":"Riva","given":"John J."},{"family":"Montoya","given":"Luis"},{"family":"Mulla","given":"Sohail M."},{"family":"Lopes","given":"Luciane C."},{"family":"Vogel","given":"Nicole"},{"family":"Chen","given":"Eric"},{"family":"Kirmayr","given":"Karin"},{"family":"De Oliveira","given":"Kyle"},{"family":"Olivieri","given":"Lori"},{"family":"Kaushal","given":"Alka"},{"family":"Chaparro","given":"Luis E."},{"family":"Oyberman","given":"Inna"},{"family":"Agarwal","given":"Arnav"},{"family":"Couban","given":"Rachel"},{"family":"Tsoi","given":"Ludwig"},{"family":"Lam","given":"Tommy"},{"family":"Vandvik","given":"Per Olav"},{"family":"Hsu","given":"Sandy"},{"family":"Bala","given":"Malgorzata M."},{"family":"Schandelmaier","given":"Stefan"},{"family":"Scheidecker","given":"Anne"},{"family":"Ebrahim","given":"Shanil"},{"family":"Ashoorion","given":"Vahid"},{"family":"Rehman","given":"Yasir"},{"family":"Hong","given":"Patrick J."},{"family":"Ross","given":"Stephanie"},{"family":"Johnston","given":"Bradley C."},{"family":"Kunz","given":"Regina"},{"family":"Sun","given":"Xin"},{"family":"Buckley","given":"Norman"},{"family":"Sessler","given":"Daniel I."},{"family":"Guyatt","given":"Gordon H."}],"issued":{"date-parts":[["2018",12,18]]}}},{"id":19,"uris":["http://zotero.org/users/5360735/items/KN5TRCFL"],"itemData":{"id":19,"type":"article-journal","abstract":"Opioids are the most powerful analgesic drugs currently available and consequently form an essential part of the treatment options for malignant and non-malignant chronic pain. However, the benefits of these medications can be offset by gastrointestinal adverse events such as nausea, vomiting and constipation, as well as adverse events affecting the CNS. These occur relatively frequently in patients receiving long-term opioids for pain relief and are a cause of additional patient suffering and reduced work and social functioning, measured as reductions in quality-of-life outcomes. Consequently, adverse events are often the cause of treatment non-compliance or discontinuation (non-persistence). A literature search was conducted using BIOSIS Previews, EMBASE, Cochrane Collaboration and MEDLINE databases to identify references with specific relevance to the measurement of health outcomes related to adverse events of long-term opioid treatment of chronic pain. The results of this search highlighted that clinical interventions required to manage adverse events associated with opioids, and to provide alternative methods of pain control, both incur direct costs. These are largely driven by the cost of medical consults and drug supplies. Indirect costs are generated from work absences and reduced social functioning. Estimated preference ratings, providing an insight into the trade-off between effective pain control and adverse events, have shown that utility decrements associated with an increase in adverse-event severity were similar in size to those caused by a shift from well controlled to poorly controlled pain. Given the rising prevalence of chronic pain conditions (affecting one in five adult Europeans), the direct and indirect costs incurred from the management of adverse events with longterm opioids are likely to be multiplied, contributing to the socioeconomic burden of chronic pain. For this reason, the adverse-event profile of opioid-based analgesics should be improved to achieve more efficient long-term pain control.","container-title":"Clinical Drug Investigation","DOI":"10.1007/BF03256935","ISSN":"1179-1918","issue":"2","journalAbbreviation":"Clinical Drug Investigation","page":"73-86","title":"Pharmacoeconomic Impact of Adverse Events of Long-Term Opioid Treatment for the Management of Persistent Pain","volume":"31","author":[{"family":"Annemans","given":"Lieven"}],"issued":{"date-parts":[["2011",2,1]]}}},{"id":2143,"uris":["http://zotero.org/users/5360735/items/APRXN949"],"itemData":{"id":2143,"type":"article-journal","container-title":"Clinical Gastroenterology and Hepatology","DOI":"10.1016/j.cgh.2006.03.002","ISSN":"1542-3565","issue":"5","note":"publisher: Elsevier","page":"621-630","title":"Serious Infections and Mortality in Association With Therapies for Crohn’s Disease: TREAT Registry","volume":"4","author":[{"family":"Lichtenstein","given":"Gary R."},{"family":"Feagan","given":"Brian G."},{"family":"Cohen","given":"Russell D."},{"family":"Salzberg","given":"Bruce A."},{"family":"Diamond","given":"Robert H."},{"family":"Chen","given":"Donny M."},{"family":"Pritchard","given":"Michelle L."},{"family":"Sandborn","given":"William J."}],"issued":{"date-parts":[["2006",5,1]]}}},{"id":1956,"uris":["http://zotero.org/users/5360735/items/KIFLK86R"],"itemData":{"id":1956,"type":"article-journal","container-title":"Clinical Gastroenterology and Hepatology","DOI":"10.1016/j.cgh.2017.10.022","ISSN":"1542-3565","issue":"4","note":"publisher: Elsevier","page":"534-541.e6","title":"Increasing Prescription of Opiates and Mortality in Patients With Inflammatory Bowel Diseases in England","volume":"16","author":[{"family":"Burr","given":"Nicholas E."},{"family":"Smith","given":"Chris"},{"family":"West","given":"Robert"},{"family":"Hull","given":"Mark A."},{"family":"Subramanian","given":"Venkataraman"}],"issued":{"date-parts":[["2018",4,1]]}}}],"schema":"https://github.com/citation-style-language/schema/raw/master/csl-citation.json"} </w:instrText>
      </w:r>
      <w:r w:rsidR="00F23B44" w:rsidRPr="00E676E1">
        <w:rPr>
          <w:rFonts w:asciiTheme="majorHAnsi" w:hAnsiTheme="majorHAnsi" w:cstheme="majorHAnsi"/>
        </w:rPr>
        <w:fldChar w:fldCharType="separate"/>
      </w:r>
      <w:r w:rsidR="00F23B44" w:rsidRPr="00E676E1">
        <w:rPr>
          <w:rFonts w:ascii="Calibri Light" w:hAnsiTheme="majorHAnsi" w:cs="Calibri Light"/>
          <w:vertAlign w:val="superscript"/>
        </w:rPr>
        <w:t>3–6</w:t>
      </w:r>
      <w:r w:rsidR="00F23B44" w:rsidRPr="00E676E1">
        <w:rPr>
          <w:rFonts w:asciiTheme="majorHAnsi" w:hAnsiTheme="majorHAnsi" w:cstheme="majorHAnsi"/>
        </w:rPr>
        <w:fldChar w:fldCharType="end"/>
      </w:r>
      <w:r w:rsidR="00F23B44" w:rsidRPr="00E676E1">
        <w:rPr>
          <w:rFonts w:asciiTheme="majorHAnsi" w:hAnsiTheme="majorHAnsi" w:cstheme="majorHAnsi"/>
        </w:rPr>
        <w:t xml:space="preserve"> </w:t>
      </w:r>
      <w:r w:rsidR="00896A6E" w:rsidRPr="00E676E1">
        <w:rPr>
          <w:rFonts w:asciiTheme="majorHAnsi" w:hAnsiTheme="majorHAnsi" w:cstheme="majorHAnsi"/>
        </w:rPr>
        <w:t>For this reason, using opioids to treat chronic pain is discouraged</w:t>
      </w:r>
      <w:r w:rsidR="00AC1D1F" w:rsidRPr="00E676E1">
        <w:rPr>
          <w:rFonts w:asciiTheme="majorHAnsi" w:hAnsiTheme="majorHAnsi" w:cstheme="majorHAnsi"/>
        </w:rPr>
        <w:t xml:space="preserve"> in IBD,</w:t>
      </w:r>
      <w:r w:rsidR="00B66B23" w:rsidRPr="00E676E1">
        <w:rPr>
          <w:rFonts w:asciiTheme="majorHAnsi" w:hAnsiTheme="majorHAnsi" w:cstheme="majorHAnsi"/>
        </w:rPr>
        <w:t xml:space="preserve"> NICE</w:t>
      </w:r>
      <w:r w:rsidR="00896A6E" w:rsidRPr="00E676E1">
        <w:rPr>
          <w:rFonts w:asciiTheme="majorHAnsi" w:hAnsiTheme="majorHAnsi" w:cstheme="majorHAnsi"/>
        </w:rPr>
        <w:t xml:space="preserve"> and intercollegiate pain guidelines.</w:t>
      </w:r>
      <w:r w:rsidR="00F23B44" w:rsidRPr="00E676E1">
        <w:rPr>
          <w:rFonts w:asciiTheme="majorHAnsi" w:hAnsiTheme="majorHAnsi" w:cstheme="majorHAnsi"/>
        </w:rPr>
        <w:fldChar w:fldCharType="begin"/>
      </w:r>
      <w:r w:rsidR="00F23B44" w:rsidRPr="00E676E1">
        <w:rPr>
          <w:rFonts w:asciiTheme="majorHAnsi" w:hAnsiTheme="majorHAnsi" w:cstheme="majorHAnsi"/>
        </w:rPr>
        <w:instrText xml:space="preserve"> ADDIN ZOTERO_ITEM CSL_CITATION {"citationID":"IWKL8dB3","properties":{"formattedCitation":"\\super 7\\uc0\\u8211{}9\\nosupersub{}","plainCitation":"7–9","noteIndex":0},"citationItems":[{"id":18,"uris":["http://zotero.org/users/5360735/items/I9L48GAR"],"itemData":{"id":18,"type":"article-journal","abstract":"Ulcerative colitis and Crohn’s disease are the principal forms of inflammatory bowel disease. Both represent chronic inflammation of the gastrointestinal tract, which displays heterogeneity in inflammatory and symptomatic burden between patients and within individuals over time. Optimal management relies on understanding and tailoring evidence-based interventions by clinicians in partnership with patients. This guideline for management of inflammatory bowel disease in adults over 16 years of age was developed by Stakeholders representing UK physicians (British Society of Gastroenterology), surgeons (Association of Coloproctology of Great Britain and Ireland), specialist nurses (Royal College of Nursing), paediatricians (British Society of Paediatric Gastroenterology, Hepatology and Nutrition), dietitians (British Dietetic Association), radiologists (British Society of Gastrointestinal and Abdominal Radiology), general practitioners (Primary Care Society for Gastroenterology) and patients (Crohn’s and Colitis UK). A systematic review of 88 247 publications and a Delphi consensus process involving 81 multidisciplinary clinicians and patients was undertaken to develop 168 evidence- and expert opinion-based recommendations for pharmacological, non-pharmacological and surgical interventions, as well as optimal service delivery in the management of both ulcerative colitis and Crohn’s disease. Comprehensive up-to-date guidance is provided regarding indications for, initiation and monitoring of immunosuppressive therapies, nutrition interventions, pre-, peri- and postoperative management, as well as structure and function of the multidisciplinary team and integration between primary and secondary care. Twenty research priorities to inform future clinical management are presented, alongside objective measurement of priority importance, determined by 2379 electronic survey responses from individuals living with ulcerative colitis and Crohn’s disease, including patients, their families and friends.","container-title":"Gut","DOI":"10.1136/gutjnl-2019-318484","issue":"Suppl 3","journalAbbreviation":"Gut","page":"s1","title":"British Society of Gastroenterology consensus guidelines on the management of inflammatory bowel disease in adults","volume":"68","author":[{"family":"Lamb","given":"Christopher Andrew"},{"family":"Kennedy","given":"Nicholas A"},{"family":"Raine","given":"Tim"},{"family":"Hendy","given":"Philip Anthony"},{"family":"Smith","given":"Philip J"},{"family":"Limdi","given":"Jimmy K"},{"family":"Hayee","given":"Bu’Hussain"},{"family":"Lomer","given":"Miranda C E"},{"family":"Parkes","given":"Gareth C"},{"family":"Selinger","given":"Christian"},{"family":"Barrett","given":"Kevin J"},{"family":"Davies","given":"R Justin"},{"family":"Bennett","given":"Cathy"},{"family":"Gittens","given":"Stuart"},{"family":"Dunlop","given":"Malcolm G"},{"family":"Faiz","given":"Omar"},{"family":"Fraser","given":"Aileen"},{"family":"Garrick","given":"Vikki"},{"family":"Johnston","given":"Paul D"},{"family":"Parkes","given":"Miles"},{"family":"Sanderson","given":"Jeremy"},{"family":"Terry","given":"Helen"},{"literal":"IBD guidelines eDelphi consensus group"},{"family":"Gaya","given":"Daniel R"},{"family":"Iqbal","given":"Tariq H"},{"family":"Taylor","given":"Stuart A"},{"family":"Smith","given":"Melissa"},{"family":"Brookes","given":"Matthew"},{"family":"Hansen","given":"Richard"},{"family":"Hawthorne","given":"A Barney"}],"issued":{"date-parts":[["2019",12,1]]}}},{"id":20,"uris":["http://zotero.org/users/5360735/items/GP8LZJPD"],"itemData":{"id":20,"type":"document","title":"Surgery and Opioids: Best Practice Guidelines 2021","author":[{"family":"Faculty of Pain Medicine","given":""}],"issued":{"date-parts":[["2021",3]]}}},{"id":2043,"uris":["http://zotero.org/users/5360735/items/MSUDFGHA"],"itemData":{"id":2043,"type":"report","publisher":"National Institute for Health and Care Excellence","title":"Chronic pain (primary and secondary) in over sixteens: assessment of all chronic pain and management of chronic primary pain","URL":"https://www.nice.org.uk/guidance/ng193","issued":{"date-parts":[["2021",4,7]]}}}],"schema":"https://github.com/citation-style-language/schema/raw/master/csl-citation.json"} </w:instrText>
      </w:r>
      <w:r w:rsidR="00F23B44" w:rsidRPr="00E676E1">
        <w:rPr>
          <w:rFonts w:asciiTheme="majorHAnsi" w:hAnsiTheme="majorHAnsi" w:cstheme="majorHAnsi"/>
        </w:rPr>
        <w:fldChar w:fldCharType="separate"/>
      </w:r>
      <w:r w:rsidR="00F23B44" w:rsidRPr="00E676E1">
        <w:rPr>
          <w:rFonts w:ascii="Calibri Light" w:hAnsiTheme="majorHAnsi" w:cs="Calibri Light"/>
          <w:vertAlign w:val="superscript"/>
        </w:rPr>
        <w:t>7–9</w:t>
      </w:r>
      <w:r w:rsidR="00F23B44" w:rsidRPr="00E676E1">
        <w:rPr>
          <w:rFonts w:asciiTheme="majorHAnsi" w:hAnsiTheme="majorHAnsi" w:cstheme="majorHAnsi"/>
        </w:rPr>
        <w:fldChar w:fldCharType="end"/>
      </w:r>
    </w:p>
    <w:p w14:paraId="6C56A422" w14:textId="1905CB9F" w:rsidR="00896A6E" w:rsidRPr="00E676E1" w:rsidRDefault="00AD71E5" w:rsidP="003E0A70">
      <w:pPr>
        <w:spacing w:line="480" w:lineRule="auto"/>
        <w:rPr>
          <w:rFonts w:asciiTheme="majorHAnsi" w:hAnsiTheme="majorHAnsi" w:cstheme="majorHAnsi"/>
        </w:rPr>
      </w:pPr>
      <w:r w:rsidRPr="00E676E1">
        <w:rPr>
          <w:rFonts w:asciiTheme="majorHAnsi" w:hAnsiTheme="majorHAnsi" w:cstheme="majorHAnsi"/>
        </w:rPr>
        <w:t>Opioid-exposure</w:t>
      </w:r>
      <w:r w:rsidR="00896A6E" w:rsidRPr="00E676E1">
        <w:rPr>
          <w:rFonts w:asciiTheme="majorHAnsi" w:hAnsiTheme="majorHAnsi" w:cstheme="majorHAnsi"/>
        </w:rPr>
        <w:t xml:space="preserve"> in</w:t>
      </w:r>
      <w:r w:rsidR="00984159" w:rsidRPr="00E676E1">
        <w:rPr>
          <w:rFonts w:asciiTheme="majorHAnsi" w:hAnsiTheme="majorHAnsi" w:cstheme="majorHAnsi"/>
        </w:rPr>
        <w:t xml:space="preserve"> IBD patients</w:t>
      </w:r>
      <w:r w:rsidR="00896A6E" w:rsidRPr="00E676E1">
        <w:rPr>
          <w:rFonts w:asciiTheme="majorHAnsi" w:hAnsiTheme="majorHAnsi" w:cstheme="majorHAnsi"/>
        </w:rPr>
        <w:t xml:space="preserve"> </w:t>
      </w:r>
      <w:r w:rsidR="00984159" w:rsidRPr="00E676E1">
        <w:rPr>
          <w:rFonts w:asciiTheme="majorHAnsi" w:hAnsiTheme="majorHAnsi" w:cstheme="majorHAnsi"/>
        </w:rPr>
        <w:t xml:space="preserve">in the UK </w:t>
      </w:r>
      <w:r w:rsidR="00896A6E" w:rsidRPr="00E676E1">
        <w:rPr>
          <w:rFonts w:asciiTheme="majorHAnsi" w:hAnsiTheme="majorHAnsi" w:cstheme="majorHAnsi"/>
        </w:rPr>
        <w:t xml:space="preserve">had increased </w:t>
      </w:r>
      <w:r w:rsidR="001A4A4C" w:rsidRPr="00E676E1">
        <w:rPr>
          <w:rFonts w:asciiTheme="majorHAnsi" w:hAnsiTheme="majorHAnsi" w:cstheme="majorHAnsi"/>
        </w:rPr>
        <w:t>three-</w:t>
      </w:r>
      <w:r w:rsidR="00896A6E" w:rsidRPr="00E676E1">
        <w:rPr>
          <w:rFonts w:asciiTheme="majorHAnsi" w:hAnsiTheme="majorHAnsi" w:cstheme="majorHAnsi"/>
        </w:rPr>
        <w:t>fold between the trienniums 1990-1993 and 2010-2013 however</w:t>
      </w:r>
      <w:r w:rsidR="00B2665C" w:rsidRPr="00E676E1">
        <w:rPr>
          <w:rFonts w:asciiTheme="majorHAnsi" w:hAnsiTheme="majorHAnsi" w:cstheme="majorHAnsi"/>
        </w:rPr>
        <w:t xml:space="preserve"> contemporary data</w:t>
      </w:r>
      <w:r w:rsidR="00CB263C" w:rsidRPr="00E676E1">
        <w:rPr>
          <w:rFonts w:asciiTheme="majorHAnsi" w:hAnsiTheme="majorHAnsi" w:cstheme="majorHAnsi"/>
        </w:rPr>
        <w:t xml:space="preserve"> </w:t>
      </w:r>
      <w:r w:rsidR="00B2665C" w:rsidRPr="00E676E1">
        <w:rPr>
          <w:rFonts w:asciiTheme="majorHAnsi" w:hAnsiTheme="majorHAnsi" w:cstheme="majorHAnsi"/>
        </w:rPr>
        <w:t xml:space="preserve">since </w:t>
      </w:r>
      <w:r w:rsidR="007D33C7" w:rsidRPr="00E676E1">
        <w:rPr>
          <w:rFonts w:asciiTheme="majorHAnsi" w:hAnsiTheme="majorHAnsi" w:cstheme="majorHAnsi"/>
        </w:rPr>
        <w:t xml:space="preserve">updated </w:t>
      </w:r>
      <w:r w:rsidR="000C68C9" w:rsidRPr="00E676E1">
        <w:rPr>
          <w:rFonts w:asciiTheme="majorHAnsi" w:hAnsiTheme="majorHAnsi" w:cstheme="majorHAnsi"/>
        </w:rPr>
        <w:t>guideline</w:t>
      </w:r>
      <w:r w:rsidR="007D33C7" w:rsidRPr="00E676E1">
        <w:rPr>
          <w:rFonts w:asciiTheme="majorHAnsi" w:hAnsiTheme="majorHAnsi" w:cstheme="majorHAnsi"/>
        </w:rPr>
        <w:t>s</w:t>
      </w:r>
      <w:r w:rsidR="000C68C9" w:rsidRPr="00E676E1">
        <w:rPr>
          <w:rFonts w:asciiTheme="majorHAnsi" w:hAnsiTheme="majorHAnsi" w:cstheme="majorHAnsi"/>
        </w:rPr>
        <w:t xml:space="preserve"> </w:t>
      </w:r>
      <w:r w:rsidR="00F37BF6" w:rsidRPr="00E676E1">
        <w:rPr>
          <w:rFonts w:asciiTheme="majorHAnsi" w:hAnsiTheme="majorHAnsi" w:cstheme="majorHAnsi"/>
        </w:rPr>
        <w:t>is</w:t>
      </w:r>
      <w:r w:rsidR="001A4A4C" w:rsidRPr="00E676E1">
        <w:rPr>
          <w:rFonts w:asciiTheme="majorHAnsi" w:hAnsiTheme="majorHAnsi" w:cstheme="majorHAnsi"/>
        </w:rPr>
        <w:t xml:space="preserve"> lacking</w:t>
      </w:r>
      <w:r w:rsidR="00667120" w:rsidRPr="00E676E1">
        <w:rPr>
          <w:rFonts w:asciiTheme="majorHAnsi" w:hAnsiTheme="majorHAnsi" w:cstheme="majorHAnsi"/>
        </w:rPr>
        <w:t>.</w:t>
      </w:r>
      <w:r w:rsidR="00896A6E" w:rsidRPr="00E676E1">
        <w:rPr>
          <w:rFonts w:asciiTheme="majorHAnsi" w:hAnsiTheme="majorHAnsi" w:cstheme="majorHAnsi"/>
          <w:vertAlign w:val="superscript"/>
        </w:rPr>
        <w:t>8-10</w:t>
      </w:r>
      <w:r w:rsidR="00896A6E" w:rsidRPr="00E676E1">
        <w:rPr>
          <w:rFonts w:asciiTheme="majorHAnsi" w:hAnsiTheme="majorHAnsi" w:cstheme="majorHAnsi"/>
        </w:rPr>
        <w:t xml:space="preserve"> Studies documenting </w:t>
      </w:r>
      <w:r w:rsidRPr="00E676E1">
        <w:rPr>
          <w:rFonts w:asciiTheme="majorHAnsi" w:hAnsiTheme="majorHAnsi" w:cstheme="majorHAnsi"/>
        </w:rPr>
        <w:t>opioid-exposure</w:t>
      </w:r>
      <w:r w:rsidR="00896A6E" w:rsidRPr="00E676E1">
        <w:rPr>
          <w:rFonts w:asciiTheme="majorHAnsi" w:hAnsiTheme="majorHAnsi" w:cstheme="majorHAnsi"/>
        </w:rPr>
        <w:t xml:space="preserve"> in IBD </w:t>
      </w:r>
      <w:r w:rsidR="0064605E" w:rsidRPr="00E676E1">
        <w:rPr>
          <w:rFonts w:asciiTheme="majorHAnsi" w:hAnsiTheme="majorHAnsi" w:cstheme="majorHAnsi"/>
        </w:rPr>
        <w:t>predominantly</w:t>
      </w:r>
      <w:r w:rsidR="00896A6E" w:rsidRPr="00E676E1">
        <w:rPr>
          <w:rFonts w:asciiTheme="majorHAnsi" w:hAnsiTheme="majorHAnsi" w:cstheme="majorHAnsi"/>
        </w:rPr>
        <w:t xml:space="preserve"> originate from North America where patterns of prescribing differ markedly from the UK.</w:t>
      </w:r>
      <w:r w:rsidR="00F23B44" w:rsidRPr="00E676E1">
        <w:rPr>
          <w:rFonts w:asciiTheme="majorHAnsi" w:hAnsiTheme="majorHAnsi" w:cstheme="majorHAnsi"/>
        </w:rPr>
        <w:fldChar w:fldCharType="begin"/>
      </w:r>
      <w:r w:rsidR="00F23B44" w:rsidRPr="00E676E1">
        <w:rPr>
          <w:rFonts w:asciiTheme="majorHAnsi" w:hAnsiTheme="majorHAnsi" w:cstheme="majorHAnsi"/>
        </w:rPr>
        <w:instrText xml:space="preserve"> ADDIN ZOTERO_ITEM CSL_CITATION {"citationID":"UypRsvyg","properties":{"formattedCitation":"\\super 10\\uc0\\u8211{}12\\nosupersub{}","plainCitation":"10–12","noteIndex":0},"citationItems":[{"id":17141,"uris":["http://zotero.org/users/5360735/items/34XD2JM2"],"itemData":{"id":17141,"type":"article-journal","abstract":"Using population-based cohorts in North America, UK and Taiwan, Dr. Meghna Jani and colleagues describe opioid prescribing rates in patients with non-cancer pain who are using opioids for the first time.","container-title":"PLOS Medicine","DOI":"10.1371/journal.pmed.1003829","issue":"11","journalAbbreviation":"PLOS Medicine","note":"publisher: Public Library of Science","page":"e1003829","title":"Opioid prescribing among new users for non-cancer pain in the USA, Canada, UK, and Taiwan: A population-based cohort study","volume":"18","author":[{"family":"Jani","given":"Meghna"},{"family":"Girard","given":"Nadyne"},{"family":"Bates","given":"David W."},{"family":"Buckeridge","given":"David L."},{"family":"Sheppard","given":"Therese"},{"family":"Li","given":"Jack"},{"family":"Iqbal","given":"Usman"},{"family":"Vik","given":"Shelly"},{"family":"Weaver","given":"Colin"},{"family":"Seidel","given":"Judy"},{"family":"Dixon","given":"William G."},{"family":"Tamblyn","given":"Robyn"}],"issued":{"date-parts":[["2021",11,1]]}}},{"id":23979,"uris":["http://zotero.org/users/5360735/items/SQTE3NDD"],"itemData":{"id":23979,"type":"article-journal","abstract":"The United States consumes most of the opioids worldwide despite representing a small portion of the world’s population. Dentists are one of the most frequent US prescribers of opioids despite data suggesting that nonopioid analgesics are similarly effective for oral pain. While oral health and dentist use are generally similar between the United States and England, it is unclear how opioid prescribing by dentists varies between the 2 countries.To compare opioid prescribing by dentists in the United States and England.Cross-sectional study of prescriptions for opioids dispensed from outpatient pharmacies and health care settings between January 1 and December 31, 2016, by dentists in the United States and England. Data were analyzed from October 2018 to January 2019.Opioids prescribed by dentists.Proportion and prescribing rates of opioid prescriptions.In 2016, the proportion of prescriptions written by US dentists that were for opioids was 37 times greater than the proportion written by English dentists. In all, 22.3% of US dental prescriptions were opioids (11.4 million prescriptions) compared with 0.6% of English dental prescriptions (28 082 prescriptions) (difference, 21.7%; 95% CI, 13.8%-32.1%; P &amp;lt; .001). Dentists in the United States also had a higher number of opioid prescriptions per 1000 population (35.4 per 1000 US population [95% CI, 25.2-48.7 per 1000 population] vs 0.5 per 1000 England population [95% CI, 0.03-3.7 per 1000 population]) and number of opioid prescriptions per dentist (58.2 prescriptions per dentist [95% CI, 44.9-75.0 prescriptions per dentist] vs 1.2 prescriptions per dentist [95% CI, 0.2-5.6 prescriptions per dentist]). While the codeine derivative dihydrocodeine was the sole opioid prescribed by English dentists, US dentists prescribed a range of opioids containing hydrocodone (62.3%), codeine (23.2%), oxycodone (9.1%), and tramadol (4.8%). Dentists in the United States also prescribed long-acting opioids (0.06% of opioids prescribed by US dentists [6425 prescriptions]). Long-acting opioids were not prescribed by English dentists.This study found that in 2016, dentists in the United States prescribed opioids with significantly greater frequency than their English counterparts. Opioids with a high potential for abuse, such as oxycodone, were frequently prescribed by US dentists but not prescribed in England. These results illustrate how 1 source of opioids differs substantially in the United States vs England. To reduce dental opioid prescribing in the United States, dentists could adopt measures similar to those used in England, including national guidelines for treating dental pain that emphasize prescribing opioids conservatively.","container-title":"JAMA Network Open","DOI":"10.1001/jamanetworkopen.2019.4303","ISSN":"2574-3805","issue":"5","journalAbbreviation":"JAMA Network Open","page":"e194303-e194303","title":"Comparison of Opioid Prescribing by Dentists in the United States and England","volume":"2","author":[{"family":"Suda","given":"Katie J."},{"family":"Durkin","given":"Michael J."},{"family":"Calip","given":"Gregory S."},{"family":"Gellad","given":"Walid F."},{"family":"Kim","given":"Hajwa"},{"family":"Lockhart","given":"Peter B."},{"family":"Rowan","given":"Susan A."},{"family":"Thornhill","given":"Martin H."}],"issued":{"date-parts":[["2019",5,24]]}}},{"id":17142,"uris":["http://zotero.org/users/5360735/items/ETRB5SFM"],"itemData":{"id":17142,"type":"article-journal","abstract":"In the United States, opioid analgesics have increasingly been prescribed in the treatment of chronic pain, and this trend has accompanied increasing rates of misuse and overdose. Lawmakers have responded with myriad policies to curb the growing epidemic of opioid misuse, and a global alarm has been sounded among countries wishing to avoid this path. In the United Kingdom, a similar trend of increasing opioid consumption, albeit at lower levels, has been observed without an increase in reported misuse or drug-related deaths. The comparison between these two countries in opioid prescribing and opioid overdose mortality underscores important features of prescribing, culture, and health systems that may be permissive or protective in the development of a public health crisis. As access to opioid medications increases around the world, it becomes vitally important to understand the forces impacting opioid use and misuse. Trends in benzodiazepine and methadone use in the UK as well as structural elements of the National Health Service may serve to buffer opioid-related harms in the face of increasing prescriptions. In addition, the availability and price of heroin, as well as the ease of access to opioid agonist treatment in the UK may limit the growth of the illicit market for prescription opioids. The comparison between the US and the UK in opioid consumption and overdose rates should serve as a call to action for UK physicians and policymakers. Basic, proactive steps in the form of surveillance – of overdoses, marketing practices, prescribers, and patients – and education programs may help avert a public health crisis as opioid prescriptions increase.","container-title":"International Journal of Drug Policy","DOI":"10.1016/j.drugpo.2014.07.009","ISSN":"0955-3959","issue":"6","journalAbbreviation":"International Journal of Drug Policy","page":"1124-1130","title":"Prescription opioid misuse in the United States and the United Kingdom: Cautionary lessons","volume":"25","author":[{"family":"Weisberg","given":"Daniel F."},{"family":"Becker","given":"William C."},{"family":"Fiellin","given":"David A."},{"family":"Stannard","given":"Cathy"}],"issued":{"date-parts":[["2014",11,1]]}}}],"schema":"https://github.com/citation-style-language/schema/raw/master/csl-citation.json"} </w:instrText>
      </w:r>
      <w:r w:rsidR="00F23B44" w:rsidRPr="00E676E1">
        <w:rPr>
          <w:rFonts w:asciiTheme="majorHAnsi" w:hAnsiTheme="majorHAnsi" w:cstheme="majorHAnsi"/>
        </w:rPr>
        <w:fldChar w:fldCharType="separate"/>
      </w:r>
      <w:r w:rsidR="00F23B44" w:rsidRPr="00E676E1">
        <w:rPr>
          <w:rFonts w:ascii="Calibri Light" w:hAnsiTheme="majorHAnsi" w:cs="Calibri Light"/>
          <w:vertAlign w:val="superscript"/>
        </w:rPr>
        <w:t>10–12</w:t>
      </w:r>
      <w:r w:rsidR="00F23B44" w:rsidRPr="00E676E1">
        <w:rPr>
          <w:rFonts w:asciiTheme="majorHAnsi" w:hAnsiTheme="majorHAnsi" w:cstheme="majorHAnsi"/>
        </w:rPr>
        <w:fldChar w:fldCharType="end"/>
      </w:r>
      <w:r w:rsidR="00896A6E" w:rsidRPr="00E676E1">
        <w:rPr>
          <w:rFonts w:asciiTheme="majorHAnsi" w:hAnsiTheme="majorHAnsi" w:cstheme="majorHAnsi"/>
        </w:rPr>
        <w:t xml:space="preserve"> In the UK, overall </w:t>
      </w:r>
      <w:r w:rsidRPr="00E676E1">
        <w:rPr>
          <w:rFonts w:asciiTheme="majorHAnsi" w:hAnsiTheme="majorHAnsi" w:cstheme="majorHAnsi"/>
        </w:rPr>
        <w:t>opioid-exposure</w:t>
      </w:r>
      <w:r w:rsidR="00984159" w:rsidRPr="00E676E1">
        <w:rPr>
          <w:rFonts w:asciiTheme="majorHAnsi" w:hAnsiTheme="majorHAnsi" w:cstheme="majorHAnsi"/>
        </w:rPr>
        <w:t xml:space="preserve"> in the general population</w:t>
      </w:r>
      <w:r w:rsidR="00896A6E" w:rsidRPr="00E676E1">
        <w:rPr>
          <w:rFonts w:asciiTheme="majorHAnsi" w:hAnsiTheme="majorHAnsi" w:cstheme="majorHAnsi"/>
        </w:rPr>
        <w:t xml:space="preserve"> has risen by 127% over the past decade</w:t>
      </w:r>
      <w:r w:rsidR="00896A6E" w:rsidRPr="00E676E1">
        <w:rPr>
          <w:rFonts w:asciiTheme="majorHAnsi" w:hAnsiTheme="majorHAnsi" w:cstheme="majorHAnsi"/>
        </w:rPr>
        <w:fldChar w:fldCharType="begin"/>
      </w:r>
      <w:r w:rsidR="003910A3" w:rsidRPr="00E676E1">
        <w:rPr>
          <w:rFonts w:asciiTheme="majorHAnsi" w:hAnsiTheme="majorHAnsi" w:cstheme="majorHAnsi"/>
        </w:rPr>
        <w:instrText xml:space="preserve"> ADDIN ZOTERO_ITEM CSL_CITATION {"citationID":"bztHTozv","properties":{"formattedCitation":"\\super 13\\nosupersub{}","plainCitation":"13","noteIndex":0},"citationItems":[{"id":2197,"uris":["http://zotero.org/users/5360735/items/JUUECAJV"],"itemData":{"id":2197,"type":"article-journal","container-title":"The Lancet Psychiatry","DOI":"10.1016/S2215-0366(18)30471-1","ISSN":"2215-0366","issue":"2","note":"publisher: Elsevier","page":"140-150","title":"Opioid prescribing trends and geographical variation in England, 1998–2018: a retrospective database study","volume":"6","author":[{"family":"Curtis","given":"Helen J"},{"family":"Croker","given":"Richard"},{"family":"Walker","given":"Alex J"},{"family":"Richards","given":"Georgia C"},{"family":"Quinlan","given":"Jane"},{"family":"Goldacre","given":"Ben"}],"issued":{"date-parts":[["2019",2,1]]}}}],"schema":"https://github.com/citation-style-language/schema/raw/master/csl-citation.json"} </w:instrText>
      </w:r>
      <w:r w:rsidR="00896A6E" w:rsidRPr="00E676E1">
        <w:rPr>
          <w:rFonts w:asciiTheme="majorHAnsi" w:hAnsiTheme="majorHAnsi" w:cstheme="majorHAnsi"/>
        </w:rPr>
        <w:fldChar w:fldCharType="separate"/>
      </w:r>
      <w:r w:rsidR="003910A3" w:rsidRPr="00E676E1">
        <w:rPr>
          <w:rFonts w:ascii="Calibri Light" w:hAnsiTheme="majorHAnsi" w:cs="Calibri Light"/>
          <w:vertAlign w:val="superscript"/>
        </w:rPr>
        <w:t>13</w:t>
      </w:r>
      <w:r w:rsidR="00896A6E" w:rsidRPr="00E676E1">
        <w:rPr>
          <w:rFonts w:asciiTheme="majorHAnsi" w:hAnsiTheme="majorHAnsi" w:cstheme="majorHAnsi"/>
        </w:rPr>
        <w:fldChar w:fldCharType="end"/>
      </w:r>
      <w:r w:rsidR="00896A6E" w:rsidRPr="00E676E1">
        <w:rPr>
          <w:rFonts w:asciiTheme="majorHAnsi" w:hAnsiTheme="majorHAnsi" w:cstheme="majorHAnsi"/>
        </w:rPr>
        <w:t xml:space="preserve"> </w:t>
      </w:r>
      <w:r w:rsidR="00F37BF6" w:rsidRPr="00E676E1">
        <w:rPr>
          <w:rFonts w:asciiTheme="majorHAnsi" w:hAnsiTheme="majorHAnsi" w:cstheme="majorHAnsi"/>
        </w:rPr>
        <w:t>and</w:t>
      </w:r>
      <w:r w:rsidR="001A4A4C" w:rsidRPr="00E676E1">
        <w:rPr>
          <w:rFonts w:asciiTheme="majorHAnsi" w:hAnsiTheme="majorHAnsi" w:cstheme="majorHAnsi"/>
        </w:rPr>
        <w:t xml:space="preserve"> previous finding</w:t>
      </w:r>
      <w:r w:rsidR="00F37BF6" w:rsidRPr="00E676E1">
        <w:rPr>
          <w:rFonts w:asciiTheme="majorHAnsi" w:hAnsiTheme="majorHAnsi" w:cstheme="majorHAnsi"/>
        </w:rPr>
        <w:t>s</w:t>
      </w:r>
      <w:r w:rsidR="001A4A4C" w:rsidRPr="00E676E1">
        <w:rPr>
          <w:rFonts w:asciiTheme="majorHAnsi" w:hAnsiTheme="majorHAnsi" w:cstheme="majorHAnsi"/>
        </w:rPr>
        <w:t xml:space="preserve"> indicate t</w:t>
      </w:r>
      <w:r w:rsidR="00896A6E" w:rsidRPr="00E676E1">
        <w:rPr>
          <w:rFonts w:asciiTheme="majorHAnsi" w:hAnsiTheme="majorHAnsi" w:cstheme="majorHAnsi"/>
        </w:rPr>
        <w:t>he IBD population hav</w:t>
      </w:r>
      <w:r w:rsidR="00984159" w:rsidRPr="00E676E1">
        <w:rPr>
          <w:rFonts w:asciiTheme="majorHAnsi" w:hAnsiTheme="majorHAnsi" w:cstheme="majorHAnsi"/>
        </w:rPr>
        <w:t xml:space="preserve">e </w:t>
      </w:r>
      <w:r w:rsidR="001A4A4C" w:rsidRPr="00E676E1">
        <w:rPr>
          <w:rFonts w:asciiTheme="majorHAnsi" w:hAnsiTheme="majorHAnsi" w:cstheme="majorHAnsi"/>
        </w:rPr>
        <w:t>substantially greater</w:t>
      </w:r>
      <w:r w:rsidR="00896A6E" w:rsidRPr="00E676E1">
        <w:rPr>
          <w:rFonts w:asciiTheme="majorHAnsi" w:hAnsiTheme="majorHAnsi" w:cstheme="majorHAnsi"/>
        </w:rPr>
        <w:t xml:space="preserve"> </w:t>
      </w:r>
      <w:r w:rsidRPr="00E676E1">
        <w:rPr>
          <w:rFonts w:asciiTheme="majorHAnsi" w:hAnsiTheme="majorHAnsi" w:cstheme="majorHAnsi"/>
        </w:rPr>
        <w:t>opioid-exposure</w:t>
      </w:r>
      <w:r w:rsidR="00896A6E" w:rsidRPr="00E676E1">
        <w:rPr>
          <w:rFonts w:asciiTheme="majorHAnsi" w:hAnsiTheme="majorHAnsi" w:cstheme="majorHAnsi"/>
        </w:rPr>
        <w:t xml:space="preserve"> than matched non-IBD individuals.</w:t>
      </w:r>
      <w:r w:rsidR="00F23B44" w:rsidRPr="00E676E1">
        <w:rPr>
          <w:rFonts w:asciiTheme="majorHAnsi" w:hAnsiTheme="majorHAnsi" w:cstheme="majorHAnsi"/>
        </w:rPr>
        <w:fldChar w:fldCharType="begin"/>
      </w:r>
      <w:r w:rsidR="00F23B44" w:rsidRPr="00E676E1">
        <w:rPr>
          <w:rFonts w:asciiTheme="majorHAnsi" w:hAnsiTheme="majorHAnsi" w:cstheme="majorHAnsi"/>
        </w:rPr>
        <w:instrText xml:space="preserve"> ADDIN ZOTERO_ITEM CSL_CITATION {"citationID":"R3T6AU3W","properties":{"formattedCitation":"\\super 14,15\\nosupersub{}","plainCitation":"14,15","noteIndex":0},"citationItems":[{"id":2053,"uris":["http://zotero.org/users/5360735/items/UWWBC8PN"],"itemData":{"id":2053,"type":"article-journal","abstract":"OBJECTIVES: \n\nOpioids are commonly used in the treatment of pain and associated symptoms of inflammatory bowel disease (IBD). The continuous use of opioids has been associated with adverse outcomes, including death. The prevalence and the risk factors for opioid use in IBD are poorly characterized.\n\nMETHODS:\n\nWe used the population-based Manitoba IBD Epidemiology Database to identify all individuals in Manitoba with IBD who were prescribed opioids both before and following diagnosis. We determined the point prevalence of any opioid use, as well as the risk of becoming a heavy opioid user (defined as continuous use for 30 days at a dose exceeding 50 mg morphine/day or equivalent). Logistic regression and Cox proportional hazards models were generated to assess whether IBD was an independent risk factor for opioid use, the risk factors for opioid use in individuals with IBD, and to determine whether opioid use was associated with excess mortality in IBD.\n\nRESULTS:\n\nWithin 10 years of diagnosis, 5% of individuals with IBD had become heavy opioid users. Moderate use of opioids before diagnosis was strongly predictive of future heavy use. Individuals with IBD were significantly more likely to become heavy opioid users than their matched controls (odds ratio (OR) 2.91, 95% confidence interval (CI) 2.19–3.85). Heavy opioid use was strongly associated with mortality (OR 2.82, 95% CI 1.58–5.02).\n\nCONCLUSIONS:\n\nIBD is an independent risk factor for becoming a heavy opioid user, and heavy opioid use is associated with excess mortality in IBD patients. Clinicians should recognize risk factors for future heavy opioid use among their patients with IBD.","container-title":"Official journal of the American College of Gastroenterology | ACG","ISSN":"0002-9270","issue":"10","title":"The Prevalence and Predictors of Opioid Use in Inflammatory Bowel Disease: A Population-Based Analysis","URL":"https://journals.lww.com/ajg/Fulltext/2014/10000/The_Prevalence_and_Predictors_of_Opioid_Use_in.18.aspx","volume":"109","author":[{"family":"Targownik","given":"Laura E"},{"family":"Nugent","given":"Zoann"},{"family":"Singh","given":"Harminder"},{"family":"Bugden","given":"Shawn"},{"family":"Bernstein","given":"Charles N"}],"issued":{"date-parts":[["2014"]]}}},{"id":55,"uris":["http://zotero.org/users/5360735/items/CLATA3BS"],"itemData":{"id":55,"type":"article-journal","abstract":"Data on opioid use in patients with inflammatory bowel disease and the relationship between disease, opioid use, and healthcare resource utilization are needed.This analysis of real-world data from IBM Watson Health Commercial Claims and Encounters Database included patients with the first claim of inflammatory bowel disease (IBD) between 2007 and 2014. Opioid use was higher in patients with IBD than in the matched non-IBD cohort. Adjusted for age, gender, and Charlson Comorbidity Index score, inpatient and emergency room visits risk was higher in opioid users than non-users in both IBD cohorts. Opioid use could be a potential surrogate for inadequate disease control manifested by increased inpatient and emergency room visit risks. These results suggest a need exists for better disease management and the development of an outcomes measurement tool for IBD pain.Opioid use, inpatient hospital and emergency room visits were higher in patients with inflammatory bowel disease than a matched non-inflammatory bowel disease cohort. Opioid use could be a potential surrogate for inadequate disease control manifested by increased risk for inpatient hospital and emergency room visits.","container-title":"Crohn's &amp; Colitis 360","DOI":"10.1093/crocol/otaa009","ISSN":"2631-827X","issue":"1","journalAbbreviation":"Crohn's &amp; Colitis 360","page":"otaa009","title":"Opioid Use in Patients With Inflammatory Bowel Disease","volume":"2","author":[{"family":"Lin","given":"Xiwu"},{"family":"Lofland","given":"Jennifer"},{"family":"Zhang","given":"Ling"},{"family":"Sloan","given":"Sheldon"},{"family":"Chamaa","given":"Laila"},{"family":"Marano","given":"Colleen"},{"family":"Plevy","given":"Scott"}],"issued":{"date-parts":[["2020",1,1]]}}}],"schema":"https://github.com/citation-style-language/schema/raw/master/csl-citation.json"} </w:instrText>
      </w:r>
      <w:r w:rsidR="00F23B44" w:rsidRPr="00E676E1">
        <w:rPr>
          <w:rFonts w:asciiTheme="majorHAnsi" w:hAnsiTheme="majorHAnsi" w:cstheme="majorHAnsi"/>
        </w:rPr>
        <w:fldChar w:fldCharType="separate"/>
      </w:r>
      <w:r w:rsidR="00F23B44" w:rsidRPr="00E676E1">
        <w:rPr>
          <w:rFonts w:ascii="Calibri Light" w:hAnsiTheme="majorHAnsi" w:cs="Calibri Light"/>
          <w:vertAlign w:val="superscript"/>
        </w:rPr>
        <w:t>14,15</w:t>
      </w:r>
      <w:r w:rsidR="00F23B44" w:rsidRPr="00E676E1">
        <w:rPr>
          <w:rFonts w:asciiTheme="majorHAnsi" w:hAnsiTheme="majorHAnsi" w:cstheme="majorHAnsi"/>
        </w:rPr>
        <w:fldChar w:fldCharType="end"/>
      </w:r>
      <w:r w:rsidR="00896A6E" w:rsidRPr="00E676E1">
        <w:rPr>
          <w:rFonts w:asciiTheme="majorHAnsi" w:hAnsiTheme="majorHAnsi" w:cstheme="majorHAnsi"/>
        </w:rPr>
        <w:t xml:space="preserve"> </w:t>
      </w:r>
    </w:p>
    <w:p w14:paraId="46F42E8F" w14:textId="31781FE2" w:rsidR="001916C8" w:rsidRPr="00E676E1" w:rsidRDefault="00C33984" w:rsidP="009C3C55">
      <w:pPr>
        <w:spacing w:line="480" w:lineRule="auto"/>
        <w:rPr>
          <w:rFonts w:asciiTheme="majorHAnsi" w:hAnsiTheme="majorHAnsi" w:cstheme="majorHAnsi"/>
          <w:color w:val="000000" w:themeColor="text1"/>
        </w:rPr>
      </w:pPr>
      <w:r w:rsidRPr="00E676E1">
        <w:rPr>
          <w:rFonts w:asciiTheme="majorHAnsi" w:hAnsiTheme="majorHAnsi" w:cstheme="majorHAnsi"/>
        </w:rPr>
        <w:t xml:space="preserve">We </w:t>
      </w:r>
      <w:r w:rsidR="001A4A4C" w:rsidRPr="00E676E1">
        <w:rPr>
          <w:rFonts w:asciiTheme="majorHAnsi" w:hAnsiTheme="majorHAnsi" w:cstheme="majorHAnsi"/>
        </w:rPr>
        <w:t>therefore aimed</w:t>
      </w:r>
      <w:r w:rsidR="007A6FDB" w:rsidRPr="00E676E1">
        <w:rPr>
          <w:rFonts w:asciiTheme="majorHAnsi" w:hAnsiTheme="majorHAnsi" w:cstheme="majorHAnsi"/>
        </w:rPr>
        <w:t xml:space="preserve"> to define the prevalence of </w:t>
      </w:r>
      <w:r w:rsidR="00AD71E5" w:rsidRPr="00E676E1">
        <w:rPr>
          <w:rFonts w:asciiTheme="majorHAnsi" w:hAnsiTheme="majorHAnsi" w:cstheme="majorHAnsi"/>
        </w:rPr>
        <w:t>opioid-</w:t>
      </w:r>
      <w:r w:rsidR="00AE41CC" w:rsidRPr="00E676E1">
        <w:rPr>
          <w:rFonts w:asciiTheme="majorHAnsi" w:hAnsiTheme="majorHAnsi" w:cstheme="majorHAnsi"/>
        </w:rPr>
        <w:t xml:space="preserve">use </w:t>
      </w:r>
      <w:r w:rsidR="007A6FDB" w:rsidRPr="00E676E1">
        <w:rPr>
          <w:rFonts w:asciiTheme="majorHAnsi" w:hAnsiTheme="majorHAnsi" w:cstheme="majorHAnsi"/>
        </w:rPr>
        <w:t xml:space="preserve">among </w:t>
      </w:r>
      <w:r w:rsidR="00D62D02" w:rsidRPr="00E676E1">
        <w:rPr>
          <w:rFonts w:asciiTheme="majorHAnsi" w:hAnsiTheme="majorHAnsi" w:cstheme="majorHAnsi"/>
        </w:rPr>
        <w:t xml:space="preserve">those </w:t>
      </w:r>
      <w:r w:rsidR="00AE41CC" w:rsidRPr="00E676E1">
        <w:rPr>
          <w:rFonts w:asciiTheme="majorHAnsi" w:hAnsiTheme="majorHAnsi" w:cstheme="majorHAnsi"/>
        </w:rPr>
        <w:t xml:space="preserve">accessing </w:t>
      </w:r>
      <w:r w:rsidRPr="00E676E1">
        <w:rPr>
          <w:rFonts w:asciiTheme="majorHAnsi" w:hAnsiTheme="majorHAnsi" w:cstheme="majorHAnsi"/>
        </w:rPr>
        <w:t xml:space="preserve">IBD services in the UK by performing </w:t>
      </w:r>
      <w:r w:rsidR="000A2804" w:rsidRPr="00E676E1">
        <w:rPr>
          <w:rFonts w:asciiTheme="majorHAnsi" w:hAnsiTheme="majorHAnsi" w:cstheme="majorHAnsi"/>
        </w:rPr>
        <w:t xml:space="preserve">a </w:t>
      </w:r>
      <w:r w:rsidRPr="00E676E1">
        <w:rPr>
          <w:rFonts w:asciiTheme="majorHAnsi" w:hAnsiTheme="majorHAnsi" w:cstheme="majorHAnsi"/>
        </w:rPr>
        <w:t>multi-centre questionnaire-based analysis</w:t>
      </w:r>
      <w:r w:rsidR="00AE41CC" w:rsidRPr="00E676E1">
        <w:rPr>
          <w:rFonts w:asciiTheme="majorHAnsi" w:hAnsiTheme="majorHAnsi" w:cstheme="majorHAnsi"/>
        </w:rPr>
        <w:t xml:space="preserve"> of opioid</w:t>
      </w:r>
      <w:r w:rsidR="0033666C" w:rsidRPr="00E676E1">
        <w:rPr>
          <w:rFonts w:asciiTheme="majorHAnsi" w:hAnsiTheme="majorHAnsi" w:cstheme="majorHAnsi"/>
        </w:rPr>
        <w:t>-</w:t>
      </w:r>
      <w:r w:rsidR="00AE41CC" w:rsidRPr="00E676E1">
        <w:rPr>
          <w:rFonts w:asciiTheme="majorHAnsi" w:hAnsiTheme="majorHAnsi" w:cstheme="majorHAnsi"/>
        </w:rPr>
        <w:t>use in both outpatients and inpatients</w:t>
      </w:r>
      <w:r w:rsidR="007A6FDB" w:rsidRPr="00E676E1">
        <w:rPr>
          <w:rFonts w:asciiTheme="majorHAnsi" w:hAnsiTheme="majorHAnsi" w:cstheme="majorHAnsi"/>
        </w:rPr>
        <w:t xml:space="preserve">. </w:t>
      </w:r>
      <w:r w:rsidR="001A4A4C" w:rsidRPr="00E676E1">
        <w:rPr>
          <w:rFonts w:asciiTheme="majorHAnsi" w:hAnsiTheme="majorHAnsi" w:cstheme="majorHAnsi"/>
        </w:rPr>
        <w:t>Secondarily</w:t>
      </w:r>
      <w:r w:rsidRPr="00E676E1">
        <w:rPr>
          <w:rFonts w:asciiTheme="majorHAnsi" w:hAnsiTheme="majorHAnsi" w:cstheme="majorHAnsi"/>
        </w:rPr>
        <w:t>,</w:t>
      </w:r>
      <w:r w:rsidR="001A4A4C" w:rsidRPr="00E676E1">
        <w:rPr>
          <w:rFonts w:asciiTheme="majorHAnsi" w:hAnsiTheme="majorHAnsi" w:cstheme="majorHAnsi"/>
        </w:rPr>
        <w:t xml:space="preserve"> we</w:t>
      </w:r>
      <w:r w:rsidR="007A6FDB" w:rsidRPr="00E676E1">
        <w:rPr>
          <w:rFonts w:asciiTheme="majorHAnsi" w:hAnsiTheme="majorHAnsi" w:cstheme="majorHAnsi"/>
        </w:rPr>
        <w:t xml:space="preserve"> </w:t>
      </w:r>
      <w:r w:rsidR="0053382A" w:rsidRPr="00E676E1">
        <w:rPr>
          <w:rFonts w:asciiTheme="majorHAnsi" w:hAnsiTheme="majorHAnsi" w:cstheme="majorHAnsi"/>
        </w:rPr>
        <w:t>aim</w:t>
      </w:r>
      <w:r w:rsidR="001A4A4C" w:rsidRPr="00E676E1">
        <w:rPr>
          <w:rFonts w:asciiTheme="majorHAnsi" w:hAnsiTheme="majorHAnsi" w:cstheme="majorHAnsi"/>
        </w:rPr>
        <w:t>ed to define</w:t>
      </w:r>
      <w:r w:rsidR="00F0688C" w:rsidRPr="00E676E1">
        <w:rPr>
          <w:rFonts w:asciiTheme="majorHAnsi" w:hAnsiTheme="majorHAnsi" w:cstheme="majorHAnsi"/>
        </w:rPr>
        <w:t xml:space="preserve"> indication</w:t>
      </w:r>
      <w:r w:rsidR="001D7F11" w:rsidRPr="00E676E1">
        <w:rPr>
          <w:rFonts w:asciiTheme="majorHAnsi" w:hAnsiTheme="majorHAnsi" w:cstheme="majorHAnsi"/>
        </w:rPr>
        <w:t>s</w:t>
      </w:r>
      <w:r w:rsidR="00F0688C" w:rsidRPr="00E676E1">
        <w:rPr>
          <w:rFonts w:asciiTheme="majorHAnsi" w:hAnsiTheme="majorHAnsi" w:cstheme="majorHAnsi"/>
        </w:rPr>
        <w:t xml:space="preserve"> for opioid</w:t>
      </w:r>
      <w:r w:rsidR="0033666C" w:rsidRPr="00E676E1">
        <w:rPr>
          <w:rFonts w:asciiTheme="majorHAnsi" w:hAnsiTheme="majorHAnsi" w:cstheme="majorHAnsi"/>
        </w:rPr>
        <w:t>-</w:t>
      </w:r>
      <w:r w:rsidR="00AE41CC" w:rsidRPr="00E676E1">
        <w:rPr>
          <w:rFonts w:asciiTheme="majorHAnsi" w:hAnsiTheme="majorHAnsi" w:cstheme="majorHAnsi"/>
        </w:rPr>
        <w:t>use</w:t>
      </w:r>
      <w:r w:rsidRPr="00E676E1">
        <w:rPr>
          <w:rFonts w:asciiTheme="majorHAnsi" w:hAnsiTheme="majorHAnsi" w:cstheme="majorHAnsi"/>
        </w:rPr>
        <w:t>,</w:t>
      </w:r>
      <w:r w:rsidR="00D62D02" w:rsidRPr="00E676E1">
        <w:rPr>
          <w:rFonts w:asciiTheme="majorHAnsi" w:hAnsiTheme="majorHAnsi" w:cstheme="majorHAnsi"/>
        </w:rPr>
        <w:t xml:space="preserve"> to</w:t>
      </w:r>
      <w:r w:rsidRPr="00E676E1">
        <w:rPr>
          <w:rFonts w:asciiTheme="majorHAnsi" w:hAnsiTheme="majorHAnsi" w:cstheme="majorHAnsi"/>
        </w:rPr>
        <w:t xml:space="preserve"> </w:t>
      </w:r>
      <w:r w:rsidR="001A4A4C" w:rsidRPr="00E676E1">
        <w:rPr>
          <w:rFonts w:asciiTheme="majorHAnsi" w:hAnsiTheme="majorHAnsi" w:cstheme="majorHAnsi"/>
        </w:rPr>
        <w:t xml:space="preserve">identify </w:t>
      </w:r>
      <w:r w:rsidRPr="00E676E1">
        <w:rPr>
          <w:rFonts w:asciiTheme="majorHAnsi" w:hAnsiTheme="majorHAnsi" w:cstheme="majorHAnsi"/>
        </w:rPr>
        <w:t xml:space="preserve">associated </w:t>
      </w:r>
      <w:r w:rsidR="00F0688C" w:rsidRPr="00E676E1">
        <w:rPr>
          <w:rFonts w:asciiTheme="majorHAnsi" w:hAnsiTheme="majorHAnsi" w:cstheme="majorHAnsi"/>
        </w:rPr>
        <w:t>r</w:t>
      </w:r>
      <w:r w:rsidR="007A6FDB" w:rsidRPr="00E676E1">
        <w:rPr>
          <w:rFonts w:asciiTheme="majorHAnsi" w:hAnsiTheme="majorHAnsi" w:cstheme="majorHAnsi"/>
        </w:rPr>
        <w:t xml:space="preserve">isk factors and </w:t>
      </w:r>
      <w:r w:rsidR="00D62D02" w:rsidRPr="00E676E1">
        <w:rPr>
          <w:rFonts w:asciiTheme="majorHAnsi" w:hAnsiTheme="majorHAnsi" w:cstheme="majorHAnsi"/>
        </w:rPr>
        <w:t xml:space="preserve">to examine </w:t>
      </w:r>
      <w:r w:rsidR="00F0688C" w:rsidRPr="00E676E1">
        <w:rPr>
          <w:rFonts w:asciiTheme="majorHAnsi" w:hAnsiTheme="majorHAnsi" w:cstheme="majorHAnsi"/>
        </w:rPr>
        <w:t>the use</w:t>
      </w:r>
      <w:r w:rsidR="007A6FDB" w:rsidRPr="00E676E1">
        <w:rPr>
          <w:rFonts w:asciiTheme="majorHAnsi" w:hAnsiTheme="majorHAnsi" w:cstheme="majorHAnsi"/>
        </w:rPr>
        <w:t xml:space="preserve"> of </w:t>
      </w:r>
      <w:r w:rsidR="001A4A4C" w:rsidRPr="00E676E1">
        <w:rPr>
          <w:rFonts w:asciiTheme="majorHAnsi" w:hAnsiTheme="majorHAnsi" w:cstheme="majorHAnsi"/>
        </w:rPr>
        <w:t xml:space="preserve">measures to reduce </w:t>
      </w:r>
      <w:r w:rsidR="00AE41CC" w:rsidRPr="00E676E1">
        <w:rPr>
          <w:rFonts w:asciiTheme="majorHAnsi" w:hAnsiTheme="majorHAnsi" w:cstheme="majorHAnsi"/>
        </w:rPr>
        <w:t xml:space="preserve">exposure </w:t>
      </w:r>
      <w:r w:rsidR="00896A6E" w:rsidRPr="00E676E1">
        <w:rPr>
          <w:rFonts w:asciiTheme="majorHAnsi" w:hAnsiTheme="majorHAnsi" w:cstheme="majorHAnsi"/>
          <w:color w:val="000000" w:themeColor="text1"/>
        </w:rPr>
        <w:t>including alternative analgesic</w:t>
      </w:r>
      <w:r w:rsidR="00D21596" w:rsidRPr="00E676E1">
        <w:rPr>
          <w:rFonts w:asciiTheme="majorHAnsi" w:hAnsiTheme="majorHAnsi" w:cstheme="majorHAnsi"/>
          <w:color w:val="000000" w:themeColor="text1"/>
        </w:rPr>
        <w:t xml:space="preserve"> prescribing</w:t>
      </w:r>
      <w:r w:rsidR="00896A6E" w:rsidRPr="00E676E1">
        <w:rPr>
          <w:rFonts w:asciiTheme="majorHAnsi" w:hAnsiTheme="majorHAnsi" w:cstheme="majorHAnsi"/>
          <w:color w:val="000000" w:themeColor="text1"/>
        </w:rPr>
        <w:t xml:space="preserve">, </w:t>
      </w:r>
      <w:r w:rsidRPr="00E676E1">
        <w:rPr>
          <w:rFonts w:asciiTheme="majorHAnsi" w:hAnsiTheme="majorHAnsi" w:cstheme="majorHAnsi"/>
          <w:color w:val="000000" w:themeColor="text1"/>
        </w:rPr>
        <w:t xml:space="preserve">the use of </w:t>
      </w:r>
      <w:r w:rsidR="001A4A4C" w:rsidRPr="00E676E1">
        <w:rPr>
          <w:rFonts w:asciiTheme="majorHAnsi" w:hAnsiTheme="majorHAnsi" w:cstheme="majorHAnsi"/>
          <w:color w:val="000000" w:themeColor="text1"/>
        </w:rPr>
        <w:t xml:space="preserve">opioid </w:t>
      </w:r>
      <w:r w:rsidR="00DB1F4A" w:rsidRPr="00E676E1">
        <w:rPr>
          <w:rFonts w:asciiTheme="majorHAnsi" w:hAnsiTheme="majorHAnsi" w:cstheme="majorHAnsi"/>
          <w:color w:val="000000" w:themeColor="text1"/>
        </w:rPr>
        <w:t>wean</w:t>
      </w:r>
      <w:r w:rsidR="001A4A4C" w:rsidRPr="00E676E1">
        <w:rPr>
          <w:rFonts w:asciiTheme="majorHAnsi" w:hAnsiTheme="majorHAnsi" w:cstheme="majorHAnsi"/>
          <w:color w:val="000000" w:themeColor="text1"/>
        </w:rPr>
        <w:t>ing</w:t>
      </w:r>
      <w:r w:rsidR="00896A6E" w:rsidRPr="00E676E1">
        <w:rPr>
          <w:rFonts w:asciiTheme="majorHAnsi" w:hAnsiTheme="majorHAnsi" w:cstheme="majorHAnsi"/>
          <w:color w:val="000000" w:themeColor="text1"/>
        </w:rPr>
        <w:t xml:space="preserve"> schedules and </w:t>
      </w:r>
      <w:r w:rsidR="00F04619" w:rsidRPr="00E676E1">
        <w:rPr>
          <w:rFonts w:asciiTheme="majorHAnsi" w:hAnsiTheme="majorHAnsi" w:cstheme="majorHAnsi"/>
          <w:color w:val="000000" w:themeColor="text1"/>
        </w:rPr>
        <w:t xml:space="preserve">the use of </w:t>
      </w:r>
      <w:r w:rsidR="002714AD" w:rsidRPr="00E676E1">
        <w:rPr>
          <w:rFonts w:asciiTheme="majorHAnsi" w:eastAsiaTheme="minorHAnsi" w:hAnsiTheme="majorHAnsi" w:cstheme="majorHAnsi"/>
          <w:color w:val="000000"/>
          <w:lang w:eastAsia="en-US"/>
        </w:rPr>
        <w:t xml:space="preserve">specialist </w:t>
      </w:r>
      <w:r w:rsidR="000A2804" w:rsidRPr="00E676E1">
        <w:rPr>
          <w:rFonts w:asciiTheme="majorHAnsi" w:eastAsiaTheme="minorHAnsi" w:hAnsiTheme="majorHAnsi" w:cstheme="majorHAnsi"/>
          <w:color w:val="000000"/>
          <w:lang w:eastAsia="en-US"/>
        </w:rPr>
        <w:t>pain service</w:t>
      </w:r>
      <w:r w:rsidR="00061780" w:rsidRPr="00E676E1">
        <w:rPr>
          <w:rFonts w:asciiTheme="majorHAnsi" w:eastAsiaTheme="minorHAnsi" w:hAnsiTheme="majorHAnsi" w:cstheme="majorHAnsi"/>
          <w:color w:val="000000"/>
          <w:lang w:eastAsia="en-US"/>
        </w:rPr>
        <w:t>s</w:t>
      </w:r>
      <w:r w:rsidR="00896A6E" w:rsidRPr="00E676E1">
        <w:rPr>
          <w:rFonts w:asciiTheme="majorHAnsi" w:hAnsiTheme="majorHAnsi" w:cstheme="majorHAnsi"/>
          <w:color w:val="000000" w:themeColor="text1"/>
        </w:rPr>
        <w:t xml:space="preserve">. </w:t>
      </w:r>
    </w:p>
    <w:p w14:paraId="62ED3DC6" w14:textId="77777777" w:rsidR="00516DD9" w:rsidRPr="00E676E1" w:rsidRDefault="00516DD9" w:rsidP="00D937F2">
      <w:pPr>
        <w:spacing w:line="480" w:lineRule="auto"/>
        <w:rPr>
          <w:rFonts w:asciiTheme="majorHAnsi" w:hAnsiTheme="majorHAnsi" w:cstheme="majorHAnsi"/>
        </w:rPr>
      </w:pPr>
    </w:p>
    <w:p w14:paraId="251B451D" w14:textId="526AC45F" w:rsidR="007219F7" w:rsidRPr="00E676E1" w:rsidRDefault="007219F7" w:rsidP="00D937F2">
      <w:pPr>
        <w:spacing w:line="480" w:lineRule="auto"/>
        <w:rPr>
          <w:rFonts w:asciiTheme="majorHAnsi" w:hAnsiTheme="majorHAnsi" w:cstheme="majorHAnsi"/>
          <w:b/>
          <w:sz w:val="28"/>
          <w:szCs w:val="28"/>
        </w:rPr>
      </w:pPr>
      <w:r w:rsidRPr="00E676E1">
        <w:rPr>
          <w:rFonts w:asciiTheme="majorHAnsi" w:hAnsiTheme="majorHAnsi" w:cstheme="majorHAnsi"/>
          <w:b/>
          <w:sz w:val="28"/>
          <w:szCs w:val="28"/>
        </w:rPr>
        <w:lastRenderedPageBreak/>
        <w:t>Method</w:t>
      </w:r>
      <w:r w:rsidR="00B0475B" w:rsidRPr="00E676E1">
        <w:rPr>
          <w:rFonts w:asciiTheme="majorHAnsi" w:hAnsiTheme="majorHAnsi" w:cstheme="majorHAnsi"/>
          <w:b/>
          <w:sz w:val="28"/>
          <w:szCs w:val="28"/>
        </w:rPr>
        <w:t>s</w:t>
      </w:r>
    </w:p>
    <w:p w14:paraId="353C99D9" w14:textId="12001BFB" w:rsidR="00C42C48" w:rsidRPr="00E676E1" w:rsidRDefault="00C42C48" w:rsidP="00D63126">
      <w:pPr>
        <w:spacing w:line="480" w:lineRule="auto"/>
        <w:rPr>
          <w:rFonts w:asciiTheme="majorHAnsi" w:hAnsiTheme="majorHAnsi" w:cstheme="majorHAnsi"/>
          <w:i/>
          <w:iCs/>
          <w:sz w:val="28"/>
          <w:szCs w:val="28"/>
        </w:rPr>
      </w:pPr>
      <w:r w:rsidRPr="00E676E1">
        <w:rPr>
          <w:rFonts w:asciiTheme="majorHAnsi" w:hAnsiTheme="majorHAnsi" w:cstheme="majorHAnsi"/>
          <w:i/>
          <w:iCs/>
          <w:sz w:val="28"/>
          <w:szCs w:val="28"/>
        </w:rPr>
        <w:t>Development of online data collection tool</w:t>
      </w:r>
    </w:p>
    <w:p w14:paraId="3849B655" w14:textId="6EA25BC7" w:rsidR="00D63126" w:rsidRPr="00E676E1" w:rsidRDefault="004F69B7" w:rsidP="003E0A70">
      <w:pPr>
        <w:spacing w:line="480" w:lineRule="auto"/>
        <w:rPr>
          <w:rFonts w:asciiTheme="majorHAnsi" w:hAnsiTheme="majorHAnsi" w:cstheme="majorHAnsi"/>
        </w:rPr>
      </w:pPr>
      <w:r w:rsidRPr="00E676E1">
        <w:rPr>
          <w:rFonts w:asciiTheme="majorHAnsi" w:hAnsiTheme="majorHAnsi" w:cstheme="majorHAnsi"/>
        </w:rPr>
        <w:t>Q</w:t>
      </w:r>
      <w:r w:rsidR="00D63126" w:rsidRPr="00E676E1">
        <w:rPr>
          <w:rFonts w:asciiTheme="majorHAnsi" w:hAnsiTheme="majorHAnsi" w:cstheme="majorHAnsi"/>
        </w:rPr>
        <w:t>uestionnaire</w:t>
      </w:r>
      <w:r w:rsidR="00816221" w:rsidRPr="00E676E1">
        <w:rPr>
          <w:rFonts w:asciiTheme="majorHAnsi" w:hAnsiTheme="majorHAnsi" w:cstheme="majorHAnsi"/>
        </w:rPr>
        <w:t>s</w:t>
      </w:r>
      <w:r w:rsidR="0053382A" w:rsidRPr="00E676E1">
        <w:rPr>
          <w:rFonts w:asciiTheme="majorHAnsi" w:hAnsiTheme="majorHAnsi" w:cstheme="majorHAnsi"/>
        </w:rPr>
        <w:t xml:space="preserve"> </w:t>
      </w:r>
      <w:r w:rsidRPr="00E676E1">
        <w:rPr>
          <w:rFonts w:asciiTheme="majorHAnsi" w:hAnsiTheme="majorHAnsi" w:cstheme="majorHAnsi"/>
        </w:rPr>
        <w:t>to review opioid</w:t>
      </w:r>
      <w:r w:rsidR="007F11DB" w:rsidRPr="00E676E1">
        <w:rPr>
          <w:rFonts w:asciiTheme="majorHAnsi" w:hAnsiTheme="majorHAnsi" w:cstheme="majorHAnsi"/>
        </w:rPr>
        <w:t xml:space="preserve"> </w:t>
      </w:r>
      <w:r w:rsidRPr="00E676E1">
        <w:rPr>
          <w:rFonts w:asciiTheme="majorHAnsi" w:hAnsiTheme="majorHAnsi" w:cstheme="majorHAnsi"/>
        </w:rPr>
        <w:t xml:space="preserve">use in inpatients and outpatients </w:t>
      </w:r>
      <w:r w:rsidR="00D63126" w:rsidRPr="00E676E1">
        <w:rPr>
          <w:rFonts w:asciiTheme="majorHAnsi" w:hAnsiTheme="majorHAnsi" w:cstheme="majorHAnsi"/>
        </w:rPr>
        <w:t>w</w:t>
      </w:r>
      <w:r w:rsidR="00816221" w:rsidRPr="00E676E1">
        <w:rPr>
          <w:rFonts w:asciiTheme="majorHAnsi" w:hAnsiTheme="majorHAnsi" w:cstheme="majorHAnsi"/>
        </w:rPr>
        <w:t xml:space="preserve">ere </w:t>
      </w:r>
      <w:r w:rsidR="002E1B56" w:rsidRPr="00E676E1">
        <w:rPr>
          <w:rFonts w:asciiTheme="majorHAnsi" w:hAnsiTheme="majorHAnsi" w:cstheme="majorHAnsi"/>
        </w:rPr>
        <w:t>develop</w:t>
      </w:r>
      <w:r w:rsidR="00D63126" w:rsidRPr="00E676E1">
        <w:rPr>
          <w:rFonts w:asciiTheme="majorHAnsi" w:hAnsiTheme="majorHAnsi" w:cstheme="majorHAnsi"/>
        </w:rPr>
        <w:t xml:space="preserve">ed by a multidisciplinary steering committee </w:t>
      </w:r>
      <w:r w:rsidR="00816221" w:rsidRPr="00E676E1">
        <w:rPr>
          <w:rFonts w:asciiTheme="majorHAnsi" w:hAnsiTheme="majorHAnsi" w:cstheme="majorHAnsi"/>
        </w:rPr>
        <w:t>(see Supp</w:t>
      </w:r>
      <w:r w:rsidR="000922C1" w:rsidRPr="00E676E1">
        <w:rPr>
          <w:rFonts w:asciiTheme="majorHAnsi" w:hAnsiTheme="majorHAnsi" w:cstheme="majorHAnsi"/>
        </w:rPr>
        <w:t>lementary</w:t>
      </w:r>
      <w:r w:rsidR="00816221" w:rsidRPr="00E676E1">
        <w:rPr>
          <w:rFonts w:asciiTheme="majorHAnsi" w:hAnsiTheme="majorHAnsi" w:cstheme="majorHAnsi"/>
        </w:rPr>
        <w:t xml:space="preserve"> </w:t>
      </w:r>
      <w:r w:rsidR="00EA1098" w:rsidRPr="00E676E1">
        <w:rPr>
          <w:rFonts w:asciiTheme="majorHAnsi" w:hAnsiTheme="majorHAnsi" w:cstheme="majorHAnsi"/>
        </w:rPr>
        <w:t>Information</w:t>
      </w:r>
      <w:r w:rsidR="00C33984" w:rsidRPr="00E676E1">
        <w:rPr>
          <w:rFonts w:asciiTheme="majorHAnsi" w:hAnsiTheme="majorHAnsi" w:cstheme="majorHAnsi"/>
        </w:rPr>
        <w:t xml:space="preserve"> 1</w:t>
      </w:r>
      <w:r w:rsidR="000922C1" w:rsidRPr="00E676E1">
        <w:rPr>
          <w:rFonts w:asciiTheme="majorHAnsi" w:hAnsiTheme="majorHAnsi" w:cstheme="majorHAnsi"/>
        </w:rPr>
        <w:t xml:space="preserve"> and 2</w:t>
      </w:r>
      <w:r w:rsidR="00816221" w:rsidRPr="00E676E1">
        <w:rPr>
          <w:rFonts w:asciiTheme="majorHAnsi" w:hAnsiTheme="majorHAnsi" w:cstheme="majorHAnsi"/>
        </w:rPr>
        <w:t>)</w:t>
      </w:r>
      <w:r w:rsidRPr="00E676E1">
        <w:rPr>
          <w:rFonts w:asciiTheme="majorHAnsi" w:hAnsiTheme="majorHAnsi" w:cstheme="majorHAnsi"/>
        </w:rPr>
        <w:t xml:space="preserve"> and d</w:t>
      </w:r>
      <w:r w:rsidR="00557DA7" w:rsidRPr="00E676E1">
        <w:rPr>
          <w:rFonts w:asciiTheme="majorHAnsi" w:hAnsiTheme="majorHAnsi" w:cstheme="majorHAnsi"/>
        </w:rPr>
        <w:t>ata was entered anonymously</w:t>
      </w:r>
      <w:r w:rsidR="002472DA" w:rsidRPr="00E676E1">
        <w:rPr>
          <w:rFonts w:asciiTheme="majorHAnsi" w:hAnsiTheme="majorHAnsi" w:cstheme="majorHAnsi"/>
        </w:rPr>
        <w:t xml:space="preserve"> by clinicians</w:t>
      </w:r>
      <w:r w:rsidR="002C0E67" w:rsidRPr="00E676E1">
        <w:rPr>
          <w:rFonts w:asciiTheme="majorHAnsi" w:hAnsiTheme="majorHAnsi" w:cstheme="majorHAnsi"/>
        </w:rPr>
        <w:t xml:space="preserve"> </w:t>
      </w:r>
      <w:r w:rsidR="00EA2787" w:rsidRPr="00E676E1">
        <w:rPr>
          <w:rFonts w:asciiTheme="majorHAnsi" w:hAnsiTheme="majorHAnsi" w:cstheme="majorHAnsi"/>
        </w:rPr>
        <w:t xml:space="preserve">between October 2021 and March 2022 </w:t>
      </w:r>
      <w:r w:rsidR="00C33984" w:rsidRPr="00E676E1">
        <w:rPr>
          <w:rFonts w:asciiTheme="majorHAnsi" w:hAnsiTheme="majorHAnsi" w:cstheme="majorHAnsi"/>
        </w:rPr>
        <w:t xml:space="preserve">using an online </w:t>
      </w:r>
      <w:r w:rsidR="002C0E67" w:rsidRPr="00E676E1">
        <w:rPr>
          <w:rFonts w:asciiTheme="majorHAnsi" w:hAnsiTheme="majorHAnsi" w:cstheme="majorHAnsi"/>
        </w:rPr>
        <w:t>platform</w:t>
      </w:r>
      <w:r w:rsidR="0008234E" w:rsidRPr="00E676E1">
        <w:rPr>
          <w:rFonts w:asciiTheme="majorHAnsi" w:hAnsiTheme="majorHAnsi" w:cstheme="majorHAnsi"/>
        </w:rPr>
        <w:t xml:space="preserve"> on an academic NHS server</w:t>
      </w:r>
      <w:r w:rsidRPr="00E676E1">
        <w:rPr>
          <w:rFonts w:asciiTheme="majorHAnsi" w:hAnsiTheme="majorHAnsi" w:cstheme="majorHAnsi"/>
        </w:rPr>
        <w:t>.</w:t>
      </w:r>
      <w:r w:rsidR="0053382A" w:rsidRPr="00E676E1">
        <w:rPr>
          <w:rFonts w:asciiTheme="majorHAnsi" w:hAnsiTheme="majorHAnsi" w:cstheme="majorHAnsi"/>
        </w:rPr>
        <w:t xml:space="preserve"> </w:t>
      </w:r>
    </w:p>
    <w:p w14:paraId="0644A645" w14:textId="32BCD9E6" w:rsidR="00C42C48" w:rsidRPr="00E676E1" w:rsidRDefault="00C42C48" w:rsidP="00042029">
      <w:pPr>
        <w:spacing w:line="480" w:lineRule="auto"/>
        <w:rPr>
          <w:rFonts w:asciiTheme="majorHAnsi" w:hAnsiTheme="majorHAnsi" w:cstheme="majorHAnsi"/>
          <w:i/>
          <w:iCs/>
          <w:sz w:val="28"/>
          <w:szCs w:val="28"/>
        </w:rPr>
      </w:pPr>
      <w:r w:rsidRPr="00E676E1">
        <w:rPr>
          <w:rFonts w:asciiTheme="majorHAnsi" w:hAnsiTheme="majorHAnsi" w:cstheme="majorHAnsi"/>
          <w:i/>
          <w:iCs/>
          <w:sz w:val="28"/>
          <w:szCs w:val="28"/>
        </w:rPr>
        <w:t>Study centres and patient recruitment</w:t>
      </w:r>
    </w:p>
    <w:p w14:paraId="2A3C5557" w14:textId="2EDC436D" w:rsidR="00B775C9" w:rsidRPr="00E676E1" w:rsidRDefault="002E5D22" w:rsidP="004F69B7">
      <w:pPr>
        <w:spacing w:line="480" w:lineRule="auto"/>
        <w:rPr>
          <w:rFonts w:asciiTheme="majorHAnsi" w:hAnsiTheme="majorHAnsi" w:cstheme="majorHAnsi"/>
        </w:rPr>
      </w:pPr>
      <w:r w:rsidRPr="00E676E1">
        <w:rPr>
          <w:rFonts w:asciiTheme="majorHAnsi" w:hAnsiTheme="majorHAnsi" w:cstheme="majorHAnsi"/>
        </w:rPr>
        <w:t xml:space="preserve">The questionnaires were piloted in a single centre and following </w:t>
      </w:r>
      <w:r w:rsidR="00BA5ACA" w:rsidRPr="00E676E1">
        <w:rPr>
          <w:rFonts w:asciiTheme="majorHAnsi" w:hAnsiTheme="majorHAnsi" w:cstheme="majorHAnsi"/>
        </w:rPr>
        <w:t>this</w:t>
      </w:r>
      <w:r w:rsidR="007F11DB" w:rsidRPr="00E676E1">
        <w:rPr>
          <w:rFonts w:asciiTheme="majorHAnsi" w:hAnsiTheme="majorHAnsi" w:cstheme="majorHAnsi"/>
        </w:rPr>
        <w:t>,</w:t>
      </w:r>
      <w:r w:rsidR="00BA5ACA" w:rsidRPr="00E676E1">
        <w:rPr>
          <w:rFonts w:asciiTheme="majorHAnsi" w:hAnsiTheme="majorHAnsi" w:cstheme="majorHAnsi"/>
        </w:rPr>
        <w:t xml:space="preserve"> </w:t>
      </w:r>
      <w:r w:rsidRPr="00E676E1">
        <w:rPr>
          <w:rFonts w:asciiTheme="majorHAnsi" w:hAnsiTheme="majorHAnsi" w:cstheme="majorHAnsi"/>
        </w:rPr>
        <w:t>the study was expanded to</w:t>
      </w:r>
      <w:r w:rsidR="007F11DB" w:rsidRPr="00E676E1">
        <w:rPr>
          <w:rFonts w:asciiTheme="majorHAnsi" w:hAnsiTheme="majorHAnsi" w:cstheme="majorHAnsi"/>
        </w:rPr>
        <w:t xml:space="preserve"> include </w:t>
      </w:r>
      <w:r w:rsidRPr="00E676E1">
        <w:rPr>
          <w:rFonts w:asciiTheme="majorHAnsi" w:hAnsiTheme="majorHAnsi" w:cstheme="majorHAnsi"/>
        </w:rPr>
        <w:t>t</w:t>
      </w:r>
      <w:r w:rsidR="0096264E" w:rsidRPr="00E676E1">
        <w:rPr>
          <w:rFonts w:asciiTheme="majorHAnsi" w:hAnsiTheme="majorHAnsi" w:cstheme="majorHAnsi"/>
        </w:rPr>
        <w:t xml:space="preserve">welve </w:t>
      </w:r>
      <w:r w:rsidR="004F69B7" w:rsidRPr="00E676E1">
        <w:rPr>
          <w:rFonts w:asciiTheme="majorHAnsi" w:hAnsiTheme="majorHAnsi" w:cstheme="majorHAnsi"/>
        </w:rPr>
        <w:t>site</w:t>
      </w:r>
      <w:r w:rsidR="0096264E" w:rsidRPr="00E676E1">
        <w:rPr>
          <w:rFonts w:asciiTheme="majorHAnsi" w:hAnsiTheme="majorHAnsi" w:cstheme="majorHAnsi"/>
        </w:rPr>
        <w:t xml:space="preserve">s </w:t>
      </w:r>
      <w:r w:rsidR="004F69B7" w:rsidRPr="00E676E1">
        <w:rPr>
          <w:rFonts w:asciiTheme="majorHAnsi" w:hAnsiTheme="majorHAnsi" w:cstheme="majorHAnsi"/>
        </w:rPr>
        <w:t xml:space="preserve">across </w:t>
      </w:r>
      <w:r w:rsidR="00D62D02" w:rsidRPr="00E676E1">
        <w:rPr>
          <w:rFonts w:asciiTheme="majorHAnsi" w:hAnsiTheme="majorHAnsi" w:cstheme="majorHAnsi"/>
        </w:rPr>
        <w:t>the UK</w:t>
      </w:r>
      <w:r w:rsidR="007F11DB" w:rsidRPr="00E676E1">
        <w:rPr>
          <w:rFonts w:asciiTheme="majorHAnsi" w:hAnsiTheme="majorHAnsi" w:cstheme="majorHAnsi"/>
        </w:rPr>
        <w:t xml:space="preserve">, </w:t>
      </w:r>
      <w:r w:rsidR="0096264E" w:rsidRPr="00E676E1">
        <w:rPr>
          <w:rFonts w:asciiTheme="majorHAnsi" w:hAnsiTheme="majorHAnsi" w:cstheme="majorHAnsi"/>
        </w:rPr>
        <w:t xml:space="preserve">selected for </w:t>
      </w:r>
      <w:r w:rsidR="001916C8" w:rsidRPr="00E676E1">
        <w:rPr>
          <w:rFonts w:asciiTheme="majorHAnsi" w:hAnsiTheme="majorHAnsi" w:cstheme="majorHAnsi"/>
        </w:rPr>
        <w:t>data collection based on</w:t>
      </w:r>
      <w:r w:rsidR="0096264E" w:rsidRPr="00E676E1">
        <w:rPr>
          <w:rFonts w:asciiTheme="majorHAnsi" w:hAnsiTheme="majorHAnsi" w:cstheme="majorHAnsi"/>
        </w:rPr>
        <w:t xml:space="preserve"> previous </w:t>
      </w:r>
      <w:r w:rsidR="001916C8" w:rsidRPr="00E676E1">
        <w:rPr>
          <w:rFonts w:asciiTheme="majorHAnsi" w:hAnsiTheme="majorHAnsi" w:cstheme="majorHAnsi"/>
        </w:rPr>
        <w:t>participation</w:t>
      </w:r>
      <w:r w:rsidR="0096264E" w:rsidRPr="00E676E1">
        <w:rPr>
          <w:rFonts w:asciiTheme="majorHAnsi" w:hAnsiTheme="majorHAnsi" w:cstheme="majorHAnsi"/>
        </w:rPr>
        <w:t xml:space="preserve"> and engagement with IBD quality and improvement studies</w:t>
      </w:r>
      <w:r w:rsidR="009A551C" w:rsidRPr="00E676E1">
        <w:rPr>
          <w:rFonts w:asciiTheme="majorHAnsi" w:hAnsiTheme="majorHAnsi" w:cstheme="majorHAnsi"/>
        </w:rPr>
        <w:t xml:space="preserve"> (see </w:t>
      </w:r>
      <w:r w:rsidR="000922C1" w:rsidRPr="00E676E1">
        <w:rPr>
          <w:rFonts w:asciiTheme="majorHAnsi" w:hAnsiTheme="majorHAnsi" w:cstheme="majorHAnsi"/>
        </w:rPr>
        <w:t>S</w:t>
      </w:r>
      <w:r w:rsidR="009A551C" w:rsidRPr="00E676E1">
        <w:rPr>
          <w:rFonts w:asciiTheme="majorHAnsi" w:hAnsiTheme="majorHAnsi" w:cstheme="majorHAnsi"/>
        </w:rPr>
        <w:t xml:space="preserve">upplementary </w:t>
      </w:r>
      <w:r w:rsidR="009040E1" w:rsidRPr="00E676E1">
        <w:rPr>
          <w:rFonts w:asciiTheme="majorHAnsi" w:hAnsiTheme="majorHAnsi" w:cstheme="majorHAnsi"/>
        </w:rPr>
        <w:t xml:space="preserve">Information </w:t>
      </w:r>
      <w:r w:rsidR="000922C1" w:rsidRPr="00E676E1">
        <w:rPr>
          <w:rFonts w:asciiTheme="majorHAnsi" w:hAnsiTheme="majorHAnsi" w:cstheme="majorHAnsi"/>
        </w:rPr>
        <w:t>3</w:t>
      </w:r>
      <w:r w:rsidR="009A551C" w:rsidRPr="00E676E1">
        <w:rPr>
          <w:rFonts w:asciiTheme="majorHAnsi" w:hAnsiTheme="majorHAnsi" w:cstheme="majorHAnsi"/>
        </w:rPr>
        <w:t xml:space="preserve"> for list</w:t>
      </w:r>
      <w:r w:rsidR="005E2686" w:rsidRPr="00E676E1">
        <w:rPr>
          <w:rFonts w:asciiTheme="majorHAnsi" w:hAnsiTheme="majorHAnsi" w:cstheme="majorHAnsi"/>
        </w:rPr>
        <w:t xml:space="preserve"> of sites</w:t>
      </w:r>
      <w:r w:rsidR="004F69B7" w:rsidRPr="00E676E1">
        <w:rPr>
          <w:rFonts w:asciiTheme="majorHAnsi" w:hAnsiTheme="majorHAnsi" w:cstheme="majorHAnsi"/>
        </w:rPr>
        <w:t>).</w:t>
      </w:r>
      <w:r w:rsidR="009B50B3" w:rsidRPr="00E676E1">
        <w:rPr>
          <w:rFonts w:asciiTheme="majorHAnsi" w:hAnsiTheme="majorHAnsi" w:cstheme="majorHAnsi"/>
        </w:rPr>
        <w:t xml:space="preserve"> </w:t>
      </w:r>
      <w:r w:rsidR="00CB0762" w:rsidRPr="00E676E1">
        <w:rPr>
          <w:rFonts w:asciiTheme="majorHAnsi" w:hAnsiTheme="majorHAnsi" w:cstheme="majorHAnsi"/>
        </w:rPr>
        <w:t>Sites</w:t>
      </w:r>
      <w:r w:rsidR="004F69B7" w:rsidRPr="00E676E1">
        <w:rPr>
          <w:rFonts w:asciiTheme="majorHAnsi" w:hAnsiTheme="majorHAnsi" w:cstheme="majorHAnsi"/>
        </w:rPr>
        <w:t xml:space="preserve"> included </w:t>
      </w:r>
      <w:r w:rsidR="00CB0762" w:rsidRPr="00E676E1">
        <w:rPr>
          <w:rFonts w:asciiTheme="majorHAnsi" w:hAnsiTheme="majorHAnsi" w:cstheme="majorHAnsi"/>
        </w:rPr>
        <w:t xml:space="preserve">both </w:t>
      </w:r>
      <w:r w:rsidR="004F69B7" w:rsidRPr="00E676E1">
        <w:rPr>
          <w:rFonts w:asciiTheme="majorHAnsi" w:hAnsiTheme="majorHAnsi" w:cstheme="majorHAnsi"/>
        </w:rPr>
        <w:t>general hospitals a</w:t>
      </w:r>
      <w:r w:rsidR="00CB0762" w:rsidRPr="00E676E1">
        <w:rPr>
          <w:rFonts w:asciiTheme="majorHAnsi" w:hAnsiTheme="majorHAnsi" w:cstheme="majorHAnsi"/>
        </w:rPr>
        <w:t>nd regional</w:t>
      </w:r>
      <w:r w:rsidR="004F69B7" w:rsidRPr="00E676E1">
        <w:rPr>
          <w:rFonts w:asciiTheme="majorHAnsi" w:hAnsiTheme="majorHAnsi" w:cstheme="majorHAnsi"/>
        </w:rPr>
        <w:t xml:space="preserve"> IBD centres.</w:t>
      </w:r>
      <w:r w:rsidRPr="00E676E1">
        <w:rPr>
          <w:rFonts w:asciiTheme="majorHAnsi" w:hAnsiTheme="majorHAnsi" w:cstheme="majorHAnsi"/>
        </w:rPr>
        <w:t xml:space="preserve"> </w:t>
      </w:r>
    </w:p>
    <w:p w14:paraId="577AA5BD" w14:textId="1CA310A3" w:rsidR="00961860" w:rsidRPr="00E676E1" w:rsidRDefault="00CB0762" w:rsidP="00961860">
      <w:pPr>
        <w:spacing w:line="480" w:lineRule="auto"/>
        <w:rPr>
          <w:rFonts w:asciiTheme="majorHAnsi" w:eastAsiaTheme="minorHAnsi" w:hAnsiTheme="majorHAnsi" w:cstheme="majorHAnsi"/>
          <w:color w:val="000000"/>
          <w:lang w:eastAsia="en-US"/>
        </w:rPr>
      </w:pPr>
      <w:bookmarkStart w:id="2" w:name="_Hlk127688384"/>
      <w:r w:rsidRPr="00E676E1">
        <w:rPr>
          <w:rFonts w:asciiTheme="majorHAnsi" w:hAnsiTheme="majorHAnsi" w:cstheme="majorHAnsi"/>
          <w:color w:val="1C1D1E"/>
          <w:shd w:val="clear" w:color="auto" w:fill="FFFFFF"/>
        </w:rPr>
        <w:t>C</w:t>
      </w:r>
      <w:r w:rsidR="001D7F11" w:rsidRPr="00E676E1">
        <w:rPr>
          <w:rFonts w:asciiTheme="majorHAnsi" w:hAnsiTheme="majorHAnsi" w:cstheme="majorHAnsi"/>
          <w:color w:val="1C1D1E"/>
          <w:shd w:val="clear" w:color="auto" w:fill="FFFFFF"/>
        </w:rPr>
        <w:t xml:space="preserve">onsecutive </w:t>
      </w:r>
      <w:r w:rsidR="00042029" w:rsidRPr="00E676E1">
        <w:rPr>
          <w:rFonts w:asciiTheme="majorHAnsi" w:hAnsiTheme="majorHAnsi" w:cstheme="majorHAnsi"/>
          <w:color w:val="1C1D1E"/>
          <w:shd w:val="clear" w:color="auto" w:fill="FFFFFF"/>
        </w:rPr>
        <w:t xml:space="preserve">patients with a confirmed diagnosis of IBD </w:t>
      </w:r>
      <w:bookmarkEnd w:id="2"/>
      <w:r w:rsidR="00D5780A" w:rsidRPr="00E676E1">
        <w:rPr>
          <w:rFonts w:asciiTheme="majorHAnsi" w:hAnsiTheme="majorHAnsi" w:cstheme="majorHAnsi"/>
          <w:color w:val="1C1D1E"/>
          <w:shd w:val="clear" w:color="auto" w:fill="FFFFFF"/>
        </w:rPr>
        <w:t>reviewed</w:t>
      </w:r>
      <w:r w:rsidR="00042029" w:rsidRPr="00E676E1">
        <w:rPr>
          <w:rFonts w:asciiTheme="majorHAnsi" w:hAnsiTheme="majorHAnsi" w:cstheme="majorHAnsi"/>
          <w:color w:val="1C1D1E"/>
          <w:shd w:val="clear" w:color="auto" w:fill="FFFFFF"/>
        </w:rPr>
        <w:t xml:space="preserve"> in </w:t>
      </w:r>
      <w:r w:rsidR="00042029" w:rsidRPr="00E676E1">
        <w:rPr>
          <w:rFonts w:asciiTheme="majorHAnsi" w:hAnsiTheme="majorHAnsi" w:cstheme="majorHAnsi"/>
        </w:rPr>
        <w:t>gastroenterology</w:t>
      </w:r>
      <w:r w:rsidRPr="00E676E1">
        <w:rPr>
          <w:rFonts w:asciiTheme="majorHAnsi" w:hAnsiTheme="majorHAnsi" w:cstheme="majorHAnsi"/>
        </w:rPr>
        <w:t xml:space="preserve"> and </w:t>
      </w:r>
      <w:r w:rsidR="00042029" w:rsidRPr="00E676E1">
        <w:rPr>
          <w:rFonts w:asciiTheme="majorHAnsi" w:hAnsiTheme="majorHAnsi" w:cstheme="majorHAnsi"/>
        </w:rPr>
        <w:t xml:space="preserve">IBD clinics </w:t>
      </w:r>
      <w:r w:rsidR="00331400" w:rsidRPr="00E676E1">
        <w:rPr>
          <w:rFonts w:asciiTheme="majorHAnsi" w:hAnsiTheme="majorHAnsi" w:cstheme="majorHAnsi"/>
        </w:rPr>
        <w:t xml:space="preserve">between October 2021 and March 2022 </w:t>
      </w:r>
      <w:r w:rsidRPr="00E676E1">
        <w:rPr>
          <w:rFonts w:asciiTheme="majorHAnsi" w:hAnsiTheme="majorHAnsi" w:cstheme="majorHAnsi"/>
        </w:rPr>
        <w:t xml:space="preserve">were included. </w:t>
      </w:r>
      <w:r w:rsidR="00961860" w:rsidRPr="00E676E1">
        <w:rPr>
          <w:rFonts w:asciiTheme="majorHAnsi" w:hAnsiTheme="majorHAnsi" w:cstheme="majorHAnsi"/>
        </w:rPr>
        <w:t>Patient demographics, IBD-related information and details of opioid-</w:t>
      </w:r>
      <w:r w:rsidR="00AE41CC" w:rsidRPr="00E676E1">
        <w:rPr>
          <w:rFonts w:asciiTheme="majorHAnsi" w:hAnsiTheme="majorHAnsi" w:cstheme="majorHAnsi"/>
        </w:rPr>
        <w:t xml:space="preserve">use </w:t>
      </w:r>
      <w:r w:rsidR="00961860" w:rsidRPr="00E676E1">
        <w:rPr>
          <w:rFonts w:asciiTheme="majorHAnsi" w:hAnsiTheme="majorHAnsi" w:cstheme="majorHAnsi"/>
        </w:rPr>
        <w:t xml:space="preserve">were obtained (see Supplementary </w:t>
      </w:r>
      <w:r w:rsidR="009040E1" w:rsidRPr="00E676E1">
        <w:rPr>
          <w:rFonts w:asciiTheme="majorHAnsi" w:hAnsiTheme="majorHAnsi" w:cstheme="majorHAnsi"/>
        </w:rPr>
        <w:t>Information</w:t>
      </w:r>
      <w:r w:rsidR="007F11DB" w:rsidRPr="00E676E1">
        <w:rPr>
          <w:rFonts w:asciiTheme="majorHAnsi" w:hAnsiTheme="majorHAnsi" w:cstheme="majorHAnsi"/>
        </w:rPr>
        <w:t xml:space="preserve"> </w:t>
      </w:r>
      <w:r w:rsidR="00961860" w:rsidRPr="00E676E1">
        <w:rPr>
          <w:rFonts w:asciiTheme="majorHAnsi" w:hAnsiTheme="majorHAnsi" w:cstheme="majorHAnsi"/>
        </w:rPr>
        <w:t>1). Additional details were obtained from those with more than 2 weeks of opioid</w:t>
      </w:r>
      <w:r w:rsidR="007F11DB" w:rsidRPr="00E676E1">
        <w:rPr>
          <w:rFonts w:asciiTheme="majorHAnsi" w:hAnsiTheme="majorHAnsi" w:cstheme="majorHAnsi"/>
        </w:rPr>
        <w:t>-</w:t>
      </w:r>
      <w:r w:rsidR="00AE41CC" w:rsidRPr="00E676E1">
        <w:rPr>
          <w:rFonts w:asciiTheme="majorHAnsi" w:hAnsiTheme="majorHAnsi" w:cstheme="majorHAnsi"/>
        </w:rPr>
        <w:t>use</w:t>
      </w:r>
      <w:r w:rsidR="00961860" w:rsidRPr="00E676E1">
        <w:rPr>
          <w:rFonts w:asciiTheme="majorHAnsi" w:hAnsiTheme="majorHAnsi" w:cstheme="majorHAnsi"/>
        </w:rPr>
        <w:t xml:space="preserve"> in the previous 12 months, including </w:t>
      </w:r>
      <w:r w:rsidR="00AE41CC" w:rsidRPr="00E676E1">
        <w:rPr>
          <w:rFonts w:asciiTheme="majorHAnsi" w:hAnsiTheme="majorHAnsi" w:cstheme="majorHAnsi"/>
        </w:rPr>
        <w:t xml:space="preserve">details of </w:t>
      </w:r>
      <w:r w:rsidR="00961860" w:rsidRPr="00E676E1">
        <w:rPr>
          <w:rFonts w:asciiTheme="majorHAnsi" w:hAnsiTheme="majorHAnsi" w:cstheme="majorHAnsi"/>
        </w:rPr>
        <w:t>opioid</w:t>
      </w:r>
      <w:r w:rsidR="00AE41CC" w:rsidRPr="00E676E1">
        <w:rPr>
          <w:rFonts w:asciiTheme="majorHAnsi" w:hAnsiTheme="majorHAnsi" w:cstheme="majorHAnsi"/>
        </w:rPr>
        <w:t xml:space="preserve"> used</w:t>
      </w:r>
      <w:r w:rsidR="00961860" w:rsidRPr="00E676E1">
        <w:rPr>
          <w:rFonts w:asciiTheme="majorHAnsi" w:hAnsiTheme="majorHAnsi" w:cstheme="majorHAnsi"/>
        </w:rPr>
        <w:t xml:space="preserve">, other analgesic use, comorbidities, disease activity, use of </w:t>
      </w:r>
      <w:r w:rsidR="000A2804" w:rsidRPr="00E676E1">
        <w:rPr>
          <w:rFonts w:asciiTheme="majorHAnsi" w:hAnsiTheme="majorHAnsi" w:cstheme="majorHAnsi"/>
        </w:rPr>
        <w:t>pain service</w:t>
      </w:r>
      <w:r w:rsidR="00961860" w:rsidRPr="00E676E1">
        <w:rPr>
          <w:rFonts w:asciiTheme="majorHAnsi" w:hAnsiTheme="majorHAnsi" w:cstheme="majorHAnsi"/>
        </w:rPr>
        <w:t xml:space="preserve">s and opioid </w:t>
      </w:r>
      <w:r w:rsidR="00DB1F4A" w:rsidRPr="00E676E1">
        <w:rPr>
          <w:rFonts w:asciiTheme="majorHAnsi" w:hAnsiTheme="majorHAnsi" w:cstheme="majorHAnsi"/>
        </w:rPr>
        <w:t>wean</w:t>
      </w:r>
      <w:r w:rsidR="00961860" w:rsidRPr="00E676E1">
        <w:rPr>
          <w:rFonts w:asciiTheme="majorHAnsi" w:hAnsiTheme="majorHAnsi" w:cstheme="majorHAnsi"/>
        </w:rPr>
        <w:t xml:space="preserve">ing attempts. </w:t>
      </w:r>
      <w:r w:rsidR="002E5D22" w:rsidRPr="00E676E1">
        <w:rPr>
          <w:rFonts w:asciiTheme="majorHAnsi" w:hAnsiTheme="majorHAnsi" w:cstheme="majorHAnsi"/>
        </w:rPr>
        <w:t xml:space="preserve">This data was collected from </w:t>
      </w:r>
      <w:r w:rsidR="00961860" w:rsidRPr="00E676E1">
        <w:rPr>
          <w:rFonts w:asciiTheme="majorHAnsi" w:hAnsiTheme="majorHAnsi" w:cstheme="majorHAnsi"/>
        </w:rPr>
        <w:t>interrogation of hospital issued prescriptions, general practice prescriptions</w:t>
      </w:r>
      <w:r w:rsidR="002E5D22" w:rsidRPr="00E676E1">
        <w:rPr>
          <w:rFonts w:asciiTheme="majorHAnsi" w:hAnsiTheme="majorHAnsi" w:cstheme="majorHAnsi"/>
        </w:rPr>
        <w:t>,</w:t>
      </w:r>
      <w:r w:rsidR="00961860" w:rsidRPr="00E676E1">
        <w:rPr>
          <w:rFonts w:asciiTheme="majorHAnsi" w:hAnsiTheme="majorHAnsi" w:cstheme="majorHAnsi"/>
        </w:rPr>
        <w:t xml:space="preserve"> clinic </w:t>
      </w:r>
      <w:r w:rsidR="00183845" w:rsidRPr="00E676E1">
        <w:rPr>
          <w:rFonts w:asciiTheme="majorHAnsi" w:hAnsiTheme="majorHAnsi" w:cstheme="majorHAnsi"/>
        </w:rPr>
        <w:t>records</w:t>
      </w:r>
      <w:r w:rsidR="00961860" w:rsidRPr="00E676E1">
        <w:rPr>
          <w:rFonts w:asciiTheme="majorHAnsi" w:hAnsiTheme="majorHAnsi" w:cstheme="majorHAnsi"/>
        </w:rPr>
        <w:t xml:space="preserve"> where available</w:t>
      </w:r>
      <w:r w:rsidR="009040E1" w:rsidRPr="00E676E1">
        <w:rPr>
          <w:rFonts w:asciiTheme="majorHAnsi" w:hAnsiTheme="majorHAnsi" w:cstheme="majorHAnsi"/>
        </w:rPr>
        <w:t>,</w:t>
      </w:r>
      <w:r w:rsidR="002E5D22" w:rsidRPr="00E676E1">
        <w:rPr>
          <w:rFonts w:asciiTheme="majorHAnsi" w:hAnsiTheme="majorHAnsi" w:cstheme="majorHAnsi"/>
        </w:rPr>
        <w:t xml:space="preserve"> and patient recall. </w:t>
      </w:r>
    </w:p>
    <w:p w14:paraId="7F9C9D5B" w14:textId="17352CB6" w:rsidR="007F0C17" w:rsidRPr="00E676E1" w:rsidRDefault="007F0C17" w:rsidP="00023E36">
      <w:pPr>
        <w:spacing w:line="480" w:lineRule="auto"/>
        <w:rPr>
          <w:rFonts w:asciiTheme="majorHAnsi" w:eastAsiaTheme="minorHAnsi" w:hAnsiTheme="majorHAnsi" w:cstheme="majorHAnsi"/>
          <w:color w:val="000000"/>
          <w:lang w:eastAsia="en-US"/>
        </w:rPr>
      </w:pPr>
    </w:p>
    <w:p w14:paraId="133AA4BB" w14:textId="5882A53B" w:rsidR="00D67054" w:rsidRPr="00E676E1" w:rsidRDefault="00CB0762" w:rsidP="003E0A70">
      <w:pPr>
        <w:spacing w:line="480" w:lineRule="auto"/>
        <w:rPr>
          <w:rFonts w:asciiTheme="majorHAnsi" w:hAnsiTheme="majorHAnsi" w:cstheme="majorHAnsi"/>
        </w:rPr>
      </w:pPr>
      <w:r w:rsidRPr="00E676E1">
        <w:rPr>
          <w:rFonts w:asciiTheme="majorHAnsi" w:hAnsiTheme="majorHAnsi" w:cstheme="majorHAnsi"/>
        </w:rPr>
        <w:lastRenderedPageBreak/>
        <w:t xml:space="preserve">Consecutive patients with a confirmed diagnosis of IBD </w:t>
      </w:r>
      <w:r w:rsidR="00DF1E45" w:rsidRPr="00E676E1">
        <w:rPr>
          <w:rFonts w:asciiTheme="majorHAnsi" w:hAnsiTheme="majorHAnsi" w:cstheme="majorHAnsi"/>
        </w:rPr>
        <w:t>and</w:t>
      </w:r>
      <w:r w:rsidRPr="00E676E1">
        <w:rPr>
          <w:rFonts w:asciiTheme="majorHAnsi" w:hAnsiTheme="majorHAnsi" w:cstheme="majorHAnsi"/>
        </w:rPr>
        <w:t xml:space="preserve"> an IBD-related admission </w:t>
      </w:r>
      <w:r w:rsidR="003021B8" w:rsidRPr="00E676E1">
        <w:rPr>
          <w:rFonts w:asciiTheme="majorHAnsi" w:hAnsiTheme="majorHAnsi" w:cstheme="majorHAnsi"/>
        </w:rPr>
        <w:t>comprise</w:t>
      </w:r>
      <w:r w:rsidR="00DF1E45" w:rsidRPr="00E676E1">
        <w:rPr>
          <w:rFonts w:asciiTheme="majorHAnsi" w:hAnsiTheme="majorHAnsi" w:cstheme="majorHAnsi"/>
        </w:rPr>
        <w:t>d</w:t>
      </w:r>
      <w:r w:rsidR="003021B8" w:rsidRPr="00E676E1">
        <w:rPr>
          <w:rFonts w:asciiTheme="majorHAnsi" w:hAnsiTheme="majorHAnsi" w:cstheme="majorHAnsi"/>
        </w:rPr>
        <w:t xml:space="preserve"> the inpatient cohort</w:t>
      </w:r>
      <w:r w:rsidR="00502EAB" w:rsidRPr="00E676E1">
        <w:rPr>
          <w:rFonts w:asciiTheme="majorHAnsi" w:hAnsiTheme="majorHAnsi" w:cstheme="majorHAnsi"/>
        </w:rPr>
        <w:t>;</w:t>
      </w:r>
      <w:r w:rsidR="0008573D" w:rsidRPr="00E676E1">
        <w:rPr>
          <w:rFonts w:asciiTheme="majorHAnsi" w:hAnsiTheme="majorHAnsi" w:cstheme="majorHAnsi"/>
        </w:rPr>
        <w:t xml:space="preserve"> </w:t>
      </w:r>
      <w:r w:rsidR="004E490D" w:rsidRPr="00E676E1">
        <w:rPr>
          <w:rFonts w:asciiTheme="majorHAnsi" w:hAnsiTheme="majorHAnsi" w:cstheme="majorHAnsi"/>
        </w:rPr>
        <w:t>t</w:t>
      </w:r>
      <w:r w:rsidR="006F0E12" w:rsidRPr="00E676E1">
        <w:rPr>
          <w:rFonts w:asciiTheme="majorHAnsi" w:hAnsiTheme="majorHAnsi" w:cstheme="majorHAnsi"/>
        </w:rPr>
        <w:t>wenty-five</w:t>
      </w:r>
      <w:r w:rsidR="0008573D" w:rsidRPr="00E676E1">
        <w:rPr>
          <w:rFonts w:asciiTheme="majorHAnsi" w:hAnsiTheme="majorHAnsi" w:cstheme="majorHAnsi"/>
        </w:rPr>
        <w:t xml:space="preserve"> consecutive admissions per site were included, </w:t>
      </w:r>
      <w:r w:rsidR="00A215A7" w:rsidRPr="00E676E1">
        <w:rPr>
          <w:rFonts w:asciiTheme="majorHAnsi" w:hAnsiTheme="majorHAnsi" w:cstheme="majorHAnsi"/>
        </w:rPr>
        <w:t xml:space="preserve">regardless of </w:t>
      </w:r>
      <w:r w:rsidR="00E676E1">
        <w:rPr>
          <w:rFonts w:asciiTheme="majorHAnsi" w:hAnsiTheme="majorHAnsi" w:cstheme="majorHAnsi"/>
        </w:rPr>
        <w:t>pre-admission opioid use</w:t>
      </w:r>
      <w:r w:rsidR="00A215A7" w:rsidRPr="00E676E1">
        <w:rPr>
          <w:rFonts w:asciiTheme="majorHAnsi" w:hAnsiTheme="majorHAnsi" w:cstheme="majorHAnsi"/>
          <w:color w:val="000000"/>
          <w:bdr w:val="none" w:sz="0" w:space="0" w:color="auto" w:frame="1"/>
        </w:rPr>
        <w:t xml:space="preserve">, </w:t>
      </w:r>
      <w:r w:rsidR="0008573D" w:rsidRPr="00E676E1">
        <w:rPr>
          <w:rFonts w:asciiTheme="majorHAnsi" w:hAnsiTheme="majorHAnsi" w:cstheme="majorHAnsi"/>
        </w:rPr>
        <w:t>w</w:t>
      </w:r>
      <w:r w:rsidR="00557DA7" w:rsidRPr="00E676E1">
        <w:rPr>
          <w:rFonts w:asciiTheme="majorHAnsi" w:hAnsiTheme="majorHAnsi" w:cstheme="majorHAnsi"/>
        </w:rPr>
        <w:t>orking</w:t>
      </w:r>
      <w:r w:rsidR="0008573D" w:rsidRPr="00E676E1">
        <w:rPr>
          <w:rFonts w:asciiTheme="majorHAnsi" w:hAnsiTheme="majorHAnsi" w:cstheme="majorHAnsi"/>
        </w:rPr>
        <w:t xml:space="preserve"> </w:t>
      </w:r>
      <w:r w:rsidR="00300C3C" w:rsidRPr="00E676E1">
        <w:rPr>
          <w:rFonts w:asciiTheme="majorHAnsi" w:hAnsiTheme="majorHAnsi" w:cstheme="majorHAnsi"/>
        </w:rPr>
        <w:t xml:space="preserve">backwards from </w:t>
      </w:r>
      <w:r w:rsidR="00C449BF" w:rsidRPr="00E676E1">
        <w:rPr>
          <w:rFonts w:asciiTheme="majorHAnsi" w:hAnsiTheme="majorHAnsi" w:cstheme="majorHAnsi"/>
        </w:rPr>
        <w:t>July 2019</w:t>
      </w:r>
      <w:r w:rsidR="003021B8" w:rsidRPr="00E676E1">
        <w:rPr>
          <w:rFonts w:asciiTheme="majorHAnsi" w:hAnsiTheme="majorHAnsi" w:cstheme="majorHAnsi"/>
        </w:rPr>
        <w:t xml:space="preserve"> </w:t>
      </w:r>
      <w:r w:rsidR="00DF1E45" w:rsidRPr="00E676E1">
        <w:rPr>
          <w:rFonts w:asciiTheme="majorHAnsi" w:hAnsiTheme="majorHAnsi" w:cstheme="majorHAnsi"/>
        </w:rPr>
        <w:t>to</w:t>
      </w:r>
      <w:r w:rsidR="003021B8" w:rsidRPr="00E676E1">
        <w:rPr>
          <w:rFonts w:asciiTheme="majorHAnsi" w:hAnsiTheme="majorHAnsi" w:cstheme="majorHAnsi"/>
        </w:rPr>
        <w:t xml:space="preserve"> </w:t>
      </w:r>
      <w:r w:rsidR="00DF1E45" w:rsidRPr="00E676E1">
        <w:rPr>
          <w:rFonts w:asciiTheme="majorHAnsi" w:hAnsiTheme="majorHAnsi" w:cstheme="majorHAnsi"/>
        </w:rPr>
        <w:t>red</w:t>
      </w:r>
      <w:r w:rsidR="003021B8" w:rsidRPr="00E676E1">
        <w:rPr>
          <w:rFonts w:asciiTheme="majorHAnsi" w:hAnsiTheme="majorHAnsi" w:cstheme="majorHAnsi"/>
        </w:rPr>
        <w:t>u</w:t>
      </w:r>
      <w:r w:rsidR="00DF1E45" w:rsidRPr="00E676E1">
        <w:rPr>
          <w:rFonts w:asciiTheme="majorHAnsi" w:hAnsiTheme="majorHAnsi" w:cstheme="majorHAnsi"/>
        </w:rPr>
        <w:t>c</w:t>
      </w:r>
      <w:r w:rsidR="003021B8" w:rsidRPr="00E676E1">
        <w:rPr>
          <w:rFonts w:asciiTheme="majorHAnsi" w:hAnsiTheme="majorHAnsi" w:cstheme="majorHAnsi"/>
        </w:rPr>
        <w:t>e the impact of the COVID-19 pandemic on the analysis</w:t>
      </w:r>
      <w:r w:rsidR="00300C3C" w:rsidRPr="00E676E1">
        <w:rPr>
          <w:rFonts w:asciiTheme="majorHAnsi" w:hAnsiTheme="majorHAnsi" w:cstheme="majorHAnsi"/>
        </w:rPr>
        <w:t xml:space="preserve">. </w:t>
      </w:r>
      <w:r w:rsidR="00967535" w:rsidRPr="00E676E1">
        <w:rPr>
          <w:rFonts w:asciiTheme="majorHAnsi" w:hAnsiTheme="majorHAnsi" w:cstheme="majorHAnsi"/>
        </w:rPr>
        <w:t>Collected d</w:t>
      </w:r>
      <w:r w:rsidR="00300C3C" w:rsidRPr="00E676E1">
        <w:rPr>
          <w:rFonts w:asciiTheme="majorHAnsi" w:hAnsiTheme="majorHAnsi" w:cstheme="majorHAnsi"/>
        </w:rPr>
        <w:t xml:space="preserve">ata </w:t>
      </w:r>
      <w:r w:rsidR="003021B8" w:rsidRPr="00E676E1">
        <w:rPr>
          <w:rFonts w:asciiTheme="majorHAnsi" w:hAnsiTheme="majorHAnsi" w:cstheme="majorHAnsi"/>
        </w:rPr>
        <w:t>comprised</w:t>
      </w:r>
      <w:r w:rsidR="00300C3C" w:rsidRPr="00E676E1">
        <w:rPr>
          <w:rFonts w:asciiTheme="majorHAnsi" w:hAnsiTheme="majorHAnsi" w:cstheme="majorHAnsi"/>
        </w:rPr>
        <w:t xml:space="preserve"> basic demographics, </w:t>
      </w:r>
      <w:r w:rsidR="00C3320D" w:rsidRPr="00E676E1">
        <w:rPr>
          <w:rFonts w:asciiTheme="majorHAnsi" w:hAnsiTheme="majorHAnsi" w:cstheme="majorHAnsi"/>
        </w:rPr>
        <w:t>IBD</w:t>
      </w:r>
      <w:r w:rsidR="003021B8" w:rsidRPr="00E676E1">
        <w:rPr>
          <w:rFonts w:asciiTheme="majorHAnsi" w:hAnsiTheme="majorHAnsi" w:cstheme="majorHAnsi"/>
        </w:rPr>
        <w:t>-</w:t>
      </w:r>
      <w:r w:rsidR="00023780" w:rsidRPr="00E676E1">
        <w:rPr>
          <w:rFonts w:asciiTheme="majorHAnsi" w:hAnsiTheme="majorHAnsi" w:cstheme="majorHAnsi"/>
        </w:rPr>
        <w:t>related information</w:t>
      </w:r>
      <w:r w:rsidR="00C3320D" w:rsidRPr="00E676E1">
        <w:rPr>
          <w:rFonts w:asciiTheme="majorHAnsi" w:hAnsiTheme="majorHAnsi" w:cstheme="majorHAnsi"/>
        </w:rPr>
        <w:t>, pre-</w:t>
      </w:r>
      <w:r w:rsidR="001916C8" w:rsidRPr="00E676E1">
        <w:rPr>
          <w:rFonts w:asciiTheme="majorHAnsi" w:hAnsiTheme="majorHAnsi" w:cstheme="majorHAnsi"/>
        </w:rPr>
        <w:t>admission</w:t>
      </w:r>
      <w:r w:rsidR="00C3320D" w:rsidRPr="00E676E1">
        <w:rPr>
          <w:rFonts w:asciiTheme="majorHAnsi" w:hAnsiTheme="majorHAnsi" w:cstheme="majorHAnsi"/>
        </w:rPr>
        <w:t xml:space="preserve"> </w:t>
      </w:r>
      <w:r w:rsidR="00AD71E5" w:rsidRPr="00E676E1">
        <w:rPr>
          <w:rFonts w:asciiTheme="majorHAnsi" w:hAnsiTheme="majorHAnsi" w:cstheme="majorHAnsi"/>
        </w:rPr>
        <w:t>opioid-</w:t>
      </w:r>
      <w:r w:rsidR="006A4851" w:rsidRPr="00E676E1">
        <w:rPr>
          <w:rFonts w:asciiTheme="majorHAnsi" w:hAnsiTheme="majorHAnsi" w:cstheme="majorHAnsi"/>
        </w:rPr>
        <w:t>use</w:t>
      </w:r>
      <w:r w:rsidR="00C3320D" w:rsidRPr="00E676E1">
        <w:rPr>
          <w:rFonts w:asciiTheme="majorHAnsi" w:hAnsiTheme="majorHAnsi" w:cstheme="majorHAnsi"/>
        </w:rPr>
        <w:t xml:space="preserve">, </w:t>
      </w:r>
      <w:r w:rsidR="00023780" w:rsidRPr="00E676E1">
        <w:rPr>
          <w:rFonts w:asciiTheme="majorHAnsi" w:hAnsiTheme="majorHAnsi" w:cstheme="majorHAnsi"/>
        </w:rPr>
        <w:t>admission details</w:t>
      </w:r>
      <w:r w:rsidR="003021B8" w:rsidRPr="00E676E1">
        <w:rPr>
          <w:rFonts w:asciiTheme="majorHAnsi" w:hAnsiTheme="majorHAnsi" w:cstheme="majorHAnsi"/>
        </w:rPr>
        <w:t xml:space="preserve"> </w:t>
      </w:r>
      <w:r w:rsidR="00DF1E45" w:rsidRPr="00E676E1">
        <w:rPr>
          <w:rFonts w:asciiTheme="majorHAnsi" w:hAnsiTheme="majorHAnsi" w:cstheme="majorHAnsi"/>
        </w:rPr>
        <w:t>(</w:t>
      </w:r>
      <w:r w:rsidR="003021B8" w:rsidRPr="00E676E1">
        <w:rPr>
          <w:rFonts w:asciiTheme="majorHAnsi" w:hAnsiTheme="majorHAnsi" w:cstheme="majorHAnsi"/>
        </w:rPr>
        <w:t>including surgery</w:t>
      </w:r>
      <w:r w:rsidR="00DF1E45" w:rsidRPr="00E676E1">
        <w:rPr>
          <w:rFonts w:asciiTheme="majorHAnsi" w:hAnsiTheme="majorHAnsi" w:cstheme="majorHAnsi"/>
        </w:rPr>
        <w:t xml:space="preserve"> type)</w:t>
      </w:r>
      <w:r w:rsidR="007F11DB" w:rsidRPr="00E676E1">
        <w:rPr>
          <w:rFonts w:asciiTheme="majorHAnsi" w:hAnsiTheme="majorHAnsi" w:cstheme="majorHAnsi"/>
        </w:rPr>
        <w:t xml:space="preserve"> and </w:t>
      </w:r>
      <w:r w:rsidR="009F3C41" w:rsidRPr="00E676E1">
        <w:rPr>
          <w:rFonts w:asciiTheme="majorHAnsi" w:hAnsiTheme="majorHAnsi" w:cstheme="majorHAnsi"/>
        </w:rPr>
        <w:t xml:space="preserve">opioids prescribed </w:t>
      </w:r>
      <w:r w:rsidR="00EA1098" w:rsidRPr="00E676E1">
        <w:rPr>
          <w:rFonts w:asciiTheme="majorHAnsi" w:hAnsiTheme="majorHAnsi" w:cstheme="majorHAnsi"/>
        </w:rPr>
        <w:t>at</w:t>
      </w:r>
      <w:r w:rsidR="009F3C41" w:rsidRPr="00E676E1">
        <w:rPr>
          <w:rFonts w:asciiTheme="majorHAnsi" w:hAnsiTheme="majorHAnsi" w:cstheme="majorHAnsi"/>
        </w:rPr>
        <w:t xml:space="preserve"> hospital </w:t>
      </w:r>
      <w:r w:rsidR="00C3320D" w:rsidRPr="00E676E1">
        <w:rPr>
          <w:rFonts w:asciiTheme="majorHAnsi" w:hAnsiTheme="majorHAnsi" w:cstheme="majorHAnsi"/>
        </w:rPr>
        <w:t>discharge</w:t>
      </w:r>
      <w:r w:rsidR="007F11DB" w:rsidRPr="00E676E1">
        <w:rPr>
          <w:rFonts w:asciiTheme="majorHAnsi" w:hAnsiTheme="majorHAnsi" w:cstheme="majorHAnsi"/>
        </w:rPr>
        <w:t xml:space="preserve"> </w:t>
      </w:r>
      <w:r w:rsidR="004E490D" w:rsidRPr="00E676E1">
        <w:rPr>
          <w:rFonts w:asciiTheme="majorHAnsi" w:hAnsiTheme="majorHAnsi" w:cstheme="majorHAnsi"/>
        </w:rPr>
        <w:t xml:space="preserve">(see Supplementary </w:t>
      </w:r>
      <w:r w:rsidR="009040E1" w:rsidRPr="00E676E1">
        <w:rPr>
          <w:rFonts w:asciiTheme="majorHAnsi" w:hAnsiTheme="majorHAnsi" w:cstheme="majorHAnsi"/>
        </w:rPr>
        <w:t>Information</w:t>
      </w:r>
      <w:r w:rsidR="004E490D" w:rsidRPr="00E676E1">
        <w:rPr>
          <w:rFonts w:asciiTheme="majorHAnsi" w:hAnsiTheme="majorHAnsi" w:cstheme="majorHAnsi"/>
        </w:rPr>
        <w:t xml:space="preserve"> 2)</w:t>
      </w:r>
      <w:r w:rsidR="003021B8" w:rsidRPr="00E676E1">
        <w:rPr>
          <w:rFonts w:asciiTheme="majorHAnsi" w:hAnsiTheme="majorHAnsi" w:cstheme="majorHAnsi"/>
        </w:rPr>
        <w:t>.</w:t>
      </w:r>
      <w:r w:rsidR="001916C8" w:rsidRPr="00E676E1">
        <w:rPr>
          <w:rFonts w:asciiTheme="majorHAnsi" w:hAnsiTheme="majorHAnsi" w:cstheme="majorHAnsi"/>
        </w:rPr>
        <w:t xml:space="preserve"> </w:t>
      </w:r>
      <w:r w:rsidR="006A4851" w:rsidRPr="00E676E1">
        <w:rPr>
          <w:rFonts w:asciiTheme="majorHAnsi" w:hAnsiTheme="majorHAnsi" w:cstheme="majorHAnsi"/>
        </w:rPr>
        <w:t>Further d</w:t>
      </w:r>
      <w:r w:rsidR="009F3C41" w:rsidRPr="00E676E1">
        <w:rPr>
          <w:rFonts w:asciiTheme="majorHAnsi" w:hAnsiTheme="majorHAnsi" w:cstheme="majorHAnsi"/>
        </w:rPr>
        <w:t xml:space="preserve">ata </w:t>
      </w:r>
      <w:r w:rsidR="006A4851" w:rsidRPr="00E676E1">
        <w:rPr>
          <w:rFonts w:asciiTheme="majorHAnsi" w:hAnsiTheme="majorHAnsi" w:cstheme="majorHAnsi"/>
        </w:rPr>
        <w:t xml:space="preserve">was collected at 3-6 months and 12 months </w:t>
      </w:r>
      <w:r w:rsidR="003021B8" w:rsidRPr="00E676E1">
        <w:rPr>
          <w:rFonts w:asciiTheme="majorHAnsi" w:hAnsiTheme="majorHAnsi" w:cstheme="majorHAnsi"/>
        </w:rPr>
        <w:t>regarding</w:t>
      </w:r>
      <w:r w:rsidR="00023780" w:rsidRPr="00E676E1">
        <w:rPr>
          <w:rFonts w:asciiTheme="majorHAnsi" w:hAnsiTheme="majorHAnsi" w:cstheme="majorHAnsi"/>
        </w:rPr>
        <w:t xml:space="preserve"> </w:t>
      </w:r>
      <w:r w:rsidR="006A4851" w:rsidRPr="00E676E1">
        <w:rPr>
          <w:rFonts w:asciiTheme="majorHAnsi" w:hAnsiTheme="majorHAnsi" w:cstheme="majorHAnsi"/>
        </w:rPr>
        <w:t xml:space="preserve">follow up, ongoing opioid use, weaning plans, pain service referral and physician global assessment of disease severity. </w:t>
      </w:r>
    </w:p>
    <w:p w14:paraId="673D69E3" w14:textId="66C1C559" w:rsidR="00D67054" w:rsidRPr="00E676E1" w:rsidRDefault="00D67054" w:rsidP="00D937F2">
      <w:pPr>
        <w:spacing w:line="480" w:lineRule="auto"/>
        <w:rPr>
          <w:rFonts w:asciiTheme="majorHAnsi" w:hAnsiTheme="majorHAnsi" w:cstheme="majorHAnsi"/>
        </w:rPr>
      </w:pPr>
      <w:r w:rsidRPr="00E676E1">
        <w:rPr>
          <w:rFonts w:asciiTheme="majorHAnsi" w:hAnsiTheme="majorHAnsi" w:cstheme="majorHAnsi"/>
          <w:i/>
          <w:iCs/>
          <w:sz w:val="28"/>
          <w:szCs w:val="28"/>
        </w:rPr>
        <w:t>Definition of terms</w:t>
      </w:r>
    </w:p>
    <w:p w14:paraId="06B2C517" w14:textId="3FA71EF7" w:rsidR="00FB7663" w:rsidRPr="00E676E1" w:rsidRDefault="001916C8" w:rsidP="00D937F2">
      <w:pPr>
        <w:spacing w:line="480" w:lineRule="auto"/>
        <w:rPr>
          <w:rFonts w:asciiTheme="majorHAnsi" w:hAnsiTheme="majorHAnsi" w:cstheme="majorHAnsi"/>
        </w:rPr>
      </w:pPr>
      <w:r w:rsidRPr="00E676E1">
        <w:rPr>
          <w:rFonts w:asciiTheme="majorHAnsi" w:hAnsiTheme="majorHAnsi" w:cstheme="majorHAnsi"/>
        </w:rPr>
        <w:t>“</w:t>
      </w:r>
      <w:r w:rsidR="0096264E" w:rsidRPr="00E676E1">
        <w:rPr>
          <w:rFonts w:asciiTheme="majorHAnsi" w:hAnsiTheme="majorHAnsi" w:cstheme="majorHAnsi"/>
        </w:rPr>
        <w:t>Weak</w:t>
      </w:r>
      <w:r w:rsidR="00427E63" w:rsidRPr="00E676E1">
        <w:rPr>
          <w:rFonts w:asciiTheme="majorHAnsi" w:hAnsiTheme="majorHAnsi" w:cstheme="majorHAnsi"/>
        </w:rPr>
        <w:t xml:space="preserve"> opioids</w:t>
      </w:r>
      <w:r w:rsidRPr="00E676E1">
        <w:rPr>
          <w:rFonts w:asciiTheme="majorHAnsi" w:hAnsiTheme="majorHAnsi" w:cstheme="majorHAnsi"/>
        </w:rPr>
        <w:t>”</w:t>
      </w:r>
      <w:r w:rsidR="00427E63" w:rsidRPr="00E676E1">
        <w:rPr>
          <w:rFonts w:asciiTheme="majorHAnsi" w:hAnsiTheme="majorHAnsi" w:cstheme="majorHAnsi"/>
        </w:rPr>
        <w:t xml:space="preserve"> </w:t>
      </w:r>
      <w:r w:rsidR="00502EAB" w:rsidRPr="00E676E1">
        <w:rPr>
          <w:rFonts w:asciiTheme="majorHAnsi" w:hAnsiTheme="majorHAnsi" w:cstheme="majorHAnsi"/>
        </w:rPr>
        <w:t>included</w:t>
      </w:r>
      <w:r w:rsidR="00427E63" w:rsidRPr="00E676E1">
        <w:rPr>
          <w:rFonts w:asciiTheme="majorHAnsi" w:hAnsiTheme="majorHAnsi" w:cstheme="majorHAnsi"/>
        </w:rPr>
        <w:t xml:space="preserve"> </w:t>
      </w:r>
      <w:r w:rsidR="0096264E" w:rsidRPr="00E676E1">
        <w:rPr>
          <w:rFonts w:asciiTheme="majorHAnsi" w:hAnsiTheme="majorHAnsi" w:cstheme="majorHAnsi"/>
        </w:rPr>
        <w:t>codeine</w:t>
      </w:r>
      <w:r w:rsidR="00776204" w:rsidRPr="00E676E1">
        <w:rPr>
          <w:rFonts w:asciiTheme="majorHAnsi" w:hAnsiTheme="majorHAnsi" w:cstheme="majorHAnsi"/>
        </w:rPr>
        <w:t xml:space="preserve"> and </w:t>
      </w:r>
      <w:r w:rsidR="009A551C" w:rsidRPr="00E676E1">
        <w:rPr>
          <w:rFonts w:asciiTheme="majorHAnsi" w:hAnsiTheme="majorHAnsi" w:cstheme="majorHAnsi"/>
        </w:rPr>
        <w:t xml:space="preserve">dihydrocodeine </w:t>
      </w:r>
      <w:r w:rsidR="00776204" w:rsidRPr="00E676E1">
        <w:rPr>
          <w:rFonts w:asciiTheme="majorHAnsi" w:hAnsiTheme="majorHAnsi" w:cstheme="majorHAnsi"/>
        </w:rPr>
        <w:t>with or without paracetamol</w:t>
      </w:r>
      <w:r w:rsidR="0096264E" w:rsidRPr="00E676E1">
        <w:rPr>
          <w:rFonts w:asciiTheme="majorHAnsi" w:hAnsiTheme="majorHAnsi" w:cstheme="majorHAnsi"/>
        </w:rPr>
        <w:t xml:space="preserve"> and “</w:t>
      </w:r>
      <w:r w:rsidR="0011718F" w:rsidRPr="00E676E1">
        <w:rPr>
          <w:rFonts w:asciiTheme="majorHAnsi" w:hAnsiTheme="majorHAnsi" w:cstheme="majorHAnsi"/>
        </w:rPr>
        <w:t>s</w:t>
      </w:r>
      <w:r w:rsidR="0096264E" w:rsidRPr="00E676E1">
        <w:rPr>
          <w:rFonts w:asciiTheme="majorHAnsi" w:hAnsiTheme="majorHAnsi" w:cstheme="majorHAnsi"/>
        </w:rPr>
        <w:t xml:space="preserve">trong opioids” </w:t>
      </w:r>
      <w:r w:rsidR="00502EAB" w:rsidRPr="00E676E1">
        <w:rPr>
          <w:rFonts w:asciiTheme="majorHAnsi" w:hAnsiTheme="majorHAnsi" w:cstheme="majorHAnsi"/>
        </w:rPr>
        <w:t>were</w:t>
      </w:r>
      <w:r w:rsidR="0096264E" w:rsidRPr="00E676E1">
        <w:rPr>
          <w:rFonts w:asciiTheme="majorHAnsi" w:hAnsiTheme="majorHAnsi" w:cstheme="majorHAnsi"/>
        </w:rPr>
        <w:t xml:space="preserve"> all other </w:t>
      </w:r>
      <w:r w:rsidR="00427E63" w:rsidRPr="00E676E1">
        <w:rPr>
          <w:rFonts w:asciiTheme="majorHAnsi" w:hAnsiTheme="majorHAnsi" w:cstheme="majorHAnsi"/>
        </w:rPr>
        <w:t>opioid</w:t>
      </w:r>
      <w:r w:rsidR="0096264E" w:rsidRPr="00E676E1">
        <w:rPr>
          <w:rFonts w:asciiTheme="majorHAnsi" w:hAnsiTheme="majorHAnsi" w:cstheme="majorHAnsi"/>
        </w:rPr>
        <w:t xml:space="preserve"> </w:t>
      </w:r>
      <w:r w:rsidR="009A551C" w:rsidRPr="00E676E1">
        <w:rPr>
          <w:rFonts w:asciiTheme="majorHAnsi" w:hAnsiTheme="majorHAnsi" w:cstheme="majorHAnsi"/>
        </w:rPr>
        <w:t>medication</w:t>
      </w:r>
      <w:r w:rsidR="0096264E" w:rsidRPr="00E676E1">
        <w:rPr>
          <w:rFonts w:asciiTheme="majorHAnsi" w:hAnsiTheme="majorHAnsi" w:cstheme="majorHAnsi"/>
        </w:rPr>
        <w:t>s</w:t>
      </w:r>
      <w:r w:rsidR="00967535" w:rsidRPr="00E676E1">
        <w:rPr>
          <w:rFonts w:asciiTheme="majorHAnsi" w:hAnsiTheme="majorHAnsi" w:cstheme="majorHAnsi"/>
        </w:rPr>
        <w:t xml:space="preserve">, </w:t>
      </w:r>
      <w:r w:rsidR="003021B8" w:rsidRPr="00E676E1">
        <w:rPr>
          <w:rFonts w:asciiTheme="majorHAnsi" w:hAnsiTheme="majorHAnsi" w:cstheme="majorHAnsi"/>
        </w:rPr>
        <w:t xml:space="preserve">including </w:t>
      </w:r>
      <w:r w:rsidR="003E0A70" w:rsidRPr="00E676E1">
        <w:rPr>
          <w:rFonts w:asciiTheme="majorHAnsi" w:hAnsiTheme="majorHAnsi" w:cstheme="majorHAnsi"/>
        </w:rPr>
        <w:t>t</w:t>
      </w:r>
      <w:r w:rsidR="00967535" w:rsidRPr="00E676E1">
        <w:rPr>
          <w:rFonts w:asciiTheme="majorHAnsi" w:hAnsiTheme="majorHAnsi" w:cstheme="majorHAnsi"/>
        </w:rPr>
        <w:t xml:space="preserve">ramadol, </w:t>
      </w:r>
      <w:r w:rsidR="003E0A70" w:rsidRPr="00E676E1">
        <w:rPr>
          <w:rFonts w:asciiTheme="majorHAnsi" w:hAnsiTheme="majorHAnsi" w:cstheme="majorHAnsi"/>
        </w:rPr>
        <w:t>m</w:t>
      </w:r>
      <w:r w:rsidR="00967535" w:rsidRPr="00E676E1">
        <w:rPr>
          <w:rFonts w:asciiTheme="majorHAnsi" w:hAnsiTheme="majorHAnsi" w:cstheme="majorHAnsi"/>
        </w:rPr>
        <w:t xml:space="preserve">orphine and </w:t>
      </w:r>
      <w:r w:rsidR="003E0A70" w:rsidRPr="00E676E1">
        <w:rPr>
          <w:rFonts w:asciiTheme="majorHAnsi" w:hAnsiTheme="majorHAnsi" w:cstheme="majorHAnsi"/>
        </w:rPr>
        <w:t>f</w:t>
      </w:r>
      <w:r w:rsidR="00967535" w:rsidRPr="00E676E1">
        <w:rPr>
          <w:rFonts w:asciiTheme="majorHAnsi" w:hAnsiTheme="majorHAnsi" w:cstheme="majorHAnsi"/>
        </w:rPr>
        <w:t>entanyl</w:t>
      </w:r>
      <w:r w:rsidR="0028160E" w:rsidRPr="00E676E1">
        <w:rPr>
          <w:rFonts w:asciiTheme="majorHAnsi" w:hAnsiTheme="majorHAnsi" w:cstheme="majorHAnsi"/>
        </w:rPr>
        <w:t>,</w:t>
      </w:r>
      <w:r w:rsidR="00967535" w:rsidRPr="00E676E1">
        <w:rPr>
          <w:rFonts w:asciiTheme="majorHAnsi" w:hAnsiTheme="majorHAnsi" w:cstheme="majorHAnsi"/>
        </w:rPr>
        <w:t xml:space="preserve"> in line with </w:t>
      </w:r>
      <w:r w:rsidR="0028160E" w:rsidRPr="00E676E1">
        <w:rPr>
          <w:rFonts w:asciiTheme="majorHAnsi" w:hAnsiTheme="majorHAnsi" w:cstheme="majorHAnsi"/>
        </w:rPr>
        <w:t xml:space="preserve">The Misuse of Drugs Regulations 2001 and </w:t>
      </w:r>
      <w:r w:rsidR="00967535" w:rsidRPr="00E676E1">
        <w:rPr>
          <w:rFonts w:asciiTheme="majorHAnsi" w:hAnsiTheme="majorHAnsi" w:cstheme="majorHAnsi"/>
        </w:rPr>
        <w:t>British National Formulary definitions</w:t>
      </w:r>
      <w:r w:rsidR="003021B8" w:rsidRPr="00E676E1">
        <w:rPr>
          <w:rFonts w:asciiTheme="majorHAnsi" w:hAnsiTheme="majorHAnsi" w:cstheme="majorHAnsi"/>
        </w:rPr>
        <w:t>.</w:t>
      </w:r>
      <w:r w:rsidR="0028160E" w:rsidRPr="00E676E1">
        <w:rPr>
          <w:rFonts w:asciiTheme="majorHAnsi" w:hAnsiTheme="majorHAnsi" w:cstheme="majorHAnsi"/>
          <w:vertAlign w:val="superscript"/>
        </w:rPr>
        <w:fldChar w:fldCharType="begin"/>
      </w:r>
      <w:r w:rsidR="003910A3" w:rsidRPr="00E676E1">
        <w:rPr>
          <w:rFonts w:asciiTheme="majorHAnsi" w:hAnsiTheme="majorHAnsi" w:cstheme="majorHAnsi"/>
          <w:vertAlign w:val="superscript"/>
        </w:rPr>
        <w:instrText xml:space="preserve"> ADDIN ZOTERO_ITEM CSL_CITATION {"citationID":"kxP5Edej","properties":{"formattedCitation":"\\super 16\\nosupersub{}","plainCitation":"16","noteIndex":0},"citationItems":[{"id":17146,"uris":["http://zotero.org/users/5360735/items/M3QXRKI4"],"itemData":{"id":17146,"type":"book","publisher":"London: BMJ Group and Pharmaceutical Press","title":"British National Formulary (online)","URL":"http://www.medicinescomplete.com","author":[{"family":"Joint Formulary Committee","given":""}],"accessed":{"date-parts":[["2022",10,6]]}}}],"schema":"https://github.com/citation-style-language/schema/raw/master/csl-citation.json"} </w:instrText>
      </w:r>
      <w:r w:rsidR="0028160E" w:rsidRPr="00E676E1">
        <w:rPr>
          <w:rFonts w:asciiTheme="majorHAnsi" w:hAnsiTheme="majorHAnsi" w:cstheme="majorHAnsi"/>
          <w:vertAlign w:val="superscript"/>
        </w:rPr>
        <w:fldChar w:fldCharType="separate"/>
      </w:r>
      <w:r w:rsidR="003910A3" w:rsidRPr="00E676E1">
        <w:rPr>
          <w:rFonts w:ascii="Calibri Light" w:hAnsiTheme="majorHAnsi" w:cs="Calibri Light"/>
          <w:vertAlign w:val="superscript"/>
        </w:rPr>
        <w:t>16</w:t>
      </w:r>
      <w:r w:rsidR="0028160E" w:rsidRPr="00E676E1">
        <w:rPr>
          <w:rFonts w:asciiTheme="majorHAnsi" w:hAnsiTheme="majorHAnsi" w:cstheme="majorHAnsi"/>
          <w:vertAlign w:val="superscript"/>
        </w:rPr>
        <w:fldChar w:fldCharType="end"/>
      </w:r>
      <w:r w:rsidR="0028160E" w:rsidRPr="00E676E1">
        <w:rPr>
          <w:rFonts w:asciiTheme="majorHAnsi" w:hAnsiTheme="majorHAnsi" w:cstheme="majorHAnsi"/>
          <w:vertAlign w:val="superscript"/>
        </w:rPr>
        <w:t>,</w:t>
      </w:r>
      <w:r w:rsidR="0028160E" w:rsidRPr="00E676E1">
        <w:rPr>
          <w:rFonts w:asciiTheme="majorHAnsi" w:hAnsiTheme="majorHAnsi" w:cstheme="majorHAnsi"/>
          <w:vertAlign w:val="superscript"/>
        </w:rPr>
        <w:fldChar w:fldCharType="begin"/>
      </w:r>
      <w:r w:rsidR="003910A3" w:rsidRPr="00E676E1">
        <w:rPr>
          <w:rFonts w:asciiTheme="majorHAnsi" w:hAnsiTheme="majorHAnsi" w:cstheme="majorHAnsi"/>
          <w:vertAlign w:val="superscript"/>
        </w:rPr>
        <w:instrText xml:space="preserve"> ADDIN ZOTERO_ITEM CSL_CITATION {"citationID":"BpcPDa6X","properties":{"formattedCitation":"\\super 17\\nosupersub{}","plainCitation":"17","noteIndex":0},"citationItems":[{"id":17144,"uris":["http://zotero.org/users/5360735/items/YK6QCLS2"],"itemData":{"id":17144,"type":"report","collection-title":"Controlled drugs and drug dependence","title":"The Misuse of Drugs Regulations 2001. [online]","URL":"http://www.legislation.gov.uk/uksi/2001/3998/contents/made","author":[{"family":"Legislation.gov.uk","given":""}],"accessed":{"date-parts":[["2022",10,6]]},"issued":{"date-parts":[["2018"]]}}}],"schema":"https://github.com/citation-style-language/schema/raw/master/csl-citation.json"} </w:instrText>
      </w:r>
      <w:r w:rsidR="0028160E" w:rsidRPr="00E676E1">
        <w:rPr>
          <w:rFonts w:asciiTheme="majorHAnsi" w:hAnsiTheme="majorHAnsi" w:cstheme="majorHAnsi"/>
          <w:vertAlign w:val="superscript"/>
        </w:rPr>
        <w:fldChar w:fldCharType="separate"/>
      </w:r>
      <w:r w:rsidR="003910A3" w:rsidRPr="00E676E1">
        <w:rPr>
          <w:rFonts w:ascii="Calibri Light" w:hAnsiTheme="majorHAnsi" w:cs="Calibri Light"/>
          <w:vertAlign w:val="superscript"/>
        </w:rPr>
        <w:t>17</w:t>
      </w:r>
      <w:r w:rsidR="0028160E" w:rsidRPr="00E676E1">
        <w:rPr>
          <w:rFonts w:asciiTheme="majorHAnsi" w:hAnsiTheme="majorHAnsi" w:cstheme="majorHAnsi"/>
          <w:vertAlign w:val="superscript"/>
        </w:rPr>
        <w:fldChar w:fldCharType="end"/>
      </w:r>
    </w:p>
    <w:p w14:paraId="3C48A47D" w14:textId="4D8CBDDB" w:rsidR="00185129" w:rsidRPr="00E676E1" w:rsidRDefault="006447AE" w:rsidP="00D937F2">
      <w:pPr>
        <w:spacing w:line="480" w:lineRule="auto"/>
        <w:rPr>
          <w:rFonts w:asciiTheme="majorHAnsi" w:hAnsiTheme="majorHAnsi" w:cstheme="majorHAnsi"/>
        </w:rPr>
      </w:pPr>
      <w:r w:rsidRPr="00E676E1">
        <w:rPr>
          <w:rFonts w:asciiTheme="majorHAnsi" w:hAnsiTheme="majorHAnsi" w:cstheme="majorHAnsi"/>
        </w:rPr>
        <w:t>We classified patients as having undergone d</w:t>
      </w:r>
      <w:r w:rsidR="001061EE" w:rsidRPr="00E676E1">
        <w:rPr>
          <w:rFonts w:asciiTheme="majorHAnsi" w:hAnsiTheme="majorHAnsi" w:cstheme="majorHAnsi"/>
        </w:rPr>
        <w:t xml:space="preserve">isease reassessment </w:t>
      </w:r>
      <w:r w:rsidRPr="00E676E1">
        <w:rPr>
          <w:rFonts w:asciiTheme="majorHAnsi" w:hAnsiTheme="majorHAnsi" w:cstheme="majorHAnsi"/>
        </w:rPr>
        <w:t xml:space="preserve">if </w:t>
      </w:r>
      <w:r w:rsidR="009A551C" w:rsidRPr="00E676E1">
        <w:rPr>
          <w:rFonts w:asciiTheme="majorHAnsi" w:hAnsiTheme="majorHAnsi" w:cstheme="majorHAnsi"/>
        </w:rPr>
        <w:t xml:space="preserve">magnetic resonance </w:t>
      </w:r>
      <w:r w:rsidR="00502EAB" w:rsidRPr="00E676E1">
        <w:rPr>
          <w:rFonts w:asciiTheme="majorHAnsi" w:hAnsiTheme="majorHAnsi" w:cstheme="majorHAnsi"/>
        </w:rPr>
        <w:t xml:space="preserve">imaging, computed tomography imaging </w:t>
      </w:r>
      <w:r w:rsidR="00E45F21" w:rsidRPr="00E676E1">
        <w:rPr>
          <w:rFonts w:asciiTheme="majorHAnsi" w:hAnsiTheme="majorHAnsi" w:cstheme="majorHAnsi"/>
        </w:rPr>
        <w:t xml:space="preserve">or </w:t>
      </w:r>
      <w:r w:rsidR="00B775C9" w:rsidRPr="00E676E1">
        <w:rPr>
          <w:rFonts w:asciiTheme="majorHAnsi" w:hAnsiTheme="majorHAnsi" w:cstheme="majorHAnsi"/>
        </w:rPr>
        <w:t xml:space="preserve">lower GI </w:t>
      </w:r>
      <w:r w:rsidR="00E45F21" w:rsidRPr="00E676E1">
        <w:rPr>
          <w:rFonts w:asciiTheme="majorHAnsi" w:hAnsiTheme="majorHAnsi" w:cstheme="majorHAnsi"/>
        </w:rPr>
        <w:t>endoscopy</w:t>
      </w:r>
      <w:r w:rsidR="00FB7663" w:rsidRPr="00E676E1">
        <w:rPr>
          <w:rFonts w:asciiTheme="majorHAnsi" w:hAnsiTheme="majorHAnsi" w:cstheme="majorHAnsi"/>
        </w:rPr>
        <w:t xml:space="preserve"> </w:t>
      </w:r>
      <w:r w:rsidRPr="00E676E1">
        <w:rPr>
          <w:rFonts w:asciiTheme="majorHAnsi" w:hAnsiTheme="majorHAnsi" w:cstheme="majorHAnsi"/>
        </w:rPr>
        <w:t xml:space="preserve">were performed </w:t>
      </w:r>
      <w:r w:rsidR="00FB7663" w:rsidRPr="00E676E1">
        <w:rPr>
          <w:rFonts w:asciiTheme="majorHAnsi" w:hAnsiTheme="majorHAnsi" w:cstheme="majorHAnsi"/>
        </w:rPr>
        <w:t>within the past year</w:t>
      </w:r>
      <w:r w:rsidR="00E45F21" w:rsidRPr="00E676E1">
        <w:rPr>
          <w:rFonts w:asciiTheme="majorHAnsi" w:hAnsiTheme="majorHAnsi" w:cstheme="majorHAnsi"/>
        </w:rPr>
        <w:t xml:space="preserve">. </w:t>
      </w:r>
      <w:r w:rsidR="00185129" w:rsidRPr="00E676E1">
        <w:rPr>
          <w:rFonts w:asciiTheme="majorHAnsi" w:hAnsiTheme="majorHAnsi" w:cstheme="majorHAnsi"/>
        </w:rPr>
        <w:t>“</w:t>
      </w:r>
      <w:r w:rsidR="009F3C41" w:rsidRPr="00E676E1">
        <w:rPr>
          <w:rFonts w:asciiTheme="majorHAnsi" w:hAnsiTheme="majorHAnsi" w:cstheme="majorHAnsi"/>
        </w:rPr>
        <w:t>O</w:t>
      </w:r>
      <w:r w:rsidR="00185129" w:rsidRPr="00E676E1">
        <w:rPr>
          <w:rFonts w:asciiTheme="majorHAnsi" w:hAnsiTheme="majorHAnsi" w:cstheme="majorHAnsi"/>
        </w:rPr>
        <w:t xml:space="preserve">ther pain modulating drugs” included </w:t>
      </w:r>
      <w:r w:rsidR="00B519B1" w:rsidRPr="00E676E1">
        <w:rPr>
          <w:rFonts w:asciiTheme="majorHAnsi" w:hAnsiTheme="majorHAnsi" w:cstheme="majorHAnsi"/>
        </w:rPr>
        <w:t xml:space="preserve">non-steroidal anti-inflammatory drugs (NSAIDs), </w:t>
      </w:r>
      <w:r w:rsidR="00185129" w:rsidRPr="00E676E1">
        <w:rPr>
          <w:rFonts w:asciiTheme="majorHAnsi" w:hAnsiTheme="majorHAnsi" w:cstheme="majorHAnsi"/>
        </w:rPr>
        <w:t>antidepressants and gabapentin or pregabalin.</w:t>
      </w:r>
      <w:r w:rsidR="002B1267" w:rsidRPr="00E676E1">
        <w:rPr>
          <w:rFonts w:asciiTheme="majorHAnsi" w:hAnsiTheme="majorHAnsi" w:cstheme="majorHAnsi"/>
        </w:rPr>
        <w:t xml:space="preserve"> “Medical optimisation” </w:t>
      </w:r>
      <w:r w:rsidR="003021B8" w:rsidRPr="00E676E1">
        <w:rPr>
          <w:rFonts w:asciiTheme="majorHAnsi" w:hAnsiTheme="majorHAnsi" w:cstheme="majorHAnsi"/>
        </w:rPr>
        <w:t xml:space="preserve">was defined as commencement of </w:t>
      </w:r>
      <w:r w:rsidR="002B1267" w:rsidRPr="00E676E1">
        <w:rPr>
          <w:rFonts w:asciiTheme="majorHAnsi" w:hAnsiTheme="majorHAnsi" w:cstheme="majorHAnsi"/>
        </w:rPr>
        <w:t xml:space="preserve">new </w:t>
      </w:r>
      <w:r w:rsidR="00B775C9" w:rsidRPr="00E676E1">
        <w:rPr>
          <w:rFonts w:asciiTheme="majorHAnsi" w:hAnsiTheme="majorHAnsi" w:cstheme="majorHAnsi"/>
        </w:rPr>
        <w:t xml:space="preserve">IBD </w:t>
      </w:r>
      <w:r w:rsidR="002B1267" w:rsidRPr="00E676E1">
        <w:rPr>
          <w:rFonts w:asciiTheme="majorHAnsi" w:hAnsiTheme="majorHAnsi" w:cstheme="majorHAnsi"/>
        </w:rPr>
        <w:t xml:space="preserve">medications or </w:t>
      </w:r>
      <w:r w:rsidRPr="00E676E1">
        <w:rPr>
          <w:rFonts w:asciiTheme="majorHAnsi" w:hAnsiTheme="majorHAnsi" w:cstheme="majorHAnsi"/>
        </w:rPr>
        <w:t>dose</w:t>
      </w:r>
      <w:r w:rsidR="002F290A" w:rsidRPr="00E676E1">
        <w:rPr>
          <w:rFonts w:asciiTheme="majorHAnsi" w:hAnsiTheme="majorHAnsi" w:cstheme="majorHAnsi"/>
        </w:rPr>
        <w:t xml:space="preserve"> </w:t>
      </w:r>
      <w:r w:rsidR="002B1267" w:rsidRPr="00E676E1">
        <w:rPr>
          <w:rFonts w:asciiTheme="majorHAnsi" w:hAnsiTheme="majorHAnsi" w:cstheme="majorHAnsi"/>
        </w:rPr>
        <w:t>alteration</w:t>
      </w:r>
      <w:r w:rsidRPr="00E676E1">
        <w:rPr>
          <w:rFonts w:asciiTheme="majorHAnsi" w:hAnsiTheme="majorHAnsi" w:cstheme="majorHAnsi"/>
        </w:rPr>
        <w:t>s</w:t>
      </w:r>
      <w:r w:rsidR="002B1267" w:rsidRPr="00E676E1">
        <w:rPr>
          <w:rFonts w:asciiTheme="majorHAnsi" w:hAnsiTheme="majorHAnsi" w:cstheme="majorHAnsi"/>
        </w:rPr>
        <w:t xml:space="preserve"> of current therapy. </w:t>
      </w:r>
    </w:p>
    <w:p w14:paraId="4FFADC9E" w14:textId="2B1C6EF9" w:rsidR="009A551C" w:rsidRPr="00E676E1" w:rsidRDefault="00B3054C" w:rsidP="003E0A70">
      <w:pPr>
        <w:spacing w:line="480" w:lineRule="auto"/>
        <w:rPr>
          <w:rFonts w:asciiTheme="majorHAnsi" w:hAnsiTheme="majorHAnsi" w:cstheme="majorHAnsi"/>
          <w:color w:val="000000" w:themeColor="text1"/>
        </w:rPr>
      </w:pPr>
      <w:r w:rsidRPr="00E676E1">
        <w:rPr>
          <w:rFonts w:asciiTheme="majorHAnsi" w:eastAsiaTheme="minorHAnsi" w:hAnsiTheme="majorHAnsi" w:cstheme="majorHAnsi"/>
          <w:lang w:eastAsia="en-US"/>
        </w:rPr>
        <w:t>In this study</w:t>
      </w:r>
      <w:r w:rsidR="00AC66B3" w:rsidRPr="00E676E1">
        <w:rPr>
          <w:rFonts w:asciiTheme="majorHAnsi" w:eastAsiaTheme="minorHAnsi" w:hAnsiTheme="majorHAnsi" w:cstheme="majorHAnsi"/>
          <w:lang w:eastAsia="en-US"/>
        </w:rPr>
        <w:t>,</w:t>
      </w:r>
      <w:r w:rsidRPr="00E676E1">
        <w:rPr>
          <w:rFonts w:asciiTheme="majorHAnsi" w:eastAsiaTheme="minorHAnsi" w:hAnsiTheme="majorHAnsi" w:cstheme="majorHAnsi"/>
          <w:lang w:eastAsia="en-US"/>
        </w:rPr>
        <w:t xml:space="preserve"> </w:t>
      </w:r>
      <w:r w:rsidR="00AD71E5" w:rsidRPr="00E676E1">
        <w:rPr>
          <w:rFonts w:asciiTheme="majorHAnsi" w:eastAsiaTheme="minorHAnsi" w:hAnsiTheme="majorHAnsi" w:cstheme="majorHAnsi"/>
          <w:lang w:eastAsia="en-US"/>
        </w:rPr>
        <w:t>opioid-</w:t>
      </w:r>
      <w:r w:rsidR="006A4851" w:rsidRPr="00E676E1">
        <w:rPr>
          <w:rFonts w:asciiTheme="majorHAnsi" w:eastAsiaTheme="minorHAnsi" w:hAnsiTheme="majorHAnsi" w:cstheme="majorHAnsi"/>
          <w:lang w:eastAsia="en-US"/>
        </w:rPr>
        <w:t xml:space="preserve">use </w:t>
      </w:r>
      <w:r w:rsidRPr="00E676E1">
        <w:rPr>
          <w:rFonts w:asciiTheme="majorHAnsi" w:eastAsiaTheme="minorHAnsi" w:hAnsiTheme="majorHAnsi" w:cstheme="majorHAnsi"/>
          <w:lang w:eastAsia="en-US"/>
        </w:rPr>
        <w:t xml:space="preserve">greater than 2 weeks was chosen by the </w:t>
      </w:r>
      <w:r w:rsidR="00FD44CA" w:rsidRPr="00E676E1">
        <w:rPr>
          <w:rFonts w:asciiTheme="majorHAnsi" w:eastAsiaTheme="minorHAnsi" w:hAnsiTheme="majorHAnsi" w:cstheme="majorHAnsi"/>
          <w:lang w:eastAsia="en-US"/>
        </w:rPr>
        <w:t xml:space="preserve">consensus </w:t>
      </w:r>
      <w:r w:rsidRPr="00E676E1">
        <w:rPr>
          <w:rFonts w:asciiTheme="majorHAnsi" w:eastAsiaTheme="minorHAnsi" w:hAnsiTheme="majorHAnsi" w:cstheme="majorHAnsi"/>
          <w:lang w:eastAsia="en-US"/>
        </w:rPr>
        <w:t>panel</w:t>
      </w:r>
      <w:r w:rsidR="00FD44CA" w:rsidRPr="00E676E1">
        <w:rPr>
          <w:rFonts w:asciiTheme="majorHAnsi" w:eastAsiaTheme="minorHAnsi" w:hAnsiTheme="majorHAnsi" w:cstheme="majorHAnsi"/>
          <w:lang w:eastAsia="en-US"/>
        </w:rPr>
        <w:t xml:space="preserve"> of experts</w:t>
      </w:r>
      <w:r w:rsidRPr="00E676E1">
        <w:rPr>
          <w:rFonts w:asciiTheme="majorHAnsi" w:eastAsiaTheme="minorHAnsi" w:hAnsiTheme="majorHAnsi" w:cstheme="majorHAnsi"/>
          <w:lang w:eastAsia="en-US"/>
        </w:rPr>
        <w:t xml:space="preserve"> as </w:t>
      </w:r>
      <w:r w:rsidR="001D7F11" w:rsidRPr="00E676E1">
        <w:rPr>
          <w:rFonts w:asciiTheme="majorHAnsi" w:eastAsiaTheme="minorHAnsi" w:hAnsiTheme="majorHAnsi" w:cstheme="majorHAnsi"/>
          <w:lang w:eastAsia="en-US"/>
        </w:rPr>
        <w:t xml:space="preserve">a </w:t>
      </w:r>
      <w:r w:rsidR="00DF1E45" w:rsidRPr="00E676E1">
        <w:rPr>
          <w:rFonts w:asciiTheme="majorHAnsi" w:eastAsiaTheme="minorHAnsi" w:hAnsiTheme="majorHAnsi" w:cstheme="majorHAnsi"/>
          <w:lang w:eastAsia="en-US"/>
        </w:rPr>
        <w:t>time</w:t>
      </w:r>
      <w:r w:rsidRPr="00E676E1">
        <w:rPr>
          <w:rFonts w:asciiTheme="majorHAnsi" w:eastAsiaTheme="minorHAnsi" w:hAnsiTheme="majorHAnsi" w:cstheme="majorHAnsi"/>
          <w:lang w:eastAsia="en-US"/>
        </w:rPr>
        <w:t xml:space="preserve"> that represented a clinically meaningful </w:t>
      </w:r>
      <w:r w:rsidR="00617DF6" w:rsidRPr="00E676E1">
        <w:rPr>
          <w:rFonts w:asciiTheme="majorHAnsi" w:eastAsiaTheme="minorHAnsi" w:hAnsiTheme="majorHAnsi" w:cstheme="majorHAnsi"/>
          <w:lang w:eastAsia="en-US"/>
        </w:rPr>
        <w:t xml:space="preserve">prescription </w:t>
      </w:r>
      <w:r w:rsidRPr="00E676E1">
        <w:rPr>
          <w:rFonts w:asciiTheme="majorHAnsi" w:eastAsiaTheme="minorHAnsi" w:hAnsiTheme="majorHAnsi" w:cstheme="majorHAnsi"/>
          <w:lang w:eastAsia="en-US"/>
        </w:rPr>
        <w:t xml:space="preserve">period longer than </w:t>
      </w:r>
      <w:r w:rsidR="003021B8" w:rsidRPr="00E676E1">
        <w:rPr>
          <w:rFonts w:asciiTheme="majorHAnsi" w:eastAsiaTheme="minorHAnsi" w:hAnsiTheme="majorHAnsi" w:cstheme="majorHAnsi"/>
          <w:lang w:eastAsia="en-US"/>
        </w:rPr>
        <w:t xml:space="preserve">normally </w:t>
      </w:r>
      <w:r w:rsidR="00617DF6" w:rsidRPr="00E676E1">
        <w:rPr>
          <w:rFonts w:asciiTheme="majorHAnsi" w:eastAsiaTheme="minorHAnsi" w:hAnsiTheme="majorHAnsi" w:cstheme="majorHAnsi"/>
          <w:lang w:eastAsia="en-US"/>
        </w:rPr>
        <w:t>required</w:t>
      </w:r>
      <w:r w:rsidR="003021B8" w:rsidRPr="00E676E1">
        <w:rPr>
          <w:rFonts w:asciiTheme="majorHAnsi" w:eastAsiaTheme="minorHAnsi" w:hAnsiTheme="majorHAnsi" w:cstheme="majorHAnsi"/>
          <w:lang w:eastAsia="en-US"/>
        </w:rPr>
        <w:t xml:space="preserve"> for</w:t>
      </w:r>
      <w:r w:rsidRPr="00E676E1">
        <w:rPr>
          <w:rFonts w:asciiTheme="majorHAnsi" w:eastAsiaTheme="minorHAnsi" w:hAnsiTheme="majorHAnsi" w:cstheme="majorHAnsi"/>
          <w:lang w:eastAsia="en-US"/>
        </w:rPr>
        <w:t xml:space="preserve"> relief of </w:t>
      </w:r>
      <w:r w:rsidR="003021B8" w:rsidRPr="00E676E1">
        <w:rPr>
          <w:rFonts w:asciiTheme="majorHAnsi" w:eastAsiaTheme="minorHAnsi" w:hAnsiTheme="majorHAnsi" w:cstheme="majorHAnsi"/>
          <w:lang w:eastAsia="en-US"/>
        </w:rPr>
        <w:t xml:space="preserve">an </w:t>
      </w:r>
      <w:r w:rsidRPr="00E676E1">
        <w:rPr>
          <w:rFonts w:asciiTheme="majorHAnsi" w:eastAsiaTheme="minorHAnsi" w:hAnsiTheme="majorHAnsi" w:cstheme="majorHAnsi"/>
          <w:lang w:eastAsia="en-US"/>
        </w:rPr>
        <w:t>acute pain event.</w:t>
      </w:r>
    </w:p>
    <w:p w14:paraId="6B1A6C69" w14:textId="77777777" w:rsidR="009C3C55" w:rsidRPr="00E676E1" w:rsidRDefault="009C3C55" w:rsidP="00D937F2">
      <w:pPr>
        <w:spacing w:line="480" w:lineRule="auto"/>
        <w:rPr>
          <w:rFonts w:asciiTheme="majorHAnsi" w:hAnsiTheme="majorHAnsi" w:cstheme="majorHAnsi"/>
          <w:i/>
          <w:color w:val="000000" w:themeColor="text1"/>
          <w:sz w:val="28"/>
          <w:szCs w:val="28"/>
        </w:rPr>
      </w:pPr>
    </w:p>
    <w:p w14:paraId="004F7A10" w14:textId="1D05304B" w:rsidR="009A551C" w:rsidRPr="00E676E1" w:rsidRDefault="009A551C" w:rsidP="00D937F2">
      <w:pPr>
        <w:spacing w:line="480" w:lineRule="auto"/>
        <w:rPr>
          <w:rFonts w:asciiTheme="majorHAnsi" w:hAnsiTheme="majorHAnsi" w:cstheme="majorHAnsi"/>
          <w:i/>
          <w:color w:val="000000" w:themeColor="text1"/>
          <w:sz w:val="28"/>
          <w:szCs w:val="28"/>
        </w:rPr>
      </w:pPr>
      <w:r w:rsidRPr="00E676E1">
        <w:rPr>
          <w:rFonts w:asciiTheme="majorHAnsi" w:hAnsiTheme="majorHAnsi" w:cstheme="majorHAnsi"/>
          <w:i/>
          <w:color w:val="000000" w:themeColor="text1"/>
          <w:sz w:val="28"/>
          <w:szCs w:val="28"/>
        </w:rPr>
        <w:t>Statistical analysis</w:t>
      </w:r>
    </w:p>
    <w:p w14:paraId="4449872D" w14:textId="7C57601A" w:rsidR="00A77CC1" w:rsidRPr="00E676E1" w:rsidRDefault="00BB13B0" w:rsidP="00A77CC1">
      <w:pPr>
        <w:spacing w:line="480" w:lineRule="auto"/>
        <w:rPr>
          <w:rFonts w:asciiTheme="majorHAnsi" w:hAnsiTheme="majorHAnsi" w:cstheme="majorHAnsi"/>
          <w:color w:val="000000" w:themeColor="text1"/>
        </w:rPr>
      </w:pPr>
      <w:r w:rsidRPr="00E676E1">
        <w:rPr>
          <w:rFonts w:asciiTheme="majorHAnsi" w:hAnsiTheme="majorHAnsi" w:cstheme="majorHAnsi"/>
          <w:color w:val="000000" w:themeColor="text1"/>
        </w:rPr>
        <w:t xml:space="preserve">For </w:t>
      </w:r>
      <w:r w:rsidR="003021B8" w:rsidRPr="00E676E1">
        <w:rPr>
          <w:rFonts w:asciiTheme="majorHAnsi" w:hAnsiTheme="majorHAnsi" w:cstheme="majorHAnsi"/>
          <w:color w:val="000000" w:themeColor="text1"/>
        </w:rPr>
        <w:t>inpatients</w:t>
      </w:r>
      <w:r w:rsidRPr="00E676E1">
        <w:rPr>
          <w:rFonts w:asciiTheme="majorHAnsi" w:hAnsiTheme="majorHAnsi" w:cstheme="majorHAnsi"/>
          <w:color w:val="000000" w:themeColor="text1"/>
        </w:rPr>
        <w:t xml:space="preserve">, </w:t>
      </w:r>
      <w:r w:rsidR="007F11DB" w:rsidRPr="00E676E1">
        <w:rPr>
          <w:rFonts w:asciiTheme="majorHAnsi" w:hAnsiTheme="majorHAnsi" w:cstheme="majorHAnsi"/>
          <w:color w:val="000000" w:themeColor="text1"/>
        </w:rPr>
        <w:t>all patients</w:t>
      </w:r>
      <w:r w:rsidRPr="00E676E1">
        <w:rPr>
          <w:rFonts w:asciiTheme="majorHAnsi" w:hAnsiTheme="majorHAnsi" w:cstheme="majorHAnsi"/>
          <w:color w:val="000000" w:themeColor="text1"/>
        </w:rPr>
        <w:t xml:space="preserve"> were included in the denominator for calculation of ongoing </w:t>
      </w:r>
      <w:r w:rsidR="00AD71E5" w:rsidRPr="00E676E1">
        <w:rPr>
          <w:rFonts w:asciiTheme="majorHAnsi" w:hAnsiTheme="majorHAnsi" w:cstheme="majorHAnsi"/>
          <w:color w:val="000000" w:themeColor="text1"/>
        </w:rPr>
        <w:t>opioid-</w:t>
      </w:r>
      <w:r w:rsidR="006A4851" w:rsidRPr="00E676E1">
        <w:rPr>
          <w:rFonts w:asciiTheme="majorHAnsi" w:hAnsiTheme="majorHAnsi" w:cstheme="majorHAnsi"/>
          <w:color w:val="000000" w:themeColor="text1"/>
        </w:rPr>
        <w:t>use</w:t>
      </w:r>
      <w:r w:rsidR="007F11DB" w:rsidRPr="00E676E1">
        <w:rPr>
          <w:rFonts w:asciiTheme="majorHAnsi" w:hAnsiTheme="majorHAnsi" w:cstheme="majorHAnsi"/>
          <w:color w:val="000000" w:themeColor="text1"/>
        </w:rPr>
        <w:t xml:space="preserve"> regardless of whether they were lost to follow-up</w:t>
      </w:r>
      <w:r w:rsidRPr="00E676E1">
        <w:rPr>
          <w:rFonts w:asciiTheme="majorHAnsi" w:hAnsiTheme="majorHAnsi" w:cstheme="majorHAnsi"/>
          <w:color w:val="000000" w:themeColor="text1"/>
        </w:rPr>
        <w:t xml:space="preserve">. </w:t>
      </w:r>
      <w:r w:rsidR="00997883" w:rsidRPr="00E676E1">
        <w:rPr>
          <w:rFonts w:asciiTheme="majorHAnsi" w:hAnsiTheme="majorHAnsi" w:cstheme="majorHAnsi"/>
          <w:color w:val="000000" w:themeColor="text1"/>
        </w:rPr>
        <w:t xml:space="preserve">In all other cases of missing </w:t>
      </w:r>
      <w:r w:rsidR="00BC3646" w:rsidRPr="00E676E1">
        <w:rPr>
          <w:rFonts w:asciiTheme="majorHAnsi" w:hAnsiTheme="majorHAnsi" w:cstheme="majorHAnsi"/>
          <w:color w:val="000000" w:themeColor="text1"/>
        </w:rPr>
        <w:t>data,</w:t>
      </w:r>
      <w:r w:rsidR="00997883" w:rsidRPr="00E676E1">
        <w:rPr>
          <w:rFonts w:asciiTheme="majorHAnsi" w:hAnsiTheme="majorHAnsi" w:cstheme="majorHAnsi"/>
          <w:color w:val="000000" w:themeColor="text1"/>
        </w:rPr>
        <w:t xml:space="preserve"> we excluded patients from relevant analyses</w:t>
      </w:r>
      <w:r w:rsidR="009B0F80" w:rsidRPr="00E676E1">
        <w:rPr>
          <w:rFonts w:asciiTheme="majorHAnsi" w:hAnsiTheme="majorHAnsi" w:cstheme="majorHAnsi"/>
          <w:color w:val="000000" w:themeColor="text1"/>
        </w:rPr>
        <w:t>.</w:t>
      </w:r>
      <w:r w:rsidR="007E6CBC" w:rsidRPr="00E676E1">
        <w:rPr>
          <w:rFonts w:asciiTheme="majorHAnsi" w:hAnsiTheme="majorHAnsi" w:cstheme="majorHAnsi"/>
          <w:color w:val="000000" w:themeColor="text1"/>
        </w:rPr>
        <w:t xml:space="preserve"> </w:t>
      </w:r>
      <w:r w:rsidR="007E6CBC" w:rsidRPr="00E676E1">
        <w:rPr>
          <w:rFonts w:asciiTheme="majorHAnsi" w:hAnsiTheme="majorHAnsi" w:cstheme="majorHAnsi"/>
        </w:rPr>
        <w:t xml:space="preserve">Age </w:t>
      </w:r>
      <w:r w:rsidR="009040E1" w:rsidRPr="00E676E1">
        <w:rPr>
          <w:rFonts w:asciiTheme="majorHAnsi" w:hAnsiTheme="majorHAnsi" w:cstheme="majorHAnsi"/>
        </w:rPr>
        <w:t xml:space="preserve">data </w:t>
      </w:r>
      <w:r w:rsidR="007E6CBC" w:rsidRPr="00E676E1">
        <w:rPr>
          <w:rFonts w:asciiTheme="majorHAnsi" w:hAnsiTheme="majorHAnsi" w:cstheme="majorHAnsi"/>
        </w:rPr>
        <w:t xml:space="preserve">was </w:t>
      </w:r>
      <w:r w:rsidR="009040E1" w:rsidRPr="00E676E1">
        <w:rPr>
          <w:rFonts w:asciiTheme="majorHAnsi" w:hAnsiTheme="majorHAnsi" w:cstheme="majorHAnsi"/>
        </w:rPr>
        <w:t xml:space="preserve">collected in </w:t>
      </w:r>
      <w:r w:rsidR="007E6CBC" w:rsidRPr="00E676E1">
        <w:rPr>
          <w:rFonts w:asciiTheme="majorHAnsi" w:hAnsiTheme="majorHAnsi" w:cstheme="majorHAnsi"/>
        </w:rPr>
        <w:t xml:space="preserve">5-year </w:t>
      </w:r>
      <w:r w:rsidR="000E4D17" w:rsidRPr="00E676E1">
        <w:rPr>
          <w:rFonts w:asciiTheme="majorHAnsi" w:hAnsiTheme="majorHAnsi" w:cstheme="majorHAnsi"/>
        </w:rPr>
        <w:t>intervals</w:t>
      </w:r>
      <w:r w:rsidR="007E6CBC" w:rsidRPr="00E676E1">
        <w:rPr>
          <w:rFonts w:asciiTheme="majorHAnsi" w:hAnsiTheme="majorHAnsi" w:cstheme="majorHAnsi"/>
        </w:rPr>
        <w:t xml:space="preserve"> to preserve anonymity, and further </w:t>
      </w:r>
      <w:r w:rsidR="00D06809" w:rsidRPr="00E676E1">
        <w:rPr>
          <w:rFonts w:asciiTheme="majorHAnsi" w:hAnsiTheme="majorHAnsi" w:cstheme="majorHAnsi"/>
        </w:rPr>
        <w:t>categorised for analysis</w:t>
      </w:r>
      <w:r w:rsidR="007E6CBC" w:rsidRPr="00E676E1">
        <w:rPr>
          <w:rFonts w:asciiTheme="majorHAnsi" w:hAnsiTheme="majorHAnsi" w:cstheme="majorHAnsi"/>
        </w:rPr>
        <w:t xml:space="preserve"> into 3 </w:t>
      </w:r>
      <w:r w:rsidR="00113175" w:rsidRPr="00E676E1">
        <w:rPr>
          <w:rFonts w:asciiTheme="majorHAnsi" w:hAnsiTheme="majorHAnsi" w:cstheme="majorHAnsi"/>
        </w:rPr>
        <w:t>age</w:t>
      </w:r>
      <w:r w:rsidR="00F44678" w:rsidRPr="00E676E1">
        <w:rPr>
          <w:rFonts w:asciiTheme="majorHAnsi" w:hAnsiTheme="majorHAnsi" w:cstheme="majorHAnsi"/>
        </w:rPr>
        <w:t xml:space="preserve"> </w:t>
      </w:r>
      <w:r w:rsidR="00113175" w:rsidRPr="00E676E1">
        <w:rPr>
          <w:rFonts w:asciiTheme="majorHAnsi" w:hAnsiTheme="majorHAnsi" w:cstheme="majorHAnsi"/>
        </w:rPr>
        <w:t>ranges</w:t>
      </w:r>
      <w:r w:rsidR="009040E1" w:rsidRPr="00E676E1">
        <w:rPr>
          <w:rFonts w:asciiTheme="majorHAnsi" w:hAnsiTheme="majorHAnsi" w:cstheme="majorHAnsi"/>
        </w:rPr>
        <w:t xml:space="preserve">; </w:t>
      </w:r>
      <w:r w:rsidR="007E6CBC" w:rsidRPr="00E676E1">
        <w:rPr>
          <w:rFonts w:asciiTheme="majorHAnsi" w:hAnsiTheme="majorHAnsi" w:cstheme="majorHAnsi"/>
        </w:rPr>
        <w:t>18-40, 41-</w:t>
      </w:r>
      <w:r w:rsidR="009040E1" w:rsidRPr="00E676E1">
        <w:rPr>
          <w:rFonts w:asciiTheme="majorHAnsi" w:hAnsiTheme="majorHAnsi" w:cstheme="majorHAnsi"/>
        </w:rPr>
        <w:t>60</w:t>
      </w:r>
      <w:r w:rsidR="007E6CBC" w:rsidRPr="00E676E1">
        <w:rPr>
          <w:rFonts w:asciiTheme="majorHAnsi" w:hAnsiTheme="majorHAnsi" w:cstheme="majorHAnsi"/>
        </w:rPr>
        <w:t xml:space="preserve"> and &gt;</w:t>
      </w:r>
      <w:r w:rsidR="009040E1" w:rsidRPr="00E676E1">
        <w:rPr>
          <w:rFonts w:asciiTheme="majorHAnsi" w:hAnsiTheme="majorHAnsi" w:cstheme="majorHAnsi"/>
        </w:rPr>
        <w:t xml:space="preserve">60 </w:t>
      </w:r>
      <w:r w:rsidR="00113175" w:rsidRPr="00E676E1">
        <w:rPr>
          <w:rFonts w:asciiTheme="majorHAnsi" w:hAnsiTheme="majorHAnsi" w:cstheme="majorHAnsi"/>
        </w:rPr>
        <w:t>years</w:t>
      </w:r>
      <w:r w:rsidR="007E6CBC" w:rsidRPr="00E676E1">
        <w:rPr>
          <w:rFonts w:asciiTheme="majorHAnsi" w:hAnsiTheme="majorHAnsi" w:cstheme="majorHAnsi"/>
        </w:rPr>
        <w:t>.</w:t>
      </w:r>
    </w:p>
    <w:p w14:paraId="11A6BFDF" w14:textId="3DC52C5E" w:rsidR="007219F7" w:rsidRPr="00E676E1" w:rsidRDefault="009A551C" w:rsidP="00026C7D">
      <w:pPr>
        <w:spacing w:line="480" w:lineRule="auto"/>
        <w:rPr>
          <w:rFonts w:asciiTheme="majorHAnsi" w:hAnsiTheme="majorHAnsi" w:cstheme="majorHAnsi"/>
        </w:rPr>
      </w:pPr>
      <w:r w:rsidRPr="00E676E1">
        <w:rPr>
          <w:rFonts w:asciiTheme="majorHAnsi" w:hAnsiTheme="majorHAnsi" w:cstheme="majorHAnsi"/>
          <w:color w:val="000000" w:themeColor="text1"/>
        </w:rPr>
        <w:t>An adjusted</w:t>
      </w:r>
      <w:r w:rsidR="00B2156E" w:rsidRPr="00E676E1">
        <w:rPr>
          <w:rFonts w:asciiTheme="majorHAnsi" w:hAnsiTheme="majorHAnsi" w:cstheme="majorHAnsi"/>
          <w:color w:val="000000" w:themeColor="text1"/>
        </w:rPr>
        <w:t xml:space="preserve"> multivariable</w:t>
      </w:r>
      <w:r w:rsidRPr="00E676E1">
        <w:rPr>
          <w:rFonts w:asciiTheme="majorHAnsi" w:hAnsiTheme="majorHAnsi" w:cstheme="majorHAnsi"/>
          <w:color w:val="000000" w:themeColor="text1"/>
        </w:rPr>
        <w:t xml:space="preserve"> </w:t>
      </w:r>
      <w:r w:rsidR="00B2156E" w:rsidRPr="00E676E1">
        <w:rPr>
          <w:rFonts w:asciiTheme="majorHAnsi" w:hAnsiTheme="majorHAnsi" w:cstheme="majorHAnsi"/>
          <w:color w:val="000000" w:themeColor="text1"/>
        </w:rPr>
        <w:t xml:space="preserve">logistic </w:t>
      </w:r>
      <w:r w:rsidR="006F4569" w:rsidRPr="00E676E1">
        <w:rPr>
          <w:rFonts w:asciiTheme="majorHAnsi" w:hAnsiTheme="majorHAnsi" w:cstheme="majorHAnsi"/>
          <w:color w:val="000000" w:themeColor="text1"/>
        </w:rPr>
        <w:t>regression</w:t>
      </w:r>
      <w:r w:rsidRPr="00E676E1">
        <w:rPr>
          <w:rFonts w:asciiTheme="majorHAnsi" w:hAnsiTheme="majorHAnsi" w:cstheme="majorHAnsi"/>
          <w:color w:val="000000" w:themeColor="text1"/>
        </w:rPr>
        <w:t xml:space="preserve"> model was developed </w:t>
      </w:r>
      <w:r w:rsidR="006F4569" w:rsidRPr="00E676E1">
        <w:rPr>
          <w:rFonts w:asciiTheme="majorHAnsi" w:hAnsiTheme="majorHAnsi" w:cstheme="majorHAnsi"/>
        </w:rPr>
        <w:t xml:space="preserve">to identify </w:t>
      </w:r>
      <w:r w:rsidR="001D7F11" w:rsidRPr="00E676E1">
        <w:rPr>
          <w:rFonts w:asciiTheme="majorHAnsi" w:hAnsiTheme="majorHAnsi" w:cstheme="majorHAnsi"/>
        </w:rPr>
        <w:t xml:space="preserve">factors </w:t>
      </w:r>
      <w:r w:rsidR="006F4569" w:rsidRPr="00E676E1">
        <w:rPr>
          <w:rFonts w:asciiTheme="majorHAnsi" w:hAnsiTheme="majorHAnsi" w:cstheme="majorHAnsi"/>
        </w:rPr>
        <w:t xml:space="preserve">associated with </w:t>
      </w:r>
      <w:r w:rsidR="00AD71E5" w:rsidRPr="00E676E1">
        <w:rPr>
          <w:rFonts w:asciiTheme="majorHAnsi" w:hAnsiTheme="majorHAnsi" w:cstheme="majorHAnsi"/>
        </w:rPr>
        <w:t>opioid-</w:t>
      </w:r>
      <w:r w:rsidR="006A4851" w:rsidRPr="00E676E1">
        <w:rPr>
          <w:rFonts w:asciiTheme="majorHAnsi" w:hAnsiTheme="majorHAnsi" w:cstheme="majorHAnsi"/>
        </w:rPr>
        <w:t>use</w:t>
      </w:r>
      <w:r w:rsidR="00B97476" w:rsidRPr="00E676E1">
        <w:rPr>
          <w:rFonts w:asciiTheme="majorHAnsi" w:hAnsiTheme="majorHAnsi" w:cstheme="majorHAnsi"/>
        </w:rPr>
        <w:t xml:space="preserve">. Variables of interest were identified a priori and a univariable analysis identified those </w:t>
      </w:r>
      <w:r w:rsidR="009040E1" w:rsidRPr="00E676E1">
        <w:rPr>
          <w:rFonts w:asciiTheme="majorHAnsi" w:hAnsiTheme="majorHAnsi" w:cstheme="majorHAnsi"/>
        </w:rPr>
        <w:t xml:space="preserve">significantly associated </w:t>
      </w:r>
      <w:r w:rsidR="00B97476" w:rsidRPr="00E676E1">
        <w:rPr>
          <w:rFonts w:asciiTheme="majorHAnsi" w:hAnsiTheme="majorHAnsi" w:cstheme="majorHAnsi"/>
        </w:rPr>
        <w:t xml:space="preserve">with opioid use (see Supplementary </w:t>
      </w:r>
      <w:r w:rsidR="009040E1" w:rsidRPr="00E676E1">
        <w:rPr>
          <w:rFonts w:asciiTheme="majorHAnsi" w:hAnsiTheme="majorHAnsi" w:cstheme="majorHAnsi"/>
        </w:rPr>
        <w:t xml:space="preserve">Information </w:t>
      </w:r>
      <w:r w:rsidR="007F11DB" w:rsidRPr="00E676E1">
        <w:rPr>
          <w:rFonts w:asciiTheme="majorHAnsi" w:hAnsiTheme="majorHAnsi" w:cstheme="majorHAnsi"/>
        </w:rPr>
        <w:t>4</w:t>
      </w:r>
      <w:r w:rsidR="00B97476" w:rsidRPr="00E676E1">
        <w:rPr>
          <w:rFonts w:asciiTheme="majorHAnsi" w:hAnsiTheme="majorHAnsi" w:cstheme="majorHAnsi"/>
        </w:rPr>
        <w:t>). These were analysed in the multivariable regression model and</w:t>
      </w:r>
      <w:r w:rsidRPr="00E676E1">
        <w:rPr>
          <w:rFonts w:asciiTheme="majorHAnsi" w:hAnsiTheme="majorHAnsi" w:cstheme="majorHAnsi"/>
        </w:rPr>
        <w:t xml:space="preserve"> </w:t>
      </w:r>
      <w:r w:rsidR="00B97476" w:rsidRPr="00E676E1">
        <w:rPr>
          <w:rFonts w:asciiTheme="majorHAnsi" w:hAnsiTheme="majorHAnsi" w:cstheme="majorHAnsi"/>
        </w:rPr>
        <w:t>r</w:t>
      </w:r>
      <w:r w:rsidR="00147E6C" w:rsidRPr="00E676E1">
        <w:rPr>
          <w:rFonts w:asciiTheme="majorHAnsi" w:hAnsiTheme="majorHAnsi" w:cstheme="majorHAnsi"/>
        </w:rPr>
        <w:t>esults are presented as odds ratio</w:t>
      </w:r>
      <w:r w:rsidR="001D7F11" w:rsidRPr="00E676E1">
        <w:rPr>
          <w:rFonts w:asciiTheme="majorHAnsi" w:hAnsiTheme="majorHAnsi" w:cstheme="majorHAnsi"/>
        </w:rPr>
        <w:t>s</w:t>
      </w:r>
      <w:r w:rsidR="00147E6C" w:rsidRPr="00E676E1">
        <w:rPr>
          <w:rFonts w:asciiTheme="majorHAnsi" w:hAnsiTheme="majorHAnsi" w:cstheme="majorHAnsi"/>
        </w:rPr>
        <w:t xml:space="preserve"> (OR) with 95% confidence intervals (95% CI).</w:t>
      </w:r>
      <w:r w:rsidR="00026C7D" w:rsidRPr="00E676E1">
        <w:rPr>
          <w:rFonts w:asciiTheme="majorHAnsi" w:hAnsiTheme="majorHAnsi" w:cstheme="majorHAnsi"/>
        </w:rPr>
        <w:t xml:space="preserve"> </w:t>
      </w:r>
      <w:r w:rsidR="008F4D6C" w:rsidRPr="00E676E1">
        <w:rPr>
          <w:rFonts w:asciiTheme="majorHAnsi" w:hAnsiTheme="majorHAnsi" w:cstheme="majorHAnsi"/>
        </w:rPr>
        <w:t>Data</w:t>
      </w:r>
      <w:r w:rsidR="00801BCF" w:rsidRPr="00E676E1">
        <w:rPr>
          <w:rFonts w:asciiTheme="majorHAnsi" w:hAnsiTheme="majorHAnsi" w:cstheme="majorHAnsi"/>
        </w:rPr>
        <w:t xml:space="preserve"> was analysed using R </w:t>
      </w:r>
      <w:r w:rsidR="00214D69" w:rsidRPr="00E676E1">
        <w:rPr>
          <w:rFonts w:asciiTheme="majorHAnsi" w:hAnsiTheme="majorHAnsi" w:cstheme="majorHAnsi"/>
        </w:rPr>
        <w:t xml:space="preserve">version </w:t>
      </w:r>
      <w:r w:rsidR="00147E6C" w:rsidRPr="00E676E1">
        <w:rPr>
          <w:rFonts w:asciiTheme="majorHAnsi" w:hAnsiTheme="majorHAnsi" w:cstheme="majorHAnsi"/>
        </w:rPr>
        <w:t>4.2.1</w:t>
      </w:r>
      <w:r w:rsidR="00214D69" w:rsidRPr="00E676E1">
        <w:rPr>
          <w:rFonts w:asciiTheme="majorHAnsi" w:hAnsiTheme="majorHAnsi" w:cstheme="majorHAnsi"/>
        </w:rPr>
        <w:t>.</w:t>
      </w:r>
      <w:r w:rsidR="00833E6E" w:rsidRPr="00E676E1">
        <w:rPr>
          <w:rFonts w:asciiTheme="majorHAnsi" w:hAnsiTheme="majorHAnsi" w:cstheme="majorHAnsi"/>
        </w:rPr>
        <w:fldChar w:fldCharType="begin"/>
      </w:r>
      <w:r w:rsidR="003910A3" w:rsidRPr="00E676E1">
        <w:rPr>
          <w:rFonts w:asciiTheme="majorHAnsi" w:hAnsiTheme="majorHAnsi" w:cstheme="majorHAnsi"/>
        </w:rPr>
        <w:instrText xml:space="preserve"> ADDIN ZOTERO_ITEM CSL_CITATION {"citationID":"RJjCyZS5","properties":{"formattedCitation":"\\super 18\\nosupersub{}","plainCitation":"18","noteIndex":0},"citationItems":[{"id":17148,"uris":["http://zotero.org/users/5360735/items/DUU7P52T"],"itemData":{"id":17148,"type":"book","event-place":"Vienna, Austria","publisher":"R Foundation for Statistical Computing","publisher-place":"Vienna, Austria","title":"R: A Language and Environment for Statistical Computing","URL":"https://www.R-project.org/","author":[{"literal":"R Core Team"}],"issued":{"date-parts":[["2020"]]}}}],"schema":"https://github.com/citation-style-language/schema/raw/master/csl-citation.json"} </w:instrText>
      </w:r>
      <w:r w:rsidR="00833E6E" w:rsidRPr="00E676E1">
        <w:rPr>
          <w:rFonts w:asciiTheme="majorHAnsi" w:hAnsiTheme="majorHAnsi" w:cstheme="majorHAnsi"/>
        </w:rPr>
        <w:fldChar w:fldCharType="separate"/>
      </w:r>
      <w:r w:rsidR="003910A3" w:rsidRPr="00E676E1">
        <w:rPr>
          <w:rFonts w:ascii="Calibri Light" w:hAnsiTheme="majorHAnsi" w:cs="Calibri Light"/>
          <w:vertAlign w:val="superscript"/>
        </w:rPr>
        <w:t>18</w:t>
      </w:r>
      <w:r w:rsidR="00833E6E" w:rsidRPr="00E676E1">
        <w:rPr>
          <w:rFonts w:asciiTheme="majorHAnsi" w:hAnsiTheme="majorHAnsi" w:cstheme="majorHAnsi"/>
        </w:rPr>
        <w:fldChar w:fldCharType="end"/>
      </w:r>
      <w:r w:rsidR="007E6CBC" w:rsidRPr="00E676E1">
        <w:rPr>
          <w:rFonts w:asciiTheme="majorHAnsi" w:hAnsiTheme="majorHAnsi" w:cstheme="majorHAnsi"/>
        </w:rPr>
        <w:t xml:space="preserve"> </w:t>
      </w:r>
    </w:p>
    <w:p w14:paraId="4C295FBC" w14:textId="6C75F009" w:rsidR="007219F7" w:rsidRPr="00E676E1" w:rsidRDefault="007219F7" w:rsidP="00D937F2">
      <w:pPr>
        <w:spacing w:line="480" w:lineRule="auto"/>
        <w:rPr>
          <w:rFonts w:asciiTheme="majorHAnsi" w:hAnsiTheme="majorHAnsi" w:cstheme="majorHAnsi"/>
          <w:i/>
          <w:sz w:val="28"/>
          <w:szCs w:val="28"/>
        </w:rPr>
      </w:pPr>
      <w:r w:rsidRPr="00E676E1">
        <w:rPr>
          <w:rFonts w:asciiTheme="majorHAnsi" w:hAnsiTheme="majorHAnsi" w:cstheme="majorHAnsi"/>
          <w:i/>
          <w:sz w:val="28"/>
          <w:szCs w:val="28"/>
        </w:rPr>
        <w:t xml:space="preserve">Ethical approval </w:t>
      </w:r>
      <w:r w:rsidR="00A77CC1" w:rsidRPr="00E676E1">
        <w:rPr>
          <w:rFonts w:asciiTheme="majorHAnsi" w:hAnsiTheme="majorHAnsi" w:cstheme="majorHAnsi"/>
          <w:i/>
          <w:sz w:val="28"/>
          <w:szCs w:val="28"/>
        </w:rPr>
        <w:t>and consent exemption</w:t>
      </w:r>
    </w:p>
    <w:p w14:paraId="33F3289E" w14:textId="18DE0063" w:rsidR="00214D69" w:rsidRPr="00E676E1" w:rsidRDefault="00792E60" w:rsidP="00D937F2">
      <w:pPr>
        <w:spacing w:line="480" w:lineRule="auto"/>
        <w:rPr>
          <w:rFonts w:asciiTheme="majorHAnsi" w:hAnsiTheme="majorHAnsi" w:cstheme="majorHAnsi"/>
        </w:rPr>
      </w:pPr>
      <w:r w:rsidRPr="00E676E1">
        <w:rPr>
          <w:rFonts w:asciiTheme="majorHAnsi" w:hAnsiTheme="majorHAnsi" w:cstheme="majorHAnsi"/>
          <w:color w:val="000000"/>
          <w:shd w:val="clear" w:color="auto" w:fill="FFFFFF"/>
        </w:rPr>
        <w:t xml:space="preserve"> </w:t>
      </w:r>
      <w:r w:rsidR="00214D69" w:rsidRPr="00E676E1">
        <w:rPr>
          <w:rFonts w:asciiTheme="majorHAnsi" w:hAnsiTheme="majorHAnsi" w:cstheme="majorHAnsi"/>
          <w:color w:val="000000"/>
          <w:shd w:val="clear" w:color="auto" w:fill="FFFFFF"/>
        </w:rPr>
        <w:t>Th</w:t>
      </w:r>
      <w:r w:rsidR="009A551C" w:rsidRPr="00E676E1">
        <w:rPr>
          <w:rFonts w:asciiTheme="majorHAnsi" w:hAnsiTheme="majorHAnsi" w:cstheme="majorHAnsi"/>
          <w:color w:val="000000"/>
          <w:shd w:val="clear" w:color="auto" w:fill="FFFFFF"/>
        </w:rPr>
        <w:t xml:space="preserve">e </w:t>
      </w:r>
      <w:r w:rsidR="00214D69" w:rsidRPr="00E676E1">
        <w:rPr>
          <w:rFonts w:asciiTheme="majorHAnsi" w:hAnsiTheme="majorHAnsi" w:cstheme="majorHAnsi"/>
          <w:color w:val="000000"/>
          <w:shd w:val="clear" w:color="auto" w:fill="FFFFFF"/>
        </w:rPr>
        <w:t>study</w:t>
      </w:r>
      <w:r w:rsidR="00976E8B" w:rsidRPr="00E676E1">
        <w:rPr>
          <w:rFonts w:asciiTheme="majorHAnsi" w:hAnsiTheme="majorHAnsi" w:cstheme="majorHAnsi"/>
          <w:color w:val="000000"/>
          <w:shd w:val="clear" w:color="auto" w:fill="FFFFFF"/>
        </w:rPr>
        <w:t xml:space="preserve"> was performed as a </w:t>
      </w:r>
      <w:r w:rsidR="00AF1D1D" w:rsidRPr="00E676E1">
        <w:rPr>
          <w:rFonts w:asciiTheme="majorHAnsi" w:hAnsiTheme="majorHAnsi" w:cstheme="majorHAnsi"/>
          <w:color w:val="000000"/>
          <w:shd w:val="clear" w:color="auto" w:fill="FFFFFF"/>
        </w:rPr>
        <w:t>quality improvement project</w:t>
      </w:r>
      <w:r w:rsidR="00131A0F" w:rsidRPr="00E676E1">
        <w:rPr>
          <w:rFonts w:asciiTheme="majorHAnsi" w:hAnsiTheme="majorHAnsi" w:cstheme="majorHAnsi"/>
          <w:color w:val="000000"/>
          <w:shd w:val="clear" w:color="auto" w:fill="FFFFFF"/>
        </w:rPr>
        <w:t xml:space="preserve"> following SQUIRE guidelines</w:t>
      </w:r>
      <w:r w:rsidR="00776204" w:rsidRPr="00E676E1">
        <w:rPr>
          <w:rFonts w:asciiTheme="majorHAnsi" w:hAnsiTheme="majorHAnsi" w:cstheme="majorHAnsi"/>
          <w:color w:val="000000"/>
          <w:shd w:val="clear" w:color="auto" w:fill="FFFFFF"/>
        </w:rPr>
        <w:t>.</w:t>
      </w:r>
      <w:r w:rsidR="00491A6F" w:rsidRPr="00E676E1">
        <w:rPr>
          <w:rFonts w:asciiTheme="majorHAnsi" w:hAnsiTheme="majorHAnsi" w:cstheme="majorHAnsi"/>
          <w:color w:val="000000"/>
          <w:shd w:val="clear" w:color="auto" w:fill="FFFFFF"/>
        </w:rPr>
        <w:fldChar w:fldCharType="begin"/>
      </w:r>
      <w:r w:rsidR="00491A6F" w:rsidRPr="00E676E1">
        <w:rPr>
          <w:rFonts w:asciiTheme="majorHAnsi" w:hAnsiTheme="majorHAnsi" w:cstheme="majorHAnsi"/>
          <w:color w:val="000000"/>
          <w:shd w:val="clear" w:color="auto" w:fill="FFFFFF"/>
        </w:rPr>
        <w:instrText xml:space="preserve"> ADDIN ZOTERO_ITEM CSL_CITATION {"citationID":"6vtKIMoJ","properties":{"formattedCitation":"\\super 19\\nosupersub{}","plainCitation":"19","noteIndex":0},"citationItems":[{"id":24053,"uris":["http://zotero.org/users/5360735/items/ANI9LIRA"],"itemData":{"id":24053,"type":"article-journal","abstract":"Since the publication of Standards for QUality Improvement Reporting Excellence (SQUIRE 1.0) guidelines in 2008, the science of the field has advanced considerably. In this manuscript, we describe the development of SQUIRE 2.0 and its key components. We undertook the revision between 2012 and 2015 using (1) semistructured interviews and focus groups to evaluate SQUIRE 1.0 plus feedback from an international steering group, (2) two face-to-face consensus meetings to develop interim drafts and (3) pilot testing with authors and a public comment period. SQUIRE 2.0 emphasises the reporting of three key components of systematic efforts to improve the quality, value and safety of healthcare: the use of formal and informal theory in planning, implementing and evaluating improvement work; the context in which the work is done and the study of the intervention(s). SQUIRE 2.0 is intended for reporting the range of methods used to improve healthcare, recognising that they can be complex and multidimensional. It provides common ground to share these discoveries in the scholarly literature (http://www.squire-statement.org).","container-title":"BMJ Quality &amp;amp; Safety","DOI":"10.1136/bmjqs-2015-004411","issue":"12","journalAbbreviation":"BMJ Qual Saf","page":"986","title":"SQUIRE 2.0 (&lt;em&gt;Standards for QUality Improvement Reporting Excellence)&lt;/em&gt;: revised publication guidelines from a detailed consensus process","volume":"25","author":[{"family":"Ogrinc","given":"Greg"},{"family":"Davies","given":"Louise"},{"family":"Goodman","given":"Daisy"},{"family":"Batalden","given":"Paul"},{"family":"Davidoff","given":"Frank"},{"family":"Stevens","given":"David"}],"issued":{"date-parts":[["2016",12,1]]}}}],"schema":"https://github.com/citation-style-language/schema/raw/master/csl-citation.json"} </w:instrText>
      </w:r>
      <w:r w:rsidR="00491A6F" w:rsidRPr="00E676E1">
        <w:rPr>
          <w:rFonts w:asciiTheme="majorHAnsi" w:hAnsiTheme="majorHAnsi" w:cstheme="majorHAnsi"/>
          <w:color w:val="000000"/>
          <w:shd w:val="clear" w:color="auto" w:fill="FFFFFF"/>
        </w:rPr>
        <w:fldChar w:fldCharType="separate"/>
      </w:r>
      <w:r w:rsidR="00491A6F" w:rsidRPr="00E676E1">
        <w:rPr>
          <w:rFonts w:ascii="Calibri Light" w:hAnsiTheme="majorHAnsi" w:cs="Calibri Light"/>
          <w:color w:val="000000"/>
          <w:vertAlign w:val="superscript"/>
        </w:rPr>
        <w:t>19</w:t>
      </w:r>
      <w:r w:rsidR="00491A6F" w:rsidRPr="00E676E1">
        <w:rPr>
          <w:rFonts w:asciiTheme="majorHAnsi" w:hAnsiTheme="majorHAnsi" w:cstheme="majorHAnsi"/>
          <w:color w:val="000000"/>
          <w:shd w:val="clear" w:color="auto" w:fill="FFFFFF"/>
        </w:rPr>
        <w:fldChar w:fldCharType="end"/>
      </w:r>
      <w:r w:rsidR="00616C62" w:rsidRPr="00E676E1">
        <w:rPr>
          <w:rFonts w:asciiTheme="majorHAnsi" w:hAnsiTheme="majorHAnsi" w:cstheme="majorHAnsi"/>
          <w:color w:val="000000"/>
          <w:shd w:val="clear" w:color="auto" w:fill="FFFFFF"/>
        </w:rPr>
        <w:t xml:space="preserve"> </w:t>
      </w:r>
      <w:r w:rsidR="0039786E" w:rsidRPr="00E676E1">
        <w:rPr>
          <w:rFonts w:asciiTheme="majorHAnsi" w:hAnsiTheme="majorHAnsi" w:cstheme="majorHAnsi"/>
          <w:color w:val="000000"/>
          <w:shd w:val="clear" w:color="auto" w:fill="FFFFFF"/>
        </w:rPr>
        <w:t>T</w:t>
      </w:r>
      <w:r w:rsidR="00616C62" w:rsidRPr="00E676E1">
        <w:rPr>
          <w:rFonts w:asciiTheme="majorHAnsi" w:hAnsiTheme="majorHAnsi" w:cstheme="majorHAnsi"/>
          <w:color w:val="000000"/>
          <w:shd w:val="clear" w:color="auto" w:fill="FFFFFF"/>
        </w:rPr>
        <w:t xml:space="preserve">he online survey platform </w:t>
      </w:r>
      <w:r w:rsidR="00776204" w:rsidRPr="00E676E1">
        <w:rPr>
          <w:rFonts w:asciiTheme="majorHAnsi" w:hAnsiTheme="majorHAnsi" w:cstheme="majorHAnsi"/>
          <w:color w:val="000000"/>
          <w:shd w:val="clear" w:color="auto" w:fill="FFFFFF"/>
        </w:rPr>
        <w:t xml:space="preserve">has been </w:t>
      </w:r>
      <w:r w:rsidR="00616C62" w:rsidRPr="00E676E1">
        <w:rPr>
          <w:rFonts w:asciiTheme="majorHAnsi" w:hAnsiTheme="majorHAnsi" w:cstheme="majorHAnsi"/>
          <w:color w:val="000000"/>
          <w:shd w:val="clear" w:color="auto" w:fill="FFFFFF"/>
        </w:rPr>
        <w:t xml:space="preserve">approved as </w:t>
      </w:r>
      <w:r w:rsidR="00900C15" w:rsidRPr="00E676E1">
        <w:rPr>
          <w:rFonts w:asciiTheme="majorHAnsi" w:hAnsiTheme="majorHAnsi" w:cstheme="majorHAnsi"/>
          <w:color w:val="000000"/>
          <w:shd w:val="clear" w:color="auto" w:fill="FFFFFF"/>
        </w:rPr>
        <w:t xml:space="preserve">compliant </w:t>
      </w:r>
      <w:r w:rsidR="00776204" w:rsidRPr="00E676E1">
        <w:rPr>
          <w:rFonts w:asciiTheme="majorHAnsi" w:hAnsiTheme="majorHAnsi" w:cstheme="majorHAnsi"/>
          <w:color w:val="000000"/>
          <w:shd w:val="clear" w:color="auto" w:fill="FFFFFF"/>
        </w:rPr>
        <w:t>with the G</w:t>
      </w:r>
      <w:r w:rsidR="00616C62" w:rsidRPr="00E676E1">
        <w:rPr>
          <w:rFonts w:asciiTheme="majorHAnsi" w:hAnsiTheme="majorHAnsi" w:cstheme="majorHAnsi"/>
          <w:color w:val="000000"/>
          <w:shd w:val="clear" w:color="auto" w:fill="FFFFFF"/>
        </w:rPr>
        <w:t xml:space="preserve">eneral </w:t>
      </w:r>
      <w:r w:rsidR="00776204" w:rsidRPr="00E676E1">
        <w:rPr>
          <w:rFonts w:asciiTheme="majorHAnsi" w:hAnsiTheme="majorHAnsi" w:cstheme="majorHAnsi"/>
          <w:color w:val="000000"/>
          <w:shd w:val="clear" w:color="auto" w:fill="FFFFFF"/>
        </w:rPr>
        <w:t>D</w:t>
      </w:r>
      <w:r w:rsidR="00616C62" w:rsidRPr="00E676E1">
        <w:rPr>
          <w:rFonts w:asciiTheme="majorHAnsi" w:hAnsiTheme="majorHAnsi" w:cstheme="majorHAnsi"/>
          <w:color w:val="000000"/>
          <w:shd w:val="clear" w:color="auto" w:fill="FFFFFF"/>
        </w:rPr>
        <w:t xml:space="preserve">ata </w:t>
      </w:r>
      <w:r w:rsidR="00776204" w:rsidRPr="00E676E1">
        <w:rPr>
          <w:rFonts w:asciiTheme="majorHAnsi" w:hAnsiTheme="majorHAnsi" w:cstheme="majorHAnsi"/>
          <w:color w:val="000000"/>
          <w:shd w:val="clear" w:color="auto" w:fill="FFFFFF"/>
        </w:rPr>
        <w:t>P</w:t>
      </w:r>
      <w:r w:rsidR="00616C62" w:rsidRPr="00E676E1">
        <w:rPr>
          <w:rFonts w:asciiTheme="majorHAnsi" w:hAnsiTheme="majorHAnsi" w:cstheme="majorHAnsi"/>
          <w:color w:val="000000"/>
          <w:shd w:val="clear" w:color="auto" w:fill="FFFFFF"/>
        </w:rPr>
        <w:t xml:space="preserve">rotection </w:t>
      </w:r>
      <w:r w:rsidR="00776204" w:rsidRPr="00E676E1">
        <w:rPr>
          <w:rFonts w:asciiTheme="majorHAnsi" w:hAnsiTheme="majorHAnsi" w:cstheme="majorHAnsi"/>
          <w:color w:val="000000"/>
          <w:shd w:val="clear" w:color="auto" w:fill="FFFFFF"/>
        </w:rPr>
        <w:t>R</w:t>
      </w:r>
      <w:r w:rsidR="00616C62" w:rsidRPr="00E676E1">
        <w:rPr>
          <w:rFonts w:asciiTheme="majorHAnsi" w:hAnsiTheme="majorHAnsi" w:cstheme="majorHAnsi"/>
          <w:color w:val="000000"/>
          <w:shd w:val="clear" w:color="auto" w:fill="FFFFFF"/>
        </w:rPr>
        <w:t>egulation</w:t>
      </w:r>
      <w:r w:rsidR="00EA1098" w:rsidRPr="00E676E1">
        <w:rPr>
          <w:rFonts w:asciiTheme="majorHAnsi" w:hAnsiTheme="majorHAnsi" w:cstheme="majorHAnsi"/>
          <w:color w:val="000000"/>
          <w:shd w:val="clear" w:color="auto" w:fill="FFFFFF"/>
        </w:rPr>
        <w:t xml:space="preserve"> </w:t>
      </w:r>
      <w:r w:rsidR="00900C15" w:rsidRPr="00E676E1">
        <w:rPr>
          <w:rFonts w:asciiTheme="majorHAnsi" w:hAnsiTheme="majorHAnsi" w:cstheme="majorHAnsi"/>
          <w:color w:val="000000"/>
          <w:shd w:val="clear" w:color="auto" w:fill="FFFFFF"/>
        </w:rPr>
        <w:t>by the Leeds Teaching Hospital NHS Trust</w:t>
      </w:r>
      <w:r w:rsidR="00616C62" w:rsidRPr="00E676E1">
        <w:rPr>
          <w:rFonts w:asciiTheme="majorHAnsi" w:hAnsiTheme="majorHAnsi" w:cstheme="majorHAnsi"/>
          <w:color w:val="000000"/>
          <w:shd w:val="clear" w:color="auto" w:fill="FFFFFF"/>
        </w:rPr>
        <w:t xml:space="preserve"> Caldicott Guardian</w:t>
      </w:r>
      <w:r w:rsidR="00993F00" w:rsidRPr="00E676E1">
        <w:rPr>
          <w:rFonts w:asciiTheme="majorHAnsi" w:hAnsiTheme="majorHAnsi" w:cstheme="majorHAnsi"/>
          <w:color w:val="000000"/>
          <w:shd w:val="clear" w:color="auto" w:fill="FFFFFF"/>
        </w:rPr>
        <w:t xml:space="preserve">. </w:t>
      </w:r>
      <w:r w:rsidR="00113175" w:rsidRPr="00E676E1">
        <w:rPr>
          <w:rFonts w:asciiTheme="majorHAnsi" w:hAnsiTheme="majorHAnsi" w:cstheme="majorHAnsi"/>
          <w:color w:val="000000"/>
          <w:shd w:val="clear" w:color="auto" w:fill="FFFFFF"/>
        </w:rPr>
        <w:t>All d</w:t>
      </w:r>
      <w:r w:rsidR="00900C15" w:rsidRPr="00E676E1">
        <w:rPr>
          <w:rFonts w:asciiTheme="majorHAnsi" w:hAnsiTheme="majorHAnsi" w:cstheme="majorHAnsi"/>
          <w:color w:val="000000"/>
          <w:shd w:val="clear" w:color="auto" w:fill="FFFFFF"/>
        </w:rPr>
        <w:t>ata wa</w:t>
      </w:r>
      <w:r w:rsidR="00113175" w:rsidRPr="00E676E1">
        <w:rPr>
          <w:rFonts w:asciiTheme="majorHAnsi" w:hAnsiTheme="majorHAnsi" w:cstheme="majorHAnsi"/>
          <w:color w:val="000000"/>
          <w:shd w:val="clear" w:color="auto" w:fill="FFFFFF"/>
        </w:rPr>
        <w:t xml:space="preserve">s anonymised at the point of </w:t>
      </w:r>
      <w:r w:rsidR="003D208A" w:rsidRPr="00E676E1">
        <w:rPr>
          <w:rFonts w:asciiTheme="majorHAnsi" w:hAnsiTheme="majorHAnsi" w:cstheme="majorHAnsi"/>
          <w:color w:val="000000"/>
          <w:shd w:val="clear" w:color="auto" w:fill="FFFFFF"/>
        </w:rPr>
        <w:t>data entry</w:t>
      </w:r>
      <w:r w:rsidR="005078EA" w:rsidRPr="00E676E1">
        <w:rPr>
          <w:rFonts w:asciiTheme="majorHAnsi" w:hAnsiTheme="majorHAnsi" w:cstheme="majorHAnsi"/>
          <w:color w:val="000000"/>
          <w:shd w:val="clear" w:color="auto" w:fill="FFFFFF"/>
        </w:rPr>
        <w:t>.</w:t>
      </w:r>
    </w:p>
    <w:p w14:paraId="2063980D" w14:textId="6FBDD6B4" w:rsidR="007219F7" w:rsidRPr="00E676E1" w:rsidRDefault="003F1CBA" w:rsidP="009C3C55">
      <w:pPr>
        <w:spacing w:after="0"/>
        <w:rPr>
          <w:rFonts w:asciiTheme="majorHAnsi" w:hAnsiTheme="majorHAnsi" w:cstheme="majorHAnsi"/>
          <w:color w:val="ED7D31" w:themeColor="accent2"/>
          <w:sz w:val="28"/>
          <w:szCs w:val="28"/>
        </w:rPr>
      </w:pPr>
      <w:r w:rsidRPr="00E676E1">
        <w:rPr>
          <w:rFonts w:asciiTheme="majorHAnsi" w:hAnsiTheme="majorHAnsi" w:cstheme="majorHAnsi"/>
          <w:color w:val="ED7D31" w:themeColor="accent2"/>
          <w:sz w:val="28"/>
          <w:szCs w:val="28"/>
        </w:rPr>
        <w:br w:type="page"/>
      </w:r>
    </w:p>
    <w:p w14:paraId="06687C2F" w14:textId="4EE8F0B6" w:rsidR="00114D68" w:rsidRPr="00E676E1" w:rsidRDefault="007219F7" w:rsidP="003D588A">
      <w:pPr>
        <w:spacing w:line="480" w:lineRule="auto"/>
        <w:rPr>
          <w:rFonts w:asciiTheme="majorHAnsi" w:hAnsiTheme="majorHAnsi" w:cstheme="majorHAnsi"/>
          <w:b/>
          <w:sz w:val="28"/>
          <w:szCs w:val="28"/>
        </w:rPr>
      </w:pPr>
      <w:r w:rsidRPr="00E676E1">
        <w:rPr>
          <w:rFonts w:asciiTheme="majorHAnsi" w:hAnsiTheme="majorHAnsi" w:cstheme="majorHAnsi"/>
          <w:b/>
          <w:sz w:val="28"/>
          <w:szCs w:val="28"/>
        </w:rPr>
        <w:lastRenderedPageBreak/>
        <w:t xml:space="preserve">Results </w:t>
      </w:r>
    </w:p>
    <w:p w14:paraId="4098BB2E" w14:textId="5DF9B02F" w:rsidR="00114D68" w:rsidRPr="00E676E1" w:rsidRDefault="001837D1" w:rsidP="00114D68">
      <w:pPr>
        <w:spacing w:line="480" w:lineRule="auto"/>
        <w:rPr>
          <w:rFonts w:asciiTheme="majorHAnsi" w:hAnsiTheme="majorHAnsi" w:cstheme="majorHAnsi"/>
          <w:i/>
          <w:iCs/>
          <w:sz w:val="28"/>
          <w:szCs w:val="28"/>
        </w:rPr>
      </w:pPr>
      <w:r w:rsidRPr="00E676E1">
        <w:rPr>
          <w:rFonts w:asciiTheme="majorHAnsi" w:hAnsiTheme="majorHAnsi" w:cstheme="majorHAnsi"/>
          <w:i/>
          <w:iCs/>
          <w:sz w:val="28"/>
          <w:szCs w:val="28"/>
        </w:rPr>
        <w:t>Baseline characteristics</w:t>
      </w:r>
      <w:r w:rsidR="001E1A6C" w:rsidRPr="00E676E1">
        <w:rPr>
          <w:rFonts w:asciiTheme="majorHAnsi" w:hAnsiTheme="majorHAnsi" w:cstheme="majorHAnsi"/>
          <w:i/>
          <w:iCs/>
          <w:sz w:val="28"/>
          <w:szCs w:val="28"/>
        </w:rPr>
        <w:t xml:space="preserve"> and demographics</w:t>
      </w:r>
    </w:p>
    <w:p w14:paraId="2E075651" w14:textId="1FCFCDD2" w:rsidR="00796402" w:rsidRDefault="00110945" w:rsidP="00114D68">
      <w:pPr>
        <w:spacing w:line="480" w:lineRule="auto"/>
        <w:rPr>
          <w:rFonts w:asciiTheme="majorHAnsi" w:hAnsiTheme="majorHAnsi" w:cstheme="majorHAnsi"/>
        </w:rPr>
      </w:pPr>
      <w:r w:rsidRPr="00E676E1">
        <w:rPr>
          <w:rFonts w:asciiTheme="majorHAnsi" w:hAnsiTheme="majorHAnsi" w:cstheme="majorHAnsi"/>
        </w:rPr>
        <w:t>Data was collected for 1</w:t>
      </w:r>
      <w:r w:rsidR="00B775C9" w:rsidRPr="00E676E1">
        <w:rPr>
          <w:rFonts w:asciiTheme="majorHAnsi" w:hAnsiTheme="majorHAnsi" w:cstheme="majorHAnsi"/>
        </w:rPr>
        <w:t>,</w:t>
      </w:r>
      <w:r w:rsidRPr="00E676E1">
        <w:rPr>
          <w:rFonts w:asciiTheme="majorHAnsi" w:hAnsiTheme="majorHAnsi" w:cstheme="majorHAnsi"/>
        </w:rPr>
        <w:t>3</w:t>
      </w:r>
      <w:r w:rsidR="00F8717B" w:rsidRPr="00E676E1">
        <w:rPr>
          <w:rFonts w:asciiTheme="majorHAnsi" w:hAnsiTheme="majorHAnsi" w:cstheme="majorHAnsi"/>
        </w:rPr>
        <w:t>5</w:t>
      </w:r>
      <w:r w:rsidRPr="00E676E1">
        <w:rPr>
          <w:rFonts w:asciiTheme="majorHAnsi" w:hAnsiTheme="majorHAnsi" w:cstheme="majorHAnsi"/>
        </w:rPr>
        <w:t xml:space="preserve">2 </w:t>
      </w:r>
      <w:r w:rsidR="005C444C" w:rsidRPr="00E676E1">
        <w:rPr>
          <w:rFonts w:asciiTheme="majorHAnsi" w:hAnsiTheme="majorHAnsi" w:cstheme="majorHAnsi"/>
        </w:rPr>
        <w:t>out</w:t>
      </w:r>
      <w:r w:rsidRPr="00E676E1">
        <w:rPr>
          <w:rFonts w:asciiTheme="majorHAnsi" w:hAnsiTheme="majorHAnsi" w:cstheme="majorHAnsi"/>
        </w:rPr>
        <w:t>patients</w:t>
      </w:r>
      <w:r w:rsidR="00221A3F" w:rsidRPr="00E676E1">
        <w:rPr>
          <w:rFonts w:asciiTheme="majorHAnsi" w:hAnsiTheme="majorHAnsi" w:cstheme="majorHAnsi"/>
        </w:rPr>
        <w:t xml:space="preserve"> </w:t>
      </w:r>
      <w:r w:rsidR="007F7051" w:rsidRPr="00E676E1">
        <w:rPr>
          <w:rFonts w:asciiTheme="majorHAnsi" w:hAnsiTheme="majorHAnsi" w:cstheme="majorHAnsi"/>
        </w:rPr>
        <w:t xml:space="preserve">of whom </w:t>
      </w:r>
      <w:r w:rsidR="009F3661" w:rsidRPr="00E676E1">
        <w:rPr>
          <w:rFonts w:asciiTheme="majorHAnsi" w:hAnsiTheme="majorHAnsi" w:cstheme="majorHAnsi"/>
        </w:rPr>
        <w:t>715(</w:t>
      </w:r>
      <w:r w:rsidR="007F7051" w:rsidRPr="00E676E1">
        <w:rPr>
          <w:rFonts w:asciiTheme="majorHAnsi" w:hAnsiTheme="majorHAnsi" w:cstheme="majorHAnsi"/>
        </w:rPr>
        <w:t>52.9%</w:t>
      </w:r>
      <w:r w:rsidR="009F3661" w:rsidRPr="00E676E1">
        <w:rPr>
          <w:rFonts w:asciiTheme="majorHAnsi" w:hAnsiTheme="majorHAnsi" w:cstheme="majorHAnsi"/>
        </w:rPr>
        <w:t>)</w:t>
      </w:r>
      <w:r w:rsidR="007F7051" w:rsidRPr="00E676E1">
        <w:rPr>
          <w:rFonts w:asciiTheme="majorHAnsi" w:hAnsiTheme="majorHAnsi" w:cstheme="majorHAnsi"/>
        </w:rPr>
        <w:t xml:space="preserve"> were female, </w:t>
      </w:r>
      <w:r w:rsidR="009F3661" w:rsidRPr="00E676E1">
        <w:rPr>
          <w:rFonts w:asciiTheme="majorHAnsi" w:hAnsiTheme="majorHAnsi" w:cstheme="majorHAnsi"/>
        </w:rPr>
        <w:t>647(</w:t>
      </w:r>
      <w:r w:rsidR="007F7051" w:rsidRPr="00E676E1">
        <w:rPr>
          <w:rFonts w:asciiTheme="majorHAnsi" w:hAnsiTheme="majorHAnsi" w:cstheme="majorHAnsi"/>
        </w:rPr>
        <w:t>47.9%</w:t>
      </w:r>
      <w:r w:rsidR="009F3661" w:rsidRPr="00E676E1">
        <w:rPr>
          <w:rFonts w:asciiTheme="majorHAnsi" w:hAnsiTheme="majorHAnsi" w:cstheme="majorHAnsi"/>
        </w:rPr>
        <w:t>)</w:t>
      </w:r>
      <w:r w:rsidR="007F7051" w:rsidRPr="00E676E1">
        <w:rPr>
          <w:rFonts w:asciiTheme="majorHAnsi" w:hAnsiTheme="majorHAnsi" w:cstheme="majorHAnsi"/>
        </w:rPr>
        <w:t xml:space="preserve"> had CD, </w:t>
      </w:r>
      <w:r w:rsidR="009F3661" w:rsidRPr="00E676E1">
        <w:rPr>
          <w:rFonts w:asciiTheme="majorHAnsi" w:hAnsiTheme="majorHAnsi" w:cstheme="majorHAnsi"/>
        </w:rPr>
        <w:t>653(</w:t>
      </w:r>
      <w:r w:rsidR="007F7051" w:rsidRPr="00E676E1">
        <w:rPr>
          <w:rFonts w:asciiTheme="majorHAnsi" w:hAnsiTheme="majorHAnsi" w:cstheme="majorHAnsi"/>
        </w:rPr>
        <w:t>48.3%</w:t>
      </w:r>
      <w:r w:rsidR="009F3661" w:rsidRPr="00E676E1">
        <w:rPr>
          <w:rFonts w:asciiTheme="majorHAnsi" w:hAnsiTheme="majorHAnsi" w:cstheme="majorHAnsi"/>
        </w:rPr>
        <w:t>)</w:t>
      </w:r>
      <w:r w:rsidR="007F7051" w:rsidRPr="00E676E1">
        <w:rPr>
          <w:rFonts w:asciiTheme="majorHAnsi" w:hAnsiTheme="majorHAnsi" w:cstheme="majorHAnsi"/>
        </w:rPr>
        <w:t xml:space="preserve"> had UC, </w:t>
      </w:r>
      <w:r w:rsidR="009F3661" w:rsidRPr="00E676E1">
        <w:rPr>
          <w:rFonts w:asciiTheme="majorHAnsi" w:hAnsiTheme="majorHAnsi" w:cstheme="majorHAnsi"/>
        </w:rPr>
        <w:t>33(</w:t>
      </w:r>
      <w:r w:rsidR="007F7051" w:rsidRPr="00E676E1">
        <w:rPr>
          <w:rFonts w:asciiTheme="majorHAnsi" w:hAnsiTheme="majorHAnsi" w:cstheme="majorHAnsi"/>
        </w:rPr>
        <w:t>2.4%</w:t>
      </w:r>
      <w:r w:rsidR="009F3661" w:rsidRPr="00E676E1">
        <w:rPr>
          <w:rFonts w:asciiTheme="majorHAnsi" w:hAnsiTheme="majorHAnsi" w:cstheme="majorHAnsi"/>
        </w:rPr>
        <w:t xml:space="preserve">) </w:t>
      </w:r>
      <w:r w:rsidR="007F7051" w:rsidRPr="00E676E1">
        <w:rPr>
          <w:rFonts w:asciiTheme="majorHAnsi" w:hAnsiTheme="majorHAnsi" w:cstheme="majorHAnsi"/>
        </w:rPr>
        <w:t xml:space="preserve">had IBD-unclassified and the median age group was 41-45 years (see </w:t>
      </w:r>
      <w:r w:rsidR="004E36DC" w:rsidRPr="00E676E1">
        <w:rPr>
          <w:rFonts w:asciiTheme="majorHAnsi" w:hAnsiTheme="majorHAnsi" w:cstheme="majorHAnsi"/>
        </w:rPr>
        <w:t>T</w:t>
      </w:r>
      <w:r w:rsidR="007F7051" w:rsidRPr="00E676E1">
        <w:rPr>
          <w:rFonts w:asciiTheme="majorHAnsi" w:hAnsiTheme="majorHAnsi" w:cstheme="majorHAnsi"/>
        </w:rPr>
        <w:t>able 1).</w:t>
      </w:r>
    </w:p>
    <w:p w14:paraId="2394D583" w14:textId="7601EF4A" w:rsidR="00114D68" w:rsidRDefault="00796402" w:rsidP="000F3DF5">
      <w:pPr>
        <w:spacing w:after="0"/>
        <w:rPr>
          <w:rFonts w:asciiTheme="majorHAnsi" w:hAnsiTheme="majorHAnsi" w:cstheme="majorHAnsi"/>
        </w:rPr>
      </w:pPr>
      <w:r>
        <w:rPr>
          <w:rFonts w:asciiTheme="majorHAnsi" w:hAnsiTheme="majorHAnsi" w:cstheme="majorHAnsi"/>
        </w:rPr>
        <w:br w:type="page"/>
      </w:r>
    </w:p>
    <w:tbl>
      <w:tblPr>
        <w:tblStyle w:val="TableGrid0"/>
        <w:tblW w:w="0" w:type="auto"/>
        <w:tblLook w:val="04A0" w:firstRow="1" w:lastRow="0" w:firstColumn="1" w:lastColumn="0" w:noHBand="0" w:noVBand="1"/>
      </w:tblPr>
      <w:tblGrid>
        <w:gridCol w:w="2835"/>
        <w:gridCol w:w="1673"/>
        <w:gridCol w:w="2722"/>
        <w:gridCol w:w="1786"/>
      </w:tblGrid>
      <w:tr w:rsidR="00796402" w:rsidRPr="00C3193C" w14:paraId="069F6308" w14:textId="77777777" w:rsidTr="00BB0973">
        <w:tc>
          <w:tcPr>
            <w:tcW w:w="2835" w:type="dxa"/>
            <w:vMerge w:val="restart"/>
          </w:tcPr>
          <w:p w14:paraId="16846091" w14:textId="77777777" w:rsidR="00796402" w:rsidRPr="00C3193C" w:rsidRDefault="00796402" w:rsidP="00BB0973">
            <w:pPr>
              <w:spacing w:before="120"/>
              <w:rPr>
                <w:rFonts w:asciiTheme="majorHAnsi" w:hAnsiTheme="majorHAnsi" w:cstheme="majorHAnsi"/>
              </w:rPr>
            </w:pPr>
          </w:p>
        </w:tc>
        <w:tc>
          <w:tcPr>
            <w:tcW w:w="4395" w:type="dxa"/>
            <w:gridSpan w:val="2"/>
          </w:tcPr>
          <w:p w14:paraId="6F7951E5" w14:textId="77777777" w:rsidR="00796402" w:rsidRPr="00C3193C" w:rsidRDefault="00796402" w:rsidP="00BB0973">
            <w:pPr>
              <w:spacing w:before="120"/>
              <w:rPr>
                <w:rFonts w:asciiTheme="majorHAnsi" w:hAnsiTheme="majorHAnsi" w:cstheme="majorHAnsi"/>
              </w:rPr>
            </w:pPr>
            <w:r>
              <w:rPr>
                <w:b/>
              </w:rPr>
              <w:t xml:space="preserve">        Opioid use in the past year</w:t>
            </w:r>
            <w:r>
              <w:rPr>
                <w:rFonts w:ascii="Open Sans" w:eastAsia="Open Sans" w:hAnsi="Open Sans" w:cs="Open Sans"/>
                <w:b/>
                <w:color w:val="1C1D1E"/>
                <w:vertAlign w:val="superscript"/>
              </w:rPr>
              <w:t xml:space="preserve"> †</w:t>
            </w:r>
          </w:p>
        </w:tc>
        <w:tc>
          <w:tcPr>
            <w:tcW w:w="1786" w:type="dxa"/>
          </w:tcPr>
          <w:p w14:paraId="1C47B960" w14:textId="77777777" w:rsidR="00796402" w:rsidRPr="00C3193C" w:rsidRDefault="00796402" w:rsidP="00BB0973">
            <w:pPr>
              <w:spacing w:before="120"/>
              <w:jc w:val="center"/>
              <w:rPr>
                <w:rFonts w:asciiTheme="majorHAnsi" w:hAnsiTheme="majorHAnsi" w:cstheme="majorHAnsi"/>
              </w:rPr>
            </w:pPr>
            <w:r>
              <w:rPr>
                <w:b/>
                <w:bCs/>
              </w:rPr>
              <w:t>All patients</w:t>
            </w:r>
          </w:p>
        </w:tc>
      </w:tr>
      <w:tr w:rsidR="00796402" w:rsidRPr="00C3193C" w14:paraId="699165C2" w14:textId="77777777" w:rsidTr="00BB0973">
        <w:tc>
          <w:tcPr>
            <w:tcW w:w="2835" w:type="dxa"/>
            <w:vMerge/>
          </w:tcPr>
          <w:p w14:paraId="2BA6E480" w14:textId="77777777" w:rsidR="00796402" w:rsidRPr="00C3193C" w:rsidRDefault="00796402" w:rsidP="00BB0973">
            <w:pPr>
              <w:spacing w:before="120"/>
              <w:rPr>
                <w:rFonts w:asciiTheme="majorHAnsi" w:hAnsiTheme="majorHAnsi" w:cstheme="majorHAnsi"/>
              </w:rPr>
            </w:pPr>
          </w:p>
        </w:tc>
        <w:tc>
          <w:tcPr>
            <w:tcW w:w="1673" w:type="dxa"/>
          </w:tcPr>
          <w:p w14:paraId="3C98DDFD"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No (N=1191)</w:t>
            </w:r>
          </w:p>
        </w:tc>
        <w:tc>
          <w:tcPr>
            <w:tcW w:w="2722" w:type="dxa"/>
          </w:tcPr>
          <w:p w14:paraId="4F89046E"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Yes (N=161)</w:t>
            </w:r>
          </w:p>
        </w:tc>
        <w:tc>
          <w:tcPr>
            <w:tcW w:w="1786" w:type="dxa"/>
          </w:tcPr>
          <w:p w14:paraId="567BE1C7" w14:textId="77777777" w:rsidR="00796402" w:rsidRPr="00C3193C" w:rsidRDefault="00796402" w:rsidP="00BB0973">
            <w:pPr>
              <w:spacing w:before="120"/>
              <w:jc w:val="center"/>
              <w:rPr>
                <w:rFonts w:asciiTheme="majorHAnsi" w:hAnsiTheme="majorHAnsi" w:cstheme="majorHAnsi"/>
              </w:rPr>
            </w:pPr>
            <w:r>
              <w:rPr>
                <w:rFonts w:asciiTheme="majorHAnsi" w:hAnsiTheme="majorHAnsi" w:cstheme="majorHAnsi"/>
              </w:rPr>
              <w:t xml:space="preserve">Total </w:t>
            </w:r>
            <w:r w:rsidRPr="00C3193C">
              <w:rPr>
                <w:rFonts w:asciiTheme="majorHAnsi" w:hAnsiTheme="majorHAnsi" w:cstheme="majorHAnsi"/>
              </w:rPr>
              <w:t>(N=1352)</w:t>
            </w:r>
          </w:p>
        </w:tc>
      </w:tr>
      <w:tr w:rsidR="00796402" w:rsidRPr="00C3193C" w14:paraId="4B9B957D" w14:textId="77777777" w:rsidTr="00BB0973">
        <w:tc>
          <w:tcPr>
            <w:tcW w:w="9016" w:type="dxa"/>
            <w:gridSpan w:val="4"/>
          </w:tcPr>
          <w:p w14:paraId="09F9B4D9" w14:textId="77777777" w:rsidR="00796402" w:rsidRPr="00C3193C" w:rsidRDefault="00796402" w:rsidP="00BB0973">
            <w:pPr>
              <w:spacing w:before="120"/>
              <w:rPr>
                <w:rFonts w:asciiTheme="majorHAnsi" w:hAnsiTheme="majorHAnsi" w:cstheme="majorHAnsi"/>
                <w:b/>
                <w:bCs/>
              </w:rPr>
            </w:pPr>
            <w:r w:rsidRPr="00C3193C">
              <w:rPr>
                <w:rFonts w:asciiTheme="majorHAnsi" w:hAnsiTheme="majorHAnsi" w:cstheme="majorHAnsi"/>
                <w:b/>
                <w:bCs/>
              </w:rPr>
              <w:t>Age (Years)</w:t>
            </w:r>
          </w:p>
        </w:tc>
      </w:tr>
      <w:tr w:rsidR="00796402" w:rsidRPr="00C3193C" w14:paraId="338DE5A8" w14:textId="77777777" w:rsidTr="00BB0973">
        <w:tc>
          <w:tcPr>
            <w:tcW w:w="2835" w:type="dxa"/>
          </w:tcPr>
          <w:p w14:paraId="2AC2C024" w14:textId="77777777" w:rsidR="00796402" w:rsidRPr="00C3193C" w:rsidRDefault="00796402" w:rsidP="00BB0973">
            <w:pPr>
              <w:spacing w:before="120"/>
              <w:rPr>
                <w:rFonts w:asciiTheme="majorHAnsi" w:hAnsiTheme="majorHAnsi" w:cstheme="majorHAnsi"/>
              </w:rPr>
            </w:pPr>
            <w:r w:rsidRPr="00C3193C">
              <w:rPr>
                <w:rFonts w:asciiTheme="majorHAnsi" w:hAnsiTheme="majorHAnsi" w:cstheme="majorHAnsi"/>
              </w:rPr>
              <w:t>&lt;40</w:t>
            </w:r>
          </w:p>
        </w:tc>
        <w:tc>
          <w:tcPr>
            <w:tcW w:w="1673" w:type="dxa"/>
          </w:tcPr>
          <w:p w14:paraId="0C51F5DB"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555 (46.6%)</w:t>
            </w:r>
          </w:p>
        </w:tc>
        <w:tc>
          <w:tcPr>
            <w:tcW w:w="2722" w:type="dxa"/>
          </w:tcPr>
          <w:p w14:paraId="3F517EB1"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58 (36.0%)</w:t>
            </w:r>
          </w:p>
        </w:tc>
        <w:tc>
          <w:tcPr>
            <w:tcW w:w="1786" w:type="dxa"/>
          </w:tcPr>
          <w:p w14:paraId="3476259E"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613 (45.3%)</w:t>
            </w:r>
          </w:p>
        </w:tc>
      </w:tr>
      <w:tr w:rsidR="00796402" w:rsidRPr="00C3193C" w14:paraId="6D7CC0AD" w14:textId="77777777" w:rsidTr="00BB0973">
        <w:tc>
          <w:tcPr>
            <w:tcW w:w="2835" w:type="dxa"/>
          </w:tcPr>
          <w:p w14:paraId="65B02DE7" w14:textId="77777777" w:rsidR="00796402" w:rsidRPr="00C3193C" w:rsidRDefault="00796402" w:rsidP="00BB0973">
            <w:pPr>
              <w:spacing w:before="120"/>
              <w:rPr>
                <w:rFonts w:asciiTheme="majorHAnsi" w:hAnsiTheme="majorHAnsi" w:cstheme="majorHAnsi"/>
              </w:rPr>
            </w:pPr>
            <w:r w:rsidRPr="00C3193C">
              <w:rPr>
                <w:rFonts w:asciiTheme="majorHAnsi" w:hAnsiTheme="majorHAnsi" w:cstheme="majorHAnsi"/>
              </w:rPr>
              <w:t>40-</w:t>
            </w:r>
            <w:r>
              <w:rPr>
                <w:rFonts w:asciiTheme="majorHAnsi" w:hAnsiTheme="majorHAnsi" w:cstheme="majorHAnsi"/>
              </w:rPr>
              <w:t>6</w:t>
            </w:r>
            <w:r w:rsidRPr="00C3193C">
              <w:rPr>
                <w:rFonts w:asciiTheme="majorHAnsi" w:hAnsiTheme="majorHAnsi" w:cstheme="majorHAnsi"/>
              </w:rPr>
              <w:t>0</w:t>
            </w:r>
          </w:p>
        </w:tc>
        <w:tc>
          <w:tcPr>
            <w:tcW w:w="1673" w:type="dxa"/>
          </w:tcPr>
          <w:p w14:paraId="32DDE8E3" w14:textId="77777777" w:rsidR="00796402" w:rsidRPr="00C3193C" w:rsidRDefault="00796402" w:rsidP="00BB0973">
            <w:pPr>
              <w:spacing w:before="120"/>
              <w:jc w:val="center"/>
              <w:rPr>
                <w:rFonts w:asciiTheme="majorHAnsi" w:hAnsiTheme="majorHAnsi" w:cstheme="majorHAnsi"/>
              </w:rPr>
            </w:pPr>
            <w:r>
              <w:rPr>
                <w:rFonts w:asciiTheme="majorHAnsi" w:hAnsiTheme="majorHAnsi" w:cstheme="majorHAnsi"/>
              </w:rPr>
              <w:t>354</w:t>
            </w:r>
            <w:r w:rsidRPr="00C3193C">
              <w:rPr>
                <w:rFonts w:asciiTheme="majorHAnsi" w:hAnsiTheme="majorHAnsi" w:cstheme="majorHAnsi"/>
              </w:rPr>
              <w:t xml:space="preserve"> (</w:t>
            </w:r>
            <w:r>
              <w:rPr>
                <w:rFonts w:asciiTheme="majorHAnsi" w:hAnsiTheme="majorHAnsi" w:cstheme="majorHAnsi"/>
              </w:rPr>
              <w:t>29</w:t>
            </w:r>
            <w:r w:rsidRPr="00C3193C">
              <w:rPr>
                <w:rFonts w:asciiTheme="majorHAnsi" w:hAnsiTheme="majorHAnsi" w:cstheme="majorHAnsi"/>
              </w:rPr>
              <w:t>.7%)</w:t>
            </w:r>
          </w:p>
        </w:tc>
        <w:tc>
          <w:tcPr>
            <w:tcW w:w="2722" w:type="dxa"/>
          </w:tcPr>
          <w:p w14:paraId="063C0A82" w14:textId="77777777" w:rsidR="00796402" w:rsidRPr="00C3193C" w:rsidRDefault="00796402" w:rsidP="00BB0973">
            <w:pPr>
              <w:spacing w:before="120"/>
              <w:jc w:val="center"/>
              <w:rPr>
                <w:rFonts w:asciiTheme="majorHAnsi" w:hAnsiTheme="majorHAnsi" w:cstheme="majorHAnsi"/>
              </w:rPr>
            </w:pPr>
            <w:r>
              <w:rPr>
                <w:rFonts w:asciiTheme="majorHAnsi" w:hAnsiTheme="majorHAnsi" w:cstheme="majorHAnsi"/>
              </w:rPr>
              <w:t>59</w:t>
            </w:r>
            <w:r w:rsidRPr="00C3193C">
              <w:rPr>
                <w:rFonts w:asciiTheme="majorHAnsi" w:hAnsiTheme="majorHAnsi" w:cstheme="majorHAnsi"/>
              </w:rPr>
              <w:t xml:space="preserve"> (</w:t>
            </w:r>
            <w:r>
              <w:rPr>
                <w:rFonts w:asciiTheme="majorHAnsi" w:hAnsiTheme="majorHAnsi" w:cstheme="majorHAnsi"/>
              </w:rPr>
              <w:t>36.6</w:t>
            </w:r>
            <w:r w:rsidRPr="00C3193C">
              <w:rPr>
                <w:rFonts w:asciiTheme="majorHAnsi" w:hAnsiTheme="majorHAnsi" w:cstheme="majorHAnsi"/>
              </w:rPr>
              <w:t>%)</w:t>
            </w:r>
          </w:p>
        </w:tc>
        <w:tc>
          <w:tcPr>
            <w:tcW w:w="1786" w:type="dxa"/>
          </w:tcPr>
          <w:p w14:paraId="486BDFFD" w14:textId="77777777" w:rsidR="00796402" w:rsidRPr="00C3193C" w:rsidRDefault="00796402" w:rsidP="00BB0973">
            <w:pPr>
              <w:spacing w:before="120"/>
              <w:jc w:val="center"/>
              <w:rPr>
                <w:rFonts w:asciiTheme="majorHAnsi" w:hAnsiTheme="majorHAnsi" w:cstheme="majorHAnsi"/>
              </w:rPr>
            </w:pPr>
            <w:r>
              <w:rPr>
                <w:rFonts w:asciiTheme="majorHAnsi" w:hAnsiTheme="majorHAnsi" w:cstheme="majorHAnsi"/>
              </w:rPr>
              <w:t>41</w:t>
            </w:r>
            <w:r w:rsidRPr="00C3193C">
              <w:rPr>
                <w:rFonts w:asciiTheme="majorHAnsi" w:hAnsiTheme="majorHAnsi" w:cstheme="majorHAnsi"/>
              </w:rPr>
              <w:t>3 (</w:t>
            </w:r>
            <w:r>
              <w:rPr>
                <w:rFonts w:asciiTheme="majorHAnsi" w:hAnsiTheme="majorHAnsi" w:cstheme="majorHAnsi"/>
              </w:rPr>
              <w:t>30.5</w:t>
            </w:r>
            <w:r w:rsidRPr="00C3193C">
              <w:rPr>
                <w:rFonts w:asciiTheme="majorHAnsi" w:hAnsiTheme="majorHAnsi" w:cstheme="majorHAnsi"/>
              </w:rPr>
              <w:t>%)</w:t>
            </w:r>
          </w:p>
        </w:tc>
      </w:tr>
      <w:tr w:rsidR="00796402" w:rsidRPr="00C3193C" w14:paraId="4D461989" w14:textId="77777777" w:rsidTr="00BB0973">
        <w:tc>
          <w:tcPr>
            <w:tcW w:w="2835" w:type="dxa"/>
          </w:tcPr>
          <w:p w14:paraId="65F8AFE5" w14:textId="77777777" w:rsidR="00796402" w:rsidRPr="00C3193C" w:rsidRDefault="00796402" w:rsidP="00BB0973">
            <w:pPr>
              <w:spacing w:before="120"/>
              <w:rPr>
                <w:rFonts w:asciiTheme="majorHAnsi" w:hAnsiTheme="majorHAnsi" w:cstheme="majorHAnsi"/>
              </w:rPr>
            </w:pPr>
            <w:r w:rsidRPr="00C3193C">
              <w:rPr>
                <w:rFonts w:asciiTheme="majorHAnsi" w:hAnsiTheme="majorHAnsi" w:cstheme="majorHAnsi"/>
              </w:rPr>
              <w:t>&gt;</w:t>
            </w:r>
            <w:r>
              <w:rPr>
                <w:rFonts w:asciiTheme="majorHAnsi" w:hAnsiTheme="majorHAnsi" w:cstheme="majorHAnsi"/>
              </w:rPr>
              <w:t>6</w:t>
            </w:r>
            <w:r w:rsidRPr="00C3193C">
              <w:rPr>
                <w:rFonts w:asciiTheme="majorHAnsi" w:hAnsiTheme="majorHAnsi" w:cstheme="majorHAnsi"/>
              </w:rPr>
              <w:t>0</w:t>
            </w:r>
          </w:p>
        </w:tc>
        <w:tc>
          <w:tcPr>
            <w:tcW w:w="1673" w:type="dxa"/>
          </w:tcPr>
          <w:p w14:paraId="1080D88F" w14:textId="77777777" w:rsidR="00796402" w:rsidRPr="00C3193C" w:rsidRDefault="00796402" w:rsidP="00BB0973">
            <w:pPr>
              <w:spacing w:before="120"/>
              <w:jc w:val="center"/>
              <w:rPr>
                <w:rFonts w:asciiTheme="majorHAnsi" w:hAnsiTheme="majorHAnsi" w:cstheme="majorHAnsi"/>
              </w:rPr>
            </w:pPr>
            <w:r>
              <w:rPr>
                <w:rFonts w:asciiTheme="majorHAnsi" w:hAnsiTheme="majorHAnsi" w:cstheme="majorHAnsi"/>
              </w:rPr>
              <w:t>282</w:t>
            </w:r>
            <w:r w:rsidRPr="00C3193C">
              <w:rPr>
                <w:rFonts w:asciiTheme="majorHAnsi" w:hAnsiTheme="majorHAnsi" w:cstheme="majorHAnsi"/>
              </w:rPr>
              <w:t xml:space="preserve"> (</w:t>
            </w:r>
            <w:r>
              <w:rPr>
                <w:rFonts w:asciiTheme="majorHAnsi" w:hAnsiTheme="majorHAnsi" w:cstheme="majorHAnsi"/>
              </w:rPr>
              <w:t>23</w:t>
            </w:r>
            <w:r w:rsidRPr="00C3193C">
              <w:rPr>
                <w:rFonts w:asciiTheme="majorHAnsi" w:hAnsiTheme="majorHAnsi" w:cstheme="majorHAnsi"/>
              </w:rPr>
              <w:t>.7%)</w:t>
            </w:r>
          </w:p>
        </w:tc>
        <w:tc>
          <w:tcPr>
            <w:tcW w:w="2722" w:type="dxa"/>
          </w:tcPr>
          <w:p w14:paraId="3A009CCC" w14:textId="77777777" w:rsidR="00796402" w:rsidRPr="00C3193C" w:rsidRDefault="00796402" w:rsidP="00BB0973">
            <w:pPr>
              <w:spacing w:before="120"/>
              <w:jc w:val="center"/>
              <w:rPr>
                <w:rFonts w:asciiTheme="majorHAnsi" w:hAnsiTheme="majorHAnsi" w:cstheme="majorHAnsi"/>
              </w:rPr>
            </w:pPr>
            <w:r>
              <w:rPr>
                <w:rFonts w:asciiTheme="majorHAnsi" w:hAnsiTheme="majorHAnsi" w:cstheme="majorHAnsi"/>
              </w:rPr>
              <w:t>44</w:t>
            </w:r>
            <w:r w:rsidRPr="00C3193C">
              <w:rPr>
                <w:rFonts w:asciiTheme="majorHAnsi" w:hAnsiTheme="majorHAnsi" w:cstheme="majorHAnsi"/>
              </w:rPr>
              <w:t xml:space="preserve"> (</w:t>
            </w:r>
            <w:r>
              <w:rPr>
                <w:rFonts w:asciiTheme="majorHAnsi" w:hAnsiTheme="majorHAnsi" w:cstheme="majorHAnsi"/>
              </w:rPr>
              <w:t>27.3</w:t>
            </w:r>
            <w:r w:rsidRPr="00C3193C">
              <w:rPr>
                <w:rFonts w:asciiTheme="majorHAnsi" w:hAnsiTheme="majorHAnsi" w:cstheme="majorHAnsi"/>
              </w:rPr>
              <w:t>%)</w:t>
            </w:r>
          </w:p>
        </w:tc>
        <w:tc>
          <w:tcPr>
            <w:tcW w:w="1786" w:type="dxa"/>
          </w:tcPr>
          <w:p w14:paraId="448C1673" w14:textId="77777777" w:rsidR="00796402" w:rsidRPr="00C3193C" w:rsidRDefault="00796402" w:rsidP="00BB0973">
            <w:pPr>
              <w:spacing w:before="120"/>
              <w:jc w:val="center"/>
              <w:rPr>
                <w:rFonts w:asciiTheme="majorHAnsi" w:hAnsiTheme="majorHAnsi" w:cstheme="majorHAnsi"/>
              </w:rPr>
            </w:pPr>
            <w:r>
              <w:rPr>
                <w:rFonts w:asciiTheme="majorHAnsi" w:hAnsiTheme="majorHAnsi" w:cstheme="majorHAnsi"/>
              </w:rPr>
              <w:t>32</w:t>
            </w:r>
            <w:r w:rsidRPr="00C3193C">
              <w:rPr>
                <w:rFonts w:asciiTheme="majorHAnsi" w:hAnsiTheme="majorHAnsi" w:cstheme="majorHAnsi"/>
              </w:rPr>
              <w:t>6 (</w:t>
            </w:r>
            <w:r>
              <w:rPr>
                <w:rFonts w:asciiTheme="majorHAnsi" w:hAnsiTheme="majorHAnsi" w:cstheme="majorHAnsi"/>
              </w:rPr>
              <w:t>24.1</w:t>
            </w:r>
            <w:r w:rsidRPr="00C3193C">
              <w:rPr>
                <w:rFonts w:asciiTheme="majorHAnsi" w:hAnsiTheme="majorHAnsi" w:cstheme="majorHAnsi"/>
              </w:rPr>
              <w:t>%)</w:t>
            </w:r>
          </w:p>
        </w:tc>
      </w:tr>
      <w:tr w:rsidR="00796402" w:rsidRPr="00C3193C" w14:paraId="7EF2474A" w14:textId="77777777" w:rsidTr="00BB0973">
        <w:tc>
          <w:tcPr>
            <w:tcW w:w="9016" w:type="dxa"/>
            <w:gridSpan w:val="4"/>
          </w:tcPr>
          <w:p w14:paraId="154E7BDB" w14:textId="77777777" w:rsidR="00796402" w:rsidRPr="00C3193C" w:rsidRDefault="00796402" w:rsidP="00BB0973">
            <w:pPr>
              <w:spacing w:before="120"/>
              <w:rPr>
                <w:rFonts w:asciiTheme="majorHAnsi" w:hAnsiTheme="majorHAnsi" w:cstheme="majorHAnsi"/>
                <w:b/>
                <w:bCs/>
              </w:rPr>
            </w:pPr>
            <w:r w:rsidRPr="00C3193C">
              <w:rPr>
                <w:rFonts w:asciiTheme="majorHAnsi" w:hAnsiTheme="majorHAnsi" w:cstheme="majorHAnsi"/>
                <w:b/>
                <w:bCs/>
              </w:rPr>
              <w:t>Sex</w:t>
            </w:r>
          </w:p>
        </w:tc>
      </w:tr>
      <w:tr w:rsidR="00796402" w:rsidRPr="00C3193C" w14:paraId="1AE0387F" w14:textId="77777777" w:rsidTr="00BB0973">
        <w:tc>
          <w:tcPr>
            <w:tcW w:w="2835" w:type="dxa"/>
          </w:tcPr>
          <w:p w14:paraId="2FA5CDB5" w14:textId="77777777" w:rsidR="00796402" w:rsidRPr="00C3193C" w:rsidRDefault="00796402" w:rsidP="00BB0973">
            <w:pPr>
              <w:spacing w:before="120"/>
              <w:rPr>
                <w:rFonts w:asciiTheme="majorHAnsi" w:hAnsiTheme="majorHAnsi" w:cstheme="majorHAnsi"/>
              </w:rPr>
            </w:pPr>
            <w:r w:rsidRPr="00C3193C">
              <w:rPr>
                <w:rFonts w:asciiTheme="majorHAnsi" w:hAnsiTheme="majorHAnsi" w:cstheme="majorHAnsi"/>
              </w:rPr>
              <w:t>Male</w:t>
            </w:r>
          </w:p>
        </w:tc>
        <w:tc>
          <w:tcPr>
            <w:tcW w:w="1673" w:type="dxa"/>
          </w:tcPr>
          <w:p w14:paraId="06D15AEB"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587 (49.3%)</w:t>
            </w:r>
          </w:p>
        </w:tc>
        <w:tc>
          <w:tcPr>
            <w:tcW w:w="2722" w:type="dxa"/>
          </w:tcPr>
          <w:p w14:paraId="2899ABC2"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50 (31.1%)</w:t>
            </w:r>
          </w:p>
        </w:tc>
        <w:tc>
          <w:tcPr>
            <w:tcW w:w="1786" w:type="dxa"/>
          </w:tcPr>
          <w:p w14:paraId="2A5F08C5"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637 (47.1</w:t>
            </w:r>
            <w:r>
              <w:rPr>
                <w:rFonts w:asciiTheme="majorHAnsi" w:hAnsiTheme="majorHAnsi" w:cstheme="majorHAnsi"/>
              </w:rPr>
              <w:t>%</w:t>
            </w:r>
            <w:r w:rsidRPr="00C3193C">
              <w:rPr>
                <w:rFonts w:asciiTheme="majorHAnsi" w:hAnsiTheme="majorHAnsi" w:cstheme="majorHAnsi"/>
              </w:rPr>
              <w:t>)</w:t>
            </w:r>
          </w:p>
        </w:tc>
      </w:tr>
      <w:tr w:rsidR="00796402" w:rsidRPr="00C3193C" w14:paraId="1CA06DE8" w14:textId="77777777" w:rsidTr="00BB0973">
        <w:tc>
          <w:tcPr>
            <w:tcW w:w="2835" w:type="dxa"/>
          </w:tcPr>
          <w:p w14:paraId="26E42C31" w14:textId="77777777" w:rsidR="00796402" w:rsidRPr="00C3193C" w:rsidRDefault="00796402" w:rsidP="00BB0973">
            <w:pPr>
              <w:spacing w:before="120"/>
              <w:rPr>
                <w:rFonts w:asciiTheme="majorHAnsi" w:hAnsiTheme="majorHAnsi" w:cstheme="majorHAnsi"/>
              </w:rPr>
            </w:pPr>
            <w:r w:rsidRPr="00C3193C">
              <w:rPr>
                <w:rFonts w:asciiTheme="majorHAnsi" w:hAnsiTheme="majorHAnsi" w:cstheme="majorHAnsi"/>
              </w:rPr>
              <w:t>Female</w:t>
            </w:r>
          </w:p>
        </w:tc>
        <w:tc>
          <w:tcPr>
            <w:tcW w:w="1673" w:type="dxa"/>
          </w:tcPr>
          <w:p w14:paraId="1A80154A"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604 (50.7%)</w:t>
            </w:r>
          </w:p>
        </w:tc>
        <w:tc>
          <w:tcPr>
            <w:tcW w:w="2722" w:type="dxa"/>
          </w:tcPr>
          <w:p w14:paraId="3EBD8848"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111 (68.9%)</w:t>
            </w:r>
          </w:p>
        </w:tc>
        <w:tc>
          <w:tcPr>
            <w:tcW w:w="1786" w:type="dxa"/>
          </w:tcPr>
          <w:p w14:paraId="0822082D"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715 (52.9%)</w:t>
            </w:r>
          </w:p>
        </w:tc>
      </w:tr>
      <w:tr w:rsidR="00796402" w:rsidRPr="00C3193C" w14:paraId="472FB53D" w14:textId="77777777" w:rsidTr="00BB0973">
        <w:tc>
          <w:tcPr>
            <w:tcW w:w="9016" w:type="dxa"/>
            <w:gridSpan w:val="4"/>
          </w:tcPr>
          <w:p w14:paraId="51A522AA" w14:textId="77777777" w:rsidR="00796402" w:rsidRPr="00C3193C" w:rsidRDefault="00796402" w:rsidP="00BB0973">
            <w:pPr>
              <w:spacing w:before="120"/>
              <w:rPr>
                <w:rFonts w:asciiTheme="majorHAnsi" w:hAnsiTheme="majorHAnsi" w:cstheme="majorHAnsi"/>
              </w:rPr>
            </w:pPr>
            <w:r w:rsidRPr="00C3193C">
              <w:rPr>
                <w:rFonts w:asciiTheme="majorHAnsi" w:hAnsiTheme="majorHAnsi" w:cstheme="majorHAnsi"/>
                <w:b/>
                <w:bCs/>
              </w:rPr>
              <w:t>IBD type</w:t>
            </w:r>
          </w:p>
        </w:tc>
      </w:tr>
      <w:tr w:rsidR="00796402" w:rsidRPr="00C3193C" w14:paraId="77B8B01A" w14:textId="77777777" w:rsidTr="00BB0973">
        <w:tc>
          <w:tcPr>
            <w:tcW w:w="2835" w:type="dxa"/>
          </w:tcPr>
          <w:p w14:paraId="0C48CB11" w14:textId="77777777" w:rsidR="00796402" w:rsidRPr="00C3193C" w:rsidRDefault="00796402" w:rsidP="00BB0973">
            <w:pPr>
              <w:spacing w:before="120"/>
              <w:rPr>
                <w:rFonts w:asciiTheme="majorHAnsi" w:hAnsiTheme="majorHAnsi" w:cstheme="majorHAnsi"/>
              </w:rPr>
            </w:pPr>
            <w:r w:rsidRPr="00C3193C">
              <w:rPr>
                <w:rFonts w:asciiTheme="majorHAnsi" w:hAnsiTheme="majorHAnsi" w:cstheme="majorHAnsi"/>
              </w:rPr>
              <w:t>Ulcerative colitis</w:t>
            </w:r>
          </w:p>
        </w:tc>
        <w:tc>
          <w:tcPr>
            <w:tcW w:w="1673" w:type="dxa"/>
          </w:tcPr>
          <w:p w14:paraId="5FA2FFD9"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610 (51.2%)</w:t>
            </w:r>
          </w:p>
        </w:tc>
        <w:tc>
          <w:tcPr>
            <w:tcW w:w="2722" w:type="dxa"/>
          </w:tcPr>
          <w:p w14:paraId="0B3E1C46"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43 (26.7%)</w:t>
            </w:r>
          </w:p>
        </w:tc>
        <w:tc>
          <w:tcPr>
            <w:tcW w:w="1786" w:type="dxa"/>
          </w:tcPr>
          <w:p w14:paraId="68CF673E"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653 (48.3%)</w:t>
            </w:r>
          </w:p>
        </w:tc>
      </w:tr>
      <w:tr w:rsidR="00796402" w:rsidRPr="00C3193C" w14:paraId="6805F8B7" w14:textId="77777777" w:rsidTr="00BB0973">
        <w:tc>
          <w:tcPr>
            <w:tcW w:w="2835" w:type="dxa"/>
          </w:tcPr>
          <w:p w14:paraId="0348DBF2" w14:textId="77777777" w:rsidR="00796402" w:rsidRPr="00C3193C" w:rsidRDefault="00796402" w:rsidP="00BB0973">
            <w:pPr>
              <w:spacing w:before="120"/>
              <w:rPr>
                <w:rFonts w:asciiTheme="majorHAnsi" w:hAnsiTheme="majorHAnsi" w:cstheme="majorHAnsi"/>
              </w:rPr>
            </w:pPr>
            <w:r w:rsidRPr="00C3193C">
              <w:rPr>
                <w:rFonts w:asciiTheme="majorHAnsi" w:hAnsiTheme="majorHAnsi" w:cstheme="majorHAnsi"/>
              </w:rPr>
              <w:t>Crohn’s disease</w:t>
            </w:r>
          </w:p>
        </w:tc>
        <w:tc>
          <w:tcPr>
            <w:tcW w:w="1673" w:type="dxa"/>
          </w:tcPr>
          <w:p w14:paraId="1D2A8831"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533 (44.8%)</w:t>
            </w:r>
          </w:p>
        </w:tc>
        <w:tc>
          <w:tcPr>
            <w:tcW w:w="2722" w:type="dxa"/>
          </w:tcPr>
          <w:p w14:paraId="03B778E7"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114 (70.8%)</w:t>
            </w:r>
          </w:p>
        </w:tc>
        <w:tc>
          <w:tcPr>
            <w:tcW w:w="1786" w:type="dxa"/>
          </w:tcPr>
          <w:p w14:paraId="30A5E9C5"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 xml:space="preserve">647 </w:t>
            </w:r>
            <w:r>
              <w:rPr>
                <w:rFonts w:asciiTheme="majorHAnsi" w:hAnsiTheme="majorHAnsi" w:cstheme="majorHAnsi"/>
              </w:rPr>
              <w:t>(</w:t>
            </w:r>
            <w:r w:rsidRPr="00C3193C">
              <w:rPr>
                <w:rFonts w:asciiTheme="majorHAnsi" w:hAnsiTheme="majorHAnsi" w:cstheme="majorHAnsi"/>
              </w:rPr>
              <w:t>47.9%)</w:t>
            </w:r>
          </w:p>
        </w:tc>
      </w:tr>
      <w:tr w:rsidR="00796402" w:rsidRPr="00C3193C" w14:paraId="5E89A3E1" w14:textId="77777777" w:rsidTr="00BB0973">
        <w:tc>
          <w:tcPr>
            <w:tcW w:w="2835" w:type="dxa"/>
          </w:tcPr>
          <w:p w14:paraId="48236FA1" w14:textId="77777777" w:rsidR="00796402" w:rsidRPr="00C3193C" w:rsidRDefault="00796402" w:rsidP="00BB0973">
            <w:pPr>
              <w:spacing w:before="120"/>
              <w:rPr>
                <w:rFonts w:asciiTheme="majorHAnsi" w:hAnsiTheme="majorHAnsi" w:cstheme="majorHAnsi"/>
              </w:rPr>
            </w:pPr>
            <w:r w:rsidRPr="00C3193C">
              <w:rPr>
                <w:rFonts w:asciiTheme="majorHAnsi" w:hAnsiTheme="majorHAnsi" w:cstheme="majorHAnsi"/>
              </w:rPr>
              <w:t>IBD-unclassified</w:t>
            </w:r>
          </w:p>
        </w:tc>
        <w:tc>
          <w:tcPr>
            <w:tcW w:w="1673" w:type="dxa"/>
          </w:tcPr>
          <w:p w14:paraId="127E4397"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30 (2.5%)</w:t>
            </w:r>
          </w:p>
        </w:tc>
        <w:tc>
          <w:tcPr>
            <w:tcW w:w="2722" w:type="dxa"/>
          </w:tcPr>
          <w:p w14:paraId="10F3B201"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3 (1.9%)</w:t>
            </w:r>
          </w:p>
        </w:tc>
        <w:tc>
          <w:tcPr>
            <w:tcW w:w="1786" w:type="dxa"/>
          </w:tcPr>
          <w:p w14:paraId="7000820A"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33 (2.4%)</w:t>
            </w:r>
          </w:p>
        </w:tc>
      </w:tr>
      <w:tr w:rsidR="00796402" w:rsidRPr="00C3193C" w14:paraId="5D014345" w14:textId="77777777" w:rsidTr="00BB0973">
        <w:tc>
          <w:tcPr>
            <w:tcW w:w="2835" w:type="dxa"/>
          </w:tcPr>
          <w:p w14:paraId="6160DE74" w14:textId="77777777" w:rsidR="00796402" w:rsidRPr="00C3193C" w:rsidRDefault="00796402" w:rsidP="00BB0973">
            <w:pPr>
              <w:spacing w:before="120"/>
              <w:rPr>
                <w:rFonts w:asciiTheme="majorHAnsi" w:hAnsiTheme="majorHAnsi" w:cstheme="majorHAnsi"/>
              </w:rPr>
            </w:pPr>
            <w:r w:rsidRPr="00C3193C">
              <w:rPr>
                <w:rFonts w:asciiTheme="majorHAnsi" w:hAnsiTheme="majorHAnsi" w:cstheme="majorHAnsi"/>
              </w:rPr>
              <w:t>IBD-not specified</w:t>
            </w:r>
          </w:p>
        </w:tc>
        <w:tc>
          <w:tcPr>
            <w:tcW w:w="1673" w:type="dxa"/>
          </w:tcPr>
          <w:p w14:paraId="5C4301AC"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18 (1.5%)</w:t>
            </w:r>
          </w:p>
        </w:tc>
        <w:tc>
          <w:tcPr>
            <w:tcW w:w="2722" w:type="dxa"/>
          </w:tcPr>
          <w:p w14:paraId="11A41527"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1 (0.6%)</w:t>
            </w:r>
          </w:p>
        </w:tc>
        <w:tc>
          <w:tcPr>
            <w:tcW w:w="1786" w:type="dxa"/>
          </w:tcPr>
          <w:p w14:paraId="5ECC41B2"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19 (1.4%)</w:t>
            </w:r>
          </w:p>
        </w:tc>
      </w:tr>
      <w:tr w:rsidR="00796402" w:rsidRPr="00C3193C" w14:paraId="59CE0BCD" w14:textId="77777777" w:rsidTr="00BB0973">
        <w:tc>
          <w:tcPr>
            <w:tcW w:w="9016" w:type="dxa"/>
            <w:gridSpan w:val="4"/>
          </w:tcPr>
          <w:p w14:paraId="147EA6B4" w14:textId="77777777" w:rsidR="00796402" w:rsidRPr="00C3193C" w:rsidRDefault="00796402" w:rsidP="00BB0973">
            <w:pPr>
              <w:spacing w:before="120"/>
              <w:rPr>
                <w:rFonts w:asciiTheme="majorHAnsi" w:hAnsiTheme="majorHAnsi" w:cstheme="majorHAnsi"/>
                <w:b/>
                <w:bCs/>
              </w:rPr>
            </w:pPr>
            <w:r w:rsidRPr="00C3193C">
              <w:rPr>
                <w:rFonts w:asciiTheme="majorHAnsi" w:hAnsiTheme="majorHAnsi" w:cstheme="majorHAnsi"/>
                <w:b/>
                <w:bCs/>
              </w:rPr>
              <w:t>Previous Surgery</w:t>
            </w:r>
          </w:p>
        </w:tc>
      </w:tr>
      <w:tr w:rsidR="00796402" w:rsidRPr="00C3193C" w14:paraId="10734D63" w14:textId="77777777" w:rsidTr="00BB0973">
        <w:tc>
          <w:tcPr>
            <w:tcW w:w="2835" w:type="dxa"/>
          </w:tcPr>
          <w:p w14:paraId="50A78B18" w14:textId="77777777" w:rsidR="00796402" w:rsidRPr="00C3193C" w:rsidRDefault="00796402" w:rsidP="00BB0973">
            <w:pPr>
              <w:spacing w:before="120"/>
              <w:rPr>
                <w:rFonts w:asciiTheme="majorHAnsi" w:hAnsiTheme="majorHAnsi" w:cstheme="majorHAnsi"/>
              </w:rPr>
            </w:pPr>
            <w:r w:rsidRPr="00C3193C">
              <w:rPr>
                <w:rFonts w:asciiTheme="majorHAnsi" w:hAnsiTheme="majorHAnsi" w:cstheme="majorHAnsi"/>
              </w:rPr>
              <w:t>No</w:t>
            </w:r>
          </w:p>
        </w:tc>
        <w:tc>
          <w:tcPr>
            <w:tcW w:w="1673" w:type="dxa"/>
          </w:tcPr>
          <w:p w14:paraId="468FE678"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963 (80.9%)</w:t>
            </w:r>
          </w:p>
        </w:tc>
        <w:tc>
          <w:tcPr>
            <w:tcW w:w="2722" w:type="dxa"/>
          </w:tcPr>
          <w:p w14:paraId="19895FC4"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89 (55.3%)</w:t>
            </w:r>
          </w:p>
        </w:tc>
        <w:tc>
          <w:tcPr>
            <w:tcW w:w="1786" w:type="dxa"/>
          </w:tcPr>
          <w:p w14:paraId="462B9155"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1052 (77.8%)</w:t>
            </w:r>
          </w:p>
        </w:tc>
      </w:tr>
      <w:tr w:rsidR="00796402" w:rsidRPr="00C3193C" w14:paraId="78647D47" w14:textId="77777777" w:rsidTr="00BB0973">
        <w:tc>
          <w:tcPr>
            <w:tcW w:w="2835" w:type="dxa"/>
          </w:tcPr>
          <w:p w14:paraId="326C8AD5" w14:textId="77777777" w:rsidR="00796402" w:rsidRPr="00C3193C" w:rsidRDefault="00796402" w:rsidP="00BB0973">
            <w:pPr>
              <w:spacing w:before="120"/>
              <w:rPr>
                <w:rFonts w:asciiTheme="majorHAnsi" w:hAnsiTheme="majorHAnsi" w:cstheme="majorHAnsi"/>
              </w:rPr>
            </w:pPr>
            <w:r w:rsidRPr="00C3193C">
              <w:rPr>
                <w:rFonts w:asciiTheme="majorHAnsi" w:hAnsiTheme="majorHAnsi" w:cstheme="majorHAnsi"/>
              </w:rPr>
              <w:t>Yes</w:t>
            </w:r>
          </w:p>
        </w:tc>
        <w:tc>
          <w:tcPr>
            <w:tcW w:w="1673" w:type="dxa"/>
          </w:tcPr>
          <w:p w14:paraId="0916EC3E"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228 (19.1%)</w:t>
            </w:r>
          </w:p>
        </w:tc>
        <w:tc>
          <w:tcPr>
            <w:tcW w:w="2722" w:type="dxa"/>
          </w:tcPr>
          <w:p w14:paraId="4F71B85A"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72 (44.7%)</w:t>
            </w:r>
          </w:p>
        </w:tc>
        <w:tc>
          <w:tcPr>
            <w:tcW w:w="1786" w:type="dxa"/>
          </w:tcPr>
          <w:p w14:paraId="58BA2684"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300 (22.2%)</w:t>
            </w:r>
          </w:p>
        </w:tc>
      </w:tr>
      <w:tr w:rsidR="00796402" w:rsidRPr="00C3193C" w14:paraId="6C30A6BA" w14:textId="77777777" w:rsidTr="00BB0973">
        <w:tc>
          <w:tcPr>
            <w:tcW w:w="9016" w:type="dxa"/>
            <w:gridSpan w:val="4"/>
          </w:tcPr>
          <w:p w14:paraId="4226F924" w14:textId="77777777" w:rsidR="00796402" w:rsidRPr="00C3193C" w:rsidRDefault="00796402" w:rsidP="00BB0973">
            <w:pPr>
              <w:spacing w:before="120"/>
              <w:rPr>
                <w:rFonts w:asciiTheme="majorHAnsi" w:hAnsiTheme="majorHAnsi" w:cstheme="majorHAnsi"/>
                <w:b/>
                <w:bCs/>
              </w:rPr>
            </w:pPr>
            <w:r w:rsidRPr="00C3193C">
              <w:rPr>
                <w:rFonts w:asciiTheme="majorHAnsi" w:hAnsiTheme="majorHAnsi" w:cstheme="majorHAnsi"/>
                <w:b/>
                <w:bCs/>
              </w:rPr>
              <w:t>Duration of disease (Years)</w:t>
            </w:r>
          </w:p>
        </w:tc>
      </w:tr>
      <w:tr w:rsidR="00796402" w:rsidRPr="00C3193C" w14:paraId="7F97BA6E" w14:textId="77777777" w:rsidTr="00BB0973">
        <w:tc>
          <w:tcPr>
            <w:tcW w:w="2835" w:type="dxa"/>
          </w:tcPr>
          <w:p w14:paraId="217926CE" w14:textId="77777777" w:rsidR="00796402" w:rsidRPr="00C3193C" w:rsidRDefault="00796402" w:rsidP="00BB0973">
            <w:pPr>
              <w:spacing w:before="120"/>
              <w:rPr>
                <w:rFonts w:asciiTheme="majorHAnsi" w:hAnsiTheme="majorHAnsi" w:cstheme="majorHAnsi"/>
              </w:rPr>
            </w:pPr>
            <w:r w:rsidRPr="00C3193C">
              <w:rPr>
                <w:rFonts w:asciiTheme="majorHAnsi" w:hAnsiTheme="majorHAnsi" w:cstheme="majorHAnsi"/>
              </w:rPr>
              <w:t>0-5</w:t>
            </w:r>
          </w:p>
        </w:tc>
        <w:tc>
          <w:tcPr>
            <w:tcW w:w="1673" w:type="dxa"/>
          </w:tcPr>
          <w:p w14:paraId="3FD282C7"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412 (34.6%)</w:t>
            </w:r>
          </w:p>
        </w:tc>
        <w:tc>
          <w:tcPr>
            <w:tcW w:w="2722" w:type="dxa"/>
          </w:tcPr>
          <w:p w14:paraId="09EFF340"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42 (26.1%)</w:t>
            </w:r>
          </w:p>
        </w:tc>
        <w:tc>
          <w:tcPr>
            <w:tcW w:w="1786" w:type="dxa"/>
          </w:tcPr>
          <w:p w14:paraId="55538164"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454 (33.6%)</w:t>
            </w:r>
          </w:p>
        </w:tc>
      </w:tr>
      <w:tr w:rsidR="00796402" w:rsidRPr="00C3193C" w14:paraId="76EC7BD4" w14:textId="77777777" w:rsidTr="00BB0973">
        <w:tc>
          <w:tcPr>
            <w:tcW w:w="2835" w:type="dxa"/>
          </w:tcPr>
          <w:p w14:paraId="7AD81DBF" w14:textId="77777777" w:rsidR="00796402" w:rsidRPr="00C3193C" w:rsidRDefault="00796402" w:rsidP="00BB0973">
            <w:pPr>
              <w:spacing w:before="120"/>
              <w:rPr>
                <w:rFonts w:asciiTheme="majorHAnsi" w:hAnsiTheme="majorHAnsi" w:cstheme="majorHAnsi"/>
              </w:rPr>
            </w:pPr>
            <w:r w:rsidRPr="00C3193C">
              <w:rPr>
                <w:rFonts w:asciiTheme="majorHAnsi" w:hAnsiTheme="majorHAnsi" w:cstheme="majorHAnsi"/>
              </w:rPr>
              <w:t>6</w:t>
            </w:r>
            <w:r>
              <w:rPr>
                <w:rFonts w:asciiTheme="majorHAnsi" w:hAnsiTheme="majorHAnsi" w:cstheme="majorHAnsi"/>
              </w:rPr>
              <w:t>-15</w:t>
            </w:r>
          </w:p>
        </w:tc>
        <w:tc>
          <w:tcPr>
            <w:tcW w:w="1673" w:type="dxa"/>
          </w:tcPr>
          <w:p w14:paraId="4FFA181B"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465 (39.0%)</w:t>
            </w:r>
          </w:p>
        </w:tc>
        <w:tc>
          <w:tcPr>
            <w:tcW w:w="2722" w:type="dxa"/>
          </w:tcPr>
          <w:p w14:paraId="487B970E"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59 (36.6%)</w:t>
            </w:r>
          </w:p>
        </w:tc>
        <w:tc>
          <w:tcPr>
            <w:tcW w:w="1786" w:type="dxa"/>
          </w:tcPr>
          <w:p w14:paraId="485EC65B"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524 (38.8%)</w:t>
            </w:r>
          </w:p>
        </w:tc>
      </w:tr>
      <w:tr w:rsidR="00796402" w:rsidRPr="00C3193C" w14:paraId="0D56E4CB" w14:textId="77777777" w:rsidTr="00BB0973">
        <w:tc>
          <w:tcPr>
            <w:tcW w:w="2835" w:type="dxa"/>
          </w:tcPr>
          <w:p w14:paraId="69576DFF" w14:textId="77777777" w:rsidR="00796402" w:rsidRPr="00C3193C" w:rsidRDefault="00796402" w:rsidP="00BB0973">
            <w:pPr>
              <w:spacing w:before="120"/>
              <w:rPr>
                <w:rFonts w:asciiTheme="majorHAnsi" w:hAnsiTheme="majorHAnsi" w:cstheme="majorHAnsi"/>
              </w:rPr>
            </w:pPr>
            <w:r>
              <w:rPr>
                <w:rFonts w:asciiTheme="majorHAnsi" w:hAnsiTheme="majorHAnsi" w:cstheme="majorHAnsi"/>
              </w:rPr>
              <w:lastRenderedPageBreak/>
              <w:t>&gt;16</w:t>
            </w:r>
          </w:p>
        </w:tc>
        <w:tc>
          <w:tcPr>
            <w:tcW w:w="1673" w:type="dxa"/>
          </w:tcPr>
          <w:p w14:paraId="5A23C4C0"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303 (25.4%)</w:t>
            </w:r>
          </w:p>
        </w:tc>
        <w:tc>
          <w:tcPr>
            <w:tcW w:w="2722" w:type="dxa"/>
          </w:tcPr>
          <w:p w14:paraId="293FCFEB"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57 (35.4%)</w:t>
            </w:r>
          </w:p>
        </w:tc>
        <w:tc>
          <w:tcPr>
            <w:tcW w:w="1786" w:type="dxa"/>
          </w:tcPr>
          <w:p w14:paraId="10183FDE"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360 (26.6%)</w:t>
            </w:r>
          </w:p>
        </w:tc>
      </w:tr>
      <w:tr w:rsidR="00796402" w:rsidRPr="00C3193C" w14:paraId="0AF80890" w14:textId="77777777" w:rsidTr="00BB0973">
        <w:tc>
          <w:tcPr>
            <w:tcW w:w="2835" w:type="dxa"/>
          </w:tcPr>
          <w:p w14:paraId="5993FB9D" w14:textId="77777777" w:rsidR="00796402" w:rsidRPr="00C3193C" w:rsidRDefault="00796402" w:rsidP="00BB0973">
            <w:pPr>
              <w:spacing w:before="120"/>
              <w:rPr>
                <w:rFonts w:asciiTheme="majorHAnsi" w:hAnsiTheme="majorHAnsi" w:cstheme="majorHAnsi"/>
              </w:rPr>
            </w:pPr>
            <w:r w:rsidRPr="00C3193C">
              <w:rPr>
                <w:rFonts w:asciiTheme="majorHAnsi" w:hAnsiTheme="majorHAnsi" w:cstheme="majorHAnsi"/>
              </w:rPr>
              <w:t>Missing</w:t>
            </w:r>
          </w:p>
        </w:tc>
        <w:tc>
          <w:tcPr>
            <w:tcW w:w="1673" w:type="dxa"/>
          </w:tcPr>
          <w:p w14:paraId="1D2894E6"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11 (0.9%)</w:t>
            </w:r>
          </w:p>
        </w:tc>
        <w:tc>
          <w:tcPr>
            <w:tcW w:w="2722" w:type="dxa"/>
          </w:tcPr>
          <w:p w14:paraId="38E4ED62"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3 (1.9%)</w:t>
            </w:r>
          </w:p>
        </w:tc>
        <w:tc>
          <w:tcPr>
            <w:tcW w:w="1786" w:type="dxa"/>
          </w:tcPr>
          <w:p w14:paraId="41739A6C"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14 (1.0%)</w:t>
            </w:r>
          </w:p>
        </w:tc>
      </w:tr>
      <w:tr w:rsidR="00796402" w:rsidRPr="00C3193C" w14:paraId="42952A1D" w14:textId="77777777" w:rsidTr="00BB0973">
        <w:tc>
          <w:tcPr>
            <w:tcW w:w="9016" w:type="dxa"/>
            <w:gridSpan w:val="4"/>
          </w:tcPr>
          <w:p w14:paraId="686D424B" w14:textId="77777777" w:rsidR="00796402" w:rsidRPr="00C3193C" w:rsidRDefault="00796402" w:rsidP="00BB0973">
            <w:pPr>
              <w:spacing w:before="120"/>
              <w:rPr>
                <w:rFonts w:asciiTheme="majorHAnsi" w:hAnsiTheme="majorHAnsi" w:cstheme="majorHAnsi"/>
                <w:b/>
                <w:bCs/>
              </w:rPr>
            </w:pPr>
            <w:r w:rsidRPr="00C3193C">
              <w:rPr>
                <w:rFonts w:asciiTheme="majorHAnsi" w:hAnsiTheme="majorHAnsi" w:cstheme="majorHAnsi"/>
                <w:b/>
                <w:bCs/>
              </w:rPr>
              <w:t>Physician Global</w:t>
            </w:r>
            <w:r>
              <w:rPr>
                <w:rFonts w:asciiTheme="majorHAnsi" w:hAnsiTheme="majorHAnsi" w:cstheme="majorHAnsi"/>
                <w:b/>
                <w:bCs/>
              </w:rPr>
              <w:t xml:space="preserve"> Assessment</w:t>
            </w:r>
            <w:r w:rsidRPr="005C15FD">
              <w:rPr>
                <w:rFonts w:asciiTheme="majorHAnsi" w:hAnsiTheme="majorHAnsi" w:cstheme="majorHAnsi"/>
                <w:color w:val="1C1D1E"/>
                <w:sz w:val="20"/>
                <w:szCs w:val="20"/>
                <w:shd w:val="clear" w:color="auto" w:fill="FFFFFF"/>
              </w:rPr>
              <w:t>‡</w:t>
            </w:r>
            <w:r w:rsidRPr="00C3193C">
              <w:rPr>
                <w:rFonts w:asciiTheme="majorHAnsi" w:hAnsiTheme="majorHAnsi" w:cstheme="majorHAnsi"/>
                <w:b/>
                <w:bCs/>
              </w:rPr>
              <w:t xml:space="preserve"> </w:t>
            </w:r>
          </w:p>
        </w:tc>
      </w:tr>
      <w:tr w:rsidR="00796402" w:rsidRPr="00C3193C" w14:paraId="108EA305" w14:textId="77777777" w:rsidTr="00BB0973">
        <w:tc>
          <w:tcPr>
            <w:tcW w:w="2835" w:type="dxa"/>
          </w:tcPr>
          <w:p w14:paraId="6F7D5F77" w14:textId="77777777" w:rsidR="00796402" w:rsidRPr="00C3193C" w:rsidRDefault="00796402" w:rsidP="00BB0973">
            <w:pPr>
              <w:spacing w:before="120"/>
              <w:rPr>
                <w:rFonts w:asciiTheme="majorHAnsi" w:hAnsiTheme="majorHAnsi" w:cstheme="majorHAnsi"/>
              </w:rPr>
            </w:pPr>
            <w:r w:rsidRPr="00C3193C">
              <w:rPr>
                <w:rFonts w:asciiTheme="majorHAnsi" w:hAnsiTheme="majorHAnsi" w:cstheme="majorHAnsi"/>
              </w:rPr>
              <w:t>Remission</w:t>
            </w:r>
          </w:p>
        </w:tc>
        <w:tc>
          <w:tcPr>
            <w:tcW w:w="1673" w:type="dxa"/>
          </w:tcPr>
          <w:p w14:paraId="37C45CA1"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678 (56.9%)</w:t>
            </w:r>
          </w:p>
        </w:tc>
        <w:tc>
          <w:tcPr>
            <w:tcW w:w="2722" w:type="dxa"/>
          </w:tcPr>
          <w:p w14:paraId="032264D5"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69 (42.9%)</w:t>
            </w:r>
          </w:p>
        </w:tc>
        <w:tc>
          <w:tcPr>
            <w:tcW w:w="1786" w:type="dxa"/>
          </w:tcPr>
          <w:p w14:paraId="5982F8C6"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747 (55.3%)</w:t>
            </w:r>
          </w:p>
        </w:tc>
      </w:tr>
      <w:tr w:rsidR="00796402" w:rsidRPr="00C3193C" w14:paraId="6CFF421D" w14:textId="77777777" w:rsidTr="00BB0973">
        <w:tc>
          <w:tcPr>
            <w:tcW w:w="2835" w:type="dxa"/>
          </w:tcPr>
          <w:p w14:paraId="4B10AE30" w14:textId="77777777" w:rsidR="00796402" w:rsidRPr="00C3193C" w:rsidRDefault="00796402" w:rsidP="00BB0973">
            <w:pPr>
              <w:spacing w:before="120"/>
              <w:rPr>
                <w:rFonts w:asciiTheme="majorHAnsi" w:hAnsiTheme="majorHAnsi" w:cstheme="majorHAnsi"/>
              </w:rPr>
            </w:pPr>
            <w:r w:rsidRPr="00C3193C">
              <w:rPr>
                <w:rFonts w:asciiTheme="majorHAnsi" w:hAnsiTheme="majorHAnsi" w:cstheme="majorHAnsi"/>
              </w:rPr>
              <w:t>Mild</w:t>
            </w:r>
          </w:p>
        </w:tc>
        <w:tc>
          <w:tcPr>
            <w:tcW w:w="1673" w:type="dxa"/>
          </w:tcPr>
          <w:p w14:paraId="59F74A31"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308 (25.9%)</w:t>
            </w:r>
          </w:p>
        </w:tc>
        <w:tc>
          <w:tcPr>
            <w:tcW w:w="2722" w:type="dxa"/>
          </w:tcPr>
          <w:p w14:paraId="7EE62312"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48 (29.8%)</w:t>
            </w:r>
          </w:p>
        </w:tc>
        <w:tc>
          <w:tcPr>
            <w:tcW w:w="1786" w:type="dxa"/>
          </w:tcPr>
          <w:p w14:paraId="5DDC719B"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356 (26.3%)</w:t>
            </w:r>
          </w:p>
        </w:tc>
      </w:tr>
      <w:tr w:rsidR="00796402" w:rsidRPr="00C3193C" w14:paraId="46152C6C" w14:textId="77777777" w:rsidTr="00BB0973">
        <w:tc>
          <w:tcPr>
            <w:tcW w:w="2835" w:type="dxa"/>
          </w:tcPr>
          <w:p w14:paraId="17984793" w14:textId="77777777" w:rsidR="00796402" w:rsidRPr="00C3193C" w:rsidRDefault="00796402" w:rsidP="00BB0973">
            <w:pPr>
              <w:spacing w:before="120"/>
              <w:rPr>
                <w:rFonts w:asciiTheme="majorHAnsi" w:hAnsiTheme="majorHAnsi" w:cstheme="majorHAnsi"/>
              </w:rPr>
            </w:pPr>
            <w:r w:rsidRPr="00C3193C">
              <w:rPr>
                <w:rFonts w:asciiTheme="majorHAnsi" w:hAnsiTheme="majorHAnsi" w:cstheme="majorHAnsi"/>
              </w:rPr>
              <w:t>Moderate</w:t>
            </w:r>
          </w:p>
        </w:tc>
        <w:tc>
          <w:tcPr>
            <w:tcW w:w="1673" w:type="dxa"/>
          </w:tcPr>
          <w:p w14:paraId="47FEA1C0"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174 (14.6%)</w:t>
            </w:r>
          </w:p>
        </w:tc>
        <w:tc>
          <w:tcPr>
            <w:tcW w:w="2722" w:type="dxa"/>
          </w:tcPr>
          <w:p w14:paraId="0E902A4E"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38 (23.6%)</w:t>
            </w:r>
          </w:p>
        </w:tc>
        <w:tc>
          <w:tcPr>
            <w:tcW w:w="1786" w:type="dxa"/>
          </w:tcPr>
          <w:p w14:paraId="4BB3A6DC"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212 (15.7%)</w:t>
            </w:r>
          </w:p>
        </w:tc>
      </w:tr>
      <w:tr w:rsidR="00796402" w:rsidRPr="00C3193C" w14:paraId="2749BBB9" w14:textId="77777777" w:rsidTr="00BB0973">
        <w:tc>
          <w:tcPr>
            <w:tcW w:w="2835" w:type="dxa"/>
          </w:tcPr>
          <w:p w14:paraId="355617A8" w14:textId="77777777" w:rsidR="00796402" w:rsidRPr="00C3193C" w:rsidRDefault="00796402" w:rsidP="00BB0973">
            <w:pPr>
              <w:spacing w:before="120"/>
              <w:rPr>
                <w:rFonts w:asciiTheme="majorHAnsi" w:hAnsiTheme="majorHAnsi" w:cstheme="majorHAnsi"/>
              </w:rPr>
            </w:pPr>
            <w:r w:rsidRPr="00C3193C">
              <w:rPr>
                <w:rFonts w:asciiTheme="majorHAnsi" w:hAnsiTheme="majorHAnsi" w:cstheme="majorHAnsi"/>
              </w:rPr>
              <w:t>Severe</w:t>
            </w:r>
          </w:p>
        </w:tc>
        <w:tc>
          <w:tcPr>
            <w:tcW w:w="1673" w:type="dxa"/>
          </w:tcPr>
          <w:p w14:paraId="42D65B80"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31 (2.6%)</w:t>
            </w:r>
          </w:p>
        </w:tc>
        <w:tc>
          <w:tcPr>
            <w:tcW w:w="2722" w:type="dxa"/>
          </w:tcPr>
          <w:p w14:paraId="348124AD"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6 (3.7%)</w:t>
            </w:r>
          </w:p>
        </w:tc>
        <w:tc>
          <w:tcPr>
            <w:tcW w:w="1786" w:type="dxa"/>
          </w:tcPr>
          <w:p w14:paraId="5968DF42" w14:textId="77777777" w:rsidR="00796402" w:rsidRPr="00C3193C" w:rsidRDefault="00796402" w:rsidP="00BB0973">
            <w:pPr>
              <w:spacing w:before="120"/>
              <w:jc w:val="center"/>
              <w:rPr>
                <w:rFonts w:asciiTheme="majorHAnsi" w:hAnsiTheme="majorHAnsi" w:cstheme="majorHAnsi"/>
              </w:rPr>
            </w:pPr>
            <w:r w:rsidRPr="00C3193C">
              <w:rPr>
                <w:rFonts w:asciiTheme="majorHAnsi" w:hAnsiTheme="majorHAnsi" w:cstheme="majorHAnsi"/>
              </w:rPr>
              <w:t>37 (2.7%)</w:t>
            </w:r>
          </w:p>
        </w:tc>
      </w:tr>
    </w:tbl>
    <w:p w14:paraId="52B36C64" w14:textId="77777777" w:rsidR="00796402" w:rsidRDefault="00796402" w:rsidP="00796402">
      <w:pPr>
        <w:spacing w:before="120"/>
        <w:rPr>
          <w:rFonts w:asciiTheme="majorHAnsi" w:hAnsiTheme="majorHAnsi" w:cstheme="majorHAnsi"/>
          <w:b/>
          <w:bCs/>
        </w:rPr>
      </w:pPr>
    </w:p>
    <w:p w14:paraId="48521D68" w14:textId="77777777" w:rsidR="00796402" w:rsidRPr="00C3193C" w:rsidRDefault="00796402" w:rsidP="00796402">
      <w:pPr>
        <w:spacing w:after="0" w:line="480" w:lineRule="auto"/>
        <w:rPr>
          <w:rFonts w:asciiTheme="majorHAnsi" w:hAnsiTheme="majorHAnsi" w:cstheme="majorHAnsi"/>
          <w:b/>
          <w:bCs/>
        </w:rPr>
      </w:pPr>
      <w:r w:rsidRPr="00C3193C">
        <w:rPr>
          <w:rFonts w:asciiTheme="majorHAnsi" w:hAnsiTheme="majorHAnsi" w:cstheme="majorHAnsi"/>
          <w:b/>
          <w:bCs/>
        </w:rPr>
        <w:t xml:space="preserve">Table1. Opioid exposure by cohort characteristics: </w:t>
      </w:r>
      <w:r>
        <w:rPr>
          <w:rFonts w:asciiTheme="majorHAnsi" w:hAnsiTheme="majorHAnsi" w:cstheme="majorHAnsi"/>
          <w:b/>
          <w:bCs/>
        </w:rPr>
        <w:t>Out</w:t>
      </w:r>
      <w:r w:rsidRPr="00C3193C">
        <w:rPr>
          <w:rFonts w:asciiTheme="majorHAnsi" w:hAnsiTheme="majorHAnsi" w:cstheme="majorHAnsi"/>
          <w:b/>
          <w:bCs/>
        </w:rPr>
        <w:t>patients</w:t>
      </w:r>
    </w:p>
    <w:p w14:paraId="113EF9E6" w14:textId="77777777" w:rsidR="00796402" w:rsidRPr="005C15FD" w:rsidRDefault="00796402" w:rsidP="00796402">
      <w:pPr>
        <w:spacing w:after="0" w:line="480" w:lineRule="auto"/>
        <w:rPr>
          <w:rFonts w:asciiTheme="majorHAnsi" w:hAnsiTheme="majorHAnsi" w:cstheme="majorHAnsi"/>
          <w:color w:val="1C1D1E"/>
          <w:sz w:val="20"/>
          <w:szCs w:val="20"/>
          <w:shd w:val="clear" w:color="auto" w:fill="FFFFFF"/>
        </w:rPr>
      </w:pPr>
      <w:r w:rsidRPr="005C15FD">
        <w:rPr>
          <w:rFonts w:asciiTheme="majorHAnsi" w:hAnsiTheme="majorHAnsi" w:cstheme="majorHAnsi"/>
          <w:color w:val="1C1D1E"/>
          <w:sz w:val="20"/>
          <w:szCs w:val="20"/>
          <w:shd w:val="clear" w:color="auto" w:fill="FFFFFF"/>
        </w:rPr>
        <w:t xml:space="preserve">† </w:t>
      </w:r>
      <w:r>
        <w:rPr>
          <w:rFonts w:asciiTheme="majorHAnsi" w:hAnsiTheme="majorHAnsi" w:cstheme="majorHAnsi"/>
          <w:color w:val="1C1D1E"/>
          <w:sz w:val="20"/>
          <w:szCs w:val="20"/>
          <w:shd w:val="clear" w:color="auto" w:fill="FFFFFF"/>
        </w:rPr>
        <w:t>Exposure</w:t>
      </w:r>
      <w:r w:rsidRPr="005C15FD">
        <w:rPr>
          <w:rFonts w:asciiTheme="majorHAnsi" w:hAnsiTheme="majorHAnsi" w:cstheme="majorHAnsi"/>
          <w:color w:val="1C1D1E"/>
          <w:sz w:val="20"/>
          <w:szCs w:val="20"/>
          <w:shd w:val="clear" w:color="auto" w:fill="FFFFFF"/>
        </w:rPr>
        <w:t xml:space="preserve"> to any opioid containing medicine for more than 2 weeks within the past 12 months</w:t>
      </w:r>
    </w:p>
    <w:p w14:paraId="069287F1" w14:textId="7A25967C" w:rsidR="00796402" w:rsidRDefault="00796402" w:rsidP="00796402">
      <w:pPr>
        <w:spacing w:after="0" w:line="480" w:lineRule="auto"/>
        <w:rPr>
          <w:rFonts w:asciiTheme="majorHAnsi" w:hAnsiTheme="majorHAnsi" w:cstheme="majorHAnsi"/>
          <w:color w:val="333333"/>
          <w:sz w:val="20"/>
          <w:szCs w:val="20"/>
        </w:rPr>
      </w:pPr>
      <w:r w:rsidRPr="005C15FD">
        <w:rPr>
          <w:rFonts w:asciiTheme="majorHAnsi" w:hAnsiTheme="majorHAnsi" w:cstheme="majorHAnsi"/>
          <w:color w:val="1C1D1E"/>
          <w:sz w:val="20"/>
          <w:szCs w:val="20"/>
          <w:shd w:val="clear" w:color="auto" w:fill="FFFFFF"/>
        </w:rPr>
        <w:t xml:space="preserve">‡The Physician </w:t>
      </w:r>
      <w:r>
        <w:rPr>
          <w:rFonts w:asciiTheme="majorHAnsi" w:hAnsiTheme="majorHAnsi" w:cstheme="majorHAnsi"/>
          <w:color w:val="1C1D1E"/>
          <w:sz w:val="20"/>
          <w:szCs w:val="20"/>
          <w:shd w:val="clear" w:color="auto" w:fill="FFFFFF"/>
        </w:rPr>
        <w:t>G</w:t>
      </w:r>
      <w:r w:rsidRPr="005C15FD">
        <w:rPr>
          <w:rFonts w:asciiTheme="majorHAnsi" w:hAnsiTheme="majorHAnsi" w:cstheme="majorHAnsi"/>
          <w:color w:val="1C1D1E"/>
          <w:sz w:val="20"/>
          <w:szCs w:val="20"/>
          <w:shd w:val="clear" w:color="auto" w:fill="FFFFFF"/>
        </w:rPr>
        <w:t xml:space="preserve">lobal </w:t>
      </w:r>
      <w:r>
        <w:rPr>
          <w:rFonts w:asciiTheme="majorHAnsi" w:hAnsiTheme="majorHAnsi" w:cstheme="majorHAnsi"/>
          <w:color w:val="1C1D1E"/>
          <w:sz w:val="20"/>
          <w:szCs w:val="20"/>
          <w:shd w:val="clear" w:color="auto" w:fill="FFFFFF"/>
        </w:rPr>
        <w:t>A</w:t>
      </w:r>
      <w:r w:rsidRPr="005C15FD">
        <w:rPr>
          <w:rFonts w:asciiTheme="majorHAnsi" w:hAnsiTheme="majorHAnsi" w:cstheme="majorHAnsi"/>
          <w:color w:val="1C1D1E"/>
          <w:sz w:val="20"/>
          <w:szCs w:val="20"/>
          <w:shd w:val="clear" w:color="auto" w:fill="FFFFFF"/>
        </w:rPr>
        <w:t xml:space="preserve">ssessment is an assessment of inflammatory bowel disease severity taking into account </w:t>
      </w:r>
      <w:r w:rsidRPr="005C15FD">
        <w:rPr>
          <w:rFonts w:asciiTheme="majorHAnsi" w:hAnsiTheme="majorHAnsi" w:cstheme="majorHAnsi"/>
          <w:color w:val="333333"/>
          <w:sz w:val="20"/>
          <w:szCs w:val="20"/>
        </w:rPr>
        <w:t>the daily record of abdominal discomfort, functional assessment and other observations such as physical findings, and the patient’s performance status.</w:t>
      </w:r>
    </w:p>
    <w:p w14:paraId="6A448C0D" w14:textId="77777777" w:rsidR="00796402" w:rsidRPr="00796402" w:rsidRDefault="00796402" w:rsidP="00796402">
      <w:pPr>
        <w:spacing w:after="0"/>
        <w:rPr>
          <w:rFonts w:asciiTheme="majorHAnsi" w:hAnsiTheme="majorHAnsi" w:cstheme="majorHAnsi"/>
          <w:color w:val="333333"/>
          <w:sz w:val="20"/>
          <w:szCs w:val="20"/>
        </w:rPr>
      </w:pPr>
    </w:p>
    <w:p w14:paraId="18FF88A9" w14:textId="6BD7F8C9" w:rsidR="00796402" w:rsidRDefault="00114D68" w:rsidP="00C953B9">
      <w:pPr>
        <w:spacing w:after="0" w:line="480" w:lineRule="auto"/>
        <w:rPr>
          <w:rFonts w:asciiTheme="majorHAnsi" w:hAnsiTheme="majorHAnsi" w:cstheme="majorHAnsi"/>
        </w:rPr>
      </w:pPr>
      <w:r w:rsidRPr="00E676E1">
        <w:rPr>
          <w:rFonts w:asciiTheme="majorHAnsi" w:hAnsiTheme="majorHAnsi" w:cstheme="majorHAnsi"/>
        </w:rPr>
        <w:t xml:space="preserve">Data was collected for 324 patients with a hospital admission (see </w:t>
      </w:r>
      <w:r w:rsidR="004E36DC" w:rsidRPr="00E676E1">
        <w:rPr>
          <w:rFonts w:asciiTheme="majorHAnsi" w:hAnsiTheme="majorHAnsi" w:cstheme="majorHAnsi"/>
        </w:rPr>
        <w:t>T</w:t>
      </w:r>
      <w:r w:rsidRPr="00E676E1">
        <w:rPr>
          <w:rFonts w:asciiTheme="majorHAnsi" w:hAnsiTheme="majorHAnsi" w:cstheme="majorHAnsi"/>
        </w:rPr>
        <w:t>able 2), 163 (50.3%) of whom were female with a median age group of 36-40</w:t>
      </w:r>
      <w:r w:rsidR="00AF4088" w:rsidRPr="00E676E1">
        <w:rPr>
          <w:rFonts w:asciiTheme="majorHAnsi" w:hAnsiTheme="majorHAnsi" w:cstheme="majorHAnsi"/>
        </w:rPr>
        <w:t xml:space="preserve"> years</w:t>
      </w:r>
      <w:r w:rsidRPr="00E676E1">
        <w:rPr>
          <w:rFonts w:asciiTheme="majorHAnsi" w:hAnsiTheme="majorHAnsi" w:cstheme="majorHAnsi"/>
        </w:rPr>
        <w:t>. IBD type was CD in 177 (54.6%), UC in 132 (40.</w:t>
      </w:r>
      <w:r w:rsidR="00E14B45" w:rsidRPr="00E676E1">
        <w:rPr>
          <w:rFonts w:asciiTheme="majorHAnsi" w:hAnsiTheme="majorHAnsi" w:cstheme="majorHAnsi"/>
        </w:rPr>
        <w:t>7</w:t>
      </w:r>
      <w:r w:rsidRPr="00E676E1">
        <w:rPr>
          <w:rFonts w:asciiTheme="majorHAnsi" w:hAnsiTheme="majorHAnsi" w:cstheme="majorHAnsi"/>
        </w:rPr>
        <w:t xml:space="preserve">%) and IBD-unclassified (IBD-U) in 11 (3.4%). </w:t>
      </w:r>
    </w:p>
    <w:p w14:paraId="0F48830B" w14:textId="00784A6D" w:rsidR="00796402" w:rsidRDefault="00796402" w:rsidP="005A3893">
      <w:pPr>
        <w:spacing w:after="0"/>
        <w:rPr>
          <w:rFonts w:asciiTheme="majorHAnsi" w:hAnsiTheme="majorHAnsi" w:cstheme="majorHAnsi"/>
        </w:rPr>
      </w:pPr>
      <w:r>
        <w:rPr>
          <w:rFonts w:asciiTheme="majorHAnsi" w:hAnsiTheme="majorHAnsi" w:cstheme="majorHAnsi"/>
        </w:rPr>
        <w:br w:type="page"/>
      </w:r>
    </w:p>
    <w:tbl>
      <w:tblPr>
        <w:tblStyle w:val="TableGrid"/>
        <w:tblW w:w="9020" w:type="dxa"/>
        <w:tblInd w:w="0" w:type="dxa"/>
        <w:tblLook w:val="04A0" w:firstRow="1" w:lastRow="0" w:firstColumn="1" w:lastColumn="0" w:noHBand="0" w:noVBand="1"/>
      </w:tblPr>
      <w:tblGrid>
        <w:gridCol w:w="3119"/>
        <w:gridCol w:w="77"/>
        <w:gridCol w:w="2416"/>
        <w:gridCol w:w="97"/>
        <w:gridCol w:w="1693"/>
        <w:gridCol w:w="16"/>
        <w:gridCol w:w="1513"/>
        <w:gridCol w:w="89"/>
      </w:tblGrid>
      <w:tr w:rsidR="00796402" w:rsidRPr="00363D05" w14:paraId="3C43C22D" w14:textId="77777777" w:rsidTr="00BB0973">
        <w:trPr>
          <w:trHeight w:val="272"/>
        </w:trPr>
        <w:tc>
          <w:tcPr>
            <w:tcW w:w="0" w:type="auto"/>
            <w:gridSpan w:val="2"/>
            <w:vMerge w:val="restart"/>
          </w:tcPr>
          <w:p w14:paraId="5EB12AA4" w14:textId="77777777" w:rsidR="00796402" w:rsidRPr="00363D05" w:rsidRDefault="00796402" w:rsidP="00BB0973">
            <w:pPr>
              <w:rPr>
                <w:rFonts w:asciiTheme="majorHAnsi" w:hAnsiTheme="majorHAnsi" w:cstheme="majorHAnsi"/>
              </w:rPr>
            </w:pPr>
          </w:p>
        </w:tc>
        <w:tc>
          <w:tcPr>
            <w:tcW w:w="4206" w:type="dxa"/>
            <w:gridSpan w:val="3"/>
          </w:tcPr>
          <w:p w14:paraId="4DBDC05A" w14:textId="77777777" w:rsidR="00796402" w:rsidRPr="00363D05" w:rsidRDefault="00796402" w:rsidP="00BB0973">
            <w:pPr>
              <w:spacing w:after="0"/>
              <w:jc w:val="center"/>
              <w:rPr>
                <w:rFonts w:asciiTheme="majorHAnsi" w:hAnsiTheme="majorHAnsi" w:cstheme="majorHAnsi"/>
              </w:rPr>
            </w:pPr>
            <w:r w:rsidRPr="00363D05">
              <w:rPr>
                <w:rFonts w:asciiTheme="majorHAnsi" w:hAnsiTheme="majorHAnsi" w:cstheme="majorHAnsi"/>
                <w:b/>
              </w:rPr>
              <w:t xml:space="preserve">Opioid prescribed </w:t>
            </w:r>
            <w:r>
              <w:rPr>
                <w:rFonts w:asciiTheme="majorHAnsi" w:hAnsiTheme="majorHAnsi" w:cstheme="majorHAnsi"/>
                <w:b/>
              </w:rPr>
              <w:t>at</w:t>
            </w:r>
            <w:r w:rsidRPr="00363D05">
              <w:rPr>
                <w:rFonts w:asciiTheme="majorHAnsi" w:hAnsiTheme="majorHAnsi" w:cstheme="majorHAnsi"/>
                <w:b/>
              </w:rPr>
              <w:t xml:space="preserve"> hospital discharge</w:t>
            </w:r>
            <w:r w:rsidRPr="00363D05">
              <w:rPr>
                <w:rFonts w:asciiTheme="majorHAnsi" w:eastAsia="Open Sans" w:hAnsiTheme="majorHAnsi" w:cstheme="majorHAnsi"/>
                <w:b/>
                <w:color w:val="1C1D1E"/>
                <w:vertAlign w:val="superscript"/>
              </w:rPr>
              <w:t xml:space="preserve"> †</w:t>
            </w:r>
          </w:p>
        </w:tc>
        <w:tc>
          <w:tcPr>
            <w:tcW w:w="1618" w:type="dxa"/>
            <w:gridSpan w:val="3"/>
          </w:tcPr>
          <w:p w14:paraId="03891052" w14:textId="77777777" w:rsidR="00796402" w:rsidRPr="00363D05" w:rsidRDefault="00796402" w:rsidP="00BB0973">
            <w:pPr>
              <w:spacing w:after="0"/>
              <w:jc w:val="center"/>
              <w:rPr>
                <w:rFonts w:asciiTheme="majorHAnsi" w:hAnsiTheme="majorHAnsi" w:cstheme="majorHAnsi"/>
                <w:b/>
                <w:bCs/>
              </w:rPr>
            </w:pPr>
            <w:r w:rsidRPr="00363D05">
              <w:rPr>
                <w:rFonts w:asciiTheme="majorHAnsi" w:hAnsiTheme="majorHAnsi" w:cstheme="majorHAnsi"/>
                <w:b/>
                <w:bCs/>
              </w:rPr>
              <w:t>All patients</w:t>
            </w:r>
          </w:p>
        </w:tc>
      </w:tr>
      <w:tr w:rsidR="00796402" w:rsidRPr="00363D05" w14:paraId="5FF83EE1" w14:textId="77777777" w:rsidTr="00BB0973">
        <w:trPr>
          <w:trHeight w:val="272"/>
        </w:trPr>
        <w:tc>
          <w:tcPr>
            <w:tcW w:w="0" w:type="auto"/>
            <w:gridSpan w:val="2"/>
            <w:vMerge/>
          </w:tcPr>
          <w:p w14:paraId="0E7D0E85" w14:textId="77777777" w:rsidR="00796402" w:rsidRPr="00363D05" w:rsidRDefault="00796402" w:rsidP="00BB0973">
            <w:pPr>
              <w:rPr>
                <w:rFonts w:asciiTheme="majorHAnsi" w:hAnsiTheme="majorHAnsi" w:cstheme="majorHAnsi"/>
              </w:rPr>
            </w:pPr>
          </w:p>
        </w:tc>
        <w:tc>
          <w:tcPr>
            <w:tcW w:w="2513" w:type="dxa"/>
            <w:gridSpan w:val="2"/>
          </w:tcPr>
          <w:p w14:paraId="6EA2B372" w14:textId="77777777" w:rsidR="00796402" w:rsidRPr="00363D05" w:rsidRDefault="00796402" w:rsidP="00BB0973">
            <w:pPr>
              <w:spacing w:after="0"/>
              <w:ind w:left="565"/>
              <w:rPr>
                <w:rFonts w:asciiTheme="majorHAnsi" w:hAnsiTheme="majorHAnsi" w:cstheme="majorHAnsi"/>
              </w:rPr>
            </w:pPr>
            <w:r w:rsidRPr="00363D05">
              <w:rPr>
                <w:rFonts w:asciiTheme="majorHAnsi" w:hAnsiTheme="majorHAnsi" w:cstheme="majorHAnsi"/>
              </w:rPr>
              <w:t xml:space="preserve">No (N=235) </w:t>
            </w:r>
          </w:p>
        </w:tc>
        <w:tc>
          <w:tcPr>
            <w:tcW w:w="1693" w:type="dxa"/>
          </w:tcPr>
          <w:p w14:paraId="72CAFFEB" w14:textId="77777777" w:rsidR="00796402" w:rsidRPr="00363D05" w:rsidRDefault="00796402" w:rsidP="00BB0973">
            <w:pPr>
              <w:spacing w:after="0"/>
              <w:rPr>
                <w:rFonts w:asciiTheme="majorHAnsi" w:hAnsiTheme="majorHAnsi" w:cstheme="majorHAnsi"/>
              </w:rPr>
            </w:pPr>
            <w:r w:rsidRPr="00363D05">
              <w:rPr>
                <w:rFonts w:asciiTheme="majorHAnsi" w:hAnsiTheme="majorHAnsi" w:cstheme="majorHAnsi"/>
              </w:rPr>
              <w:t xml:space="preserve">Yes (N=89) </w:t>
            </w:r>
          </w:p>
        </w:tc>
        <w:tc>
          <w:tcPr>
            <w:tcW w:w="1618" w:type="dxa"/>
            <w:gridSpan w:val="3"/>
          </w:tcPr>
          <w:p w14:paraId="70C8BC99" w14:textId="77777777" w:rsidR="00796402" w:rsidRPr="00363D05" w:rsidRDefault="00796402" w:rsidP="00BB0973">
            <w:pPr>
              <w:spacing w:after="0"/>
              <w:rPr>
                <w:rFonts w:asciiTheme="majorHAnsi" w:hAnsiTheme="majorHAnsi" w:cstheme="majorHAnsi"/>
              </w:rPr>
            </w:pPr>
            <w:r w:rsidRPr="00363D05">
              <w:rPr>
                <w:rFonts w:asciiTheme="majorHAnsi" w:hAnsiTheme="majorHAnsi" w:cstheme="majorHAnsi"/>
              </w:rPr>
              <w:t xml:space="preserve">Total (N=324) </w:t>
            </w:r>
          </w:p>
        </w:tc>
      </w:tr>
      <w:tr w:rsidR="00796402" w:rsidRPr="00363D05" w14:paraId="1201AD19" w14:textId="77777777" w:rsidTr="00BB0973">
        <w:trPr>
          <w:trHeight w:val="272"/>
        </w:trPr>
        <w:tc>
          <w:tcPr>
            <w:tcW w:w="3196" w:type="dxa"/>
            <w:gridSpan w:val="2"/>
          </w:tcPr>
          <w:p w14:paraId="51911CF9" w14:textId="77777777" w:rsidR="00796402" w:rsidRPr="00363D05" w:rsidRDefault="00796402" w:rsidP="00BB0973">
            <w:pPr>
              <w:spacing w:before="120" w:after="0"/>
              <w:rPr>
                <w:rFonts w:asciiTheme="majorHAnsi" w:hAnsiTheme="majorHAnsi" w:cstheme="majorHAnsi"/>
              </w:rPr>
            </w:pPr>
            <w:r w:rsidRPr="00363D05">
              <w:rPr>
                <w:rFonts w:asciiTheme="majorHAnsi" w:hAnsiTheme="majorHAnsi" w:cstheme="majorHAnsi"/>
                <w:b/>
              </w:rPr>
              <w:t xml:space="preserve">Age (Years) </w:t>
            </w:r>
          </w:p>
        </w:tc>
        <w:tc>
          <w:tcPr>
            <w:tcW w:w="2513" w:type="dxa"/>
            <w:gridSpan w:val="2"/>
          </w:tcPr>
          <w:p w14:paraId="47115120" w14:textId="77777777" w:rsidR="00796402" w:rsidRPr="00363D05" w:rsidRDefault="00796402" w:rsidP="00BB0973">
            <w:pPr>
              <w:spacing w:before="120" w:after="0"/>
              <w:rPr>
                <w:rFonts w:asciiTheme="majorHAnsi" w:hAnsiTheme="majorHAnsi" w:cstheme="majorHAnsi"/>
              </w:rPr>
            </w:pPr>
          </w:p>
        </w:tc>
        <w:tc>
          <w:tcPr>
            <w:tcW w:w="1693" w:type="dxa"/>
          </w:tcPr>
          <w:p w14:paraId="7E621C34" w14:textId="77777777" w:rsidR="00796402" w:rsidRPr="00363D05" w:rsidRDefault="00796402" w:rsidP="00BB0973">
            <w:pPr>
              <w:spacing w:before="120" w:after="0"/>
              <w:rPr>
                <w:rFonts w:asciiTheme="majorHAnsi" w:hAnsiTheme="majorHAnsi" w:cstheme="majorHAnsi"/>
              </w:rPr>
            </w:pPr>
          </w:p>
        </w:tc>
        <w:tc>
          <w:tcPr>
            <w:tcW w:w="1618" w:type="dxa"/>
            <w:gridSpan w:val="3"/>
          </w:tcPr>
          <w:p w14:paraId="14E0E018" w14:textId="77777777" w:rsidR="00796402" w:rsidRPr="00363D05" w:rsidRDefault="00796402" w:rsidP="00BB0973">
            <w:pPr>
              <w:spacing w:before="120" w:after="0"/>
              <w:rPr>
                <w:rFonts w:asciiTheme="majorHAnsi" w:hAnsiTheme="majorHAnsi" w:cstheme="majorHAnsi"/>
              </w:rPr>
            </w:pPr>
          </w:p>
        </w:tc>
      </w:tr>
      <w:tr w:rsidR="00796402" w:rsidRPr="00363D05" w14:paraId="64243A3E" w14:textId="77777777" w:rsidTr="00BB0973">
        <w:trPr>
          <w:trHeight w:val="272"/>
        </w:trPr>
        <w:tc>
          <w:tcPr>
            <w:tcW w:w="3196" w:type="dxa"/>
            <w:gridSpan w:val="2"/>
          </w:tcPr>
          <w:p w14:paraId="655A4A48" w14:textId="77777777" w:rsidR="00796402" w:rsidRPr="00363D05" w:rsidRDefault="00796402" w:rsidP="00BB0973">
            <w:pPr>
              <w:spacing w:before="120" w:after="0"/>
              <w:rPr>
                <w:rFonts w:asciiTheme="majorHAnsi" w:hAnsiTheme="majorHAnsi" w:cstheme="majorHAnsi"/>
              </w:rPr>
            </w:pPr>
            <w:r w:rsidRPr="00363D05">
              <w:rPr>
                <w:rFonts w:asciiTheme="majorHAnsi" w:hAnsiTheme="majorHAnsi" w:cstheme="majorHAnsi"/>
              </w:rPr>
              <w:t>&lt;40</w:t>
            </w:r>
          </w:p>
        </w:tc>
        <w:tc>
          <w:tcPr>
            <w:tcW w:w="2513" w:type="dxa"/>
            <w:gridSpan w:val="2"/>
          </w:tcPr>
          <w:p w14:paraId="53E0A0D2"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132 (56.2%)</w:t>
            </w:r>
          </w:p>
        </w:tc>
        <w:tc>
          <w:tcPr>
            <w:tcW w:w="1693" w:type="dxa"/>
          </w:tcPr>
          <w:p w14:paraId="6B866B02"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51 (57.3%)</w:t>
            </w:r>
          </w:p>
        </w:tc>
        <w:tc>
          <w:tcPr>
            <w:tcW w:w="1618" w:type="dxa"/>
            <w:gridSpan w:val="3"/>
          </w:tcPr>
          <w:p w14:paraId="1EC419F3"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183 (56.5%)</w:t>
            </w:r>
          </w:p>
        </w:tc>
      </w:tr>
      <w:tr w:rsidR="00796402" w:rsidRPr="00363D05" w14:paraId="7044D052" w14:textId="77777777" w:rsidTr="00BB0973">
        <w:trPr>
          <w:trHeight w:val="272"/>
        </w:trPr>
        <w:tc>
          <w:tcPr>
            <w:tcW w:w="3196" w:type="dxa"/>
            <w:gridSpan w:val="2"/>
          </w:tcPr>
          <w:p w14:paraId="5CDB5ADA" w14:textId="77777777" w:rsidR="00796402" w:rsidRPr="00363D05" w:rsidRDefault="00796402" w:rsidP="00BB0973">
            <w:pPr>
              <w:spacing w:before="120" w:after="0"/>
              <w:rPr>
                <w:rFonts w:asciiTheme="majorHAnsi" w:hAnsiTheme="majorHAnsi" w:cstheme="majorHAnsi"/>
              </w:rPr>
            </w:pPr>
            <w:r w:rsidRPr="00363D05">
              <w:rPr>
                <w:rFonts w:asciiTheme="majorHAnsi" w:hAnsiTheme="majorHAnsi" w:cstheme="majorHAnsi"/>
              </w:rPr>
              <w:t>40-60 years</w:t>
            </w:r>
          </w:p>
        </w:tc>
        <w:tc>
          <w:tcPr>
            <w:tcW w:w="2513" w:type="dxa"/>
            <w:gridSpan w:val="2"/>
          </w:tcPr>
          <w:p w14:paraId="66394079"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69 (29.4%)</w:t>
            </w:r>
          </w:p>
        </w:tc>
        <w:tc>
          <w:tcPr>
            <w:tcW w:w="1693" w:type="dxa"/>
          </w:tcPr>
          <w:p w14:paraId="3D6B55A6"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27 (30.3%)</w:t>
            </w:r>
          </w:p>
        </w:tc>
        <w:tc>
          <w:tcPr>
            <w:tcW w:w="1618" w:type="dxa"/>
            <w:gridSpan w:val="3"/>
          </w:tcPr>
          <w:p w14:paraId="59C1862A"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96 (29.6%)</w:t>
            </w:r>
          </w:p>
        </w:tc>
      </w:tr>
      <w:tr w:rsidR="00796402" w:rsidRPr="00363D05" w14:paraId="389C63E4" w14:textId="77777777" w:rsidTr="00BB0973">
        <w:trPr>
          <w:trHeight w:val="272"/>
        </w:trPr>
        <w:tc>
          <w:tcPr>
            <w:tcW w:w="3196" w:type="dxa"/>
            <w:gridSpan w:val="2"/>
          </w:tcPr>
          <w:p w14:paraId="1AF8DC8B" w14:textId="77777777" w:rsidR="00796402" w:rsidRPr="00363D05" w:rsidRDefault="00796402" w:rsidP="00BB0973">
            <w:pPr>
              <w:spacing w:before="120" w:after="0"/>
              <w:rPr>
                <w:rFonts w:asciiTheme="majorHAnsi" w:hAnsiTheme="majorHAnsi" w:cstheme="majorHAnsi"/>
              </w:rPr>
            </w:pPr>
            <w:r>
              <w:rPr>
                <w:rFonts w:asciiTheme="majorHAnsi" w:hAnsiTheme="majorHAnsi" w:cstheme="majorHAnsi"/>
              </w:rPr>
              <w:t>&gt;60</w:t>
            </w:r>
            <w:r w:rsidRPr="00363D05">
              <w:rPr>
                <w:rFonts w:asciiTheme="majorHAnsi" w:hAnsiTheme="majorHAnsi" w:cstheme="majorHAnsi"/>
              </w:rPr>
              <w:t xml:space="preserve"> years</w:t>
            </w:r>
          </w:p>
        </w:tc>
        <w:tc>
          <w:tcPr>
            <w:tcW w:w="2513" w:type="dxa"/>
            <w:gridSpan w:val="2"/>
          </w:tcPr>
          <w:p w14:paraId="5831729F"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34 (14.5%)</w:t>
            </w:r>
          </w:p>
        </w:tc>
        <w:tc>
          <w:tcPr>
            <w:tcW w:w="1693" w:type="dxa"/>
          </w:tcPr>
          <w:p w14:paraId="7C072B74"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11 (12.4%)</w:t>
            </w:r>
          </w:p>
        </w:tc>
        <w:tc>
          <w:tcPr>
            <w:tcW w:w="1618" w:type="dxa"/>
            <w:gridSpan w:val="3"/>
          </w:tcPr>
          <w:p w14:paraId="3A1AFE59"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45 (13.9%)</w:t>
            </w:r>
          </w:p>
        </w:tc>
      </w:tr>
      <w:tr w:rsidR="00796402" w:rsidRPr="00363D05" w14:paraId="296DE6A5" w14:textId="77777777" w:rsidTr="00BB0973">
        <w:trPr>
          <w:trHeight w:val="272"/>
        </w:trPr>
        <w:tc>
          <w:tcPr>
            <w:tcW w:w="3196" w:type="dxa"/>
            <w:gridSpan w:val="2"/>
          </w:tcPr>
          <w:p w14:paraId="62B0E736" w14:textId="77777777" w:rsidR="00796402" w:rsidRPr="00363D05" w:rsidRDefault="00796402" w:rsidP="00BB0973">
            <w:pPr>
              <w:spacing w:before="120" w:after="0"/>
              <w:rPr>
                <w:rFonts w:asciiTheme="majorHAnsi" w:hAnsiTheme="majorHAnsi" w:cstheme="majorHAnsi"/>
              </w:rPr>
            </w:pPr>
            <w:r w:rsidRPr="00363D05">
              <w:rPr>
                <w:rFonts w:asciiTheme="majorHAnsi" w:hAnsiTheme="majorHAnsi" w:cstheme="majorHAnsi"/>
                <w:b/>
              </w:rPr>
              <w:t xml:space="preserve">Sex </w:t>
            </w:r>
          </w:p>
        </w:tc>
        <w:tc>
          <w:tcPr>
            <w:tcW w:w="2513" w:type="dxa"/>
            <w:gridSpan w:val="2"/>
          </w:tcPr>
          <w:p w14:paraId="37A2E41A" w14:textId="77777777" w:rsidR="00796402" w:rsidRPr="00363D05" w:rsidRDefault="00796402" w:rsidP="00BB0973">
            <w:pPr>
              <w:spacing w:before="120" w:after="0"/>
              <w:rPr>
                <w:rFonts w:asciiTheme="majorHAnsi" w:hAnsiTheme="majorHAnsi" w:cstheme="majorHAnsi"/>
              </w:rPr>
            </w:pPr>
          </w:p>
        </w:tc>
        <w:tc>
          <w:tcPr>
            <w:tcW w:w="1693" w:type="dxa"/>
          </w:tcPr>
          <w:p w14:paraId="7F1578FB" w14:textId="77777777" w:rsidR="00796402" w:rsidRPr="00363D05" w:rsidRDefault="00796402" w:rsidP="00BB0973">
            <w:pPr>
              <w:spacing w:before="120" w:after="0"/>
              <w:rPr>
                <w:rFonts w:asciiTheme="majorHAnsi" w:hAnsiTheme="majorHAnsi" w:cstheme="majorHAnsi"/>
              </w:rPr>
            </w:pPr>
          </w:p>
        </w:tc>
        <w:tc>
          <w:tcPr>
            <w:tcW w:w="1618" w:type="dxa"/>
            <w:gridSpan w:val="3"/>
          </w:tcPr>
          <w:p w14:paraId="75CF3695" w14:textId="77777777" w:rsidR="00796402" w:rsidRPr="00363D05" w:rsidRDefault="00796402" w:rsidP="00BB0973">
            <w:pPr>
              <w:spacing w:before="120" w:after="0"/>
              <w:rPr>
                <w:rFonts w:asciiTheme="majorHAnsi" w:hAnsiTheme="majorHAnsi" w:cstheme="majorHAnsi"/>
              </w:rPr>
            </w:pPr>
          </w:p>
        </w:tc>
      </w:tr>
      <w:tr w:rsidR="00796402" w:rsidRPr="00363D05" w14:paraId="05BE9F72" w14:textId="77777777" w:rsidTr="00BB0973">
        <w:trPr>
          <w:trHeight w:val="272"/>
        </w:trPr>
        <w:tc>
          <w:tcPr>
            <w:tcW w:w="3196" w:type="dxa"/>
            <w:gridSpan w:val="2"/>
          </w:tcPr>
          <w:p w14:paraId="78360CCC" w14:textId="77777777" w:rsidR="00796402" w:rsidRPr="00363D05" w:rsidRDefault="00796402" w:rsidP="00BB0973">
            <w:pPr>
              <w:spacing w:before="120" w:after="0"/>
              <w:rPr>
                <w:rFonts w:asciiTheme="majorHAnsi" w:hAnsiTheme="majorHAnsi" w:cstheme="majorHAnsi"/>
              </w:rPr>
            </w:pPr>
            <w:r w:rsidRPr="00363D05">
              <w:rPr>
                <w:rFonts w:asciiTheme="majorHAnsi" w:hAnsiTheme="majorHAnsi" w:cstheme="majorHAnsi"/>
              </w:rPr>
              <w:t xml:space="preserve">Male </w:t>
            </w:r>
          </w:p>
        </w:tc>
        <w:tc>
          <w:tcPr>
            <w:tcW w:w="2513" w:type="dxa"/>
            <w:gridSpan w:val="2"/>
          </w:tcPr>
          <w:p w14:paraId="4C95EB8A"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114 (48.5%)</w:t>
            </w:r>
          </w:p>
        </w:tc>
        <w:tc>
          <w:tcPr>
            <w:tcW w:w="1693" w:type="dxa"/>
          </w:tcPr>
          <w:p w14:paraId="2E79E9AC"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47 (52.8%)</w:t>
            </w:r>
          </w:p>
        </w:tc>
        <w:tc>
          <w:tcPr>
            <w:tcW w:w="1618" w:type="dxa"/>
            <w:gridSpan w:val="3"/>
          </w:tcPr>
          <w:p w14:paraId="16062B7A"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161 (49.7%)</w:t>
            </w:r>
          </w:p>
        </w:tc>
      </w:tr>
      <w:tr w:rsidR="00796402" w:rsidRPr="00363D05" w14:paraId="2231B1F5" w14:textId="77777777" w:rsidTr="00BB0973">
        <w:trPr>
          <w:trHeight w:val="272"/>
        </w:trPr>
        <w:tc>
          <w:tcPr>
            <w:tcW w:w="3196" w:type="dxa"/>
            <w:gridSpan w:val="2"/>
          </w:tcPr>
          <w:p w14:paraId="7CF78DC2" w14:textId="77777777" w:rsidR="00796402" w:rsidRPr="00363D05" w:rsidRDefault="00796402" w:rsidP="00BB0973">
            <w:pPr>
              <w:spacing w:before="120" w:after="0"/>
              <w:rPr>
                <w:rFonts w:asciiTheme="majorHAnsi" w:hAnsiTheme="majorHAnsi" w:cstheme="majorHAnsi"/>
              </w:rPr>
            </w:pPr>
            <w:r w:rsidRPr="00363D05">
              <w:rPr>
                <w:rFonts w:asciiTheme="majorHAnsi" w:hAnsiTheme="majorHAnsi" w:cstheme="majorHAnsi"/>
              </w:rPr>
              <w:t xml:space="preserve">Female </w:t>
            </w:r>
          </w:p>
        </w:tc>
        <w:tc>
          <w:tcPr>
            <w:tcW w:w="2513" w:type="dxa"/>
            <w:gridSpan w:val="2"/>
          </w:tcPr>
          <w:p w14:paraId="40065844"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121 (51.5%)</w:t>
            </w:r>
          </w:p>
        </w:tc>
        <w:tc>
          <w:tcPr>
            <w:tcW w:w="1693" w:type="dxa"/>
          </w:tcPr>
          <w:p w14:paraId="4E750E3B"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42 (47.2%)</w:t>
            </w:r>
          </w:p>
        </w:tc>
        <w:tc>
          <w:tcPr>
            <w:tcW w:w="1618" w:type="dxa"/>
            <w:gridSpan w:val="3"/>
          </w:tcPr>
          <w:p w14:paraId="7BAFCBFD"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163 (50.3%)</w:t>
            </w:r>
          </w:p>
        </w:tc>
      </w:tr>
      <w:tr w:rsidR="00796402" w:rsidRPr="00363D05" w14:paraId="32035F21" w14:textId="77777777" w:rsidTr="00BB0973">
        <w:trPr>
          <w:trHeight w:val="272"/>
        </w:trPr>
        <w:tc>
          <w:tcPr>
            <w:tcW w:w="3196" w:type="dxa"/>
            <w:gridSpan w:val="2"/>
          </w:tcPr>
          <w:p w14:paraId="6784C005" w14:textId="77777777" w:rsidR="00796402" w:rsidRPr="00363D05" w:rsidRDefault="00796402" w:rsidP="00BB0973">
            <w:pPr>
              <w:spacing w:before="120" w:after="0"/>
              <w:rPr>
                <w:rFonts w:asciiTheme="majorHAnsi" w:hAnsiTheme="majorHAnsi" w:cstheme="majorHAnsi"/>
              </w:rPr>
            </w:pPr>
            <w:r>
              <w:rPr>
                <w:rFonts w:asciiTheme="majorHAnsi" w:hAnsiTheme="majorHAnsi" w:cstheme="majorHAnsi"/>
                <w:b/>
              </w:rPr>
              <w:t xml:space="preserve">IBD </w:t>
            </w:r>
            <w:r w:rsidRPr="00363D05">
              <w:rPr>
                <w:rFonts w:asciiTheme="majorHAnsi" w:hAnsiTheme="majorHAnsi" w:cstheme="majorHAnsi"/>
                <w:b/>
              </w:rPr>
              <w:t xml:space="preserve">type </w:t>
            </w:r>
          </w:p>
        </w:tc>
        <w:tc>
          <w:tcPr>
            <w:tcW w:w="2513" w:type="dxa"/>
            <w:gridSpan w:val="2"/>
          </w:tcPr>
          <w:p w14:paraId="6AC76C9C" w14:textId="77777777" w:rsidR="00796402" w:rsidRPr="00363D05" w:rsidRDefault="00796402" w:rsidP="00BB0973">
            <w:pPr>
              <w:spacing w:before="120" w:after="0"/>
              <w:rPr>
                <w:rFonts w:asciiTheme="majorHAnsi" w:hAnsiTheme="majorHAnsi" w:cstheme="majorHAnsi"/>
              </w:rPr>
            </w:pPr>
          </w:p>
        </w:tc>
        <w:tc>
          <w:tcPr>
            <w:tcW w:w="1693" w:type="dxa"/>
          </w:tcPr>
          <w:p w14:paraId="7F9E92FB" w14:textId="77777777" w:rsidR="00796402" w:rsidRPr="00363D05" w:rsidRDefault="00796402" w:rsidP="00BB0973">
            <w:pPr>
              <w:spacing w:before="120" w:after="0"/>
              <w:rPr>
                <w:rFonts w:asciiTheme="majorHAnsi" w:hAnsiTheme="majorHAnsi" w:cstheme="majorHAnsi"/>
              </w:rPr>
            </w:pPr>
          </w:p>
        </w:tc>
        <w:tc>
          <w:tcPr>
            <w:tcW w:w="1618" w:type="dxa"/>
            <w:gridSpan w:val="3"/>
          </w:tcPr>
          <w:p w14:paraId="0179A032" w14:textId="77777777" w:rsidR="00796402" w:rsidRPr="00363D05" w:rsidRDefault="00796402" w:rsidP="00BB0973">
            <w:pPr>
              <w:spacing w:before="120" w:after="0"/>
              <w:rPr>
                <w:rFonts w:asciiTheme="majorHAnsi" w:hAnsiTheme="majorHAnsi" w:cstheme="majorHAnsi"/>
              </w:rPr>
            </w:pPr>
          </w:p>
        </w:tc>
      </w:tr>
      <w:tr w:rsidR="00796402" w:rsidRPr="00363D05" w14:paraId="15275111" w14:textId="77777777" w:rsidTr="00BB0973">
        <w:trPr>
          <w:trHeight w:val="272"/>
        </w:trPr>
        <w:tc>
          <w:tcPr>
            <w:tcW w:w="3196" w:type="dxa"/>
            <w:gridSpan w:val="2"/>
          </w:tcPr>
          <w:p w14:paraId="46653AF9" w14:textId="77777777" w:rsidR="00796402" w:rsidRPr="00363D05" w:rsidRDefault="00796402" w:rsidP="00BB0973">
            <w:pPr>
              <w:spacing w:before="120" w:after="0"/>
              <w:rPr>
                <w:rFonts w:asciiTheme="majorHAnsi" w:hAnsiTheme="majorHAnsi" w:cstheme="majorHAnsi"/>
              </w:rPr>
            </w:pPr>
            <w:r w:rsidRPr="00363D05">
              <w:rPr>
                <w:rFonts w:asciiTheme="majorHAnsi" w:hAnsiTheme="majorHAnsi" w:cstheme="majorHAnsi"/>
              </w:rPr>
              <w:t xml:space="preserve">Ulcerative colitis </w:t>
            </w:r>
          </w:p>
        </w:tc>
        <w:tc>
          <w:tcPr>
            <w:tcW w:w="2513" w:type="dxa"/>
            <w:gridSpan w:val="2"/>
          </w:tcPr>
          <w:p w14:paraId="34943A76"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119 (%0.6%)</w:t>
            </w:r>
          </w:p>
        </w:tc>
        <w:tc>
          <w:tcPr>
            <w:tcW w:w="1693" w:type="dxa"/>
          </w:tcPr>
          <w:p w14:paraId="3593947D"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13 (14.6%)</w:t>
            </w:r>
          </w:p>
        </w:tc>
        <w:tc>
          <w:tcPr>
            <w:tcW w:w="1618" w:type="dxa"/>
            <w:gridSpan w:val="3"/>
          </w:tcPr>
          <w:p w14:paraId="79B44E28"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132 (40.7%)</w:t>
            </w:r>
          </w:p>
        </w:tc>
      </w:tr>
      <w:tr w:rsidR="00796402" w:rsidRPr="00363D05" w14:paraId="5A76575F" w14:textId="77777777" w:rsidTr="00BB0973">
        <w:trPr>
          <w:trHeight w:val="272"/>
        </w:trPr>
        <w:tc>
          <w:tcPr>
            <w:tcW w:w="3196" w:type="dxa"/>
            <w:gridSpan w:val="2"/>
          </w:tcPr>
          <w:p w14:paraId="205DA875" w14:textId="77777777" w:rsidR="00796402" w:rsidRPr="00363D05" w:rsidRDefault="00796402" w:rsidP="00BB0973">
            <w:pPr>
              <w:spacing w:before="120" w:after="0"/>
              <w:rPr>
                <w:rFonts w:asciiTheme="majorHAnsi" w:hAnsiTheme="majorHAnsi" w:cstheme="majorHAnsi"/>
              </w:rPr>
            </w:pPr>
            <w:r w:rsidRPr="00363D05">
              <w:rPr>
                <w:rFonts w:asciiTheme="majorHAnsi" w:hAnsiTheme="majorHAnsi" w:cstheme="majorHAnsi"/>
              </w:rPr>
              <w:t xml:space="preserve">Crohn’s disease </w:t>
            </w:r>
          </w:p>
        </w:tc>
        <w:tc>
          <w:tcPr>
            <w:tcW w:w="2513" w:type="dxa"/>
            <w:gridSpan w:val="2"/>
          </w:tcPr>
          <w:p w14:paraId="44145B95"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104 (44.3%)</w:t>
            </w:r>
          </w:p>
        </w:tc>
        <w:tc>
          <w:tcPr>
            <w:tcW w:w="1693" w:type="dxa"/>
          </w:tcPr>
          <w:p w14:paraId="5C0A3D1E"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73 (82.0%)</w:t>
            </w:r>
          </w:p>
        </w:tc>
        <w:tc>
          <w:tcPr>
            <w:tcW w:w="1618" w:type="dxa"/>
            <w:gridSpan w:val="3"/>
          </w:tcPr>
          <w:p w14:paraId="0FD78783"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177 (54.6%)</w:t>
            </w:r>
          </w:p>
        </w:tc>
      </w:tr>
      <w:tr w:rsidR="00796402" w:rsidRPr="00363D05" w14:paraId="59B70F98" w14:textId="77777777" w:rsidTr="00BB0973">
        <w:trPr>
          <w:trHeight w:val="272"/>
        </w:trPr>
        <w:tc>
          <w:tcPr>
            <w:tcW w:w="3196" w:type="dxa"/>
            <w:gridSpan w:val="2"/>
          </w:tcPr>
          <w:p w14:paraId="0902CCDA" w14:textId="77777777" w:rsidR="00796402" w:rsidRPr="00363D05" w:rsidRDefault="00796402" w:rsidP="00BB0973">
            <w:pPr>
              <w:spacing w:before="120" w:after="0"/>
              <w:rPr>
                <w:rFonts w:asciiTheme="majorHAnsi" w:hAnsiTheme="majorHAnsi" w:cstheme="majorHAnsi"/>
              </w:rPr>
            </w:pPr>
            <w:r w:rsidRPr="00363D05">
              <w:rPr>
                <w:rFonts w:asciiTheme="majorHAnsi" w:hAnsiTheme="majorHAnsi" w:cstheme="majorHAnsi"/>
              </w:rPr>
              <w:t xml:space="preserve">IBD-unclassified </w:t>
            </w:r>
          </w:p>
        </w:tc>
        <w:tc>
          <w:tcPr>
            <w:tcW w:w="2513" w:type="dxa"/>
            <w:gridSpan w:val="2"/>
          </w:tcPr>
          <w:p w14:paraId="4B798BE7"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8 (3.4%)</w:t>
            </w:r>
          </w:p>
        </w:tc>
        <w:tc>
          <w:tcPr>
            <w:tcW w:w="1693" w:type="dxa"/>
          </w:tcPr>
          <w:p w14:paraId="10F90C6A"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3 (3.4%)</w:t>
            </w:r>
          </w:p>
        </w:tc>
        <w:tc>
          <w:tcPr>
            <w:tcW w:w="1618" w:type="dxa"/>
            <w:gridSpan w:val="3"/>
          </w:tcPr>
          <w:p w14:paraId="3D5DFCC6"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11 (3.4%)</w:t>
            </w:r>
          </w:p>
        </w:tc>
      </w:tr>
      <w:tr w:rsidR="00796402" w:rsidRPr="00363D05" w14:paraId="42348019" w14:textId="77777777" w:rsidTr="00BB0973">
        <w:trPr>
          <w:trHeight w:val="272"/>
        </w:trPr>
        <w:tc>
          <w:tcPr>
            <w:tcW w:w="3196" w:type="dxa"/>
            <w:gridSpan w:val="2"/>
          </w:tcPr>
          <w:p w14:paraId="5EDE27FD" w14:textId="77777777" w:rsidR="00796402" w:rsidRPr="00363D05" w:rsidRDefault="00796402" w:rsidP="00BB0973">
            <w:pPr>
              <w:spacing w:before="120" w:after="0"/>
              <w:rPr>
                <w:rFonts w:asciiTheme="majorHAnsi" w:hAnsiTheme="majorHAnsi" w:cstheme="majorHAnsi"/>
              </w:rPr>
            </w:pPr>
            <w:r w:rsidRPr="00363D05">
              <w:rPr>
                <w:rFonts w:asciiTheme="majorHAnsi" w:hAnsiTheme="majorHAnsi" w:cstheme="majorHAnsi"/>
              </w:rPr>
              <w:t xml:space="preserve">IBD-not specified </w:t>
            </w:r>
          </w:p>
        </w:tc>
        <w:tc>
          <w:tcPr>
            <w:tcW w:w="2513" w:type="dxa"/>
            <w:gridSpan w:val="2"/>
          </w:tcPr>
          <w:p w14:paraId="0BB0F2B9"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4 (1.7%)</w:t>
            </w:r>
          </w:p>
        </w:tc>
        <w:tc>
          <w:tcPr>
            <w:tcW w:w="1693" w:type="dxa"/>
          </w:tcPr>
          <w:p w14:paraId="1E5C6692"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0 (0%)</w:t>
            </w:r>
          </w:p>
        </w:tc>
        <w:tc>
          <w:tcPr>
            <w:tcW w:w="1618" w:type="dxa"/>
            <w:gridSpan w:val="3"/>
          </w:tcPr>
          <w:p w14:paraId="59D7ADD4"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4 (1.2%)</w:t>
            </w:r>
          </w:p>
        </w:tc>
      </w:tr>
      <w:tr w:rsidR="00796402" w:rsidRPr="00363D05" w14:paraId="4C04E859" w14:textId="77777777" w:rsidTr="00BB0973">
        <w:trPr>
          <w:trHeight w:val="272"/>
        </w:trPr>
        <w:tc>
          <w:tcPr>
            <w:tcW w:w="3196" w:type="dxa"/>
            <w:gridSpan w:val="2"/>
          </w:tcPr>
          <w:p w14:paraId="73231000" w14:textId="77777777" w:rsidR="00796402" w:rsidRPr="00363D05" w:rsidRDefault="00796402" w:rsidP="00BB0973">
            <w:pPr>
              <w:spacing w:before="120" w:after="0"/>
              <w:rPr>
                <w:rFonts w:asciiTheme="majorHAnsi" w:hAnsiTheme="majorHAnsi" w:cstheme="majorHAnsi"/>
              </w:rPr>
            </w:pPr>
            <w:r w:rsidRPr="00363D05">
              <w:rPr>
                <w:rFonts w:asciiTheme="majorHAnsi" w:hAnsiTheme="majorHAnsi" w:cstheme="majorHAnsi"/>
                <w:b/>
              </w:rPr>
              <w:t xml:space="preserve">Previous surgery </w:t>
            </w:r>
          </w:p>
        </w:tc>
        <w:tc>
          <w:tcPr>
            <w:tcW w:w="2513" w:type="dxa"/>
            <w:gridSpan w:val="2"/>
          </w:tcPr>
          <w:p w14:paraId="2329D6CC" w14:textId="77777777" w:rsidR="00796402" w:rsidRPr="00363D05" w:rsidRDefault="00796402" w:rsidP="00BB0973">
            <w:pPr>
              <w:spacing w:before="120" w:after="0"/>
              <w:rPr>
                <w:rFonts w:asciiTheme="majorHAnsi" w:hAnsiTheme="majorHAnsi" w:cstheme="majorHAnsi"/>
              </w:rPr>
            </w:pPr>
          </w:p>
        </w:tc>
        <w:tc>
          <w:tcPr>
            <w:tcW w:w="1693" w:type="dxa"/>
          </w:tcPr>
          <w:p w14:paraId="17222142" w14:textId="77777777" w:rsidR="00796402" w:rsidRPr="00363D05" w:rsidRDefault="00796402" w:rsidP="00BB0973">
            <w:pPr>
              <w:spacing w:before="120" w:after="0"/>
              <w:rPr>
                <w:rFonts w:asciiTheme="majorHAnsi" w:hAnsiTheme="majorHAnsi" w:cstheme="majorHAnsi"/>
              </w:rPr>
            </w:pPr>
          </w:p>
        </w:tc>
        <w:tc>
          <w:tcPr>
            <w:tcW w:w="1618" w:type="dxa"/>
            <w:gridSpan w:val="3"/>
          </w:tcPr>
          <w:p w14:paraId="1362AFF4" w14:textId="77777777" w:rsidR="00796402" w:rsidRPr="00363D05" w:rsidRDefault="00796402" w:rsidP="00BB0973">
            <w:pPr>
              <w:spacing w:before="120" w:after="0"/>
              <w:rPr>
                <w:rFonts w:asciiTheme="majorHAnsi" w:hAnsiTheme="majorHAnsi" w:cstheme="majorHAnsi"/>
              </w:rPr>
            </w:pPr>
          </w:p>
        </w:tc>
      </w:tr>
      <w:tr w:rsidR="00796402" w:rsidRPr="00363D05" w14:paraId="1A5BAA27" w14:textId="77777777" w:rsidTr="00BB0973">
        <w:trPr>
          <w:trHeight w:val="272"/>
        </w:trPr>
        <w:tc>
          <w:tcPr>
            <w:tcW w:w="3196" w:type="dxa"/>
            <w:gridSpan w:val="2"/>
          </w:tcPr>
          <w:p w14:paraId="73528DD3" w14:textId="77777777" w:rsidR="00796402" w:rsidRPr="00363D05" w:rsidRDefault="00796402" w:rsidP="00BB0973">
            <w:pPr>
              <w:spacing w:before="120" w:after="0"/>
              <w:rPr>
                <w:rFonts w:asciiTheme="majorHAnsi" w:hAnsiTheme="majorHAnsi" w:cstheme="majorHAnsi"/>
              </w:rPr>
            </w:pPr>
            <w:r w:rsidRPr="00363D05">
              <w:rPr>
                <w:rFonts w:asciiTheme="majorHAnsi" w:hAnsiTheme="majorHAnsi" w:cstheme="majorHAnsi"/>
              </w:rPr>
              <w:t xml:space="preserve">No </w:t>
            </w:r>
          </w:p>
        </w:tc>
        <w:tc>
          <w:tcPr>
            <w:tcW w:w="2513" w:type="dxa"/>
            <w:gridSpan w:val="2"/>
          </w:tcPr>
          <w:p w14:paraId="4117BC48"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180 (76.6%)</w:t>
            </w:r>
          </w:p>
        </w:tc>
        <w:tc>
          <w:tcPr>
            <w:tcW w:w="1693" w:type="dxa"/>
          </w:tcPr>
          <w:p w14:paraId="469EEDE6"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37 (41.6%)</w:t>
            </w:r>
          </w:p>
        </w:tc>
        <w:tc>
          <w:tcPr>
            <w:tcW w:w="1618" w:type="dxa"/>
            <w:gridSpan w:val="3"/>
          </w:tcPr>
          <w:p w14:paraId="5A195EEE"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217 (67.0%)</w:t>
            </w:r>
          </w:p>
        </w:tc>
      </w:tr>
      <w:tr w:rsidR="00796402" w:rsidRPr="00363D05" w14:paraId="51D2A47A" w14:textId="77777777" w:rsidTr="00BB0973">
        <w:trPr>
          <w:trHeight w:val="272"/>
        </w:trPr>
        <w:tc>
          <w:tcPr>
            <w:tcW w:w="3196" w:type="dxa"/>
            <w:gridSpan w:val="2"/>
          </w:tcPr>
          <w:p w14:paraId="499B5DE7" w14:textId="77777777" w:rsidR="00796402" w:rsidRPr="00363D05" w:rsidRDefault="00796402" w:rsidP="00BB0973">
            <w:pPr>
              <w:spacing w:before="120" w:after="0"/>
              <w:rPr>
                <w:rFonts w:asciiTheme="majorHAnsi" w:hAnsiTheme="majorHAnsi" w:cstheme="majorHAnsi"/>
              </w:rPr>
            </w:pPr>
            <w:r w:rsidRPr="00363D05">
              <w:rPr>
                <w:rFonts w:asciiTheme="majorHAnsi" w:hAnsiTheme="majorHAnsi" w:cstheme="majorHAnsi"/>
              </w:rPr>
              <w:t xml:space="preserve">Yes </w:t>
            </w:r>
          </w:p>
        </w:tc>
        <w:tc>
          <w:tcPr>
            <w:tcW w:w="2513" w:type="dxa"/>
            <w:gridSpan w:val="2"/>
          </w:tcPr>
          <w:p w14:paraId="686E488C"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55 (23.4%)</w:t>
            </w:r>
          </w:p>
        </w:tc>
        <w:tc>
          <w:tcPr>
            <w:tcW w:w="1693" w:type="dxa"/>
          </w:tcPr>
          <w:p w14:paraId="69E216B2"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52 (58.4%)</w:t>
            </w:r>
          </w:p>
        </w:tc>
        <w:tc>
          <w:tcPr>
            <w:tcW w:w="1618" w:type="dxa"/>
            <w:gridSpan w:val="3"/>
          </w:tcPr>
          <w:p w14:paraId="218DA3D3"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107 (33.0%)</w:t>
            </w:r>
          </w:p>
        </w:tc>
      </w:tr>
      <w:tr w:rsidR="00796402" w:rsidRPr="00363D05" w14:paraId="62559B52" w14:textId="77777777" w:rsidTr="00BB0973">
        <w:trPr>
          <w:trHeight w:val="272"/>
        </w:trPr>
        <w:tc>
          <w:tcPr>
            <w:tcW w:w="5709" w:type="dxa"/>
            <w:gridSpan w:val="4"/>
          </w:tcPr>
          <w:p w14:paraId="18FCB975" w14:textId="77777777" w:rsidR="00796402" w:rsidRPr="00363D05" w:rsidRDefault="00796402" w:rsidP="00BB0973">
            <w:pPr>
              <w:spacing w:before="120" w:after="0"/>
              <w:rPr>
                <w:rFonts w:asciiTheme="majorHAnsi" w:hAnsiTheme="majorHAnsi" w:cstheme="majorHAnsi"/>
              </w:rPr>
            </w:pPr>
            <w:r w:rsidRPr="00363D05">
              <w:rPr>
                <w:rFonts w:asciiTheme="majorHAnsi" w:hAnsiTheme="majorHAnsi" w:cstheme="majorHAnsi"/>
                <w:b/>
              </w:rPr>
              <w:t xml:space="preserve">Duration of disease (years) </w:t>
            </w:r>
          </w:p>
        </w:tc>
        <w:tc>
          <w:tcPr>
            <w:tcW w:w="1693" w:type="dxa"/>
          </w:tcPr>
          <w:p w14:paraId="32638EE1" w14:textId="77777777" w:rsidR="00796402" w:rsidRPr="00363D05" w:rsidRDefault="00796402" w:rsidP="00BB0973">
            <w:pPr>
              <w:spacing w:before="120" w:after="0"/>
              <w:rPr>
                <w:rFonts w:asciiTheme="majorHAnsi" w:hAnsiTheme="majorHAnsi" w:cstheme="majorHAnsi"/>
              </w:rPr>
            </w:pPr>
          </w:p>
        </w:tc>
        <w:tc>
          <w:tcPr>
            <w:tcW w:w="1618" w:type="dxa"/>
            <w:gridSpan w:val="3"/>
          </w:tcPr>
          <w:p w14:paraId="306D0B41" w14:textId="77777777" w:rsidR="00796402" w:rsidRPr="00363D05" w:rsidRDefault="00796402" w:rsidP="00BB0973">
            <w:pPr>
              <w:spacing w:before="120" w:after="0"/>
              <w:rPr>
                <w:rFonts w:asciiTheme="majorHAnsi" w:hAnsiTheme="majorHAnsi" w:cstheme="majorHAnsi"/>
              </w:rPr>
            </w:pPr>
          </w:p>
        </w:tc>
      </w:tr>
      <w:tr w:rsidR="00796402" w:rsidRPr="00363D05" w14:paraId="59E46B50" w14:textId="77777777" w:rsidTr="00BB0973">
        <w:trPr>
          <w:trHeight w:val="272"/>
        </w:trPr>
        <w:tc>
          <w:tcPr>
            <w:tcW w:w="3196" w:type="dxa"/>
            <w:gridSpan w:val="2"/>
          </w:tcPr>
          <w:p w14:paraId="09348969" w14:textId="77777777" w:rsidR="00796402" w:rsidRPr="00363D05" w:rsidRDefault="00796402" w:rsidP="00BB0973">
            <w:pPr>
              <w:spacing w:before="120" w:after="0"/>
              <w:rPr>
                <w:rFonts w:asciiTheme="majorHAnsi" w:hAnsiTheme="majorHAnsi" w:cstheme="majorHAnsi"/>
              </w:rPr>
            </w:pPr>
            <w:r w:rsidRPr="00363D05">
              <w:rPr>
                <w:rFonts w:asciiTheme="majorHAnsi" w:hAnsiTheme="majorHAnsi" w:cstheme="majorHAnsi"/>
              </w:rPr>
              <w:t xml:space="preserve">0-5 </w:t>
            </w:r>
          </w:p>
        </w:tc>
        <w:tc>
          <w:tcPr>
            <w:tcW w:w="2513" w:type="dxa"/>
            <w:gridSpan w:val="2"/>
          </w:tcPr>
          <w:p w14:paraId="3F8834D8"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127 (54.0%)</w:t>
            </w:r>
          </w:p>
        </w:tc>
        <w:tc>
          <w:tcPr>
            <w:tcW w:w="1693" w:type="dxa"/>
          </w:tcPr>
          <w:p w14:paraId="6760290B"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36 (40.4%)</w:t>
            </w:r>
          </w:p>
        </w:tc>
        <w:tc>
          <w:tcPr>
            <w:tcW w:w="1618" w:type="dxa"/>
            <w:gridSpan w:val="3"/>
          </w:tcPr>
          <w:p w14:paraId="6F137E62"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163 (50.3%)</w:t>
            </w:r>
          </w:p>
        </w:tc>
      </w:tr>
      <w:tr w:rsidR="00796402" w:rsidRPr="00363D05" w14:paraId="2B188D2F" w14:textId="77777777" w:rsidTr="00BB0973">
        <w:trPr>
          <w:trHeight w:val="272"/>
        </w:trPr>
        <w:tc>
          <w:tcPr>
            <w:tcW w:w="3196" w:type="dxa"/>
            <w:gridSpan w:val="2"/>
          </w:tcPr>
          <w:p w14:paraId="2AF5C3B1" w14:textId="77777777" w:rsidR="00796402" w:rsidRPr="00363D05" w:rsidRDefault="00796402" w:rsidP="00BB0973">
            <w:pPr>
              <w:spacing w:before="120" w:after="0"/>
              <w:rPr>
                <w:rFonts w:asciiTheme="majorHAnsi" w:hAnsiTheme="majorHAnsi" w:cstheme="majorHAnsi"/>
              </w:rPr>
            </w:pPr>
            <w:r w:rsidRPr="00363D05">
              <w:rPr>
                <w:rFonts w:asciiTheme="majorHAnsi" w:hAnsiTheme="majorHAnsi" w:cstheme="majorHAnsi"/>
              </w:rPr>
              <w:t xml:space="preserve">6-15 </w:t>
            </w:r>
          </w:p>
        </w:tc>
        <w:tc>
          <w:tcPr>
            <w:tcW w:w="2513" w:type="dxa"/>
            <w:gridSpan w:val="2"/>
          </w:tcPr>
          <w:p w14:paraId="316118CC"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70 (29.8%)</w:t>
            </w:r>
          </w:p>
        </w:tc>
        <w:tc>
          <w:tcPr>
            <w:tcW w:w="1693" w:type="dxa"/>
          </w:tcPr>
          <w:p w14:paraId="75010620"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32 (36.0%)</w:t>
            </w:r>
          </w:p>
        </w:tc>
        <w:tc>
          <w:tcPr>
            <w:tcW w:w="1618" w:type="dxa"/>
            <w:gridSpan w:val="3"/>
          </w:tcPr>
          <w:p w14:paraId="4354E66C"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102 (31.5%)</w:t>
            </w:r>
          </w:p>
        </w:tc>
      </w:tr>
      <w:tr w:rsidR="00796402" w:rsidRPr="00363D05" w14:paraId="7F4145F1" w14:textId="77777777" w:rsidTr="00BB0973">
        <w:trPr>
          <w:trHeight w:val="272"/>
        </w:trPr>
        <w:tc>
          <w:tcPr>
            <w:tcW w:w="3196" w:type="dxa"/>
            <w:gridSpan w:val="2"/>
          </w:tcPr>
          <w:p w14:paraId="67ED16A5" w14:textId="77777777" w:rsidR="00796402" w:rsidRPr="00363D05" w:rsidRDefault="00796402" w:rsidP="00BB0973">
            <w:pPr>
              <w:spacing w:before="120" w:after="0"/>
              <w:rPr>
                <w:rFonts w:asciiTheme="majorHAnsi" w:hAnsiTheme="majorHAnsi" w:cstheme="majorHAnsi"/>
              </w:rPr>
            </w:pPr>
            <w:r w:rsidRPr="00363D05">
              <w:rPr>
                <w:rFonts w:asciiTheme="majorHAnsi" w:hAnsiTheme="majorHAnsi" w:cstheme="majorHAnsi"/>
              </w:rPr>
              <w:t xml:space="preserve">&gt;16 </w:t>
            </w:r>
          </w:p>
        </w:tc>
        <w:tc>
          <w:tcPr>
            <w:tcW w:w="2513" w:type="dxa"/>
            <w:gridSpan w:val="2"/>
          </w:tcPr>
          <w:p w14:paraId="0D8A983A"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35 (14.9%)</w:t>
            </w:r>
          </w:p>
        </w:tc>
        <w:tc>
          <w:tcPr>
            <w:tcW w:w="1693" w:type="dxa"/>
          </w:tcPr>
          <w:p w14:paraId="18FEAC35"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18 (20.2%)</w:t>
            </w:r>
          </w:p>
        </w:tc>
        <w:tc>
          <w:tcPr>
            <w:tcW w:w="1618" w:type="dxa"/>
            <w:gridSpan w:val="3"/>
          </w:tcPr>
          <w:p w14:paraId="7D213D80"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53 (16.4%)</w:t>
            </w:r>
          </w:p>
        </w:tc>
      </w:tr>
      <w:tr w:rsidR="00796402" w:rsidRPr="00363D05" w14:paraId="037C64C3" w14:textId="77777777" w:rsidTr="00BB0973">
        <w:trPr>
          <w:trHeight w:val="272"/>
        </w:trPr>
        <w:tc>
          <w:tcPr>
            <w:tcW w:w="3196" w:type="dxa"/>
            <w:gridSpan w:val="2"/>
          </w:tcPr>
          <w:p w14:paraId="062524DE" w14:textId="77777777" w:rsidR="00796402" w:rsidRPr="00363D05" w:rsidRDefault="00796402" w:rsidP="00BB0973">
            <w:pPr>
              <w:spacing w:before="120" w:after="0"/>
              <w:rPr>
                <w:rFonts w:asciiTheme="majorHAnsi" w:hAnsiTheme="majorHAnsi" w:cstheme="majorHAnsi"/>
              </w:rPr>
            </w:pPr>
            <w:r w:rsidRPr="00363D05">
              <w:rPr>
                <w:rFonts w:asciiTheme="majorHAnsi" w:hAnsiTheme="majorHAnsi" w:cstheme="majorHAnsi"/>
              </w:rPr>
              <w:t xml:space="preserve">Missing </w:t>
            </w:r>
          </w:p>
        </w:tc>
        <w:tc>
          <w:tcPr>
            <w:tcW w:w="2513" w:type="dxa"/>
            <w:gridSpan w:val="2"/>
          </w:tcPr>
          <w:p w14:paraId="5A0404EE"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3 (1.3%)</w:t>
            </w:r>
          </w:p>
        </w:tc>
        <w:tc>
          <w:tcPr>
            <w:tcW w:w="1693" w:type="dxa"/>
          </w:tcPr>
          <w:p w14:paraId="673E05B6"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3 (3.4%)</w:t>
            </w:r>
          </w:p>
        </w:tc>
        <w:tc>
          <w:tcPr>
            <w:tcW w:w="1618" w:type="dxa"/>
            <w:gridSpan w:val="3"/>
          </w:tcPr>
          <w:p w14:paraId="516DFC7F"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6 (1.9%)</w:t>
            </w:r>
          </w:p>
        </w:tc>
      </w:tr>
      <w:tr w:rsidR="00796402" w:rsidRPr="00363D05" w14:paraId="0622336B" w14:textId="77777777" w:rsidTr="00BB0973">
        <w:trPr>
          <w:trHeight w:val="272"/>
        </w:trPr>
        <w:tc>
          <w:tcPr>
            <w:tcW w:w="5709" w:type="dxa"/>
            <w:gridSpan w:val="4"/>
          </w:tcPr>
          <w:p w14:paraId="56325166" w14:textId="77777777" w:rsidR="00796402" w:rsidRPr="00363D05" w:rsidRDefault="00796402" w:rsidP="00BB0973">
            <w:pPr>
              <w:spacing w:before="120" w:after="0"/>
              <w:rPr>
                <w:rFonts w:asciiTheme="majorHAnsi" w:hAnsiTheme="majorHAnsi" w:cstheme="majorHAnsi"/>
              </w:rPr>
            </w:pPr>
            <w:r w:rsidRPr="00363D05">
              <w:rPr>
                <w:rFonts w:asciiTheme="majorHAnsi" w:hAnsiTheme="majorHAnsi" w:cstheme="majorHAnsi"/>
                <w:b/>
              </w:rPr>
              <w:t>Pre-admission opioids</w:t>
            </w:r>
            <w:r w:rsidRPr="00363D05">
              <w:rPr>
                <w:rFonts w:asciiTheme="majorHAnsi" w:eastAsia="Open Sans" w:hAnsiTheme="majorHAnsi" w:cstheme="majorHAnsi"/>
                <w:color w:val="1C1D1E"/>
              </w:rPr>
              <w:t xml:space="preserve"> </w:t>
            </w:r>
            <w:r w:rsidRPr="00363D05">
              <w:rPr>
                <w:rFonts w:asciiTheme="majorHAnsi" w:eastAsia="Open Sans" w:hAnsiTheme="majorHAnsi" w:cstheme="majorHAnsi"/>
                <w:color w:val="1C1D1E"/>
                <w:vertAlign w:val="superscript"/>
              </w:rPr>
              <w:t>‡</w:t>
            </w:r>
            <w:r w:rsidRPr="00363D05">
              <w:rPr>
                <w:rFonts w:asciiTheme="majorHAnsi" w:hAnsiTheme="majorHAnsi" w:cstheme="majorHAnsi"/>
                <w:b/>
              </w:rPr>
              <w:t xml:space="preserve"> </w:t>
            </w:r>
          </w:p>
        </w:tc>
        <w:tc>
          <w:tcPr>
            <w:tcW w:w="1693" w:type="dxa"/>
          </w:tcPr>
          <w:p w14:paraId="6369979C" w14:textId="77777777" w:rsidR="00796402" w:rsidRPr="00363D05" w:rsidRDefault="00796402" w:rsidP="00BB0973">
            <w:pPr>
              <w:spacing w:before="120" w:after="0"/>
              <w:rPr>
                <w:rFonts w:asciiTheme="majorHAnsi" w:hAnsiTheme="majorHAnsi" w:cstheme="majorHAnsi"/>
              </w:rPr>
            </w:pPr>
          </w:p>
        </w:tc>
        <w:tc>
          <w:tcPr>
            <w:tcW w:w="1618" w:type="dxa"/>
            <w:gridSpan w:val="3"/>
          </w:tcPr>
          <w:p w14:paraId="64EA288A" w14:textId="77777777" w:rsidR="00796402" w:rsidRPr="00363D05" w:rsidRDefault="00796402" w:rsidP="00BB0973">
            <w:pPr>
              <w:spacing w:before="120" w:after="0"/>
              <w:rPr>
                <w:rFonts w:asciiTheme="majorHAnsi" w:hAnsiTheme="majorHAnsi" w:cstheme="majorHAnsi"/>
              </w:rPr>
            </w:pPr>
          </w:p>
        </w:tc>
      </w:tr>
      <w:tr w:rsidR="00796402" w:rsidRPr="00363D05" w14:paraId="67CF3945" w14:textId="77777777" w:rsidTr="00BB0973">
        <w:trPr>
          <w:trHeight w:val="272"/>
        </w:trPr>
        <w:tc>
          <w:tcPr>
            <w:tcW w:w="3119" w:type="dxa"/>
          </w:tcPr>
          <w:p w14:paraId="691B37F5" w14:textId="77777777" w:rsidR="00796402" w:rsidRPr="00363D05" w:rsidRDefault="00796402" w:rsidP="00BB0973">
            <w:pPr>
              <w:tabs>
                <w:tab w:val="center" w:pos="3380"/>
              </w:tabs>
              <w:spacing w:before="120" w:after="0"/>
              <w:rPr>
                <w:rFonts w:asciiTheme="majorHAnsi" w:hAnsiTheme="majorHAnsi" w:cstheme="majorHAnsi"/>
              </w:rPr>
            </w:pPr>
            <w:r w:rsidRPr="00363D05">
              <w:rPr>
                <w:rFonts w:asciiTheme="majorHAnsi" w:hAnsiTheme="majorHAnsi" w:cstheme="majorHAnsi"/>
              </w:rPr>
              <w:t xml:space="preserve">No  </w:t>
            </w:r>
            <w:r w:rsidRPr="00363D05">
              <w:rPr>
                <w:rFonts w:asciiTheme="majorHAnsi" w:hAnsiTheme="majorHAnsi" w:cstheme="majorHAnsi"/>
              </w:rPr>
              <w:tab/>
            </w:r>
            <w:r>
              <w:rPr>
                <w:rFonts w:asciiTheme="majorHAnsi" w:hAnsiTheme="majorHAnsi" w:cstheme="majorHAnsi"/>
              </w:rPr>
              <w:t xml:space="preserve">       </w:t>
            </w:r>
          </w:p>
        </w:tc>
        <w:tc>
          <w:tcPr>
            <w:tcW w:w="2590" w:type="dxa"/>
            <w:gridSpan w:val="3"/>
          </w:tcPr>
          <w:p w14:paraId="543E92A9" w14:textId="77777777" w:rsidR="00796402" w:rsidRPr="00363D05" w:rsidRDefault="00796402" w:rsidP="00BB0973">
            <w:pPr>
              <w:tabs>
                <w:tab w:val="center" w:pos="3380"/>
              </w:tabs>
              <w:spacing w:before="120" w:after="0"/>
              <w:jc w:val="center"/>
              <w:rPr>
                <w:rFonts w:asciiTheme="majorHAnsi" w:hAnsiTheme="majorHAnsi" w:cstheme="majorHAnsi"/>
              </w:rPr>
            </w:pPr>
            <w:r w:rsidRPr="00363D05">
              <w:rPr>
                <w:rFonts w:asciiTheme="majorHAnsi" w:hAnsiTheme="majorHAnsi" w:cstheme="majorHAnsi"/>
              </w:rPr>
              <w:t>206 (87.7%)</w:t>
            </w:r>
          </w:p>
        </w:tc>
        <w:tc>
          <w:tcPr>
            <w:tcW w:w="1693" w:type="dxa"/>
          </w:tcPr>
          <w:p w14:paraId="7F8D435E"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52 (58.4%)</w:t>
            </w:r>
          </w:p>
        </w:tc>
        <w:tc>
          <w:tcPr>
            <w:tcW w:w="1618" w:type="dxa"/>
            <w:gridSpan w:val="3"/>
          </w:tcPr>
          <w:p w14:paraId="695E7584"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258 (79.6%)</w:t>
            </w:r>
          </w:p>
        </w:tc>
      </w:tr>
      <w:tr w:rsidR="00796402" w:rsidRPr="00363D05" w14:paraId="1E7CA6DF" w14:textId="77777777" w:rsidTr="00BB0973">
        <w:trPr>
          <w:trHeight w:val="272"/>
        </w:trPr>
        <w:tc>
          <w:tcPr>
            <w:tcW w:w="3119" w:type="dxa"/>
          </w:tcPr>
          <w:p w14:paraId="13D4F0A0" w14:textId="77777777" w:rsidR="00796402" w:rsidRPr="00363D05" w:rsidRDefault="00796402" w:rsidP="00BB0973">
            <w:pPr>
              <w:tabs>
                <w:tab w:val="center" w:pos="3378"/>
              </w:tabs>
              <w:spacing w:before="120" w:after="0"/>
              <w:rPr>
                <w:rFonts w:asciiTheme="majorHAnsi" w:hAnsiTheme="majorHAnsi" w:cstheme="majorHAnsi"/>
              </w:rPr>
            </w:pPr>
            <w:r w:rsidRPr="00363D05">
              <w:rPr>
                <w:rFonts w:asciiTheme="majorHAnsi" w:hAnsiTheme="majorHAnsi" w:cstheme="majorHAnsi"/>
              </w:rPr>
              <w:t xml:space="preserve">Yes </w:t>
            </w:r>
            <w:r w:rsidRPr="00363D05">
              <w:rPr>
                <w:rFonts w:asciiTheme="majorHAnsi" w:hAnsiTheme="majorHAnsi" w:cstheme="majorHAnsi"/>
              </w:rPr>
              <w:tab/>
              <w:t xml:space="preserve"> </w:t>
            </w:r>
          </w:p>
        </w:tc>
        <w:tc>
          <w:tcPr>
            <w:tcW w:w="2590" w:type="dxa"/>
            <w:gridSpan w:val="3"/>
          </w:tcPr>
          <w:p w14:paraId="6B1FD475" w14:textId="77777777" w:rsidR="00796402" w:rsidRPr="00363D05" w:rsidRDefault="00796402" w:rsidP="00BB0973">
            <w:pPr>
              <w:tabs>
                <w:tab w:val="center" w:pos="3378"/>
              </w:tabs>
              <w:spacing w:before="120" w:after="0"/>
              <w:jc w:val="center"/>
              <w:rPr>
                <w:rFonts w:asciiTheme="majorHAnsi" w:hAnsiTheme="majorHAnsi" w:cstheme="majorHAnsi"/>
              </w:rPr>
            </w:pPr>
            <w:r w:rsidRPr="00363D05">
              <w:rPr>
                <w:rFonts w:asciiTheme="majorHAnsi" w:hAnsiTheme="majorHAnsi" w:cstheme="majorHAnsi"/>
              </w:rPr>
              <w:t>29 (12.3%)</w:t>
            </w:r>
          </w:p>
        </w:tc>
        <w:tc>
          <w:tcPr>
            <w:tcW w:w="1693" w:type="dxa"/>
          </w:tcPr>
          <w:p w14:paraId="3F267E65"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37 (41.6%)</w:t>
            </w:r>
          </w:p>
        </w:tc>
        <w:tc>
          <w:tcPr>
            <w:tcW w:w="1618" w:type="dxa"/>
            <w:gridSpan w:val="3"/>
          </w:tcPr>
          <w:p w14:paraId="42CBC621"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66 (20.4%)</w:t>
            </w:r>
          </w:p>
        </w:tc>
      </w:tr>
      <w:tr w:rsidR="00796402" w:rsidRPr="00363D05" w14:paraId="2A77786C" w14:textId="77777777" w:rsidTr="00BB0973">
        <w:trPr>
          <w:trHeight w:val="272"/>
        </w:trPr>
        <w:tc>
          <w:tcPr>
            <w:tcW w:w="5709" w:type="dxa"/>
            <w:gridSpan w:val="4"/>
          </w:tcPr>
          <w:p w14:paraId="2F1A8C69" w14:textId="77777777" w:rsidR="00796402" w:rsidRPr="00363D05" w:rsidRDefault="00796402" w:rsidP="00BB0973">
            <w:pPr>
              <w:spacing w:before="120" w:after="0"/>
              <w:rPr>
                <w:rFonts w:asciiTheme="majorHAnsi" w:hAnsiTheme="majorHAnsi" w:cstheme="majorHAnsi"/>
              </w:rPr>
            </w:pPr>
            <w:r w:rsidRPr="00363D05">
              <w:rPr>
                <w:rFonts w:asciiTheme="majorHAnsi" w:hAnsiTheme="majorHAnsi" w:cstheme="majorHAnsi"/>
                <w:b/>
              </w:rPr>
              <w:t>Reason for admission</w:t>
            </w:r>
            <w:r w:rsidRPr="00363D05">
              <w:rPr>
                <w:rFonts w:asciiTheme="majorHAnsi" w:eastAsia="Open Sans" w:hAnsiTheme="majorHAnsi" w:cstheme="majorHAnsi"/>
                <w:color w:val="1C1D1E"/>
              </w:rPr>
              <w:t xml:space="preserve"> </w:t>
            </w:r>
            <w:r w:rsidRPr="00363D05">
              <w:rPr>
                <w:rFonts w:asciiTheme="majorHAnsi" w:eastAsia="Open Sans" w:hAnsiTheme="majorHAnsi" w:cstheme="majorHAnsi"/>
                <w:color w:val="1C1D1E"/>
                <w:vertAlign w:val="superscript"/>
              </w:rPr>
              <w:t>§</w:t>
            </w:r>
            <w:r w:rsidRPr="00363D05">
              <w:rPr>
                <w:rFonts w:asciiTheme="majorHAnsi" w:hAnsiTheme="majorHAnsi" w:cstheme="majorHAnsi"/>
                <w:b/>
              </w:rPr>
              <w:t xml:space="preserve"> </w:t>
            </w:r>
          </w:p>
        </w:tc>
        <w:tc>
          <w:tcPr>
            <w:tcW w:w="1693" w:type="dxa"/>
          </w:tcPr>
          <w:p w14:paraId="288951FE" w14:textId="77777777" w:rsidR="00796402" w:rsidRPr="00363D05" w:rsidRDefault="00796402" w:rsidP="00BB0973">
            <w:pPr>
              <w:spacing w:before="120" w:after="0"/>
              <w:rPr>
                <w:rFonts w:asciiTheme="majorHAnsi" w:hAnsiTheme="majorHAnsi" w:cstheme="majorHAnsi"/>
              </w:rPr>
            </w:pPr>
          </w:p>
        </w:tc>
        <w:tc>
          <w:tcPr>
            <w:tcW w:w="1618" w:type="dxa"/>
            <w:gridSpan w:val="3"/>
          </w:tcPr>
          <w:p w14:paraId="371B3971" w14:textId="77777777" w:rsidR="00796402" w:rsidRPr="00363D05" w:rsidRDefault="00796402" w:rsidP="00BB0973">
            <w:pPr>
              <w:spacing w:before="120" w:after="0"/>
              <w:rPr>
                <w:rFonts w:asciiTheme="majorHAnsi" w:hAnsiTheme="majorHAnsi" w:cstheme="majorHAnsi"/>
              </w:rPr>
            </w:pPr>
          </w:p>
        </w:tc>
      </w:tr>
      <w:tr w:rsidR="00796402" w:rsidRPr="00363D05" w14:paraId="3E3DDCEA" w14:textId="77777777" w:rsidTr="00BB0973">
        <w:trPr>
          <w:gridAfter w:val="1"/>
          <w:wAfter w:w="89" w:type="dxa"/>
          <w:trHeight w:val="272"/>
        </w:trPr>
        <w:tc>
          <w:tcPr>
            <w:tcW w:w="3119" w:type="dxa"/>
          </w:tcPr>
          <w:p w14:paraId="44538EF1" w14:textId="77777777" w:rsidR="00796402" w:rsidRPr="00363D05" w:rsidRDefault="00796402" w:rsidP="00BB0973">
            <w:pPr>
              <w:spacing w:before="120" w:after="0"/>
              <w:rPr>
                <w:rFonts w:asciiTheme="majorHAnsi" w:hAnsiTheme="majorHAnsi" w:cstheme="majorHAnsi"/>
              </w:rPr>
            </w:pPr>
            <w:r w:rsidRPr="00363D05">
              <w:rPr>
                <w:rFonts w:asciiTheme="majorHAnsi" w:hAnsiTheme="majorHAnsi" w:cstheme="majorHAnsi"/>
              </w:rPr>
              <w:t xml:space="preserve">Bowel obstruction </w:t>
            </w:r>
          </w:p>
        </w:tc>
        <w:tc>
          <w:tcPr>
            <w:tcW w:w="2493" w:type="dxa"/>
            <w:gridSpan w:val="2"/>
          </w:tcPr>
          <w:p w14:paraId="549F86DF"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16 (6.8%)</w:t>
            </w:r>
          </w:p>
        </w:tc>
        <w:tc>
          <w:tcPr>
            <w:tcW w:w="1806" w:type="dxa"/>
            <w:gridSpan w:val="3"/>
          </w:tcPr>
          <w:p w14:paraId="0705F241"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14 (15.7%)</w:t>
            </w:r>
          </w:p>
        </w:tc>
        <w:tc>
          <w:tcPr>
            <w:tcW w:w="1513" w:type="dxa"/>
          </w:tcPr>
          <w:p w14:paraId="0A2B67E8"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30 (9.3%)</w:t>
            </w:r>
          </w:p>
        </w:tc>
      </w:tr>
      <w:tr w:rsidR="00796402" w:rsidRPr="00363D05" w14:paraId="41E0F7E7" w14:textId="77777777" w:rsidTr="00BB0973">
        <w:trPr>
          <w:gridAfter w:val="1"/>
          <w:wAfter w:w="89" w:type="dxa"/>
          <w:trHeight w:val="272"/>
        </w:trPr>
        <w:tc>
          <w:tcPr>
            <w:tcW w:w="3119" w:type="dxa"/>
          </w:tcPr>
          <w:p w14:paraId="6650C83C" w14:textId="77777777" w:rsidR="00796402" w:rsidRPr="00363D05" w:rsidRDefault="00796402" w:rsidP="00BB0973">
            <w:pPr>
              <w:spacing w:before="120" w:after="0"/>
              <w:rPr>
                <w:rFonts w:asciiTheme="majorHAnsi" w:hAnsiTheme="majorHAnsi" w:cstheme="majorHAnsi"/>
              </w:rPr>
            </w:pPr>
            <w:r w:rsidRPr="00363D05">
              <w:rPr>
                <w:rFonts w:asciiTheme="majorHAnsi" w:hAnsiTheme="majorHAnsi" w:cstheme="majorHAnsi"/>
              </w:rPr>
              <w:t xml:space="preserve">Elective surgery </w:t>
            </w:r>
          </w:p>
        </w:tc>
        <w:tc>
          <w:tcPr>
            <w:tcW w:w="2493" w:type="dxa"/>
            <w:gridSpan w:val="2"/>
          </w:tcPr>
          <w:p w14:paraId="441E8DB9"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26 (11.1%)</w:t>
            </w:r>
          </w:p>
        </w:tc>
        <w:tc>
          <w:tcPr>
            <w:tcW w:w="1806" w:type="dxa"/>
            <w:gridSpan w:val="3"/>
          </w:tcPr>
          <w:p w14:paraId="632FC992"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23 (25.8%)</w:t>
            </w:r>
          </w:p>
        </w:tc>
        <w:tc>
          <w:tcPr>
            <w:tcW w:w="1513" w:type="dxa"/>
          </w:tcPr>
          <w:p w14:paraId="3B54DE4D"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49 (15.1%)</w:t>
            </w:r>
          </w:p>
        </w:tc>
      </w:tr>
      <w:tr w:rsidR="00796402" w:rsidRPr="00363D05" w14:paraId="5E5B27B5" w14:textId="77777777" w:rsidTr="00BB0973">
        <w:trPr>
          <w:gridAfter w:val="1"/>
          <w:wAfter w:w="89" w:type="dxa"/>
          <w:trHeight w:val="272"/>
        </w:trPr>
        <w:tc>
          <w:tcPr>
            <w:tcW w:w="3119" w:type="dxa"/>
          </w:tcPr>
          <w:p w14:paraId="6E934124" w14:textId="77777777" w:rsidR="00796402" w:rsidRPr="00363D05" w:rsidRDefault="00796402" w:rsidP="00BB0973">
            <w:pPr>
              <w:spacing w:before="120" w:after="0"/>
              <w:rPr>
                <w:rFonts w:asciiTheme="majorHAnsi" w:hAnsiTheme="majorHAnsi" w:cstheme="majorHAnsi"/>
              </w:rPr>
            </w:pPr>
            <w:r w:rsidRPr="00363D05">
              <w:rPr>
                <w:rFonts w:asciiTheme="majorHAnsi" w:hAnsiTheme="majorHAnsi" w:cstheme="majorHAnsi"/>
              </w:rPr>
              <w:t>Abscess/phlegmon</w:t>
            </w:r>
          </w:p>
        </w:tc>
        <w:tc>
          <w:tcPr>
            <w:tcW w:w="2493" w:type="dxa"/>
            <w:gridSpan w:val="2"/>
          </w:tcPr>
          <w:p w14:paraId="2236F552"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11 (4.7%)</w:t>
            </w:r>
          </w:p>
        </w:tc>
        <w:tc>
          <w:tcPr>
            <w:tcW w:w="1806" w:type="dxa"/>
            <w:gridSpan w:val="3"/>
          </w:tcPr>
          <w:p w14:paraId="316E0C5A"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6 (6.7%)</w:t>
            </w:r>
          </w:p>
        </w:tc>
        <w:tc>
          <w:tcPr>
            <w:tcW w:w="1513" w:type="dxa"/>
          </w:tcPr>
          <w:p w14:paraId="65DCB00F"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17 (5.2%)</w:t>
            </w:r>
          </w:p>
        </w:tc>
      </w:tr>
      <w:tr w:rsidR="00796402" w:rsidRPr="00363D05" w14:paraId="7EF00286" w14:textId="77777777" w:rsidTr="00BB0973">
        <w:trPr>
          <w:gridAfter w:val="1"/>
          <w:wAfter w:w="89" w:type="dxa"/>
          <w:trHeight w:val="272"/>
        </w:trPr>
        <w:tc>
          <w:tcPr>
            <w:tcW w:w="3119" w:type="dxa"/>
          </w:tcPr>
          <w:p w14:paraId="6A0F390C" w14:textId="77777777" w:rsidR="00796402" w:rsidRPr="00363D05" w:rsidRDefault="00796402" w:rsidP="00BB0973">
            <w:pPr>
              <w:spacing w:before="120" w:after="0"/>
              <w:rPr>
                <w:rFonts w:asciiTheme="majorHAnsi" w:hAnsiTheme="majorHAnsi" w:cstheme="majorHAnsi"/>
              </w:rPr>
            </w:pPr>
            <w:r w:rsidRPr="00363D05">
              <w:rPr>
                <w:rFonts w:asciiTheme="majorHAnsi" w:hAnsiTheme="majorHAnsi" w:cstheme="majorHAnsi"/>
              </w:rPr>
              <w:t>IBD flare</w:t>
            </w:r>
          </w:p>
        </w:tc>
        <w:tc>
          <w:tcPr>
            <w:tcW w:w="2493" w:type="dxa"/>
            <w:gridSpan w:val="2"/>
          </w:tcPr>
          <w:p w14:paraId="650C6995"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166 (70.6%)</w:t>
            </w:r>
          </w:p>
        </w:tc>
        <w:tc>
          <w:tcPr>
            <w:tcW w:w="1806" w:type="dxa"/>
            <w:gridSpan w:val="3"/>
          </w:tcPr>
          <w:p w14:paraId="283B6C5F"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23 (25.8%)</w:t>
            </w:r>
          </w:p>
        </w:tc>
        <w:tc>
          <w:tcPr>
            <w:tcW w:w="1513" w:type="dxa"/>
          </w:tcPr>
          <w:p w14:paraId="0AB939ED"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189 (58.3%)</w:t>
            </w:r>
          </w:p>
        </w:tc>
      </w:tr>
      <w:tr w:rsidR="00796402" w:rsidRPr="00363D05" w14:paraId="1276D0E3" w14:textId="77777777" w:rsidTr="00BB0973">
        <w:trPr>
          <w:gridAfter w:val="1"/>
          <w:wAfter w:w="89" w:type="dxa"/>
          <w:trHeight w:val="272"/>
        </w:trPr>
        <w:tc>
          <w:tcPr>
            <w:tcW w:w="3119" w:type="dxa"/>
          </w:tcPr>
          <w:p w14:paraId="589DCF2E" w14:textId="77777777" w:rsidR="00796402" w:rsidRPr="00363D05" w:rsidRDefault="00796402" w:rsidP="00BB0973">
            <w:pPr>
              <w:spacing w:before="120" w:after="0"/>
              <w:rPr>
                <w:rFonts w:asciiTheme="majorHAnsi" w:hAnsiTheme="majorHAnsi" w:cstheme="majorHAnsi"/>
              </w:rPr>
            </w:pPr>
            <w:r w:rsidRPr="00363D05">
              <w:rPr>
                <w:rFonts w:asciiTheme="majorHAnsi" w:hAnsiTheme="majorHAnsi" w:cstheme="majorHAnsi"/>
              </w:rPr>
              <w:t>Perianal disease flare</w:t>
            </w:r>
          </w:p>
        </w:tc>
        <w:tc>
          <w:tcPr>
            <w:tcW w:w="2493" w:type="dxa"/>
            <w:gridSpan w:val="2"/>
          </w:tcPr>
          <w:p w14:paraId="39220555"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3 (1.3%)</w:t>
            </w:r>
          </w:p>
        </w:tc>
        <w:tc>
          <w:tcPr>
            <w:tcW w:w="1806" w:type="dxa"/>
            <w:gridSpan w:val="3"/>
          </w:tcPr>
          <w:p w14:paraId="69335DC0"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7 (7.9%)</w:t>
            </w:r>
          </w:p>
        </w:tc>
        <w:tc>
          <w:tcPr>
            <w:tcW w:w="1513" w:type="dxa"/>
          </w:tcPr>
          <w:p w14:paraId="72A080B7"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10 (3.1%)</w:t>
            </w:r>
          </w:p>
        </w:tc>
      </w:tr>
      <w:tr w:rsidR="00796402" w:rsidRPr="00363D05" w14:paraId="09917483" w14:textId="77777777" w:rsidTr="00BB0973">
        <w:trPr>
          <w:gridAfter w:val="1"/>
          <w:wAfter w:w="89" w:type="dxa"/>
          <w:trHeight w:val="272"/>
        </w:trPr>
        <w:tc>
          <w:tcPr>
            <w:tcW w:w="3119" w:type="dxa"/>
          </w:tcPr>
          <w:p w14:paraId="73385739" w14:textId="77777777" w:rsidR="00796402" w:rsidRPr="00363D05" w:rsidRDefault="00796402" w:rsidP="00BB0973">
            <w:pPr>
              <w:spacing w:before="120" w:after="0"/>
              <w:rPr>
                <w:rFonts w:asciiTheme="majorHAnsi" w:hAnsiTheme="majorHAnsi" w:cstheme="majorHAnsi"/>
              </w:rPr>
            </w:pPr>
            <w:r w:rsidRPr="00363D05">
              <w:rPr>
                <w:rFonts w:asciiTheme="majorHAnsi" w:hAnsiTheme="majorHAnsi" w:cstheme="majorHAnsi"/>
              </w:rPr>
              <w:t>Stoma/Postoperative</w:t>
            </w:r>
          </w:p>
        </w:tc>
        <w:tc>
          <w:tcPr>
            <w:tcW w:w="2493" w:type="dxa"/>
            <w:gridSpan w:val="2"/>
          </w:tcPr>
          <w:p w14:paraId="53771FD7"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10 (4.3%)</w:t>
            </w:r>
          </w:p>
        </w:tc>
        <w:tc>
          <w:tcPr>
            <w:tcW w:w="1806" w:type="dxa"/>
            <w:gridSpan w:val="3"/>
          </w:tcPr>
          <w:p w14:paraId="1C0D57F2"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13 (14.6%)</w:t>
            </w:r>
          </w:p>
        </w:tc>
        <w:tc>
          <w:tcPr>
            <w:tcW w:w="1513" w:type="dxa"/>
          </w:tcPr>
          <w:p w14:paraId="46F3946A"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23 (7.1%)</w:t>
            </w:r>
          </w:p>
        </w:tc>
      </w:tr>
      <w:tr w:rsidR="00796402" w:rsidRPr="00363D05" w14:paraId="39B1D82F" w14:textId="77777777" w:rsidTr="00BB0973">
        <w:trPr>
          <w:gridAfter w:val="1"/>
          <w:wAfter w:w="89" w:type="dxa"/>
          <w:trHeight w:val="272"/>
        </w:trPr>
        <w:tc>
          <w:tcPr>
            <w:tcW w:w="3119" w:type="dxa"/>
          </w:tcPr>
          <w:p w14:paraId="2C2F7C70" w14:textId="77777777" w:rsidR="00796402" w:rsidRPr="00363D05" w:rsidRDefault="00796402" w:rsidP="00BB0973">
            <w:pPr>
              <w:spacing w:before="120" w:after="0"/>
              <w:rPr>
                <w:rFonts w:asciiTheme="majorHAnsi" w:hAnsiTheme="majorHAnsi" w:cstheme="majorHAnsi"/>
              </w:rPr>
            </w:pPr>
            <w:r w:rsidRPr="00363D05">
              <w:rPr>
                <w:rFonts w:asciiTheme="majorHAnsi" w:hAnsiTheme="majorHAnsi" w:cstheme="majorHAnsi"/>
              </w:rPr>
              <w:t>Missing</w:t>
            </w:r>
          </w:p>
        </w:tc>
        <w:tc>
          <w:tcPr>
            <w:tcW w:w="2493" w:type="dxa"/>
            <w:gridSpan w:val="2"/>
          </w:tcPr>
          <w:p w14:paraId="34C5AD07"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3 (1.3%)</w:t>
            </w:r>
          </w:p>
        </w:tc>
        <w:tc>
          <w:tcPr>
            <w:tcW w:w="1806" w:type="dxa"/>
            <w:gridSpan w:val="3"/>
          </w:tcPr>
          <w:p w14:paraId="1E8BC54E"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3 (3.4%)</w:t>
            </w:r>
          </w:p>
        </w:tc>
        <w:tc>
          <w:tcPr>
            <w:tcW w:w="1513" w:type="dxa"/>
          </w:tcPr>
          <w:p w14:paraId="731CFA0E"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6 (1.9%)</w:t>
            </w:r>
          </w:p>
        </w:tc>
      </w:tr>
      <w:tr w:rsidR="00796402" w:rsidRPr="00363D05" w14:paraId="64D94F26" w14:textId="77777777" w:rsidTr="00BB0973">
        <w:trPr>
          <w:gridAfter w:val="1"/>
          <w:wAfter w:w="89" w:type="dxa"/>
          <w:trHeight w:val="272"/>
        </w:trPr>
        <w:tc>
          <w:tcPr>
            <w:tcW w:w="3119" w:type="dxa"/>
          </w:tcPr>
          <w:p w14:paraId="76BF4888" w14:textId="77777777" w:rsidR="00796402" w:rsidRPr="005A330D" w:rsidRDefault="00796402" w:rsidP="00BB0973">
            <w:pPr>
              <w:spacing w:before="120" w:after="0"/>
              <w:rPr>
                <w:rFonts w:asciiTheme="majorHAnsi" w:hAnsiTheme="majorHAnsi" w:cstheme="majorHAnsi"/>
                <w:b/>
                <w:bCs/>
              </w:rPr>
            </w:pPr>
            <w:r w:rsidRPr="005A330D">
              <w:rPr>
                <w:rFonts w:asciiTheme="majorHAnsi" w:hAnsiTheme="majorHAnsi" w:cstheme="majorHAnsi"/>
                <w:b/>
                <w:bCs/>
              </w:rPr>
              <w:t>Admitting specialty</w:t>
            </w:r>
            <w:r w:rsidRPr="005A330D">
              <w:rPr>
                <w:rFonts w:asciiTheme="majorHAnsi" w:eastAsia="Open Sans" w:hAnsiTheme="majorHAnsi" w:cstheme="majorHAnsi"/>
                <w:b/>
                <w:bCs/>
                <w:color w:val="1C1D1E"/>
                <w:sz w:val="20"/>
                <w:szCs w:val="20"/>
                <w:vertAlign w:val="superscript"/>
              </w:rPr>
              <w:t>¶</w:t>
            </w:r>
          </w:p>
        </w:tc>
        <w:tc>
          <w:tcPr>
            <w:tcW w:w="2493" w:type="dxa"/>
            <w:gridSpan w:val="2"/>
          </w:tcPr>
          <w:p w14:paraId="234E71DC" w14:textId="77777777" w:rsidR="00796402" w:rsidRPr="00363D05" w:rsidRDefault="00796402" w:rsidP="00BB0973">
            <w:pPr>
              <w:spacing w:before="120" w:after="0"/>
              <w:jc w:val="center"/>
              <w:rPr>
                <w:rFonts w:asciiTheme="majorHAnsi" w:hAnsiTheme="majorHAnsi" w:cstheme="majorHAnsi"/>
              </w:rPr>
            </w:pPr>
          </w:p>
        </w:tc>
        <w:tc>
          <w:tcPr>
            <w:tcW w:w="1806" w:type="dxa"/>
            <w:gridSpan w:val="3"/>
          </w:tcPr>
          <w:p w14:paraId="1372C07E" w14:textId="77777777" w:rsidR="00796402" w:rsidRPr="00363D05" w:rsidRDefault="00796402" w:rsidP="00BB0973">
            <w:pPr>
              <w:spacing w:before="120" w:after="0"/>
              <w:jc w:val="center"/>
              <w:rPr>
                <w:rFonts w:asciiTheme="majorHAnsi" w:hAnsiTheme="majorHAnsi" w:cstheme="majorHAnsi"/>
              </w:rPr>
            </w:pPr>
          </w:p>
        </w:tc>
        <w:tc>
          <w:tcPr>
            <w:tcW w:w="1513" w:type="dxa"/>
          </w:tcPr>
          <w:p w14:paraId="344F64C3" w14:textId="77777777" w:rsidR="00796402" w:rsidRPr="00363D05" w:rsidRDefault="00796402" w:rsidP="00BB0973">
            <w:pPr>
              <w:spacing w:before="120" w:after="0"/>
              <w:jc w:val="center"/>
              <w:rPr>
                <w:rFonts w:asciiTheme="majorHAnsi" w:hAnsiTheme="majorHAnsi" w:cstheme="majorHAnsi"/>
              </w:rPr>
            </w:pPr>
          </w:p>
        </w:tc>
      </w:tr>
      <w:tr w:rsidR="00796402" w:rsidRPr="00363D05" w14:paraId="7B24255B" w14:textId="77777777" w:rsidTr="00BB0973">
        <w:trPr>
          <w:gridAfter w:val="1"/>
          <w:wAfter w:w="89" w:type="dxa"/>
          <w:trHeight w:val="272"/>
        </w:trPr>
        <w:tc>
          <w:tcPr>
            <w:tcW w:w="3119" w:type="dxa"/>
          </w:tcPr>
          <w:p w14:paraId="7FBE5B7D" w14:textId="77777777" w:rsidR="00796402" w:rsidRPr="00363D05" w:rsidRDefault="00796402" w:rsidP="00BB0973">
            <w:pPr>
              <w:spacing w:before="120" w:after="0"/>
              <w:rPr>
                <w:rFonts w:asciiTheme="majorHAnsi" w:hAnsiTheme="majorHAnsi" w:cstheme="majorHAnsi"/>
              </w:rPr>
            </w:pPr>
            <w:r w:rsidRPr="00363D05">
              <w:rPr>
                <w:rFonts w:asciiTheme="majorHAnsi" w:hAnsiTheme="majorHAnsi" w:cstheme="majorHAnsi"/>
              </w:rPr>
              <w:lastRenderedPageBreak/>
              <w:t xml:space="preserve">Medicine </w:t>
            </w:r>
          </w:p>
        </w:tc>
        <w:tc>
          <w:tcPr>
            <w:tcW w:w="2493" w:type="dxa"/>
            <w:gridSpan w:val="2"/>
          </w:tcPr>
          <w:p w14:paraId="44C8BFD3"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162 (68.9%)</w:t>
            </w:r>
          </w:p>
        </w:tc>
        <w:tc>
          <w:tcPr>
            <w:tcW w:w="1806" w:type="dxa"/>
            <w:gridSpan w:val="3"/>
          </w:tcPr>
          <w:p w14:paraId="6473CD67"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22 (24.7%)</w:t>
            </w:r>
          </w:p>
        </w:tc>
        <w:tc>
          <w:tcPr>
            <w:tcW w:w="1513" w:type="dxa"/>
          </w:tcPr>
          <w:p w14:paraId="499BDAC2"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184 (56.8%)</w:t>
            </w:r>
          </w:p>
        </w:tc>
      </w:tr>
      <w:tr w:rsidR="00796402" w:rsidRPr="00363D05" w14:paraId="25AA1346" w14:textId="77777777" w:rsidTr="00BB0973">
        <w:trPr>
          <w:gridAfter w:val="1"/>
          <w:wAfter w:w="89" w:type="dxa"/>
          <w:trHeight w:val="272"/>
        </w:trPr>
        <w:tc>
          <w:tcPr>
            <w:tcW w:w="3119" w:type="dxa"/>
          </w:tcPr>
          <w:p w14:paraId="34BA0EF1" w14:textId="77777777" w:rsidR="00796402" w:rsidRPr="00363D05" w:rsidRDefault="00796402" w:rsidP="00BB0973">
            <w:pPr>
              <w:spacing w:before="120" w:after="0"/>
              <w:rPr>
                <w:rFonts w:asciiTheme="majorHAnsi" w:hAnsiTheme="majorHAnsi" w:cstheme="majorHAnsi"/>
              </w:rPr>
            </w:pPr>
            <w:r w:rsidRPr="00363D05">
              <w:rPr>
                <w:rFonts w:asciiTheme="majorHAnsi" w:hAnsiTheme="majorHAnsi" w:cstheme="majorHAnsi"/>
              </w:rPr>
              <w:t xml:space="preserve">Surgery </w:t>
            </w:r>
          </w:p>
        </w:tc>
        <w:tc>
          <w:tcPr>
            <w:tcW w:w="2493" w:type="dxa"/>
            <w:gridSpan w:val="2"/>
          </w:tcPr>
          <w:p w14:paraId="60DC0931"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73 (31.1%)</w:t>
            </w:r>
          </w:p>
        </w:tc>
        <w:tc>
          <w:tcPr>
            <w:tcW w:w="1806" w:type="dxa"/>
            <w:gridSpan w:val="3"/>
          </w:tcPr>
          <w:p w14:paraId="74598E3D"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67 (75.3%)</w:t>
            </w:r>
          </w:p>
        </w:tc>
        <w:tc>
          <w:tcPr>
            <w:tcW w:w="1513" w:type="dxa"/>
          </w:tcPr>
          <w:p w14:paraId="2AB2BA84" w14:textId="77777777" w:rsidR="00796402" w:rsidRPr="00363D05" w:rsidRDefault="00796402" w:rsidP="00BB0973">
            <w:pPr>
              <w:spacing w:before="120" w:after="0"/>
              <w:jc w:val="center"/>
              <w:rPr>
                <w:rFonts w:asciiTheme="majorHAnsi" w:hAnsiTheme="majorHAnsi" w:cstheme="majorHAnsi"/>
              </w:rPr>
            </w:pPr>
            <w:r w:rsidRPr="00363D05">
              <w:rPr>
                <w:rFonts w:asciiTheme="majorHAnsi" w:hAnsiTheme="majorHAnsi" w:cstheme="majorHAnsi"/>
              </w:rPr>
              <w:t>140 (43.2%)</w:t>
            </w:r>
          </w:p>
        </w:tc>
      </w:tr>
    </w:tbl>
    <w:p w14:paraId="4E99171A" w14:textId="77777777" w:rsidR="00796402" w:rsidRDefault="00796402" w:rsidP="00796402">
      <w:pPr>
        <w:spacing w:after="113"/>
        <w:rPr>
          <w:rFonts w:asciiTheme="majorHAnsi" w:hAnsiTheme="majorHAnsi" w:cstheme="majorHAnsi"/>
          <w:b/>
        </w:rPr>
      </w:pPr>
    </w:p>
    <w:p w14:paraId="7A3A6D0D" w14:textId="30A89641" w:rsidR="00796402" w:rsidRPr="00593D38" w:rsidRDefault="00796402" w:rsidP="00796402">
      <w:pPr>
        <w:spacing w:after="113"/>
        <w:rPr>
          <w:rFonts w:asciiTheme="majorHAnsi" w:hAnsiTheme="majorHAnsi" w:cstheme="majorHAnsi"/>
        </w:rPr>
      </w:pPr>
      <w:r w:rsidRPr="00593D38">
        <w:rPr>
          <w:rFonts w:asciiTheme="majorHAnsi" w:hAnsiTheme="majorHAnsi" w:cstheme="majorHAnsi"/>
          <w:b/>
        </w:rPr>
        <w:t xml:space="preserve">Table 2. Opioid exposure and cohort characteristics: Inpatients </w:t>
      </w:r>
    </w:p>
    <w:p w14:paraId="2E7693CB" w14:textId="77777777" w:rsidR="00796402" w:rsidRPr="00593D38" w:rsidRDefault="00796402" w:rsidP="00796402">
      <w:pPr>
        <w:spacing w:after="94"/>
        <w:ind w:left="-4" w:hanging="10"/>
        <w:rPr>
          <w:rFonts w:asciiTheme="majorHAnsi" w:hAnsiTheme="majorHAnsi" w:cstheme="majorHAnsi"/>
          <w:sz w:val="20"/>
          <w:szCs w:val="20"/>
        </w:rPr>
      </w:pPr>
      <w:r w:rsidRPr="00593D38">
        <w:rPr>
          <w:rFonts w:asciiTheme="majorHAnsi" w:eastAsia="Open Sans" w:hAnsiTheme="majorHAnsi" w:cstheme="majorHAnsi"/>
          <w:color w:val="1C1D1E"/>
          <w:sz w:val="20"/>
          <w:szCs w:val="20"/>
        </w:rPr>
        <w:t xml:space="preserve">†Exposure to any opioid containing medication at discharge from hospital </w:t>
      </w:r>
      <w:r w:rsidRPr="00593D38">
        <w:rPr>
          <w:rFonts w:asciiTheme="majorHAnsi" w:hAnsiTheme="majorHAnsi" w:cstheme="majorHAnsi"/>
          <w:sz w:val="20"/>
          <w:szCs w:val="20"/>
        </w:rPr>
        <w:t xml:space="preserve"> </w:t>
      </w:r>
    </w:p>
    <w:p w14:paraId="1610A731" w14:textId="77777777" w:rsidR="00796402" w:rsidRPr="00593D38" w:rsidRDefault="00796402" w:rsidP="00796402">
      <w:pPr>
        <w:numPr>
          <w:ilvl w:val="0"/>
          <w:numId w:val="4"/>
        </w:numPr>
        <w:spacing w:after="94" w:line="259" w:lineRule="auto"/>
        <w:ind w:hanging="164"/>
        <w:rPr>
          <w:rFonts w:asciiTheme="majorHAnsi" w:hAnsiTheme="majorHAnsi" w:cstheme="majorHAnsi"/>
          <w:sz w:val="20"/>
          <w:szCs w:val="20"/>
        </w:rPr>
      </w:pPr>
      <w:r w:rsidRPr="00593D38">
        <w:rPr>
          <w:rFonts w:asciiTheme="majorHAnsi" w:eastAsia="Open Sans" w:hAnsiTheme="majorHAnsi" w:cstheme="majorHAnsi"/>
          <w:color w:val="1C1D1E"/>
          <w:sz w:val="20"/>
          <w:szCs w:val="20"/>
        </w:rPr>
        <w:t xml:space="preserve">Exposure to opioids in the 3 months prior to hospital admission  </w:t>
      </w:r>
    </w:p>
    <w:p w14:paraId="17EAD17A" w14:textId="77777777" w:rsidR="00796402" w:rsidRPr="00593D38" w:rsidRDefault="00796402" w:rsidP="00796402">
      <w:pPr>
        <w:numPr>
          <w:ilvl w:val="0"/>
          <w:numId w:val="4"/>
        </w:numPr>
        <w:spacing w:after="113" w:line="259" w:lineRule="auto"/>
        <w:ind w:hanging="164"/>
        <w:rPr>
          <w:rFonts w:asciiTheme="majorHAnsi" w:hAnsiTheme="majorHAnsi" w:cstheme="majorHAnsi"/>
          <w:sz w:val="20"/>
          <w:szCs w:val="20"/>
        </w:rPr>
      </w:pPr>
      <w:r w:rsidRPr="00593D38">
        <w:rPr>
          <w:rFonts w:asciiTheme="majorHAnsi" w:eastAsia="Open Sans" w:hAnsiTheme="majorHAnsi" w:cstheme="majorHAnsi"/>
          <w:color w:val="1C1D1E"/>
          <w:sz w:val="20"/>
          <w:szCs w:val="20"/>
        </w:rPr>
        <w:t xml:space="preserve">Primary reason for admission to hospital  </w:t>
      </w:r>
    </w:p>
    <w:p w14:paraId="26730485" w14:textId="77777777" w:rsidR="00796402" w:rsidRDefault="00796402" w:rsidP="00796402">
      <w:pPr>
        <w:spacing w:after="113"/>
        <w:ind w:left="-4" w:hanging="10"/>
        <w:rPr>
          <w:rFonts w:asciiTheme="majorHAnsi" w:hAnsiTheme="majorHAnsi" w:cstheme="majorHAnsi"/>
          <w:sz w:val="20"/>
          <w:szCs w:val="20"/>
        </w:rPr>
      </w:pPr>
      <w:r w:rsidRPr="00593D38">
        <w:rPr>
          <w:rFonts w:asciiTheme="majorHAnsi" w:eastAsia="Open Sans" w:hAnsiTheme="majorHAnsi" w:cstheme="majorHAnsi"/>
          <w:color w:val="1C1D1E"/>
          <w:sz w:val="20"/>
          <w:szCs w:val="20"/>
        </w:rPr>
        <w:t>¶ Specialty under which the individual was admitted i.e., surgical or medical</w:t>
      </w:r>
      <w:r w:rsidRPr="00593D38">
        <w:rPr>
          <w:rFonts w:asciiTheme="majorHAnsi" w:hAnsiTheme="majorHAnsi" w:cstheme="majorHAnsi"/>
          <w:sz w:val="20"/>
          <w:szCs w:val="20"/>
        </w:rPr>
        <w:t xml:space="preserve"> </w:t>
      </w:r>
    </w:p>
    <w:p w14:paraId="296B794A" w14:textId="77777777" w:rsidR="00796402" w:rsidRPr="00593D38" w:rsidRDefault="00796402" w:rsidP="00796402">
      <w:pPr>
        <w:spacing w:after="113"/>
        <w:ind w:left="-4" w:hanging="10"/>
        <w:rPr>
          <w:rFonts w:asciiTheme="majorHAnsi" w:hAnsiTheme="majorHAnsi" w:cstheme="majorHAnsi"/>
          <w:sz w:val="20"/>
          <w:szCs w:val="20"/>
        </w:rPr>
      </w:pPr>
    </w:p>
    <w:p w14:paraId="6D2F0F4A" w14:textId="18A081CF" w:rsidR="00C953B9" w:rsidRPr="00E676E1" w:rsidRDefault="00C953B9" w:rsidP="00C953B9">
      <w:pPr>
        <w:spacing w:after="0" w:line="480" w:lineRule="auto"/>
        <w:rPr>
          <w:rFonts w:asciiTheme="majorHAnsi" w:hAnsiTheme="majorHAnsi" w:cstheme="majorHAnsi"/>
        </w:rPr>
      </w:pPr>
      <w:r w:rsidRPr="00E676E1">
        <w:rPr>
          <w:rFonts w:asciiTheme="majorHAnsi" w:hAnsiTheme="majorHAnsi" w:cstheme="majorHAnsi"/>
        </w:rPr>
        <w:t>140 patients (43.2%) were admitted under a surgical team and 184 (56.8%) under a medical team with admission indications of inflammatory IBD flare (n=189, 58.3%), elective surgery (n=49, 15.1%), bowel obstruction (n=30, 9.3%), stoma/post operative (n=23, 7.1%), abscess/phlegmon (n=17, 5.2%) and perianal disease flare (n=10, 3.1%).</w:t>
      </w:r>
    </w:p>
    <w:p w14:paraId="31FAEA92" w14:textId="4CE03189" w:rsidR="00697698" w:rsidRPr="00E676E1" w:rsidRDefault="00697698" w:rsidP="00C953B9">
      <w:pPr>
        <w:spacing w:after="0" w:line="480" w:lineRule="auto"/>
        <w:rPr>
          <w:rFonts w:asciiTheme="minorHAnsi" w:hAnsiTheme="minorHAnsi" w:cstheme="minorHAnsi"/>
        </w:rPr>
      </w:pPr>
    </w:p>
    <w:p w14:paraId="3D0B83BD" w14:textId="5043F295" w:rsidR="00DD610F" w:rsidRPr="00E676E1" w:rsidRDefault="00DD610F" w:rsidP="00377E31">
      <w:pPr>
        <w:spacing w:line="480" w:lineRule="auto"/>
        <w:rPr>
          <w:rFonts w:asciiTheme="majorHAnsi" w:hAnsiTheme="majorHAnsi" w:cstheme="majorHAnsi"/>
          <w:i/>
          <w:sz w:val="28"/>
          <w:szCs w:val="28"/>
        </w:rPr>
      </w:pPr>
      <w:r w:rsidRPr="00E676E1">
        <w:rPr>
          <w:rFonts w:asciiTheme="majorHAnsi" w:hAnsiTheme="majorHAnsi" w:cstheme="majorHAnsi"/>
          <w:i/>
          <w:sz w:val="28"/>
          <w:szCs w:val="28"/>
        </w:rPr>
        <w:t>Outpatients</w:t>
      </w:r>
    </w:p>
    <w:p w14:paraId="7DC9CDC3" w14:textId="7200189A" w:rsidR="00DD610F" w:rsidRPr="00E676E1" w:rsidRDefault="00DD610F" w:rsidP="00DD610F">
      <w:pPr>
        <w:spacing w:line="480" w:lineRule="auto"/>
        <w:rPr>
          <w:rFonts w:asciiTheme="majorHAnsi" w:hAnsiTheme="majorHAnsi" w:cstheme="majorHAnsi"/>
        </w:rPr>
      </w:pPr>
      <w:r w:rsidRPr="00E676E1">
        <w:rPr>
          <w:rFonts w:asciiTheme="majorHAnsi" w:hAnsiTheme="majorHAnsi" w:cstheme="majorHAnsi"/>
        </w:rPr>
        <w:t xml:space="preserve">The prevalence of </w:t>
      </w:r>
      <w:r w:rsidR="00AD71E5" w:rsidRPr="00E676E1">
        <w:rPr>
          <w:rFonts w:asciiTheme="majorHAnsi" w:hAnsiTheme="majorHAnsi" w:cstheme="majorHAnsi"/>
        </w:rPr>
        <w:t>opioid-</w:t>
      </w:r>
      <w:r w:rsidR="006A4851" w:rsidRPr="00E676E1">
        <w:rPr>
          <w:rFonts w:asciiTheme="majorHAnsi" w:hAnsiTheme="majorHAnsi" w:cstheme="majorHAnsi"/>
        </w:rPr>
        <w:t xml:space="preserve">use </w:t>
      </w:r>
      <w:r w:rsidR="00313DFF" w:rsidRPr="00E676E1">
        <w:rPr>
          <w:rFonts w:asciiTheme="majorHAnsi" w:hAnsiTheme="majorHAnsi" w:cstheme="majorHAnsi"/>
        </w:rPr>
        <w:t>among IBD patients attending clinic</w:t>
      </w:r>
      <w:r w:rsidRPr="00E676E1">
        <w:rPr>
          <w:rFonts w:asciiTheme="majorHAnsi" w:hAnsiTheme="majorHAnsi" w:cstheme="majorHAnsi"/>
        </w:rPr>
        <w:t xml:space="preserve"> was </w:t>
      </w:r>
      <w:r w:rsidR="00A1767F" w:rsidRPr="00E676E1">
        <w:rPr>
          <w:rFonts w:asciiTheme="majorHAnsi" w:hAnsiTheme="majorHAnsi" w:cstheme="majorHAnsi"/>
        </w:rPr>
        <w:t>161/1352(</w:t>
      </w:r>
      <w:r w:rsidRPr="00E676E1">
        <w:rPr>
          <w:rFonts w:asciiTheme="majorHAnsi" w:hAnsiTheme="majorHAnsi" w:cstheme="majorHAnsi"/>
        </w:rPr>
        <w:t>11.9%</w:t>
      </w:r>
      <w:r w:rsidR="00A1767F" w:rsidRPr="00E676E1">
        <w:rPr>
          <w:rFonts w:asciiTheme="majorHAnsi" w:hAnsiTheme="majorHAnsi" w:cstheme="majorHAnsi"/>
        </w:rPr>
        <w:t>)</w:t>
      </w:r>
      <w:r w:rsidRPr="00E676E1">
        <w:rPr>
          <w:rFonts w:asciiTheme="majorHAnsi" w:hAnsiTheme="majorHAnsi" w:cstheme="majorHAnsi"/>
        </w:rPr>
        <w:t xml:space="preserve"> with a range 4.5-17.8% across hospital sites. </w:t>
      </w:r>
      <w:r w:rsidR="00045C39" w:rsidRPr="00E676E1">
        <w:rPr>
          <w:rFonts w:asciiTheme="majorHAnsi" w:hAnsiTheme="majorHAnsi" w:cstheme="majorHAnsi"/>
          <w:color w:val="242424"/>
          <w:shd w:val="clear" w:color="auto" w:fill="FFFFFF"/>
        </w:rPr>
        <w:t>The opioid type was documented for 152</w:t>
      </w:r>
      <w:r w:rsidR="00A1767F" w:rsidRPr="00E676E1">
        <w:rPr>
          <w:rFonts w:asciiTheme="majorHAnsi" w:hAnsiTheme="majorHAnsi" w:cstheme="majorHAnsi"/>
          <w:color w:val="242424"/>
          <w:shd w:val="clear" w:color="auto" w:fill="FFFFFF"/>
        </w:rPr>
        <w:t>/161</w:t>
      </w:r>
      <w:r w:rsidR="00045C39" w:rsidRPr="00E676E1">
        <w:rPr>
          <w:rFonts w:asciiTheme="majorHAnsi" w:hAnsiTheme="majorHAnsi" w:cstheme="majorHAnsi"/>
          <w:color w:val="242424"/>
          <w:shd w:val="clear" w:color="auto" w:fill="FFFFFF"/>
        </w:rPr>
        <w:t>(94.4%) individuals, with 68</w:t>
      </w:r>
      <w:r w:rsidR="00A1767F" w:rsidRPr="00E676E1">
        <w:rPr>
          <w:rFonts w:asciiTheme="majorHAnsi" w:hAnsiTheme="majorHAnsi" w:cstheme="majorHAnsi"/>
          <w:color w:val="242424"/>
          <w:shd w:val="clear" w:color="auto" w:fill="FFFFFF"/>
        </w:rPr>
        <w:t>/161</w:t>
      </w:r>
      <w:r w:rsidR="00045C39" w:rsidRPr="00E676E1">
        <w:rPr>
          <w:rFonts w:asciiTheme="majorHAnsi" w:hAnsiTheme="majorHAnsi" w:cstheme="majorHAnsi"/>
          <w:color w:val="242424"/>
          <w:shd w:val="clear" w:color="auto" w:fill="FFFFFF"/>
        </w:rPr>
        <w:t xml:space="preserve">(42.2%) patients </w:t>
      </w:r>
      <w:r w:rsidR="00A1767F" w:rsidRPr="00E676E1">
        <w:rPr>
          <w:rFonts w:asciiTheme="majorHAnsi" w:hAnsiTheme="majorHAnsi" w:cstheme="majorHAnsi"/>
          <w:color w:val="242424"/>
          <w:shd w:val="clear" w:color="auto" w:fill="FFFFFF"/>
        </w:rPr>
        <w:t xml:space="preserve">using </w:t>
      </w:r>
      <w:r w:rsidR="00045C39" w:rsidRPr="00E676E1">
        <w:rPr>
          <w:rFonts w:asciiTheme="majorHAnsi" w:hAnsiTheme="majorHAnsi" w:cstheme="majorHAnsi"/>
          <w:color w:val="242424"/>
          <w:shd w:val="clear" w:color="auto" w:fill="FFFFFF"/>
        </w:rPr>
        <w:t>strong opioids. The most frequently used opioid was tramadol (n=27, 16.8%), followed by morphine (n=25, 15.5%), oxycodone (n=10, 6.2%), buprenorphine (n=7, 3.7%) and fentanyl (n=5, 3.1%)</w:t>
      </w:r>
      <w:r w:rsidRPr="00E676E1">
        <w:rPr>
          <w:rFonts w:asciiTheme="majorHAnsi" w:hAnsiTheme="majorHAnsi" w:cstheme="majorHAnsi"/>
        </w:rPr>
        <w:t>. While 130</w:t>
      </w:r>
      <w:r w:rsidR="00A1767F" w:rsidRPr="00E676E1">
        <w:rPr>
          <w:rFonts w:asciiTheme="majorHAnsi" w:hAnsiTheme="majorHAnsi" w:cstheme="majorHAnsi"/>
        </w:rPr>
        <w:t>/161</w:t>
      </w:r>
      <w:r w:rsidRPr="00E676E1">
        <w:rPr>
          <w:rFonts w:asciiTheme="majorHAnsi" w:hAnsiTheme="majorHAnsi" w:cstheme="majorHAnsi"/>
        </w:rPr>
        <w:t xml:space="preserve">(80.7%) individuals </w:t>
      </w:r>
      <w:r w:rsidR="00790567" w:rsidRPr="00E676E1">
        <w:rPr>
          <w:rFonts w:asciiTheme="majorHAnsi" w:hAnsiTheme="majorHAnsi" w:cstheme="majorHAnsi"/>
        </w:rPr>
        <w:t>used</w:t>
      </w:r>
      <w:r w:rsidRPr="00E676E1">
        <w:rPr>
          <w:rFonts w:asciiTheme="majorHAnsi" w:hAnsiTheme="majorHAnsi" w:cstheme="majorHAnsi"/>
        </w:rPr>
        <w:t xml:space="preserve"> one opioid, </w:t>
      </w:r>
      <w:r w:rsidR="00790567" w:rsidRPr="00E676E1">
        <w:rPr>
          <w:rFonts w:asciiTheme="majorHAnsi" w:hAnsiTheme="majorHAnsi" w:cstheme="majorHAnsi"/>
        </w:rPr>
        <w:t xml:space="preserve">16.2% used 2 and </w:t>
      </w:r>
      <w:r w:rsidRPr="00E676E1">
        <w:rPr>
          <w:rFonts w:asciiTheme="majorHAnsi" w:hAnsiTheme="majorHAnsi" w:cstheme="majorHAnsi"/>
        </w:rPr>
        <w:t>5</w:t>
      </w:r>
      <w:r w:rsidR="00E968A1" w:rsidRPr="00E676E1">
        <w:rPr>
          <w:rFonts w:asciiTheme="majorHAnsi" w:hAnsiTheme="majorHAnsi" w:cstheme="majorHAnsi"/>
        </w:rPr>
        <w:t xml:space="preserve">(3.1%) </w:t>
      </w:r>
      <w:r w:rsidRPr="00E676E1">
        <w:rPr>
          <w:rFonts w:asciiTheme="majorHAnsi" w:hAnsiTheme="majorHAnsi" w:cstheme="majorHAnsi"/>
        </w:rPr>
        <w:t xml:space="preserve">individuals </w:t>
      </w:r>
      <w:r w:rsidR="00790567" w:rsidRPr="00E676E1">
        <w:rPr>
          <w:rFonts w:asciiTheme="majorHAnsi" w:hAnsiTheme="majorHAnsi" w:cstheme="majorHAnsi"/>
        </w:rPr>
        <w:t>used</w:t>
      </w:r>
      <w:r w:rsidRPr="00E676E1">
        <w:rPr>
          <w:rFonts w:asciiTheme="majorHAnsi" w:hAnsiTheme="majorHAnsi" w:cstheme="majorHAnsi"/>
        </w:rPr>
        <w:t xml:space="preserve"> 3 or more.</w:t>
      </w:r>
    </w:p>
    <w:p w14:paraId="5529BCCD" w14:textId="018D3528" w:rsidR="00045C39" w:rsidRPr="00E676E1" w:rsidRDefault="007F11DB" w:rsidP="00045C39">
      <w:pPr>
        <w:spacing w:line="480" w:lineRule="auto"/>
        <w:rPr>
          <w:rFonts w:asciiTheme="majorHAnsi" w:hAnsiTheme="majorHAnsi" w:cstheme="majorHAnsi"/>
        </w:rPr>
      </w:pPr>
      <w:r w:rsidRPr="00E676E1">
        <w:rPr>
          <w:rFonts w:asciiTheme="majorHAnsi" w:hAnsiTheme="majorHAnsi" w:cstheme="majorHAnsi"/>
        </w:rPr>
        <w:t>Opioid-</w:t>
      </w:r>
      <w:r w:rsidR="00045C39" w:rsidRPr="00E676E1">
        <w:rPr>
          <w:rFonts w:asciiTheme="majorHAnsi" w:hAnsiTheme="majorHAnsi" w:cstheme="majorHAnsi"/>
        </w:rPr>
        <w:t xml:space="preserve">exposed outpatients </w:t>
      </w:r>
      <w:r w:rsidRPr="00E676E1">
        <w:rPr>
          <w:rFonts w:asciiTheme="majorHAnsi" w:hAnsiTheme="majorHAnsi" w:cstheme="majorHAnsi"/>
        </w:rPr>
        <w:t>had</w:t>
      </w:r>
      <w:r w:rsidR="00045C39" w:rsidRPr="00E676E1">
        <w:rPr>
          <w:rFonts w:asciiTheme="majorHAnsi" w:hAnsiTheme="majorHAnsi" w:cstheme="majorHAnsi"/>
        </w:rPr>
        <w:t xml:space="preserve"> a median of 1 comorbidity and a maximum of 5. The most common comorbidity was inflammatory arthritis accounting for 46</w:t>
      </w:r>
      <w:r w:rsidR="00D93682" w:rsidRPr="00E676E1">
        <w:rPr>
          <w:rFonts w:asciiTheme="majorHAnsi" w:hAnsiTheme="majorHAnsi" w:cstheme="majorHAnsi"/>
        </w:rPr>
        <w:t>/161</w:t>
      </w:r>
      <w:r w:rsidR="00045C39" w:rsidRPr="00E676E1">
        <w:rPr>
          <w:rFonts w:asciiTheme="majorHAnsi" w:hAnsiTheme="majorHAnsi" w:cstheme="majorHAnsi"/>
        </w:rPr>
        <w:t>(28.6%) of the total opioid</w:t>
      </w:r>
      <w:r w:rsidRPr="00E676E1">
        <w:rPr>
          <w:rFonts w:asciiTheme="majorHAnsi" w:hAnsiTheme="majorHAnsi" w:cstheme="majorHAnsi"/>
        </w:rPr>
        <w:t>-</w:t>
      </w:r>
      <w:r w:rsidR="00045C39" w:rsidRPr="00E676E1">
        <w:rPr>
          <w:rFonts w:asciiTheme="majorHAnsi" w:hAnsiTheme="majorHAnsi" w:cstheme="majorHAnsi"/>
        </w:rPr>
        <w:t>exposed cohort followed by osteoarthritis (n=27</w:t>
      </w:r>
      <w:r w:rsidR="00D93682" w:rsidRPr="00E676E1">
        <w:rPr>
          <w:rFonts w:asciiTheme="majorHAnsi" w:hAnsiTheme="majorHAnsi" w:cstheme="majorHAnsi"/>
        </w:rPr>
        <w:t>/161</w:t>
      </w:r>
      <w:r w:rsidR="00045C39" w:rsidRPr="00E676E1">
        <w:rPr>
          <w:rFonts w:asciiTheme="majorHAnsi" w:hAnsiTheme="majorHAnsi" w:cstheme="majorHAnsi"/>
        </w:rPr>
        <w:t>, 16.8%) of the opioid</w:t>
      </w:r>
      <w:r w:rsidRPr="00E676E1">
        <w:rPr>
          <w:rFonts w:asciiTheme="majorHAnsi" w:hAnsiTheme="majorHAnsi" w:cstheme="majorHAnsi"/>
        </w:rPr>
        <w:t>-</w:t>
      </w:r>
      <w:r w:rsidR="00045C39" w:rsidRPr="00E676E1">
        <w:rPr>
          <w:rFonts w:asciiTheme="majorHAnsi" w:hAnsiTheme="majorHAnsi" w:cstheme="majorHAnsi"/>
        </w:rPr>
        <w:t>exposed cohort.</w:t>
      </w:r>
    </w:p>
    <w:p w14:paraId="3D3CF876" w14:textId="3929B213" w:rsidR="00045C39" w:rsidRPr="00E676E1" w:rsidRDefault="00045C39" w:rsidP="00045C39">
      <w:pPr>
        <w:spacing w:line="480" w:lineRule="auto"/>
        <w:rPr>
          <w:rFonts w:asciiTheme="majorHAnsi" w:hAnsiTheme="majorHAnsi" w:cstheme="majorHAnsi"/>
        </w:rPr>
      </w:pPr>
      <w:r w:rsidRPr="00E676E1">
        <w:rPr>
          <w:rFonts w:asciiTheme="majorHAnsi" w:hAnsiTheme="majorHAnsi" w:cstheme="majorHAnsi"/>
        </w:rPr>
        <w:lastRenderedPageBreak/>
        <w:t>The stated indication for opioid</w:t>
      </w:r>
      <w:r w:rsidR="007F11DB" w:rsidRPr="00E676E1">
        <w:rPr>
          <w:rFonts w:asciiTheme="majorHAnsi" w:hAnsiTheme="majorHAnsi" w:cstheme="majorHAnsi"/>
        </w:rPr>
        <w:t>-</w:t>
      </w:r>
      <w:r w:rsidRPr="00E676E1">
        <w:rPr>
          <w:rFonts w:asciiTheme="majorHAnsi" w:hAnsiTheme="majorHAnsi" w:cstheme="majorHAnsi"/>
        </w:rPr>
        <w:t>use was IBD in 68</w:t>
      </w:r>
      <w:r w:rsidR="00D93682" w:rsidRPr="00E676E1">
        <w:rPr>
          <w:rFonts w:asciiTheme="majorHAnsi" w:hAnsiTheme="majorHAnsi" w:cstheme="majorHAnsi"/>
        </w:rPr>
        <w:t>/161</w:t>
      </w:r>
      <w:r w:rsidRPr="00E676E1">
        <w:rPr>
          <w:rFonts w:asciiTheme="majorHAnsi" w:hAnsiTheme="majorHAnsi" w:cstheme="majorHAnsi"/>
        </w:rPr>
        <w:t xml:space="preserve">(42.2%) with the remaining </w:t>
      </w:r>
      <w:r w:rsidR="007F11DB" w:rsidRPr="00E676E1">
        <w:rPr>
          <w:rFonts w:asciiTheme="majorHAnsi" w:hAnsiTheme="majorHAnsi" w:cstheme="majorHAnsi"/>
        </w:rPr>
        <w:t xml:space="preserve">individuals </w:t>
      </w:r>
      <w:r w:rsidRPr="00E676E1">
        <w:rPr>
          <w:rFonts w:asciiTheme="majorHAnsi" w:hAnsiTheme="majorHAnsi" w:cstheme="majorHAnsi"/>
        </w:rPr>
        <w:t xml:space="preserve">either using opioids for a non-IBD indication (n=85, 52.8%) or unsure of the indication (n=8, 5.0%) (See </w:t>
      </w:r>
      <w:r w:rsidR="00EA1098" w:rsidRPr="00E676E1">
        <w:rPr>
          <w:rFonts w:asciiTheme="majorHAnsi" w:hAnsiTheme="majorHAnsi" w:cstheme="majorHAnsi"/>
        </w:rPr>
        <w:t>Figure 1</w:t>
      </w:r>
      <w:r w:rsidRPr="00E676E1">
        <w:rPr>
          <w:rFonts w:asciiTheme="majorHAnsi" w:hAnsiTheme="majorHAnsi" w:cstheme="majorHAnsi"/>
        </w:rPr>
        <w:t xml:space="preserve">). The most common non-IBD indication was musculoskeletal symptomatology. </w:t>
      </w:r>
    </w:p>
    <w:p w14:paraId="6714A799" w14:textId="5D489294" w:rsidR="00045C39" w:rsidRPr="00E676E1" w:rsidRDefault="00045C39" w:rsidP="00045C39">
      <w:pPr>
        <w:spacing w:line="480" w:lineRule="auto"/>
        <w:rPr>
          <w:rFonts w:asciiTheme="majorHAnsi" w:hAnsiTheme="majorHAnsi" w:cstheme="majorHAnsi"/>
        </w:rPr>
      </w:pPr>
      <w:r w:rsidRPr="00E676E1">
        <w:rPr>
          <w:rFonts w:asciiTheme="majorHAnsi" w:hAnsiTheme="majorHAnsi" w:cstheme="majorHAnsi"/>
        </w:rPr>
        <w:t>In those who indicated that IBD was the reason for their opioid use, objective disease activity assessment was carried out in 47</w:t>
      </w:r>
      <w:r w:rsidR="00D93682" w:rsidRPr="00E676E1">
        <w:rPr>
          <w:rFonts w:asciiTheme="majorHAnsi" w:hAnsiTheme="majorHAnsi" w:cstheme="majorHAnsi"/>
        </w:rPr>
        <w:t>/68</w:t>
      </w:r>
      <w:r w:rsidRPr="00E676E1">
        <w:rPr>
          <w:rFonts w:asciiTheme="majorHAnsi" w:hAnsiTheme="majorHAnsi" w:cstheme="majorHAnsi"/>
        </w:rPr>
        <w:t>(</w:t>
      </w:r>
      <w:r w:rsidR="00D93682" w:rsidRPr="00E676E1">
        <w:rPr>
          <w:rFonts w:asciiTheme="majorHAnsi" w:hAnsiTheme="majorHAnsi" w:cstheme="majorHAnsi"/>
        </w:rPr>
        <w:t>69.1</w:t>
      </w:r>
      <w:r w:rsidRPr="00E676E1">
        <w:rPr>
          <w:rFonts w:asciiTheme="majorHAnsi" w:hAnsiTheme="majorHAnsi" w:cstheme="majorHAnsi"/>
        </w:rPr>
        <w:t xml:space="preserve">%) (See </w:t>
      </w:r>
      <w:r w:rsidR="007F11DB" w:rsidRPr="00E676E1">
        <w:rPr>
          <w:rFonts w:asciiTheme="majorHAnsi" w:hAnsiTheme="majorHAnsi" w:cstheme="majorHAnsi"/>
        </w:rPr>
        <w:t>Figure 1</w:t>
      </w:r>
      <w:r w:rsidRPr="00E676E1">
        <w:rPr>
          <w:rFonts w:asciiTheme="majorHAnsi" w:hAnsiTheme="majorHAnsi" w:cstheme="majorHAnsi"/>
        </w:rPr>
        <w:t xml:space="preserve">). </w:t>
      </w:r>
    </w:p>
    <w:p w14:paraId="1E6E8588" w14:textId="19AFA9A9" w:rsidR="00045C39" w:rsidRPr="00E676E1" w:rsidRDefault="00045C39" w:rsidP="00045C39">
      <w:pPr>
        <w:spacing w:line="480" w:lineRule="auto"/>
        <w:rPr>
          <w:rFonts w:asciiTheme="majorHAnsi" w:hAnsiTheme="majorHAnsi" w:cstheme="majorHAnsi"/>
        </w:rPr>
      </w:pPr>
      <w:r w:rsidRPr="00E676E1">
        <w:rPr>
          <w:rFonts w:asciiTheme="majorHAnsi" w:hAnsiTheme="majorHAnsi" w:cstheme="majorHAnsi"/>
        </w:rPr>
        <w:t>Other pain modifying drugs were co-prescribed to 62</w:t>
      </w:r>
      <w:r w:rsidR="00D93682" w:rsidRPr="00E676E1">
        <w:rPr>
          <w:rFonts w:asciiTheme="majorHAnsi" w:hAnsiTheme="majorHAnsi" w:cstheme="majorHAnsi"/>
        </w:rPr>
        <w:t>/161</w:t>
      </w:r>
      <w:r w:rsidRPr="00E676E1">
        <w:rPr>
          <w:rFonts w:asciiTheme="majorHAnsi" w:hAnsiTheme="majorHAnsi" w:cstheme="majorHAnsi"/>
        </w:rPr>
        <w:t>(38.5%) opioid-exposed individuals; antidepressants to 34</w:t>
      </w:r>
      <w:r w:rsidR="00D93682" w:rsidRPr="00E676E1">
        <w:rPr>
          <w:rFonts w:asciiTheme="majorHAnsi" w:hAnsiTheme="majorHAnsi" w:cstheme="majorHAnsi"/>
        </w:rPr>
        <w:t>/161</w:t>
      </w:r>
      <w:r w:rsidRPr="00E676E1">
        <w:rPr>
          <w:rFonts w:asciiTheme="majorHAnsi" w:hAnsiTheme="majorHAnsi" w:cstheme="majorHAnsi"/>
        </w:rPr>
        <w:t>(20.4%), gabapentin or pregabalin to 21</w:t>
      </w:r>
      <w:r w:rsidR="00D93682" w:rsidRPr="00E676E1">
        <w:rPr>
          <w:rFonts w:asciiTheme="majorHAnsi" w:hAnsiTheme="majorHAnsi" w:cstheme="majorHAnsi"/>
        </w:rPr>
        <w:t>/161</w:t>
      </w:r>
      <w:r w:rsidRPr="00E676E1">
        <w:rPr>
          <w:rFonts w:asciiTheme="majorHAnsi" w:hAnsiTheme="majorHAnsi" w:cstheme="majorHAnsi"/>
        </w:rPr>
        <w:t>(13.0%) and NSAIDs to 12</w:t>
      </w:r>
      <w:r w:rsidR="00D93682" w:rsidRPr="00E676E1">
        <w:rPr>
          <w:rFonts w:asciiTheme="majorHAnsi" w:hAnsiTheme="majorHAnsi" w:cstheme="majorHAnsi"/>
        </w:rPr>
        <w:t>/161</w:t>
      </w:r>
      <w:r w:rsidRPr="00E676E1">
        <w:rPr>
          <w:rFonts w:asciiTheme="majorHAnsi" w:hAnsiTheme="majorHAnsi" w:cstheme="majorHAnsi"/>
        </w:rPr>
        <w:t xml:space="preserve">(7.5%). </w:t>
      </w:r>
    </w:p>
    <w:p w14:paraId="17BD99CB" w14:textId="2D2450EE" w:rsidR="00045C39" w:rsidRPr="00E676E1" w:rsidRDefault="00045C39" w:rsidP="00A215A7">
      <w:pPr>
        <w:spacing w:line="480" w:lineRule="auto"/>
        <w:rPr>
          <w:rFonts w:asciiTheme="majorHAnsi" w:hAnsiTheme="majorHAnsi" w:cstheme="majorHAnsi"/>
        </w:rPr>
      </w:pPr>
      <w:r w:rsidRPr="00E676E1">
        <w:rPr>
          <w:rFonts w:asciiTheme="majorHAnsi" w:hAnsiTheme="majorHAnsi" w:cstheme="majorHAnsi"/>
        </w:rPr>
        <w:t xml:space="preserve">A </w:t>
      </w:r>
      <w:r w:rsidRPr="00E676E1">
        <w:rPr>
          <w:rFonts w:asciiTheme="majorHAnsi" w:eastAsiaTheme="minorHAnsi" w:hAnsiTheme="majorHAnsi" w:cstheme="majorHAnsi"/>
          <w:color w:val="000000"/>
          <w:lang w:eastAsia="en-US"/>
        </w:rPr>
        <w:t xml:space="preserve">specialist pain service </w:t>
      </w:r>
      <w:r w:rsidRPr="00E676E1">
        <w:rPr>
          <w:rFonts w:asciiTheme="majorHAnsi" w:hAnsiTheme="majorHAnsi" w:cstheme="majorHAnsi"/>
        </w:rPr>
        <w:t>referral had been made for 41</w:t>
      </w:r>
      <w:r w:rsidR="00DC2DBB" w:rsidRPr="00E676E1">
        <w:rPr>
          <w:rFonts w:asciiTheme="majorHAnsi" w:hAnsiTheme="majorHAnsi" w:cstheme="majorHAnsi"/>
        </w:rPr>
        <w:t>/161</w:t>
      </w:r>
      <w:r w:rsidRPr="00E676E1">
        <w:rPr>
          <w:rFonts w:asciiTheme="majorHAnsi" w:hAnsiTheme="majorHAnsi" w:cstheme="majorHAnsi"/>
        </w:rPr>
        <w:t>(25.5%) opioid exposed individuals with a range of 0-100% across sites. An opioid wean was attempted in 69</w:t>
      </w:r>
      <w:r w:rsidR="00D93682" w:rsidRPr="00E676E1">
        <w:rPr>
          <w:rFonts w:asciiTheme="majorHAnsi" w:hAnsiTheme="majorHAnsi" w:cstheme="majorHAnsi"/>
        </w:rPr>
        <w:t>/161</w:t>
      </w:r>
      <w:r w:rsidRPr="00E676E1">
        <w:rPr>
          <w:rFonts w:asciiTheme="majorHAnsi" w:hAnsiTheme="majorHAnsi" w:cstheme="majorHAnsi"/>
        </w:rPr>
        <w:t>(4</w:t>
      </w:r>
      <w:r w:rsidR="00D93682" w:rsidRPr="00E676E1">
        <w:rPr>
          <w:rFonts w:asciiTheme="majorHAnsi" w:hAnsiTheme="majorHAnsi" w:cstheme="majorHAnsi"/>
        </w:rPr>
        <w:t>2.9</w:t>
      </w:r>
      <w:r w:rsidRPr="00E676E1">
        <w:rPr>
          <w:rFonts w:asciiTheme="majorHAnsi" w:hAnsiTheme="majorHAnsi" w:cstheme="majorHAnsi"/>
        </w:rPr>
        <w:t>%) opioid exposed individuals with a range of 23-94% across sites.</w:t>
      </w:r>
      <w:r w:rsidR="00A215A7" w:rsidRPr="00E676E1">
        <w:rPr>
          <w:rFonts w:asciiTheme="majorHAnsi" w:hAnsiTheme="majorHAnsi" w:cstheme="majorHAnsi"/>
        </w:rPr>
        <w:t xml:space="preserve"> </w:t>
      </w:r>
      <w:r w:rsidR="00A215A7" w:rsidRPr="00E676E1">
        <w:rPr>
          <w:rFonts w:asciiTheme="majorHAnsi" w:hAnsiTheme="majorHAnsi" w:cstheme="majorHAnsi"/>
          <w:color w:val="000000" w:themeColor="text1"/>
        </w:rPr>
        <w:t>At 3-6 months, 75.0% individuals referred to pain services had an attempted opioid wean compared to 14.7% of those not referred and at 12 months this was 50.0% vs 17.2% respectively.</w:t>
      </w:r>
    </w:p>
    <w:p w14:paraId="263FB3F7" w14:textId="0CAD3BBC" w:rsidR="00796402" w:rsidRDefault="00045C39" w:rsidP="00045C39">
      <w:pPr>
        <w:spacing w:line="480" w:lineRule="auto"/>
        <w:rPr>
          <w:rFonts w:asciiTheme="majorHAnsi" w:hAnsiTheme="majorHAnsi" w:cstheme="majorHAnsi"/>
        </w:rPr>
      </w:pPr>
      <w:r w:rsidRPr="00E676E1">
        <w:rPr>
          <w:rFonts w:asciiTheme="majorHAnsi" w:hAnsiTheme="majorHAnsi" w:cstheme="majorHAnsi"/>
        </w:rPr>
        <w:t xml:space="preserve">Multivariable logistic regression analysis (Table </w:t>
      </w:r>
      <w:r w:rsidR="007F11DB" w:rsidRPr="00E676E1">
        <w:rPr>
          <w:rFonts w:asciiTheme="majorHAnsi" w:hAnsiTheme="majorHAnsi" w:cstheme="majorHAnsi"/>
        </w:rPr>
        <w:t>3</w:t>
      </w:r>
      <w:r w:rsidRPr="00E676E1">
        <w:rPr>
          <w:rFonts w:asciiTheme="majorHAnsi" w:hAnsiTheme="majorHAnsi" w:cstheme="majorHAnsi"/>
        </w:rPr>
        <w:t>) of the outpatient cohort demonstrated factors associated with opioid-</w:t>
      </w:r>
      <w:r w:rsidR="006A4851" w:rsidRPr="00E676E1">
        <w:rPr>
          <w:rFonts w:asciiTheme="majorHAnsi" w:hAnsiTheme="majorHAnsi" w:cstheme="majorHAnsi"/>
        </w:rPr>
        <w:t xml:space="preserve">use </w:t>
      </w:r>
      <w:r w:rsidRPr="00E676E1">
        <w:rPr>
          <w:rFonts w:asciiTheme="majorHAnsi" w:hAnsiTheme="majorHAnsi" w:cstheme="majorHAnsi"/>
        </w:rPr>
        <w:t xml:space="preserve">were female sex, Crohn’s disease, PGA score of mild or moderate, previous or current biologic or small molecule use and previous IBD-related surgery. </w:t>
      </w:r>
    </w:p>
    <w:p w14:paraId="6CD952AB" w14:textId="77777777" w:rsidR="00796402" w:rsidRDefault="00796402">
      <w:pPr>
        <w:spacing w:after="0"/>
        <w:rPr>
          <w:rFonts w:asciiTheme="majorHAnsi" w:hAnsiTheme="majorHAnsi" w:cstheme="majorHAnsi"/>
        </w:rPr>
      </w:pPr>
      <w:r>
        <w:rPr>
          <w:rFonts w:asciiTheme="majorHAnsi" w:hAnsiTheme="majorHAnsi" w:cstheme="majorHAnsi"/>
        </w:rPr>
        <w:br w:type="page"/>
      </w:r>
    </w:p>
    <w:tbl>
      <w:tblPr>
        <w:tblStyle w:val="TableGrid0"/>
        <w:tblW w:w="11255" w:type="dxa"/>
        <w:tblInd w:w="-1182" w:type="dxa"/>
        <w:tblLook w:val="04A0" w:firstRow="1" w:lastRow="0" w:firstColumn="1" w:lastColumn="0" w:noHBand="0" w:noVBand="1"/>
      </w:tblPr>
      <w:tblGrid>
        <w:gridCol w:w="1766"/>
        <w:gridCol w:w="1007"/>
        <w:gridCol w:w="1205"/>
        <w:gridCol w:w="1376"/>
        <w:gridCol w:w="887"/>
        <w:gridCol w:w="1417"/>
        <w:gridCol w:w="776"/>
        <w:gridCol w:w="1417"/>
        <w:gridCol w:w="1404"/>
      </w:tblGrid>
      <w:tr w:rsidR="00796402" w:rsidRPr="00796402" w14:paraId="46C63DEC" w14:textId="77777777" w:rsidTr="00796402">
        <w:trPr>
          <w:trHeight w:val="869"/>
        </w:trPr>
        <w:tc>
          <w:tcPr>
            <w:tcW w:w="1766" w:type="dxa"/>
          </w:tcPr>
          <w:p w14:paraId="1F63505B"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rPr>
                <w:rFonts w:asciiTheme="majorHAnsi" w:hAnsiTheme="majorHAnsi" w:cstheme="majorHAnsi"/>
                <w:b/>
              </w:rPr>
            </w:pPr>
          </w:p>
        </w:tc>
        <w:tc>
          <w:tcPr>
            <w:tcW w:w="4475" w:type="dxa"/>
            <w:gridSpan w:val="4"/>
          </w:tcPr>
          <w:p w14:paraId="400E6376"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b/>
              </w:rPr>
              <w:t>Outpatients</w:t>
            </w:r>
          </w:p>
        </w:tc>
        <w:tc>
          <w:tcPr>
            <w:tcW w:w="5014" w:type="dxa"/>
            <w:gridSpan w:val="4"/>
          </w:tcPr>
          <w:p w14:paraId="030A8CBF"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b/>
              </w:rPr>
              <w:t>Inpatients</w:t>
            </w:r>
          </w:p>
        </w:tc>
      </w:tr>
      <w:tr w:rsidR="00796402" w:rsidRPr="00796402" w14:paraId="1AE93ED5" w14:textId="77777777" w:rsidTr="00796402">
        <w:trPr>
          <w:trHeight w:val="869"/>
        </w:trPr>
        <w:tc>
          <w:tcPr>
            <w:tcW w:w="1766" w:type="dxa"/>
          </w:tcPr>
          <w:p w14:paraId="3E426BF7"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rPr>
                <w:rFonts w:asciiTheme="majorHAnsi" w:hAnsiTheme="majorHAnsi" w:cstheme="majorHAnsi"/>
                <w:b/>
              </w:rPr>
            </w:pPr>
            <w:r w:rsidRPr="00796402">
              <w:rPr>
                <w:rFonts w:asciiTheme="majorHAnsi" w:hAnsiTheme="majorHAnsi" w:cstheme="majorHAnsi"/>
                <w:b/>
              </w:rPr>
              <w:t>Predictor</w:t>
            </w:r>
          </w:p>
        </w:tc>
        <w:tc>
          <w:tcPr>
            <w:tcW w:w="1007" w:type="dxa"/>
          </w:tcPr>
          <w:p w14:paraId="1534BC6C"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b/>
              </w:rPr>
              <w:t>N=1352</w:t>
            </w:r>
          </w:p>
        </w:tc>
        <w:tc>
          <w:tcPr>
            <w:tcW w:w="1205" w:type="dxa"/>
          </w:tcPr>
          <w:p w14:paraId="232D3EF9"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b/>
              </w:rPr>
              <w:t>Odds Ratio</w:t>
            </w:r>
          </w:p>
        </w:tc>
        <w:tc>
          <w:tcPr>
            <w:tcW w:w="1376" w:type="dxa"/>
          </w:tcPr>
          <w:p w14:paraId="19D591BA"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b/>
              </w:rPr>
              <w:t>95% Confidence Interval</w:t>
            </w:r>
          </w:p>
        </w:tc>
        <w:tc>
          <w:tcPr>
            <w:tcW w:w="887" w:type="dxa"/>
          </w:tcPr>
          <w:p w14:paraId="31445A0C"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b/>
              </w:rPr>
              <w:t>p value</w:t>
            </w:r>
          </w:p>
        </w:tc>
        <w:tc>
          <w:tcPr>
            <w:tcW w:w="1417" w:type="dxa"/>
          </w:tcPr>
          <w:p w14:paraId="263F5128" w14:textId="77777777" w:rsidR="00796402" w:rsidRPr="00796402" w:rsidRDefault="00796402" w:rsidP="00BB0973">
            <w:pPr>
              <w:spacing w:after="0"/>
              <w:ind w:right="8"/>
              <w:jc w:val="center"/>
              <w:rPr>
                <w:rFonts w:asciiTheme="majorHAnsi" w:hAnsiTheme="majorHAnsi" w:cstheme="majorHAnsi"/>
                <w:b/>
                <w:bCs/>
              </w:rPr>
            </w:pPr>
            <w:r w:rsidRPr="00796402">
              <w:rPr>
                <w:rFonts w:asciiTheme="majorHAnsi" w:hAnsiTheme="majorHAnsi" w:cstheme="majorHAnsi"/>
                <w:b/>
                <w:bCs/>
              </w:rPr>
              <w:t>N= 324</w:t>
            </w:r>
          </w:p>
          <w:p w14:paraId="66193A5B"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bCs/>
              </w:rPr>
            </w:pPr>
            <w:r w:rsidRPr="00796402">
              <w:rPr>
                <w:rFonts w:asciiTheme="majorHAnsi" w:hAnsiTheme="majorHAnsi" w:cstheme="majorHAnsi"/>
                <w:b/>
                <w:bCs/>
              </w:rPr>
              <w:t>(Inpatients)</w:t>
            </w:r>
          </w:p>
        </w:tc>
        <w:tc>
          <w:tcPr>
            <w:tcW w:w="776" w:type="dxa"/>
          </w:tcPr>
          <w:p w14:paraId="70E09231"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bCs/>
              </w:rPr>
            </w:pPr>
            <w:r w:rsidRPr="00796402">
              <w:rPr>
                <w:rFonts w:asciiTheme="majorHAnsi" w:hAnsiTheme="majorHAnsi" w:cstheme="majorHAnsi"/>
                <w:b/>
                <w:bCs/>
              </w:rPr>
              <w:t>Odds Ratio</w:t>
            </w:r>
          </w:p>
        </w:tc>
        <w:tc>
          <w:tcPr>
            <w:tcW w:w="1417" w:type="dxa"/>
          </w:tcPr>
          <w:p w14:paraId="72555989"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bCs/>
              </w:rPr>
            </w:pPr>
            <w:r w:rsidRPr="00796402">
              <w:rPr>
                <w:rFonts w:asciiTheme="majorHAnsi" w:hAnsiTheme="majorHAnsi" w:cstheme="majorHAnsi"/>
                <w:b/>
                <w:bCs/>
              </w:rPr>
              <w:t>95% Confidence Interval</w:t>
            </w:r>
          </w:p>
        </w:tc>
        <w:tc>
          <w:tcPr>
            <w:tcW w:w="1404" w:type="dxa"/>
          </w:tcPr>
          <w:p w14:paraId="4F58C0CC"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bCs/>
              </w:rPr>
            </w:pPr>
            <w:r w:rsidRPr="00796402">
              <w:rPr>
                <w:rFonts w:asciiTheme="majorHAnsi" w:hAnsiTheme="majorHAnsi" w:cstheme="majorHAnsi"/>
                <w:b/>
                <w:bCs/>
              </w:rPr>
              <w:t>p value</w:t>
            </w:r>
          </w:p>
        </w:tc>
      </w:tr>
      <w:tr w:rsidR="00796402" w:rsidRPr="00796402" w14:paraId="11ADBD6F" w14:textId="77777777" w:rsidTr="00796402">
        <w:trPr>
          <w:trHeight w:val="869"/>
        </w:trPr>
        <w:tc>
          <w:tcPr>
            <w:tcW w:w="1766" w:type="dxa"/>
          </w:tcPr>
          <w:p w14:paraId="011C3A5D"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rPr>
                <w:rFonts w:asciiTheme="majorHAnsi" w:hAnsiTheme="majorHAnsi" w:cstheme="majorHAnsi"/>
                <w:b/>
              </w:rPr>
            </w:pPr>
            <w:r w:rsidRPr="00796402">
              <w:rPr>
                <w:rFonts w:asciiTheme="majorHAnsi" w:hAnsiTheme="majorHAnsi" w:cstheme="majorHAnsi"/>
                <w:b/>
              </w:rPr>
              <w:t>Sex (Female)</w:t>
            </w:r>
          </w:p>
        </w:tc>
        <w:tc>
          <w:tcPr>
            <w:tcW w:w="1007" w:type="dxa"/>
          </w:tcPr>
          <w:p w14:paraId="32F7B21D"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rPr>
              <w:t>715</w:t>
            </w:r>
          </w:p>
        </w:tc>
        <w:tc>
          <w:tcPr>
            <w:tcW w:w="1205" w:type="dxa"/>
          </w:tcPr>
          <w:p w14:paraId="6378E271"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rPr>
              <w:t>2.16</w:t>
            </w:r>
          </w:p>
        </w:tc>
        <w:tc>
          <w:tcPr>
            <w:tcW w:w="1376" w:type="dxa"/>
          </w:tcPr>
          <w:p w14:paraId="2F940193"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rPr>
              <w:t>1.52 – 3.09</w:t>
            </w:r>
          </w:p>
        </w:tc>
        <w:tc>
          <w:tcPr>
            <w:tcW w:w="887" w:type="dxa"/>
          </w:tcPr>
          <w:p w14:paraId="5C0D3194"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Style w:val="Strong"/>
                <w:rFonts w:asciiTheme="majorHAnsi" w:hAnsiTheme="majorHAnsi" w:cstheme="majorHAnsi"/>
              </w:rPr>
              <w:t>&lt;0.001</w:t>
            </w:r>
          </w:p>
        </w:tc>
        <w:tc>
          <w:tcPr>
            <w:tcW w:w="1417" w:type="dxa"/>
          </w:tcPr>
          <w:p w14:paraId="0133D80E"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rPr>
              <w:t>163</w:t>
            </w:r>
          </w:p>
        </w:tc>
        <w:tc>
          <w:tcPr>
            <w:tcW w:w="776" w:type="dxa"/>
          </w:tcPr>
          <w:p w14:paraId="3CF44A08"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rPr>
              <w:t>0.84</w:t>
            </w:r>
          </w:p>
        </w:tc>
        <w:tc>
          <w:tcPr>
            <w:tcW w:w="1417" w:type="dxa"/>
          </w:tcPr>
          <w:p w14:paraId="02C8F08C"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rPr>
              <w:t>0.52 – 1.37</w:t>
            </w:r>
          </w:p>
        </w:tc>
        <w:tc>
          <w:tcPr>
            <w:tcW w:w="1404" w:type="dxa"/>
          </w:tcPr>
          <w:p w14:paraId="71C0EF6B"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rPr>
              <w:t>0.490</w:t>
            </w:r>
          </w:p>
        </w:tc>
      </w:tr>
      <w:tr w:rsidR="00796402" w:rsidRPr="00796402" w14:paraId="639E26D9" w14:textId="77777777" w:rsidTr="00796402">
        <w:trPr>
          <w:trHeight w:val="869"/>
        </w:trPr>
        <w:tc>
          <w:tcPr>
            <w:tcW w:w="1766" w:type="dxa"/>
          </w:tcPr>
          <w:p w14:paraId="5149028C"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rPr>
                <w:rFonts w:asciiTheme="majorHAnsi" w:hAnsiTheme="majorHAnsi" w:cstheme="majorHAnsi"/>
                <w:b/>
              </w:rPr>
            </w:pPr>
            <w:r w:rsidRPr="00796402">
              <w:rPr>
                <w:rFonts w:asciiTheme="majorHAnsi" w:hAnsiTheme="majorHAnsi" w:cstheme="majorHAnsi"/>
                <w:b/>
              </w:rPr>
              <w:t>IBD type (CD)</w:t>
            </w:r>
          </w:p>
        </w:tc>
        <w:tc>
          <w:tcPr>
            <w:tcW w:w="1007" w:type="dxa"/>
          </w:tcPr>
          <w:p w14:paraId="78F389AD"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rPr>
              <w:t>647</w:t>
            </w:r>
          </w:p>
        </w:tc>
        <w:tc>
          <w:tcPr>
            <w:tcW w:w="1205" w:type="dxa"/>
          </w:tcPr>
          <w:p w14:paraId="31F5A35D"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rPr>
              <w:t>2.24</w:t>
            </w:r>
          </w:p>
        </w:tc>
        <w:tc>
          <w:tcPr>
            <w:tcW w:w="1376" w:type="dxa"/>
          </w:tcPr>
          <w:p w14:paraId="378907D1"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rPr>
              <w:t>1.50 – 3.37</w:t>
            </w:r>
          </w:p>
        </w:tc>
        <w:tc>
          <w:tcPr>
            <w:tcW w:w="887" w:type="dxa"/>
          </w:tcPr>
          <w:p w14:paraId="1EFDBF62"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Style w:val="Strong"/>
                <w:rFonts w:asciiTheme="majorHAnsi" w:hAnsiTheme="majorHAnsi" w:cstheme="majorHAnsi"/>
              </w:rPr>
              <w:t>&lt;0.001</w:t>
            </w:r>
          </w:p>
        </w:tc>
        <w:tc>
          <w:tcPr>
            <w:tcW w:w="1417" w:type="dxa"/>
          </w:tcPr>
          <w:p w14:paraId="07A3E002"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rPr>
              <w:t>177</w:t>
            </w:r>
          </w:p>
        </w:tc>
        <w:tc>
          <w:tcPr>
            <w:tcW w:w="776" w:type="dxa"/>
          </w:tcPr>
          <w:p w14:paraId="34D55231"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rPr>
              <w:t>6.44</w:t>
            </w:r>
          </w:p>
        </w:tc>
        <w:tc>
          <w:tcPr>
            <w:tcW w:w="1417" w:type="dxa"/>
          </w:tcPr>
          <w:p w14:paraId="76BEF4BE"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rPr>
              <w:t>3.48 – 12.78</w:t>
            </w:r>
          </w:p>
        </w:tc>
        <w:tc>
          <w:tcPr>
            <w:tcW w:w="1404" w:type="dxa"/>
          </w:tcPr>
          <w:p w14:paraId="16C02027"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Style w:val="Strong"/>
                <w:rFonts w:asciiTheme="majorHAnsi" w:hAnsiTheme="majorHAnsi" w:cstheme="majorHAnsi"/>
              </w:rPr>
              <w:t>&lt;0.001</w:t>
            </w:r>
          </w:p>
        </w:tc>
      </w:tr>
      <w:tr w:rsidR="00796402" w:rsidRPr="00796402" w14:paraId="6C12901E" w14:textId="77777777" w:rsidTr="00796402">
        <w:trPr>
          <w:trHeight w:val="869"/>
        </w:trPr>
        <w:tc>
          <w:tcPr>
            <w:tcW w:w="1766" w:type="dxa"/>
          </w:tcPr>
          <w:p w14:paraId="454532E4"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rPr>
                <w:rFonts w:asciiTheme="majorHAnsi" w:hAnsiTheme="majorHAnsi" w:cstheme="majorHAnsi"/>
                <w:b/>
              </w:rPr>
            </w:pPr>
            <w:r w:rsidRPr="00796402">
              <w:rPr>
                <w:rFonts w:asciiTheme="majorHAnsi" w:hAnsiTheme="majorHAnsi" w:cstheme="majorHAnsi"/>
                <w:b/>
              </w:rPr>
              <w:t>Previous surgery</w:t>
            </w:r>
          </w:p>
        </w:tc>
        <w:tc>
          <w:tcPr>
            <w:tcW w:w="1007" w:type="dxa"/>
          </w:tcPr>
          <w:p w14:paraId="0ABE296D"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rPr>
              <w:t>300</w:t>
            </w:r>
          </w:p>
        </w:tc>
        <w:tc>
          <w:tcPr>
            <w:tcW w:w="1205" w:type="dxa"/>
          </w:tcPr>
          <w:p w14:paraId="3C47F0D9"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rPr>
              <w:t>2.28</w:t>
            </w:r>
          </w:p>
        </w:tc>
        <w:tc>
          <w:tcPr>
            <w:tcW w:w="1376" w:type="dxa"/>
          </w:tcPr>
          <w:p w14:paraId="2EEF7BCA"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rPr>
              <w:t>1.53 – 3.42</w:t>
            </w:r>
          </w:p>
        </w:tc>
        <w:tc>
          <w:tcPr>
            <w:tcW w:w="887" w:type="dxa"/>
          </w:tcPr>
          <w:p w14:paraId="346CCEBF"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Style w:val="Strong"/>
                <w:rFonts w:asciiTheme="majorHAnsi" w:hAnsiTheme="majorHAnsi" w:cstheme="majorHAnsi"/>
              </w:rPr>
              <w:t>&lt;0.001</w:t>
            </w:r>
          </w:p>
        </w:tc>
        <w:tc>
          <w:tcPr>
            <w:tcW w:w="1417" w:type="dxa"/>
          </w:tcPr>
          <w:p w14:paraId="4D445179"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rPr>
              <w:t>107</w:t>
            </w:r>
          </w:p>
        </w:tc>
        <w:tc>
          <w:tcPr>
            <w:tcW w:w="776" w:type="dxa"/>
          </w:tcPr>
          <w:p w14:paraId="50F671DD"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rPr>
              <w:t>3.14</w:t>
            </w:r>
          </w:p>
        </w:tc>
        <w:tc>
          <w:tcPr>
            <w:tcW w:w="1417" w:type="dxa"/>
          </w:tcPr>
          <w:p w14:paraId="197AFC23"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rPr>
              <w:t>1.80 – 5.53</w:t>
            </w:r>
          </w:p>
        </w:tc>
        <w:tc>
          <w:tcPr>
            <w:tcW w:w="1404" w:type="dxa"/>
          </w:tcPr>
          <w:p w14:paraId="1E277DD1"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Style w:val="Strong"/>
                <w:rFonts w:asciiTheme="majorHAnsi" w:hAnsiTheme="majorHAnsi" w:cstheme="majorHAnsi"/>
              </w:rPr>
              <w:t>&lt;0.001</w:t>
            </w:r>
          </w:p>
        </w:tc>
      </w:tr>
      <w:tr w:rsidR="00796402" w:rsidRPr="00796402" w14:paraId="7C185983" w14:textId="77777777" w:rsidTr="00796402">
        <w:trPr>
          <w:trHeight w:val="869"/>
        </w:trPr>
        <w:tc>
          <w:tcPr>
            <w:tcW w:w="1766" w:type="dxa"/>
          </w:tcPr>
          <w:p w14:paraId="1F2FBCE5"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rPr>
                <w:rFonts w:asciiTheme="majorHAnsi" w:hAnsiTheme="majorHAnsi" w:cstheme="majorHAnsi"/>
                <w:b/>
              </w:rPr>
            </w:pPr>
            <w:r w:rsidRPr="00796402">
              <w:rPr>
                <w:rFonts w:asciiTheme="majorHAnsi" w:hAnsiTheme="majorHAnsi" w:cstheme="majorHAnsi"/>
                <w:b/>
              </w:rPr>
              <w:t>PGA</w:t>
            </w:r>
            <w:r w:rsidRPr="00796402">
              <w:rPr>
                <w:rFonts w:asciiTheme="majorHAnsi" w:eastAsia="Open Sans" w:hAnsiTheme="majorHAnsi" w:cstheme="majorHAnsi"/>
                <w:color w:val="1C1D1E"/>
                <w:vertAlign w:val="superscript"/>
              </w:rPr>
              <w:t>†</w:t>
            </w:r>
          </w:p>
        </w:tc>
        <w:tc>
          <w:tcPr>
            <w:tcW w:w="1007" w:type="dxa"/>
          </w:tcPr>
          <w:p w14:paraId="056E698C"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p>
        </w:tc>
        <w:tc>
          <w:tcPr>
            <w:tcW w:w="1205" w:type="dxa"/>
          </w:tcPr>
          <w:p w14:paraId="77D3D6DB"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p>
        </w:tc>
        <w:tc>
          <w:tcPr>
            <w:tcW w:w="1376" w:type="dxa"/>
          </w:tcPr>
          <w:p w14:paraId="14E675D7"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p>
        </w:tc>
        <w:tc>
          <w:tcPr>
            <w:tcW w:w="887" w:type="dxa"/>
          </w:tcPr>
          <w:p w14:paraId="68436A55"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p>
        </w:tc>
        <w:tc>
          <w:tcPr>
            <w:tcW w:w="1417" w:type="dxa"/>
          </w:tcPr>
          <w:p w14:paraId="7D5325AD"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p>
        </w:tc>
        <w:tc>
          <w:tcPr>
            <w:tcW w:w="776" w:type="dxa"/>
          </w:tcPr>
          <w:p w14:paraId="79D96624"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p>
        </w:tc>
        <w:tc>
          <w:tcPr>
            <w:tcW w:w="1417" w:type="dxa"/>
          </w:tcPr>
          <w:p w14:paraId="24305C81"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p>
        </w:tc>
        <w:tc>
          <w:tcPr>
            <w:tcW w:w="1404" w:type="dxa"/>
          </w:tcPr>
          <w:p w14:paraId="6E598A37"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p>
        </w:tc>
      </w:tr>
      <w:tr w:rsidR="00796402" w:rsidRPr="00796402" w14:paraId="29190298" w14:textId="77777777" w:rsidTr="00796402">
        <w:trPr>
          <w:trHeight w:val="869"/>
        </w:trPr>
        <w:tc>
          <w:tcPr>
            <w:tcW w:w="1766" w:type="dxa"/>
          </w:tcPr>
          <w:p w14:paraId="4D2EE868"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right"/>
              <w:rPr>
                <w:rFonts w:asciiTheme="majorHAnsi" w:hAnsiTheme="majorHAnsi" w:cstheme="majorHAnsi"/>
                <w:b/>
              </w:rPr>
            </w:pPr>
            <w:r w:rsidRPr="00796402">
              <w:rPr>
                <w:rFonts w:asciiTheme="majorHAnsi" w:hAnsiTheme="majorHAnsi" w:cstheme="majorHAnsi"/>
                <w:b/>
              </w:rPr>
              <w:t>Mild</w:t>
            </w:r>
          </w:p>
        </w:tc>
        <w:tc>
          <w:tcPr>
            <w:tcW w:w="1007" w:type="dxa"/>
          </w:tcPr>
          <w:p w14:paraId="1B96B453"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rPr>
              <w:t>356</w:t>
            </w:r>
          </w:p>
        </w:tc>
        <w:tc>
          <w:tcPr>
            <w:tcW w:w="1205" w:type="dxa"/>
          </w:tcPr>
          <w:p w14:paraId="7F90A61F"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rPr>
              <w:t>1.55</w:t>
            </w:r>
          </w:p>
        </w:tc>
        <w:tc>
          <w:tcPr>
            <w:tcW w:w="1376" w:type="dxa"/>
          </w:tcPr>
          <w:p w14:paraId="6B41E886"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rPr>
              <w:t>1.04 – 2.30</w:t>
            </w:r>
          </w:p>
        </w:tc>
        <w:tc>
          <w:tcPr>
            <w:tcW w:w="887" w:type="dxa"/>
          </w:tcPr>
          <w:p w14:paraId="5A8240DC"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Style w:val="Strong"/>
                <w:rFonts w:asciiTheme="majorHAnsi" w:hAnsiTheme="majorHAnsi" w:cstheme="majorHAnsi"/>
              </w:rPr>
              <w:t>0.029</w:t>
            </w:r>
          </w:p>
        </w:tc>
        <w:tc>
          <w:tcPr>
            <w:tcW w:w="1417" w:type="dxa"/>
          </w:tcPr>
          <w:p w14:paraId="51FF0C37"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rPr>
              <w:t>-</w:t>
            </w:r>
          </w:p>
        </w:tc>
        <w:tc>
          <w:tcPr>
            <w:tcW w:w="776" w:type="dxa"/>
          </w:tcPr>
          <w:p w14:paraId="40848115"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b/>
              </w:rPr>
              <w:t>-</w:t>
            </w:r>
          </w:p>
        </w:tc>
        <w:tc>
          <w:tcPr>
            <w:tcW w:w="1417" w:type="dxa"/>
          </w:tcPr>
          <w:p w14:paraId="3658DA12"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b/>
              </w:rPr>
              <w:t>-</w:t>
            </w:r>
          </w:p>
        </w:tc>
        <w:tc>
          <w:tcPr>
            <w:tcW w:w="1404" w:type="dxa"/>
          </w:tcPr>
          <w:p w14:paraId="09B2BD68"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b/>
              </w:rPr>
              <w:t>-</w:t>
            </w:r>
          </w:p>
        </w:tc>
      </w:tr>
      <w:tr w:rsidR="00796402" w:rsidRPr="00796402" w14:paraId="5028484B" w14:textId="77777777" w:rsidTr="00796402">
        <w:trPr>
          <w:trHeight w:val="869"/>
        </w:trPr>
        <w:tc>
          <w:tcPr>
            <w:tcW w:w="1766" w:type="dxa"/>
          </w:tcPr>
          <w:p w14:paraId="3F854375"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right"/>
              <w:rPr>
                <w:rFonts w:asciiTheme="majorHAnsi" w:hAnsiTheme="majorHAnsi" w:cstheme="majorHAnsi"/>
                <w:b/>
              </w:rPr>
            </w:pPr>
            <w:r w:rsidRPr="00796402">
              <w:rPr>
                <w:rFonts w:asciiTheme="majorHAnsi" w:hAnsiTheme="majorHAnsi" w:cstheme="majorHAnsi"/>
                <w:b/>
              </w:rPr>
              <w:t>Moderate</w:t>
            </w:r>
          </w:p>
        </w:tc>
        <w:tc>
          <w:tcPr>
            <w:tcW w:w="1007" w:type="dxa"/>
          </w:tcPr>
          <w:p w14:paraId="7679A8DB"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rPr>
              <w:t>212</w:t>
            </w:r>
          </w:p>
        </w:tc>
        <w:tc>
          <w:tcPr>
            <w:tcW w:w="1205" w:type="dxa"/>
          </w:tcPr>
          <w:p w14:paraId="344FD318"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rPr>
              <w:t>2.31</w:t>
            </w:r>
          </w:p>
        </w:tc>
        <w:tc>
          <w:tcPr>
            <w:tcW w:w="1376" w:type="dxa"/>
          </w:tcPr>
          <w:p w14:paraId="75620B2B"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rPr>
              <w:t>1.49 – 3.56</w:t>
            </w:r>
          </w:p>
        </w:tc>
        <w:tc>
          <w:tcPr>
            <w:tcW w:w="887" w:type="dxa"/>
          </w:tcPr>
          <w:p w14:paraId="4D536D73"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Style w:val="Strong"/>
                <w:rFonts w:asciiTheme="majorHAnsi" w:hAnsiTheme="majorHAnsi" w:cstheme="majorHAnsi"/>
              </w:rPr>
              <w:t>&lt;0.001</w:t>
            </w:r>
          </w:p>
        </w:tc>
        <w:tc>
          <w:tcPr>
            <w:tcW w:w="1417" w:type="dxa"/>
          </w:tcPr>
          <w:p w14:paraId="149AC64C"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rPr>
              <w:t>-</w:t>
            </w:r>
          </w:p>
        </w:tc>
        <w:tc>
          <w:tcPr>
            <w:tcW w:w="776" w:type="dxa"/>
          </w:tcPr>
          <w:p w14:paraId="10B60C35"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b/>
              </w:rPr>
              <w:t>-</w:t>
            </w:r>
          </w:p>
        </w:tc>
        <w:tc>
          <w:tcPr>
            <w:tcW w:w="1417" w:type="dxa"/>
          </w:tcPr>
          <w:p w14:paraId="32FF0261"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b/>
              </w:rPr>
              <w:t>-</w:t>
            </w:r>
          </w:p>
        </w:tc>
        <w:tc>
          <w:tcPr>
            <w:tcW w:w="1404" w:type="dxa"/>
          </w:tcPr>
          <w:p w14:paraId="7C0B14C2"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b/>
              </w:rPr>
              <w:t>-</w:t>
            </w:r>
          </w:p>
        </w:tc>
      </w:tr>
      <w:tr w:rsidR="00796402" w:rsidRPr="00796402" w14:paraId="0C657765" w14:textId="77777777" w:rsidTr="00796402">
        <w:trPr>
          <w:trHeight w:val="869"/>
        </w:trPr>
        <w:tc>
          <w:tcPr>
            <w:tcW w:w="1766" w:type="dxa"/>
          </w:tcPr>
          <w:p w14:paraId="346A3BCA"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right"/>
              <w:rPr>
                <w:rFonts w:asciiTheme="majorHAnsi" w:hAnsiTheme="majorHAnsi" w:cstheme="majorHAnsi"/>
                <w:b/>
              </w:rPr>
            </w:pPr>
            <w:r w:rsidRPr="00796402">
              <w:rPr>
                <w:rFonts w:asciiTheme="majorHAnsi" w:hAnsiTheme="majorHAnsi" w:cstheme="majorHAnsi"/>
                <w:b/>
              </w:rPr>
              <w:t>Severe</w:t>
            </w:r>
          </w:p>
        </w:tc>
        <w:tc>
          <w:tcPr>
            <w:tcW w:w="1007" w:type="dxa"/>
          </w:tcPr>
          <w:p w14:paraId="6A84865A"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rPr>
              <w:t>37</w:t>
            </w:r>
          </w:p>
        </w:tc>
        <w:tc>
          <w:tcPr>
            <w:tcW w:w="1205" w:type="dxa"/>
          </w:tcPr>
          <w:p w14:paraId="79231FF4"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rPr>
              <w:t>1.91</w:t>
            </w:r>
          </w:p>
        </w:tc>
        <w:tc>
          <w:tcPr>
            <w:tcW w:w="1376" w:type="dxa"/>
          </w:tcPr>
          <w:p w14:paraId="538DDE1B"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rPr>
              <w:t>0.70 – 4.47</w:t>
            </w:r>
          </w:p>
        </w:tc>
        <w:tc>
          <w:tcPr>
            <w:tcW w:w="887" w:type="dxa"/>
          </w:tcPr>
          <w:p w14:paraId="048EA56D"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rPr>
              <w:t>0.163</w:t>
            </w:r>
          </w:p>
        </w:tc>
        <w:tc>
          <w:tcPr>
            <w:tcW w:w="1417" w:type="dxa"/>
          </w:tcPr>
          <w:p w14:paraId="6F6D047C"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rPr>
              <w:t>-</w:t>
            </w:r>
          </w:p>
        </w:tc>
        <w:tc>
          <w:tcPr>
            <w:tcW w:w="776" w:type="dxa"/>
          </w:tcPr>
          <w:p w14:paraId="44520A99"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b/>
              </w:rPr>
              <w:t>-</w:t>
            </w:r>
          </w:p>
        </w:tc>
        <w:tc>
          <w:tcPr>
            <w:tcW w:w="1417" w:type="dxa"/>
          </w:tcPr>
          <w:p w14:paraId="1A6D6BAC"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b/>
              </w:rPr>
              <w:t>-</w:t>
            </w:r>
          </w:p>
        </w:tc>
        <w:tc>
          <w:tcPr>
            <w:tcW w:w="1404" w:type="dxa"/>
          </w:tcPr>
          <w:p w14:paraId="72C86206"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b/>
              </w:rPr>
              <w:t>-</w:t>
            </w:r>
          </w:p>
        </w:tc>
      </w:tr>
      <w:tr w:rsidR="00796402" w:rsidRPr="00796402" w14:paraId="5DBCE423" w14:textId="77777777" w:rsidTr="00796402">
        <w:trPr>
          <w:trHeight w:val="869"/>
        </w:trPr>
        <w:tc>
          <w:tcPr>
            <w:tcW w:w="1766" w:type="dxa"/>
          </w:tcPr>
          <w:p w14:paraId="2BA210DE"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rPr>
                <w:rFonts w:asciiTheme="majorHAnsi" w:hAnsiTheme="majorHAnsi" w:cstheme="majorHAnsi"/>
                <w:b/>
              </w:rPr>
            </w:pPr>
            <w:r w:rsidRPr="00796402">
              <w:rPr>
                <w:rFonts w:asciiTheme="majorHAnsi" w:hAnsiTheme="majorHAnsi" w:cstheme="majorHAnsi"/>
                <w:b/>
              </w:rPr>
              <w:t>Biologic use</w:t>
            </w:r>
            <w:r w:rsidRPr="00796402">
              <w:rPr>
                <w:rFonts w:asciiTheme="majorHAnsi" w:hAnsiTheme="majorHAnsi" w:cstheme="majorHAnsi"/>
                <w:color w:val="1C1D1E"/>
              </w:rPr>
              <w:t>‡</w:t>
            </w:r>
          </w:p>
        </w:tc>
        <w:tc>
          <w:tcPr>
            <w:tcW w:w="1007" w:type="dxa"/>
          </w:tcPr>
          <w:p w14:paraId="036DF0D0"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Cs/>
              </w:rPr>
            </w:pPr>
            <w:r w:rsidRPr="00796402">
              <w:rPr>
                <w:rFonts w:asciiTheme="majorHAnsi" w:hAnsiTheme="majorHAnsi" w:cstheme="majorHAnsi"/>
                <w:bCs/>
              </w:rPr>
              <w:t>694</w:t>
            </w:r>
          </w:p>
        </w:tc>
        <w:tc>
          <w:tcPr>
            <w:tcW w:w="1205" w:type="dxa"/>
          </w:tcPr>
          <w:p w14:paraId="2BBC1F13"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rPr>
              <w:t>1.86</w:t>
            </w:r>
          </w:p>
        </w:tc>
        <w:tc>
          <w:tcPr>
            <w:tcW w:w="1376" w:type="dxa"/>
          </w:tcPr>
          <w:p w14:paraId="6B00E8A0"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rPr>
              <w:t>1.27 – 2.75</w:t>
            </w:r>
          </w:p>
        </w:tc>
        <w:tc>
          <w:tcPr>
            <w:tcW w:w="887" w:type="dxa"/>
          </w:tcPr>
          <w:p w14:paraId="1CE94254"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Style w:val="Strong"/>
                <w:rFonts w:asciiTheme="majorHAnsi" w:hAnsiTheme="majorHAnsi" w:cstheme="majorHAnsi"/>
              </w:rPr>
              <w:t>0.002</w:t>
            </w:r>
          </w:p>
        </w:tc>
        <w:tc>
          <w:tcPr>
            <w:tcW w:w="1417" w:type="dxa"/>
          </w:tcPr>
          <w:p w14:paraId="3BA26243"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rPr>
              <w:t>-</w:t>
            </w:r>
          </w:p>
        </w:tc>
        <w:tc>
          <w:tcPr>
            <w:tcW w:w="776" w:type="dxa"/>
          </w:tcPr>
          <w:p w14:paraId="5FA084B2"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b/>
              </w:rPr>
              <w:t>-</w:t>
            </w:r>
          </w:p>
        </w:tc>
        <w:tc>
          <w:tcPr>
            <w:tcW w:w="1417" w:type="dxa"/>
          </w:tcPr>
          <w:p w14:paraId="2C0F9122"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b/>
              </w:rPr>
              <w:t>-</w:t>
            </w:r>
          </w:p>
        </w:tc>
        <w:tc>
          <w:tcPr>
            <w:tcW w:w="1404" w:type="dxa"/>
          </w:tcPr>
          <w:p w14:paraId="6C3F917A"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b/>
              </w:rPr>
              <w:t>-</w:t>
            </w:r>
          </w:p>
        </w:tc>
      </w:tr>
      <w:tr w:rsidR="00796402" w:rsidRPr="00796402" w14:paraId="495BBDBD" w14:textId="77777777" w:rsidTr="00796402">
        <w:trPr>
          <w:trHeight w:val="869"/>
        </w:trPr>
        <w:tc>
          <w:tcPr>
            <w:tcW w:w="1766" w:type="dxa"/>
          </w:tcPr>
          <w:p w14:paraId="3289056E"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rPr>
                <w:rFonts w:asciiTheme="majorHAnsi" w:hAnsiTheme="majorHAnsi" w:cstheme="majorHAnsi"/>
                <w:b/>
              </w:rPr>
            </w:pPr>
            <w:r w:rsidRPr="00796402">
              <w:rPr>
                <w:rFonts w:asciiTheme="majorHAnsi" w:hAnsiTheme="majorHAnsi" w:cstheme="majorHAnsi"/>
                <w:b/>
              </w:rPr>
              <w:t>Preadmission opioids</w:t>
            </w:r>
            <w:r w:rsidRPr="00796402">
              <w:rPr>
                <w:rFonts w:asciiTheme="majorHAnsi" w:eastAsia="Open Sans" w:hAnsiTheme="majorHAnsi" w:cstheme="majorHAnsi"/>
                <w:color w:val="1C1D1E"/>
              </w:rPr>
              <w:t xml:space="preserve"> §</w:t>
            </w:r>
          </w:p>
        </w:tc>
        <w:tc>
          <w:tcPr>
            <w:tcW w:w="1007" w:type="dxa"/>
          </w:tcPr>
          <w:p w14:paraId="4DA22A52"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b/>
              </w:rPr>
              <w:t>-</w:t>
            </w:r>
          </w:p>
        </w:tc>
        <w:tc>
          <w:tcPr>
            <w:tcW w:w="1205" w:type="dxa"/>
          </w:tcPr>
          <w:p w14:paraId="613E7211"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b/>
              </w:rPr>
              <w:t>-</w:t>
            </w:r>
          </w:p>
        </w:tc>
        <w:tc>
          <w:tcPr>
            <w:tcW w:w="1376" w:type="dxa"/>
          </w:tcPr>
          <w:p w14:paraId="33AACDB1"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b/>
              </w:rPr>
              <w:t>-</w:t>
            </w:r>
          </w:p>
        </w:tc>
        <w:tc>
          <w:tcPr>
            <w:tcW w:w="887" w:type="dxa"/>
          </w:tcPr>
          <w:p w14:paraId="3AA1DF22"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b/>
              </w:rPr>
              <w:t>-</w:t>
            </w:r>
          </w:p>
        </w:tc>
        <w:tc>
          <w:tcPr>
            <w:tcW w:w="1417" w:type="dxa"/>
          </w:tcPr>
          <w:p w14:paraId="6EFA0167"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rPr>
              <w:t>66</w:t>
            </w:r>
          </w:p>
        </w:tc>
        <w:tc>
          <w:tcPr>
            <w:tcW w:w="776" w:type="dxa"/>
          </w:tcPr>
          <w:p w14:paraId="0814B565"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rPr>
              <w:t>3.71</w:t>
            </w:r>
          </w:p>
        </w:tc>
        <w:tc>
          <w:tcPr>
            <w:tcW w:w="1417" w:type="dxa"/>
          </w:tcPr>
          <w:p w14:paraId="1D7FA99A"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rPr>
              <w:t>1.97 – 7.06</w:t>
            </w:r>
          </w:p>
        </w:tc>
        <w:tc>
          <w:tcPr>
            <w:tcW w:w="1404" w:type="dxa"/>
          </w:tcPr>
          <w:p w14:paraId="459A3E7B"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Style w:val="Strong"/>
                <w:rFonts w:asciiTheme="majorHAnsi" w:hAnsiTheme="majorHAnsi" w:cstheme="majorHAnsi"/>
              </w:rPr>
              <w:t>&lt;0.001</w:t>
            </w:r>
          </w:p>
        </w:tc>
      </w:tr>
      <w:tr w:rsidR="00796402" w:rsidRPr="00796402" w14:paraId="34F6506C" w14:textId="77777777" w:rsidTr="00796402">
        <w:trPr>
          <w:trHeight w:val="869"/>
        </w:trPr>
        <w:tc>
          <w:tcPr>
            <w:tcW w:w="1766" w:type="dxa"/>
          </w:tcPr>
          <w:p w14:paraId="5F8AD952"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rPr>
                <w:rFonts w:asciiTheme="majorHAnsi" w:hAnsiTheme="majorHAnsi" w:cstheme="majorHAnsi"/>
                <w:b/>
              </w:rPr>
            </w:pPr>
            <w:r w:rsidRPr="00796402">
              <w:rPr>
                <w:rFonts w:asciiTheme="majorHAnsi" w:hAnsiTheme="majorHAnsi" w:cstheme="majorHAnsi"/>
                <w:b/>
              </w:rPr>
              <w:t>Surgery during admission</w:t>
            </w:r>
          </w:p>
        </w:tc>
        <w:tc>
          <w:tcPr>
            <w:tcW w:w="1007" w:type="dxa"/>
          </w:tcPr>
          <w:p w14:paraId="6CBFFA93"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b/>
              </w:rPr>
              <w:t>-</w:t>
            </w:r>
          </w:p>
        </w:tc>
        <w:tc>
          <w:tcPr>
            <w:tcW w:w="1205" w:type="dxa"/>
          </w:tcPr>
          <w:p w14:paraId="1BFCC6CD"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b/>
              </w:rPr>
              <w:t>-</w:t>
            </w:r>
          </w:p>
        </w:tc>
        <w:tc>
          <w:tcPr>
            <w:tcW w:w="1376" w:type="dxa"/>
          </w:tcPr>
          <w:p w14:paraId="4B636171"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b/>
              </w:rPr>
              <w:t>-</w:t>
            </w:r>
          </w:p>
        </w:tc>
        <w:tc>
          <w:tcPr>
            <w:tcW w:w="887" w:type="dxa"/>
          </w:tcPr>
          <w:p w14:paraId="3E9E0404"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b/>
              </w:rPr>
              <w:t>-</w:t>
            </w:r>
          </w:p>
        </w:tc>
        <w:tc>
          <w:tcPr>
            <w:tcW w:w="1417" w:type="dxa"/>
          </w:tcPr>
          <w:p w14:paraId="4F0CF0BC"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rPr>
              <w:t>97</w:t>
            </w:r>
          </w:p>
        </w:tc>
        <w:tc>
          <w:tcPr>
            <w:tcW w:w="776" w:type="dxa"/>
          </w:tcPr>
          <w:p w14:paraId="3E7C29A0"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rPr>
              <w:t>4.65</w:t>
            </w:r>
          </w:p>
        </w:tc>
        <w:tc>
          <w:tcPr>
            <w:tcW w:w="1417" w:type="dxa"/>
          </w:tcPr>
          <w:p w14:paraId="3C55A3FC"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Fonts w:asciiTheme="majorHAnsi" w:hAnsiTheme="majorHAnsi" w:cstheme="majorHAnsi"/>
              </w:rPr>
              <w:t>2.60 – 8.40</w:t>
            </w:r>
          </w:p>
        </w:tc>
        <w:tc>
          <w:tcPr>
            <w:tcW w:w="1404" w:type="dxa"/>
          </w:tcPr>
          <w:p w14:paraId="3C80D19D" w14:textId="77777777" w:rsidR="00796402" w:rsidRPr="00796402" w:rsidRDefault="00796402" w:rsidP="00BB0973">
            <w:pPr>
              <w:tabs>
                <w:tab w:val="center" w:pos="2891"/>
                <w:tab w:val="center" w:pos="3937"/>
                <w:tab w:val="center" w:pos="4935"/>
                <w:tab w:val="center" w:pos="5977"/>
                <w:tab w:val="center" w:pos="6987"/>
                <w:tab w:val="center" w:pos="8949"/>
                <w:tab w:val="center" w:pos="11612"/>
                <w:tab w:val="right" w:pos="14990"/>
              </w:tabs>
              <w:spacing w:after="0"/>
              <w:jc w:val="center"/>
              <w:rPr>
                <w:rFonts w:asciiTheme="majorHAnsi" w:hAnsiTheme="majorHAnsi" w:cstheme="majorHAnsi"/>
                <w:b/>
              </w:rPr>
            </w:pPr>
            <w:r w:rsidRPr="00796402">
              <w:rPr>
                <w:rStyle w:val="Strong"/>
                <w:rFonts w:asciiTheme="majorHAnsi" w:hAnsiTheme="majorHAnsi" w:cstheme="majorHAnsi"/>
              </w:rPr>
              <w:t>&lt;0.001</w:t>
            </w:r>
          </w:p>
        </w:tc>
      </w:tr>
    </w:tbl>
    <w:p w14:paraId="0D0E4DC3" w14:textId="77777777" w:rsidR="00796402" w:rsidRPr="00796402" w:rsidRDefault="00796402" w:rsidP="00796402">
      <w:pPr>
        <w:spacing w:after="4" w:line="249" w:lineRule="auto"/>
        <w:ind w:left="10" w:hanging="10"/>
        <w:rPr>
          <w:rFonts w:asciiTheme="majorHAnsi" w:hAnsiTheme="majorHAnsi" w:cstheme="majorHAnsi"/>
          <w:b/>
        </w:rPr>
      </w:pPr>
    </w:p>
    <w:p w14:paraId="31115AAA" w14:textId="44B273B9" w:rsidR="00796402" w:rsidRPr="00796402" w:rsidRDefault="00796402" w:rsidP="00796402">
      <w:pPr>
        <w:spacing w:after="4" w:line="480" w:lineRule="auto"/>
        <w:rPr>
          <w:rFonts w:asciiTheme="majorHAnsi" w:hAnsiTheme="majorHAnsi" w:cstheme="majorHAnsi"/>
        </w:rPr>
      </w:pPr>
      <w:r w:rsidRPr="00796402">
        <w:rPr>
          <w:rFonts w:asciiTheme="majorHAnsi" w:hAnsiTheme="majorHAnsi" w:cstheme="majorHAnsi"/>
          <w:b/>
        </w:rPr>
        <w:t>Table 3. Multivariable regression analysis</w:t>
      </w:r>
    </w:p>
    <w:p w14:paraId="01CFEBAD" w14:textId="77777777" w:rsidR="00796402" w:rsidRPr="00796402" w:rsidRDefault="00796402" w:rsidP="00796402">
      <w:pPr>
        <w:spacing w:after="4" w:line="480" w:lineRule="auto"/>
        <w:ind w:left="10" w:hanging="10"/>
        <w:rPr>
          <w:rFonts w:asciiTheme="majorHAnsi" w:hAnsiTheme="majorHAnsi" w:cstheme="majorHAnsi"/>
          <w:sz w:val="20"/>
          <w:szCs w:val="20"/>
        </w:rPr>
      </w:pPr>
      <w:r w:rsidRPr="00796402">
        <w:rPr>
          <w:rFonts w:asciiTheme="majorHAnsi" w:hAnsiTheme="majorHAnsi" w:cstheme="majorHAnsi"/>
          <w:sz w:val="20"/>
          <w:szCs w:val="20"/>
        </w:rPr>
        <w:t>P</w:t>
      </w:r>
      <w:r w:rsidRPr="00796402">
        <w:rPr>
          <w:rFonts w:asciiTheme="majorHAnsi" w:hAnsiTheme="majorHAnsi" w:cstheme="majorHAnsi"/>
          <w:bCs/>
          <w:sz w:val="20"/>
          <w:szCs w:val="20"/>
        </w:rPr>
        <w:t xml:space="preserve">redictors associated with exposure to any opioid containing medication; for &gt;2 weeks in the past year (Outpatients)/ at discharge from hospital (Inpatients). Significant p values shown in bold. </w:t>
      </w:r>
    </w:p>
    <w:p w14:paraId="2090FD01" w14:textId="77777777" w:rsidR="00796402" w:rsidRPr="00796402" w:rsidRDefault="00796402" w:rsidP="00796402">
      <w:pPr>
        <w:spacing w:after="4" w:line="480" w:lineRule="auto"/>
        <w:ind w:left="10" w:hanging="10"/>
        <w:rPr>
          <w:rFonts w:asciiTheme="majorHAnsi" w:hAnsiTheme="majorHAnsi" w:cstheme="majorHAnsi"/>
          <w:bCs/>
          <w:sz w:val="20"/>
          <w:szCs w:val="20"/>
        </w:rPr>
      </w:pPr>
      <w:r w:rsidRPr="00796402">
        <w:rPr>
          <w:rFonts w:asciiTheme="majorHAnsi" w:hAnsiTheme="majorHAnsi" w:cstheme="majorHAnsi"/>
          <w:bCs/>
          <w:sz w:val="20"/>
          <w:szCs w:val="20"/>
        </w:rPr>
        <w:t xml:space="preserve">† The Physician Global Assessment is an assessment of inflammatory bowel disease severity taking into account the daily record of abdominal discomfort, functional assessment and other observations such as physical </w:t>
      </w:r>
      <w:r w:rsidRPr="00796402">
        <w:rPr>
          <w:rFonts w:asciiTheme="majorHAnsi" w:hAnsiTheme="majorHAnsi" w:cstheme="majorHAnsi"/>
          <w:bCs/>
          <w:sz w:val="20"/>
          <w:szCs w:val="20"/>
        </w:rPr>
        <w:lastRenderedPageBreak/>
        <w:t xml:space="preserve">findings, and the patient’s performance status. Reference group for physician global assessment is the “remission” group.  </w:t>
      </w:r>
    </w:p>
    <w:p w14:paraId="7546C8D5" w14:textId="77777777" w:rsidR="00796402" w:rsidRPr="00796402" w:rsidRDefault="00796402" w:rsidP="00796402">
      <w:pPr>
        <w:spacing w:after="4" w:line="480" w:lineRule="auto"/>
        <w:ind w:left="10" w:hanging="10"/>
        <w:rPr>
          <w:rFonts w:asciiTheme="majorHAnsi" w:hAnsiTheme="majorHAnsi" w:cstheme="majorHAnsi"/>
          <w:bCs/>
          <w:sz w:val="20"/>
          <w:szCs w:val="20"/>
        </w:rPr>
      </w:pPr>
      <w:r w:rsidRPr="00796402">
        <w:rPr>
          <w:rFonts w:asciiTheme="majorHAnsi" w:hAnsiTheme="majorHAnsi" w:cstheme="majorHAnsi"/>
          <w:bCs/>
          <w:sz w:val="20"/>
          <w:szCs w:val="20"/>
        </w:rPr>
        <w:t xml:space="preserve">‡Previous or current biologic or small molecule use </w:t>
      </w:r>
    </w:p>
    <w:p w14:paraId="3793906F" w14:textId="77777777" w:rsidR="00796402" w:rsidRPr="00796402" w:rsidRDefault="00796402" w:rsidP="00796402">
      <w:pPr>
        <w:spacing w:after="4" w:line="480" w:lineRule="auto"/>
        <w:ind w:left="10" w:hanging="10"/>
        <w:rPr>
          <w:rFonts w:asciiTheme="majorHAnsi" w:hAnsiTheme="majorHAnsi" w:cstheme="majorHAnsi"/>
          <w:bCs/>
          <w:sz w:val="20"/>
          <w:szCs w:val="20"/>
        </w:rPr>
      </w:pPr>
      <w:r w:rsidRPr="00796402">
        <w:rPr>
          <w:rFonts w:asciiTheme="majorHAnsi" w:hAnsiTheme="majorHAnsi" w:cstheme="majorHAnsi"/>
          <w:bCs/>
          <w:sz w:val="20"/>
          <w:szCs w:val="20"/>
        </w:rPr>
        <w:t xml:space="preserve">§ Opioid prescription in the 3 months prior to admission </w:t>
      </w:r>
    </w:p>
    <w:p w14:paraId="45C40980" w14:textId="77777777" w:rsidR="00796402" w:rsidRDefault="00796402" w:rsidP="00045C39">
      <w:pPr>
        <w:spacing w:line="480" w:lineRule="auto"/>
        <w:rPr>
          <w:rFonts w:asciiTheme="majorHAnsi" w:hAnsiTheme="majorHAnsi" w:cstheme="majorHAnsi"/>
        </w:rPr>
      </w:pPr>
    </w:p>
    <w:p w14:paraId="6ED92149" w14:textId="77777777" w:rsidR="00796402" w:rsidRDefault="00796402">
      <w:pPr>
        <w:spacing w:after="0"/>
        <w:rPr>
          <w:rFonts w:asciiTheme="majorHAnsi" w:hAnsiTheme="majorHAnsi" w:cstheme="majorHAnsi"/>
        </w:rPr>
      </w:pPr>
      <w:r>
        <w:rPr>
          <w:rFonts w:asciiTheme="majorHAnsi" w:hAnsiTheme="majorHAnsi" w:cstheme="majorHAnsi"/>
        </w:rPr>
        <w:br w:type="page"/>
      </w:r>
    </w:p>
    <w:p w14:paraId="69433516" w14:textId="765A9A64" w:rsidR="00DD610F" w:rsidRPr="00E676E1" w:rsidRDefault="00DD610F" w:rsidP="00DD610F">
      <w:pPr>
        <w:spacing w:line="480" w:lineRule="auto"/>
        <w:rPr>
          <w:rFonts w:asciiTheme="majorHAnsi" w:hAnsiTheme="majorHAnsi" w:cstheme="majorHAnsi"/>
          <w:i/>
          <w:iCs/>
          <w:sz w:val="28"/>
          <w:szCs w:val="28"/>
        </w:rPr>
      </w:pPr>
      <w:r w:rsidRPr="00E676E1">
        <w:rPr>
          <w:rFonts w:asciiTheme="majorHAnsi" w:hAnsiTheme="majorHAnsi" w:cstheme="majorHAnsi"/>
          <w:i/>
          <w:iCs/>
          <w:sz w:val="28"/>
          <w:szCs w:val="28"/>
        </w:rPr>
        <w:lastRenderedPageBreak/>
        <w:t>Inpatients</w:t>
      </w:r>
    </w:p>
    <w:p w14:paraId="6FBC59B2" w14:textId="3C08CB8B" w:rsidR="007F11DB" w:rsidRPr="00E676E1" w:rsidRDefault="007D7CF5" w:rsidP="007F11DB">
      <w:pPr>
        <w:spacing w:line="480" w:lineRule="auto"/>
        <w:rPr>
          <w:rFonts w:asciiTheme="majorHAnsi" w:hAnsiTheme="majorHAnsi" w:cstheme="majorHAnsi"/>
          <w:color w:val="FF0000"/>
        </w:rPr>
      </w:pPr>
      <w:r w:rsidRPr="00E676E1">
        <w:rPr>
          <w:rFonts w:asciiTheme="majorHAnsi" w:hAnsiTheme="majorHAnsi" w:cstheme="majorHAnsi"/>
        </w:rPr>
        <w:t>A total of</w:t>
      </w:r>
      <w:r w:rsidR="00DD610F" w:rsidRPr="00E676E1">
        <w:rPr>
          <w:rFonts w:asciiTheme="majorHAnsi" w:hAnsiTheme="majorHAnsi" w:cstheme="majorHAnsi"/>
        </w:rPr>
        <w:t xml:space="preserve"> </w:t>
      </w:r>
      <w:r w:rsidR="00E14B45" w:rsidRPr="00E676E1">
        <w:rPr>
          <w:rFonts w:asciiTheme="majorHAnsi" w:hAnsiTheme="majorHAnsi" w:cstheme="majorHAnsi"/>
        </w:rPr>
        <w:t>89</w:t>
      </w:r>
      <w:r w:rsidR="00DC2DBB" w:rsidRPr="00E676E1">
        <w:rPr>
          <w:rFonts w:asciiTheme="majorHAnsi" w:hAnsiTheme="majorHAnsi" w:cstheme="majorHAnsi"/>
        </w:rPr>
        <w:t>/324</w:t>
      </w:r>
      <w:r w:rsidR="00DD610F" w:rsidRPr="00E676E1">
        <w:rPr>
          <w:rFonts w:asciiTheme="majorHAnsi" w:hAnsiTheme="majorHAnsi" w:cstheme="majorHAnsi"/>
        </w:rPr>
        <w:t>(27.</w:t>
      </w:r>
      <w:r w:rsidR="00E14B45" w:rsidRPr="00E676E1">
        <w:rPr>
          <w:rFonts w:asciiTheme="majorHAnsi" w:hAnsiTheme="majorHAnsi" w:cstheme="majorHAnsi"/>
        </w:rPr>
        <w:t>5</w:t>
      </w:r>
      <w:r w:rsidR="00DD610F" w:rsidRPr="00E676E1">
        <w:rPr>
          <w:rFonts w:asciiTheme="majorHAnsi" w:hAnsiTheme="majorHAnsi" w:cstheme="majorHAnsi"/>
        </w:rPr>
        <w:t xml:space="preserve">%) individuals </w:t>
      </w:r>
      <w:r w:rsidRPr="00E676E1">
        <w:rPr>
          <w:rFonts w:asciiTheme="majorHAnsi" w:hAnsiTheme="majorHAnsi" w:cstheme="majorHAnsi"/>
        </w:rPr>
        <w:t>were discharged with an opioid prescription</w:t>
      </w:r>
      <w:r w:rsidR="00347471" w:rsidRPr="00E676E1">
        <w:rPr>
          <w:rFonts w:asciiTheme="majorHAnsi" w:hAnsiTheme="majorHAnsi" w:cstheme="majorHAnsi"/>
        </w:rPr>
        <w:t>, 52</w:t>
      </w:r>
      <w:r w:rsidR="00DC2DBB" w:rsidRPr="00E676E1">
        <w:rPr>
          <w:rFonts w:asciiTheme="majorHAnsi" w:hAnsiTheme="majorHAnsi" w:cstheme="majorHAnsi"/>
        </w:rPr>
        <w:t>/324(16.0%)</w:t>
      </w:r>
      <w:r w:rsidR="00347471" w:rsidRPr="00E676E1">
        <w:rPr>
          <w:rFonts w:asciiTheme="majorHAnsi" w:hAnsiTheme="majorHAnsi" w:cstheme="majorHAnsi"/>
        </w:rPr>
        <w:t xml:space="preserve"> of whom had not used opioids in the 3 months prior to admission</w:t>
      </w:r>
      <w:r w:rsidR="00B300AD" w:rsidRPr="00E676E1">
        <w:rPr>
          <w:rFonts w:asciiTheme="majorHAnsi" w:hAnsiTheme="majorHAnsi" w:cstheme="majorHAnsi"/>
        </w:rPr>
        <w:t xml:space="preserve"> and were therefore </w:t>
      </w:r>
      <w:r w:rsidR="00313DFF" w:rsidRPr="00E676E1">
        <w:rPr>
          <w:rFonts w:asciiTheme="majorHAnsi" w:hAnsiTheme="majorHAnsi" w:cstheme="majorHAnsi"/>
        </w:rPr>
        <w:t>‘</w:t>
      </w:r>
      <w:r w:rsidR="00B300AD" w:rsidRPr="00E676E1">
        <w:rPr>
          <w:rFonts w:asciiTheme="majorHAnsi" w:hAnsiTheme="majorHAnsi" w:cstheme="majorHAnsi"/>
        </w:rPr>
        <w:t>new</w:t>
      </w:r>
      <w:r w:rsidR="00313DFF" w:rsidRPr="00E676E1">
        <w:rPr>
          <w:rFonts w:asciiTheme="majorHAnsi" w:hAnsiTheme="majorHAnsi" w:cstheme="majorHAnsi"/>
        </w:rPr>
        <w:t>’</w:t>
      </w:r>
      <w:r w:rsidR="00B300AD" w:rsidRPr="00E676E1">
        <w:rPr>
          <w:rFonts w:asciiTheme="majorHAnsi" w:hAnsiTheme="majorHAnsi" w:cstheme="majorHAnsi"/>
        </w:rPr>
        <w:t xml:space="preserve"> users</w:t>
      </w:r>
      <w:r w:rsidR="00347471" w:rsidRPr="00E676E1">
        <w:rPr>
          <w:rFonts w:asciiTheme="majorHAnsi" w:hAnsiTheme="majorHAnsi" w:cstheme="majorHAnsi"/>
        </w:rPr>
        <w:t xml:space="preserve">. </w:t>
      </w:r>
      <w:r w:rsidR="007F11DB" w:rsidRPr="00E676E1">
        <w:rPr>
          <w:rFonts w:asciiTheme="majorHAnsi" w:hAnsiTheme="majorHAnsi" w:cstheme="majorHAnsi"/>
        </w:rPr>
        <w:t xml:space="preserve">Opioids were prescribed at discharge to 22/184(12.0%) of patients admitted under a medical team and 67/140(47.9%) of those admitted under a surgical team. </w:t>
      </w:r>
    </w:p>
    <w:p w14:paraId="15D73274" w14:textId="7056F666" w:rsidR="00DD610F" w:rsidRPr="00E676E1" w:rsidRDefault="00347471" w:rsidP="007F11DB">
      <w:pPr>
        <w:spacing w:line="480" w:lineRule="auto"/>
        <w:rPr>
          <w:rFonts w:asciiTheme="majorHAnsi" w:hAnsiTheme="majorHAnsi" w:cstheme="majorHAnsi"/>
          <w:color w:val="FF0000"/>
        </w:rPr>
      </w:pPr>
      <w:r w:rsidRPr="00E676E1">
        <w:rPr>
          <w:rFonts w:asciiTheme="majorHAnsi" w:hAnsiTheme="majorHAnsi" w:cstheme="majorHAnsi"/>
        </w:rPr>
        <w:t>A</w:t>
      </w:r>
      <w:r w:rsidR="00DD610F" w:rsidRPr="00E676E1">
        <w:rPr>
          <w:rFonts w:asciiTheme="majorHAnsi" w:hAnsiTheme="majorHAnsi" w:cstheme="majorHAnsi"/>
        </w:rPr>
        <w:t>t 3-6 months after discharge, 300 (92.6%) patients were followe</w:t>
      </w:r>
      <w:r w:rsidR="00313DFF" w:rsidRPr="00E676E1">
        <w:rPr>
          <w:rFonts w:asciiTheme="majorHAnsi" w:hAnsiTheme="majorHAnsi" w:cstheme="majorHAnsi"/>
        </w:rPr>
        <w:t>d</w:t>
      </w:r>
      <w:r w:rsidR="00DD610F" w:rsidRPr="00E676E1">
        <w:rPr>
          <w:rFonts w:asciiTheme="majorHAnsi" w:hAnsiTheme="majorHAnsi" w:cstheme="majorHAnsi"/>
        </w:rPr>
        <w:t xml:space="preserve"> up </w:t>
      </w:r>
      <w:r w:rsidR="00713A7E" w:rsidRPr="00E676E1">
        <w:rPr>
          <w:rFonts w:asciiTheme="majorHAnsi" w:hAnsiTheme="majorHAnsi" w:cstheme="majorHAnsi"/>
        </w:rPr>
        <w:t>(See Supplementary Information 5)</w:t>
      </w:r>
      <w:r w:rsidR="00EA1098" w:rsidRPr="00E676E1">
        <w:rPr>
          <w:rFonts w:asciiTheme="majorHAnsi" w:hAnsiTheme="majorHAnsi" w:cstheme="majorHAnsi"/>
        </w:rPr>
        <w:t xml:space="preserve"> </w:t>
      </w:r>
      <w:r w:rsidR="007E6CBC" w:rsidRPr="00E676E1">
        <w:rPr>
          <w:rFonts w:asciiTheme="majorHAnsi" w:hAnsiTheme="majorHAnsi" w:cstheme="majorHAnsi"/>
        </w:rPr>
        <w:t>with</w:t>
      </w:r>
      <w:r w:rsidR="00DD610F" w:rsidRPr="00E676E1">
        <w:rPr>
          <w:rFonts w:asciiTheme="majorHAnsi" w:hAnsiTheme="majorHAnsi" w:cstheme="majorHAnsi"/>
        </w:rPr>
        <w:t xml:space="preserve"> 42</w:t>
      </w:r>
      <w:r w:rsidR="00DC2DBB" w:rsidRPr="00E676E1">
        <w:rPr>
          <w:rFonts w:asciiTheme="majorHAnsi" w:hAnsiTheme="majorHAnsi" w:cstheme="majorHAnsi"/>
        </w:rPr>
        <w:t>/324</w:t>
      </w:r>
      <w:r w:rsidR="00DD610F" w:rsidRPr="00E676E1">
        <w:rPr>
          <w:rFonts w:asciiTheme="majorHAnsi" w:hAnsiTheme="majorHAnsi" w:cstheme="majorHAnsi"/>
        </w:rPr>
        <w:t>(1</w:t>
      </w:r>
      <w:r w:rsidR="00DC2DBB" w:rsidRPr="00E676E1">
        <w:rPr>
          <w:rFonts w:asciiTheme="majorHAnsi" w:hAnsiTheme="majorHAnsi" w:cstheme="majorHAnsi"/>
        </w:rPr>
        <w:t>3.0</w:t>
      </w:r>
      <w:r w:rsidR="00DD610F" w:rsidRPr="00E676E1">
        <w:rPr>
          <w:rFonts w:asciiTheme="majorHAnsi" w:hAnsiTheme="majorHAnsi" w:cstheme="majorHAnsi"/>
        </w:rPr>
        <w:t xml:space="preserve">%) </w:t>
      </w:r>
      <w:r w:rsidR="00193955" w:rsidRPr="00E676E1">
        <w:rPr>
          <w:rFonts w:asciiTheme="majorHAnsi" w:hAnsiTheme="majorHAnsi" w:cstheme="majorHAnsi"/>
        </w:rPr>
        <w:t>using</w:t>
      </w:r>
      <w:r w:rsidR="00DD610F" w:rsidRPr="00E676E1">
        <w:rPr>
          <w:rFonts w:asciiTheme="majorHAnsi" w:hAnsiTheme="majorHAnsi" w:cstheme="majorHAnsi"/>
        </w:rPr>
        <w:t xml:space="preserve"> opioids</w:t>
      </w:r>
      <w:r w:rsidR="00E51AF6" w:rsidRPr="00E676E1">
        <w:rPr>
          <w:rFonts w:asciiTheme="majorHAnsi" w:hAnsiTheme="majorHAnsi" w:cstheme="majorHAnsi"/>
        </w:rPr>
        <w:t xml:space="preserve"> at this time point</w:t>
      </w:r>
      <w:r w:rsidR="00DD610F" w:rsidRPr="00E676E1">
        <w:rPr>
          <w:rFonts w:asciiTheme="majorHAnsi" w:hAnsiTheme="majorHAnsi" w:cstheme="majorHAnsi"/>
        </w:rPr>
        <w:t xml:space="preserve">, </w:t>
      </w:r>
      <w:r w:rsidR="00805C27" w:rsidRPr="00E676E1">
        <w:rPr>
          <w:rFonts w:asciiTheme="majorHAnsi" w:hAnsiTheme="majorHAnsi" w:cstheme="majorHAnsi"/>
        </w:rPr>
        <w:t>23</w:t>
      </w:r>
      <w:r w:rsidR="00DC2DBB" w:rsidRPr="00E676E1">
        <w:rPr>
          <w:rFonts w:asciiTheme="majorHAnsi" w:hAnsiTheme="majorHAnsi" w:cstheme="majorHAnsi"/>
        </w:rPr>
        <w:t xml:space="preserve">(7.1%) </w:t>
      </w:r>
      <w:r w:rsidR="00DD610F" w:rsidRPr="00E676E1">
        <w:rPr>
          <w:rFonts w:asciiTheme="majorHAnsi" w:hAnsiTheme="majorHAnsi" w:cstheme="majorHAnsi"/>
        </w:rPr>
        <w:t>of whom were using strong opioids</w:t>
      </w:r>
      <w:r w:rsidR="00DC2DBB" w:rsidRPr="00E676E1">
        <w:rPr>
          <w:rFonts w:asciiTheme="majorHAnsi" w:hAnsiTheme="majorHAnsi" w:cstheme="majorHAnsi"/>
        </w:rPr>
        <w:t>.</w:t>
      </w:r>
      <w:r w:rsidR="00DD610F" w:rsidRPr="00E676E1">
        <w:rPr>
          <w:rFonts w:asciiTheme="majorHAnsi" w:hAnsiTheme="majorHAnsi" w:cstheme="majorHAnsi"/>
        </w:rPr>
        <w:t xml:space="preserve"> At 12 months 294(90.7%) individuals were followed up </w:t>
      </w:r>
      <w:r w:rsidR="00713A7E" w:rsidRPr="00E676E1">
        <w:rPr>
          <w:rFonts w:asciiTheme="majorHAnsi" w:hAnsiTheme="majorHAnsi" w:cstheme="majorHAnsi"/>
        </w:rPr>
        <w:t>(See Supplementary Information 5)</w:t>
      </w:r>
      <w:r w:rsidR="00EA1098" w:rsidRPr="00E676E1">
        <w:rPr>
          <w:rFonts w:asciiTheme="majorHAnsi" w:hAnsiTheme="majorHAnsi" w:cstheme="majorHAnsi"/>
        </w:rPr>
        <w:t xml:space="preserve"> </w:t>
      </w:r>
      <w:r w:rsidR="00DD610F" w:rsidRPr="00E676E1">
        <w:rPr>
          <w:rFonts w:asciiTheme="majorHAnsi" w:hAnsiTheme="majorHAnsi" w:cstheme="majorHAnsi"/>
        </w:rPr>
        <w:t>and 35(1</w:t>
      </w:r>
      <w:r w:rsidR="00DC2DBB" w:rsidRPr="00E676E1">
        <w:rPr>
          <w:rFonts w:asciiTheme="majorHAnsi" w:hAnsiTheme="majorHAnsi" w:cstheme="majorHAnsi"/>
        </w:rPr>
        <w:t>0.8</w:t>
      </w:r>
      <w:r w:rsidR="00DD610F" w:rsidRPr="00E676E1">
        <w:rPr>
          <w:rFonts w:asciiTheme="majorHAnsi" w:hAnsiTheme="majorHAnsi" w:cstheme="majorHAnsi"/>
        </w:rPr>
        <w:t xml:space="preserve">%) of these individuals were </w:t>
      </w:r>
      <w:r w:rsidR="00193955" w:rsidRPr="00E676E1">
        <w:rPr>
          <w:rFonts w:asciiTheme="majorHAnsi" w:hAnsiTheme="majorHAnsi" w:cstheme="majorHAnsi"/>
        </w:rPr>
        <w:t>using</w:t>
      </w:r>
      <w:r w:rsidR="00DD610F" w:rsidRPr="00E676E1">
        <w:rPr>
          <w:rFonts w:asciiTheme="majorHAnsi" w:hAnsiTheme="majorHAnsi" w:cstheme="majorHAnsi"/>
        </w:rPr>
        <w:t xml:space="preserve"> opioids, 23(7.</w:t>
      </w:r>
      <w:r w:rsidR="00DC2DBB" w:rsidRPr="00E676E1">
        <w:rPr>
          <w:rFonts w:asciiTheme="majorHAnsi" w:hAnsiTheme="majorHAnsi" w:cstheme="majorHAnsi"/>
        </w:rPr>
        <w:t>1</w:t>
      </w:r>
      <w:r w:rsidR="00DD610F" w:rsidRPr="00E676E1">
        <w:rPr>
          <w:rFonts w:asciiTheme="majorHAnsi" w:hAnsiTheme="majorHAnsi" w:cstheme="majorHAnsi"/>
        </w:rPr>
        <w:t xml:space="preserve">%) </w:t>
      </w:r>
      <w:r w:rsidR="00313DFF" w:rsidRPr="00E676E1">
        <w:rPr>
          <w:rFonts w:asciiTheme="majorHAnsi" w:hAnsiTheme="majorHAnsi" w:cstheme="majorHAnsi"/>
        </w:rPr>
        <w:t>of wh</w:t>
      </w:r>
      <w:r w:rsidR="00DC2DBB" w:rsidRPr="00E676E1">
        <w:rPr>
          <w:rFonts w:asciiTheme="majorHAnsi" w:hAnsiTheme="majorHAnsi" w:cstheme="majorHAnsi"/>
        </w:rPr>
        <w:t>om</w:t>
      </w:r>
      <w:r w:rsidR="00313DFF" w:rsidRPr="00E676E1">
        <w:rPr>
          <w:rFonts w:asciiTheme="majorHAnsi" w:hAnsiTheme="majorHAnsi" w:cstheme="majorHAnsi"/>
        </w:rPr>
        <w:t xml:space="preserve"> were</w:t>
      </w:r>
      <w:r w:rsidR="00DD610F" w:rsidRPr="00E676E1">
        <w:rPr>
          <w:rFonts w:asciiTheme="majorHAnsi" w:hAnsiTheme="majorHAnsi" w:cstheme="majorHAnsi"/>
        </w:rPr>
        <w:t xml:space="preserve"> </w:t>
      </w:r>
      <w:r w:rsidR="00DC2DBB" w:rsidRPr="00E676E1">
        <w:rPr>
          <w:rFonts w:asciiTheme="majorHAnsi" w:hAnsiTheme="majorHAnsi" w:cstheme="majorHAnsi"/>
        </w:rPr>
        <w:t xml:space="preserve">using </w:t>
      </w:r>
      <w:r w:rsidR="00DD610F" w:rsidRPr="00E676E1">
        <w:rPr>
          <w:rFonts w:asciiTheme="majorHAnsi" w:hAnsiTheme="majorHAnsi" w:cstheme="majorHAnsi"/>
        </w:rPr>
        <w:t xml:space="preserve">strong opioids. </w:t>
      </w:r>
      <w:r w:rsidR="0040142E" w:rsidRPr="00E676E1">
        <w:rPr>
          <w:rFonts w:asciiTheme="majorHAnsi" w:hAnsiTheme="majorHAnsi" w:cstheme="majorHAnsi"/>
        </w:rPr>
        <w:t>There was no significant difference in patient characteristics between those patients who were followed up and those that were lost to follow up</w:t>
      </w:r>
      <w:r w:rsidR="00F8327C" w:rsidRPr="00E676E1">
        <w:rPr>
          <w:rFonts w:asciiTheme="majorHAnsi" w:hAnsiTheme="majorHAnsi" w:cstheme="majorHAnsi"/>
        </w:rPr>
        <w:t xml:space="preserve"> (See Supplementary Information 6)</w:t>
      </w:r>
      <w:r w:rsidR="0040142E" w:rsidRPr="00E676E1">
        <w:rPr>
          <w:rFonts w:asciiTheme="majorHAnsi" w:hAnsiTheme="majorHAnsi" w:cstheme="majorHAnsi"/>
        </w:rPr>
        <w:t>.</w:t>
      </w:r>
    </w:p>
    <w:p w14:paraId="338B75CD" w14:textId="518BA966" w:rsidR="00FD43C0" w:rsidRPr="00E676E1" w:rsidRDefault="00FD43C0" w:rsidP="00FD43C0">
      <w:pPr>
        <w:spacing w:line="480" w:lineRule="auto"/>
        <w:rPr>
          <w:rFonts w:asciiTheme="majorHAnsi" w:hAnsiTheme="majorHAnsi" w:cstheme="majorHAnsi"/>
        </w:rPr>
      </w:pPr>
      <w:r w:rsidRPr="00E676E1">
        <w:rPr>
          <w:rFonts w:asciiTheme="majorHAnsi" w:hAnsiTheme="majorHAnsi" w:cstheme="majorHAnsi"/>
        </w:rPr>
        <w:t xml:space="preserve">Opioids </w:t>
      </w:r>
      <w:r w:rsidR="00FA28B1" w:rsidRPr="00E676E1">
        <w:rPr>
          <w:rFonts w:asciiTheme="majorHAnsi" w:hAnsiTheme="majorHAnsi" w:cstheme="majorHAnsi"/>
        </w:rPr>
        <w:t>were</w:t>
      </w:r>
      <w:r w:rsidRPr="00E676E1">
        <w:rPr>
          <w:rFonts w:asciiTheme="majorHAnsi" w:hAnsiTheme="majorHAnsi" w:cstheme="majorHAnsi"/>
        </w:rPr>
        <w:t xml:space="preserve"> used </w:t>
      </w:r>
      <w:r w:rsidR="007850F2" w:rsidRPr="00E676E1">
        <w:rPr>
          <w:rFonts w:asciiTheme="majorHAnsi" w:hAnsiTheme="majorHAnsi" w:cstheme="majorHAnsi"/>
        </w:rPr>
        <w:t xml:space="preserve">by </w:t>
      </w:r>
      <w:r w:rsidRPr="00E676E1">
        <w:rPr>
          <w:rFonts w:asciiTheme="majorHAnsi" w:hAnsiTheme="majorHAnsi" w:cstheme="majorHAnsi"/>
        </w:rPr>
        <w:t>66</w:t>
      </w:r>
      <w:r w:rsidR="008749D8" w:rsidRPr="00E676E1">
        <w:rPr>
          <w:rFonts w:asciiTheme="majorHAnsi" w:hAnsiTheme="majorHAnsi" w:cstheme="majorHAnsi"/>
        </w:rPr>
        <w:t>/324</w:t>
      </w:r>
      <w:r w:rsidRPr="00E676E1">
        <w:rPr>
          <w:rFonts w:asciiTheme="majorHAnsi" w:hAnsiTheme="majorHAnsi" w:cstheme="majorHAnsi"/>
        </w:rPr>
        <w:t xml:space="preserve">(20.4%) individuals within the </w:t>
      </w:r>
      <w:r w:rsidR="00FA28B1" w:rsidRPr="00E676E1">
        <w:rPr>
          <w:rFonts w:asciiTheme="majorHAnsi" w:hAnsiTheme="majorHAnsi" w:cstheme="majorHAnsi"/>
        </w:rPr>
        <w:t xml:space="preserve">3-month period </w:t>
      </w:r>
      <w:r w:rsidRPr="00E676E1">
        <w:rPr>
          <w:rFonts w:asciiTheme="majorHAnsi" w:hAnsiTheme="majorHAnsi" w:cstheme="majorHAnsi"/>
        </w:rPr>
        <w:t>prior to admission, a</w:t>
      </w:r>
      <w:r w:rsidR="00F85036" w:rsidRPr="00E676E1">
        <w:rPr>
          <w:rFonts w:asciiTheme="majorHAnsi" w:hAnsiTheme="majorHAnsi" w:cstheme="majorHAnsi"/>
        </w:rPr>
        <w:t>nd</w:t>
      </w:r>
      <w:r w:rsidRPr="00E676E1">
        <w:rPr>
          <w:rFonts w:asciiTheme="majorHAnsi" w:hAnsiTheme="majorHAnsi" w:cstheme="majorHAnsi"/>
        </w:rPr>
        <w:t xml:space="preserve"> this was higher in the subgroup who had </w:t>
      </w:r>
      <w:r w:rsidR="00FA28B1" w:rsidRPr="00E676E1">
        <w:rPr>
          <w:rFonts w:asciiTheme="majorHAnsi" w:hAnsiTheme="majorHAnsi" w:cstheme="majorHAnsi"/>
        </w:rPr>
        <w:t>previously undergone</w:t>
      </w:r>
      <w:r w:rsidRPr="00E676E1">
        <w:rPr>
          <w:rFonts w:asciiTheme="majorHAnsi" w:hAnsiTheme="majorHAnsi" w:cstheme="majorHAnsi"/>
        </w:rPr>
        <w:t xml:space="preserve"> surgery </w:t>
      </w:r>
      <w:r w:rsidR="008749D8" w:rsidRPr="00E676E1">
        <w:rPr>
          <w:rFonts w:asciiTheme="majorHAnsi" w:hAnsiTheme="majorHAnsi" w:cstheme="majorHAnsi"/>
        </w:rPr>
        <w:t>(n=</w:t>
      </w:r>
      <w:r w:rsidRPr="00E676E1">
        <w:rPr>
          <w:rFonts w:asciiTheme="majorHAnsi" w:hAnsiTheme="majorHAnsi" w:cstheme="majorHAnsi"/>
        </w:rPr>
        <w:t>40</w:t>
      </w:r>
      <w:r w:rsidR="008749D8" w:rsidRPr="00E676E1">
        <w:rPr>
          <w:rFonts w:asciiTheme="majorHAnsi" w:hAnsiTheme="majorHAnsi" w:cstheme="majorHAnsi"/>
        </w:rPr>
        <w:t>/107, 37.4</w:t>
      </w:r>
      <w:r w:rsidRPr="00E676E1">
        <w:rPr>
          <w:rFonts w:asciiTheme="majorHAnsi" w:hAnsiTheme="majorHAnsi" w:cstheme="majorHAnsi"/>
        </w:rPr>
        <w:t>%).</w:t>
      </w:r>
    </w:p>
    <w:p w14:paraId="34C3FA12" w14:textId="2E321CC3" w:rsidR="001E1A6C" w:rsidRPr="00E676E1" w:rsidRDefault="001E1A6C" w:rsidP="001E1A6C">
      <w:pPr>
        <w:spacing w:line="480" w:lineRule="auto"/>
        <w:rPr>
          <w:rFonts w:asciiTheme="majorHAnsi" w:hAnsiTheme="majorHAnsi" w:cstheme="majorHAnsi"/>
        </w:rPr>
      </w:pPr>
      <w:r w:rsidRPr="00E676E1">
        <w:rPr>
          <w:rFonts w:asciiTheme="majorHAnsi" w:hAnsiTheme="majorHAnsi" w:cstheme="majorHAnsi"/>
        </w:rPr>
        <w:t xml:space="preserve">There was no </w:t>
      </w:r>
      <w:r w:rsidR="00FA28B1" w:rsidRPr="00E676E1">
        <w:rPr>
          <w:rFonts w:asciiTheme="majorHAnsi" w:hAnsiTheme="majorHAnsi" w:cstheme="majorHAnsi"/>
        </w:rPr>
        <w:t xml:space="preserve">opioid </w:t>
      </w:r>
      <w:r w:rsidRPr="00E676E1">
        <w:rPr>
          <w:rFonts w:asciiTheme="majorHAnsi" w:hAnsiTheme="majorHAnsi" w:cstheme="majorHAnsi"/>
        </w:rPr>
        <w:t>weaning plan for 6</w:t>
      </w:r>
      <w:r w:rsidR="00E51AF6" w:rsidRPr="00E676E1">
        <w:rPr>
          <w:rFonts w:asciiTheme="majorHAnsi" w:hAnsiTheme="majorHAnsi" w:cstheme="majorHAnsi"/>
        </w:rPr>
        <w:t>5/89</w:t>
      </w:r>
      <w:r w:rsidRPr="00E676E1">
        <w:rPr>
          <w:rFonts w:asciiTheme="majorHAnsi" w:hAnsiTheme="majorHAnsi" w:cstheme="majorHAnsi"/>
        </w:rPr>
        <w:t>(7</w:t>
      </w:r>
      <w:r w:rsidR="00E51AF6" w:rsidRPr="00E676E1">
        <w:rPr>
          <w:rFonts w:asciiTheme="majorHAnsi" w:hAnsiTheme="majorHAnsi" w:cstheme="majorHAnsi"/>
        </w:rPr>
        <w:t>3.0</w:t>
      </w:r>
      <w:r w:rsidRPr="00E676E1">
        <w:rPr>
          <w:rFonts w:asciiTheme="majorHAnsi" w:hAnsiTheme="majorHAnsi" w:cstheme="majorHAnsi"/>
        </w:rPr>
        <w:t xml:space="preserve">%) patients discharged </w:t>
      </w:r>
      <w:r w:rsidR="000137E3" w:rsidRPr="00E676E1">
        <w:rPr>
          <w:rFonts w:asciiTheme="majorHAnsi" w:hAnsiTheme="majorHAnsi" w:cstheme="majorHAnsi"/>
        </w:rPr>
        <w:t>with</w:t>
      </w:r>
      <w:r w:rsidRPr="00E676E1">
        <w:rPr>
          <w:rFonts w:asciiTheme="majorHAnsi" w:hAnsiTheme="majorHAnsi" w:cstheme="majorHAnsi"/>
        </w:rPr>
        <w:t xml:space="preserve"> opioids</w:t>
      </w:r>
      <w:r w:rsidR="00E51AF6" w:rsidRPr="00E676E1">
        <w:rPr>
          <w:rFonts w:asciiTheme="majorHAnsi" w:hAnsiTheme="majorHAnsi" w:cstheme="majorHAnsi"/>
        </w:rPr>
        <w:t>;</w:t>
      </w:r>
      <w:r w:rsidR="00790567" w:rsidRPr="00E676E1">
        <w:rPr>
          <w:rFonts w:asciiTheme="majorHAnsi" w:hAnsiTheme="majorHAnsi" w:cstheme="majorHAnsi"/>
        </w:rPr>
        <w:t xml:space="preserve"> 17(77.3%</w:t>
      </w:r>
      <w:r w:rsidR="000137E3" w:rsidRPr="00E676E1">
        <w:rPr>
          <w:rFonts w:asciiTheme="majorHAnsi" w:hAnsiTheme="majorHAnsi" w:cstheme="majorHAnsi"/>
        </w:rPr>
        <w:t>)</w:t>
      </w:r>
      <w:r w:rsidR="00790567" w:rsidRPr="00E676E1">
        <w:rPr>
          <w:rFonts w:asciiTheme="majorHAnsi" w:hAnsiTheme="majorHAnsi" w:cstheme="majorHAnsi"/>
        </w:rPr>
        <w:t xml:space="preserve"> medical patients</w:t>
      </w:r>
      <w:r w:rsidRPr="00E676E1">
        <w:rPr>
          <w:rFonts w:asciiTheme="majorHAnsi" w:hAnsiTheme="majorHAnsi" w:cstheme="majorHAnsi"/>
        </w:rPr>
        <w:t xml:space="preserve"> </w:t>
      </w:r>
      <w:r w:rsidR="00790567" w:rsidRPr="00E676E1">
        <w:rPr>
          <w:rFonts w:asciiTheme="majorHAnsi" w:hAnsiTheme="majorHAnsi" w:cstheme="majorHAnsi"/>
        </w:rPr>
        <w:t xml:space="preserve">and 48(71.6%) surgical patients, </w:t>
      </w:r>
      <w:r w:rsidRPr="00E676E1">
        <w:rPr>
          <w:rFonts w:asciiTheme="majorHAnsi" w:hAnsiTheme="majorHAnsi" w:cstheme="majorHAnsi"/>
        </w:rPr>
        <w:t xml:space="preserve">with a range of 0-66.6% across </w:t>
      </w:r>
      <w:r w:rsidR="00FA28B1" w:rsidRPr="00E676E1">
        <w:rPr>
          <w:rFonts w:asciiTheme="majorHAnsi" w:hAnsiTheme="majorHAnsi" w:cstheme="majorHAnsi"/>
        </w:rPr>
        <w:t>sites</w:t>
      </w:r>
      <w:r w:rsidRPr="00E676E1">
        <w:rPr>
          <w:rFonts w:asciiTheme="majorHAnsi" w:hAnsiTheme="majorHAnsi" w:cstheme="majorHAnsi"/>
        </w:rPr>
        <w:t xml:space="preserve">. A specialist </w:t>
      </w:r>
      <w:r w:rsidR="000A2804" w:rsidRPr="00E676E1">
        <w:rPr>
          <w:rFonts w:asciiTheme="majorHAnsi" w:hAnsiTheme="majorHAnsi" w:cstheme="majorHAnsi"/>
        </w:rPr>
        <w:t>pain service</w:t>
      </w:r>
      <w:r w:rsidRPr="00E676E1">
        <w:rPr>
          <w:rFonts w:asciiTheme="majorHAnsi" w:hAnsiTheme="majorHAnsi" w:cstheme="majorHAnsi"/>
        </w:rPr>
        <w:t xml:space="preserve"> assessment took place in 8</w:t>
      </w:r>
      <w:r w:rsidR="00E51AF6" w:rsidRPr="00E676E1">
        <w:rPr>
          <w:rFonts w:asciiTheme="majorHAnsi" w:hAnsiTheme="majorHAnsi" w:cstheme="majorHAnsi"/>
        </w:rPr>
        <w:t>/42</w:t>
      </w:r>
      <w:r w:rsidRPr="00E676E1">
        <w:rPr>
          <w:rFonts w:asciiTheme="majorHAnsi" w:hAnsiTheme="majorHAnsi" w:cstheme="majorHAnsi"/>
        </w:rPr>
        <w:t xml:space="preserve">(19.0%) of those </w:t>
      </w:r>
      <w:r w:rsidR="000137E3" w:rsidRPr="00E676E1">
        <w:rPr>
          <w:rFonts w:asciiTheme="majorHAnsi" w:hAnsiTheme="majorHAnsi" w:cstheme="majorHAnsi"/>
        </w:rPr>
        <w:t>using</w:t>
      </w:r>
      <w:r w:rsidRPr="00E676E1">
        <w:rPr>
          <w:rFonts w:asciiTheme="majorHAnsi" w:hAnsiTheme="majorHAnsi" w:cstheme="majorHAnsi"/>
        </w:rPr>
        <w:t xml:space="preserve"> opioids at 3-6 months and 6</w:t>
      </w:r>
      <w:r w:rsidR="00E51AF6" w:rsidRPr="00E676E1">
        <w:rPr>
          <w:rFonts w:asciiTheme="majorHAnsi" w:hAnsiTheme="majorHAnsi" w:cstheme="majorHAnsi"/>
        </w:rPr>
        <w:t>/35</w:t>
      </w:r>
      <w:r w:rsidRPr="00E676E1">
        <w:rPr>
          <w:rFonts w:asciiTheme="majorHAnsi" w:hAnsiTheme="majorHAnsi" w:cstheme="majorHAnsi"/>
        </w:rPr>
        <w:t xml:space="preserve">(17.1%) of those </w:t>
      </w:r>
      <w:r w:rsidR="000137E3" w:rsidRPr="00E676E1">
        <w:rPr>
          <w:rFonts w:asciiTheme="majorHAnsi" w:hAnsiTheme="majorHAnsi" w:cstheme="majorHAnsi"/>
        </w:rPr>
        <w:t xml:space="preserve">using </w:t>
      </w:r>
      <w:r w:rsidRPr="00E676E1">
        <w:rPr>
          <w:rFonts w:asciiTheme="majorHAnsi" w:hAnsiTheme="majorHAnsi" w:cstheme="majorHAnsi"/>
        </w:rPr>
        <w:t>opioids at 12 months</w:t>
      </w:r>
      <w:r w:rsidR="00FA28B1" w:rsidRPr="00E676E1">
        <w:rPr>
          <w:rFonts w:asciiTheme="majorHAnsi" w:hAnsiTheme="majorHAnsi" w:cstheme="majorHAnsi"/>
        </w:rPr>
        <w:t xml:space="preserve"> with a range of </w:t>
      </w:r>
      <w:r w:rsidRPr="00E676E1">
        <w:rPr>
          <w:rFonts w:asciiTheme="majorHAnsi" w:hAnsiTheme="majorHAnsi" w:cstheme="majorHAnsi"/>
        </w:rPr>
        <w:t xml:space="preserve">0-100% across sites at both time points. </w:t>
      </w:r>
      <w:r w:rsidR="00DC2DBB" w:rsidRPr="00E676E1">
        <w:rPr>
          <w:rFonts w:asciiTheme="majorHAnsi" w:hAnsiTheme="majorHAnsi" w:cstheme="majorHAnsi"/>
        </w:rPr>
        <w:t xml:space="preserve">At </w:t>
      </w:r>
      <w:r w:rsidR="000137E3" w:rsidRPr="00E676E1">
        <w:rPr>
          <w:rFonts w:asciiTheme="majorHAnsi" w:hAnsiTheme="majorHAnsi" w:cstheme="majorHAnsi"/>
        </w:rPr>
        <w:t>3-6</w:t>
      </w:r>
      <w:r w:rsidR="00DC2DBB" w:rsidRPr="00E676E1">
        <w:rPr>
          <w:rFonts w:asciiTheme="majorHAnsi" w:hAnsiTheme="majorHAnsi" w:cstheme="majorHAnsi"/>
        </w:rPr>
        <w:t xml:space="preserve"> months, </w:t>
      </w:r>
      <w:r w:rsidR="000137E3" w:rsidRPr="00E676E1">
        <w:rPr>
          <w:rFonts w:asciiTheme="majorHAnsi" w:hAnsiTheme="majorHAnsi" w:cstheme="majorHAnsi"/>
        </w:rPr>
        <w:t>6/8(</w:t>
      </w:r>
      <w:r w:rsidR="00DC2DBB" w:rsidRPr="00E676E1">
        <w:rPr>
          <w:rFonts w:asciiTheme="majorHAnsi" w:hAnsiTheme="majorHAnsi" w:cstheme="majorHAnsi"/>
        </w:rPr>
        <w:t>75.0%</w:t>
      </w:r>
      <w:r w:rsidR="000137E3" w:rsidRPr="00E676E1">
        <w:rPr>
          <w:rFonts w:asciiTheme="majorHAnsi" w:hAnsiTheme="majorHAnsi" w:cstheme="majorHAnsi"/>
        </w:rPr>
        <w:t>)</w:t>
      </w:r>
      <w:r w:rsidR="00DC2DBB" w:rsidRPr="00E676E1">
        <w:rPr>
          <w:rFonts w:asciiTheme="majorHAnsi" w:hAnsiTheme="majorHAnsi" w:cstheme="majorHAnsi"/>
        </w:rPr>
        <w:t xml:space="preserve"> individuals referred to pain services </w:t>
      </w:r>
      <w:r w:rsidR="000137E3" w:rsidRPr="00E676E1">
        <w:rPr>
          <w:rFonts w:asciiTheme="majorHAnsi" w:hAnsiTheme="majorHAnsi" w:cstheme="majorHAnsi"/>
        </w:rPr>
        <w:t>had an attempted opioid wean</w:t>
      </w:r>
      <w:r w:rsidR="00DC2DBB" w:rsidRPr="00E676E1">
        <w:rPr>
          <w:rFonts w:asciiTheme="majorHAnsi" w:hAnsiTheme="majorHAnsi" w:cstheme="majorHAnsi"/>
        </w:rPr>
        <w:t xml:space="preserve"> compared to 14.7% of those not referred and at 12 months this was 50.0% vs 17.2% respectively.</w:t>
      </w:r>
    </w:p>
    <w:p w14:paraId="6805F407" w14:textId="085AA2F7" w:rsidR="00AF499A" w:rsidRPr="00E676E1" w:rsidRDefault="00002CFB" w:rsidP="009040E1">
      <w:pPr>
        <w:spacing w:line="480" w:lineRule="auto"/>
        <w:rPr>
          <w:rFonts w:asciiTheme="majorHAnsi" w:hAnsiTheme="majorHAnsi" w:cstheme="majorHAnsi"/>
        </w:rPr>
      </w:pPr>
      <w:r w:rsidRPr="00E676E1">
        <w:rPr>
          <w:rFonts w:asciiTheme="majorHAnsi" w:hAnsiTheme="majorHAnsi" w:cstheme="majorHAnsi"/>
        </w:rPr>
        <w:lastRenderedPageBreak/>
        <w:t xml:space="preserve">Multivariable </w:t>
      </w:r>
      <w:r w:rsidR="00041535" w:rsidRPr="00E676E1">
        <w:rPr>
          <w:rFonts w:asciiTheme="majorHAnsi" w:hAnsiTheme="majorHAnsi" w:cstheme="majorHAnsi"/>
        </w:rPr>
        <w:t xml:space="preserve">regression </w:t>
      </w:r>
      <w:r w:rsidRPr="00E676E1">
        <w:rPr>
          <w:rFonts w:asciiTheme="majorHAnsi" w:hAnsiTheme="majorHAnsi" w:cstheme="majorHAnsi"/>
        </w:rPr>
        <w:t>analysis</w:t>
      </w:r>
      <w:r w:rsidR="00BE4619" w:rsidRPr="00E676E1">
        <w:rPr>
          <w:rFonts w:asciiTheme="majorHAnsi" w:hAnsiTheme="majorHAnsi" w:cstheme="majorHAnsi"/>
        </w:rPr>
        <w:t xml:space="preserve"> (</w:t>
      </w:r>
      <w:r w:rsidR="00AF499A" w:rsidRPr="00E676E1">
        <w:rPr>
          <w:rFonts w:asciiTheme="majorHAnsi" w:hAnsiTheme="majorHAnsi" w:cstheme="majorHAnsi"/>
        </w:rPr>
        <w:t>T</w:t>
      </w:r>
      <w:r w:rsidR="00BE4619" w:rsidRPr="00E676E1">
        <w:rPr>
          <w:rFonts w:asciiTheme="majorHAnsi" w:hAnsiTheme="majorHAnsi" w:cstheme="majorHAnsi"/>
        </w:rPr>
        <w:t xml:space="preserve">able </w:t>
      </w:r>
      <w:r w:rsidR="000137E3" w:rsidRPr="00E676E1">
        <w:rPr>
          <w:rFonts w:asciiTheme="majorHAnsi" w:hAnsiTheme="majorHAnsi" w:cstheme="majorHAnsi"/>
        </w:rPr>
        <w:t>3</w:t>
      </w:r>
      <w:r w:rsidR="00221A3F" w:rsidRPr="00E676E1">
        <w:rPr>
          <w:rFonts w:asciiTheme="majorHAnsi" w:hAnsiTheme="majorHAnsi" w:cstheme="majorHAnsi"/>
        </w:rPr>
        <w:t>)</w:t>
      </w:r>
      <w:r w:rsidRPr="00E676E1">
        <w:rPr>
          <w:rFonts w:asciiTheme="majorHAnsi" w:hAnsiTheme="majorHAnsi" w:cstheme="majorHAnsi"/>
        </w:rPr>
        <w:t xml:space="preserve"> identified </w:t>
      </w:r>
      <w:r w:rsidR="009040E1" w:rsidRPr="00E676E1">
        <w:rPr>
          <w:rFonts w:asciiTheme="majorHAnsi" w:hAnsiTheme="majorHAnsi" w:cstheme="majorHAnsi"/>
        </w:rPr>
        <w:t xml:space="preserve">Crohn’s disease, </w:t>
      </w:r>
      <w:r w:rsidR="00D40F73" w:rsidRPr="00E676E1">
        <w:rPr>
          <w:rFonts w:asciiTheme="majorHAnsi" w:hAnsiTheme="majorHAnsi" w:cstheme="majorHAnsi"/>
        </w:rPr>
        <w:t>pre-admission opioids, previous</w:t>
      </w:r>
      <w:r w:rsidR="00C821FE" w:rsidRPr="00E676E1">
        <w:rPr>
          <w:rFonts w:asciiTheme="majorHAnsi" w:hAnsiTheme="majorHAnsi" w:cstheme="majorHAnsi"/>
        </w:rPr>
        <w:t xml:space="preserve"> IBD</w:t>
      </w:r>
      <w:r w:rsidR="00041535" w:rsidRPr="00E676E1">
        <w:rPr>
          <w:rFonts w:asciiTheme="majorHAnsi" w:hAnsiTheme="majorHAnsi" w:cstheme="majorHAnsi"/>
        </w:rPr>
        <w:t>-related</w:t>
      </w:r>
      <w:r w:rsidR="00D40F73" w:rsidRPr="00E676E1">
        <w:rPr>
          <w:rFonts w:asciiTheme="majorHAnsi" w:hAnsiTheme="majorHAnsi" w:cstheme="majorHAnsi"/>
        </w:rPr>
        <w:t xml:space="preserve"> surgery</w:t>
      </w:r>
      <w:r w:rsidR="009040E1" w:rsidRPr="00E676E1">
        <w:rPr>
          <w:rFonts w:asciiTheme="majorHAnsi" w:hAnsiTheme="majorHAnsi" w:cstheme="majorHAnsi"/>
        </w:rPr>
        <w:t xml:space="preserve"> and </w:t>
      </w:r>
      <w:r w:rsidR="007E6AE1" w:rsidRPr="00E676E1">
        <w:rPr>
          <w:rFonts w:asciiTheme="majorHAnsi" w:hAnsiTheme="majorHAnsi" w:cstheme="majorHAnsi"/>
        </w:rPr>
        <w:t xml:space="preserve">surgery during </w:t>
      </w:r>
      <w:r w:rsidR="009040E1" w:rsidRPr="00E676E1">
        <w:rPr>
          <w:rFonts w:asciiTheme="majorHAnsi" w:hAnsiTheme="majorHAnsi" w:cstheme="majorHAnsi"/>
        </w:rPr>
        <w:t>admission</w:t>
      </w:r>
      <w:r w:rsidR="00C821FE" w:rsidRPr="00E676E1">
        <w:rPr>
          <w:rFonts w:asciiTheme="majorHAnsi" w:hAnsiTheme="majorHAnsi" w:cstheme="majorHAnsi"/>
        </w:rPr>
        <w:t xml:space="preserve"> </w:t>
      </w:r>
      <w:r w:rsidR="00D40F73" w:rsidRPr="00E676E1">
        <w:rPr>
          <w:rFonts w:asciiTheme="majorHAnsi" w:hAnsiTheme="majorHAnsi" w:cstheme="majorHAnsi"/>
        </w:rPr>
        <w:t xml:space="preserve">as factors associated with </w:t>
      </w:r>
      <w:r w:rsidR="00AD71E5" w:rsidRPr="00E676E1">
        <w:rPr>
          <w:rFonts w:asciiTheme="majorHAnsi" w:hAnsiTheme="majorHAnsi" w:cstheme="majorHAnsi"/>
        </w:rPr>
        <w:t>opioid-</w:t>
      </w:r>
      <w:r w:rsidR="006A4851" w:rsidRPr="00E676E1">
        <w:rPr>
          <w:rFonts w:asciiTheme="majorHAnsi" w:hAnsiTheme="majorHAnsi" w:cstheme="majorHAnsi"/>
        </w:rPr>
        <w:t xml:space="preserve">use </w:t>
      </w:r>
      <w:r w:rsidR="009040E1" w:rsidRPr="00E676E1">
        <w:rPr>
          <w:rFonts w:asciiTheme="majorHAnsi" w:hAnsiTheme="majorHAnsi" w:cstheme="majorHAnsi"/>
        </w:rPr>
        <w:t>at</w:t>
      </w:r>
      <w:r w:rsidR="00041535" w:rsidRPr="00E676E1">
        <w:rPr>
          <w:rFonts w:asciiTheme="majorHAnsi" w:hAnsiTheme="majorHAnsi" w:cstheme="majorHAnsi"/>
        </w:rPr>
        <w:t xml:space="preserve"> discharge</w:t>
      </w:r>
      <w:r w:rsidR="00D40F73" w:rsidRPr="00E676E1">
        <w:rPr>
          <w:rFonts w:asciiTheme="majorHAnsi" w:hAnsiTheme="majorHAnsi" w:cstheme="majorHAnsi"/>
        </w:rPr>
        <w:t>.</w:t>
      </w:r>
    </w:p>
    <w:p w14:paraId="383BD780" w14:textId="77777777" w:rsidR="00AF499A" w:rsidRPr="00E676E1" w:rsidRDefault="00AF499A">
      <w:pPr>
        <w:spacing w:after="0"/>
        <w:rPr>
          <w:rFonts w:asciiTheme="majorHAnsi" w:hAnsiTheme="majorHAnsi" w:cstheme="majorHAnsi"/>
        </w:rPr>
      </w:pPr>
      <w:r w:rsidRPr="00E676E1">
        <w:rPr>
          <w:rFonts w:asciiTheme="majorHAnsi" w:hAnsiTheme="majorHAnsi" w:cstheme="majorHAnsi"/>
        </w:rPr>
        <w:br w:type="page"/>
      </w:r>
    </w:p>
    <w:p w14:paraId="23FF0DCE" w14:textId="0D606BCD" w:rsidR="008E022A" w:rsidRPr="00E676E1" w:rsidRDefault="00C15709" w:rsidP="0054471E">
      <w:pPr>
        <w:spacing w:line="480" w:lineRule="auto"/>
        <w:rPr>
          <w:rFonts w:asciiTheme="majorHAnsi" w:hAnsiTheme="majorHAnsi" w:cstheme="majorHAnsi"/>
          <w:b/>
          <w:sz w:val="28"/>
          <w:szCs w:val="28"/>
        </w:rPr>
      </w:pPr>
      <w:r w:rsidRPr="00E676E1">
        <w:rPr>
          <w:rFonts w:asciiTheme="majorHAnsi" w:hAnsiTheme="majorHAnsi" w:cstheme="majorHAnsi"/>
          <w:b/>
          <w:sz w:val="28"/>
          <w:szCs w:val="28"/>
        </w:rPr>
        <w:lastRenderedPageBreak/>
        <w:t>Discussion</w:t>
      </w:r>
    </w:p>
    <w:p w14:paraId="02F95561" w14:textId="585C4C37" w:rsidR="00534836" w:rsidRPr="00E676E1" w:rsidRDefault="002C4A7E" w:rsidP="00534836">
      <w:pPr>
        <w:spacing w:line="480" w:lineRule="auto"/>
        <w:rPr>
          <w:rFonts w:asciiTheme="majorHAnsi" w:hAnsiTheme="majorHAnsi" w:cstheme="majorHAnsi"/>
        </w:rPr>
      </w:pPr>
      <w:r w:rsidRPr="00E676E1">
        <w:rPr>
          <w:rFonts w:asciiTheme="majorHAnsi" w:hAnsiTheme="majorHAnsi" w:cstheme="majorHAnsi"/>
        </w:rPr>
        <w:t xml:space="preserve">The recent increase in the global use of opioids highlights the need for accurate data in patients with IBD, </w:t>
      </w:r>
      <w:r w:rsidR="000137E3" w:rsidRPr="00E676E1">
        <w:rPr>
          <w:rFonts w:asciiTheme="majorHAnsi" w:hAnsiTheme="majorHAnsi" w:cstheme="majorHAnsi"/>
        </w:rPr>
        <w:t>yet despite a recent increase in their use among the general population</w:t>
      </w:r>
      <w:r w:rsidR="000137E3" w:rsidRPr="00E676E1">
        <w:rPr>
          <w:rFonts w:asciiTheme="majorHAnsi" w:hAnsiTheme="majorHAnsi" w:cstheme="majorHAnsi"/>
        </w:rPr>
        <w:fldChar w:fldCharType="begin"/>
      </w:r>
      <w:r w:rsidR="000137E3" w:rsidRPr="00E676E1">
        <w:rPr>
          <w:rFonts w:asciiTheme="majorHAnsi" w:hAnsiTheme="majorHAnsi" w:cstheme="majorHAnsi"/>
        </w:rPr>
        <w:instrText xml:space="preserve"> ADDIN ZOTERO_ITEM CSL_CITATION {"citationID":"wbzAdoH2","properties":{"formattedCitation":"\\super 13\\nosupersub{}","plainCitation":"13","noteIndex":0},"citationItems":[{"id":2197,"uris":["http://zotero.org/users/5360735/items/JUUECAJV"],"itemData":{"id":2197,"type":"article-journal","container-title":"The Lancet Psychiatry","DOI":"10.1016/S2215-0366(18)30471-1","ISSN":"2215-0366","issue":"2","note":"publisher: Elsevier","page":"140-150","title":"Opioid prescribing trends and geographical variation in England, 1998–2018: a retrospective database study","volume":"6","author":[{"family":"Curtis","given":"Helen J"},{"family":"Croker","given":"Richard"},{"family":"Walker","given":"Alex J"},{"family":"Richards","given":"Georgia C"},{"family":"Quinlan","given":"Jane"},{"family":"Goldacre","given":"Ben"}],"issued":{"date-parts":[["2019",2,1]]}}}],"schema":"https://github.com/citation-style-language/schema/raw/master/csl-citation.json"} </w:instrText>
      </w:r>
      <w:r w:rsidR="000137E3" w:rsidRPr="00E676E1">
        <w:rPr>
          <w:rFonts w:asciiTheme="majorHAnsi" w:hAnsiTheme="majorHAnsi" w:cstheme="majorHAnsi"/>
        </w:rPr>
        <w:fldChar w:fldCharType="separate"/>
      </w:r>
      <w:r w:rsidR="000137E3" w:rsidRPr="00E676E1">
        <w:rPr>
          <w:rFonts w:ascii="Calibri Light" w:hAnsiTheme="majorHAnsi" w:cs="Calibri Light"/>
          <w:vertAlign w:val="superscript"/>
        </w:rPr>
        <w:t>13</w:t>
      </w:r>
      <w:r w:rsidR="000137E3" w:rsidRPr="00E676E1">
        <w:rPr>
          <w:rFonts w:asciiTheme="majorHAnsi" w:hAnsiTheme="majorHAnsi" w:cstheme="majorHAnsi"/>
        </w:rPr>
        <w:fldChar w:fldCharType="end"/>
      </w:r>
      <w:r w:rsidR="000137E3" w:rsidRPr="00E676E1">
        <w:rPr>
          <w:rFonts w:asciiTheme="majorHAnsi" w:hAnsiTheme="majorHAnsi" w:cstheme="majorHAnsi"/>
        </w:rPr>
        <w:t xml:space="preserve"> and updates to national guidelines,</w:t>
      </w:r>
      <w:r w:rsidR="000137E3" w:rsidRPr="00E676E1">
        <w:rPr>
          <w:rFonts w:asciiTheme="majorHAnsi" w:hAnsiTheme="majorHAnsi" w:cstheme="majorHAnsi"/>
          <w:vertAlign w:val="superscript"/>
        </w:rPr>
        <w:fldChar w:fldCharType="begin"/>
      </w:r>
      <w:r w:rsidR="000137E3" w:rsidRPr="00E676E1">
        <w:rPr>
          <w:rFonts w:asciiTheme="majorHAnsi" w:hAnsiTheme="majorHAnsi" w:cstheme="majorHAnsi"/>
          <w:vertAlign w:val="superscript"/>
        </w:rPr>
        <w:instrText xml:space="preserve"> ADDIN ZOTERO_ITEM CSL_CITATION {"citationID":"IDy4fOYs","properties":{"formattedCitation":"\\super 2\\nosupersub{}","plainCitation":"2","noteIndex":0},"citationItems":[{"id":17055,"uris":["http://zotero.org/users/5360735/items/IQSI9D9G"],"itemData":{"id":17055,"type":"document","title":"The effectiveness of opioids for long term pain. Opioids Aware.","URL":"https://www.fpm.ac.uk/opioids-aware-clinical-use-opioids/opioids-long-term-pain","author":[{"family":"","given":"Faculty of Pain Medicine."}],"accessed":{"date-parts":[["2022",8,5]]}}}],"schema":"https://github.com/citation-style-language/schema/raw/master/csl-citation.json"} </w:instrText>
      </w:r>
      <w:r w:rsidR="000137E3" w:rsidRPr="00E676E1">
        <w:rPr>
          <w:rFonts w:asciiTheme="majorHAnsi" w:hAnsiTheme="majorHAnsi" w:cstheme="majorHAnsi"/>
          <w:vertAlign w:val="superscript"/>
        </w:rPr>
        <w:fldChar w:fldCharType="separate"/>
      </w:r>
      <w:r w:rsidR="000137E3" w:rsidRPr="00E676E1">
        <w:rPr>
          <w:rFonts w:ascii="Calibri Light" w:hAnsiTheme="majorHAnsi" w:cs="Calibri Light"/>
          <w:vertAlign w:val="superscript"/>
        </w:rPr>
        <w:t>2</w:t>
      </w:r>
      <w:r w:rsidR="000137E3" w:rsidRPr="00E676E1">
        <w:rPr>
          <w:rFonts w:asciiTheme="majorHAnsi" w:hAnsiTheme="majorHAnsi" w:cstheme="majorHAnsi"/>
          <w:vertAlign w:val="superscript"/>
        </w:rPr>
        <w:fldChar w:fldCharType="end"/>
      </w:r>
      <w:r w:rsidR="000137E3" w:rsidRPr="00E676E1">
        <w:rPr>
          <w:rFonts w:asciiTheme="majorHAnsi" w:hAnsiTheme="majorHAnsi" w:cstheme="majorHAnsi"/>
          <w:vertAlign w:val="superscript"/>
        </w:rPr>
        <w:t>,</w:t>
      </w:r>
      <w:r w:rsidR="000137E3" w:rsidRPr="00E676E1">
        <w:rPr>
          <w:rFonts w:asciiTheme="majorHAnsi" w:hAnsiTheme="majorHAnsi" w:cstheme="majorHAnsi"/>
          <w:vertAlign w:val="superscript"/>
        </w:rPr>
        <w:fldChar w:fldCharType="begin"/>
      </w:r>
      <w:r w:rsidR="000137E3" w:rsidRPr="00E676E1">
        <w:rPr>
          <w:rFonts w:asciiTheme="majorHAnsi" w:hAnsiTheme="majorHAnsi" w:cstheme="majorHAnsi"/>
          <w:vertAlign w:val="superscript"/>
        </w:rPr>
        <w:instrText xml:space="preserve"> ADDIN ZOTERO_ITEM CSL_CITATION {"citationID":"yI7Ex4In","properties":{"formattedCitation":"\\super 7\\nosupersub{}","plainCitation":"7","noteIndex":0},"citationItems":[{"id":18,"uris":["http://zotero.org/users/5360735/items/I9L48GAR"],"itemData":{"id":18,"type":"article-journal","abstract":"Ulcerative colitis and Crohn’s disease are the principal forms of inflammatory bowel disease. Both represent chronic inflammation of the gastrointestinal tract, which displays heterogeneity in inflammatory and symptomatic burden between patients and within individuals over time. Optimal management relies on understanding and tailoring evidence-based interventions by clinicians in partnership with patients. This guideline for management of inflammatory bowel disease in adults over 16 years of age was developed by Stakeholders representing UK physicians (British Society of Gastroenterology), surgeons (Association of Coloproctology of Great Britain and Ireland), specialist nurses (Royal College of Nursing), paediatricians (British Society of Paediatric Gastroenterology, Hepatology and Nutrition), dietitians (British Dietetic Association), radiologists (British Society of Gastrointestinal and Abdominal Radiology), general practitioners (Primary Care Society for Gastroenterology) and patients (Crohn’s and Colitis UK). A systematic review of 88 247 publications and a Delphi consensus process involving 81 multidisciplinary clinicians and patients was undertaken to develop 168 evidence- and expert opinion-based recommendations for pharmacological, non-pharmacological and surgical interventions, as well as optimal service delivery in the management of both ulcerative colitis and Crohn’s disease. Comprehensive up-to-date guidance is provided regarding indications for, initiation and monitoring of immunosuppressive therapies, nutrition interventions, pre-, peri- and postoperative management, as well as structure and function of the multidisciplinary team and integration between primary and secondary care. Twenty research priorities to inform future clinical management are presented, alongside objective measurement of priority importance, determined by 2379 electronic survey responses from individuals living with ulcerative colitis and Crohn’s disease, including patients, their families and friends.","container-title":"Gut","DOI":"10.1136/gutjnl-2019-318484","issue":"Suppl 3","journalAbbreviation":"Gut","page":"s1","title":"British Society of Gastroenterology consensus guidelines on the management of inflammatory bowel disease in adults","volume":"68","author":[{"family":"Lamb","given":"Christopher Andrew"},{"family":"Kennedy","given":"Nicholas A"},{"family":"Raine","given":"Tim"},{"family":"Hendy","given":"Philip Anthony"},{"family":"Smith","given":"Philip J"},{"family":"Limdi","given":"Jimmy K"},{"family":"Hayee","given":"Bu’Hussain"},{"family":"Lomer","given":"Miranda C E"},{"family":"Parkes","given":"Gareth C"},{"family":"Selinger","given":"Christian"},{"family":"Barrett","given":"Kevin J"},{"family":"Davies","given":"R Justin"},{"family":"Bennett","given":"Cathy"},{"family":"Gittens","given":"Stuart"},{"family":"Dunlop","given":"Malcolm G"},{"family":"Faiz","given":"Omar"},{"family":"Fraser","given":"Aileen"},{"family":"Garrick","given":"Vikki"},{"family":"Johnston","given":"Paul D"},{"family":"Parkes","given":"Miles"},{"family":"Sanderson","given":"Jeremy"},{"family":"Terry","given":"Helen"},{"literal":"IBD guidelines eDelphi consensus group"},{"family":"Gaya","given":"Daniel R"},{"family":"Iqbal","given":"Tariq H"},{"family":"Taylor","given":"Stuart A"},{"family":"Smith","given":"Melissa"},{"family":"Brookes","given":"Matthew"},{"family":"Hansen","given":"Richard"},{"family":"Hawthorne","given":"A Barney"}],"issued":{"date-parts":[["2019",12,1]]}}}],"schema":"https://github.com/citation-style-language/schema/raw/master/csl-citation.json"} </w:instrText>
      </w:r>
      <w:r w:rsidR="000137E3" w:rsidRPr="00E676E1">
        <w:rPr>
          <w:rFonts w:asciiTheme="majorHAnsi" w:hAnsiTheme="majorHAnsi" w:cstheme="majorHAnsi"/>
          <w:vertAlign w:val="superscript"/>
        </w:rPr>
        <w:fldChar w:fldCharType="separate"/>
      </w:r>
      <w:r w:rsidR="000137E3" w:rsidRPr="00E676E1">
        <w:rPr>
          <w:rFonts w:ascii="Calibri Light" w:hAnsiTheme="majorHAnsi" w:cs="Calibri Light"/>
          <w:vertAlign w:val="superscript"/>
        </w:rPr>
        <w:t>7</w:t>
      </w:r>
      <w:r w:rsidR="000137E3" w:rsidRPr="00E676E1">
        <w:rPr>
          <w:rFonts w:asciiTheme="majorHAnsi" w:hAnsiTheme="majorHAnsi" w:cstheme="majorHAnsi"/>
          <w:vertAlign w:val="superscript"/>
        </w:rPr>
        <w:fldChar w:fldCharType="end"/>
      </w:r>
      <w:r w:rsidR="000137E3" w:rsidRPr="00E676E1">
        <w:rPr>
          <w:rFonts w:asciiTheme="majorHAnsi" w:hAnsiTheme="majorHAnsi" w:cstheme="majorHAnsi"/>
          <w:vertAlign w:val="superscript"/>
        </w:rPr>
        <w:t>,</w:t>
      </w:r>
      <w:r w:rsidR="000137E3" w:rsidRPr="00E676E1">
        <w:rPr>
          <w:rFonts w:asciiTheme="majorHAnsi" w:hAnsiTheme="majorHAnsi" w:cstheme="majorHAnsi"/>
        </w:rPr>
        <w:fldChar w:fldCharType="begin"/>
      </w:r>
      <w:r w:rsidR="000137E3" w:rsidRPr="00E676E1">
        <w:rPr>
          <w:rFonts w:asciiTheme="majorHAnsi" w:hAnsiTheme="majorHAnsi" w:cstheme="majorHAnsi"/>
        </w:rPr>
        <w:instrText xml:space="preserve"> ADDIN ZOTERO_ITEM CSL_CITATION {"citationID":"wunw7Hcf","properties":{"formattedCitation":"\\super 9\\nosupersub{}","plainCitation":"9","noteIndex":0},"citationItems":[{"id":2043,"uris":["http://zotero.org/users/5360735/items/MSUDFGHA"],"itemData":{"id":2043,"type":"report","publisher":"National Institute for Health and Care Excellence","title":"Chronic pain (primary and secondary) in over sixteens: assessment of all chronic pain and management of chronic primary pain","URL":"https://www.nice.org.uk/guidance/ng193","issued":{"date-parts":[["2021",4,7]]}}}],"schema":"https://github.com/citation-style-language/schema/raw/master/csl-citation.json"} </w:instrText>
      </w:r>
      <w:r w:rsidR="000137E3" w:rsidRPr="00E676E1">
        <w:rPr>
          <w:rFonts w:asciiTheme="majorHAnsi" w:hAnsiTheme="majorHAnsi" w:cstheme="majorHAnsi"/>
        </w:rPr>
        <w:fldChar w:fldCharType="separate"/>
      </w:r>
      <w:r w:rsidR="000137E3" w:rsidRPr="00E676E1">
        <w:rPr>
          <w:rFonts w:ascii="Calibri Light" w:hAnsiTheme="majorHAnsi" w:cs="Calibri Light"/>
          <w:vertAlign w:val="superscript"/>
        </w:rPr>
        <w:t>9</w:t>
      </w:r>
      <w:r w:rsidR="000137E3" w:rsidRPr="00E676E1">
        <w:rPr>
          <w:rFonts w:asciiTheme="majorHAnsi" w:hAnsiTheme="majorHAnsi" w:cstheme="majorHAnsi"/>
        </w:rPr>
        <w:fldChar w:fldCharType="end"/>
      </w:r>
      <w:r w:rsidR="004E467C" w:rsidRPr="00E676E1">
        <w:rPr>
          <w:rFonts w:asciiTheme="majorHAnsi" w:hAnsiTheme="majorHAnsi" w:cstheme="majorHAnsi"/>
        </w:rPr>
        <w:t xml:space="preserve"> </w:t>
      </w:r>
      <w:r w:rsidRPr="00E676E1">
        <w:rPr>
          <w:rFonts w:asciiTheme="majorHAnsi" w:hAnsiTheme="majorHAnsi" w:cstheme="majorHAnsi"/>
        </w:rPr>
        <w:t>a</w:t>
      </w:r>
      <w:r w:rsidR="00041535" w:rsidRPr="00E676E1">
        <w:rPr>
          <w:rFonts w:asciiTheme="majorHAnsi" w:hAnsiTheme="majorHAnsi" w:cstheme="majorHAnsi"/>
        </w:rPr>
        <w:t xml:space="preserve">nalysis of </w:t>
      </w:r>
      <w:r w:rsidR="000137E3" w:rsidRPr="00E676E1">
        <w:rPr>
          <w:rFonts w:asciiTheme="majorHAnsi" w:hAnsiTheme="majorHAnsi" w:cstheme="majorHAnsi"/>
        </w:rPr>
        <w:t>opioid use</w:t>
      </w:r>
      <w:r w:rsidR="00041535" w:rsidRPr="00E676E1">
        <w:rPr>
          <w:rFonts w:asciiTheme="majorHAnsi" w:hAnsiTheme="majorHAnsi" w:cstheme="majorHAnsi"/>
        </w:rPr>
        <w:t xml:space="preserve"> among IBD patients in the UK is lacking</w:t>
      </w:r>
      <w:r w:rsidR="000137E3" w:rsidRPr="00E676E1">
        <w:rPr>
          <w:rFonts w:asciiTheme="majorHAnsi" w:hAnsiTheme="majorHAnsi" w:cstheme="majorHAnsi"/>
        </w:rPr>
        <w:t>.</w:t>
      </w:r>
      <w:r w:rsidR="00041535" w:rsidRPr="00E676E1">
        <w:rPr>
          <w:rFonts w:asciiTheme="majorHAnsi" w:hAnsiTheme="majorHAnsi" w:cstheme="majorHAnsi"/>
        </w:rPr>
        <w:t xml:space="preserve"> Chronic opioid use is associated</w:t>
      </w:r>
      <w:r w:rsidR="00A8493F" w:rsidRPr="00E676E1">
        <w:rPr>
          <w:rFonts w:asciiTheme="majorHAnsi" w:hAnsiTheme="majorHAnsi" w:cstheme="majorHAnsi"/>
        </w:rPr>
        <w:t xml:space="preserve"> </w:t>
      </w:r>
      <w:r w:rsidR="007850F2" w:rsidRPr="00E676E1">
        <w:rPr>
          <w:rFonts w:asciiTheme="majorHAnsi" w:hAnsiTheme="majorHAnsi" w:cstheme="majorHAnsi"/>
        </w:rPr>
        <w:t xml:space="preserve">with </w:t>
      </w:r>
      <w:r w:rsidR="00A8493F" w:rsidRPr="00E676E1">
        <w:rPr>
          <w:rFonts w:asciiTheme="majorHAnsi" w:hAnsiTheme="majorHAnsi" w:cstheme="majorHAnsi"/>
        </w:rPr>
        <w:t xml:space="preserve">serious infections, </w:t>
      </w:r>
      <w:r w:rsidR="00DE1C62" w:rsidRPr="00E676E1">
        <w:rPr>
          <w:rFonts w:asciiTheme="majorHAnsi" w:hAnsiTheme="majorHAnsi" w:cstheme="majorHAnsi"/>
        </w:rPr>
        <w:t>early biologic discontinuation</w:t>
      </w:r>
      <w:r w:rsidR="00A8493F" w:rsidRPr="00E676E1">
        <w:rPr>
          <w:rFonts w:asciiTheme="majorHAnsi" w:hAnsiTheme="majorHAnsi" w:cstheme="majorHAnsi"/>
        </w:rPr>
        <w:t xml:space="preserve"> and mortality</w:t>
      </w:r>
      <w:r w:rsidR="00DE1C62" w:rsidRPr="00E676E1">
        <w:rPr>
          <w:rFonts w:asciiTheme="majorHAnsi" w:hAnsiTheme="majorHAnsi" w:cstheme="majorHAnsi"/>
        </w:rPr>
        <w:fldChar w:fldCharType="begin"/>
      </w:r>
      <w:r w:rsidR="003910A3" w:rsidRPr="00E676E1">
        <w:rPr>
          <w:rFonts w:asciiTheme="majorHAnsi" w:hAnsiTheme="majorHAnsi" w:cstheme="majorHAnsi"/>
        </w:rPr>
        <w:instrText xml:space="preserve"> ADDIN ZOTERO_ITEM CSL_CITATION {"citationID":"6xR71gew","properties":{"formattedCitation":"\\super 5\\nosupersub{}","plainCitation":"5","noteIndex":0},"citationItems":[{"id":2143,"uris":["http://zotero.org/users/5360735/items/APRXN949"],"itemData":{"id":2143,"type":"article-journal","container-title":"Clinical Gastroenterology and Hepatology","DOI":"10.1016/j.cgh.2006.03.002","ISSN":"1542-3565","issue":"5","note":"publisher: Elsevier","page":"621-630","title":"Serious Infections and Mortality in Association With Therapies for Crohn’s Disease: TREAT Registry","volume":"4","author":[{"family":"Lichtenstein","given":"Gary R."},{"family":"Feagan","given":"Brian G."},{"family":"Cohen","given":"Russell D."},{"family":"Salzberg","given":"Bruce A."},{"family":"Diamond","given":"Robert H."},{"family":"Chen","given":"Donny M."},{"family":"Pritchard","given":"Michelle L."},{"family":"Sandborn","given":"William J."}],"issued":{"date-parts":[["2006",5,1]]}}}],"schema":"https://github.com/citation-style-language/schema/raw/master/csl-citation.json"} </w:instrText>
      </w:r>
      <w:r w:rsidR="00DE1C62" w:rsidRPr="00E676E1">
        <w:rPr>
          <w:rFonts w:asciiTheme="majorHAnsi" w:hAnsiTheme="majorHAnsi" w:cstheme="majorHAnsi"/>
        </w:rPr>
        <w:fldChar w:fldCharType="separate"/>
      </w:r>
      <w:r w:rsidR="003910A3" w:rsidRPr="00E676E1">
        <w:rPr>
          <w:rFonts w:ascii="Calibri Light" w:hAnsiTheme="majorHAnsi" w:cs="Calibri Light"/>
          <w:vertAlign w:val="superscript"/>
        </w:rPr>
        <w:t>5</w:t>
      </w:r>
      <w:r w:rsidR="00DE1C62" w:rsidRPr="00E676E1">
        <w:rPr>
          <w:rFonts w:asciiTheme="majorHAnsi" w:hAnsiTheme="majorHAnsi" w:cstheme="majorHAnsi"/>
        </w:rPr>
        <w:fldChar w:fldCharType="end"/>
      </w:r>
      <w:r w:rsidR="00DE1C62" w:rsidRPr="00E676E1">
        <w:rPr>
          <w:rFonts w:asciiTheme="majorHAnsi" w:hAnsiTheme="majorHAnsi" w:cstheme="majorHAnsi"/>
          <w:vertAlign w:val="superscript"/>
        </w:rPr>
        <w:t>,</w:t>
      </w:r>
      <w:r w:rsidR="00DE1C62" w:rsidRPr="00E676E1">
        <w:rPr>
          <w:rFonts w:asciiTheme="majorHAnsi" w:hAnsiTheme="majorHAnsi" w:cstheme="majorHAnsi"/>
        </w:rPr>
        <w:fldChar w:fldCharType="begin"/>
      </w:r>
      <w:r w:rsidR="00491A6F" w:rsidRPr="00E676E1">
        <w:rPr>
          <w:rFonts w:asciiTheme="majorHAnsi" w:hAnsiTheme="majorHAnsi" w:cstheme="majorHAnsi"/>
        </w:rPr>
        <w:instrText xml:space="preserve"> ADDIN ZOTERO_ITEM CSL_CITATION {"citationID":"J3BIzcK6","properties":{"formattedCitation":"\\super 6,20\\nosupersub{}","plainCitation":"6,20","noteIndex":0},"citationItems":[{"id":1956,"uris":["http://zotero.org/users/5360735/items/KIFLK86R"],"itemData":{"id":1956,"type":"article-journal","container-title":"Clinical Gastroenterology and Hepatology","DOI":"10.1016/j.cgh.2017.10.022","ISSN":"1542-3565","issue":"4","note":"publisher: Elsevier","page":"534-541.e6","title":"Increasing Prescription of Opiates and Mortality in Patients With Inflammatory Bowel Diseases in England","volume":"16","author":[{"family":"Burr","given":"Nicholas E."},{"family":"Smith","given":"Chris"},{"family":"West","given":"Robert"},{"family":"Hull","given":"Mark A."},{"family":"Subramanian","given":"Venkataraman"}],"issued":{"date-parts":[["2018",4,1]]}}},{"id":2034,"uris":["http://zotero.org/users/5360735/items/963EMZIK"],"itemData":{"id":2034,"type":"article-journal","abstract":"BACKGROUND: Chronic opioid use is associated with poorer clinical outcomes in inflammatory bowel disease. AIMS: To investigate an association between chronic opioid use and persistence with biologic agents in management of inflammatory bowel disease. METHODS: A total of 16 624 patients diagnosed with inflammatory bowel disease and receiving a first-time biologic prescription from 2011 to 2016 were identified retrospectively from the Truven MarketScan Database. A cohort of 1768 patients were identified as chronic opioid users utilising outpatient prescription claims. Utilisation patterns of biologic therapies were assessed from inpatient administration and outpatient claims data, including persistence calculations. Information on healthcare utilisation and common comorbidities was also collected. A Cox regression model was constructed to assess the hazard of chronic opioid use on early discontinuation of biologic therapy controlling for disease severity. RESULTS: A mean 1.5 different biologic agents were utilised by inflammatory bowel disease patients with chronic opioid use (vs 1.37 in the comparator group; P &lt; 0.0001). A lower proportion of the chronic opioid use cohort persisted on biologic therapies to the end of the study period (16.2% vs 33.5% P &lt; 0.0001). Inflammatory bowel disease patients with chronic opioid use utilised more healthcare resources and had a higher rate of comorbidities than the reference cohort. Patients with chronic opioid use were 23% more likely (hazard ratio 1.23; 95% CI [1.16-1.31]) to be non-persistent with biologic therapy while accounting for relevant markers of disease acuity. CONCLUSIONS: Chronic opioid use is associated with increased hazard of biologic discontinuation in inflammatory bowel disease. Symptoms of opioid withdrawal may mimic IBD flares thereby leading providers to inappropriately switch biologic therapies and compromise disease control.","archive":"PubMed","archive_location":"33497484","container-title":"Alimentary pharmacology &amp; therapeutics","DOI":"10.1111/apt.16269","ISSN":"1365-2036","issue":"6","journalAbbreviation":"Aliment Pharmacol Ther","language":"eng","note":"edition: 2021/01/26","page":"704-711","title":"Chronic opioid use is associated with early biologic discontinuation in inflammatory bowel disease","volume":"53","author":[{"family":"Rhudy","given":"Christian"},{"family":"Perry","given":"Courtney L"},{"family":"Singleton","given":"Michael"},{"family":"Talbert","given":"Jeffery"},{"family":"Barrett","given":"Terrence A"}],"issued":{"date-parts":[["2021",3]]}}}],"schema":"https://github.com/citation-style-language/schema/raw/master/csl-citation.json"} </w:instrText>
      </w:r>
      <w:r w:rsidR="00DE1C62" w:rsidRPr="00E676E1">
        <w:rPr>
          <w:rFonts w:asciiTheme="majorHAnsi" w:hAnsiTheme="majorHAnsi" w:cstheme="majorHAnsi"/>
        </w:rPr>
        <w:fldChar w:fldCharType="separate"/>
      </w:r>
      <w:r w:rsidR="00491A6F" w:rsidRPr="00E676E1">
        <w:rPr>
          <w:rFonts w:ascii="Calibri Light" w:hAnsiTheme="majorHAnsi" w:cs="Calibri Light"/>
          <w:vertAlign w:val="superscript"/>
        </w:rPr>
        <w:t>6,20</w:t>
      </w:r>
      <w:r w:rsidR="00DE1C62" w:rsidRPr="00E676E1">
        <w:rPr>
          <w:rFonts w:asciiTheme="majorHAnsi" w:hAnsiTheme="majorHAnsi" w:cstheme="majorHAnsi"/>
        </w:rPr>
        <w:fldChar w:fldCharType="end"/>
      </w:r>
      <w:r w:rsidR="00A8493F" w:rsidRPr="00E676E1">
        <w:rPr>
          <w:rFonts w:asciiTheme="majorHAnsi" w:hAnsiTheme="majorHAnsi" w:cstheme="majorHAnsi"/>
        </w:rPr>
        <w:t xml:space="preserve"> </w:t>
      </w:r>
      <w:r w:rsidR="00B42D7D" w:rsidRPr="00E676E1">
        <w:rPr>
          <w:rFonts w:asciiTheme="majorHAnsi" w:hAnsiTheme="majorHAnsi" w:cstheme="majorHAnsi"/>
        </w:rPr>
        <w:t>and i</w:t>
      </w:r>
      <w:r w:rsidR="00B8005D" w:rsidRPr="00E676E1">
        <w:rPr>
          <w:rFonts w:asciiTheme="majorHAnsi" w:hAnsiTheme="majorHAnsi" w:cstheme="majorHAnsi"/>
        </w:rPr>
        <w:t xml:space="preserve">n this UK multicentre study of </w:t>
      </w:r>
      <w:r w:rsidR="00AD71E5" w:rsidRPr="00E676E1">
        <w:rPr>
          <w:rFonts w:asciiTheme="majorHAnsi" w:hAnsiTheme="majorHAnsi" w:cstheme="majorHAnsi"/>
        </w:rPr>
        <w:t>opioid-</w:t>
      </w:r>
      <w:r w:rsidR="006A4851" w:rsidRPr="00E676E1">
        <w:rPr>
          <w:rFonts w:asciiTheme="majorHAnsi" w:hAnsiTheme="majorHAnsi" w:cstheme="majorHAnsi"/>
        </w:rPr>
        <w:t>use</w:t>
      </w:r>
      <w:r w:rsidR="00F934C2" w:rsidRPr="00E676E1">
        <w:rPr>
          <w:rFonts w:asciiTheme="majorHAnsi" w:hAnsiTheme="majorHAnsi" w:cstheme="majorHAnsi"/>
        </w:rPr>
        <w:t xml:space="preserve"> in IBD </w:t>
      </w:r>
      <w:r w:rsidR="00B8005D" w:rsidRPr="00E676E1">
        <w:rPr>
          <w:rFonts w:asciiTheme="majorHAnsi" w:hAnsiTheme="majorHAnsi" w:cstheme="majorHAnsi"/>
        </w:rPr>
        <w:t xml:space="preserve">we found that </w:t>
      </w:r>
      <w:r w:rsidR="0029395D" w:rsidRPr="00E676E1">
        <w:rPr>
          <w:rFonts w:asciiTheme="majorHAnsi" w:hAnsiTheme="majorHAnsi" w:cstheme="majorHAnsi"/>
        </w:rPr>
        <w:t>more than</w:t>
      </w:r>
      <w:r w:rsidR="00041535" w:rsidRPr="00E676E1">
        <w:rPr>
          <w:rFonts w:asciiTheme="majorHAnsi" w:hAnsiTheme="majorHAnsi" w:cstheme="majorHAnsi"/>
        </w:rPr>
        <w:t xml:space="preserve"> a tenth</w:t>
      </w:r>
      <w:r w:rsidR="007850F2" w:rsidRPr="00E676E1">
        <w:rPr>
          <w:rFonts w:asciiTheme="majorHAnsi" w:hAnsiTheme="majorHAnsi" w:cstheme="majorHAnsi"/>
        </w:rPr>
        <w:t xml:space="preserve"> of</w:t>
      </w:r>
      <w:r w:rsidR="00041535" w:rsidRPr="00E676E1">
        <w:rPr>
          <w:rFonts w:asciiTheme="majorHAnsi" w:hAnsiTheme="majorHAnsi" w:cstheme="majorHAnsi"/>
        </w:rPr>
        <w:t xml:space="preserve"> individuals</w:t>
      </w:r>
      <w:r w:rsidR="00B8005D" w:rsidRPr="00E676E1">
        <w:rPr>
          <w:rFonts w:asciiTheme="majorHAnsi" w:hAnsiTheme="majorHAnsi" w:cstheme="majorHAnsi"/>
        </w:rPr>
        <w:t xml:space="preserve"> </w:t>
      </w:r>
      <w:r w:rsidR="00041535" w:rsidRPr="00E676E1">
        <w:rPr>
          <w:rFonts w:asciiTheme="majorHAnsi" w:hAnsiTheme="majorHAnsi" w:cstheme="majorHAnsi"/>
        </w:rPr>
        <w:t>receive</w:t>
      </w:r>
      <w:r w:rsidR="000137E3" w:rsidRPr="00E676E1">
        <w:rPr>
          <w:rFonts w:asciiTheme="majorHAnsi" w:hAnsiTheme="majorHAnsi" w:cstheme="majorHAnsi"/>
        </w:rPr>
        <w:t>d</w:t>
      </w:r>
      <w:r w:rsidR="00041535" w:rsidRPr="00E676E1">
        <w:rPr>
          <w:rFonts w:asciiTheme="majorHAnsi" w:hAnsiTheme="majorHAnsi" w:cstheme="majorHAnsi"/>
        </w:rPr>
        <w:t xml:space="preserve"> at least </w:t>
      </w:r>
      <w:r w:rsidR="00B8005D" w:rsidRPr="00E676E1">
        <w:rPr>
          <w:rFonts w:asciiTheme="majorHAnsi" w:hAnsiTheme="majorHAnsi" w:cstheme="majorHAnsi"/>
        </w:rPr>
        <w:t xml:space="preserve">2 weeks of opioids in a single year and </w:t>
      </w:r>
      <w:r w:rsidR="0029395D" w:rsidRPr="00E676E1">
        <w:rPr>
          <w:rFonts w:asciiTheme="majorHAnsi" w:hAnsiTheme="majorHAnsi" w:cstheme="majorHAnsi"/>
        </w:rPr>
        <w:t xml:space="preserve">more than </w:t>
      </w:r>
      <w:r w:rsidR="00041535" w:rsidRPr="00E676E1">
        <w:rPr>
          <w:rFonts w:asciiTheme="majorHAnsi" w:hAnsiTheme="majorHAnsi" w:cstheme="majorHAnsi"/>
        </w:rPr>
        <w:t xml:space="preserve">a quarter of </w:t>
      </w:r>
      <w:r w:rsidR="00B8005D" w:rsidRPr="00E676E1">
        <w:rPr>
          <w:rFonts w:asciiTheme="majorHAnsi" w:hAnsiTheme="majorHAnsi" w:cstheme="majorHAnsi"/>
        </w:rPr>
        <w:t xml:space="preserve">inpatients </w:t>
      </w:r>
      <w:r w:rsidR="00DB0381" w:rsidRPr="00E676E1">
        <w:rPr>
          <w:rFonts w:asciiTheme="majorHAnsi" w:hAnsiTheme="majorHAnsi" w:cstheme="majorHAnsi"/>
        </w:rPr>
        <w:t>we</w:t>
      </w:r>
      <w:r w:rsidR="00B8005D" w:rsidRPr="00E676E1">
        <w:rPr>
          <w:rFonts w:asciiTheme="majorHAnsi" w:hAnsiTheme="majorHAnsi" w:cstheme="majorHAnsi"/>
        </w:rPr>
        <w:t>re discharged with opioid</w:t>
      </w:r>
      <w:r w:rsidR="004A4488" w:rsidRPr="00E676E1">
        <w:rPr>
          <w:rFonts w:asciiTheme="majorHAnsi" w:hAnsiTheme="majorHAnsi" w:cstheme="majorHAnsi"/>
        </w:rPr>
        <w:t>s</w:t>
      </w:r>
      <w:r w:rsidR="007850F2" w:rsidRPr="00E676E1">
        <w:rPr>
          <w:rFonts w:asciiTheme="majorHAnsi" w:hAnsiTheme="majorHAnsi" w:cstheme="majorHAnsi"/>
        </w:rPr>
        <w:t>,</w:t>
      </w:r>
      <w:r w:rsidR="004A4488" w:rsidRPr="00E676E1">
        <w:rPr>
          <w:rFonts w:asciiTheme="majorHAnsi" w:hAnsiTheme="majorHAnsi" w:cstheme="majorHAnsi"/>
        </w:rPr>
        <w:t xml:space="preserve"> a tenth of wh</w:t>
      </w:r>
      <w:r w:rsidR="0043458C" w:rsidRPr="00E676E1">
        <w:rPr>
          <w:rFonts w:asciiTheme="majorHAnsi" w:hAnsiTheme="majorHAnsi" w:cstheme="majorHAnsi"/>
        </w:rPr>
        <w:t>om</w:t>
      </w:r>
      <w:r w:rsidR="004A4488" w:rsidRPr="00E676E1">
        <w:rPr>
          <w:rFonts w:asciiTheme="majorHAnsi" w:hAnsiTheme="majorHAnsi" w:cstheme="majorHAnsi"/>
        </w:rPr>
        <w:t xml:space="preserve"> continued for</w:t>
      </w:r>
      <w:r w:rsidR="00B74573" w:rsidRPr="00E676E1">
        <w:rPr>
          <w:rFonts w:asciiTheme="majorHAnsi" w:hAnsiTheme="majorHAnsi" w:cstheme="majorHAnsi"/>
        </w:rPr>
        <w:t xml:space="preserve"> at least</w:t>
      </w:r>
      <w:r w:rsidR="004A4488" w:rsidRPr="00E676E1">
        <w:rPr>
          <w:rFonts w:asciiTheme="majorHAnsi" w:hAnsiTheme="majorHAnsi" w:cstheme="majorHAnsi"/>
        </w:rPr>
        <w:t xml:space="preserve"> 12 months. O</w:t>
      </w:r>
      <w:r w:rsidR="007B3C4F" w:rsidRPr="00E676E1">
        <w:rPr>
          <w:rFonts w:asciiTheme="majorHAnsi" w:hAnsiTheme="majorHAnsi" w:cstheme="majorHAnsi"/>
        </w:rPr>
        <w:t xml:space="preserve">ver half of outpatients </w:t>
      </w:r>
      <w:r w:rsidR="007850F2" w:rsidRPr="00E676E1">
        <w:rPr>
          <w:rFonts w:asciiTheme="majorHAnsi" w:hAnsiTheme="majorHAnsi" w:cstheme="majorHAnsi"/>
        </w:rPr>
        <w:t>with opioid-</w:t>
      </w:r>
      <w:r w:rsidR="006A4851" w:rsidRPr="00E676E1">
        <w:rPr>
          <w:rFonts w:asciiTheme="majorHAnsi" w:hAnsiTheme="majorHAnsi" w:cstheme="majorHAnsi"/>
        </w:rPr>
        <w:t>use</w:t>
      </w:r>
      <w:r w:rsidR="007850F2" w:rsidRPr="00E676E1">
        <w:rPr>
          <w:rFonts w:asciiTheme="majorHAnsi" w:hAnsiTheme="majorHAnsi" w:cstheme="majorHAnsi"/>
        </w:rPr>
        <w:t xml:space="preserve"> </w:t>
      </w:r>
      <w:r w:rsidR="007B3C4F" w:rsidRPr="00E676E1">
        <w:rPr>
          <w:rFonts w:asciiTheme="majorHAnsi" w:hAnsiTheme="majorHAnsi" w:cstheme="majorHAnsi"/>
        </w:rPr>
        <w:t>were using opioids to treat non-IBD</w:t>
      </w:r>
      <w:r w:rsidR="00BA5125" w:rsidRPr="00E676E1">
        <w:rPr>
          <w:rFonts w:asciiTheme="majorHAnsi" w:hAnsiTheme="majorHAnsi" w:cstheme="majorHAnsi"/>
        </w:rPr>
        <w:t xml:space="preserve"> </w:t>
      </w:r>
      <w:r w:rsidR="004A4488" w:rsidRPr="00E676E1">
        <w:rPr>
          <w:rFonts w:asciiTheme="majorHAnsi" w:hAnsiTheme="majorHAnsi" w:cstheme="majorHAnsi"/>
        </w:rPr>
        <w:t>pain</w:t>
      </w:r>
      <w:r w:rsidR="00B74573" w:rsidRPr="00E676E1">
        <w:rPr>
          <w:rFonts w:asciiTheme="majorHAnsi" w:hAnsiTheme="majorHAnsi" w:cstheme="majorHAnsi"/>
        </w:rPr>
        <w:t>, mostly for musculoskeletal indications and</w:t>
      </w:r>
      <w:r w:rsidR="007B3C4F" w:rsidRPr="00E676E1">
        <w:rPr>
          <w:rFonts w:asciiTheme="majorHAnsi" w:hAnsiTheme="majorHAnsi" w:cstheme="majorHAnsi"/>
        </w:rPr>
        <w:t xml:space="preserve"> less than half had </w:t>
      </w:r>
      <w:r w:rsidR="004A4488" w:rsidRPr="00E676E1">
        <w:rPr>
          <w:rFonts w:asciiTheme="majorHAnsi" w:hAnsiTheme="majorHAnsi" w:cstheme="majorHAnsi"/>
        </w:rPr>
        <w:t xml:space="preserve">an opioid </w:t>
      </w:r>
      <w:r w:rsidR="007B3C4F" w:rsidRPr="00E676E1">
        <w:rPr>
          <w:rFonts w:asciiTheme="majorHAnsi" w:hAnsiTheme="majorHAnsi" w:cstheme="majorHAnsi"/>
        </w:rPr>
        <w:t>weaning plan.</w:t>
      </w:r>
    </w:p>
    <w:p w14:paraId="548DBABD" w14:textId="7E3FC688" w:rsidR="00534836" w:rsidRPr="00E676E1" w:rsidRDefault="00534836" w:rsidP="00DB0381">
      <w:pPr>
        <w:spacing w:line="480" w:lineRule="auto"/>
        <w:rPr>
          <w:rFonts w:asciiTheme="majorHAnsi" w:hAnsiTheme="majorHAnsi" w:cstheme="majorHAnsi"/>
          <w:i/>
          <w:iCs/>
          <w:sz w:val="28"/>
          <w:szCs w:val="28"/>
        </w:rPr>
      </w:pPr>
      <w:r w:rsidRPr="00E676E1">
        <w:rPr>
          <w:rFonts w:asciiTheme="majorHAnsi" w:hAnsiTheme="majorHAnsi" w:cstheme="majorHAnsi"/>
          <w:i/>
          <w:iCs/>
          <w:sz w:val="28"/>
          <w:szCs w:val="28"/>
        </w:rPr>
        <w:t>Findings in context</w:t>
      </w:r>
    </w:p>
    <w:p w14:paraId="14FF7AFE" w14:textId="7B784732" w:rsidR="00B8005D" w:rsidRPr="00E676E1" w:rsidRDefault="004A4488" w:rsidP="00DB0381">
      <w:pPr>
        <w:spacing w:line="480" w:lineRule="auto"/>
        <w:rPr>
          <w:rFonts w:asciiTheme="majorHAnsi" w:hAnsiTheme="majorHAnsi" w:cstheme="majorHAnsi"/>
        </w:rPr>
      </w:pPr>
      <w:r w:rsidRPr="00E676E1">
        <w:rPr>
          <w:rFonts w:asciiTheme="majorHAnsi" w:hAnsiTheme="majorHAnsi" w:cstheme="majorHAnsi"/>
        </w:rPr>
        <w:t xml:space="preserve">Our reported </w:t>
      </w:r>
      <w:r w:rsidR="00AD71E5" w:rsidRPr="00E676E1">
        <w:rPr>
          <w:rFonts w:asciiTheme="majorHAnsi" w:hAnsiTheme="majorHAnsi" w:cstheme="majorHAnsi"/>
        </w:rPr>
        <w:t>opioid</w:t>
      </w:r>
      <w:r w:rsidR="006A4851" w:rsidRPr="00E676E1">
        <w:rPr>
          <w:rFonts w:asciiTheme="majorHAnsi" w:hAnsiTheme="majorHAnsi" w:cstheme="majorHAnsi"/>
        </w:rPr>
        <w:t>-use</w:t>
      </w:r>
      <w:r w:rsidRPr="00E676E1">
        <w:rPr>
          <w:rFonts w:asciiTheme="majorHAnsi" w:hAnsiTheme="majorHAnsi" w:cstheme="majorHAnsi"/>
        </w:rPr>
        <w:t xml:space="preserve"> prevalence among</w:t>
      </w:r>
      <w:r w:rsidR="00F934C2" w:rsidRPr="00E676E1">
        <w:rPr>
          <w:rFonts w:asciiTheme="majorHAnsi" w:hAnsiTheme="majorHAnsi" w:cstheme="majorHAnsi"/>
        </w:rPr>
        <w:t xml:space="preserve"> outpatient</w:t>
      </w:r>
      <w:r w:rsidRPr="00E676E1">
        <w:rPr>
          <w:rFonts w:asciiTheme="majorHAnsi" w:hAnsiTheme="majorHAnsi" w:cstheme="majorHAnsi"/>
        </w:rPr>
        <w:t xml:space="preserve">s was </w:t>
      </w:r>
      <w:r w:rsidR="00F934C2" w:rsidRPr="00E676E1">
        <w:rPr>
          <w:rFonts w:asciiTheme="majorHAnsi" w:hAnsiTheme="majorHAnsi" w:cstheme="majorHAnsi"/>
        </w:rPr>
        <w:t>11.9%</w:t>
      </w:r>
      <w:r w:rsidRPr="00E676E1">
        <w:rPr>
          <w:rFonts w:asciiTheme="majorHAnsi" w:hAnsiTheme="majorHAnsi" w:cstheme="majorHAnsi"/>
        </w:rPr>
        <w:t>.</w:t>
      </w:r>
      <w:r w:rsidR="00F934C2" w:rsidRPr="00E676E1">
        <w:rPr>
          <w:rFonts w:asciiTheme="majorHAnsi" w:hAnsiTheme="majorHAnsi" w:cstheme="majorHAnsi"/>
        </w:rPr>
        <w:t xml:space="preserve"> </w:t>
      </w:r>
      <w:r w:rsidRPr="00E676E1">
        <w:rPr>
          <w:rFonts w:asciiTheme="majorHAnsi" w:hAnsiTheme="majorHAnsi" w:cstheme="majorHAnsi"/>
        </w:rPr>
        <w:t xml:space="preserve">This compares </w:t>
      </w:r>
      <w:r w:rsidR="00F934C2" w:rsidRPr="00E676E1">
        <w:rPr>
          <w:rFonts w:asciiTheme="majorHAnsi" w:hAnsiTheme="majorHAnsi" w:cstheme="majorHAnsi"/>
        </w:rPr>
        <w:t xml:space="preserve">to </w:t>
      </w:r>
      <w:r w:rsidR="00C43298" w:rsidRPr="00E676E1">
        <w:rPr>
          <w:rFonts w:asciiTheme="majorHAnsi" w:hAnsiTheme="majorHAnsi" w:cstheme="majorHAnsi"/>
        </w:rPr>
        <w:t xml:space="preserve">11% </w:t>
      </w:r>
      <w:r w:rsidR="00F934C2" w:rsidRPr="00E676E1">
        <w:rPr>
          <w:rFonts w:asciiTheme="majorHAnsi" w:hAnsiTheme="majorHAnsi" w:cstheme="majorHAnsi"/>
        </w:rPr>
        <w:t xml:space="preserve">reported </w:t>
      </w:r>
      <w:r w:rsidR="00C43298" w:rsidRPr="00E676E1">
        <w:rPr>
          <w:rFonts w:asciiTheme="majorHAnsi" w:hAnsiTheme="majorHAnsi" w:cstheme="majorHAnsi"/>
        </w:rPr>
        <w:t>in a Canadian study</w:t>
      </w:r>
      <w:r w:rsidRPr="00E676E1">
        <w:rPr>
          <w:rFonts w:asciiTheme="majorHAnsi" w:hAnsiTheme="majorHAnsi" w:cstheme="majorHAnsi"/>
        </w:rPr>
        <w:t xml:space="preserve"> </w:t>
      </w:r>
      <w:r w:rsidR="00AD71E5" w:rsidRPr="00E676E1">
        <w:rPr>
          <w:rFonts w:asciiTheme="majorHAnsi" w:hAnsiTheme="majorHAnsi" w:cstheme="majorHAnsi"/>
        </w:rPr>
        <w:t>as</w:t>
      </w:r>
      <w:r w:rsidRPr="00E676E1">
        <w:rPr>
          <w:rFonts w:asciiTheme="majorHAnsi" w:hAnsiTheme="majorHAnsi" w:cstheme="majorHAnsi"/>
        </w:rPr>
        <w:t xml:space="preserve"> the</w:t>
      </w:r>
      <w:r w:rsidR="00F934C2" w:rsidRPr="00E676E1">
        <w:rPr>
          <w:rFonts w:asciiTheme="majorHAnsi" w:hAnsiTheme="majorHAnsi" w:cstheme="majorHAnsi"/>
        </w:rPr>
        <w:t xml:space="preserve"> prevalence </w:t>
      </w:r>
      <w:r w:rsidRPr="00E676E1">
        <w:rPr>
          <w:rFonts w:asciiTheme="majorHAnsi" w:hAnsiTheme="majorHAnsi" w:cstheme="majorHAnsi"/>
        </w:rPr>
        <w:t xml:space="preserve">of use in the </w:t>
      </w:r>
      <w:r w:rsidR="00B8005D" w:rsidRPr="00E676E1">
        <w:rPr>
          <w:rFonts w:asciiTheme="majorHAnsi" w:hAnsiTheme="majorHAnsi" w:cstheme="majorHAnsi"/>
        </w:rPr>
        <w:t xml:space="preserve">first month </w:t>
      </w:r>
      <w:r w:rsidRPr="00E676E1">
        <w:rPr>
          <w:rFonts w:asciiTheme="majorHAnsi" w:hAnsiTheme="majorHAnsi" w:cstheme="majorHAnsi"/>
        </w:rPr>
        <w:t>of</w:t>
      </w:r>
      <w:r w:rsidR="00B8005D" w:rsidRPr="00E676E1">
        <w:rPr>
          <w:rFonts w:asciiTheme="majorHAnsi" w:hAnsiTheme="majorHAnsi" w:cstheme="majorHAnsi"/>
        </w:rPr>
        <w:t xml:space="preserve"> </w:t>
      </w:r>
      <w:r w:rsidR="00C43298" w:rsidRPr="00E676E1">
        <w:rPr>
          <w:rFonts w:asciiTheme="majorHAnsi" w:hAnsiTheme="majorHAnsi" w:cstheme="majorHAnsi"/>
        </w:rPr>
        <w:t xml:space="preserve">IBD </w:t>
      </w:r>
      <w:r w:rsidR="00B8005D" w:rsidRPr="00E676E1">
        <w:rPr>
          <w:rFonts w:asciiTheme="majorHAnsi" w:hAnsiTheme="majorHAnsi" w:cstheme="majorHAnsi"/>
        </w:rPr>
        <w:t>diagnosis</w:t>
      </w:r>
      <w:r w:rsidR="007850F2" w:rsidRPr="00E676E1">
        <w:rPr>
          <w:rFonts w:asciiTheme="majorHAnsi" w:hAnsiTheme="majorHAnsi" w:cstheme="majorHAnsi"/>
        </w:rPr>
        <w:t>,</w:t>
      </w:r>
      <w:r w:rsidR="00C43298" w:rsidRPr="00E676E1">
        <w:rPr>
          <w:rFonts w:asciiTheme="majorHAnsi" w:hAnsiTheme="majorHAnsi" w:cstheme="majorHAnsi"/>
        </w:rPr>
        <w:t xml:space="preserve"> </w:t>
      </w:r>
      <w:r w:rsidRPr="00E676E1">
        <w:rPr>
          <w:rFonts w:asciiTheme="majorHAnsi" w:hAnsiTheme="majorHAnsi" w:cstheme="majorHAnsi"/>
        </w:rPr>
        <w:t>th</w:t>
      </w:r>
      <w:r w:rsidR="00BA4811" w:rsidRPr="00E676E1">
        <w:rPr>
          <w:rFonts w:asciiTheme="majorHAnsi" w:hAnsiTheme="majorHAnsi" w:cstheme="majorHAnsi"/>
        </w:rPr>
        <w:t>is study</w:t>
      </w:r>
      <w:r w:rsidRPr="00E676E1">
        <w:rPr>
          <w:rFonts w:asciiTheme="majorHAnsi" w:hAnsiTheme="majorHAnsi" w:cstheme="majorHAnsi"/>
        </w:rPr>
        <w:t xml:space="preserve"> found </w:t>
      </w:r>
      <w:r w:rsidR="00911F26" w:rsidRPr="00E676E1">
        <w:rPr>
          <w:rFonts w:asciiTheme="majorHAnsi" w:hAnsiTheme="majorHAnsi" w:cstheme="majorHAnsi"/>
        </w:rPr>
        <w:t>prevalence</w:t>
      </w:r>
      <w:r w:rsidR="00F934C2" w:rsidRPr="00E676E1">
        <w:rPr>
          <w:rFonts w:asciiTheme="majorHAnsi" w:hAnsiTheme="majorHAnsi" w:cstheme="majorHAnsi"/>
        </w:rPr>
        <w:t xml:space="preserve"> f</w:t>
      </w:r>
      <w:r w:rsidRPr="00E676E1">
        <w:rPr>
          <w:rFonts w:asciiTheme="majorHAnsi" w:hAnsiTheme="majorHAnsi" w:cstheme="majorHAnsi"/>
        </w:rPr>
        <w:t>ell</w:t>
      </w:r>
      <w:r w:rsidR="00B8005D" w:rsidRPr="00E676E1">
        <w:rPr>
          <w:rFonts w:asciiTheme="majorHAnsi" w:hAnsiTheme="majorHAnsi" w:cstheme="majorHAnsi"/>
        </w:rPr>
        <w:t xml:space="preserve"> to 5.8-7.7 % </w:t>
      </w:r>
      <w:r w:rsidR="00047BF3" w:rsidRPr="00E676E1">
        <w:rPr>
          <w:rFonts w:asciiTheme="majorHAnsi" w:hAnsiTheme="majorHAnsi" w:cstheme="majorHAnsi"/>
        </w:rPr>
        <w:t>in the following year</w:t>
      </w:r>
      <w:r w:rsidR="00C43298" w:rsidRPr="00E676E1">
        <w:rPr>
          <w:rFonts w:asciiTheme="majorHAnsi" w:hAnsiTheme="majorHAnsi" w:cstheme="majorHAnsi"/>
        </w:rPr>
        <w:t xml:space="preserve">, </w:t>
      </w:r>
      <w:r w:rsidR="00B8005D" w:rsidRPr="00E676E1">
        <w:rPr>
          <w:rFonts w:asciiTheme="majorHAnsi" w:hAnsiTheme="majorHAnsi" w:cstheme="majorHAnsi"/>
        </w:rPr>
        <w:t>compared with a point prevalence 2-3% in controls.</w:t>
      </w:r>
      <w:r w:rsidR="00B8005D" w:rsidRPr="00E676E1">
        <w:rPr>
          <w:rFonts w:asciiTheme="majorHAnsi" w:hAnsiTheme="majorHAnsi" w:cstheme="majorHAnsi"/>
        </w:rPr>
        <w:fldChar w:fldCharType="begin"/>
      </w:r>
      <w:r w:rsidR="003910A3" w:rsidRPr="00E676E1">
        <w:rPr>
          <w:rFonts w:asciiTheme="majorHAnsi" w:hAnsiTheme="majorHAnsi" w:cstheme="majorHAnsi"/>
        </w:rPr>
        <w:instrText xml:space="preserve"> ADDIN ZOTERO_ITEM CSL_CITATION {"citationID":"Jj8KJPMV","properties":{"formattedCitation":"\\super 14\\nosupersub{}","plainCitation":"14","noteIndex":0},"citationItems":[{"id":2053,"uris":["http://zotero.org/users/5360735/items/UWWBC8PN"],"itemData":{"id":2053,"type":"article-journal","abstract":"OBJECTIVES: \n\nOpioids are commonly used in the treatment of pain and associated symptoms of inflammatory bowel disease (IBD). The continuous use of opioids has been associated with adverse outcomes, including death. The prevalence and the risk factors for opioid use in IBD are poorly characterized.\n\nMETHODS:\n\nWe used the population-based Manitoba IBD Epidemiology Database to identify all individuals in Manitoba with IBD who were prescribed opioids both before and following diagnosis. We determined the point prevalence of any opioid use, as well as the risk of becoming a heavy opioid user (defined as continuous use for 30 days at a dose exceeding 50 mg morphine/day or equivalent). Logistic regression and Cox proportional hazards models were generated to assess whether IBD was an independent risk factor for opioid use, the risk factors for opioid use in individuals with IBD, and to determine whether opioid use was associated with excess mortality in IBD.\n\nRESULTS:\n\nWithin 10 years of diagnosis, 5% of individuals with IBD had become heavy opioid users. Moderate use of opioids before diagnosis was strongly predictive of future heavy use. Individuals with IBD were significantly more likely to become heavy opioid users than their matched controls (odds ratio (OR) 2.91, 95% confidence interval (CI) 2.19–3.85). Heavy opioid use was strongly associated with mortality (OR 2.82, 95% CI 1.58–5.02).\n\nCONCLUSIONS:\n\nIBD is an independent risk factor for becoming a heavy opioid user, and heavy opioid use is associated with excess mortality in IBD patients. Clinicians should recognize risk factors for future heavy opioid use among their patients with IBD.","container-title":"Official journal of the American College of Gastroenterology | ACG","ISSN":"0002-9270","issue":"10","title":"The Prevalence and Predictors of Opioid Use in Inflammatory Bowel Disease: A Population-Based Analysis","URL":"https://journals.lww.com/ajg/Fulltext/2014/10000/The_Prevalence_and_Predictors_of_Opioid_Use_in.18.aspx","volume":"109","author":[{"family":"Targownik","given":"Laura E"},{"family":"Nugent","given":"Zoann"},{"family":"Singh","given":"Harminder"},{"family":"Bugden","given":"Shawn"},{"family":"Bernstein","given":"Charles N"}],"issued":{"date-parts":[["2014"]]}}}],"schema":"https://github.com/citation-style-language/schema/raw/master/csl-citation.json"} </w:instrText>
      </w:r>
      <w:r w:rsidR="00B8005D" w:rsidRPr="00E676E1">
        <w:rPr>
          <w:rFonts w:asciiTheme="majorHAnsi" w:hAnsiTheme="majorHAnsi" w:cstheme="majorHAnsi"/>
        </w:rPr>
        <w:fldChar w:fldCharType="separate"/>
      </w:r>
      <w:r w:rsidR="003910A3" w:rsidRPr="00E676E1">
        <w:rPr>
          <w:rFonts w:ascii="Calibri Light" w:hAnsiTheme="majorHAnsi" w:cs="Calibri Light"/>
          <w:vertAlign w:val="superscript"/>
        </w:rPr>
        <w:t>14</w:t>
      </w:r>
      <w:r w:rsidR="00B8005D" w:rsidRPr="00E676E1">
        <w:rPr>
          <w:rFonts w:asciiTheme="majorHAnsi" w:hAnsiTheme="majorHAnsi" w:cstheme="majorHAnsi"/>
        </w:rPr>
        <w:fldChar w:fldCharType="end"/>
      </w:r>
      <w:r w:rsidR="00B8005D" w:rsidRPr="00E676E1">
        <w:rPr>
          <w:rFonts w:asciiTheme="majorHAnsi" w:hAnsiTheme="majorHAnsi" w:cstheme="majorHAnsi"/>
        </w:rPr>
        <w:t xml:space="preserve">  </w:t>
      </w:r>
      <w:r w:rsidR="00F934C2" w:rsidRPr="00E676E1">
        <w:rPr>
          <w:rFonts w:asciiTheme="majorHAnsi" w:hAnsiTheme="majorHAnsi" w:cstheme="majorHAnsi"/>
        </w:rPr>
        <w:t xml:space="preserve">A far lower prevalence of 3.4% was reported by </w:t>
      </w:r>
      <w:r w:rsidR="00B8005D" w:rsidRPr="00E676E1">
        <w:rPr>
          <w:rFonts w:asciiTheme="majorHAnsi" w:hAnsiTheme="majorHAnsi" w:cstheme="majorHAnsi"/>
        </w:rPr>
        <w:t xml:space="preserve">Gao et al </w:t>
      </w:r>
      <w:r w:rsidR="007E4B84" w:rsidRPr="00E676E1">
        <w:rPr>
          <w:rFonts w:asciiTheme="majorHAnsi" w:hAnsiTheme="majorHAnsi" w:cstheme="majorHAnsi"/>
        </w:rPr>
        <w:t xml:space="preserve">for </w:t>
      </w:r>
      <w:r w:rsidR="00B8005D" w:rsidRPr="00E676E1">
        <w:rPr>
          <w:rFonts w:asciiTheme="majorHAnsi" w:hAnsiTheme="majorHAnsi" w:cstheme="majorHAnsi"/>
        </w:rPr>
        <w:t xml:space="preserve">IBD patients with more than 30 days’ </w:t>
      </w:r>
      <w:r w:rsidR="00AD71E5" w:rsidRPr="00E676E1">
        <w:rPr>
          <w:rFonts w:asciiTheme="majorHAnsi" w:hAnsiTheme="majorHAnsi" w:cstheme="majorHAnsi"/>
        </w:rPr>
        <w:t>opioid-exposure</w:t>
      </w:r>
      <w:r w:rsidR="00B8005D" w:rsidRPr="00E676E1">
        <w:rPr>
          <w:rFonts w:asciiTheme="majorHAnsi" w:hAnsiTheme="majorHAnsi" w:cstheme="majorHAnsi"/>
        </w:rPr>
        <w:t xml:space="preserve"> in a 5 year period.</w:t>
      </w:r>
      <w:r w:rsidR="00B8005D" w:rsidRPr="00E676E1">
        <w:rPr>
          <w:rFonts w:asciiTheme="majorHAnsi" w:hAnsiTheme="majorHAnsi" w:cstheme="majorHAnsi"/>
        </w:rPr>
        <w:fldChar w:fldCharType="begin"/>
      </w:r>
      <w:r w:rsidR="00491A6F" w:rsidRPr="00E676E1">
        <w:rPr>
          <w:rFonts w:asciiTheme="majorHAnsi" w:hAnsiTheme="majorHAnsi" w:cstheme="majorHAnsi"/>
        </w:rPr>
        <w:instrText xml:space="preserve"> ADDIN ZOTERO_ITEM CSL_CITATION {"citationID":"RGPVRalI","properties":{"formattedCitation":"\\super 21\\nosupersub{}","plainCitation":"21","noteIndex":0},"citationItems":[{"id":23983,"uris":["http://zotero.org/users/5360735/items/ZAJABH9K"],"itemData":{"id":23983,"type":"article-journal","container-title":"Intest Res","DOI":"10.5217/ir.2017.15.1.83","ISSN":"1598-9100","issue":"1","journalAbbreviation":"Intest Res","note":"publisher: Korean Association for the Study of Intestinal Diseases","page":"83-89","title":"Analysis of the clinical indications for opiate use in inflammatory bowel disease","volume":"15","author":[{"family":"Gao","given":"Youran"},{"family":"Khan","given":"Sundas"},{"family":"Akerman","given":"Meredith"},{"family":"Sultan","given":"Keith"}],"issued":{"date-parts":[["2017",1,31]]}}}],"schema":"https://github.com/citation-style-language/schema/raw/master/csl-citation.json"} </w:instrText>
      </w:r>
      <w:r w:rsidR="00B8005D" w:rsidRPr="00E676E1">
        <w:rPr>
          <w:rFonts w:asciiTheme="majorHAnsi" w:hAnsiTheme="majorHAnsi" w:cstheme="majorHAnsi"/>
        </w:rPr>
        <w:fldChar w:fldCharType="separate"/>
      </w:r>
      <w:r w:rsidR="00491A6F" w:rsidRPr="00E676E1">
        <w:rPr>
          <w:rFonts w:ascii="Calibri Light" w:hAnsiTheme="majorHAnsi" w:cs="Calibri Light"/>
          <w:vertAlign w:val="superscript"/>
        </w:rPr>
        <w:t>21</w:t>
      </w:r>
      <w:r w:rsidR="00B8005D" w:rsidRPr="00E676E1">
        <w:rPr>
          <w:rFonts w:asciiTheme="majorHAnsi" w:hAnsiTheme="majorHAnsi" w:cstheme="majorHAnsi"/>
        </w:rPr>
        <w:fldChar w:fldCharType="end"/>
      </w:r>
      <w:r w:rsidR="00B8005D" w:rsidRPr="00E676E1">
        <w:rPr>
          <w:rFonts w:asciiTheme="majorHAnsi" w:hAnsiTheme="majorHAnsi" w:cstheme="majorHAnsi"/>
        </w:rPr>
        <w:t xml:space="preserve"> One systematic review reported an overall prevalence</w:t>
      </w:r>
      <w:r w:rsidRPr="00E676E1">
        <w:rPr>
          <w:rFonts w:asciiTheme="majorHAnsi" w:hAnsiTheme="majorHAnsi" w:cstheme="majorHAnsi"/>
        </w:rPr>
        <w:t xml:space="preserve"> of </w:t>
      </w:r>
      <w:r w:rsidR="00AD71E5" w:rsidRPr="00E676E1">
        <w:rPr>
          <w:rFonts w:asciiTheme="majorHAnsi" w:hAnsiTheme="majorHAnsi" w:cstheme="majorHAnsi"/>
        </w:rPr>
        <w:t>opioid-</w:t>
      </w:r>
      <w:r w:rsidR="006A4851" w:rsidRPr="00E676E1">
        <w:rPr>
          <w:rFonts w:asciiTheme="majorHAnsi" w:hAnsiTheme="majorHAnsi" w:cstheme="majorHAnsi"/>
        </w:rPr>
        <w:t>use</w:t>
      </w:r>
      <w:r w:rsidR="00B8005D" w:rsidRPr="00E676E1">
        <w:rPr>
          <w:rFonts w:asciiTheme="majorHAnsi" w:hAnsiTheme="majorHAnsi" w:cstheme="majorHAnsi"/>
        </w:rPr>
        <w:t xml:space="preserve"> of 21% in IBD outpatients</w:t>
      </w:r>
      <w:r w:rsidRPr="00E676E1">
        <w:rPr>
          <w:rFonts w:asciiTheme="majorHAnsi" w:hAnsiTheme="majorHAnsi" w:cstheme="majorHAnsi"/>
        </w:rPr>
        <w:t>,</w:t>
      </w:r>
      <w:r w:rsidR="006F603F" w:rsidRPr="00E676E1">
        <w:rPr>
          <w:rFonts w:asciiTheme="majorHAnsi" w:hAnsiTheme="majorHAnsi" w:cstheme="majorHAnsi"/>
        </w:rPr>
        <w:t xml:space="preserve"> h</w:t>
      </w:r>
      <w:r w:rsidR="00B8005D" w:rsidRPr="00E676E1">
        <w:rPr>
          <w:rFonts w:asciiTheme="majorHAnsi" w:hAnsiTheme="majorHAnsi" w:cstheme="majorHAnsi"/>
        </w:rPr>
        <w:t xml:space="preserve">owever, there was significant heterogeneity in </w:t>
      </w:r>
      <w:r w:rsidR="00C43298" w:rsidRPr="00E676E1">
        <w:rPr>
          <w:rFonts w:asciiTheme="majorHAnsi" w:hAnsiTheme="majorHAnsi" w:cstheme="majorHAnsi"/>
        </w:rPr>
        <w:t xml:space="preserve">the </w:t>
      </w:r>
      <w:r w:rsidR="00B8005D" w:rsidRPr="00E676E1">
        <w:rPr>
          <w:rFonts w:asciiTheme="majorHAnsi" w:hAnsiTheme="majorHAnsi" w:cstheme="majorHAnsi"/>
        </w:rPr>
        <w:t xml:space="preserve">definitions of </w:t>
      </w:r>
      <w:r w:rsidR="00AD71E5" w:rsidRPr="00E676E1">
        <w:rPr>
          <w:rFonts w:asciiTheme="majorHAnsi" w:hAnsiTheme="majorHAnsi" w:cstheme="majorHAnsi"/>
        </w:rPr>
        <w:t>opioid-</w:t>
      </w:r>
      <w:r w:rsidR="006A4851" w:rsidRPr="00E676E1">
        <w:rPr>
          <w:rFonts w:asciiTheme="majorHAnsi" w:hAnsiTheme="majorHAnsi" w:cstheme="majorHAnsi"/>
        </w:rPr>
        <w:t>use</w:t>
      </w:r>
      <w:r w:rsidR="00B8005D" w:rsidRPr="00E676E1">
        <w:rPr>
          <w:rFonts w:asciiTheme="majorHAnsi" w:hAnsiTheme="majorHAnsi" w:cstheme="majorHAnsi"/>
        </w:rPr>
        <w:t>, and most studies were conducted in North America.</w:t>
      </w:r>
      <w:r w:rsidR="00B8005D" w:rsidRPr="00E676E1">
        <w:rPr>
          <w:rFonts w:asciiTheme="majorHAnsi" w:hAnsiTheme="majorHAnsi" w:cstheme="majorHAnsi"/>
        </w:rPr>
        <w:fldChar w:fldCharType="begin"/>
      </w:r>
      <w:r w:rsidR="00491A6F" w:rsidRPr="00E676E1">
        <w:rPr>
          <w:rFonts w:asciiTheme="majorHAnsi" w:hAnsiTheme="majorHAnsi" w:cstheme="majorHAnsi"/>
        </w:rPr>
        <w:instrText xml:space="preserve"> ADDIN ZOTERO_ITEM CSL_CITATION {"citationID":"4V7ameKF","properties":{"formattedCitation":"\\super 22\\nosupersub{}","plainCitation":"22","noteIndex":0},"citationItems":[{"id":1974,"uris":["http://zotero.org/users/5360735/items/Z6ND4KPU"],"itemData":{"id":1974,"type":"article-journal","abstract":"Background and Aims\nDespite reported adverse effects of opioids in patients with inflammatory bowel disease (IBD), the burden of opioid use in this population appears to be high. We performed a systematic review and meta-analysis of prior studies to determine the prevalence of opioid use among patients with IBD as well as risk factors and outcomes associated with opioid use in this population.\nMethods\nWe conducted a systematic search of MEDLINE, Embase, Web of Science, and the Cochrane Library through November of 2019. Primary outcomes included the prevalence of opioid use and demographic and clinical variables associated with opioid use in patients with IBD. Quality was assessed using the Newcastle-Ottawa scale. We used random-effect meta-analysis to estimate pooled relative risks (RRs) and 95% CIs.\nResults\nOf 780 citations identified, 31 were included in our study. The prevalence of opioid use was 21% (95% CI, 13%-30%) in the outpatient setting. Likewise, 62% (95% CI, 25%-92%) of patients received opioids while hospitalized for IBD. Opioid use was associated with female sex (RR 1.20; 95% CI 1.03-1.40), depression (1.99; 95% CI 1.80-2.19), substance abuse (4.67; 95% CI 2.87-7.60), prior gastrointestinal surgery (2.33; 95% CI 1.66-3.26), biologic use (1.36; 95% CI 1.06-1.74), and steroid use (1.41; 95% CI 1.04-1.91). Based on the systematic review, opioid use also appeared to be associated with increased IBD activity, healthcare use, infection, and mortality.\nConclusion\nIn a systematic review and meta-analysis, we found that 21% of outpatients with IBD (and 62% of hospitalized patients) are opioid users; use is associated with more severe IBD and increased healthcare use. Further studies are required to determine whether opioids are the cause or an effect of these associations. Nonetheless, urgent interventions are needed to reduce opioid use, improve disease-related outcomes and reduce healthcare costs.","container-title":"Clinical Gastroenterology and Hepatology","DOI":"10.1016/j.cgh.2020.08.041","ISSN":"1542-3565","issue":"5","journalAbbreviation":"Clinical Gastroenterology and Hepatology","page":"895-907.e4","title":"Opioid Use Among Patients With Inflammatory Bowel Disease: A Systematic Review and Meta-analysis","volume":"19","author":[{"family":"Niccum","given":"Blake"},{"family":"Moninuola","given":"Oluwatoba"},{"family":"Miller","given":"Kaia"},{"family":"Khalili","given":"Hamed"}],"issued":{"date-parts":[["2021",5,1]]}}}],"schema":"https://github.com/citation-style-language/schema/raw/master/csl-citation.json"} </w:instrText>
      </w:r>
      <w:r w:rsidR="00B8005D" w:rsidRPr="00E676E1">
        <w:rPr>
          <w:rFonts w:asciiTheme="majorHAnsi" w:hAnsiTheme="majorHAnsi" w:cstheme="majorHAnsi"/>
        </w:rPr>
        <w:fldChar w:fldCharType="separate"/>
      </w:r>
      <w:r w:rsidR="00491A6F" w:rsidRPr="00E676E1">
        <w:rPr>
          <w:rFonts w:ascii="Calibri Light" w:hAnsiTheme="majorHAnsi" w:cs="Calibri Light"/>
          <w:vertAlign w:val="superscript"/>
        </w:rPr>
        <w:t>22</w:t>
      </w:r>
      <w:r w:rsidR="00B8005D" w:rsidRPr="00E676E1">
        <w:rPr>
          <w:rFonts w:asciiTheme="majorHAnsi" w:hAnsiTheme="majorHAnsi" w:cstheme="majorHAnsi"/>
        </w:rPr>
        <w:fldChar w:fldCharType="end"/>
      </w:r>
      <w:r w:rsidR="00B8005D" w:rsidRPr="00E676E1">
        <w:rPr>
          <w:rFonts w:asciiTheme="majorHAnsi" w:hAnsiTheme="majorHAnsi" w:cstheme="majorHAnsi"/>
        </w:rPr>
        <w:t xml:space="preserve"> </w:t>
      </w:r>
      <w:r w:rsidRPr="00E676E1">
        <w:rPr>
          <w:rFonts w:asciiTheme="majorHAnsi" w:hAnsiTheme="majorHAnsi" w:cstheme="majorHAnsi"/>
        </w:rPr>
        <w:t>D</w:t>
      </w:r>
      <w:r w:rsidR="00B8005D" w:rsidRPr="00E676E1">
        <w:rPr>
          <w:rFonts w:asciiTheme="majorHAnsi" w:hAnsiTheme="majorHAnsi" w:cstheme="majorHAnsi"/>
        </w:rPr>
        <w:t xml:space="preserve">ifferences in </w:t>
      </w:r>
      <w:r w:rsidR="00AD71E5" w:rsidRPr="00E676E1">
        <w:rPr>
          <w:rFonts w:asciiTheme="majorHAnsi" w:hAnsiTheme="majorHAnsi" w:cstheme="majorHAnsi"/>
        </w:rPr>
        <w:t>opioid-</w:t>
      </w:r>
      <w:r w:rsidR="006A4851" w:rsidRPr="00E676E1">
        <w:rPr>
          <w:rFonts w:asciiTheme="majorHAnsi" w:hAnsiTheme="majorHAnsi" w:cstheme="majorHAnsi"/>
        </w:rPr>
        <w:t>use</w:t>
      </w:r>
      <w:r w:rsidR="006A4851" w:rsidRPr="00E676E1" w:rsidDel="006A4851">
        <w:rPr>
          <w:rFonts w:asciiTheme="majorHAnsi" w:hAnsiTheme="majorHAnsi" w:cstheme="majorHAnsi"/>
        </w:rPr>
        <w:t xml:space="preserve"> </w:t>
      </w:r>
      <w:r w:rsidR="00B8005D" w:rsidRPr="00E676E1">
        <w:rPr>
          <w:rFonts w:asciiTheme="majorHAnsi" w:hAnsiTheme="majorHAnsi" w:cstheme="majorHAnsi"/>
        </w:rPr>
        <w:t>and prescribing patterns</w:t>
      </w:r>
      <w:r w:rsidR="00C43298" w:rsidRPr="00E676E1">
        <w:rPr>
          <w:rFonts w:asciiTheme="majorHAnsi" w:hAnsiTheme="majorHAnsi" w:cstheme="majorHAnsi"/>
        </w:rPr>
        <w:t xml:space="preserve"> </w:t>
      </w:r>
      <w:r w:rsidR="006A5FB9" w:rsidRPr="00E676E1">
        <w:rPr>
          <w:rFonts w:asciiTheme="majorHAnsi" w:hAnsiTheme="majorHAnsi" w:cstheme="majorHAnsi"/>
        </w:rPr>
        <w:t>between</w:t>
      </w:r>
      <w:r w:rsidR="00C43298" w:rsidRPr="00E676E1">
        <w:rPr>
          <w:rFonts w:asciiTheme="majorHAnsi" w:hAnsiTheme="majorHAnsi" w:cstheme="majorHAnsi"/>
        </w:rPr>
        <w:t xml:space="preserve"> </w:t>
      </w:r>
      <w:r w:rsidR="00421A2B" w:rsidRPr="00E676E1">
        <w:rPr>
          <w:rFonts w:asciiTheme="majorHAnsi" w:hAnsiTheme="majorHAnsi" w:cstheme="majorHAnsi"/>
        </w:rPr>
        <w:t>the USA</w:t>
      </w:r>
      <w:r w:rsidRPr="00E676E1">
        <w:rPr>
          <w:rFonts w:asciiTheme="majorHAnsi" w:hAnsiTheme="majorHAnsi" w:cstheme="majorHAnsi"/>
        </w:rPr>
        <w:t xml:space="preserve"> </w:t>
      </w:r>
      <w:r w:rsidR="00421A2B" w:rsidRPr="00E676E1">
        <w:rPr>
          <w:rFonts w:asciiTheme="majorHAnsi" w:hAnsiTheme="majorHAnsi" w:cstheme="majorHAnsi"/>
        </w:rPr>
        <w:t xml:space="preserve">and </w:t>
      </w:r>
      <w:r w:rsidR="00C43298" w:rsidRPr="00E676E1">
        <w:rPr>
          <w:rFonts w:asciiTheme="majorHAnsi" w:hAnsiTheme="majorHAnsi" w:cstheme="majorHAnsi"/>
        </w:rPr>
        <w:t xml:space="preserve">the UK </w:t>
      </w:r>
      <w:r w:rsidR="007E4B84" w:rsidRPr="00E676E1">
        <w:rPr>
          <w:rFonts w:asciiTheme="majorHAnsi" w:hAnsiTheme="majorHAnsi" w:cstheme="majorHAnsi"/>
        </w:rPr>
        <w:t>mean that</w:t>
      </w:r>
      <w:r w:rsidR="006A5FB9" w:rsidRPr="00E676E1">
        <w:rPr>
          <w:rFonts w:asciiTheme="majorHAnsi" w:hAnsiTheme="majorHAnsi" w:cstheme="majorHAnsi"/>
        </w:rPr>
        <w:t xml:space="preserve"> th</w:t>
      </w:r>
      <w:r w:rsidR="00421A2B" w:rsidRPr="00E676E1">
        <w:rPr>
          <w:rFonts w:asciiTheme="majorHAnsi" w:hAnsiTheme="majorHAnsi" w:cstheme="majorHAnsi"/>
        </w:rPr>
        <w:t>is review</w:t>
      </w:r>
      <w:r w:rsidR="007850F2" w:rsidRPr="00E676E1">
        <w:rPr>
          <w:rFonts w:asciiTheme="majorHAnsi" w:hAnsiTheme="majorHAnsi" w:cstheme="majorHAnsi"/>
        </w:rPr>
        <w:t xml:space="preserve">’s </w:t>
      </w:r>
      <w:r w:rsidR="00421A2B" w:rsidRPr="00E676E1">
        <w:rPr>
          <w:rFonts w:asciiTheme="majorHAnsi" w:hAnsiTheme="majorHAnsi" w:cstheme="majorHAnsi"/>
        </w:rPr>
        <w:t xml:space="preserve">findings </w:t>
      </w:r>
      <w:r w:rsidR="006A5FB9" w:rsidRPr="00E676E1">
        <w:rPr>
          <w:rFonts w:asciiTheme="majorHAnsi" w:hAnsiTheme="majorHAnsi" w:cstheme="majorHAnsi"/>
        </w:rPr>
        <w:t>d</w:t>
      </w:r>
      <w:r w:rsidR="00421A2B" w:rsidRPr="00E676E1">
        <w:rPr>
          <w:rFonts w:asciiTheme="majorHAnsi" w:hAnsiTheme="majorHAnsi" w:cstheme="majorHAnsi"/>
        </w:rPr>
        <w:t xml:space="preserve">o </w:t>
      </w:r>
      <w:r w:rsidR="006A5FB9" w:rsidRPr="00E676E1">
        <w:rPr>
          <w:rFonts w:asciiTheme="majorHAnsi" w:hAnsiTheme="majorHAnsi" w:cstheme="majorHAnsi"/>
        </w:rPr>
        <w:t>not necessarily reflect</w:t>
      </w:r>
      <w:r w:rsidR="00421A2B" w:rsidRPr="00E676E1">
        <w:rPr>
          <w:rFonts w:asciiTheme="majorHAnsi" w:hAnsiTheme="majorHAnsi" w:cstheme="majorHAnsi"/>
        </w:rPr>
        <w:t xml:space="preserve"> opioid use in the </w:t>
      </w:r>
      <w:r w:rsidR="007E4B84" w:rsidRPr="00E676E1">
        <w:rPr>
          <w:rFonts w:asciiTheme="majorHAnsi" w:hAnsiTheme="majorHAnsi" w:cstheme="majorHAnsi"/>
        </w:rPr>
        <w:t>UK</w:t>
      </w:r>
      <w:r w:rsidR="00421A2B" w:rsidRPr="00E676E1">
        <w:rPr>
          <w:rFonts w:asciiTheme="majorHAnsi" w:hAnsiTheme="majorHAnsi" w:cstheme="majorHAnsi"/>
        </w:rPr>
        <w:t>. This is confirmed by a</w:t>
      </w:r>
      <w:r w:rsidR="006A5FB9" w:rsidRPr="00E676E1">
        <w:rPr>
          <w:rFonts w:asciiTheme="majorHAnsi" w:hAnsiTheme="majorHAnsi" w:cstheme="majorHAnsi"/>
        </w:rPr>
        <w:t xml:space="preserve"> study</w:t>
      </w:r>
      <w:r w:rsidR="00C43298" w:rsidRPr="00E676E1">
        <w:rPr>
          <w:rFonts w:asciiTheme="majorHAnsi" w:hAnsiTheme="majorHAnsi" w:cstheme="majorHAnsi"/>
        </w:rPr>
        <w:t xml:space="preserve"> comparing</w:t>
      </w:r>
      <w:r w:rsidR="00421A2B" w:rsidRPr="00E676E1">
        <w:rPr>
          <w:rFonts w:asciiTheme="majorHAnsi" w:hAnsiTheme="majorHAnsi" w:cstheme="majorHAnsi"/>
        </w:rPr>
        <w:t xml:space="preserve"> the yearly prevalence of opioid</w:t>
      </w:r>
      <w:r w:rsidR="007850F2" w:rsidRPr="00E676E1">
        <w:rPr>
          <w:rFonts w:asciiTheme="majorHAnsi" w:hAnsiTheme="majorHAnsi" w:cstheme="majorHAnsi"/>
        </w:rPr>
        <w:t>-</w:t>
      </w:r>
      <w:r w:rsidR="006A4851" w:rsidRPr="00E676E1">
        <w:rPr>
          <w:rFonts w:asciiTheme="majorHAnsi" w:hAnsiTheme="majorHAnsi" w:cstheme="majorHAnsi"/>
        </w:rPr>
        <w:t>use</w:t>
      </w:r>
      <w:r w:rsidR="007850F2" w:rsidRPr="00E676E1">
        <w:rPr>
          <w:rFonts w:asciiTheme="majorHAnsi" w:hAnsiTheme="majorHAnsi" w:cstheme="majorHAnsi"/>
        </w:rPr>
        <w:t xml:space="preserve"> </w:t>
      </w:r>
      <w:r w:rsidR="00421A2B" w:rsidRPr="00E676E1">
        <w:rPr>
          <w:rFonts w:asciiTheme="majorHAnsi" w:hAnsiTheme="majorHAnsi" w:cstheme="majorHAnsi"/>
        </w:rPr>
        <w:t xml:space="preserve">among non-cancer patients in the </w:t>
      </w:r>
      <w:r w:rsidR="00B8005D" w:rsidRPr="00E676E1">
        <w:rPr>
          <w:rFonts w:asciiTheme="majorHAnsi" w:hAnsiTheme="majorHAnsi" w:cstheme="majorHAnsi"/>
        </w:rPr>
        <w:t xml:space="preserve">USA, Canada, Taiwan and UK </w:t>
      </w:r>
      <w:r w:rsidR="006A5FB9" w:rsidRPr="00E676E1">
        <w:rPr>
          <w:rFonts w:asciiTheme="majorHAnsi" w:hAnsiTheme="majorHAnsi" w:cstheme="majorHAnsi"/>
        </w:rPr>
        <w:t xml:space="preserve">which </w:t>
      </w:r>
      <w:r w:rsidR="00421A2B" w:rsidRPr="00E676E1">
        <w:rPr>
          <w:rFonts w:asciiTheme="majorHAnsi" w:hAnsiTheme="majorHAnsi" w:cstheme="majorHAnsi"/>
        </w:rPr>
        <w:t xml:space="preserve">ranged </w:t>
      </w:r>
      <w:r w:rsidR="006A5FB9" w:rsidRPr="00E676E1">
        <w:rPr>
          <w:rFonts w:asciiTheme="majorHAnsi" w:hAnsiTheme="majorHAnsi" w:cstheme="majorHAnsi"/>
        </w:rPr>
        <w:t xml:space="preserve">from </w:t>
      </w:r>
      <w:r w:rsidR="00B8005D" w:rsidRPr="00E676E1">
        <w:rPr>
          <w:rFonts w:asciiTheme="majorHAnsi" w:hAnsiTheme="majorHAnsi" w:cstheme="majorHAnsi"/>
        </w:rPr>
        <w:t>1.8-6.6%</w:t>
      </w:r>
      <w:r w:rsidR="00AD71E5" w:rsidRPr="00E676E1">
        <w:rPr>
          <w:rFonts w:asciiTheme="majorHAnsi" w:hAnsiTheme="majorHAnsi" w:cstheme="majorHAnsi"/>
        </w:rPr>
        <w:t>.</w:t>
      </w:r>
      <w:r w:rsidR="00B8005D" w:rsidRPr="00E676E1">
        <w:rPr>
          <w:rFonts w:asciiTheme="majorHAnsi" w:hAnsiTheme="majorHAnsi" w:cstheme="majorHAnsi"/>
        </w:rPr>
        <w:fldChar w:fldCharType="begin"/>
      </w:r>
      <w:r w:rsidR="003910A3" w:rsidRPr="00E676E1">
        <w:rPr>
          <w:rFonts w:asciiTheme="majorHAnsi" w:hAnsiTheme="majorHAnsi" w:cstheme="majorHAnsi"/>
        </w:rPr>
        <w:instrText xml:space="preserve"> ADDIN ZOTERO_ITEM CSL_CITATION {"citationID":"VmpBmzlG","properties":{"formattedCitation":"\\super 10\\nosupersub{}","plainCitation":"10","noteIndex":0},"citationItems":[{"id":17141,"uris":["http://zotero.org/users/5360735/items/34XD2JM2"],"itemData":{"id":17141,"type":"article-journal","abstract":"Using population-based cohorts in North America, UK and Taiwan, Dr. Meghna Jani and colleagues describe opioid prescribing rates in patients with non-cancer pain who are using opioids for the first time.","container-title":"PLOS Medicine","DOI":"10.1371/journal.pmed.1003829","issue":"11","journalAbbreviation":"PLOS Medicine","note":"publisher: Public Library of Science","page":"e1003829","title":"Opioid prescribing among new users for non-cancer pain in the USA, Canada, UK, and Taiwan: A population-based cohort study","volume":"18","author":[{"family":"Jani","given":"Meghna"},{"family":"Girard","given":"Nadyne"},{"family":"Bates","given":"David W."},{"family":"Buckeridge","given":"David L."},{"family":"Sheppard","given":"Therese"},{"family":"Li","given":"Jack"},{"family":"Iqbal","given":"Usman"},{"family":"Vik","given":"Shelly"},{"family":"Weaver","given":"Colin"},{"family":"Seidel","given":"Judy"},{"family":"Dixon","given":"William G."},{"family":"Tamblyn","given":"Robyn"}],"issued":{"date-parts":[["2021",11,1]]}}}],"schema":"https://github.com/citation-style-language/schema/raw/master/csl-citation.json"} </w:instrText>
      </w:r>
      <w:r w:rsidR="00B8005D" w:rsidRPr="00E676E1">
        <w:rPr>
          <w:rFonts w:asciiTheme="majorHAnsi" w:hAnsiTheme="majorHAnsi" w:cstheme="majorHAnsi"/>
        </w:rPr>
        <w:fldChar w:fldCharType="separate"/>
      </w:r>
      <w:r w:rsidR="003910A3" w:rsidRPr="00E676E1">
        <w:rPr>
          <w:rFonts w:ascii="Calibri Light" w:hAnsiTheme="majorHAnsi" w:cs="Calibri Light"/>
          <w:vertAlign w:val="superscript"/>
        </w:rPr>
        <w:t>10</w:t>
      </w:r>
      <w:r w:rsidR="00B8005D" w:rsidRPr="00E676E1">
        <w:rPr>
          <w:rFonts w:asciiTheme="majorHAnsi" w:hAnsiTheme="majorHAnsi" w:cstheme="majorHAnsi"/>
        </w:rPr>
        <w:fldChar w:fldCharType="end"/>
      </w:r>
      <w:r w:rsidR="00B8005D" w:rsidRPr="00E676E1">
        <w:rPr>
          <w:rStyle w:val="CommentReference"/>
        </w:rPr>
        <w:t xml:space="preserve">  </w:t>
      </w:r>
    </w:p>
    <w:p w14:paraId="522245FB" w14:textId="3FDB951F" w:rsidR="009E2E68" w:rsidRPr="00E676E1" w:rsidRDefault="009E2E68" w:rsidP="00A8493F">
      <w:pPr>
        <w:spacing w:line="480" w:lineRule="auto"/>
        <w:rPr>
          <w:rFonts w:asciiTheme="majorHAnsi" w:hAnsiTheme="majorHAnsi" w:cstheme="majorHAnsi"/>
          <w:i/>
          <w:iCs/>
          <w:color w:val="000000" w:themeColor="text1"/>
          <w:sz w:val="28"/>
          <w:szCs w:val="28"/>
        </w:rPr>
      </w:pPr>
      <w:r w:rsidRPr="00E676E1">
        <w:rPr>
          <w:rFonts w:asciiTheme="majorHAnsi" w:hAnsiTheme="majorHAnsi" w:cstheme="majorHAnsi"/>
          <w:i/>
          <w:iCs/>
          <w:color w:val="000000" w:themeColor="text1"/>
          <w:sz w:val="28"/>
          <w:szCs w:val="28"/>
        </w:rPr>
        <w:lastRenderedPageBreak/>
        <w:t xml:space="preserve">Strengths </w:t>
      </w:r>
      <w:r w:rsidRPr="00426563">
        <w:rPr>
          <w:rFonts w:asciiTheme="majorHAnsi" w:hAnsiTheme="majorHAnsi" w:cstheme="majorHAnsi"/>
          <w:i/>
          <w:iCs/>
          <w:color w:val="000000" w:themeColor="text1"/>
          <w:sz w:val="28"/>
          <w:szCs w:val="28"/>
        </w:rPr>
        <w:t>and limitations</w:t>
      </w:r>
    </w:p>
    <w:p w14:paraId="222E5517" w14:textId="0EF0B1C2" w:rsidR="00592F42" w:rsidRPr="00E676E1" w:rsidRDefault="00592F42" w:rsidP="00B6159F">
      <w:pPr>
        <w:spacing w:line="480" w:lineRule="auto"/>
        <w:rPr>
          <w:rFonts w:asciiTheme="majorHAnsi" w:hAnsiTheme="majorHAnsi" w:cstheme="majorHAnsi"/>
          <w:color w:val="000000" w:themeColor="text1"/>
          <w:sz w:val="22"/>
          <w:szCs w:val="22"/>
        </w:rPr>
      </w:pPr>
      <w:r w:rsidRPr="00E676E1">
        <w:rPr>
          <w:rFonts w:ascii="Calibri Light" w:hAnsi="Calibri Light" w:cs="Calibri Light"/>
          <w:color w:val="000000" w:themeColor="text1"/>
          <w:bdr w:val="none" w:sz="0" w:space="0" w:color="auto" w:frame="1"/>
          <w:shd w:val="clear" w:color="auto" w:fill="FFFFFF"/>
        </w:rPr>
        <w:t>Our study is the first contemporary review of current opioid-</w:t>
      </w:r>
      <w:r w:rsidR="006A4851" w:rsidRPr="00E676E1">
        <w:rPr>
          <w:rFonts w:asciiTheme="majorHAnsi" w:hAnsiTheme="majorHAnsi" w:cstheme="majorHAnsi"/>
          <w:color w:val="000000" w:themeColor="text1"/>
        </w:rPr>
        <w:t>use</w:t>
      </w:r>
      <w:r w:rsidRPr="00E676E1">
        <w:rPr>
          <w:rFonts w:ascii="Calibri Light" w:hAnsi="Calibri Light" w:cs="Calibri Light"/>
          <w:color w:val="000000" w:themeColor="text1"/>
          <w:bdr w:val="none" w:sz="0" w:space="0" w:color="auto" w:frame="1"/>
          <w:shd w:val="clear" w:color="auto" w:fill="FFFFFF"/>
        </w:rPr>
        <w:t> among IBD patients in the UK since the publication of NICE and intercollegiate pain guidelines</w:t>
      </w:r>
      <w:r w:rsidR="00EC7611" w:rsidRPr="00E676E1">
        <w:rPr>
          <w:rFonts w:ascii="Calibri Light" w:hAnsi="Calibri Light" w:cs="Calibri Light"/>
          <w:color w:val="000000" w:themeColor="text1"/>
          <w:bdr w:val="none" w:sz="0" w:space="0" w:color="auto" w:frame="1"/>
          <w:shd w:val="clear" w:color="auto" w:fill="FFFFFF"/>
        </w:rPr>
        <w:t>.</w:t>
      </w:r>
      <w:r w:rsidR="00EC7611" w:rsidRPr="00E676E1">
        <w:rPr>
          <w:rFonts w:ascii="Calibri Light" w:hAnsi="Calibri Light" w:cs="Calibri Light"/>
          <w:color w:val="000000" w:themeColor="text1"/>
          <w:bdr w:val="none" w:sz="0" w:space="0" w:color="auto" w:frame="1"/>
          <w:shd w:val="clear" w:color="auto" w:fill="FFFFFF"/>
        </w:rPr>
        <w:fldChar w:fldCharType="begin"/>
      </w:r>
      <w:r w:rsidR="00EC7611" w:rsidRPr="00E676E1">
        <w:rPr>
          <w:rFonts w:ascii="Calibri Light" w:hAnsi="Calibri Light" w:cs="Calibri Light"/>
          <w:color w:val="000000" w:themeColor="text1"/>
          <w:bdr w:val="none" w:sz="0" w:space="0" w:color="auto" w:frame="1"/>
          <w:shd w:val="clear" w:color="auto" w:fill="FFFFFF"/>
        </w:rPr>
        <w:instrText xml:space="preserve"> ADDIN ZOTERO_ITEM CSL_CITATION {"citationID":"V7k7fnp2","properties":{"formattedCitation":"\\super 2,7\\uc0\\u8211{}9\\nosupersub{}","plainCitation":"2,7–9","noteIndex":0},"citationItems":[{"id":17055,"uris":["http://zotero.org/users/5360735/items/IQSI9D9G"],"itemData":{"id":17055,"type":"document","title":"The effectiveness of opioids for long term pain. Opioids Aware.","URL":"https://www.fpm.ac.uk/opioids-aware-clinical-use-opioids/opioids-long-term-pain","author":[{"family":"","given":"Faculty of Pain Medicine."}],"accessed":{"date-parts":[["2022",8,5]]}}},{"id":18,"uris":["http://zotero.org/users/5360735/items/I9L48GAR"],"itemData":{"id":18,"type":"article-journal","abstract":"Ulcerative colitis and Crohn’s disease are the principal forms of inflammatory bowel disease. Both represent chronic inflammation of the gastrointestinal tract, which displays heterogeneity in inflammatory and symptomatic burden between patients and within individuals over time. Optimal management relies on understanding and tailoring evidence-based interventions by clinicians in partnership with patients. This guideline for management of inflammatory bowel disease in adults over 16 years of age was developed by Stakeholders representing UK physicians (British Society of Gastroenterology), surgeons (Association of Coloproctology of Great Britain and Ireland), specialist nurses (Royal College of Nursing), paediatricians (British Society of Paediatric Gastroenterology, Hepatology and Nutrition), dietitians (British Dietetic Association), radiologists (British Society of Gastrointestinal and Abdominal Radiology), general practitioners (Primary Care Society for Gastroenterology) and patients (Crohn’s and Colitis UK). A systematic review of 88 247 publications and a Delphi consensus process involving 81 multidisciplinary clinicians and patients was undertaken to develop 168 evidence- and expert opinion-based recommendations for pharmacological, non-pharmacological and surgical interventions, as well as optimal service delivery in the management of both ulcerative colitis and Crohn’s disease. Comprehensive up-to-date guidance is provided regarding indications for, initiation and monitoring of immunosuppressive therapies, nutrition interventions, pre-, peri- and postoperative management, as well as structure and function of the multidisciplinary team and integration between primary and secondary care. Twenty research priorities to inform future clinical management are presented, alongside objective measurement of priority importance, determined by 2379 electronic survey responses from individuals living with ulcerative colitis and Crohn’s disease, including patients, their families and friends.","container-title":"Gut","DOI":"10.1136/gutjnl-2019-318484","issue":"Suppl 3","journalAbbreviation":"Gut","page":"s1","title":"British Society of Gastroenterology consensus guidelines on the management of inflammatory bowel disease in adults","volume":"68","author":[{"family":"Lamb","given":"Christopher Andrew"},{"family":"Kennedy","given":"Nicholas A"},{"family":"Raine","given":"Tim"},{"family":"Hendy","given":"Philip Anthony"},{"family":"Smith","given":"Philip J"},{"family":"Limdi","given":"Jimmy K"},{"family":"Hayee","given":"Bu’Hussain"},{"family":"Lomer","given":"Miranda C E"},{"family":"Parkes","given":"Gareth C"},{"family":"Selinger","given":"Christian"},{"family":"Barrett","given":"Kevin J"},{"family":"Davies","given":"R Justin"},{"family":"Bennett","given":"Cathy"},{"family":"Gittens","given":"Stuart"},{"family":"Dunlop","given":"Malcolm G"},{"family":"Faiz","given":"Omar"},{"family":"Fraser","given":"Aileen"},{"family":"Garrick","given":"Vikki"},{"family":"Johnston","given":"Paul D"},{"family":"Parkes","given":"Miles"},{"family":"Sanderson","given":"Jeremy"},{"family":"Terry","given":"Helen"},{"literal":"IBD guidelines eDelphi consensus group"},{"family":"Gaya","given":"Daniel R"},{"family":"Iqbal","given":"Tariq H"},{"family":"Taylor","given":"Stuart A"},{"family":"Smith","given":"Melissa"},{"family":"Brookes","given":"Matthew"},{"family":"Hansen","given":"Richard"},{"family":"Hawthorne","given":"A Barney"}],"issued":{"date-parts":[["2019",12,1]]}}},{"id":20,"uris":["http://zotero.org/users/5360735/items/GP8LZJPD"],"itemData":{"id":20,"type":"document","title":"Surgery and Opioids: Best Practice Guidelines 2021","author":[{"family":"Faculty of Pain Medicine","given":""}],"issued":{"date-parts":[["2021",3]]}}},{"id":2043,"uris":["http://zotero.org/users/5360735/items/MSUDFGHA"],"itemData":{"id":2043,"type":"report","publisher":"National Institute for Health and Care Excellence","title":"Chronic pain (primary and secondary) in over sixteens: assessment of all chronic pain and management of chronic primary pain","URL":"https://www.nice.org.uk/guidance/ng193","issued":{"date-parts":[["2021",4,7]]}}}],"schema":"https://github.com/citation-style-language/schema/raw/master/csl-citation.json"} </w:instrText>
      </w:r>
      <w:r w:rsidR="00EC7611" w:rsidRPr="00E676E1">
        <w:rPr>
          <w:rFonts w:ascii="Calibri Light" w:hAnsi="Calibri Light" w:cs="Calibri Light"/>
          <w:color w:val="000000" w:themeColor="text1"/>
          <w:bdr w:val="none" w:sz="0" w:space="0" w:color="auto" w:frame="1"/>
          <w:shd w:val="clear" w:color="auto" w:fill="FFFFFF"/>
        </w:rPr>
        <w:fldChar w:fldCharType="separate"/>
      </w:r>
      <w:r w:rsidR="00EC7611" w:rsidRPr="00E676E1">
        <w:rPr>
          <w:rFonts w:ascii="Calibri Light" w:hAnsi="Calibri Light" w:cs="Calibri Light"/>
          <w:color w:val="000000" w:themeColor="text1"/>
          <w:vertAlign w:val="superscript"/>
        </w:rPr>
        <w:t>2,7–9</w:t>
      </w:r>
      <w:r w:rsidR="00EC7611" w:rsidRPr="00E676E1">
        <w:rPr>
          <w:rFonts w:ascii="Calibri Light" w:hAnsi="Calibri Light" w:cs="Calibri Light"/>
          <w:color w:val="000000" w:themeColor="text1"/>
          <w:bdr w:val="none" w:sz="0" w:space="0" w:color="auto" w:frame="1"/>
          <w:shd w:val="clear" w:color="auto" w:fill="FFFFFF"/>
        </w:rPr>
        <w:fldChar w:fldCharType="end"/>
      </w:r>
      <w:r w:rsidR="00EC7611" w:rsidRPr="00E676E1">
        <w:rPr>
          <w:rFonts w:ascii="Calibri Light" w:hAnsi="Calibri Light" w:cs="Calibri Light"/>
          <w:color w:val="000000" w:themeColor="text1"/>
          <w:sz w:val="10"/>
          <w:szCs w:val="10"/>
          <w:bdr w:val="none" w:sz="0" w:space="0" w:color="auto" w:frame="1"/>
        </w:rPr>
        <w:t xml:space="preserve"> </w:t>
      </w:r>
      <w:r w:rsidRPr="00E676E1">
        <w:rPr>
          <w:rFonts w:ascii="Calibri Light" w:hAnsi="Calibri Light" w:cs="Calibri Light"/>
          <w:color w:val="000000" w:themeColor="text1"/>
          <w:sz w:val="10"/>
          <w:szCs w:val="10"/>
          <w:bdr w:val="none" w:sz="0" w:space="0" w:color="auto" w:frame="1"/>
          <w:vertAlign w:val="superscript"/>
        </w:rPr>
        <w:t>9</w:t>
      </w:r>
      <w:r w:rsidRPr="00E676E1">
        <w:rPr>
          <w:rFonts w:ascii="Calibri Light" w:hAnsi="Calibri Light" w:cs="Calibri Light"/>
          <w:color w:val="000000" w:themeColor="text1"/>
          <w:bdr w:val="none" w:sz="0" w:space="0" w:color="auto" w:frame="1"/>
          <w:shd w:val="clear" w:color="auto" w:fill="FFFFFF"/>
        </w:rPr>
        <w:t>We included both district and regional IBD centres across the UK with a</w:t>
      </w:r>
      <w:r w:rsidR="00D06A8D" w:rsidRPr="00E676E1">
        <w:rPr>
          <w:rFonts w:ascii="Calibri Light" w:hAnsi="Calibri Light" w:cs="Calibri Light"/>
          <w:color w:val="000000" w:themeColor="text1"/>
          <w:bdr w:val="none" w:sz="0" w:space="0" w:color="auto" w:frame="1"/>
          <w:shd w:val="clear" w:color="auto" w:fill="FFFFFF"/>
        </w:rPr>
        <w:t xml:space="preserve"> </w:t>
      </w:r>
      <w:r w:rsidRPr="00E676E1">
        <w:rPr>
          <w:rFonts w:ascii="Calibri Light" w:hAnsi="Calibri Light" w:cs="Calibri Light"/>
          <w:color w:val="000000" w:themeColor="text1"/>
          <w:bdr w:val="none" w:sz="0" w:space="0" w:color="auto" w:frame="1"/>
          <w:shd w:val="clear" w:color="auto" w:fill="FFFFFF"/>
        </w:rPr>
        <w:t>varied sociodemographic and geographical mix.</w:t>
      </w:r>
    </w:p>
    <w:p w14:paraId="5A789F58" w14:textId="1EDBBEEA" w:rsidR="00A8493F" w:rsidRPr="00E676E1" w:rsidRDefault="00634DC4" w:rsidP="006A06E2">
      <w:pPr>
        <w:spacing w:line="480" w:lineRule="auto"/>
        <w:rPr>
          <w:rFonts w:asciiTheme="majorHAnsi" w:hAnsiTheme="majorHAnsi" w:cstheme="majorHAnsi"/>
        </w:rPr>
      </w:pPr>
      <w:r w:rsidRPr="00E676E1">
        <w:rPr>
          <w:rFonts w:asciiTheme="majorHAnsi" w:hAnsiTheme="majorHAnsi" w:cstheme="majorHAnsi"/>
        </w:rPr>
        <w:t>Details of</w:t>
      </w:r>
      <w:r w:rsidR="00A8493F" w:rsidRPr="00E676E1">
        <w:rPr>
          <w:rFonts w:asciiTheme="majorHAnsi" w:hAnsiTheme="majorHAnsi" w:cstheme="majorHAnsi"/>
        </w:rPr>
        <w:t xml:space="preserve"> specialist pain</w:t>
      </w:r>
      <w:r w:rsidR="00B74573" w:rsidRPr="00E676E1">
        <w:rPr>
          <w:rFonts w:asciiTheme="majorHAnsi" w:hAnsiTheme="majorHAnsi" w:cstheme="majorHAnsi"/>
        </w:rPr>
        <w:t xml:space="preserve"> </w:t>
      </w:r>
      <w:r w:rsidR="00930C52" w:rsidRPr="00E676E1">
        <w:rPr>
          <w:rFonts w:asciiTheme="majorHAnsi" w:hAnsiTheme="majorHAnsi" w:cstheme="majorHAnsi"/>
        </w:rPr>
        <w:t>services</w:t>
      </w:r>
      <w:r w:rsidR="00A8493F" w:rsidRPr="00E676E1">
        <w:rPr>
          <w:rFonts w:asciiTheme="majorHAnsi" w:hAnsiTheme="majorHAnsi" w:cstheme="majorHAnsi"/>
        </w:rPr>
        <w:t xml:space="preserve"> input and </w:t>
      </w:r>
      <w:r w:rsidR="00833136" w:rsidRPr="00E676E1">
        <w:rPr>
          <w:rFonts w:asciiTheme="majorHAnsi" w:hAnsiTheme="majorHAnsi" w:cstheme="majorHAnsi"/>
        </w:rPr>
        <w:t xml:space="preserve">opioid </w:t>
      </w:r>
      <w:r w:rsidR="00A8493F" w:rsidRPr="00E676E1">
        <w:rPr>
          <w:rFonts w:asciiTheme="majorHAnsi" w:hAnsiTheme="majorHAnsi" w:cstheme="majorHAnsi"/>
        </w:rPr>
        <w:t xml:space="preserve">weaning </w:t>
      </w:r>
      <w:r w:rsidRPr="00E676E1">
        <w:rPr>
          <w:rFonts w:asciiTheme="majorHAnsi" w:hAnsiTheme="majorHAnsi" w:cstheme="majorHAnsi"/>
        </w:rPr>
        <w:t>attempts</w:t>
      </w:r>
      <w:r w:rsidR="00A8493F" w:rsidRPr="00E676E1">
        <w:rPr>
          <w:rFonts w:asciiTheme="majorHAnsi" w:hAnsiTheme="majorHAnsi" w:cstheme="majorHAnsi"/>
        </w:rPr>
        <w:t xml:space="preserve"> </w:t>
      </w:r>
      <w:r w:rsidRPr="00E676E1">
        <w:rPr>
          <w:rFonts w:asciiTheme="majorHAnsi" w:hAnsiTheme="majorHAnsi" w:cstheme="majorHAnsi"/>
        </w:rPr>
        <w:t>allowed</w:t>
      </w:r>
      <w:r w:rsidR="00A8493F" w:rsidRPr="00E676E1">
        <w:rPr>
          <w:rFonts w:asciiTheme="majorHAnsi" w:hAnsiTheme="majorHAnsi" w:cstheme="majorHAnsi"/>
        </w:rPr>
        <w:t xml:space="preserve"> us to highlight areas </w:t>
      </w:r>
      <w:r w:rsidR="00833136" w:rsidRPr="00E676E1">
        <w:rPr>
          <w:rFonts w:asciiTheme="majorHAnsi" w:hAnsiTheme="majorHAnsi" w:cstheme="majorHAnsi"/>
        </w:rPr>
        <w:t xml:space="preserve">for improvement in clinical </w:t>
      </w:r>
      <w:r w:rsidR="001F13AF" w:rsidRPr="00E676E1">
        <w:rPr>
          <w:rFonts w:asciiTheme="majorHAnsi" w:hAnsiTheme="majorHAnsi" w:cstheme="majorHAnsi"/>
        </w:rPr>
        <w:t>practice</w:t>
      </w:r>
      <w:r w:rsidR="00A8493F" w:rsidRPr="00E676E1">
        <w:rPr>
          <w:rFonts w:asciiTheme="majorHAnsi" w:hAnsiTheme="majorHAnsi" w:cstheme="majorHAnsi"/>
        </w:rPr>
        <w:t xml:space="preserve">. </w:t>
      </w:r>
    </w:p>
    <w:p w14:paraId="4ECD0E51" w14:textId="78F22252" w:rsidR="00D06A8D" w:rsidRPr="00E676E1" w:rsidRDefault="00F671FB" w:rsidP="009C47B1">
      <w:pPr>
        <w:spacing w:line="480" w:lineRule="auto"/>
        <w:rPr>
          <w:rFonts w:asciiTheme="majorHAnsi" w:hAnsiTheme="majorHAnsi" w:cstheme="majorHAnsi"/>
        </w:rPr>
      </w:pPr>
      <w:r w:rsidRPr="00E676E1">
        <w:rPr>
          <w:rFonts w:asciiTheme="majorHAnsi" w:hAnsiTheme="majorHAnsi" w:cstheme="majorHAnsi"/>
        </w:rPr>
        <w:t>We acknowledge</w:t>
      </w:r>
      <w:r w:rsidR="00600A18" w:rsidRPr="00E676E1">
        <w:rPr>
          <w:rFonts w:asciiTheme="majorHAnsi" w:hAnsiTheme="majorHAnsi" w:cstheme="majorHAnsi"/>
        </w:rPr>
        <w:t xml:space="preserve"> a number of limitations</w:t>
      </w:r>
      <w:r w:rsidRPr="00E676E1">
        <w:rPr>
          <w:rFonts w:asciiTheme="majorHAnsi" w:hAnsiTheme="majorHAnsi" w:cstheme="majorHAnsi"/>
        </w:rPr>
        <w:t xml:space="preserve"> </w:t>
      </w:r>
      <w:r w:rsidR="00833136" w:rsidRPr="00E676E1">
        <w:rPr>
          <w:rFonts w:asciiTheme="majorHAnsi" w:hAnsiTheme="majorHAnsi" w:cstheme="majorHAnsi"/>
        </w:rPr>
        <w:t xml:space="preserve">to </w:t>
      </w:r>
      <w:r w:rsidRPr="00E676E1">
        <w:rPr>
          <w:rFonts w:asciiTheme="majorHAnsi" w:hAnsiTheme="majorHAnsi" w:cstheme="majorHAnsi"/>
        </w:rPr>
        <w:t>our study</w:t>
      </w:r>
      <w:r w:rsidR="00600A18" w:rsidRPr="00E676E1">
        <w:rPr>
          <w:rFonts w:asciiTheme="majorHAnsi" w:hAnsiTheme="majorHAnsi" w:cstheme="majorHAnsi"/>
        </w:rPr>
        <w:t xml:space="preserve">. </w:t>
      </w:r>
      <w:r w:rsidR="00A8493F" w:rsidRPr="00E676E1">
        <w:rPr>
          <w:rFonts w:asciiTheme="majorHAnsi" w:hAnsiTheme="majorHAnsi" w:cstheme="majorHAnsi"/>
        </w:rPr>
        <w:t xml:space="preserve">We relied on patient recall to determine </w:t>
      </w:r>
      <w:r w:rsidR="00AD71E5" w:rsidRPr="00E676E1">
        <w:rPr>
          <w:rFonts w:asciiTheme="majorHAnsi" w:hAnsiTheme="majorHAnsi" w:cstheme="majorHAnsi"/>
        </w:rPr>
        <w:t>opioid-</w:t>
      </w:r>
      <w:r w:rsidR="006A4851" w:rsidRPr="00E676E1">
        <w:rPr>
          <w:rFonts w:asciiTheme="majorHAnsi" w:hAnsiTheme="majorHAnsi" w:cstheme="majorHAnsi"/>
        </w:rPr>
        <w:t>use</w:t>
      </w:r>
      <w:r w:rsidR="00A8493F" w:rsidRPr="00E676E1">
        <w:rPr>
          <w:rFonts w:asciiTheme="majorHAnsi" w:hAnsiTheme="majorHAnsi" w:cstheme="majorHAnsi"/>
        </w:rPr>
        <w:t xml:space="preserve"> and the indication for</w:t>
      </w:r>
      <w:r w:rsidR="006B5044" w:rsidRPr="00E676E1">
        <w:rPr>
          <w:rFonts w:asciiTheme="majorHAnsi" w:hAnsiTheme="majorHAnsi" w:cstheme="majorHAnsi"/>
        </w:rPr>
        <w:t xml:space="preserve"> </w:t>
      </w:r>
      <w:r w:rsidR="005A21B6" w:rsidRPr="00E676E1">
        <w:rPr>
          <w:rFonts w:asciiTheme="majorHAnsi" w:hAnsiTheme="majorHAnsi" w:cstheme="majorHAnsi"/>
        </w:rPr>
        <w:t>this</w:t>
      </w:r>
      <w:r w:rsidR="00600A18" w:rsidRPr="00E676E1">
        <w:rPr>
          <w:rFonts w:asciiTheme="majorHAnsi" w:hAnsiTheme="majorHAnsi" w:cstheme="majorHAnsi"/>
        </w:rPr>
        <w:t>,</w:t>
      </w:r>
      <w:r w:rsidR="00AD2EF6" w:rsidRPr="00E676E1">
        <w:rPr>
          <w:rFonts w:asciiTheme="majorHAnsi" w:hAnsiTheme="majorHAnsi" w:cstheme="majorHAnsi"/>
        </w:rPr>
        <w:t xml:space="preserve"> </w:t>
      </w:r>
      <w:r w:rsidR="002E5D22" w:rsidRPr="00E676E1">
        <w:rPr>
          <w:rFonts w:asciiTheme="majorHAnsi" w:hAnsiTheme="majorHAnsi" w:cstheme="majorHAnsi"/>
        </w:rPr>
        <w:t xml:space="preserve">and whilst </w:t>
      </w:r>
      <w:r w:rsidR="00A8493F" w:rsidRPr="00E676E1">
        <w:rPr>
          <w:rFonts w:asciiTheme="majorHAnsi" w:hAnsiTheme="majorHAnsi" w:cstheme="majorHAnsi"/>
        </w:rPr>
        <w:t xml:space="preserve">we mitigated against recall bias by concurrent examination of patient </w:t>
      </w:r>
      <w:r w:rsidR="001D19DF" w:rsidRPr="00E676E1">
        <w:rPr>
          <w:rFonts w:asciiTheme="majorHAnsi" w:hAnsiTheme="majorHAnsi" w:cstheme="majorHAnsi"/>
        </w:rPr>
        <w:t>record</w:t>
      </w:r>
      <w:r w:rsidR="00A8493F" w:rsidRPr="00E676E1">
        <w:rPr>
          <w:rFonts w:asciiTheme="majorHAnsi" w:hAnsiTheme="majorHAnsi" w:cstheme="majorHAnsi"/>
        </w:rPr>
        <w:t>s</w:t>
      </w:r>
      <w:r w:rsidR="002E5D22" w:rsidRPr="00E676E1">
        <w:rPr>
          <w:rFonts w:asciiTheme="majorHAnsi" w:hAnsiTheme="majorHAnsi" w:cstheme="majorHAnsi"/>
        </w:rPr>
        <w:t xml:space="preserve">, </w:t>
      </w:r>
      <w:r w:rsidR="002E5D22" w:rsidRPr="00E676E1">
        <w:rPr>
          <w:rFonts w:asciiTheme="majorHAnsi" w:hAnsiTheme="majorHAnsi" w:cstheme="majorHAnsi"/>
          <w:color w:val="000000" w:themeColor="text1"/>
        </w:rPr>
        <w:t>opioid</w:t>
      </w:r>
      <w:r w:rsidR="00D06A8D" w:rsidRPr="00E676E1">
        <w:rPr>
          <w:rFonts w:asciiTheme="majorHAnsi" w:hAnsiTheme="majorHAnsi" w:cstheme="majorHAnsi"/>
          <w:color w:val="000000" w:themeColor="text1"/>
        </w:rPr>
        <w:t xml:space="preserve"> use may</w:t>
      </w:r>
      <w:r w:rsidR="002E5D22" w:rsidRPr="00E676E1">
        <w:rPr>
          <w:rFonts w:asciiTheme="majorHAnsi" w:hAnsiTheme="majorHAnsi" w:cstheme="majorHAnsi"/>
          <w:color w:val="000000" w:themeColor="text1"/>
        </w:rPr>
        <w:t xml:space="preserve"> have been missed if prescribed by </w:t>
      </w:r>
      <w:r w:rsidR="00D06A8D" w:rsidRPr="00E676E1">
        <w:rPr>
          <w:rFonts w:asciiTheme="majorHAnsi" w:hAnsiTheme="majorHAnsi" w:cstheme="majorHAnsi"/>
          <w:color w:val="000000" w:themeColor="text1"/>
        </w:rPr>
        <w:t>a general practitioner (GP)</w:t>
      </w:r>
      <w:r w:rsidR="002E5D22" w:rsidRPr="00E676E1">
        <w:rPr>
          <w:rFonts w:asciiTheme="majorHAnsi" w:hAnsiTheme="majorHAnsi" w:cstheme="majorHAnsi"/>
          <w:color w:val="000000" w:themeColor="text1"/>
        </w:rPr>
        <w:t xml:space="preserve"> where GP records were not accessible and </w:t>
      </w:r>
      <w:r w:rsidR="00D06A8D" w:rsidRPr="00E676E1">
        <w:rPr>
          <w:rFonts w:asciiTheme="majorHAnsi" w:hAnsiTheme="majorHAnsi" w:cstheme="majorHAnsi"/>
          <w:color w:val="000000" w:themeColor="text1"/>
        </w:rPr>
        <w:t xml:space="preserve">a </w:t>
      </w:r>
      <w:r w:rsidR="002E5D22" w:rsidRPr="00E676E1">
        <w:rPr>
          <w:rFonts w:asciiTheme="majorHAnsi" w:hAnsiTheme="majorHAnsi" w:cstheme="majorHAnsi"/>
          <w:color w:val="000000" w:themeColor="text1"/>
        </w:rPr>
        <w:t>patient</w:t>
      </w:r>
      <w:r w:rsidR="00D06A8D" w:rsidRPr="00E676E1">
        <w:rPr>
          <w:rFonts w:asciiTheme="majorHAnsi" w:hAnsiTheme="majorHAnsi" w:cstheme="majorHAnsi"/>
          <w:color w:val="000000" w:themeColor="text1"/>
        </w:rPr>
        <w:t xml:space="preserve"> additionally </w:t>
      </w:r>
      <w:r w:rsidR="002E5D22" w:rsidRPr="00E676E1">
        <w:rPr>
          <w:rFonts w:asciiTheme="majorHAnsi" w:hAnsiTheme="majorHAnsi" w:cstheme="majorHAnsi"/>
          <w:color w:val="000000" w:themeColor="text1"/>
        </w:rPr>
        <w:t>did not declare the prescription</w:t>
      </w:r>
      <w:r w:rsidR="00A8493F" w:rsidRPr="00E676E1">
        <w:rPr>
          <w:rFonts w:asciiTheme="majorHAnsi" w:hAnsiTheme="majorHAnsi" w:cstheme="majorHAnsi"/>
        </w:rPr>
        <w:t xml:space="preserve">. </w:t>
      </w:r>
      <w:r w:rsidR="00A215A7" w:rsidRPr="00E676E1">
        <w:rPr>
          <w:rFonts w:asciiTheme="majorHAnsi" w:hAnsiTheme="majorHAnsi" w:cstheme="majorHAnsi"/>
        </w:rPr>
        <w:t>We did not collect data regarding the opioid indication at inpatient follow-up as the aim of the project was to identify patients with opioid use, and thus increased risk of complications, regardless of the opioid indication.</w:t>
      </w:r>
    </w:p>
    <w:p w14:paraId="49001262" w14:textId="4B32BBD0" w:rsidR="00B3054C" w:rsidRPr="00E676E1" w:rsidRDefault="00212936" w:rsidP="009C47B1">
      <w:pPr>
        <w:spacing w:line="480" w:lineRule="auto"/>
        <w:rPr>
          <w:rFonts w:asciiTheme="majorHAnsi" w:hAnsiTheme="majorHAnsi" w:cstheme="majorHAnsi"/>
        </w:rPr>
      </w:pPr>
      <w:r w:rsidRPr="00E676E1">
        <w:rPr>
          <w:rFonts w:asciiTheme="majorHAnsi" w:hAnsiTheme="majorHAnsi" w:cstheme="majorHAnsi"/>
        </w:rPr>
        <w:t xml:space="preserve">In this study 45% of the </w:t>
      </w:r>
      <w:r w:rsidR="004A6EE9" w:rsidRPr="00E676E1">
        <w:rPr>
          <w:rFonts w:asciiTheme="majorHAnsi" w:hAnsiTheme="majorHAnsi" w:cstheme="majorHAnsi"/>
        </w:rPr>
        <w:t xml:space="preserve">outpatient </w:t>
      </w:r>
      <w:r w:rsidRPr="00E676E1">
        <w:rPr>
          <w:rFonts w:asciiTheme="majorHAnsi" w:hAnsiTheme="majorHAnsi" w:cstheme="majorHAnsi"/>
        </w:rPr>
        <w:t>population were current users of biologic or small molecule</w:t>
      </w:r>
      <w:r w:rsidR="00833136" w:rsidRPr="00E676E1">
        <w:rPr>
          <w:rFonts w:asciiTheme="majorHAnsi" w:hAnsiTheme="majorHAnsi" w:cstheme="majorHAnsi"/>
        </w:rPr>
        <w:t xml:space="preserve"> immune</w:t>
      </w:r>
      <w:r w:rsidRPr="00E676E1">
        <w:rPr>
          <w:rFonts w:asciiTheme="majorHAnsi" w:hAnsiTheme="majorHAnsi" w:cstheme="majorHAnsi"/>
        </w:rPr>
        <w:t xml:space="preserve"> therapy</w:t>
      </w:r>
      <w:r w:rsidR="00600A18" w:rsidRPr="00E676E1">
        <w:rPr>
          <w:rFonts w:asciiTheme="majorHAnsi" w:hAnsiTheme="majorHAnsi" w:cstheme="majorHAnsi"/>
        </w:rPr>
        <w:t xml:space="preserve">, which </w:t>
      </w:r>
      <w:r w:rsidRPr="00E676E1">
        <w:rPr>
          <w:rFonts w:asciiTheme="majorHAnsi" w:hAnsiTheme="majorHAnsi" w:cstheme="majorHAnsi"/>
        </w:rPr>
        <w:t>is slightly higher than 43.8% and 16.2% of CD and UC patients respectively prescribed biologics in a 2015 USA drug database review</w:t>
      </w:r>
      <w:r w:rsidR="009C47B1" w:rsidRPr="00E676E1">
        <w:rPr>
          <w:rFonts w:asciiTheme="majorHAnsi" w:hAnsiTheme="majorHAnsi" w:cstheme="majorHAnsi"/>
        </w:rPr>
        <w:t>.</w:t>
      </w:r>
      <w:r w:rsidRPr="00E676E1">
        <w:rPr>
          <w:rFonts w:asciiTheme="majorHAnsi" w:hAnsiTheme="majorHAnsi" w:cstheme="majorHAnsi"/>
        </w:rPr>
        <w:fldChar w:fldCharType="begin"/>
      </w:r>
      <w:r w:rsidR="00491A6F" w:rsidRPr="00E676E1">
        <w:rPr>
          <w:rFonts w:asciiTheme="majorHAnsi" w:hAnsiTheme="majorHAnsi" w:cstheme="majorHAnsi"/>
        </w:rPr>
        <w:instrText xml:space="preserve"> ADDIN ZOTERO_ITEM CSL_CITATION {"citationID":"eyPLXOt9","properties":{"formattedCitation":"\\super 23\\nosupersub{}","plainCitation":"23","noteIndex":0},"citationItems":[{"id":23981,"uris":["http://zotero.org/users/5360735/items/WQ8MIYP6"],"itemData":{"id":23981,"type":"article-journal","abstract":"Summary Background Real-world data quantifying the costs of increasing use of biologics in inflammatory bowel disease (IBD) are unknown. Aim To determine the outpatient IBD drug utilization trends, relative market share, and costs in the USA during a 9-year period. Methods The Truven MarketScan? Database was analysed for patients with Crohn's disease (CD) and ulcerative colitis (UC) during 2007-2015. National drug codes were used to identify prescription drugs; Healthcare Common Procedure Coding System J-codes were used to capture biologic out-patient infusions. Proportion of drug usage, relative market share and per-member per-year (PMPY) costs were analysed for biologics, immunomodulators, 5-ASAs and corticosteroids. Results In 415 405 patients (188 842 CD; 195 183 UC; 31 380 indeterminate colitis; 54.67% female), utilization trends show a consistent rise in the market share of biologics during the 9-year study period. The proportion of patients using biologics increased from 21.8% to 43.8% for CD and 5.1%-16.2% for UC. This contrasts a small decrease in immunomodulator and 5-ASA use for CD and relative constancy of other classes including corticosteroids-only use as primary IBD medication from 2007 to 2015. The average biologic-taking patient accounted for $25 275 PMPY in 2007 and $36 051 PMPY in 2015. The average paediatric biologic-taking patient accounted for $23 616 PMPY in 2007 and $41 109 PMPY in 2015. In all patients, the share of costs for biologics increased from 72.9% in 2007 to 85.7% in 2015 (81.7% in 2007 to 94.9% in 2015 in paediatrics). Conclusion The vast majority of costs allocated to out-patient IBD medications in the USA is attributed to increasing use of biologic therapies despite the relative minority of biologic-taking patients.","container-title":"Alimentary Pharmacology &amp; Therapeutics","DOI":"10.1111/apt.14430","ISSN":"0269-2813","issue":"3","journalAbbreviation":"Alimentary Pharmacology &amp; Therapeutics","note":"publisher: John Wiley &amp; Sons, Ltd","page":"364-370","title":"Market share and costs of biologic therapies for inflammatory bowel disease in the USA","volume":"47","author":[{"family":"Yu","given":"H."},{"family":"MacIsaac","given":"D."},{"family":"Wong","given":"J. J."},{"family":"Sellers","given":"Z. M."},{"family":"Wren","given":"A. A."},{"family":"Bensen","given":"R."},{"family":"Kin","given":"C."},{"family":"Park","given":"K. T."}],"issued":{"date-parts":[["2018",2,1]]}}}],"schema":"https://github.com/citation-style-language/schema/raw/master/csl-citation.json"} </w:instrText>
      </w:r>
      <w:r w:rsidRPr="00E676E1">
        <w:rPr>
          <w:rFonts w:asciiTheme="majorHAnsi" w:hAnsiTheme="majorHAnsi" w:cstheme="majorHAnsi"/>
        </w:rPr>
        <w:fldChar w:fldCharType="separate"/>
      </w:r>
      <w:r w:rsidR="00491A6F" w:rsidRPr="00E676E1">
        <w:rPr>
          <w:rFonts w:ascii="Calibri Light" w:hAnsiTheme="majorHAnsi" w:cs="Calibri Light"/>
          <w:vertAlign w:val="superscript"/>
        </w:rPr>
        <w:t>23</w:t>
      </w:r>
      <w:r w:rsidRPr="00E676E1">
        <w:rPr>
          <w:rFonts w:asciiTheme="majorHAnsi" w:hAnsiTheme="majorHAnsi" w:cstheme="majorHAnsi"/>
        </w:rPr>
        <w:fldChar w:fldCharType="end"/>
      </w:r>
      <w:r w:rsidR="003B04F9" w:rsidRPr="00E676E1">
        <w:rPr>
          <w:rFonts w:asciiTheme="majorHAnsi" w:hAnsiTheme="majorHAnsi" w:cstheme="majorHAnsi"/>
        </w:rPr>
        <w:t xml:space="preserve"> C</w:t>
      </w:r>
      <w:r w:rsidR="00C15AE2" w:rsidRPr="00E676E1">
        <w:rPr>
          <w:rFonts w:asciiTheme="majorHAnsi" w:hAnsiTheme="majorHAnsi" w:cstheme="majorHAnsi"/>
        </w:rPr>
        <w:t xml:space="preserve">hanges in the pattern of </w:t>
      </w:r>
      <w:r w:rsidR="00A8493F" w:rsidRPr="00E676E1">
        <w:rPr>
          <w:rFonts w:asciiTheme="majorHAnsi" w:hAnsiTheme="majorHAnsi" w:cstheme="majorHAnsi"/>
        </w:rPr>
        <w:t xml:space="preserve">IBD prescribing </w:t>
      </w:r>
      <w:r w:rsidR="00B3054C" w:rsidRPr="00E676E1">
        <w:rPr>
          <w:rFonts w:asciiTheme="majorHAnsi" w:hAnsiTheme="majorHAnsi" w:cstheme="majorHAnsi"/>
        </w:rPr>
        <w:t>since 2015</w:t>
      </w:r>
      <w:r w:rsidR="00A8493F" w:rsidRPr="00E676E1">
        <w:rPr>
          <w:rFonts w:asciiTheme="majorHAnsi" w:hAnsiTheme="majorHAnsi" w:cstheme="majorHAnsi"/>
        </w:rPr>
        <w:t xml:space="preserve"> </w:t>
      </w:r>
      <w:r w:rsidR="00AD2EF6" w:rsidRPr="00E676E1">
        <w:rPr>
          <w:rFonts w:asciiTheme="majorHAnsi" w:hAnsiTheme="majorHAnsi" w:cstheme="majorHAnsi"/>
        </w:rPr>
        <w:t>and</w:t>
      </w:r>
      <w:r w:rsidR="006B5044" w:rsidRPr="00E676E1">
        <w:rPr>
          <w:rFonts w:asciiTheme="majorHAnsi" w:hAnsiTheme="majorHAnsi" w:cstheme="majorHAnsi"/>
        </w:rPr>
        <w:t>/or</w:t>
      </w:r>
      <w:r w:rsidR="00A8493F" w:rsidRPr="00E676E1">
        <w:rPr>
          <w:rFonts w:asciiTheme="majorHAnsi" w:hAnsiTheme="majorHAnsi" w:cstheme="majorHAnsi"/>
        </w:rPr>
        <w:t xml:space="preserve"> over</w:t>
      </w:r>
      <w:r w:rsidR="00C15AE2" w:rsidRPr="00E676E1">
        <w:rPr>
          <w:rFonts w:asciiTheme="majorHAnsi" w:hAnsiTheme="majorHAnsi" w:cstheme="majorHAnsi"/>
        </w:rPr>
        <w:t>-</w:t>
      </w:r>
      <w:r w:rsidR="00A8493F" w:rsidRPr="00E676E1">
        <w:rPr>
          <w:rFonts w:asciiTheme="majorHAnsi" w:hAnsiTheme="majorHAnsi" w:cstheme="majorHAnsi"/>
        </w:rPr>
        <w:t xml:space="preserve">representation of individuals with unremitting or active disease </w:t>
      </w:r>
      <w:r w:rsidR="00600A18" w:rsidRPr="00E676E1">
        <w:rPr>
          <w:rFonts w:asciiTheme="majorHAnsi" w:hAnsiTheme="majorHAnsi" w:cstheme="majorHAnsi"/>
        </w:rPr>
        <w:t>may explain this</w:t>
      </w:r>
      <w:r w:rsidR="00D06A8D" w:rsidRPr="00E676E1">
        <w:rPr>
          <w:rFonts w:asciiTheme="majorHAnsi" w:hAnsiTheme="majorHAnsi" w:cstheme="majorHAnsi"/>
        </w:rPr>
        <w:t xml:space="preserve">. </w:t>
      </w:r>
      <w:r w:rsidR="00C15AE2" w:rsidRPr="00E676E1">
        <w:rPr>
          <w:rFonts w:asciiTheme="majorHAnsi" w:hAnsiTheme="majorHAnsi" w:cstheme="majorHAnsi"/>
        </w:rPr>
        <w:t xml:space="preserve">Only </w:t>
      </w:r>
      <w:r w:rsidR="00A8493F" w:rsidRPr="00E676E1">
        <w:rPr>
          <w:rFonts w:asciiTheme="majorHAnsi" w:hAnsiTheme="majorHAnsi" w:cstheme="majorHAnsi"/>
        </w:rPr>
        <w:t>2.6% of individuals had a physician</w:t>
      </w:r>
      <w:r w:rsidR="00D87DC2" w:rsidRPr="00E676E1">
        <w:rPr>
          <w:rFonts w:asciiTheme="majorHAnsi" w:hAnsiTheme="majorHAnsi" w:cstheme="majorHAnsi"/>
        </w:rPr>
        <w:t>’s</w:t>
      </w:r>
      <w:r w:rsidR="00A8493F" w:rsidRPr="00E676E1">
        <w:rPr>
          <w:rFonts w:asciiTheme="majorHAnsi" w:hAnsiTheme="majorHAnsi" w:cstheme="majorHAnsi"/>
        </w:rPr>
        <w:t xml:space="preserve"> global assessment of disease severity of “severe</w:t>
      </w:r>
      <w:r w:rsidR="00C15AE2" w:rsidRPr="00E676E1">
        <w:rPr>
          <w:rFonts w:asciiTheme="majorHAnsi" w:hAnsiTheme="majorHAnsi" w:cstheme="majorHAnsi"/>
        </w:rPr>
        <w:t xml:space="preserve"> disease</w:t>
      </w:r>
      <w:r w:rsidR="00A8493F" w:rsidRPr="00E676E1">
        <w:rPr>
          <w:rFonts w:asciiTheme="majorHAnsi" w:hAnsiTheme="majorHAnsi" w:cstheme="majorHAnsi"/>
        </w:rPr>
        <w:t xml:space="preserve">” </w:t>
      </w:r>
      <w:r w:rsidR="00C15AE2" w:rsidRPr="00E676E1">
        <w:rPr>
          <w:rFonts w:asciiTheme="majorHAnsi" w:hAnsiTheme="majorHAnsi" w:cstheme="majorHAnsi"/>
        </w:rPr>
        <w:t xml:space="preserve">suggesting </w:t>
      </w:r>
      <w:r w:rsidR="00A8493F" w:rsidRPr="00E676E1">
        <w:rPr>
          <w:rFonts w:asciiTheme="majorHAnsi" w:hAnsiTheme="majorHAnsi" w:cstheme="majorHAnsi"/>
        </w:rPr>
        <w:t>th</w:t>
      </w:r>
      <w:r w:rsidR="00AD2EF6" w:rsidRPr="00E676E1">
        <w:rPr>
          <w:rFonts w:asciiTheme="majorHAnsi" w:hAnsiTheme="majorHAnsi" w:cstheme="majorHAnsi"/>
        </w:rPr>
        <w:t>e latter</w:t>
      </w:r>
      <w:r w:rsidR="00A8493F" w:rsidRPr="00E676E1">
        <w:rPr>
          <w:rFonts w:asciiTheme="majorHAnsi" w:hAnsiTheme="majorHAnsi" w:cstheme="majorHAnsi"/>
        </w:rPr>
        <w:t xml:space="preserve"> </w:t>
      </w:r>
      <w:r w:rsidR="00BE3C48" w:rsidRPr="00E676E1">
        <w:rPr>
          <w:rFonts w:asciiTheme="majorHAnsi" w:hAnsiTheme="majorHAnsi" w:cstheme="majorHAnsi"/>
        </w:rPr>
        <w:t xml:space="preserve">was </w:t>
      </w:r>
      <w:r w:rsidR="00600A18" w:rsidRPr="00E676E1">
        <w:rPr>
          <w:rFonts w:asciiTheme="majorHAnsi" w:hAnsiTheme="majorHAnsi" w:cstheme="majorHAnsi"/>
        </w:rPr>
        <w:t xml:space="preserve">likely </w:t>
      </w:r>
      <w:r w:rsidR="00BE3C48" w:rsidRPr="00E676E1">
        <w:rPr>
          <w:rFonts w:asciiTheme="majorHAnsi" w:hAnsiTheme="majorHAnsi" w:cstheme="majorHAnsi"/>
        </w:rPr>
        <w:t>not</w:t>
      </w:r>
      <w:r w:rsidR="00A8493F" w:rsidRPr="00E676E1">
        <w:rPr>
          <w:rFonts w:asciiTheme="majorHAnsi" w:hAnsiTheme="majorHAnsi" w:cstheme="majorHAnsi"/>
        </w:rPr>
        <w:t xml:space="preserve"> the case</w:t>
      </w:r>
      <w:r w:rsidR="00D06A8D" w:rsidRPr="00E676E1">
        <w:rPr>
          <w:rFonts w:asciiTheme="majorHAnsi" w:hAnsiTheme="majorHAnsi" w:cstheme="majorHAnsi"/>
        </w:rPr>
        <w:t xml:space="preserve"> but high rates of biologic use may have resulted in higher overall opioid</w:t>
      </w:r>
      <w:r w:rsidR="004E467C" w:rsidRPr="00E676E1">
        <w:rPr>
          <w:rFonts w:asciiTheme="majorHAnsi" w:hAnsiTheme="majorHAnsi" w:cstheme="majorHAnsi"/>
        </w:rPr>
        <w:t>-</w:t>
      </w:r>
      <w:r w:rsidR="00D06A8D" w:rsidRPr="00E676E1">
        <w:rPr>
          <w:rFonts w:asciiTheme="majorHAnsi" w:hAnsiTheme="majorHAnsi" w:cstheme="majorHAnsi"/>
        </w:rPr>
        <w:t>use in our study</w:t>
      </w:r>
      <w:r w:rsidR="004E467C" w:rsidRPr="00E676E1">
        <w:rPr>
          <w:rFonts w:asciiTheme="majorHAnsi" w:hAnsiTheme="majorHAnsi" w:cstheme="majorHAnsi"/>
        </w:rPr>
        <w:t>,</w:t>
      </w:r>
      <w:r w:rsidR="00D06A8D" w:rsidRPr="00E676E1">
        <w:rPr>
          <w:rFonts w:asciiTheme="majorHAnsi" w:hAnsiTheme="majorHAnsi" w:cstheme="majorHAnsi"/>
        </w:rPr>
        <w:t xml:space="preserve"> given </w:t>
      </w:r>
      <w:r w:rsidR="004E467C" w:rsidRPr="00E676E1">
        <w:rPr>
          <w:rFonts w:asciiTheme="majorHAnsi" w:hAnsiTheme="majorHAnsi" w:cstheme="majorHAnsi"/>
        </w:rPr>
        <w:t>the demonstrated association between</w:t>
      </w:r>
      <w:r w:rsidR="00D06A8D" w:rsidRPr="00E676E1">
        <w:rPr>
          <w:rFonts w:asciiTheme="majorHAnsi" w:hAnsiTheme="majorHAnsi" w:cstheme="majorHAnsi"/>
        </w:rPr>
        <w:t xml:space="preserve"> biologic use </w:t>
      </w:r>
      <w:r w:rsidR="004E467C" w:rsidRPr="00E676E1">
        <w:rPr>
          <w:rFonts w:asciiTheme="majorHAnsi" w:hAnsiTheme="majorHAnsi" w:cstheme="majorHAnsi"/>
        </w:rPr>
        <w:t>and</w:t>
      </w:r>
      <w:r w:rsidR="00D06A8D" w:rsidRPr="00E676E1">
        <w:rPr>
          <w:rFonts w:asciiTheme="majorHAnsi" w:hAnsiTheme="majorHAnsi" w:cstheme="majorHAnsi"/>
        </w:rPr>
        <w:t xml:space="preserve"> increased opioid use.</w:t>
      </w:r>
    </w:p>
    <w:p w14:paraId="2488884B" w14:textId="745BE56A" w:rsidR="00A8493F" w:rsidRPr="00E676E1" w:rsidRDefault="008F25EC" w:rsidP="00A8493F">
      <w:pPr>
        <w:spacing w:line="480" w:lineRule="auto"/>
        <w:rPr>
          <w:rFonts w:asciiTheme="majorHAnsi" w:hAnsiTheme="majorHAnsi" w:cstheme="majorHAnsi"/>
        </w:rPr>
      </w:pPr>
      <w:r w:rsidRPr="00E676E1">
        <w:rPr>
          <w:rFonts w:asciiTheme="majorHAnsi" w:hAnsiTheme="majorHAnsi" w:cstheme="majorHAnsi"/>
        </w:rPr>
        <w:lastRenderedPageBreak/>
        <w:t>We focused on</w:t>
      </w:r>
      <w:r w:rsidR="00A8493F" w:rsidRPr="00E676E1">
        <w:rPr>
          <w:rFonts w:asciiTheme="majorHAnsi" w:hAnsiTheme="majorHAnsi" w:cstheme="majorHAnsi"/>
        </w:rPr>
        <w:t xml:space="preserve"> </w:t>
      </w:r>
      <w:r w:rsidR="00A462A8" w:rsidRPr="00E676E1">
        <w:rPr>
          <w:rFonts w:asciiTheme="majorHAnsi" w:hAnsiTheme="majorHAnsi" w:cstheme="majorHAnsi"/>
        </w:rPr>
        <w:t>the</w:t>
      </w:r>
      <w:r w:rsidR="00C15AE2" w:rsidRPr="00E676E1">
        <w:rPr>
          <w:rFonts w:asciiTheme="majorHAnsi" w:hAnsiTheme="majorHAnsi" w:cstheme="majorHAnsi"/>
        </w:rPr>
        <w:t xml:space="preserve"> </w:t>
      </w:r>
      <w:r w:rsidR="006B5044" w:rsidRPr="00E676E1">
        <w:rPr>
          <w:rFonts w:asciiTheme="majorHAnsi" w:hAnsiTheme="majorHAnsi" w:cstheme="majorHAnsi"/>
        </w:rPr>
        <w:t>duration</w:t>
      </w:r>
      <w:r w:rsidR="00A8493F" w:rsidRPr="00E676E1">
        <w:rPr>
          <w:rFonts w:asciiTheme="majorHAnsi" w:hAnsiTheme="majorHAnsi" w:cstheme="majorHAnsi"/>
        </w:rPr>
        <w:t xml:space="preserve"> </w:t>
      </w:r>
      <w:r w:rsidR="00F14506" w:rsidRPr="00E676E1">
        <w:rPr>
          <w:rFonts w:asciiTheme="majorHAnsi" w:hAnsiTheme="majorHAnsi" w:cstheme="majorHAnsi"/>
        </w:rPr>
        <w:t>of</w:t>
      </w:r>
      <w:r w:rsidR="00A8493F" w:rsidRPr="00E676E1">
        <w:rPr>
          <w:rFonts w:asciiTheme="majorHAnsi" w:hAnsiTheme="majorHAnsi" w:cstheme="majorHAnsi"/>
        </w:rPr>
        <w:t xml:space="preserve"> </w:t>
      </w:r>
      <w:r w:rsidR="00AD71E5" w:rsidRPr="00E676E1">
        <w:rPr>
          <w:rFonts w:asciiTheme="majorHAnsi" w:hAnsiTheme="majorHAnsi" w:cstheme="majorHAnsi"/>
        </w:rPr>
        <w:t>opioid-</w:t>
      </w:r>
      <w:r w:rsidR="006A4851" w:rsidRPr="00E676E1">
        <w:rPr>
          <w:rFonts w:asciiTheme="majorHAnsi" w:hAnsiTheme="majorHAnsi" w:cstheme="majorHAnsi"/>
        </w:rPr>
        <w:t>use</w:t>
      </w:r>
      <w:r w:rsidR="00C15AE2" w:rsidRPr="00E676E1">
        <w:rPr>
          <w:rFonts w:asciiTheme="majorHAnsi" w:hAnsiTheme="majorHAnsi" w:cstheme="majorHAnsi"/>
        </w:rPr>
        <w:t xml:space="preserve"> </w:t>
      </w:r>
      <w:r w:rsidR="00A462A8" w:rsidRPr="00E676E1">
        <w:rPr>
          <w:rFonts w:asciiTheme="majorHAnsi" w:hAnsiTheme="majorHAnsi" w:cstheme="majorHAnsi"/>
        </w:rPr>
        <w:t xml:space="preserve">(&gt; </w:t>
      </w:r>
      <w:r w:rsidR="00A8493F" w:rsidRPr="00E676E1">
        <w:rPr>
          <w:rFonts w:asciiTheme="majorHAnsi" w:hAnsiTheme="majorHAnsi" w:cstheme="majorHAnsi"/>
        </w:rPr>
        <w:t>2 weeks</w:t>
      </w:r>
      <w:r w:rsidR="00A462A8" w:rsidRPr="00E676E1">
        <w:rPr>
          <w:rFonts w:asciiTheme="majorHAnsi" w:hAnsiTheme="majorHAnsi" w:cstheme="majorHAnsi"/>
        </w:rPr>
        <w:t>)</w:t>
      </w:r>
      <w:r w:rsidR="00A8493F" w:rsidRPr="00E676E1">
        <w:rPr>
          <w:rFonts w:asciiTheme="majorHAnsi" w:hAnsiTheme="majorHAnsi" w:cstheme="majorHAnsi"/>
        </w:rPr>
        <w:t xml:space="preserve"> rather than </w:t>
      </w:r>
      <w:r w:rsidR="00C15AE2" w:rsidRPr="00E676E1">
        <w:rPr>
          <w:rFonts w:asciiTheme="majorHAnsi" w:hAnsiTheme="majorHAnsi" w:cstheme="majorHAnsi"/>
        </w:rPr>
        <w:t xml:space="preserve">the dose of </w:t>
      </w:r>
      <w:r w:rsidR="006B5044" w:rsidRPr="00E676E1">
        <w:rPr>
          <w:rFonts w:asciiTheme="majorHAnsi" w:hAnsiTheme="majorHAnsi" w:cstheme="majorHAnsi"/>
        </w:rPr>
        <w:t>opioid</w:t>
      </w:r>
      <w:r w:rsidR="00A8493F" w:rsidRPr="00E676E1">
        <w:rPr>
          <w:rFonts w:asciiTheme="majorHAnsi" w:hAnsiTheme="majorHAnsi" w:cstheme="majorHAnsi"/>
        </w:rPr>
        <w:t xml:space="preserve"> prescribed</w:t>
      </w:r>
      <w:r w:rsidR="00C15AE2" w:rsidRPr="00E676E1">
        <w:rPr>
          <w:rFonts w:asciiTheme="majorHAnsi" w:hAnsiTheme="majorHAnsi" w:cstheme="majorHAnsi"/>
        </w:rPr>
        <w:t xml:space="preserve">, </w:t>
      </w:r>
      <w:r w:rsidR="003B111F" w:rsidRPr="00E676E1">
        <w:rPr>
          <w:rFonts w:asciiTheme="majorHAnsi" w:hAnsiTheme="majorHAnsi" w:cstheme="majorHAnsi"/>
        </w:rPr>
        <w:t>as</w:t>
      </w:r>
      <w:r w:rsidR="00DD5B02" w:rsidRPr="00E676E1">
        <w:rPr>
          <w:rFonts w:asciiTheme="majorHAnsi" w:hAnsiTheme="majorHAnsi" w:cstheme="majorHAnsi"/>
        </w:rPr>
        <w:t xml:space="preserve"> d</w:t>
      </w:r>
      <w:r w:rsidR="001C5136" w:rsidRPr="00E676E1">
        <w:rPr>
          <w:rFonts w:asciiTheme="majorHAnsi" w:hAnsiTheme="majorHAnsi" w:cstheme="majorHAnsi"/>
        </w:rPr>
        <w:t>uration has been shown to be more strongly associated with misuse</w:t>
      </w:r>
      <w:r w:rsidR="00427D35" w:rsidRPr="00E676E1">
        <w:rPr>
          <w:rFonts w:asciiTheme="majorHAnsi" w:hAnsiTheme="majorHAnsi" w:cstheme="majorHAnsi"/>
        </w:rPr>
        <w:t>.</w:t>
      </w:r>
      <w:r w:rsidR="00A8493F" w:rsidRPr="00E676E1">
        <w:rPr>
          <w:rFonts w:asciiTheme="majorHAnsi" w:hAnsiTheme="majorHAnsi" w:cstheme="majorHAnsi"/>
        </w:rPr>
        <w:fldChar w:fldCharType="begin"/>
      </w:r>
      <w:r w:rsidR="00491A6F" w:rsidRPr="00E676E1">
        <w:rPr>
          <w:rFonts w:asciiTheme="majorHAnsi" w:hAnsiTheme="majorHAnsi" w:cstheme="majorHAnsi"/>
        </w:rPr>
        <w:instrText xml:space="preserve"> ADDIN ZOTERO_ITEM CSL_CITATION {"citationID":"hebctE2X","properties":{"formattedCitation":"\\super 24\\nosupersub{}","plainCitation":"24","noteIndex":0},"citationItems":[{"id":2044,"uris":["http://zotero.org/users/5360735/items/ZTJ8E79Y"],"itemData":{"id":2044,"type":"article-journal","abstract":"Objective To quantify the effects of varying opioid prescribing patterns after surgery on dependence, overdose, or abuse in an opioid naive population.Design Retrospective cohort study.Setting Surgical claims from a linked medical and pharmacy administrative database of 37 651 619 commercially insured patients between 2008 and 2016.Participants 1 015 116 opioid naive patients undergoing surgery.Main outcome measures Use of oral opioids after discharge as defined by refills and total dosage and duration of use. The primary outcome was a composite of misuse identified by a diagnostic code for opioid dependence, abuse, or overdose.Results 568 612 (56.0%) patients received postoperative opioids, and a code for abuse was identified for 5906 patients (0.6%, 183 per 100 000 person years). Total duration of opioid use was the strongest predictor of misuse, with each refill and additional week of opioid use associated with an adjusted increase in the rate of misuse of 44.0% (95% confidence interval 40.8% to 47.2%, P&amp;lt;0.001), and 19.9% increase in hazard (18.5% to 21.4%, P&amp;lt;0.001), respectively.Conclusions Each refill and week of opioid prescription is associated with a large increase in opioid misuse among opioid naive patients. The data from this study suggest that duration of the prescription rather than dosage is more strongly associated with ultimate misuse in the early postsurgical period. The analysis quantifies the association of prescribing choices on opioid misuse and identifies levers for possible impact.","container-title":"BMJ","DOI":"10.1136/bmj.j5790","journalAbbreviation":"BMJ","page":"j5790","title":"Postsurgical prescriptions for opioid naive patients and association with overdose and misuse: retrospective cohort study","volume":"360","author":[{"family":"Brat","given":"Gabriel A"},{"family":"Agniel","given":"Denis"},{"family":"Beam","given":"Andrew"},{"family":"Yorkgitis","given":"Brian"},{"family":"Bicket","given":"Mark"},{"family":"Homer","given":"Mark"},{"family":"Fox","given":"Kathe P"},{"family":"Knecht","given":"Daniel B"},{"family":"McMahill-Walraven","given":"Cheryl N"},{"family":"Palmer","given":"Nathan"},{"family":"Kohane","given":"Isaac"}],"issued":{"date-parts":[["2018",1,17]]}}}],"schema":"https://github.com/citation-style-language/schema/raw/master/csl-citation.json"} </w:instrText>
      </w:r>
      <w:r w:rsidR="00A8493F" w:rsidRPr="00E676E1">
        <w:rPr>
          <w:rFonts w:asciiTheme="majorHAnsi" w:hAnsiTheme="majorHAnsi" w:cstheme="majorHAnsi"/>
        </w:rPr>
        <w:fldChar w:fldCharType="separate"/>
      </w:r>
      <w:r w:rsidR="00491A6F" w:rsidRPr="00E676E1">
        <w:rPr>
          <w:rFonts w:ascii="Calibri Light" w:hAnsiTheme="majorHAnsi" w:cs="Calibri Light"/>
          <w:vertAlign w:val="superscript"/>
        </w:rPr>
        <w:t>24</w:t>
      </w:r>
      <w:r w:rsidR="00A8493F" w:rsidRPr="00E676E1">
        <w:rPr>
          <w:rFonts w:asciiTheme="majorHAnsi" w:hAnsiTheme="majorHAnsi" w:cstheme="majorHAnsi"/>
        </w:rPr>
        <w:fldChar w:fldCharType="end"/>
      </w:r>
      <w:r w:rsidR="00A8493F" w:rsidRPr="00E676E1">
        <w:rPr>
          <w:rFonts w:asciiTheme="majorHAnsi" w:hAnsiTheme="majorHAnsi" w:cstheme="majorHAnsi"/>
        </w:rPr>
        <w:t xml:space="preserve"> </w:t>
      </w:r>
    </w:p>
    <w:p w14:paraId="04181D4F" w14:textId="0CFA7B82" w:rsidR="00E62B80" w:rsidRPr="00E676E1" w:rsidRDefault="00C15AE2" w:rsidP="00AD2EF6">
      <w:pPr>
        <w:spacing w:line="480" w:lineRule="auto"/>
        <w:rPr>
          <w:rFonts w:asciiTheme="majorHAnsi" w:hAnsiTheme="majorHAnsi" w:cstheme="majorHAnsi"/>
        </w:rPr>
      </w:pPr>
      <w:r w:rsidRPr="00E676E1">
        <w:rPr>
          <w:rFonts w:asciiTheme="majorHAnsi" w:hAnsiTheme="majorHAnsi" w:cstheme="majorHAnsi"/>
        </w:rPr>
        <w:t>Some c</w:t>
      </w:r>
      <w:r w:rsidR="00A8493F" w:rsidRPr="00E676E1">
        <w:rPr>
          <w:rFonts w:asciiTheme="majorHAnsi" w:hAnsiTheme="majorHAnsi" w:cstheme="majorHAnsi"/>
        </w:rPr>
        <w:t xml:space="preserve">odeine </w:t>
      </w:r>
      <w:r w:rsidR="003052A6" w:rsidRPr="00E676E1">
        <w:rPr>
          <w:rFonts w:asciiTheme="majorHAnsi" w:hAnsiTheme="majorHAnsi" w:cstheme="majorHAnsi"/>
        </w:rPr>
        <w:t xml:space="preserve">may have been used </w:t>
      </w:r>
      <w:r w:rsidRPr="00E676E1">
        <w:rPr>
          <w:rFonts w:asciiTheme="majorHAnsi" w:hAnsiTheme="majorHAnsi" w:cstheme="majorHAnsi"/>
        </w:rPr>
        <w:t>as an</w:t>
      </w:r>
      <w:r w:rsidR="00A8493F" w:rsidRPr="00E676E1">
        <w:rPr>
          <w:rFonts w:asciiTheme="majorHAnsi" w:hAnsiTheme="majorHAnsi" w:cstheme="majorHAnsi"/>
        </w:rPr>
        <w:t xml:space="preserve"> anti-motility agent to manage </w:t>
      </w:r>
      <w:r w:rsidRPr="00E676E1">
        <w:rPr>
          <w:rFonts w:asciiTheme="majorHAnsi" w:hAnsiTheme="majorHAnsi" w:cstheme="majorHAnsi"/>
        </w:rPr>
        <w:t>stool frequency or</w:t>
      </w:r>
      <w:r w:rsidR="00A8493F" w:rsidRPr="00E676E1">
        <w:rPr>
          <w:rFonts w:asciiTheme="majorHAnsi" w:hAnsiTheme="majorHAnsi" w:cstheme="majorHAnsi"/>
        </w:rPr>
        <w:t xml:space="preserve"> high stoma output</w:t>
      </w:r>
      <w:r w:rsidR="003052A6" w:rsidRPr="00E676E1">
        <w:rPr>
          <w:rFonts w:asciiTheme="majorHAnsi" w:hAnsiTheme="majorHAnsi" w:cstheme="majorHAnsi"/>
        </w:rPr>
        <w:t>,</w:t>
      </w:r>
      <w:r w:rsidRPr="00E676E1">
        <w:rPr>
          <w:rFonts w:asciiTheme="majorHAnsi" w:hAnsiTheme="majorHAnsi" w:cstheme="majorHAnsi"/>
        </w:rPr>
        <w:t xml:space="preserve"> although the questionnaire specifically directed </w:t>
      </w:r>
      <w:r w:rsidR="003052A6" w:rsidRPr="00E676E1">
        <w:rPr>
          <w:rFonts w:asciiTheme="majorHAnsi" w:hAnsiTheme="majorHAnsi" w:cstheme="majorHAnsi"/>
        </w:rPr>
        <w:t xml:space="preserve">data collectors to record </w:t>
      </w:r>
      <w:r w:rsidRPr="00E676E1">
        <w:rPr>
          <w:rFonts w:asciiTheme="majorHAnsi" w:hAnsiTheme="majorHAnsi" w:cstheme="majorHAnsi"/>
        </w:rPr>
        <w:t>patients</w:t>
      </w:r>
      <w:r w:rsidR="009C47B1" w:rsidRPr="00E676E1">
        <w:rPr>
          <w:rFonts w:asciiTheme="majorHAnsi" w:hAnsiTheme="majorHAnsi" w:cstheme="majorHAnsi"/>
        </w:rPr>
        <w:t>’</w:t>
      </w:r>
      <w:r w:rsidRPr="00E676E1">
        <w:rPr>
          <w:rFonts w:asciiTheme="majorHAnsi" w:hAnsiTheme="majorHAnsi" w:cstheme="majorHAnsi"/>
        </w:rPr>
        <w:t xml:space="preserve"> pain medication</w:t>
      </w:r>
      <w:r w:rsidR="00A8493F" w:rsidRPr="00E676E1">
        <w:rPr>
          <w:rFonts w:asciiTheme="majorHAnsi" w:hAnsiTheme="majorHAnsi" w:cstheme="majorHAnsi"/>
        </w:rPr>
        <w:t xml:space="preserve">. </w:t>
      </w:r>
      <w:r w:rsidR="009D0D91" w:rsidRPr="00E676E1">
        <w:rPr>
          <w:rFonts w:asciiTheme="majorHAnsi" w:hAnsiTheme="majorHAnsi" w:cstheme="majorHAnsi"/>
        </w:rPr>
        <w:t xml:space="preserve">Even when </w:t>
      </w:r>
      <w:r w:rsidR="00427D35" w:rsidRPr="00E676E1">
        <w:rPr>
          <w:rFonts w:asciiTheme="majorHAnsi" w:hAnsiTheme="majorHAnsi" w:cstheme="majorHAnsi"/>
        </w:rPr>
        <w:t>codeine</w:t>
      </w:r>
      <w:r w:rsidRPr="00E676E1">
        <w:rPr>
          <w:rFonts w:asciiTheme="majorHAnsi" w:hAnsiTheme="majorHAnsi" w:cstheme="majorHAnsi"/>
        </w:rPr>
        <w:t xml:space="preserve"> use</w:t>
      </w:r>
      <w:r w:rsidR="00427D35" w:rsidRPr="00E676E1">
        <w:rPr>
          <w:rFonts w:asciiTheme="majorHAnsi" w:hAnsiTheme="majorHAnsi" w:cstheme="majorHAnsi"/>
        </w:rPr>
        <w:t xml:space="preserve"> was excluded there remained a </w:t>
      </w:r>
      <w:r w:rsidRPr="00E676E1">
        <w:rPr>
          <w:rFonts w:asciiTheme="majorHAnsi" w:hAnsiTheme="majorHAnsi" w:cstheme="majorHAnsi"/>
        </w:rPr>
        <w:t>significant</w:t>
      </w:r>
      <w:r w:rsidR="00427D35" w:rsidRPr="00E676E1">
        <w:rPr>
          <w:rFonts w:asciiTheme="majorHAnsi" w:hAnsiTheme="majorHAnsi" w:cstheme="majorHAnsi"/>
        </w:rPr>
        <w:t xml:space="preserve"> proportion of patients exposed to opioids</w:t>
      </w:r>
      <w:r w:rsidRPr="00E676E1">
        <w:rPr>
          <w:rFonts w:asciiTheme="majorHAnsi" w:hAnsiTheme="majorHAnsi" w:cstheme="majorHAnsi"/>
        </w:rPr>
        <w:t>.</w:t>
      </w:r>
    </w:p>
    <w:p w14:paraId="53AF9321" w14:textId="6FA0D3E6" w:rsidR="006A06E2" w:rsidRPr="00E676E1" w:rsidRDefault="00F43C00" w:rsidP="00F43C00">
      <w:pPr>
        <w:spacing w:line="480" w:lineRule="auto"/>
        <w:rPr>
          <w:rFonts w:asciiTheme="majorHAnsi" w:hAnsiTheme="majorHAnsi" w:cstheme="majorHAnsi"/>
        </w:rPr>
      </w:pPr>
      <w:r w:rsidRPr="00E676E1">
        <w:rPr>
          <w:rFonts w:asciiTheme="majorHAnsi" w:hAnsiTheme="majorHAnsi" w:cstheme="majorHAnsi"/>
        </w:rPr>
        <w:t>Those</w:t>
      </w:r>
      <w:r w:rsidR="00B949CC" w:rsidRPr="00E676E1">
        <w:rPr>
          <w:rFonts w:asciiTheme="majorHAnsi" w:hAnsiTheme="majorHAnsi" w:cstheme="majorHAnsi"/>
        </w:rPr>
        <w:t xml:space="preserve"> with opioid exposure have poorer clinic attendance</w:t>
      </w:r>
      <w:r w:rsidRPr="00E676E1">
        <w:rPr>
          <w:rFonts w:asciiTheme="majorHAnsi" w:hAnsiTheme="majorHAnsi" w:cstheme="majorHAnsi"/>
        </w:rPr>
        <w:t>,</w:t>
      </w:r>
      <w:r w:rsidR="00B949CC" w:rsidRPr="00E676E1">
        <w:rPr>
          <w:rFonts w:asciiTheme="majorHAnsi" w:hAnsiTheme="majorHAnsi" w:cstheme="majorHAnsi"/>
        </w:rPr>
        <w:t xml:space="preserve"> possibly leading to loss of follow up and an underestimate of opioid exposure. </w:t>
      </w:r>
      <w:r w:rsidRPr="00E676E1">
        <w:rPr>
          <w:rFonts w:asciiTheme="majorHAnsi" w:hAnsiTheme="majorHAnsi" w:cstheme="majorHAnsi"/>
        </w:rPr>
        <w:t>Drop out numbers were low and the majority of inpatients were followed up for the entire duration of the study (92.6% at 3-6 months and 90.7% at 12 months</w:t>
      </w:r>
      <w:r w:rsidR="00B07F9C" w:rsidRPr="00E676E1">
        <w:rPr>
          <w:rFonts w:asciiTheme="majorHAnsi" w:hAnsiTheme="majorHAnsi" w:cstheme="majorHAnsi"/>
        </w:rPr>
        <w:t xml:space="preserve"> [See Supplementary Information 5]) </w:t>
      </w:r>
      <w:r w:rsidRPr="00E676E1">
        <w:rPr>
          <w:rFonts w:asciiTheme="majorHAnsi" w:hAnsiTheme="majorHAnsi" w:cstheme="majorHAnsi"/>
        </w:rPr>
        <w:t xml:space="preserve">reducing this risk. </w:t>
      </w:r>
      <w:r w:rsidR="00B949CC" w:rsidRPr="00E676E1">
        <w:rPr>
          <w:rFonts w:asciiTheme="majorHAnsi" w:hAnsiTheme="majorHAnsi" w:cstheme="majorHAnsi"/>
        </w:rPr>
        <w:t>Conversely, complex patients requiring analgesia are followed up more regularly therefore opioid</w:t>
      </w:r>
      <w:r w:rsidRPr="00E676E1">
        <w:rPr>
          <w:rFonts w:asciiTheme="majorHAnsi" w:hAnsiTheme="majorHAnsi" w:cstheme="majorHAnsi"/>
        </w:rPr>
        <w:t>-use</w:t>
      </w:r>
      <w:r w:rsidR="00B949CC" w:rsidRPr="00E676E1">
        <w:rPr>
          <w:rFonts w:asciiTheme="majorHAnsi" w:hAnsiTheme="majorHAnsi" w:cstheme="majorHAnsi"/>
        </w:rPr>
        <w:t xml:space="preserve"> </w:t>
      </w:r>
      <w:r w:rsidR="004E467C" w:rsidRPr="00E676E1">
        <w:rPr>
          <w:rFonts w:asciiTheme="majorHAnsi" w:hAnsiTheme="majorHAnsi" w:cstheme="majorHAnsi"/>
        </w:rPr>
        <w:t>c</w:t>
      </w:r>
      <w:r w:rsidR="00B949CC" w:rsidRPr="00E676E1">
        <w:rPr>
          <w:rFonts w:asciiTheme="majorHAnsi" w:hAnsiTheme="majorHAnsi" w:cstheme="majorHAnsi"/>
        </w:rPr>
        <w:t>ould appear higher through selection bias</w:t>
      </w:r>
      <w:r w:rsidR="00F4211E" w:rsidRPr="00E676E1">
        <w:rPr>
          <w:rFonts w:asciiTheme="majorHAnsi" w:hAnsiTheme="majorHAnsi" w:cstheme="majorHAnsi"/>
        </w:rPr>
        <w:t xml:space="preserve"> however, there were no significant differences between individuals with follow up and those without (See Supplementary Information 6). </w:t>
      </w:r>
    </w:p>
    <w:p w14:paraId="624A08F7" w14:textId="43C541AF" w:rsidR="007D7CF5" w:rsidRPr="00E676E1" w:rsidRDefault="007D7CF5" w:rsidP="00B949CC">
      <w:pPr>
        <w:spacing w:line="480" w:lineRule="auto"/>
        <w:rPr>
          <w:rFonts w:asciiTheme="majorHAnsi" w:hAnsiTheme="majorHAnsi" w:cstheme="majorHAnsi"/>
        </w:rPr>
      </w:pPr>
      <w:r w:rsidRPr="00E676E1">
        <w:rPr>
          <w:rFonts w:asciiTheme="majorHAnsi" w:hAnsiTheme="majorHAnsi" w:cstheme="majorHAnsi"/>
        </w:rPr>
        <w:t xml:space="preserve">A number of variables, </w:t>
      </w:r>
      <w:r w:rsidR="00F43C00" w:rsidRPr="00E676E1">
        <w:rPr>
          <w:rFonts w:asciiTheme="majorHAnsi" w:hAnsiTheme="majorHAnsi" w:cstheme="majorHAnsi"/>
        </w:rPr>
        <w:t>including</w:t>
      </w:r>
      <w:r w:rsidRPr="00E676E1">
        <w:rPr>
          <w:rFonts w:asciiTheme="majorHAnsi" w:hAnsiTheme="majorHAnsi" w:cstheme="majorHAnsi"/>
        </w:rPr>
        <w:t xml:space="preserve"> age, duration of disease and severe PGA were not significantly associated with increased opioid use however, had the sample size been larger, these may have shown significance. Future work with larger datasets could explore these associations further.</w:t>
      </w:r>
      <w:r w:rsidR="00226D91" w:rsidRPr="00E676E1">
        <w:rPr>
          <w:rFonts w:asciiTheme="majorHAnsi" w:hAnsiTheme="majorHAnsi" w:cstheme="majorHAnsi"/>
        </w:rPr>
        <w:t xml:space="preserve"> Formal multiple testing a</w:t>
      </w:r>
      <w:r w:rsidR="004970C8" w:rsidRPr="00E676E1">
        <w:rPr>
          <w:rFonts w:asciiTheme="majorHAnsi" w:hAnsiTheme="majorHAnsi" w:cstheme="majorHAnsi"/>
        </w:rPr>
        <w:t>djustments were not made</w:t>
      </w:r>
      <w:r w:rsidR="00226D91" w:rsidRPr="00E676E1">
        <w:rPr>
          <w:rFonts w:asciiTheme="majorHAnsi" w:hAnsiTheme="majorHAnsi" w:cstheme="majorHAnsi"/>
        </w:rPr>
        <w:t xml:space="preserve"> </w:t>
      </w:r>
      <w:r w:rsidR="004970C8" w:rsidRPr="00E676E1">
        <w:rPr>
          <w:rFonts w:asciiTheme="majorHAnsi" w:hAnsiTheme="majorHAnsi" w:cstheme="majorHAnsi"/>
        </w:rPr>
        <w:t xml:space="preserve">in </w:t>
      </w:r>
      <w:r w:rsidR="00226D91" w:rsidRPr="00E676E1">
        <w:rPr>
          <w:rFonts w:asciiTheme="majorHAnsi" w:hAnsiTheme="majorHAnsi" w:cstheme="majorHAnsi"/>
        </w:rPr>
        <w:t xml:space="preserve">the multivariable analysis. </w:t>
      </w:r>
    </w:p>
    <w:p w14:paraId="30F10660" w14:textId="5F916599" w:rsidR="00F43C00" w:rsidRPr="00E676E1" w:rsidRDefault="00F43C00" w:rsidP="00F43C00">
      <w:pPr>
        <w:spacing w:line="480" w:lineRule="auto"/>
        <w:rPr>
          <w:rFonts w:asciiTheme="majorHAnsi" w:hAnsiTheme="majorHAnsi" w:cstheme="majorHAnsi"/>
        </w:rPr>
      </w:pPr>
      <w:r w:rsidRPr="00E676E1">
        <w:rPr>
          <w:rFonts w:asciiTheme="majorHAnsi" w:hAnsiTheme="majorHAnsi" w:cstheme="majorHAnsi"/>
        </w:rPr>
        <w:t>Finally, we recorded referrals to pain services for the outpatient cohort but we do not have prospective data to review the impact</w:t>
      </w:r>
      <w:r w:rsidR="004E467C" w:rsidRPr="00E676E1">
        <w:rPr>
          <w:rFonts w:asciiTheme="majorHAnsi" w:hAnsiTheme="majorHAnsi" w:cstheme="majorHAnsi"/>
        </w:rPr>
        <w:t xml:space="preserve">; this </w:t>
      </w:r>
      <w:r w:rsidRPr="00E676E1">
        <w:rPr>
          <w:rFonts w:asciiTheme="majorHAnsi" w:hAnsiTheme="majorHAnsi" w:cstheme="majorHAnsi"/>
        </w:rPr>
        <w:t xml:space="preserve">is assessed for the inpatient cohort. </w:t>
      </w:r>
    </w:p>
    <w:p w14:paraId="74B496DB" w14:textId="3E1E4F1D" w:rsidR="009E2E68" w:rsidRPr="00E676E1" w:rsidRDefault="009E2E68" w:rsidP="00D46918">
      <w:pPr>
        <w:spacing w:line="480" w:lineRule="auto"/>
        <w:rPr>
          <w:rFonts w:asciiTheme="majorHAnsi" w:hAnsiTheme="majorHAnsi" w:cstheme="majorHAnsi"/>
          <w:i/>
          <w:iCs/>
          <w:sz w:val="28"/>
          <w:szCs w:val="28"/>
        </w:rPr>
      </w:pPr>
      <w:r w:rsidRPr="00E676E1">
        <w:rPr>
          <w:rFonts w:asciiTheme="majorHAnsi" w:hAnsiTheme="majorHAnsi" w:cstheme="majorHAnsi"/>
          <w:i/>
          <w:iCs/>
          <w:sz w:val="28"/>
          <w:szCs w:val="28"/>
        </w:rPr>
        <w:t>Implications</w:t>
      </w:r>
    </w:p>
    <w:p w14:paraId="16461D12" w14:textId="047CFEF5" w:rsidR="00BC5958" w:rsidRPr="00E676E1" w:rsidRDefault="00BC5958" w:rsidP="00BC5958">
      <w:pPr>
        <w:spacing w:line="480" w:lineRule="auto"/>
        <w:rPr>
          <w:rFonts w:asciiTheme="majorHAnsi" w:hAnsiTheme="majorHAnsi" w:cstheme="majorHAnsi"/>
        </w:rPr>
      </w:pPr>
      <w:r w:rsidRPr="00E676E1">
        <w:rPr>
          <w:rFonts w:asciiTheme="majorHAnsi" w:hAnsiTheme="majorHAnsi" w:cstheme="majorHAnsi"/>
        </w:rPr>
        <w:lastRenderedPageBreak/>
        <w:t xml:space="preserve">Almost three quarters of patients exposed to opioids at 12 months after discharge were also exposed to opioids in the 3 months prior to admission, suggesting that chronic pain is an important factor in </w:t>
      </w:r>
      <w:r w:rsidR="009D0D91" w:rsidRPr="00E676E1">
        <w:rPr>
          <w:rFonts w:asciiTheme="majorHAnsi" w:hAnsiTheme="majorHAnsi" w:cstheme="majorHAnsi"/>
        </w:rPr>
        <w:t xml:space="preserve">continued </w:t>
      </w:r>
      <w:r w:rsidR="00AD71E5" w:rsidRPr="00E676E1">
        <w:rPr>
          <w:rFonts w:asciiTheme="majorHAnsi" w:hAnsiTheme="majorHAnsi" w:cstheme="majorHAnsi"/>
        </w:rPr>
        <w:t>opioid-</w:t>
      </w:r>
      <w:r w:rsidR="006A4851" w:rsidRPr="00E676E1">
        <w:rPr>
          <w:rFonts w:asciiTheme="majorHAnsi" w:hAnsiTheme="majorHAnsi" w:cstheme="majorHAnsi"/>
        </w:rPr>
        <w:t>use</w:t>
      </w:r>
      <w:r w:rsidRPr="00E676E1">
        <w:rPr>
          <w:rFonts w:asciiTheme="majorHAnsi" w:hAnsiTheme="majorHAnsi" w:cstheme="majorHAnsi"/>
        </w:rPr>
        <w:t>. Chronic pain is poorly controlled by opioids</w:t>
      </w:r>
      <w:r w:rsidRPr="00E676E1">
        <w:rPr>
          <w:rFonts w:asciiTheme="majorHAnsi" w:hAnsiTheme="majorHAnsi" w:cstheme="majorHAnsi"/>
        </w:rPr>
        <w:fldChar w:fldCharType="begin"/>
      </w:r>
      <w:r w:rsidR="003910A3" w:rsidRPr="00E676E1">
        <w:rPr>
          <w:rFonts w:asciiTheme="majorHAnsi" w:hAnsiTheme="majorHAnsi" w:cstheme="majorHAnsi"/>
        </w:rPr>
        <w:instrText xml:space="preserve"> ADDIN ZOTERO_ITEM CSL_CITATION {"citationID":"6GPgLxr3","properties":{"formattedCitation":"\\super 2\\nosupersub{}","plainCitation":"2","noteIndex":0},"citationItems":[{"id":17055,"uris":["http://zotero.org/users/5360735/items/IQSI9D9G"],"itemData":{"id":17055,"type":"document","title":"The effectiveness of opioids for long term pain. Opioids Aware.","URL":"https://www.fpm.ac.uk/opioids-aware-clinical-use-opioids/opioids-long-term-pain","author":[{"family":"","given":"Faculty of Pain Medicine."}],"accessed":{"date-parts":[["2022",8,5]]}}}],"schema":"https://github.com/citation-style-language/schema/raw/master/csl-citation.json"} </w:instrText>
      </w:r>
      <w:r w:rsidRPr="00E676E1">
        <w:rPr>
          <w:rFonts w:asciiTheme="majorHAnsi" w:hAnsiTheme="majorHAnsi" w:cstheme="majorHAnsi"/>
        </w:rPr>
        <w:fldChar w:fldCharType="separate"/>
      </w:r>
      <w:r w:rsidR="003910A3" w:rsidRPr="00E676E1">
        <w:rPr>
          <w:rFonts w:ascii="Calibri Light" w:hAnsiTheme="majorHAnsi" w:cs="Calibri Light"/>
          <w:vertAlign w:val="superscript"/>
        </w:rPr>
        <w:t>2</w:t>
      </w:r>
      <w:r w:rsidRPr="00E676E1">
        <w:rPr>
          <w:rFonts w:asciiTheme="majorHAnsi" w:hAnsiTheme="majorHAnsi" w:cstheme="majorHAnsi"/>
        </w:rPr>
        <w:fldChar w:fldCharType="end"/>
      </w:r>
      <w:r w:rsidRPr="00E676E1">
        <w:rPr>
          <w:rFonts w:asciiTheme="majorHAnsi" w:hAnsiTheme="majorHAnsi" w:cstheme="majorHAnsi"/>
        </w:rPr>
        <w:t xml:space="preserve"> and hospital admission offers an opportunity to identify persistent </w:t>
      </w:r>
      <w:r w:rsidR="00AD71E5" w:rsidRPr="00E676E1">
        <w:rPr>
          <w:rFonts w:asciiTheme="majorHAnsi" w:hAnsiTheme="majorHAnsi" w:cstheme="majorHAnsi"/>
        </w:rPr>
        <w:t>opioid-exposure</w:t>
      </w:r>
      <w:r w:rsidRPr="00E676E1">
        <w:rPr>
          <w:rFonts w:asciiTheme="majorHAnsi" w:hAnsiTheme="majorHAnsi" w:cstheme="majorHAnsi"/>
        </w:rPr>
        <w:t xml:space="preserve"> and to liaise with primary care regarding </w:t>
      </w:r>
      <w:r w:rsidR="009D0D91" w:rsidRPr="00E676E1">
        <w:rPr>
          <w:rFonts w:asciiTheme="majorHAnsi" w:hAnsiTheme="majorHAnsi" w:cstheme="majorHAnsi"/>
        </w:rPr>
        <w:t>opioid weaning</w:t>
      </w:r>
      <w:r w:rsidRPr="00E676E1">
        <w:rPr>
          <w:rFonts w:asciiTheme="majorHAnsi" w:hAnsiTheme="majorHAnsi" w:cstheme="majorHAnsi"/>
        </w:rPr>
        <w:t xml:space="preserve"> regime</w:t>
      </w:r>
      <w:r w:rsidR="00000635" w:rsidRPr="00E676E1">
        <w:rPr>
          <w:rFonts w:asciiTheme="majorHAnsi" w:hAnsiTheme="majorHAnsi" w:cstheme="majorHAnsi"/>
        </w:rPr>
        <w:t>n</w:t>
      </w:r>
      <w:r w:rsidRPr="00E676E1">
        <w:rPr>
          <w:rFonts w:asciiTheme="majorHAnsi" w:hAnsiTheme="majorHAnsi" w:cstheme="majorHAnsi"/>
        </w:rPr>
        <w:t>s</w:t>
      </w:r>
      <w:r w:rsidR="009D0D91" w:rsidRPr="00E676E1">
        <w:rPr>
          <w:rFonts w:asciiTheme="majorHAnsi" w:hAnsiTheme="majorHAnsi" w:cstheme="majorHAnsi"/>
        </w:rPr>
        <w:t>,</w:t>
      </w:r>
      <w:r w:rsidRPr="00E676E1">
        <w:rPr>
          <w:rFonts w:asciiTheme="majorHAnsi" w:hAnsiTheme="majorHAnsi" w:cstheme="majorHAnsi"/>
        </w:rPr>
        <w:t xml:space="preserve"> alternative a</w:t>
      </w:r>
      <w:r w:rsidR="009D0D91" w:rsidRPr="00E676E1">
        <w:rPr>
          <w:rFonts w:asciiTheme="majorHAnsi" w:hAnsiTheme="majorHAnsi" w:cstheme="majorHAnsi"/>
        </w:rPr>
        <w:t xml:space="preserve">nalgesics and referral to specialist </w:t>
      </w:r>
      <w:r w:rsidR="000A2804" w:rsidRPr="00E676E1">
        <w:rPr>
          <w:rFonts w:asciiTheme="majorHAnsi" w:hAnsiTheme="majorHAnsi" w:cstheme="majorHAnsi"/>
        </w:rPr>
        <w:t>pain service</w:t>
      </w:r>
      <w:r w:rsidR="009D0D91" w:rsidRPr="00E676E1">
        <w:rPr>
          <w:rFonts w:asciiTheme="majorHAnsi" w:hAnsiTheme="majorHAnsi" w:cstheme="majorHAnsi"/>
        </w:rPr>
        <w:t>s</w:t>
      </w:r>
      <w:r w:rsidR="009C47B1" w:rsidRPr="00E676E1">
        <w:rPr>
          <w:rFonts w:asciiTheme="majorHAnsi" w:hAnsiTheme="majorHAnsi" w:cstheme="majorHAnsi"/>
        </w:rPr>
        <w:t xml:space="preserve"> so better pain control can be achieved</w:t>
      </w:r>
      <w:r w:rsidR="009D0D91" w:rsidRPr="00E676E1">
        <w:rPr>
          <w:rFonts w:asciiTheme="majorHAnsi" w:hAnsiTheme="majorHAnsi" w:cstheme="majorHAnsi"/>
        </w:rPr>
        <w:t>.</w:t>
      </w:r>
    </w:p>
    <w:p w14:paraId="1AD5EDF8" w14:textId="18DE6CBD" w:rsidR="00BC5958" w:rsidRPr="00E676E1" w:rsidRDefault="00BC5958" w:rsidP="00BC5958">
      <w:pPr>
        <w:spacing w:line="480" w:lineRule="auto"/>
        <w:rPr>
          <w:rFonts w:asciiTheme="majorHAnsi" w:hAnsiTheme="majorHAnsi" w:cstheme="majorHAnsi"/>
        </w:rPr>
      </w:pPr>
      <w:r w:rsidRPr="00E676E1">
        <w:rPr>
          <w:rFonts w:asciiTheme="majorHAnsi" w:hAnsiTheme="majorHAnsi" w:cstheme="majorHAnsi"/>
        </w:rPr>
        <w:t>Over half the opioid</w:t>
      </w:r>
      <w:r w:rsidR="00000635" w:rsidRPr="00E676E1">
        <w:rPr>
          <w:rFonts w:asciiTheme="majorHAnsi" w:hAnsiTheme="majorHAnsi" w:cstheme="majorHAnsi"/>
        </w:rPr>
        <w:t>-</w:t>
      </w:r>
      <w:r w:rsidRPr="00E676E1">
        <w:rPr>
          <w:rFonts w:asciiTheme="majorHAnsi" w:hAnsiTheme="majorHAnsi" w:cstheme="majorHAnsi"/>
        </w:rPr>
        <w:t xml:space="preserve">exposed outpatient cohort used opioids for non-IBD indications, particularly musculoskeletal pain. </w:t>
      </w:r>
      <w:r w:rsidR="00CC385F" w:rsidRPr="00E676E1">
        <w:rPr>
          <w:rFonts w:asciiTheme="majorHAnsi" w:hAnsiTheme="majorHAnsi" w:cstheme="majorHAnsi"/>
        </w:rPr>
        <w:t>Of the 19 inpatients using strong opioids at 12 months, 13 were in remission or had mild disease and 5 had not been discharged with opioid medications, suggesting opioid</w:t>
      </w:r>
      <w:r w:rsidR="00C3732E" w:rsidRPr="00E676E1">
        <w:rPr>
          <w:rFonts w:asciiTheme="majorHAnsi" w:hAnsiTheme="majorHAnsi" w:cstheme="majorHAnsi"/>
        </w:rPr>
        <w:t>-</w:t>
      </w:r>
      <w:r w:rsidR="00CC385F" w:rsidRPr="00E676E1">
        <w:rPr>
          <w:rFonts w:asciiTheme="majorHAnsi" w:hAnsiTheme="majorHAnsi" w:cstheme="majorHAnsi"/>
        </w:rPr>
        <w:t>use at this point may not relate to their admission</w:t>
      </w:r>
      <w:r w:rsidR="00C3732E" w:rsidRPr="00E676E1">
        <w:rPr>
          <w:rFonts w:asciiTheme="majorHAnsi" w:hAnsiTheme="majorHAnsi" w:cstheme="majorHAnsi"/>
        </w:rPr>
        <w:t>,</w:t>
      </w:r>
      <w:r w:rsidR="00CC385F" w:rsidRPr="00E676E1">
        <w:rPr>
          <w:rFonts w:asciiTheme="majorHAnsi" w:hAnsiTheme="majorHAnsi" w:cstheme="majorHAnsi"/>
        </w:rPr>
        <w:t xml:space="preserve"> or IBD. </w:t>
      </w:r>
      <w:r w:rsidRPr="00E676E1">
        <w:rPr>
          <w:rFonts w:asciiTheme="majorHAnsi" w:hAnsiTheme="majorHAnsi" w:cstheme="majorHAnsi"/>
        </w:rPr>
        <w:t xml:space="preserve">Unfortunately, opioids are not beneficial in the management of long-term musculoskeletal pain </w:t>
      </w:r>
      <w:r w:rsidR="00CC385F" w:rsidRPr="00E676E1">
        <w:rPr>
          <w:rFonts w:asciiTheme="majorHAnsi" w:hAnsiTheme="majorHAnsi" w:cstheme="majorHAnsi"/>
        </w:rPr>
        <w:t xml:space="preserve">or chronic pain </w:t>
      </w:r>
      <w:r w:rsidRPr="00E676E1">
        <w:rPr>
          <w:rFonts w:asciiTheme="majorHAnsi" w:hAnsiTheme="majorHAnsi" w:cstheme="majorHAnsi"/>
        </w:rPr>
        <w:t>and thus are not recommended in UK guidelines</w:t>
      </w:r>
      <w:r w:rsidR="00183845" w:rsidRPr="00E676E1">
        <w:rPr>
          <w:rFonts w:asciiTheme="majorHAnsi" w:hAnsiTheme="majorHAnsi" w:cstheme="majorHAnsi"/>
        </w:rPr>
        <w:t>.</w:t>
      </w:r>
      <w:r w:rsidR="00584323" w:rsidRPr="00E676E1">
        <w:rPr>
          <w:rFonts w:asciiTheme="majorHAnsi" w:hAnsiTheme="majorHAnsi" w:cstheme="majorHAnsi"/>
        </w:rPr>
        <w:fldChar w:fldCharType="begin"/>
      </w:r>
      <w:r w:rsidR="00C3732E" w:rsidRPr="00E676E1">
        <w:rPr>
          <w:rFonts w:asciiTheme="majorHAnsi" w:hAnsiTheme="majorHAnsi" w:cstheme="majorHAnsi"/>
        </w:rPr>
        <w:instrText xml:space="preserve"> ADDIN ZOTERO_ITEM CSL_CITATION {"citationID":"zgOdoAJJ","properties":{"formattedCitation":"\\super 9,25\\uc0\\u8211{}27\\nosupersub{}","plainCitation":"9,25–27","noteIndex":0},"citationItems":[{"id":2043,"uris":["http://zotero.org/users/5360735/items/MSUDFGHA"],"itemData":{"id":2043,"type":"report","publisher":"National Institute for Health and Care Excellence","title":"Chronic pain (primary and secondary) in over sixteens: assessment of all chronic pain and management of chronic primary pain","URL":"https://www.nice.org.uk/guidance/ng193","issued":{"date-parts":[["2021",4,7]]}}},{"id":17092,"uris":["http://zotero.org/users/5360735/items/CIFD7LRT"],"itemData":{"id":17092,"type":"report","number":"NG100","title":"Rheumatoid arthritis in adults: management","URL":"www.nice.org.uk/guidance/ng100","author":[{"family":"National Institute for Health and Care Excellence","given":""}],"accessed":{"date-parts":[["2022",8,9]]},"issued":{"date-parts":[["2018",7,11]]}}},{"id":24046,"uris":["http://zotero.org/users/5360735/items/6MWMAD8W"],"itemData":{"id":24046,"type":"report","number":"NICE guideline [NG226]","publisher":"National Institute for Health and Care Excellence","title":"Osteoarthritis in over 16s: diagnosis and management","URL":"https://www.nice.org.uk/guidance/ng226","author":[{"family":"National Institute for Health and Care Excellence","given":""}],"accessed":{"date-parts":[["2023",2,4]]},"issued":{"date-parts":[["2022",10,19]]}}},{"id":24047,"uris":["http://zotero.org/users/5360735/items/WX293LMP"],"itemData":{"id":24047,"type":"report","number":"NICE guideline [NG59]","title":"Low back pain and sciatica in over 16s: assessment and management","URL":"https://www.nice.org.uk/guidance/NG59","author":[{"family":"National Institute for Health and Care Excellence","given":""}],"accessed":{"date-parts":[["2023",2,4]]},"issued":{"date-parts":[["2020",12,11]]}}}],"schema":"https://github.com/citation-style-language/schema/raw/master/csl-citation.json"} </w:instrText>
      </w:r>
      <w:r w:rsidR="00584323" w:rsidRPr="00E676E1">
        <w:rPr>
          <w:rFonts w:asciiTheme="majorHAnsi" w:hAnsiTheme="majorHAnsi" w:cstheme="majorHAnsi"/>
        </w:rPr>
        <w:fldChar w:fldCharType="separate"/>
      </w:r>
      <w:r w:rsidR="00C3732E" w:rsidRPr="00E676E1">
        <w:rPr>
          <w:rFonts w:ascii="Calibri Light" w:hAnsiTheme="majorHAnsi" w:cs="Calibri Light"/>
          <w:vertAlign w:val="superscript"/>
        </w:rPr>
        <w:t>9,25–27</w:t>
      </w:r>
      <w:r w:rsidR="00584323" w:rsidRPr="00E676E1">
        <w:rPr>
          <w:rFonts w:asciiTheme="majorHAnsi" w:hAnsiTheme="majorHAnsi" w:cstheme="majorHAnsi"/>
        </w:rPr>
        <w:fldChar w:fldCharType="end"/>
      </w:r>
      <w:r w:rsidR="00183845" w:rsidRPr="00E676E1">
        <w:rPr>
          <w:rFonts w:asciiTheme="majorHAnsi" w:hAnsiTheme="majorHAnsi" w:cstheme="majorHAnsi"/>
        </w:rPr>
        <w:t xml:space="preserve"> </w:t>
      </w:r>
      <w:r w:rsidRPr="00E676E1">
        <w:rPr>
          <w:rFonts w:asciiTheme="majorHAnsi" w:hAnsiTheme="majorHAnsi" w:cstheme="majorHAnsi"/>
        </w:rPr>
        <w:t xml:space="preserve">A holistic approach to assessing pain in IBD should </w:t>
      </w:r>
      <w:r w:rsidR="009D0D91" w:rsidRPr="00E676E1">
        <w:rPr>
          <w:rFonts w:asciiTheme="majorHAnsi" w:hAnsiTheme="majorHAnsi" w:cstheme="majorHAnsi"/>
        </w:rPr>
        <w:t>include assessment of other</w:t>
      </w:r>
      <w:r w:rsidRPr="00E676E1">
        <w:rPr>
          <w:rFonts w:asciiTheme="majorHAnsi" w:hAnsiTheme="majorHAnsi" w:cstheme="majorHAnsi"/>
        </w:rPr>
        <w:t xml:space="preserve"> painful conditions t</w:t>
      </w:r>
      <w:r w:rsidR="009D0D91" w:rsidRPr="00E676E1">
        <w:rPr>
          <w:rFonts w:asciiTheme="majorHAnsi" w:hAnsiTheme="majorHAnsi" w:cstheme="majorHAnsi"/>
        </w:rPr>
        <w:t xml:space="preserve">hat contribute to the risk of </w:t>
      </w:r>
      <w:r w:rsidR="00AD71E5" w:rsidRPr="00E676E1">
        <w:rPr>
          <w:rFonts w:asciiTheme="majorHAnsi" w:hAnsiTheme="majorHAnsi" w:cstheme="majorHAnsi"/>
        </w:rPr>
        <w:t>opioid-exposure</w:t>
      </w:r>
      <w:r w:rsidR="009D0D91" w:rsidRPr="00E676E1">
        <w:rPr>
          <w:rFonts w:asciiTheme="majorHAnsi" w:hAnsiTheme="majorHAnsi" w:cstheme="majorHAnsi"/>
        </w:rPr>
        <w:t>.</w:t>
      </w:r>
    </w:p>
    <w:p w14:paraId="1C16FFF0" w14:textId="607B478A" w:rsidR="00BC5958" w:rsidRPr="00E676E1" w:rsidRDefault="00BC5958" w:rsidP="00BC5958">
      <w:pPr>
        <w:spacing w:line="480" w:lineRule="auto"/>
        <w:rPr>
          <w:rFonts w:asciiTheme="majorHAnsi" w:hAnsiTheme="majorHAnsi" w:cstheme="majorHAnsi"/>
        </w:rPr>
      </w:pPr>
      <w:r w:rsidRPr="00E676E1">
        <w:rPr>
          <w:rFonts w:asciiTheme="majorHAnsi" w:hAnsiTheme="majorHAnsi" w:cstheme="majorHAnsi"/>
        </w:rPr>
        <w:t>More than half of outpatients with opioid-</w:t>
      </w:r>
      <w:r w:rsidR="006A4851" w:rsidRPr="00E676E1">
        <w:rPr>
          <w:rFonts w:asciiTheme="majorHAnsi" w:hAnsiTheme="majorHAnsi" w:cstheme="majorHAnsi"/>
        </w:rPr>
        <w:t>use</w:t>
      </w:r>
      <w:r w:rsidRPr="00E676E1">
        <w:rPr>
          <w:rFonts w:asciiTheme="majorHAnsi" w:hAnsiTheme="majorHAnsi" w:cstheme="majorHAnsi"/>
        </w:rPr>
        <w:t xml:space="preserve"> had active disease on reassessment</w:t>
      </w:r>
      <w:r w:rsidR="00CC385F" w:rsidRPr="00E676E1">
        <w:rPr>
          <w:rFonts w:asciiTheme="majorHAnsi" w:hAnsiTheme="majorHAnsi" w:cstheme="majorHAnsi"/>
        </w:rPr>
        <w:t xml:space="preserve"> and 6/19 inpatients using strong opioids at 12 months had a moder</w:t>
      </w:r>
      <w:r w:rsidR="00D71B71" w:rsidRPr="00E676E1">
        <w:rPr>
          <w:rFonts w:asciiTheme="majorHAnsi" w:hAnsiTheme="majorHAnsi" w:cstheme="majorHAnsi"/>
        </w:rPr>
        <w:t>a</w:t>
      </w:r>
      <w:r w:rsidR="00CC385F" w:rsidRPr="00E676E1">
        <w:rPr>
          <w:rFonts w:asciiTheme="majorHAnsi" w:hAnsiTheme="majorHAnsi" w:cstheme="majorHAnsi"/>
        </w:rPr>
        <w:t xml:space="preserve">te or severe PGA, </w:t>
      </w:r>
      <w:r w:rsidRPr="00E676E1">
        <w:rPr>
          <w:rFonts w:asciiTheme="majorHAnsi" w:hAnsiTheme="majorHAnsi" w:cstheme="majorHAnsi"/>
        </w:rPr>
        <w:t>indicating measures to control disease activity may reduce opioid requirement</w:t>
      </w:r>
      <w:r w:rsidR="009D0D91" w:rsidRPr="00E676E1">
        <w:rPr>
          <w:rFonts w:asciiTheme="majorHAnsi" w:hAnsiTheme="majorHAnsi" w:cstheme="majorHAnsi"/>
        </w:rPr>
        <w:t>s</w:t>
      </w:r>
      <w:r w:rsidRPr="00E676E1">
        <w:rPr>
          <w:rFonts w:asciiTheme="majorHAnsi" w:hAnsiTheme="majorHAnsi" w:cstheme="majorHAnsi"/>
        </w:rPr>
        <w:t>. New and persistent opioid use has been reported in a third of patients following disease flares in one study from the US</w:t>
      </w:r>
      <w:r w:rsidR="00584323" w:rsidRPr="00E676E1">
        <w:rPr>
          <w:rFonts w:asciiTheme="majorHAnsi" w:hAnsiTheme="majorHAnsi" w:cstheme="majorHAnsi"/>
        </w:rPr>
        <w:t>A</w:t>
      </w:r>
      <w:r w:rsidRPr="00E676E1">
        <w:rPr>
          <w:rFonts w:asciiTheme="majorHAnsi" w:hAnsiTheme="majorHAnsi" w:cstheme="majorHAnsi"/>
        </w:rPr>
        <w:t>.</w:t>
      </w:r>
      <w:r w:rsidRPr="00E676E1">
        <w:rPr>
          <w:rFonts w:asciiTheme="majorHAnsi" w:hAnsiTheme="majorHAnsi" w:cstheme="majorHAnsi"/>
        </w:rPr>
        <w:fldChar w:fldCharType="begin"/>
      </w:r>
      <w:r w:rsidR="00491A6F" w:rsidRPr="00E676E1">
        <w:rPr>
          <w:rFonts w:asciiTheme="majorHAnsi" w:hAnsiTheme="majorHAnsi" w:cstheme="majorHAnsi"/>
        </w:rPr>
        <w:instrText xml:space="preserve"> ADDIN ZOTERO_ITEM CSL_CITATION {"citationID":"3II2Q0qH","properties":{"formattedCitation":"\\super 28\\nosupersub{}","plainCitation":"28","noteIndex":0},"citationItems":[{"id":2190,"uris":["http://zotero.org/users/5360735/items/XQZBDL38"],"itemData":{"id":2190,"type":"article-journal","abstract":"BACKGROUND: Opioids are commonly prescribed to manage pain associated with inflammatory bowel disease (IBD). It is unknown what percentage of patients develop new persistent opioid use following a steroid-treated IBD flare. AIM: To identify the incidence and the predictors of new persistent opioid use following an IBD flare. METHODS: We used a national insurance claim dataset to identify patients with IBD who received an opioid medication around the time of a corticosteroid-treated IBD flare. Patients were stratified as previously opioid naïve, intermittent users, or chronic users. The incidence of persistent opioid use among the opioid-naïve cohort was evaluated along with associated predictors. RESULTS: We identified 15 119 IBD patients who received opioids around the time of a flare. 5411 (35.8%) were opioid-naïve patients of which 35.0% developed persistent opioid use after the flare. Factors associated with new persistent opioid use include a history of depression (hazard ratio [HR] 1.29, 95% confidence interval [CI] 1.13-1.47), substance abuse (HR 1.36, 95% CI 1.2-1.54), chronic obstructive pulmonary disease (COPD) (HR 1.17, 95% CI 1.04-1.3), as well as, Crohn's disease (HR 1.26, 95% CI 1.14-1.4) or indeterminate colitis (HR 1.6, 95% CI 1.36-1.88). CONCLUSIONS: New persistent opioid use is common in IBD patients who experience a flare, especially among those with mental health disorders, COPD, and Crohn's disease or indeterminate colitis. These findings can be helpful in risk-stratifying patients when choosing an acute pain therapy and providing counselling before choosing to prescribe opioids to opioid-naïve patients experiencing an IBD flare.","archive":"PubMed","archive_location":"30430615","container-title":"Alimentary pharmacology &amp; therapeutics","DOI":"10.1111/apt.15023","ISSN":"1365-2036","issue":"1","journalAbbreviation":"Aliment Pharmacol Ther","language":"eng","note":"edition: 2018/11/14","page":"74-83","title":"Incidence and predictors of new persistent opioid use following inflammatory bowel disease flares treated with oral corticosteroids","volume":"49","author":[{"family":"Noureldin","given":"Mohamed"},{"family":"Higgins","given":"Peter D R"},{"family":"Govani","given":"Shail M"},{"family":"Cohen-Mekelburg","given":"Shirley"},{"family":"Kenney","given":"Brooke C"},{"family":"Stidham","given":"Ryan W"},{"family":"Waljee","given":"Jennifer F"},{"family":"Waljee","given":"Akbar K"}],"issued":{"date-parts":[["2019",1]]}}}],"schema":"https://github.com/citation-style-language/schema/raw/master/csl-citation.json"} </w:instrText>
      </w:r>
      <w:r w:rsidRPr="00E676E1">
        <w:rPr>
          <w:rFonts w:asciiTheme="majorHAnsi" w:hAnsiTheme="majorHAnsi" w:cstheme="majorHAnsi"/>
        </w:rPr>
        <w:fldChar w:fldCharType="separate"/>
      </w:r>
      <w:r w:rsidR="00491A6F" w:rsidRPr="00E676E1">
        <w:rPr>
          <w:rFonts w:ascii="Calibri Light" w:hAnsiTheme="majorHAnsi" w:cs="Calibri Light"/>
          <w:vertAlign w:val="superscript"/>
        </w:rPr>
        <w:t>28</w:t>
      </w:r>
      <w:r w:rsidRPr="00E676E1">
        <w:rPr>
          <w:rFonts w:asciiTheme="majorHAnsi" w:hAnsiTheme="majorHAnsi" w:cstheme="majorHAnsi"/>
        </w:rPr>
        <w:fldChar w:fldCharType="end"/>
      </w:r>
      <w:r w:rsidRPr="00E676E1">
        <w:rPr>
          <w:rFonts w:asciiTheme="majorHAnsi" w:hAnsiTheme="majorHAnsi" w:cstheme="majorHAnsi"/>
        </w:rPr>
        <w:t xml:space="preserve"> </w:t>
      </w:r>
    </w:p>
    <w:p w14:paraId="1E7CDB36" w14:textId="4CBC1337" w:rsidR="00BC5958" w:rsidRPr="00E676E1" w:rsidRDefault="009D0D91" w:rsidP="009B50B3">
      <w:pPr>
        <w:spacing w:line="480" w:lineRule="auto"/>
        <w:rPr>
          <w:rFonts w:asciiTheme="majorHAnsi" w:hAnsiTheme="majorHAnsi" w:cstheme="majorHAnsi"/>
        </w:rPr>
      </w:pPr>
      <w:r w:rsidRPr="00E676E1">
        <w:rPr>
          <w:rFonts w:asciiTheme="majorHAnsi" w:hAnsiTheme="majorHAnsi" w:cstheme="majorHAnsi"/>
        </w:rPr>
        <w:t>Following admission to hospital</w:t>
      </w:r>
      <w:r w:rsidR="00BA6078" w:rsidRPr="00E676E1">
        <w:rPr>
          <w:rFonts w:asciiTheme="majorHAnsi" w:hAnsiTheme="majorHAnsi" w:cstheme="majorHAnsi"/>
        </w:rPr>
        <w:t>,</w:t>
      </w:r>
      <w:r w:rsidRPr="00E676E1">
        <w:rPr>
          <w:rFonts w:asciiTheme="majorHAnsi" w:hAnsiTheme="majorHAnsi" w:cstheme="majorHAnsi"/>
        </w:rPr>
        <w:t xml:space="preserve"> </w:t>
      </w:r>
      <w:r w:rsidR="00BA6078" w:rsidRPr="00E676E1">
        <w:rPr>
          <w:rFonts w:asciiTheme="majorHAnsi" w:hAnsiTheme="majorHAnsi" w:cstheme="majorHAnsi"/>
        </w:rPr>
        <w:t xml:space="preserve">the discharge </w:t>
      </w:r>
      <w:r w:rsidRPr="00E676E1">
        <w:rPr>
          <w:rFonts w:asciiTheme="majorHAnsi" w:hAnsiTheme="majorHAnsi" w:cstheme="majorHAnsi"/>
        </w:rPr>
        <w:t>opioid prescription should include</w:t>
      </w:r>
      <w:r w:rsidR="0096206A" w:rsidRPr="00E676E1">
        <w:rPr>
          <w:rFonts w:asciiTheme="majorHAnsi" w:hAnsiTheme="majorHAnsi" w:cstheme="majorHAnsi"/>
        </w:rPr>
        <w:t xml:space="preserve"> </w:t>
      </w:r>
      <w:r w:rsidR="00BA6078" w:rsidRPr="00E676E1">
        <w:rPr>
          <w:rFonts w:asciiTheme="majorHAnsi" w:hAnsiTheme="majorHAnsi" w:cstheme="majorHAnsi"/>
        </w:rPr>
        <w:t xml:space="preserve">a </w:t>
      </w:r>
      <w:r w:rsidR="0096206A" w:rsidRPr="00E676E1">
        <w:rPr>
          <w:rFonts w:asciiTheme="majorHAnsi" w:hAnsiTheme="majorHAnsi" w:cstheme="majorHAnsi"/>
        </w:rPr>
        <w:t>weaning plan to mitigate against the risk of persistent</w:t>
      </w:r>
      <w:r w:rsidR="00A8493F" w:rsidRPr="00E676E1">
        <w:rPr>
          <w:rFonts w:asciiTheme="majorHAnsi" w:hAnsiTheme="majorHAnsi" w:cstheme="majorHAnsi"/>
        </w:rPr>
        <w:t xml:space="preserve"> use</w:t>
      </w:r>
      <w:r w:rsidR="0096206A" w:rsidRPr="00E676E1">
        <w:rPr>
          <w:rFonts w:asciiTheme="majorHAnsi" w:hAnsiTheme="majorHAnsi" w:cstheme="majorHAnsi"/>
        </w:rPr>
        <w:t>.</w:t>
      </w:r>
      <w:r w:rsidR="00317284" w:rsidRPr="00E676E1">
        <w:rPr>
          <w:rFonts w:asciiTheme="majorHAnsi" w:hAnsiTheme="majorHAnsi" w:cstheme="majorHAnsi"/>
        </w:rPr>
        <w:fldChar w:fldCharType="begin"/>
      </w:r>
      <w:r w:rsidR="00491A6F" w:rsidRPr="00E676E1">
        <w:rPr>
          <w:rFonts w:asciiTheme="majorHAnsi" w:hAnsiTheme="majorHAnsi" w:cstheme="majorHAnsi"/>
        </w:rPr>
        <w:instrText xml:space="preserve"> ADDIN ZOTERO_ITEM CSL_CITATION {"citationID":"5fpmj58F","properties":{"formattedCitation":"\\super 24\\nosupersub{}","plainCitation":"24","noteIndex":0},"citationItems":[{"id":2044,"uris":["http://zotero.org/users/5360735/items/ZTJ8E79Y"],"itemData":{"id":2044,"type":"article-journal","abstract":"Objective To quantify the effects of varying opioid prescribing patterns after surgery on dependence, overdose, or abuse in an opioid naive population.Design Retrospective cohort study.Setting Surgical claims from a linked medical and pharmacy administrative database of 37 651 619 commercially insured patients between 2008 and 2016.Participants 1 015 116 opioid naive patients undergoing surgery.Main outcome measures Use of oral opioids after discharge as defined by refills and total dosage and duration of use. The primary outcome was a composite of misuse identified by a diagnostic code for opioid dependence, abuse, or overdose.Results 568 612 (56.0%) patients received postoperative opioids, and a code for abuse was identified for 5906 patients (0.6%, 183 per 100 000 person years). Total duration of opioid use was the strongest predictor of misuse, with each refill and additional week of opioid use associated with an adjusted increase in the rate of misuse of 44.0% (95% confidence interval 40.8% to 47.2%, P&amp;lt;0.001), and 19.9% increase in hazard (18.5% to 21.4%, P&amp;lt;0.001), respectively.Conclusions Each refill and week of opioid prescription is associated with a large increase in opioid misuse among opioid naive patients. The data from this study suggest that duration of the prescription rather than dosage is more strongly associated with ultimate misuse in the early postsurgical period. The analysis quantifies the association of prescribing choices on opioid misuse and identifies levers for possible impact.","container-title":"BMJ","DOI":"10.1136/bmj.j5790","journalAbbreviation":"BMJ","page":"j5790","title":"Postsurgical prescriptions for opioid naive patients and association with overdose and misuse: retrospective cohort study","volume":"360","author":[{"family":"Brat","given":"Gabriel A"},{"family":"Agniel","given":"Denis"},{"family":"Beam","given":"Andrew"},{"family":"Yorkgitis","given":"Brian"},{"family":"Bicket","given":"Mark"},{"family":"Homer","given":"Mark"},{"family":"Fox","given":"Kathe P"},{"family":"Knecht","given":"Daniel B"},{"family":"McMahill-Walraven","given":"Cheryl N"},{"family":"Palmer","given":"Nathan"},{"family":"Kohane","given":"Isaac"}],"issued":{"date-parts":[["2018",1,17]]}}}],"schema":"https://github.com/citation-style-language/schema/raw/master/csl-citation.json"} </w:instrText>
      </w:r>
      <w:r w:rsidR="00317284" w:rsidRPr="00E676E1">
        <w:rPr>
          <w:rFonts w:asciiTheme="majorHAnsi" w:hAnsiTheme="majorHAnsi" w:cstheme="majorHAnsi"/>
        </w:rPr>
        <w:fldChar w:fldCharType="separate"/>
      </w:r>
      <w:r w:rsidR="00491A6F" w:rsidRPr="00E676E1">
        <w:rPr>
          <w:rFonts w:ascii="Calibri Light" w:hAnsiTheme="majorHAnsi" w:cs="Calibri Light"/>
          <w:vertAlign w:val="superscript"/>
        </w:rPr>
        <w:t>24</w:t>
      </w:r>
      <w:r w:rsidR="00317284" w:rsidRPr="00E676E1">
        <w:rPr>
          <w:rFonts w:asciiTheme="majorHAnsi" w:hAnsiTheme="majorHAnsi" w:cstheme="majorHAnsi"/>
        </w:rPr>
        <w:fldChar w:fldCharType="end"/>
      </w:r>
      <w:r w:rsidR="00317284" w:rsidRPr="00E676E1">
        <w:rPr>
          <w:rFonts w:asciiTheme="majorHAnsi" w:hAnsiTheme="majorHAnsi" w:cstheme="majorHAnsi"/>
        </w:rPr>
        <w:fldChar w:fldCharType="begin"/>
      </w:r>
      <w:r w:rsidR="00317284" w:rsidRPr="00E676E1">
        <w:rPr>
          <w:rFonts w:asciiTheme="majorHAnsi" w:hAnsiTheme="majorHAnsi" w:cstheme="majorHAnsi"/>
        </w:rPr>
        <w:instrText xml:space="preserve"> ADDIN ZOTERO_TEMP </w:instrText>
      </w:r>
      <w:r w:rsidR="00317284" w:rsidRPr="00E676E1">
        <w:rPr>
          <w:rFonts w:asciiTheme="majorHAnsi" w:hAnsiTheme="majorHAnsi" w:cstheme="majorHAnsi"/>
        </w:rPr>
        <w:fldChar w:fldCharType="separate"/>
      </w:r>
      <w:r w:rsidR="00317284" w:rsidRPr="00E676E1">
        <w:rPr>
          <w:rFonts w:asciiTheme="majorHAnsi" w:hAnsiTheme="majorHAnsi" w:cstheme="majorHAnsi"/>
          <w:noProof/>
        </w:rPr>
        <w:t xml:space="preserve"> </w:t>
      </w:r>
      <w:r w:rsidR="00317284" w:rsidRPr="00E676E1">
        <w:rPr>
          <w:rFonts w:asciiTheme="majorHAnsi" w:hAnsiTheme="majorHAnsi" w:cstheme="majorHAnsi"/>
        </w:rPr>
        <w:fldChar w:fldCharType="end"/>
      </w:r>
      <w:r w:rsidR="00A8493F" w:rsidRPr="00E676E1">
        <w:rPr>
          <w:rFonts w:asciiTheme="majorHAnsi" w:hAnsiTheme="majorHAnsi" w:cstheme="majorHAnsi"/>
        </w:rPr>
        <w:t xml:space="preserve"> Intercollegiate guidelines </w:t>
      </w:r>
      <w:r w:rsidR="00884770" w:rsidRPr="00E676E1">
        <w:rPr>
          <w:rFonts w:asciiTheme="majorHAnsi" w:hAnsiTheme="majorHAnsi" w:cstheme="majorHAnsi"/>
        </w:rPr>
        <w:t xml:space="preserve">recommend </w:t>
      </w:r>
      <w:r w:rsidR="00A8493F" w:rsidRPr="00E676E1">
        <w:rPr>
          <w:rFonts w:asciiTheme="majorHAnsi" w:hAnsiTheme="majorHAnsi" w:cstheme="majorHAnsi"/>
        </w:rPr>
        <w:t xml:space="preserve">documenting </w:t>
      </w:r>
      <w:r w:rsidR="007E4B84" w:rsidRPr="00E676E1">
        <w:rPr>
          <w:rFonts w:asciiTheme="majorHAnsi" w:hAnsiTheme="majorHAnsi" w:cstheme="majorHAnsi"/>
        </w:rPr>
        <w:t>the</w:t>
      </w:r>
      <w:r w:rsidR="00A8493F" w:rsidRPr="00E676E1">
        <w:rPr>
          <w:rFonts w:asciiTheme="majorHAnsi" w:hAnsiTheme="majorHAnsi" w:cstheme="majorHAnsi"/>
        </w:rPr>
        <w:t xml:space="preserve"> dose and duration to ensure that acute opioid use does not progress to chronic exposure</w:t>
      </w:r>
      <w:r w:rsidR="00A8493F" w:rsidRPr="00E676E1">
        <w:rPr>
          <w:rFonts w:asciiTheme="majorHAnsi" w:hAnsiTheme="majorHAnsi" w:cstheme="majorHAnsi"/>
        </w:rPr>
        <w:fldChar w:fldCharType="begin"/>
      </w:r>
      <w:r w:rsidR="003910A3" w:rsidRPr="00E676E1">
        <w:rPr>
          <w:rFonts w:asciiTheme="majorHAnsi" w:hAnsiTheme="majorHAnsi" w:cstheme="majorHAnsi"/>
        </w:rPr>
        <w:instrText xml:space="preserve"> ADDIN ZOTERO_ITEM CSL_CITATION {"citationID":"m6fZmrYb","properties":{"formattedCitation":"\\super 8\\nosupersub{}","plainCitation":"8","noteIndex":0},"citationItems":[{"id":20,"uris":["http://zotero.org/users/5360735/items/GP8LZJPD"],"itemData":{"id":20,"type":"document","title":"Surgery and Opioids: Best Practice Guidelines 2021","author":[{"family":"Faculty of Pain Medicine","given":""}],"issued":{"date-parts":[["2021",3]]}}}],"schema":"https://github.com/citation-style-language/schema/raw/master/csl-citation.json"} </w:instrText>
      </w:r>
      <w:r w:rsidR="00A8493F" w:rsidRPr="00E676E1">
        <w:rPr>
          <w:rFonts w:asciiTheme="majorHAnsi" w:hAnsiTheme="majorHAnsi" w:cstheme="majorHAnsi"/>
        </w:rPr>
        <w:fldChar w:fldCharType="separate"/>
      </w:r>
      <w:r w:rsidR="003910A3" w:rsidRPr="00E676E1">
        <w:rPr>
          <w:rFonts w:ascii="Calibri Light" w:hAnsiTheme="majorHAnsi" w:cs="Calibri Light"/>
          <w:vertAlign w:val="superscript"/>
        </w:rPr>
        <w:t>8</w:t>
      </w:r>
      <w:r w:rsidR="00A8493F" w:rsidRPr="00E676E1">
        <w:rPr>
          <w:rFonts w:asciiTheme="majorHAnsi" w:hAnsiTheme="majorHAnsi" w:cstheme="majorHAnsi"/>
        </w:rPr>
        <w:fldChar w:fldCharType="end"/>
      </w:r>
      <w:r w:rsidR="00F76193" w:rsidRPr="00E676E1">
        <w:rPr>
          <w:rFonts w:asciiTheme="majorHAnsi" w:hAnsiTheme="majorHAnsi" w:cstheme="majorHAnsi"/>
        </w:rPr>
        <w:t xml:space="preserve"> and adherence to prescribing guidelines is associated with increased </w:t>
      </w:r>
      <w:r w:rsidR="00F76193" w:rsidRPr="00E676E1">
        <w:rPr>
          <w:rFonts w:asciiTheme="majorHAnsi" w:hAnsiTheme="majorHAnsi" w:cstheme="majorHAnsi"/>
        </w:rPr>
        <w:lastRenderedPageBreak/>
        <w:t>opioid discontinuation.</w:t>
      </w:r>
      <w:r w:rsidR="00F76193" w:rsidRPr="00E676E1">
        <w:rPr>
          <w:rFonts w:asciiTheme="majorHAnsi" w:hAnsiTheme="majorHAnsi" w:cstheme="majorHAnsi"/>
        </w:rPr>
        <w:fldChar w:fldCharType="begin"/>
      </w:r>
      <w:r w:rsidR="00F76193" w:rsidRPr="00E676E1">
        <w:rPr>
          <w:rFonts w:asciiTheme="majorHAnsi" w:hAnsiTheme="majorHAnsi" w:cstheme="majorHAnsi"/>
        </w:rPr>
        <w:instrText xml:space="preserve"> ADDIN ZOTERO_ITEM CSL_CITATION {"citationID":"6XcOqkZE","properties":{"formattedCitation":"\\super 29\\nosupersub{}","plainCitation":"29","noteIndex":0},"citationItems":[{"id":24162,"uris":["http://zotero.org/users/5360735/items/7JU7BGWJ"],"itemData":{"id":24162,"type":"article-journal","abstract":"Abstract\n            \n              Objective\n              To review interventions to reduce long term opioid treatment in people with chronic non-cancer pain, considering efficacy on dose reduction and discontinuation, pain, function, quality of life, withdrawal symptoms, substance use, and adverse events.\n            \n            \n              Design\n              Systematic review and meta-analysis of randomised controlled trials and non-randomised studies of interventions.\n            \n            \n              Data sources\n              Medline, Embase, PsycINFO, CINAHL, and the Cochrane Library searched from inception to July 2021. Reference lists and previous reviews were also searched and experts were contacted.\n            \n            \n              Eligibility criteria for study selection\n              Original research in English. Case reports and cross sectional studies were excluded.\n            \n            \n              Data extraction and synthesis\n              Two authors independently selected studies, extracted data, and used the Cochrane risk-of-bias tools for randomised and non-randomised studies (RoB 2 and ROBINS-I). Authors grouped interventions into five categories (pain self-management, complementary and alternative medicine, pharmacological and biomedical devices and interventions, opioid replacement treatment, and deprescription methods), estimated pooled effects using random effects meta-analytical models, and appraised the certainty of evidence using GRADE (grading of recommendations, assessment, development, and evaluation).\n            \n            \n              Results\n              \n                Of 166 studies meeting inclusion criteria, 130 (78%) were considered at critical risk of bias and were excluded from the evidence synthesis. Of the 36 included studies, few had comparable treatment arms and sample sizes were generally small. Consequently, the certainty of the evidence was low or very low for more than 90% (41/44) of GRADE outcomes, including for all non-opioid patient outcomes. Despite these limitations, evidence of moderate certainty indicated that interventions to support prescribers’ adherence to guidelines increased the likelihood of patients discontinuing opioid treatment (adjusted odds ratio 1.5, 95% confidence interval 1.0 to 2.1), and that these prescriber interventions as well as pain self-management programmes reduced opioid dose more than controls (intervention\n                v\n                control, mean difference –6.8 mg (standard error 1.6) daily oral morphine equivalent, P&lt;0.001; pain programme\n                v\n                control, −14.31 mg daily oral morphine equivalent, 95% confidence interval −21.57 to −7.05).\n              \n            \n            \n              Conclusions\n              Evidence on the reduction of long term opioid treatment for chronic pain continues to be constrained by poor study methodology. Of particular concern is the lack of evidence relating to possible harms. Agreed standards for designing and reporting studies on the reduction of opioid treatment are urgently needed.\n            \n            \n              Review registration\n              PROSPERO CRD42020140943.","container-title":"BMJ","DOI":"10.1136/bmj-2021-066375","ISSN":"1756-1833","journalAbbreviation":"BMJ","language":"en","page":"e066375","source":"DOI.org (Crossref)","title":"Efficacy of interventions to reduce long term opioid treatment for chronic non-cancer pain: systematic review and meta-analysis","title-short":"Efficacy of interventions to reduce long term opioid treatment for chronic non-cancer pain","author":[{"family":"Avery","given":"Nicholas"},{"family":"McNeilage","given":"Amy G"},{"family":"Stanaway","given":"Fiona"},{"family":"Ashton-James","given":"Claire E"},{"family":"Blyth","given":"Fiona M"},{"family":"Martin","given":"Rebecca"},{"family":"Gholamrezaei","given":"Ali"},{"family":"Glare","given":"Paul"}],"issued":{"date-parts":[["2022",4,4]]}}}],"schema":"https://github.com/citation-style-language/schema/raw/master/csl-citation.json"} </w:instrText>
      </w:r>
      <w:r w:rsidR="00F76193" w:rsidRPr="00E676E1">
        <w:rPr>
          <w:rFonts w:asciiTheme="majorHAnsi" w:hAnsiTheme="majorHAnsi" w:cstheme="majorHAnsi"/>
        </w:rPr>
        <w:fldChar w:fldCharType="separate"/>
      </w:r>
      <w:r w:rsidR="00F76193" w:rsidRPr="00E676E1">
        <w:rPr>
          <w:rFonts w:ascii="Calibri Light" w:hAnsiTheme="majorHAnsi" w:cs="Calibri Light"/>
          <w:vertAlign w:val="superscript"/>
        </w:rPr>
        <w:t>29</w:t>
      </w:r>
      <w:r w:rsidR="00F76193" w:rsidRPr="00E676E1">
        <w:rPr>
          <w:rFonts w:asciiTheme="majorHAnsi" w:hAnsiTheme="majorHAnsi" w:cstheme="majorHAnsi"/>
        </w:rPr>
        <w:fldChar w:fldCharType="end"/>
      </w:r>
      <w:r w:rsidR="00A8493F" w:rsidRPr="00E676E1">
        <w:rPr>
          <w:rFonts w:asciiTheme="majorHAnsi" w:hAnsiTheme="majorHAnsi" w:cstheme="majorHAnsi"/>
        </w:rPr>
        <w:t xml:space="preserve"> </w:t>
      </w:r>
      <w:r w:rsidR="00F76193" w:rsidRPr="00E676E1">
        <w:rPr>
          <w:rFonts w:asciiTheme="majorHAnsi" w:hAnsiTheme="majorHAnsi" w:cstheme="majorHAnsi"/>
        </w:rPr>
        <w:t xml:space="preserve">We found almost three quarters of patients were discharged without a weaning plan. </w:t>
      </w:r>
      <w:r w:rsidR="00A8493F" w:rsidRPr="00E676E1">
        <w:rPr>
          <w:rFonts w:asciiTheme="majorHAnsi" w:hAnsiTheme="majorHAnsi" w:cstheme="majorHAnsi"/>
        </w:rPr>
        <w:t xml:space="preserve">Our study underscores the need </w:t>
      </w:r>
      <w:r w:rsidR="0096206A" w:rsidRPr="00E676E1">
        <w:rPr>
          <w:rFonts w:asciiTheme="majorHAnsi" w:hAnsiTheme="majorHAnsi" w:cstheme="majorHAnsi"/>
        </w:rPr>
        <w:t>to clearly document the indication for opioid use and</w:t>
      </w:r>
      <w:r w:rsidR="00A8493F" w:rsidRPr="00E676E1">
        <w:rPr>
          <w:rFonts w:asciiTheme="majorHAnsi" w:hAnsiTheme="majorHAnsi" w:cstheme="majorHAnsi"/>
        </w:rPr>
        <w:t xml:space="preserve"> </w:t>
      </w:r>
      <w:r w:rsidR="00BA6078" w:rsidRPr="00E676E1">
        <w:rPr>
          <w:rFonts w:asciiTheme="majorHAnsi" w:hAnsiTheme="majorHAnsi" w:cstheme="majorHAnsi"/>
        </w:rPr>
        <w:t xml:space="preserve">the </w:t>
      </w:r>
      <w:r w:rsidR="00A8493F" w:rsidRPr="00E676E1">
        <w:rPr>
          <w:rFonts w:asciiTheme="majorHAnsi" w:hAnsiTheme="majorHAnsi" w:cstheme="majorHAnsi"/>
        </w:rPr>
        <w:t>opioid</w:t>
      </w:r>
      <w:r w:rsidR="00BA6078" w:rsidRPr="00E676E1">
        <w:rPr>
          <w:rFonts w:asciiTheme="majorHAnsi" w:hAnsiTheme="majorHAnsi" w:cstheme="majorHAnsi"/>
        </w:rPr>
        <w:t xml:space="preserve"> </w:t>
      </w:r>
      <w:r w:rsidR="00A8493F" w:rsidRPr="00E676E1">
        <w:rPr>
          <w:rFonts w:asciiTheme="majorHAnsi" w:hAnsiTheme="majorHAnsi" w:cstheme="majorHAnsi"/>
        </w:rPr>
        <w:t>weaning plan</w:t>
      </w:r>
      <w:r w:rsidR="00BA6078" w:rsidRPr="00E676E1">
        <w:rPr>
          <w:rFonts w:asciiTheme="majorHAnsi" w:hAnsiTheme="majorHAnsi" w:cstheme="majorHAnsi"/>
        </w:rPr>
        <w:t xml:space="preserve"> </w:t>
      </w:r>
      <w:r w:rsidR="000C0993" w:rsidRPr="00E676E1">
        <w:rPr>
          <w:rFonts w:asciiTheme="majorHAnsi" w:hAnsiTheme="majorHAnsi" w:cstheme="majorHAnsi"/>
        </w:rPr>
        <w:t>for</w:t>
      </w:r>
      <w:r w:rsidR="0096206A" w:rsidRPr="00E676E1">
        <w:rPr>
          <w:rFonts w:asciiTheme="majorHAnsi" w:hAnsiTheme="majorHAnsi" w:cstheme="majorHAnsi"/>
        </w:rPr>
        <w:t xml:space="preserve"> primary care colleagues on discharge</w:t>
      </w:r>
      <w:r w:rsidR="00F76193" w:rsidRPr="00E676E1">
        <w:rPr>
          <w:rFonts w:asciiTheme="majorHAnsi" w:hAnsiTheme="majorHAnsi" w:cstheme="majorHAnsi"/>
        </w:rPr>
        <w:t>.</w:t>
      </w:r>
    </w:p>
    <w:p w14:paraId="18C16AD7" w14:textId="5B698F4E" w:rsidR="003D4063" w:rsidRPr="00E676E1" w:rsidRDefault="00BC5958" w:rsidP="00BC5958">
      <w:pPr>
        <w:spacing w:line="480" w:lineRule="auto"/>
        <w:rPr>
          <w:rFonts w:asciiTheme="majorHAnsi" w:hAnsiTheme="majorHAnsi" w:cstheme="majorHAnsi"/>
        </w:rPr>
      </w:pPr>
      <w:r w:rsidRPr="00E676E1">
        <w:rPr>
          <w:rFonts w:asciiTheme="majorHAnsi" w:hAnsiTheme="majorHAnsi" w:cstheme="majorHAnsi"/>
        </w:rPr>
        <w:t>Fewer</w:t>
      </w:r>
      <w:r w:rsidRPr="00E676E1">
        <w:rPr>
          <w:rFonts w:asciiTheme="majorHAnsi" w:eastAsiaTheme="minorHAnsi" w:hAnsiTheme="majorHAnsi" w:cstheme="majorHAnsi"/>
          <w:lang w:eastAsia="en-US"/>
        </w:rPr>
        <w:t xml:space="preserve"> than 1 in 5 opioid</w:t>
      </w:r>
      <w:r w:rsidR="00BA6078" w:rsidRPr="00E676E1">
        <w:rPr>
          <w:rFonts w:asciiTheme="majorHAnsi" w:eastAsiaTheme="minorHAnsi" w:hAnsiTheme="majorHAnsi" w:cstheme="majorHAnsi"/>
          <w:lang w:eastAsia="en-US"/>
        </w:rPr>
        <w:t xml:space="preserve"> </w:t>
      </w:r>
      <w:r w:rsidRPr="00E676E1">
        <w:rPr>
          <w:rFonts w:asciiTheme="majorHAnsi" w:eastAsiaTheme="minorHAnsi" w:hAnsiTheme="majorHAnsi" w:cstheme="majorHAnsi"/>
          <w:lang w:eastAsia="en-US"/>
        </w:rPr>
        <w:t xml:space="preserve">exposed patients were referred to a </w:t>
      </w:r>
      <w:r w:rsidR="004E467C" w:rsidRPr="00E676E1">
        <w:rPr>
          <w:rFonts w:asciiTheme="majorHAnsi" w:eastAsiaTheme="minorHAnsi" w:hAnsiTheme="majorHAnsi" w:cstheme="majorHAnsi"/>
          <w:lang w:eastAsia="en-US"/>
        </w:rPr>
        <w:t xml:space="preserve">pain </w:t>
      </w:r>
      <w:r w:rsidRPr="00E676E1">
        <w:rPr>
          <w:rFonts w:asciiTheme="majorHAnsi" w:eastAsiaTheme="minorHAnsi" w:hAnsiTheme="majorHAnsi" w:cstheme="majorHAnsi"/>
          <w:lang w:eastAsia="en-US"/>
        </w:rPr>
        <w:t>specialist</w:t>
      </w:r>
      <w:r w:rsidR="004E467C" w:rsidRPr="00E676E1">
        <w:rPr>
          <w:rFonts w:asciiTheme="majorHAnsi" w:eastAsiaTheme="minorHAnsi" w:hAnsiTheme="majorHAnsi" w:cstheme="majorHAnsi"/>
          <w:lang w:eastAsia="en-US"/>
        </w:rPr>
        <w:t>,</w:t>
      </w:r>
      <w:r w:rsidRPr="00E676E1">
        <w:rPr>
          <w:rFonts w:asciiTheme="majorHAnsi" w:eastAsiaTheme="minorHAnsi" w:hAnsiTheme="majorHAnsi" w:cstheme="majorHAnsi"/>
          <w:lang w:eastAsia="en-US"/>
        </w:rPr>
        <w:t xml:space="preserve"> with </w:t>
      </w:r>
      <w:r w:rsidR="0096206A" w:rsidRPr="00E676E1">
        <w:rPr>
          <w:rFonts w:asciiTheme="majorHAnsi" w:eastAsiaTheme="minorHAnsi" w:hAnsiTheme="majorHAnsi" w:cstheme="majorHAnsi"/>
          <w:lang w:eastAsia="en-US"/>
        </w:rPr>
        <w:t xml:space="preserve">great variation across </w:t>
      </w:r>
      <w:r w:rsidRPr="00E676E1">
        <w:rPr>
          <w:rFonts w:asciiTheme="majorHAnsi" w:eastAsiaTheme="minorHAnsi" w:hAnsiTheme="majorHAnsi" w:cstheme="majorHAnsi"/>
          <w:lang w:eastAsia="en-US"/>
        </w:rPr>
        <w:t>sites</w:t>
      </w:r>
      <w:r w:rsidR="00DC2DBB" w:rsidRPr="00E676E1">
        <w:rPr>
          <w:rFonts w:asciiTheme="majorHAnsi" w:eastAsiaTheme="minorHAnsi" w:hAnsiTheme="majorHAnsi" w:cstheme="majorHAnsi"/>
          <w:lang w:eastAsia="en-US"/>
        </w:rPr>
        <w:t xml:space="preserve"> yet those who were referred to pain services were more likely to </w:t>
      </w:r>
      <w:r w:rsidR="00D71B71" w:rsidRPr="00E676E1">
        <w:rPr>
          <w:rFonts w:asciiTheme="majorHAnsi" w:eastAsiaTheme="minorHAnsi" w:hAnsiTheme="majorHAnsi" w:cstheme="majorHAnsi"/>
          <w:lang w:eastAsia="en-US"/>
        </w:rPr>
        <w:t>attempt a</w:t>
      </w:r>
      <w:r w:rsidR="00DC2DBB" w:rsidRPr="00E676E1">
        <w:rPr>
          <w:rFonts w:asciiTheme="majorHAnsi" w:eastAsiaTheme="minorHAnsi" w:hAnsiTheme="majorHAnsi" w:cstheme="majorHAnsi"/>
          <w:lang w:eastAsia="en-US"/>
        </w:rPr>
        <w:t xml:space="preserve"> wean</w:t>
      </w:r>
      <w:r w:rsidR="00D71B71" w:rsidRPr="00E676E1">
        <w:rPr>
          <w:rFonts w:asciiTheme="majorHAnsi" w:eastAsiaTheme="minorHAnsi" w:hAnsiTheme="majorHAnsi" w:cstheme="majorHAnsi"/>
          <w:lang w:eastAsia="en-US"/>
        </w:rPr>
        <w:t xml:space="preserve"> of</w:t>
      </w:r>
      <w:r w:rsidR="00DC2DBB" w:rsidRPr="00E676E1">
        <w:rPr>
          <w:rFonts w:asciiTheme="majorHAnsi" w:eastAsiaTheme="minorHAnsi" w:hAnsiTheme="majorHAnsi" w:cstheme="majorHAnsi"/>
          <w:lang w:eastAsia="en-US"/>
        </w:rPr>
        <w:t xml:space="preserve"> opioids</w:t>
      </w:r>
      <w:r w:rsidRPr="00E676E1">
        <w:rPr>
          <w:rFonts w:asciiTheme="majorHAnsi" w:eastAsiaTheme="minorHAnsi" w:hAnsiTheme="majorHAnsi" w:cstheme="majorHAnsi"/>
          <w:lang w:eastAsia="en-US"/>
        </w:rPr>
        <w:t xml:space="preserve">.  Ease of access to </w:t>
      </w:r>
      <w:r w:rsidR="000A2804" w:rsidRPr="00E676E1">
        <w:rPr>
          <w:rFonts w:asciiTheme="majorHAnsi" w:eastAsiaTheme="minorHAnsi" w:hAnsiTheme="majorHAnsi" w:cstheme="majorHAnsi"/>
          <w:lang w:eastAsia="en-US"/>
        </w:rPr>
        <w:t>pain service</w:t>
      </w:r>
      <w:r w:rsidRPr="00E676E1">
        <w:rPr>
          <w:rFonts w:asciiTheme="majorHAnsi" w:eastAsiaTheme="minorHAnsi" w:hAnsiTheme="majorHAnsi" w:cstheme="majorHAnsi"/>
          <w:lang w:eastAsia="en-US"/>
        </w:rPr>
        <w:t xml:space="preserve">s varied, as </w:t>
      </w:r>
      <w:r w:rsidR="00BA6078" w:rsidRPr="00E676E1">
        <w:rPr>
          <w:rFonts w:asciiTheme="majorHAnsi" w:eastAsiaTheme="minorHAnsi" w:hAnsiTheme="majorHAnsi" w:cstheme="majorHAnsi"/>
          <w:lang w:eastAsia="en-US"/>
        </w:rPr>
        <w:t>did</w:t>
      </w:r>
      <w:r w:rsidRPr="00E676E1">
        <w:rPr>
          <w:rFonts w:asciiTheme="majorHAnsi" w:eastAsiaTheme="minorHAnsi" w:hAnsiTheme="majorHAnsi" w:cstheme="majorHAnsi"/>
          <w:lang w:eastAsia="en-US"/>
        </w:rPr>
        <w:t xml:space="preserve"> the capacity and the integration of </w:t>
      </w:r>
      <w:r w:rsidR="000A2804" w:rsidRPr="00E676E1">
        <w:rPr>
          <w:rFonts w:asciiTheme="majorHAnsi" w:eastAsiaTheme="minorHAnsi" w:hAnsiTheme="majorHAnsi" w:cstheme="majorHAnsi"/>
          <w:lang w:eastAsia="en-US"/>
        </w:rPr>
        <w:t>pain service</w:t>
      </w:r>
      <w:r w:rsidRPr="00E676E1">
        <w:rPr>
          <w:rFonts w:asciiTheme="majorHAnsi" w:eastAsiaTheme="minorHAnsi" w:hAnsiTheme="majorHAnsi" w:cstheme="majorHAnsi"/>
          <w:lang w:eastAsia="en-US"/>
        </w:rPr>
        <w:t xml:space="preserve">s within the multi-disciplinary </w:t>
      </w:r>
      <w:r w:rsidR="0096206A" w:rsidRPr="00E676E1">
        <w:rPr>
          <w:rFonts w:asciiTheme="majorHAnsi" w:eastAsiaTheme="minorHAnsi" w:hAnsiTheme="majorHAnsi" w:cstheme="majorHAnsi"/>
          <w:lang w:eastAsia="en-US"/>
        </w:rPr>
        <w:t xml:space="preserve">IBD </w:t>
      </w:r>
      <w:r w:rsidRPr="00E676E1">
        <w:rPr>
          <w:rFonts w:asciiTheme="majorHAnsi" w:eastAsiaTheme="minorHAnsi" w:hAnsiTheme="majorHAnsi" w:cstheme="majorHAnsi"/>
          <w:lang w:eastAsia="en-US"/>
        </w:rPr>
        <w:t>team.</w:t>
      </w:r>
    </w:p>
    <w:p w14:paraId="4B85547A" w14:textId="44205D92" w:rsidR="001D19DF" w:rsidRPr="00E676E1" w:rsidRDefault="001D19DF" w:rsidP="001D19DF">
      <w:pPr>
        <w:spacing w:line="480" w:lineRule="auto"/>
        <w:rPr>
          <w:rFonts w:asciiTheme="majorHAnsi" w:hAnsiTheme="majorHAnsi" w:cstheme="majorHAnsi"/>
        </w:rPr>
      </w:pPr>
      <w:r w:rsidRPr="00E676E1">
        <w:rPr>
          <w:rFonts w:asciiTheme="majorHAnsi" w:hAnsiTheme="majorHAnsi" w:cstheme="majorHAnsi"/>
        </w:rPr>
        <w:t xml:space="preserve">Pain management continues to be an unmet need for patients with IBD that cannot be resolved </w:t>
      </w:r>
      <w:r w:rsidR="002C4A7E" w:rsidRPr="00E676E1">
        <w:rPr>
          <w:rFonts w:asciiTheme="majorHAnsi" w:hAnsiTheme="majorHAnsi" w:cstheme="majorHAnsi"/>
        </w:rPr>
        <w:t>by</w:t>
      </w:r>
      <w:r w:rsidRPr="00E676E1">
        <w:rPr>
          <w:rFonts w:asciiTheme="majorHAnsi" w:hAnsiTheme="majorHAnsi" w:cstheme="majorHAnsi"/>
        </w:rPr>
        <w:t xml:space="preserve"> disease control alone</w:t>
      </w:r>
      <w:r w:rsidR="002C4A7E" w:rsidRPr="00E676E1">
        <w:rPr>
          <w:rFonts w:asciiTheme="majorHAnsi" w:hAnsiTheme="majorHAnsi" w:cstheme="majorHAnsi"/>
        </w:rPr>
        <w:t>, given</w:t>
      </w:r>
      <w:r w:rsidRPr="00E676E1">
        <w:rPr>
          <w:rFonts w:asciiTheme="majorHAnsi" w:hAnsiTheme="majorHAnsi" w:cstheme="majorHAnsi"/>
        </w:rPr>
        <w:t xml:space="preserve"> 20-50% of </w:t>
      </w:r>
      <w:r w:rsidR="002C4A7E" w:rsidRPr="00E676E1">
        <w:rPr>
          <w:rFonts w:asciiTheme="majorHAnsi" w:hAnsiTheme="majorHAnsi" w:cstheme="majorHAnsi"/>
        </w:rPr>
        <w:t xml:space="preserve">IBD </w:t>
      </w:r>
      <w:r w:rsidRPr="00E676E1">
        <w:rPr>
          <w:rFonts w:asciiTheme="majorHAnsi" w:hAnsiTheme="majorHAnsi" w:cstheme="majorHAnsi"/>
        </w:rPr>
        <w:t xml:space="preserve">patients </w:t>
      </w:r>
      <w:r w:rsidR="002C4A7E" w:rsidRPr="00E676E1">
        <w:rPr>
          <w:rFonts w:asciiTheme="majorHAnsi" w:hAnsiTheme="majorHAnsi" w:cstheme="majorHAnsi"/>
        </w:rPr>
        <w:t>continue</w:t>
      </w:r>
      <w:r w:rsidRPr="00E676E1">
        <w:rPr>
          <w:rFonts w:asciiTheme="majorHAnsi" w:hAnsiTheme="majorHAnsi" w:cstheme="majorHAnsi"/>
        </w:rPr>
        <w:t xml:space="preserve"> to experience pain in remission</w:t>
      </w:r>
      <w:r w:rsidR="00491A6F" w:rsidRPr="00E676E1">
        <w:rPr>
          <w:rFonts w:asciiTheme="majorHAnsi" w:hAnsiTheme="majorHAnsi" w:cstheme="majorHAnsi"/>
        </w:rPr>
        <w:t>.</w:t>
      </w:r>
      <w:r w:rsidR="00491A6F" w:rsidRPr="00E676E1">
        <w:rPr>
          <w:rFonts w:asciiTheme="majorHAnsi" w:hAnsiTheme="majorHAnsi" w:cstheme="majorHAnsi"/>
          <w:vertAlign w:val="superscript"/>
        </w:rPr>
        <w:fldChar w:fldCharType="begin"/>
      </w:r>
      <w:r w:rsidR="00F76193" w:rsidRPr="00E676E1">
        <w:rPr>
          <w:rFonts w:asciiTheme="majorHAnsi" w:hAnsiTheme="majorHAnsi" w:cstheme="majorHAnsi"/>
          <w:vertAlign w:val="superscript"/>
        </w:rPr>
        <w:instrText xml:space="preserve"> ADDIN ZOTERO_ITEM CSL_CITATION {"citationID":"oaQjYAfN","properties":{"formattedCitation":"\\super 30\\nosupersub{}","plainCitation":"30","noteIndex":0},"citationItems":[{"id":2008,"uris":["http://zotero.org/users/5360735/items/ZDMMTIZG"],"itemData":{"id":2008,"type":"article-journal","abstract":"Symptoms of functional gastrointestinal disorders (FGID) associated with mood disorders (MD), such as depression and anxiety, occur in some patients with quiescent inflammatory bowel disease (IBD) and could be caused by changes in gut motility, visceral hypersensitivity, or psychological dysfunction. We assessed the prevalence of FGID symptoms and mood disorders in ambulatory patients with quiescent IBD and examined their impact on health-related quality of life (HRQOL) and use of health resources.Consecutive ambulatory patients with IBD completed a survey of Rome II criteria for FGID, the Hospital Anxiety and Depression Survey, HRQOL indices, and health resource utilization. Logistic and linear regression analyses tested for predictors of FGID and HRQOL.Of 361 patients surveyed, 149 (44 ulcerative colitis [UC] and 105 Crohn's disease [CD]) had inactive IBD during the previous 12 months. Symptoms of at least 1 FGID occurred in 81.9%. Functional anorectal disorders were the most prevalent (53.7%) followed by functional bowel disorders (51.7%), and both were of greater prevalence than in the Canadian population (41.6% and 22.6%, respectively). Irritable bowel syndrome symptoms were more common in inactive CD than in UC (26% versus 9.1%, P = .01) and functional constipation was more common in inactive UC than in CD (26.2% versus 5.8%, P &amp;lt; .01). MD occurred in 27.3% of UC and 31.3% of CD patients. Age ≥40 years and anxiety independently predicted an FGID. Both FGID symptoms and MD were associated with impaired HRQOL and increased use of health services.Many patients with inactive IBD have symptoms compatible with FGID. Both FGID-like symptoms and MD are associated with impaired HRQOL and increased health resource utilization. Recognition and treatment of FGID and MD could potentially improve daily functioning of IBD patients.","container-title":"Inflammatory Bowel Diseases","DOI":"10.1097/01.MIB.0000195391.49762.89","ISSN":"1078-0998","issue":"1","journalAbbreviation":"Inflammatory Bowel Diseases","page":"38-46","title":"Functional Gastrointestinal Disorders and Mood Disorders in Patients with Inactive Inflammatory Bowel Disease: Prevalence and Impact on Health","volume":"12","author":[{"family":"Farrokhyar","given":"Forough"},{"family":"Marshall","given":"John K"},{"family":"Easterbrook","given":"Brock"},{"family":"Irvine","given":"Jan E"}],"issued":{"date-parts":[["2006",1,1]]}}}],"schema":"https://github.com/citation-style-language/schema/raw/master/csl-citation.json"} </w:instrText>
      </w:r>
      <w:r w:rsidR="00491A6F" w:rsidRPr="00E676E1">
        <w:rPr>
          <w:rFonts w:asciiTheme="majorHAnsi" w:hAnsiTheme="majorHAnsi" w:cstheme="majorHAnsi"/>
          <w:vertAlign w:val="superscript"/>
        </w:rPr>
        <w:fldChar w:fldCharType="separate"/>
      </w:r>
      <w:r w:rsidR="00F76193" w:rsidRPr="00E676E1">
        <w:rPr>
          <w:rFonts w:ascii="Calibri Light" w:hAnsiTheme="majorHAnsi" w:cs="Calibri Light"/>
          <w:vertAlign w:val="superscript"/>
        </w:rPr>
        <w:t>30</w:t>
      </w:r>
      <w:r w:rsidR="00491A6F" w:rsidRPr="00E676E1">
        <w:rPr>
          <w:rFonts w:asciiTheme="majorHAnsi" w:hAnsiTheme="majorHAnsi" w:cstheme="majorHAnsi"/>
          <w:vertAlign w:val="superscript"/>
        </w:rPr>
        <w:fldChar w:fldCharType="end"/>
      </w:r>
      <w:r w:rsidR="00491A6F" w:rsidRPr="00E676E1">
        <w:rPr>
          <w:rFonts w:asciiTheme="majorHAnsi" w:hAnsiTheme="majorHAnsi" w:cstheme="majorHAnsi"/>
          <w:vertAlign w:val="superscript"/>
        </w:rPr>
        <w:t>,</w:t>
      </w:r>
      <w:r w:rsidR="00491A6F" w:rsidRPr="00E676E1">
        <w:rPr>
          <w:rFonts w:asciiTheme="majorHAnsi" w:hAnsiTheme="majorHAnsi" w:cstheme="majorHAnsi"/>
          <w:vertAlign w:val="superscript"/>
        </w:rPr>
        <w:fldChar w:fldCharType="begin"/>
      </w:r>
      <w:r w:rsidR="00F76193" w:rsidRPr="00E676E1">
        <w:rPr>
          <w:rFonts w:asciiTheme="majorHAnsi" w:hAnsiTheme="majorHAnsi" w:cstheme="majorHAnsi"/>
          <w:vertAlign w:val="superscript"/>
        </w:rPr>
        <w:instrText xml:space="preserve"> ADDIN ZOTERO_ITEM CSL_CITATION {"citationID":"GF2jMeuK","properties":{"formattedCitation":"\\super 31\\nosupersub{}","plainCitation":"31","noteIndex":0},"citationItems":[{"id":1948,"uris":["http://zotero.org/users/5360735/items/Z3DHPDD9"],"itemData":{"id":1948,"type":"article-journal","abstract":"INTRODUCTION: Visceral pain is a symptom reported by over 70% of inflammatory bowel disease (IBD) sufferers. So far, a single, specific cause of this debilitating state has not been established. Chronic pain is one of the most important factors decreasing the quality of life in IBD course. Concurrently, management of pain is the most challenging issue encountered by clinicians in IBD treatment. AREAS COVERED: This review focuses on pathophysiology of inflammatory bowel disease-caused visceral pain and explores currently available approaches to its management. We also covered recent pharmacological developments in the field. CONCLUSIONS: Pain-related disability has major effects on quality of life and on functional and social outcomes in IBD patients. Currently, there is no one standardized method of managing chronic visceral pain in IBD. Therefore, future development, focusing primarily on alleviating the pain, but also on reducing inflammation, is essential.","archive":"PubMed","archive_location":"30564910","container-title":"International journal of colorectal disease","DOI":"10.1007/s00384-018-3218-0","ISSN":"1432-1262","issue":"2","journalAbbreviation":"Int J Colorectal Dis","language":"eng","note":"edition: 2018/12/19\npublisher: Springer Berlin Heidelberg","page":"217-227","title":"Focus on current and future management possibilities in inflammatory bowel disease-related chronic pain","volume":"34","author":[{"family":"Zielińska","given":"Anna"},{"family":"Sałaga","given":"Maciej"},{"family":"Włodarczyk","given":"Marcin"},{"family":"Fichna","given":"Jakub"}],"issued":{"date-parts":[["2019",2]]}}}],"schema":"https://github.com/citation-style-language/schema/raw/master/csl-citation.json"} </w:instrText>
      </w:r>
      <w:r w:rsidR="00491A6F" w:rsidRPr="00E676E1">
        <w:rPr>
          <w:rFonts w:asciiTheme="majorHAnsi" w:hAnsiTheme="majorHAnsi" w:cstheme="majorHAnsi"/>
          <w:vertAlign w:val="superscript"/>
        </w:rPr>
        <w:fldChar w:fldCharType="separate"/>
      </w:r>
      <w:r w:rsidR="00F76193" w:rsidRPr="00E676E1">
        <w:rPr>
          <w:rFonts w:ascii="Calibri Light" w:hAnsiTheme="majorHAnsi" w:cs="Calibri Light"/>
          <w:vertAlign w:val="superscript"/>
        </w:rPr>
        <w:t>31</w:t>
      </w:r>
      <w:r w:rsidR="00491A6F" w:rsidRPr="00E676E1">
        <w:rPr>
          <w:rFonts w:asciiTheme="majorHAnsi" w:hAnsiTheme="majorHAnsi" w:cstheme="majorHAnsi"/>
          <w:vertAlign w:val="superscript"/>
        </w:rPr>
        <w:fldChar w:fldCharType="end"/>
      </w:r>
      <w:r w:rsidRPr="00E676E1">
        <w:rPr>
          <w:rFonts w:asciiTheme="majorHAnsi" w:hAnsiTheme="majorHAnsi" w:cstheme="majorHAnsi"/>
          <w:vertAlign w:val="superscript"/>
        </w:rPr>
        <w:t xml:space="preserve"> </w:t>
      </w:r>
      <w:r w:rsidRPr="00E676E1">
        <w:rPr>
          <w:rFonts w:asciiTheme="majorHAnsi" w:hAnsiTheme="majorHAnsi" w:cstheme="majorHAnsi"/>
        </w:rPr>
        <w:t>Pain management should be patient-</w:t>
      </w:r>
      <w:r w:rsidR="007F17D3" w:rsidRPr="00E676E1">
        <w:rPr>
          <w:rFonts w:asciiTheme="majorHAnsi" w:hAnsiTheme="majorHAnsi" w:cstheme="majorHAnsi"/>
        </w:rPr>
        <w:t>centred</w:t>
      </w:r>
      <w:r w:rsidR="002C4A7E" w:rsidRPr="00E676E1">
        <w:rPr>
          <w:rFonts w:asciiTheme="majorHAnsi" w:hAnsiTheme="majorHAnsi" w:cstheme="majorHAnsi"/>
        </w:rPr>
        <w:t xml:space="preserve">, including the use of </w:t>
      </w:r>
      <w:r w:rsidRPr="00E676E1">
        <w:rPr>
          <w:rFonts w:asciiTheme="majorHAnsi" w:hAnsiTheme="majorHAnsi" w:cstheme="majorHAnsi"/>
        </w:rPr>
        <w:t>non-</w:t>
      </w:r>
      <w:r w:rsidR="002C4A7E" w:rsidRPr="00E676E1">
        <w:rPr>
          <w:rFonts w:asciiTheme="majorHAnsi" w:hAnsiTheme="majorHAnsi" w:cstheme="majorHAnsi"/>
        </w:rPr>
        <w:t>pharmacological approaches such as behavioural therapies</w:t>
      </w:r>
      <w:r w:rsidR="00491A6F" w:rsidRPr="00E676E1">
        <w:rPr>
          <w:rFonts w:asciiTheme="majorHAnsi" w:hAnsiTheme="majorHAnsi" w:cstheme="majorHAnsi"/>
        </w:rPr>
        <w:t xml:space="preserve"> and</w:t>
      </w:r>
      <w:r w:rsidR="002C4A7E" w:rsidRPr="00E676E1">
        <w:rPr>
          <w:rFonts w:asciiTheme="majorHAnsi" w:hAnsiTheme="majorHAnsi" w:cstheme="majorHAnsi"/>
        </w:rPr>
        <w:t xml:space="preserve"> lifestyle modifications</w:t>
      </w:r>
      <w:r w:rsidR="00211F1A" w:rsidRPr="00E676E1">
        <w:rPr>
          <w:rFonts w:asciiTheme="majorHAnsi" w:hAnsiTheme="majorHAnsi" w:cstheme="majorHAnsi"/>
        </w:rPr>
        <w:t xml:space="preserve">. The role of </w:t>
      </w:r>
      <w:r w:rsidR="00491A6F" w:rsidRPr="00E676E1">
        <w:rPr>
          <w:rFonts w:asciiTheme="majorHAnsi" w:hAnsiTheme="majorHAnsi" w:cstheme="majorHAnsi"/>
        </w:rPr>
        <w:t xml:space="preserve">guided self-management </w:t>
      </w:r>
      <w:r w:rsidR="00211F1A" w:rsidRPr="00E676E1">
        <w:rPr>
          <w:rFonts w:asciiTheme="majorHAnsi" w:hAnsiTheme="majorHAnsi" w:cstheme="majorHAnsi"/>
        </w:rPr>
        <w:t xml:space="preserve">as an additional, accessible approach </w:t>
      </w:r>
      <w:r w:rsidR="00491A6F" w:rsidRPr="00E676E1">
        <w:rPr>
          <w:rFonts w:asciiTheme="majorHAnsi" w:hAnsiTheme="majorHAnsi" w:cstheme="majorHAnsi"/>
        </w:rPr>
        <w:t xml:space="preserve">will be revealed with the </w:t>
      </w:r>
      <w:r w:rsidR="00211F1A" w:rsidRPr="00E676E1">
        <w:rPr>
          <w:rFonts w:asciiTheme="majorHAnsi" w:hAnsiTheme="majorHAnsi" w:cstheme="majorHAnsi"/>
        </w:rPr>
        <w:t xml:space="preserve">impending </w:t>
      </w:r>
      <w:r w:rsidR="00491A6F" w:rsidRPr="00E676E1">
        <w:rPr>
          <w:rFonts w:asciiTheme="majorHAnsi" w:hAnsiTheme="majorHAnsi" w:cstheme="majorHAnsi"/>
        </w:rPr>
        <w:t xml:space="preserve">results of the </w:t>
      </w:r>
      <w:r w:rsidR="0016213C" w:rsidRPr="00E676E1">
        <w:rPr>
          <w:rFonts w:asciiTheme="majorHAnsi" w:hAnsiTheme="majorHAnsi" w:cstheme="majorHAnsi"/>
        </w:rPr>
        <w:t>IBD BOOST</w:t>
      </w:r>
      <w:r w:rsidR="00211F1A" w:rsidRPr="00E676E1">
        <w:rPr>
          <w:rFonts w:asciiTheme="majorHAnsi" w:hAnsiTheme="majorHAnsi" w:cstheme="majorHAnsi"/>
        </w:rPr>
        <w:t xml:space="preserve"> research project</w:t>
      </w:r>
      <w:r w:rsidR="0016213C" w:rsidRPr="00E676E1">
        <w:rPr>
          <w:rFonts w:asciiTheme="majorHAnsi" w:hAnsiTheme="majorHAnsi" w:cstheme="majorHAnsi"/>
        </w:rPr>
        <w:t>.</w:t>
      </w:r>
      <w:r w:rsidR="00065A71" w:rsidRPr="00E676E1">
        <w:rPr>
          <w:rFonts w:asciiTheme="majorHAnsi" w:hAnsiTheme="majorHAnsi" w:cstheme="majorHAnsi"/>
        </w:rPr>
        <w:fldChar w:fldCharType="begin"/>
      </w:r>
      <w:r w:rsidR="00F76193" w:rsidRPr="00E676E1">
        <w:rPr>
          <w:rFonts w:asciiTheme="majorHAnsi" w:hAnsiTheme="majorHAnsi" w:cstheme="majorHAnsi"/>
        </w:rPr>
        <w:instrText xml:space="preserve"> ADDIN ZOTERO_ITEM CSL_CITATION {"citationID":"17pMQlVg","properties":{"formattedCitation":"\\super 32\\nosupersub{}","plainCitation":"32","noteIndex":0},"citationItems":[{"id":24054,"uris":["http://zotero.org/users/5360735/items/BI6U3B56"],"itemData":{"id":24054,"type":"article-journal","abstract":"BACKGROUND: Despite being in clinical remission, many people with inflammatory bowel disease (IBD) live with fatigue, chronic abdominal pain and bowel urgency or incontinence that limit their quality of life. We aim to test the effectiveness of an online self-management programme (BOOST), developed using cognitive behavioural principles and a theoretically informed logic model, and delivered with facilitator support.\nPRIMARY RESEARCH QUESTION: In people with IBD who report symptoms of fatigue, pain or urgency and express a desire for intervention, does a facilitator-supported tailored (to patient needs) online self-management programme for fatigue, pain and faecal urgency/incontinence improve IBD-related quality of life (measured using the UK-IBDQ) and global rating of symptom relief (0-10 scale) compared with care as usual?\nMETHODS: A pragmatic two-arm, parallel group randomised controlled trial (RCT), of a 12-session facilitator-supported online cognitive behavioural self-management programme versus care as usual to manage symptoms of fatigue, pain and faecal urgency/incontinence in IBD. Patients will be recruited through a previous large-scale survey of unselected people with inflammatory bowel disease. The UK Inflammatory Bowel Disease Questionnaire and global rating of symptom relief at 6 months are the co-primary outcomes, with multiple secondary outcomes measured also at 6 and 12 months post randomisation to assess maintenance. The RCT has an embedded pilot study, health economics evaluation and process evaluation. We will randomise 680 patients, 340 in each group. Demographic characteristics and outcome measures will be presented for both study groups at baseline. The UK-IBDQ and global rating of symptom relief at 6 and 12 months post randomisation will be compared between the study groups.\nDISCUSSION: The BOOST online self-management programme for people with IBD-related symptoms of fatigue, pain and urgency has been designed to be easily scalable and implemented. If it is shown to improve patients' quality of life, this trial will enable clinicians and patients to make informed management decisions. This is the first trial, to our knowledge, focused on multiple symptoms prioritised by both people with IBD and health professionals.\nTRIAL REGISTRATION: ISRCTN71618461 . Registered on 9 September 2019.","container-title":"Trials","DOI":"10.1186/s13063-021-05466-4","ISSN":"1745-6215","issue":"1","journalAbbreviation":"Trials","language":"eng","note":"PMID: 34344432\nPMCID: PMC8329619","page":"516","source":"PubMed","title":"Supported online self-management versus care as usual for symptoms of fatigue, pain and urgency/incontinence in adults with inflammatory bowel disease (IBD-BOOST): study protocol for a randomised controlled trial","title-short":"Supported online self-management versus care as usual for symptoms of fatigue, pain and urgency/incontinence in adults with inflammatory bowel disease (IBD-BOOST)","volume":"22","author":[{"family":"Norton","given":"Christine"},{"family":"Syred","given":"Jonathan"},{"family":"Kerry","given":"Sally"},{"family":"Artom","given":"Micol"},{"family":"Sweeney","given":"Louise"},{"family":"Hart","given":"Ailsa"},{"family":"Czuber-Dochan","given":"Wladyslawa"},{"family":"Taylor","given":"Stephanie J. C."},{"family":"Mihaylova","given":"Borislava"},{"family":"Roukas","given":"Chris"},{"family":"Aziz","given":"Qasim"},{"family":"Miller","given":"Laura"},{"family":"Pollok","given":"Richard"},{"family":"Saxena","given":"Sonia"},{"family":"Stagg","given":"Imogen"},{"family":"Terry","given":"Helen"},{"family":"Zenasni","given":"Zohra"},{"family":"Dibley","given":"Lesley"},{"family":"Moss-Morris","given":"Rona"}],"issued":{"date-parts":[["2021",8,3]]}}}],"schema":"https://github.com/citation-style-language/schema/raw/master/csl-citation.json"} </w:instrText>
      </w:r>
      <w:r w:rsidR="00065A71" w:rsidRPr="00E676E1">
        <w:rPr>
          <w:rFonts w:asciiTheme="majorHAnsi" w:hAnsiTheme="majorHAnsi" w:cstheme="majorHAnsi"/>
        </w:rPr>
        <w:fldChar w:fldCharType="separate"/>
      </w:r>
      <w:r w:rsidR="00F76193" w:rsidRPr="00E676E1">
        <w:rPr>
          <w:rFonts w:asciiTheme="majorHAnsi" w:hAnsiTheme="majorHAnsi" w:cstheme="majorHAnsi"/>
          <w:vertAlign w:val="superscript"/>
        </w:rPr>
        <w:t>32</w:t>
      </w:r>
      <w:r w:rsidR="00065A71" w:rsidRPr="00E676E1">
        <w:rPr>
          <w:rFonts w:asciiTheme="majorHAnsi" w:hAnsiTheme="majorHAnsi" w:cstheme="majorHAnsi"/>
        </w:rPr>
        <w:fldChar w:fldCharType="end"/>
      </w:r>
      <w:r w:rsidR="004B1199" w:rsidRPr="00E676E1">
        <w:rPr>
          <w:rFonts w:asciiTheme="majorHAnsi" w:hAnsiTheme="majorHAnsi" w:cstheme="majorHAnsi"/>
        </w:rPr>
        <w:t xml:space="preserve"> Invaluable resources for clinicians include “</w:t>
      </w:r>
      <w:r w:rsidR="004B1199" w:rsidRPr="00E676E1">
        <w:rPr>
          <w:rFonts w:asciiTheme="majorHAnsi" w:hAnsiTheme="majorHAnsi" w:cstheme="majorHAnsi"/>
          <w:i/>
          <w:iCs/>
        </w:rPr>
        <w:t>Opioids Aware: Tapering and Stopping</w:t>
      </w:r>
      <w:r w:rsidR="004B1199" w:rsidRPr="00E676E1">
        <w:rPr>
          <w:rFonts w:asciiTheme="majorHAnsi" w:hAnsiTheme="majorHAnsi" w:cstheme="majorHAnsi"/>
        </w:rPr>
        <w:t>”,</w:t>
      </w:r>
      <w:r w:rsidR="004B1199" w:rsidRPr="00E676E1">
        <w:rPr>
          <w:rFonts w:asciiTheme="majorHAnsi" w:hAnsiTheme="majorHAnsi" w:cstheme="majorHAnsi"/>
        </w:rPr>
        <w:fldChar w:fldCharType="begin"/>
      </w:r>
      <w:r w:rsidR="00F76193" w:rsidRPr="00E676E1">
        <w:rPr>
          <w:rFonts w:asciiTheme="majorHAnsi" w:hAnsiTheme="majorHAnsi" w:cstheme="majorHAnsi"/>
        </w:rPr>
        <w:instrText xml:space="preserve"> ADDIN ZOTERO_ITEM CSL_CITATION {"citationID":"WXIjGRvX","properties":{"formattedCitation":"\\super 33\\nosupersub{}","plainCitation":"33","noteIndex":0},"citationItems":[{"id":24154,"uris":["http://zotero.org/users/5360735/items/52PN9Q9E"],"itemData":{"id":24154,"type":"report","collection-title":"Opioids Aware","title":"Tapering and stopping","URL":"https://fpm.ac.uk/opioids-aware-structured-approach-opioid-prescribing/tapering-and-stopping","author":[{"literal":"Faculty of Pain Medicine of the Royal College of Anaesthetists"}],"accessed":{"date-parts":[["2023",5,9]]}}}],"schema":"https://github.com/citation-style-language/schema/raw/master/csl-citation.json"} </w:instrText>
      </w:r>
      <w:r w:rsidR="004B1199" w:rsidRPr="00E676E1">
        <w:rPr>
          <w:rFonts w:asciiTheme="majorHAnsi" w:hAnsiTheme="majorHAnsi" w:cstheme="majorHAnsi"/>
        </w:rPr>
        <w:fldChar w:fldCharType="separate"/>
      </w:r>
      <w:r w:rsidR="00F76193" w:rsidRPr="00E676E1">
        <w:rPr>
          <w:rFonts w:asciiTheme="majorHAnsi" w:hAnsiTheme="majorHAnsi" w:cstheme="majorHAnsi"/>
          <w:vertAlign w:val="superscript"/>
        </w:rPr>
        <w:t>33</w:t>
      </w:r>
      <w:r w:rsidR="004B1199" w:rsidRPr="00E676E1">
        <w:rPr>
          <w:rFonts w:asciiTheme="majorHAnsi" w:hAnsiTheme="majorHAnsi" w:cstheme="majorHAnsi"/>
        </w:rPr>
        <w:fldChar w:fldCharType="end"/>
      </w:r>
      <w:r w:rsidR="004B1199" w:rsidRPr="00E676E1">
        <w:rPr>
          <w:rFonts w:asciiTheme="majorHAnsi" w:hAnsiTheme="majorHAnsi" w:cstheme="majorHAnsi"/>
        </w:rPr>
        <w:t xml:space="preserve"> “</w:t>
      </w:r>
      <w:r w:rsidR="004B1199" w:rsidRPr="00E676E1">
        <w:rPr>
          <w:rFonts w:asciiTheme="majorHAnsi" w:hAnsiTheme="majorHAnsi" w:cstheme="majorHAnsi"/>
          <w:i/>
          <w:iCs/>
        </w:rPr>
        <w:t>Surgery and Opioids: Best Practice Guidelines 2021</w:t>
      </w:r>
      <w:r w:rsidR="004B1199" w:rsidRPr="00E676E1">
        <w:rPr>
          <w:rFonts w:asciiTheme="majorHAnsi" w:hAnsiTheme="majorHAnsi" w:cstheme="majorHAnsi"/>
        </w:rPr>
        <w:t>”</w:t>
      </w:r>
      <w:r w:rsidR="004B1199" w:rsidRPr="00E676E1">
        <w:rPr>
          <w:rFonts w:asciiTheme="majorHAnsi" w:hAnsiTheme="majorHAnsi" w:cstheme="majorHAnsi"/>
        </w:rPr>
        <w:fldChar w:fldCharType="begin"/>
      </w:r>
      <w:r w:rsidR="004B1199" w:rsidRPr="00E676E1">
        <w:rPr>
          <w:rFonts w:asciiTheme="majorHAnsi" w:hAnsiTheme="majorHAnsi" w:cstheme="majorHAnsi"/>
        </w:rPr>
        <w:instrText xml:space="preserve"> ADDIN ZOTERO_ITEM CSL_CITATION {"citationID":"37eum3v7","properties":{"formattedCitation":"\\super 8\\nosupersub{}","plainCitation":"8","noteIndex":0},"citationItems":[{"id":20,"uris":["http://zotero.org/users/5360735/items/GP8LZJPD"],"itemData":{"id":20,"type":"document","title":"Surgery and Opioids: Best Practice Guidelines 2021","author":[{"family":"Faculty of Pain Medicine","given":""}],"issued":{"date-parts":[["2021",3]]}}}],"schema":"https://github.com/citation-style-language/schema/raw/master/csl-citation.json"} </w:instrText>
      </w:r>
      <w:r w:rsidR="004B1199" w:rsidRPr="00E676E1">
        <w:rPr>
          <w:rFonts w:asciiTheme="majorHAnsi" w:hAnsiTheme="majorHAnsi" w:cstheme="majorHAnsi"/>
        </w:rPr>
        <w:fldChar w:fldCharType="separate"/>
      </w:r>
      <w:r w:rsidR="004B1199" w:rsidRPr="00E676E1">
        <w:rPr>
          <w:rFonts w:asciiTheme="majorHAnsi" w:hAnsiTheme="majorHAnsi" w:cstheme="majorHAnsi"/>
          <w:vertAlign w:val="superscript"/>
        </w:rPr>
        <w:t>8</w:t>
      </w:r>
      <w:r w:rsidR="004B1199" w:rsidRPr="00E676E1">
        <w:rPr>
          <w:rFonts w:asciiTheme="majorHAnsi" w:hAnsiTheme="majorHAnsi" w:cstheme="majorHAnsi"/>
        </w:rPr>
        <w:fldChar w:fldCharType="end"/>
      </w:r>
      <w:r w:rsidR="004B1199" w:rsidRPr="00E676E1">
        <w:rPr>
          <w:rFonts w:asciiTheme="majorHAnsi" w:hAnsiTheme="majorHAnsi" w:cstheme="majorHAnsi"/>
        </w:rPr>
        <w:t xml:space="preserve"> and Macintyre et al.’s “</w:t>
      </w:r>
      <w:r w:rsidR="004B1199" w:rsidRPr="00E676E1">
        <w:rPr>
          <w:rFonts w:asciiTheme="majorHAnsi" w:hAnsiTheme="majorHAnsi" w:cstheme="majorHAnsi"/>
          <w:i/>
          <w:iCs/>
        </w:rPr>
        <w:t>An international</w:t>
      </w:r>
      <w:r w:rsidR="004B1199" w:rsidRPr="00E676E1">
        <w:rPr>
          <w:rFonts w:asciiTheme="majorHAnsi" w:hAnsiTheme="majorHAnsi" w:cstheme="majorHAnsi"/>
        </w:rPr>
        <w:t xml:space="preserve"> </w:t>
      </w:r>
      <w:r w:rsidR="004B1199" w:rsidRPr="00E676E1">
        <w:rPr>
          <w:rFonts w:asciiTheme="majorHAnsi" w:hAnsiTheme="majorHAnsi" w:cstheme="majorHAnsi"/>
          <w:i/>
          <w:iCs/>
        </w:rPr>
        <w:t>multidisciplinary consensus statement on the prevention of opioid-related harm in adult surgical patients</w:t>
      </w:r>
      <w:r w:rsidR="004B1199" w:rsidRPr="00E676E1">
        <w:rPr>
          <w:rFonts w:asciiTheme="majorHAnsi" w:hAnsiTheme="majorHAnsi" w:cstheme="majorHAnsi"/>
        </w:rPr>
        <w:t>”</w:t>
      </w:r>
      <w:r w:rsidR="004B1199" w:rsidRPr="00E676E1">
        <w:rPr>
          <w:rFonts w:asciiTheme="majorHAnsi" w:hAnsiTheme="majorHAnsi" w:cstheme="majorHAnsi"/>
        </w:rPr>
        <w:fldChar w:fldCharType="begin"/>
      </w:r>
      <w:r w:rsidR="00F76193" w:rsidRPr="00E676E1">
        <w:rPr>
          <w:rFonts w:asciiTheme="majorHAnsi" w:hAnsiTheme="majorHAnsi" w:cstheme="majorHAnsi"/>
        </w:rPr>
        <w:instrText xml:space="preserve"> ADDIN ZOTERO_ITEM CSL_CITATION {"citationID":"RN1UqJ4S","properties":{"formattedCitation":"\\super 34\\nosupersub{}","plainCitation":"34","noteIndex":0},"citationItems":[{"id":16,"uris":["http://zotero.org/users/5360735/items/H2VZXT93"],"itemData":{"id":16,"type":"article-journal","abstract":"Summary This international multidisciplinary consensus statement was developed to provide balanced guidance on the safe peri-operative use of opioids in adults. An international panel of healthcare professionals evaluated the literature relating to postoperative opioid-related harm, including persistent postoperative opioid use; opioid-induced ventilatory impairment; non-medical opioid use; opioid diversion and dependence; and driving under the influence of prescription opioids. Recommended strategies to reduce harm include pre-operative assessment of the risk of persistent postoperative opioid use; use of an assessment of patient function rather than unidimensional pain scores alone to guide adequacy of analgesia; avoidance of long-acting (modified-release and transdermal patches) opioid formulations and combination analgesics; limiting the number of tablets prescribed at discharge; providing deprescribing advice; avoidance of automatic prescription refills; safe disposal of unused medicines; reducing the risk of opioid diversion; and better education of healthcare professionals, patients and carers. This consensus statement provides a framework for better prescribing practices that could help reduce the risk of postoperative opioid-related harm in adults.","container-title":"Anaesthesia","DOI":"10.1111/anae.15262","ISSN":"0003-2409","issue":"4","journalAbbreviation":"Anaesthesia","note":"publisher: John Wiley &amp; Sons, Ltd","page":"520-536","title":"An international multidisciplinary consensus statement on the prevention of opioid-related harm in adult surgical patients","volume":"76","author":[{"family":"Levy","given":"N."},{"family":"Quinlan","given":"J."},{"family":"El-Boghdadly","given":"K."},{"family":"Fawcett","given":"W. J."},{"family":"Agarwal","given":"V."},{"family":"Bastable","given":"R. B."},{"family":"Cox","given":"F. J."},{"family":"Boer","given":"H. D.","non-dropping-particle":"de"},{"family":"Dowdy","given":"S. C."},{"family":"Hattingh","given":"K."},{"family":"Knaggs","given":"R. D."},{"family":"Mariano","given":"E. R."},{"family":"Pelosi","given":"P."},{"family":"Scott","given":"M. J."},{"family":"Lobo","given":"D. N."},{"family":"Macintyre","given":"P. E."}],"issued":{"date-parts":[["2021",4,1]]}}}],"schema":"https://github.com/citation-style-language/schema/raw/master/csl-citation.json"} </w:instrText>
      </w:r>
      <w:r w:rsidR="004B1199" w:rsidRPr="00E676E1">
        <w:rPr>
          <w:rFonts w:asciiTheme="majorHAnsi" w:hAnsiTheme="majorHAnsi" w:cstheme="majorHAnsi"/>
        </w:rPr>
        <w:fldChar w:fldCharType="separate"/>
      </w:r>
      <w:r w:rsidR="00F76193" w:rsidRPr="00E676E1">
        <w:rPr>
          <w:rFonts w:asciiTheme="majorHAnsi" w:hAnsiTheme="majorHAnsi" w:cstheme="majorHAnsi"/>
          <w:vertAlign w:val="superscript"/>
        </w:rPr>
        <w:t>34</w:t>
      </w:r>
      <w:r w:rsidR="004B1199" w:rsidRPr="00E676E1">
        <w:rPr>
          <w:rFonts w:asciiTheme="majorHAnsi" w:hAnsiTheme="majorHAnsi" w:cstheme="majorHAnsi"/>
        </w:rPr>
        <w:fldChar w:fldCharType="end"/>
      </w:r>
      <w:r w:rsidR="00F76193" w:rsidRPr="00E676E1">
        <w:rPr>
          <w:rFonts w:asciiTheme="majorHAnsi" w:hAnsiTheme="majorHAnsi" w:cstheme="majorHAnsi"/>
        </w:rPr>
        <w:t xml:space="preserve"> while localised primary care guidelines such as “</w:t>
      </w:r>
      <w:r w:rsidR="00F76193" w:rsidRPr="00E676E1">
        <w:rPr>
          <w:rFonts w:asciiTheme="majorHAnsi" w:hAnsiTheme="majorHAnsi" w:cstheme="majorHAnsi"/>
          <w:i/>
          <w:iCs/>
        </w:rPr>
        <w:t>Dorset CCG Opioid Prescribing for Chronic Pain: Resource Pack 2018</w:t>
      </w:r>
      <w:r w:rsidR="00F76193" w:rsidRPr="00E676E1">
        <w:rPr>
          <w:rFonts w:asciiTheme="majorHAnsi" w:hAnsiTheme="majorHAnsi" w:cstheme="majorHAnsi"/>
        </w:rPr>
        <w:t>”</w:t>
      </w:r>
      <w:r w:rsidR="00F76193" w:rsidRPr="00E676E1">
        <w:rPr>
          <w:rFonts w:asciiTheme="majorHAnsi" w:hAnsiTheme="majorHAnsi" w:cstheme="majorHAnsi"/>
        </w:rPr>
        <w:fldChar w:fldCharType="begin"/>
      </w:r>
      <w:r w:rsidR="00F76193" w:rsidRPr="00E676E1">
        <w:rPr>
          <w:rFonts w:asciiTheme="majorHAnsi" w:hAnsiTheme="majorHAnsi" w:cstheme="majorHAnsi"/>
        </w:rPr>
        <w:instrText xml:space="preserve"> ADDIN ZOTERO_ITEM CSL_CITATION {"citationID":"40e8MU0L","properties":{"formattedCitation":"\\super 35\\nosupersub{}","plainCitation":"35","noteIndex":0},"citationItems":[{"id":24164,"uris":["http://zotero.org/users/5360735/items/I83SUPFH"],"itemData":{"id":24164,"type":"report","title":"Dorset Opioid Prescribing for Chronic Pain: Resource Pack","URL":"https://www.nhsdorset.nhs.uk/Downloads/aboutus/medicines-management/Other%20Guidelines/Dorset%20Opioid%20resource%20pack%20FINAL%20Sept%202020.pdf?UNLID=274017865202272214478","author":[{"literal":"Medicines Optimisation Team, Dorset CCG"}],"accessed":{"date-parts":[["2023",5,15]]},"issued":{"date-parts":[["2018"]]}}}],"schema":"https://github.com/citation-style-language/schema/raw/master/csl-citation.json"} </w:instrText>
      </w:r>
      <w:r w:rsidR="00F76193" w:rsidRPr="00E676E1">
        <w:rPr>
          <w:rFonts w:asciiTheme="majorHAnsi" w:hAnsiTheme="majorHAnsi" w:cstheme="majorHAnsi"/>
        </w:rPr>
        <w:fldChar w:fldCharType="separate"/>
      </w:r>
      <w:r w:rsidR="00F76193" w:rsidRPr="00E676E1">
        <w:rPr>
          <w:rFonts w:asciiTheme="majorHAnsi" w:hAnsiTheme="majorHAnsi" w:cstheme="majorHAnsi"/>
          <w:vertAlign w:val="superscript"/>
        </w:rPr>
        <w:t>35</w:t>
      </w:r>
      <w:r w:rsidR="00F76193" w:rsidRPr="00E676E1">
        <w:rPr>
          <w:rFonts w:asciiTheme="majorHAnsi" w:hAnsiTheme="majorHAnsi" w:cstheme="majorHAnsi"/>
        </w:rPr>
        <w:fldChar w:fldCharType="end"/>
      </w:r>
      <w:r w:rsidR="00F76193" w:rsidRPr="00E676E1">
        <w:rPr>
          <w:rFonts w:asciiTheme="majorHAnsi" w:hAnsiTheme="majorHAnsi" w:cstheme="majorHAnsi"/>
        </w:rPr>
        <w:t xml:space="preserve"> and Oxford University Hospital NHS Foundation Trust’s “</w:t>
      </w:r>
      <w:r w:rsidR="00F76193" w:rsidRPr="00E676E1">
        <w:rPr>
          <w:rFonts w:asciiTheme="majorHAnsi" w:hAnsiTheme="majorHAnsi" w:cstheme="majorHAnsi"/>
          <w:i/>
          <w:iCs/>
        </w:rPr>
        <w:t>Guidance for opioid reduction in primary care</w:t>
      </w:r>
      <w:r w:rsidR="00F76193" w:rsidRPr="00E676E1">
        <w:rPr>
          <w:rFonts w:asciiTheme="majorHAnsi" w:hAnsiTheme="majorHAnsi" w:cstheme="majorHAnsi"/>
        </w:rPr>
        <w:t>”</w:t>
      </w:r>
      <w:r w:rsidR="00F76193" w:rsidRPr="00E676E1">
        <w:rPr>
          <w:rFonts w:asciiTheme="majorHAnsi" w:hAnsiTheme="majorHAnsi" w:cstheme="majorHAnsi"/>
        </w:rPr>
        <w:fldChar w:fldCharType="begin"/>
      </w:r>
      <w:r w:rsidR="00F76193" w:rsidRPr="00E676E1">
        <w:rPr>
          <w:rFonts w:asciiTheme="majorHAnsi" w:hAnsiTheme="majorHAnsi" w:cstheme="majorHAnsi"/>
        </w:rPr>
        <w:instrText xml:space="preserve"> ADDIN ZOTERO_ITEM CSL_CITATION {"citationID":"ofM6iiSq","properties":{"formattedCitation":"\\super 36\\nosupersub{}","plainCitation":"36","noteIndex":0},"citationItems":[{"id":24165,"uris":["http://zotero.org/users/5360735/items/6Y5QQUAU"],"itemData":{"id":24165,"type":"report","publisher":"Oxford Pain Management Centre","title":"Guidance for opioid reduction in primary care","URL":"https://www.ouh.nhs.uk/services/referrals/pain/documents/gp-guidance-opioid-reduction.pdf","accessed":{"date-parts":[["2023",5,15]]},"issued":{"date-parts":[["2017",12]]}}}],"schema":"https://github.com/citation-style-language/schema/raw/master/csl-citation.json"} </w:instrText>
      </w:r>
      <w:r w:rsidR="00F76193" w:rsidRPr="00E676E1">
        <w:rPr>
          <w:rFonts w:asciiTheme="majorHAnsi" w:hAnsiTheme="majorHAnsi" w:cstheme="majorHAnsi"/>
        </w:rPr>
        <w:fldChar w:fldCharType="separate"/>
      </w:r>
      <w:r w:rsidR="00F76193" w:rsidRPr="00E676E1">
        <w:rPr>
          <w:rFonts w:asciiTheme="majorHAnsi" w:hAnsiTheme="majorHAnsi" w:cstheme="majorHAnsi"/>
          <w:vertAlign w:val="superscript"/>
        </w:rPr>
        <w:t>36</w:t>
      </w:r>
      <w:r w:rsidR="00F76193" w:rsidRPr="00E676E1">
        <w:rPr>
          <w:rFonts w:asciiTheme="majorHAnsi" w:hAnsiTheme="majorHAnsi" w:cstheme="majorHAnsi"/>
        </w:rPr>
        <w:fldChar w:fldCharType="end"/>
      </w:r>
      <w:r w:rsidR="00F76193" w:rsidRPr="00E676E1">
        <w:rPr>
          <w:rFonts w:asciiTheme="majorHAnsi" w:hAnsiTheme="majorHAnsi" w:cstheme="majorHAnsi"/>
        </w:rPr>
        <w:t xml:space="preserve"> are tailored to include local resources and support. </w:t>
      </w:r>
    </w:p>
    <w:p w14:paraId="08E83FFB" w14:textId="018E1494" w:rsidR="009E2E68" w:rsidRPr="00E676E1" w:rsidRDefault="009E2E68" w:rsidP="00D46918">
      <w:pPr>
        <w:spacing w:line="480" w:lineRule="auto"/>
        <w:rPr>
          <w:rFonts w:asciiTheme="majorHAnsi" w:hAnsiTheme="majorHAnsi" w:cstheme="majorHAnsi"/>
          <w:i/>
          <w:iCs/>
          <w:sz w:val="28"/>
          <w:szCs w:val="28"/>
        </w:rPr>
      </w:pPr>
      <w:r w:rsidRPr="00E676E1">
        <w:rPr>
          <w:rFonts w:asciiTheme="majorHAnsi" w:hAnsiTheme="majorHAnsi" w:cstheme="majorHAnsi"/>
          <w:i/>
          <w:iCs/>
          <w:sz w:val="28"/>
          <w:szCs w:val="28"/>
        </w:rPr>
        <w:t>Conclusion</w:t>
      </w:r>
    </w:p>
    <w:p w14:paraId="56B14B1C" w14:textId="7ADC211B" w:rsidR="0051690B" w:rsidRPr="0051690B" w:rsidRDefault="0051690B" w:rsidP="0051690B">
      <w:pPr>
        <w:spacing w:line="480" w:lineRule="auto"/>
        <w:rPr>
          <w:rFonts w:asciiTheme="majorHAnsi" w:hAnsiTheme="majorHAnsi" w:cstheme="majorHAnsi"/>
        </w:rPr>
      </w:pPr>
      <w:r w:rsidRPr="00E676E1">
        <w:rPr>
          <w:rFonts w:asciiTheme="majorHAnsi" w:hAnsiTheme="majorHAnsi" w:cstheme="majorHAnsi"/>
        </w:rPr>
        <w:t>A significant proportion of IBD patient</w:t>
      </w:r>
      <w:r w:rsidR="001D699A" w:rsidRPr="00E676E1">
        <w:rPr>
          <w:rFonts w:asciiTheme="majorHAnsi" w:hAnsiTheme="majorHAnsi" w:cstheme="majorHAnsi"/>
        </w:rPr>
        <w:t xml:space="preserve">s </w:t>
      </w:r>
      <w:r w:rsidRPr="00E676E1">
        <w:rPr>
          <w:rFonts w:asciiTheme="majorHAnsi" w:hAnsiTheme="majorHAnsi" w:cstheme="majorHAnsi"/>
        </w:rPr>
        <w:t>are exposed to opioids</w:t>
      </w:r>
      <w:r w:rsidR="00BA6078" w:rsidRPr="00E676E1">
        <w:rPr>
          <w:rFonts w:asciiTheme="majorHAnsi" w:hAnsiTheme="majorHAnsi" w:cstheme="majorHAnsi"/>
        </w:rPr>
        <w:t>,</w:t>
      </w:r>
      <w:r w:rsidRPr="00E676E1">
        <w:rPr>
          <w:rFonts w:asciiTheme="majorHAnsi" w:hAnsiTheme="majorHAnsi" w:cstheme="majorHAnsi"/>
        </w:rPr>
        <w:t xml:space="preserve"> which may persist</w:t>
      </w:r>
      <w:r w:rsidR="00BA6078" w:rsidRPr="00E676E1">
        <w:rPr>
          <w:rFonts w:asciiTheme="majorHAnsi" w:hAnsiTheme="majorHAnsi" w:cstheme="majorHAnsi"/>
        </w:rPr>
        <w:t xml:space="preserve">, </w:t>
      </w:r>
      <w:r w:rsidRPr="00E676E1">
        <w:rPr>
          <w:rFonts w:asciiTheme="majorHAnsi" w:hAnsiTheme="majorHAnsi" w:cstheme="majorHAnsi"/>
        </w:rPr>
        <w:t xml:space="preserve">particularly following hospital admission for surgery. Risk of exposure may be reduced by the </w:t>
      </w:r>
      <w:r w:rsidRPr="00E676E1">
        <w:rPr>
          <w:rFonts w:asciiTheme="majorHAnsi" w:hAnsiTheme="majorHAnsi" w:cstheme="majorHAnsi"/>
        </w:rPr>
        <w:lastRenderedPageBreak/>
        <w:t>wider use of opioid weaning regime</w:t>
      </w:r>
      <w:r w:rsidR="001D699A" w:rsidRPr="00E676E1">
        <w:rPr>
          <w:rFonts w:asciiTheme="majorHAnsi" w:hAnsiTheme="majorHAnsi" w:cstheme="majorHAnsi"/>
        </w:rPr>
        <w:t>n</w:t>
      </w:r>
      <w:r w:rsidRPr="00E676E1">
        <w:rPr>
          <w:rFonts w:asciiTheme="majorHAnsi" w:hAnsiTheme="majorHAnsi" w:cstheme="majorHAnsi"/>
        </w:rPr>
        <w:t xml:space="preserve">s and the use of </w:t>
      </w:r>
      <w:r w:rsidR="000A2804" w:rsidRPr="00E676E1">
        <w:rPr>
          <w:rFonts w:asciiTheme="majorHAnsi" w:hAnsiTheme="majorHAnsi" w:cstheme="majorHAnsi"/>
        </w:rPr>
        <w:t>pain service</w:t>
      </w:r>
      <w:r w:rsidRPr="00E676E1">
        <w:rPr>
          <w:rFonts w:asciiTheme="majorHAnsi" w:hAnsiTheme="majorHAnsi" w:cstheme="majorHAnsi"/>
        </w:rPr>
        <w:t>s which are currently under-utilised.</w:t>
      </w:r>
    </w:p>
    <w:p w14:paraId="71171DF7" w14:textId="77777777" w:rsidR="005211B8" w:rsidRPr="00426563" w:rsidRDefault="005211B8">
      <w:pPr>
        <w:rPr>
          <w:rFonts w:asciiTheme="majorHAnsi" w:hAnsiTheme="majorHAnsi" w:cstheme="majorHAnsi"/>
          <w:color w:val="000000"/>
        </w:rPr>
      </w:pPr>
      <w:r w:rsidRPr="00426563">
        <w:rPr>
          <w:rFonts w:asciiTheme="majorHAnsi" w:hAnsiTheme="majorHAnsi" w:cstheme="majorHAnsi"/>
          <w:color w:val="000000"/>
        </w:rPr>
        <w:br w:type="page"/>
      </w:r>
    </w:p>
    <w:p w14:paraId="6FE62A17" w14:textId="27CCE625" w:rsidR="00F671FB" w:rsidRPr="00426563" w:rsidRDefault="005211B8" w:rsidP="003F1CBA">
      <w:pPr>
        <w:spacing w:line="480" w:lineRule="auto"/>
        <w:rPr>
          <w:rFonts w:asciiTheme="majorHAnsi" w:hAnsiTheme="majorHAnsi" w:cstheme="majorHAnsi"/>
          <w:b/>
        </w:rPr>
      </w:pPr>
      <w:r w:rsidRPr="00426563">
        <w:rPr>
          <w:rFonts w:asciiTheme="majorHAnsi" w:hAnsiTheme="majorHAnsi" w:cstheme="majorHAnsi"/>
          <w:b/>
        </w:rPr>
        <w:lastRenderedPageBreak/>
        <w:t>References:</w:t>
      </w:r>
    </w:p>
    <w:p w14:paraId="0D7420D2" w14:textId="77777777" w:rsidR="00F76193" w:rsidRPr="00426563" w:rsidRDefault="00491A6F" w:rsidP="00F76193">
      <w:pPr>
        <w:pStyle w:val="Bibliography"/>
        <w:rPr>
          <w:rFonts w:asciiTheme="majorHAnsi" w:hAnsiTheme="majorHAnsi" w:cstheme="majorHAnsi"/>
        </w:rPr>
      </w:pPr>
      <w:r w:rsidRPr="00426563">
        <w:rPr>
          <w:rFonts w:asciiTheme="majorHAnsi" w:hAnsiTheme="majorHAnsi" w:cstheme="majorHAnsi"/>
        </w:rPr>
        <w:t xml:space="preserve"> </w:t>
      </w:r>
      <w:r w:rsidR="00183845" w:rsidRPr="00426563">
        <w:rPr>
          <w:rFonts w:asciiTheme="majorHAnsi" w:hAnsiTheme="majorHAnsi" w:cstheme="majorHAnsi"/>
        </w:rPr>
        <w:fldChar w:fldCharType="begin"/>
      </w:r>
      <w:r w:rsidR="00183845" w:rsidRPr="00426563">
        <w:rPr>
          <w:rFonts w:asciiTheme="majorHAnsi" w:hAnsiTheme="majorHAnsi" w:cstheme="majorHAnsi"/>
        </w:rPr>
        <w:instrText xml:space="preserve"> ADDIN ZOTERO_BIBL {"uncited":[],"omitted":[],"custom":[]} CSL_BIBLIOGRAPHY </w:instrText>
      </w:r>
      <w:r w:rsidR="00183845" w:rsidRPr="00426563">
        <w:rPr>
          <w:rFonts w:asciiTheme="majorHAnsi" w:hAnsiTheme="majorHAnsi" w:cstheme="majorHAnsi"/>
        </w:rPr>
        <w:fldChar w:fldCharType="separate"/>
      </w:r>
      <w:r w:rsidR="00F76193" w:rsidRPr="00426563">
        <w:rPr>
          <w:rFonts w:asciiTheme="majorHAnsi" w:hAnsiTheme="majorHAnsi" w:cstheme="majorHAnsi"/>
        </w:rPr>
        <w:t>1.</w:t>
      </w:r>
      <w:r w:rsidR="00F76193" w:rsidRPr="00426563">
        <w:rPr>
          <w:rFonts w:asciiTheme="majorHAnsi" w:hAnsiTheme="majorHAnsi" w:cstheme="majorHAnsi"/>
        </w:rPr>
        <w:tab/>
        <w:t xml:space="preserve">Sheehan JL, Jacob J, Berinstein EM, et al. The Relationship Between Opioid Use and Healthcare Utilization in Patients With Inflammatory Bowel Disease: A Systematic Review and Meta-Analysis. </w:t>
      </w:r>
      <w:r w:rsidR="00F76193" w:rsidRPr="00426563">
        <w:rPr>
          <w:rFonts w:asciiTheme="majorHAnsi" w:hAnsiTheme="majorHAnsi" w:cstheme="majorHAnsi"/>
          <w:i/>
          <w:iCs/>
        </w:rPr>
        <w:t>Inflamm Bowel Dis</w:t>
      </w:r>
      <w:r w:rsidR="00F76193" w:rsidRPr="00426563">
        <w:rPr>
          <w:rFonts w:asciiTheme="majorHAnsi" w:hAnsiTheme="majorHAnsi" w:cstheme="majorHAnsi"/>
        </w:rPr>
        <w:t>. Published online March 1, 2022:izac021. doi:10.1093/ibd/izac021</w:t>
      </w:r>
    </w:p>
    <w:p w14:paraId="3B1BDA74" w14:textId="77777777" w:rsidR="00F76193" w:rsidRPr="00426563" w:rsidRDefault="00F76193" w:rsidP="00F76193">
      <w:pPr>
        <w:pStyle w:val="Bibliography"/>
        <w:rPr>
          <w:rFonts w:asciiTheme="majorHAnsi" w:hAnsiTheme="majorHAnsi" w:cstheme="majorHAnsi"/>
        </w:rPr>
      </w:pPr>
      <w:r w:rsidRPr="00426563">
        <w:rPr>
          <w:rFonts w:asciiTheme="majorHAnsi" w:hAnsiTheme="majorHAnsi" w:cstheme="majorHAnsi"/>
        </w:rPr>
        <w:t>2.</w:t>
      </w:r>
      <w:r w:rsidRPr="00426563">
        <w:rPr>
          <w:rFonts w:asciiTheme="majorHAnsi" w:hAnsiTheme="majorHAnsi" w:cstheme="majorHAnsi"/>
        </w:rPr>
        <w:tab/>
        <w:t>Faculty of Pain Medicine. The effectiveness of opioids for long term pain. Opioids Aware. Accessed August 5, 2022. https://www.fpm.ac.uk/opioids-aware-clinical-use-opioids/opioids-long-term-pain</w:t>
      </w:r>
    </w:p>
    <w:p w14:paraId="36985687" w14:textId="77777777" w:rsidR="00F76193" w:rsidRPr="00426563" w:rsidRDefault="00F76193" w:rsidP="00F76193">
      <w:pPr>
        <w:pStyle w:val="Bibliography"/>
        <w:rPr>
          <w:rFonts w:asciiTheme="majorHAnsi" w:hAnsiTheme="majorHAnsi" w:cstheme="majorHAnsi"/>
        </w:rPr>
      </w:pPr>
      <w:r w:rsidRPr="00426563">
        <w:rPr>
          <w:rFonts w:asciiTheme="majorHAnsi" w:hAnsiTheme="majorHAnsi" w:cstheme="majorHAnsi"/>
        </w:rPr>
        <w:t>3.</w:t>
      </w:r>
      <w:r w:rsidRPr="00426563">
        <w:rPr>
          <w:rFonts w:asciiTheme="majorHAnsi" w:hAnsiTheme="majorHAnsi" w:cstheme="majorHAnsi"/>
        </w:rPr>
        <w:tab/>
        <w:t xml:space="preserve">Busse JW, Wang L, Kamaleldin M, et al. Opioids for Chronic Noncancer Pain: A Systematic Review and Meta-analysis. </w:t>
      </w:r>
      <w:r w:rsidRPr="00426563">
        <w:rPr>
          <w:rFonts w:asciiTheme="majorHAnsi" w:hAnsiTheme="majorHAnsi" w:cstheme="majorHAnsi"/>
          <w:i/>
          <w:iCs/>
        </w:rPr>
        <w:t>JAMA</w:t>
      </w:r>
      <w:r w:rsidRPr="00426563">
        <w:rPr>
          <w:rFonts w:asciiTheme="majorHAnsi" w:hAnsiTheme="majorHAnsi" w:cstheme="majorHAnsi"/>
        </w:rPr>
        <w:t>. 2018;320(23):2448-2460. doi:10.1001/jama.2018.18472</w:t>
      </w:r>
    </w:p>
    <w:p w14:paraId="0D3C5056" w14:textId="77777777" w:rsidR="00F76193" w:rsidRPr="00426563" w:rsidRDefault="00F76193" w:rsidP="00F76193">
      <w:pPr>
        <w:pStyle w:val="Bibliography"/>
        <w:rPr>
          <w:rFonts w:asciiTheme="majorHAnsi" w:hAnsiTheme="majorHAnsi" w:cstheme="majorHAnsi"/>
        </w:rPr>
      </w:pPr>
      <w:r w:rsidRPr="00426563">
        <w:rPr>
          <w:rFonts w:asciiTheme="majorHAnsi" w:hAnsiTheme="majorHAnsi" w:cstheme="majorHAnsi"/>
        </w:rPr>
        <w:t>4.</w:t>
      </w:r>
      <w:r w:rsidRPr="00426563">
        <w:rPr>
          <w:rFonts w:asciiTheme="majorHAnsi" w:hAnsiTheme="majorHAnsi" w:cstheme="majorHAnsi"/>
        </w:rPr>
        <w:tab/>
        <w:t xml:space="preserve">Annemans L. Pharmacoeconomic Impact of Adverse Events of Long-Term Opioid Treatment for the Management of Persistent Pain. </w:t>
      </w:r>
      <w:r w:rsidRPr="00426563">
        <w:rPr>
          <w:rFonts w:asciiTheme="majorHAnsi" w:hAnsiTheme="majorHAnsi" w:cstheme="majorHAnsi"/>
          <w:i/>
          <w:iCs/>
        </w:rPr>
        <w:t>Clin Drug Investig</w:t>
      </w:r>
      <w:r w:rsidRPr="00426563">
        <w:rPr>
          <w:rFonts w:asciiTheme="majorHAnsi" w:hAnsiTheme="majorHAnsi" w:cstheme="majorHAnsi"/>
        </w:rPr>
        <w:t>. 2011;31(2):73-86. doi:10.1007/BF03256935</w:t>
      </w:r>
    </w:p>
    <w:p w14:paraId="5DE2BE2B" w14:textId="77777777" w:rsidR="00F76193" w:rsidRPr="00426563" w:rsidRDefault="00F76193" w:rsidP="00F76193">
      <w:pPr>
        <w:pStyle w:val="Bibliography"/>
        <w:rPr>
          <w:rFonts w:asciiTheme="majorHAnsi" w:hAnsiTheme="majorHAnsi" w:cstheme="majorHAnsi"/>
        </w:rPr>
      </w:pPr>
      <w:r w:rsidRPr="00426563">
        <w:rPr>
          <w:rFonts w:asciiTheme="majorHAnsi" w:hAnsiTheme="majorHAnsi" w:cstheme="majorHAnsi"/>
        </w:rPr>
        <w:t>5.</w:t>
      </w:r>
      <w:r w:rsidRPr="00426563">
        <w:rPr>
          <w:rFonts w:asciiTheme="majorHAnsi" w:hAnsiTheme="majorHAnsi" w:cstheme="majorHAnsi"/>
        </w:rPr>
        <w:tab/>
        <w:t xml:space="preserve">Lichtenstein GR, Feagan BG, Cohen RD, et al. Serious Infections and Mortality in Association With Therapies for Crohn’s Disease: TREAT Registry. </w:t>
      </w:r>
      <w:r w:rsidRPr="00426563">
        <w:rPr>
          <w:rFonts w:asciiTheme="majorHAnsi" w:hAnsiTheme="majorHAnsi" w:cstheme="majorHAnsi"/>
          <w:i/>
          <w:iCs/>
        </w:rPr>
        <w:t>Clin Gastroenterol Hepatol</w:t>
      </w:r>
      <w:r w:rsidRPr="00426563">
        <w:rPr>
          <w:rFonts w:asciiTheme="majorHAnsi" w:hAnsiTheme="majorHAnsi" w:cstheme="majorHAnsi"/>
        </w:rPr>
        <w:t>. 2006;4(5):621-630. doi:10.1016/j.cgh.2006.03.002</w:t>
      </w:r>
    </w:p>
    <w:p w14:paraId="5EA66A09" w14:textId="77777777" w:rsidR="00F76193" w:rsidRPr="00426563" w:rsidRDefault="00F76193" w:rsidP="00F76193">
      <w:pPr>
        <w:pStyle w:val="Bibliography"/>
        <w:rPr>
          <w:rFonts w:asciiTheme="majorHAnsi" w:hAnsiTheme="majorHAnsi" w:cstheme="majorHAnsi"/>
        </w:rPr>
      </w:pPr>
      <w:r w:rsidRPr="00426563">
        <w:rPr>
          <w:rFonts w:asciiTheme="majorHAnsi" w:hAnsiTheme="majorHAnsi" w:cstheme="majorHAnsi"/>
        </w:rPr>
        <w:t>6.</w:t>
      </w:r>
      <w:r w:rsidRPr="00426563">
        <w:rPr>
          <w:rFonts w:asciiTheme="majorHAnsi" w:hAnsiTheme="majorHAnsi" w:cstheme="majorHAnsi"/>
        </w:rPr>
        <w:tab/>
        <w:t xml:space="preserve">Burr NE, Smith C, West R, Hull MA, Subramanian V. Increasing Prescription of Opiates and Mortality in Patients With Inflammatory Bowel Diseases in England. </w:t>
      </w:r>
      <w:r w:rsidRPr="00426563">
        <w:rPr>
          <w:rFonts w:asciiTheme="majorHAnsi" w:hAnsiTheme="majorHAnsi" w:cstheme="majorHAnsi"/>
          <w:i/>
          <w:iCs/>
        </w:rPr>
        <w:t>Clin Gastroenterol Hepatol</w:t>
      </w:r>
      <w:r w:rsidRPr="00426563">
        <w:rPr>
          <w:rFonts w:asciiTheme="majorHAnsi" w:hAnsiTheme="majorHAnsi" w:cstheme="majorHAnsi"/>
        </w:rPr>
        <w:t>. 2018;16(4):534-541.e6. doi:10.1016/j.cgh.2017.10.022</w:t>
      </w:r>
    </w:p>
    <w:p w14:paraId="313EC31F" w14:textId="77777777" w:rsidR="00F76193" w:rsidRPr="00426563" w:rsidRDefault="00F76193" w:rsidP="00F76193">
      <w:pPr>
        <w:pStyle w:val="Bibliography"/>
        <w:rPr>
          <w:rFonts w:asciiTheme="majorHAnsi" w:hAnsiTheme="majorHAnsi" w:cstheme="majorHAnsi"/>
        </w:rPr>
      </w:pPr>
      <w:r w:rsidRPr="00426563">
        <w:rPr>
          <w:rFonts w:asciiTheme="majorHAnsi" w:hAnsiTheme="majorHAnsi" w:cstheme="majorHAnsi"/>
        </w:rPr>
        <w:t>7.</w:t>
      </w:r>
      <w:r w:rsidRPr="00426563">
        <w:rPr>
          <w:rFonts w:asciiTheme="majorHAnsi" w:hAnsiTheme="majorHAnsi" w:cstheme="majorHAnsi"/>
        </w:rPr>
        <w:tab/>
        <w:t xml:space="preserve">Lamb CA, Kennedy NA, Raine T, et al. British Society of Gastroenterology consensus guidelines on the management of inflammatory bowel disease in adults. </w:t>
      </w:r>
      <w:r w:rsidRPr="00426563">
        <w:rPr>
          <w:rFonts w:asciiTheme="majorHAnsi" w:hAnsiTheme="majorHAnsi" w:cstheme="majorHAnsi"/>
          <w:i/>
          <w:iCs/>
        </w:rPr>
        <w:t>Gut</w:t>
      </w:r>
      <w:r w:rsidRPr="00426563">
        <w:rPr>
          <w:rFonts w:asciiTheme="majorHAnsi" w:hAnsiTheme="majorHAnsi" w:cstheme="majorHAnsi"/>
        </w:rPr>
        <w:t>. 2019;68(Suppl 3):s1. doi:10.1136/gutjnl-2019-318484</w:t>
      </w:r>
    </w:p>
    <w:p w14:paraId="4FD04CA9" w14:textId="77777777" w:rsidR="00F76193" w:rsidRPr="00426563" w:rsidRDefault="00F76193" w:rsidP="00F76193">
      <w:pPr>
        <w:pStyle w:val="Bibliography"/>
        <w:rPr>
          <w:rFonts w:asciiTheme="majorHAnsi" w:hAnsiTheme="majorHAnsi" w:cstheme="majorHAnsi"/>
        </w:rPr>
      </w:pPr>
      <w:r w:rsidRPr="00426563">
        <w:rPr>
          <w:rFonts w:asciiTheme="majorHAnsi" w:hAnsiTheme="majorHAnsi" w:cstheme="majorHAnsi"/>
        </w:rPr>
        <w:t>8.</w:t>
      </w:r>
      <w:r w:rsidRPr="00426563">
        <w:rPr>
          <w:rFonts w:asciiTheme="majorHAnsi" w:hAnsiTheme="majorHAnsi" w:cstheme="majorHAnsi"/>
        </w:rPr>
        <w:tab/>
        <w:t>Faculty of Pain Medicine. Surgery and Opioids: Best Practice Guidelines 2021. Published online March 2021.</w:t>
      </w:r>
    </w:p>
    <w:p w14:paraId="0519C56B" w14:textId="77777777" w:rsidR="00F76193" w:rsidRPr="00426563" w:rsidRDefault="00F76193" w:rsidP="00F76193">
      <w:pPr>
        <w:pStyle w:val="Bibliography"/>
        <w:rPr>
          <w:rFonts w:asciiTheme="majorHAnsi" w:hAnsiTheme="majorHAnsi" w:cstheme="majorHAnsi"/>
        </w:rPr>
      </w:pPr>
      <w:r w:rsidRPr="00426563">
        <w:rPr>
          <w:rFonts w:asciiTheme="majorHAnsi" w:hAnsiTheme="majorHAnsi" w:cstheme="majorHAnsi"/>
        </w:rPr>
        <w:t>9.</w:t>
      </w:r>
      <w:r w:rsidRPr="00426563">
        <w:rPr>
          <w:rFonts w:asciiTheme="majorHAnsi" w:hAnsiTheme="majorHAnsi" w:cstheme="majorHAnsi"/>
        </w:rPr>
        <w:tab/>
      </w:r>
      <w:r w:rsidRPr="00426563">
        <w:rPr>
          <w:rFonts w:asciiTheme="majorHAnsi" w:hAnsiTheme="majorHAnsi" w:cstheme="majorHAnsi"/>
          <w:i/>
          <w:iCs/>
        </w:rPr>
        <w:t>Chronic Pain (Primary and Secondary) in over Sixteens: Assessment of All Chronic Pain and Management of Chronic Primary Pain</w:t>
      </w:r>
      <w:r w:rsidRPr="00426563">
        <w:rPr>
          <w:rFonts w:asciiTheme="majorHAnsi" w:hAnsiTheme="majorHAnsi" w:cstheme="majorHAnsi"/>
        </w:rPr>
        <w:t>. National Institute for Health and Care Excellence; 2021. https://www.nice.org.uk/guidance/ng193</w:t>
      </w:r>
    </w:p>
    <w:p w14:paraId="48B73B10" w14:textId="77777777" w:rsidR="00F76193" w:rsidRPr="00426563" w:rsidRDefault="00F76193" w:rsidP="00F76193">
      <w:pPr>
        <w:pStyle w:val="Bibliography"/>
        <w:rPr>
          <w:rFonts w:asciiTheme="majorHAnsi" w:hAnsiTheme="majorHAnsi" w:cstheme="majorHAnsi"/>
        </w:rPr>
      </w:pPr>
      <w:r w:rsidRPr="00426563">
        <w:rPr>
          <w:rFonts w:asciiTheme="majorHAnsi" w:hAnsiTheme="majorHAnsi" w:cstheme="majorHAnsi"/>
        </w:rPr>
        <w:t>10.</w:t>
      </w:r>
      <w:r w:rsidRPr="00426563">
        <w:rPr>
          <w:rFonts w:asciiTheme="majorHAnsi" w:hAnsiTheme="majorHAnsi" w:cstheme="majorHAnsi"/>
        </w:rPr>
        <w:tab/>
        <w:t xml:space="preserve">Jani M, Girard N, Bates DW, et al. Opioid prescribing among new users for non-cancer pain in the USA, Canada, UK, and Taiwan: A population-based cohort study. </w:t>
      </w:r>
      <w:r w:rsidRPr="00426563">
        <w:rPr>
          <w:rFonts w:asciiTheme="majorHAnsi" w:hAnsiTheme="majorHAnsi" w:cstheme="majorHAnsi"/>
          <w:i/>
          <w:iCs/>
        </w:rPr>
        <w:t>PLOS Med</w:t>
      </w:r>
      <w:r w:rsidRPr="00426563">
        <w:rPr>
          <w:rFonts w:asciiTheme="majorHAnsi" w:hAnsiTheme="majorHAnsi" w:cstheme="majorHAnsi"/>
        </w:rPr>
        <w:t>. 2021;18(11):e1003829. doi:10.1371/journal.pmed.1003829</w:t>
      </w:r>
    </w:p>
    <w:p w14:paraId="3861C08F" w14:textId="77777777" w:rsidR="00F76193" w:rsidRPr="00426563" w:rsidRDefault="00F76193" w:rsidP="00F76193">
      <w:pPr>
        <w:pStyle w:val="Bibliography"/>
        <w:rPr>
          <w:rFonts w:asciiTheme="majorHAnsi" w:hAnsiTheme="majorHAnsi" w:cstheme="majorHAnsi"/>
        </w:rPr>
      </w:pPr>
      <w:r w:rsidRPr="00426563">
        <w:rPr>
          <w:rFonts w:asciiTheme="majorHAnsi" w:hAnsiTheme="majorHAnsi" w:cstheme="majorHAnsi"/>
        </w:rPr>
        <w:t>11.</w:t>
      </w:r>
      <w:r w:rsidRPr="00426563">
        <w:rPr>
          <w:rFonts w:asciiTheme="majorHAnsi" w:hAnsiTheme="majorHAnsi" w:cstheme="majorHAnsi"/>
        </w:rPr>
        <w:tab/>
        <w:t xml:space="preserve">Suda KJ, Durkin MJ, Calip GS, et al. Comparison of Opioid Prescribing by Dentists in the United States and England. </w:t>
      </w:r>
      <w:r w:rsidRPr="00426563">
        <w:rPr>
          <w:rFonts w:asciiTheme="majorHAnsi" w:hAnsiTheme="majorHAnsi" w:cstheme="majorHAnsi"/>
          <w:i/>
          <w:iCs/>
        </w:rPr>
        <w:t>JAMA Netw Open</w:t>
      </w:r>
      <w:r w:rsidRPr="00426563">
        <w:rPr>
          <w:rFonts w:asciiTheme="majorHAnsi" w:hAnsiTheme="majorHAnsi" w:cstheme="majorHAnsi"/>
        </w:rPr>
        <w:t>. 2019;2(5):e194303-e194303. doi:10.1001/jamanetworkopen.2019.4303</w:t>
      </w:r>
    </w:p>
    <w:p w14:paraId="19250F6F" w14:textId="77777777" w:rsidR="00F76193" w:rsidRPr="00426563" w:rsidRDefault="00F76193" w:rsidP="00F76193">
      <w:pPr>
        <w:pStyle w:val="Bibliography"/>
        <w:rPr>
          <w:rFonts w:asciiTheme="majorHAnsi" w:hAnsiTheme="majorHAnsi" w:cstheme="majorHAnsi"/>
        </w:rPr>
      </w:pPr>
      <w:r w:rsidRPr="00426563">
        <w:rPr>
          <w:rFonts w:asciiTheme="majorHAnsi" w:hAnsiTheme="majorHAnsi" w:cstheme="majorHAnsi"/>
        </w:rPr>
        <w:lastRenderedPageBreak/>
        <w:t>12.</w:t>
      </w:r>
      <w:r w:rsidRPr="00426563">
        <w:rPr>
          <w:rFonts w:asciiTheme="majorHAnsi" w:hAnsiTheme="majorHAnsi" w:cstheme="majorHAnsi"/>
        </w:rPr>
        <w:tab/>
        <w:t xml:space="preserve">Weisberg DF, Becker WC, Fiellin DA, Stannard C. Prescription opioid misuse in the United States and the United Kingdom: Cautionary lessons. </w:t>
      </w:r>
      <w:r w:rsidRPr="00426563">
        <w:rPr>
          <w:rFonts w:asciiTheme="majorHAnsi" w:hAnsiTheme="majorHAnsi" w:cstheme="majorHAnsi"/>
          <w:i/>
          <w:iCs/>
        </w:rPr>
        <w:t>Int J Drug Policy</w:t>
      </w:r>
      <w:r w:rsidRPr="00426563">
        <w:rPr>
          <w:rFonts w:asciiTheme="majorHAnsi" w:hAnsiTheme="majorHAnsi" w:cstheme="majorHAnsi"/>
        </w:rPr>
        <w:t>. 2014;25(6):1124-1130. doi:10.1016/j.drugpo.2014.07.009</w:t>
      </w:r>
    </w:p>
    <w:p w14:paraId="3DCDD4DD" w14:textId="77777777" w:rsidR="00F76193" w:rsidRPr="00426563" w:rsidRDefault="00F76193" w:rsidP="00F76193">
      <w:pPr>
        <w:pStyle w:val="Bibliography"/>
        <w:rPr>
          <w:rFonts w:asciiTheme="majorHAnsi" w:hAnsiTheme="majorHAnsi" w:cstheme="majorHAnsi"/>
        </w:rPr>
      </w:pPr>
      <w:r w:rsidRPr="00426563">
        <w:rPr>
          <w:rFonts w:asciiTheme="majorHAnsi" w:hAnsiTheme="majorHAnsi" w:cstheme="majorHAnsi"/>
        </w:rPr>
        <w:t>13.</w:t>
      </w:r>
      <w:r w:rsidRPr="00426563">
        <w:rPr>
          <w:rFonts w:asciiTheme="majorHAnsi" w:hAnsiTheme="majorHAnsi" w:cstheme="majorHAnsi"/>
        </w:rPr>
        <w:tab/>
        <w:t xml:space="preserve">Curtis HJ, Croker R, Walker AJ, Richards GC, Quinlan J, Goldacre B. Opioid prescribing trends and geographical variation in England, 1998–2018: a retrospective database study. </w:t>
      </w:r>
      <w:r w:rsidRPr="00426563">
        <w:rPr>
          <w:rFonts w:asciiTheme="majorHAnsi" w:hAnsiTheme="majorHAnsi" w:cstheme="majorHAnsi"/>
          <w:i/>
          <w:iCs/>
        </w:rPr>
        <w:t>Lancet Psychiatry</w:t>
      </w:r>
      <w:r w:rsidRPr="00426563">
        <w:rPr>
          <w:rFonts w:asciiTheme="majorHAnsi" w:hAnsiTheme="majorHAnsi" w:cstheme="majorHAnsi"/>
        </w:rPr>
        <w:t>. 2019;6(2):140-150. doi:10.1016/S2215-0366(18)30471-1</w:t>
      </w:r>
    </w:p>
    <w:p w14:paraId="1C6BFD53" w14:textId="77777777" w:rsidR="00F76193" w:rsidRPr="00426563" w:rsidRDefault="00F76193" w:rsidP="00F76193">
      <w:pPr>
        <w:pStyle w:val="Bibliography"/>
        <w:rPr>
          <w:rFonts w:asciiTheme="majorHAnsi" w:hAnsiTheme="majorHAnsi" w:cstheme="majorHAnsi"/>
        </w:rPr>
      </w:pPr>
      <w:r w:rsidRPr="00426563">
        <w:rPr>
          <w:rFonts w:asciiTheme="majorHAnsi" w:hAnsiTheme="majorHAnsi" w:cstheme="majorHAnsi"/>
        </w:rPr>
        <w:t>14.</w:t>
      </w:r>
      <w:r w:rsidRPr="00426563">
        <w:rPr>
          <w:rFonts w:asciiTheme="majorHAnsi" w:hAnsiTheme="majorHAnsi" w:cstheme="majorHAnsi"/>
        </w:rPr>
        <w:tab/>
        <w:t xml:space="preserve">Targownik LE, Nugent Z, Singh H, Bugden S, Bernstein CN. The Prevalence and Predictors of Opioid Use in Inflammatory Bowel Disease: A Population-Based Analysis. </w:t>
      </w:r>
      <w:r w:rsidRPr="00426563">
        <w:rPr>
          <w:rFonts w:asciiTheme="majorHAnsi" w:hAnsiTheme="majorHAnsi" w:cstheme="majorHAnsi"/>
          <w:i/>
          <w:iCs/>
        </w:rPr>
        <w:t>Off J Am Coll Gastroenterol ACG</w:t>
      </w:r>
      <w:r w:rsidRPr="00426563">
        <w:rPr>
          <w:rFonts w:asciiTheme="majorHAnsi" w:hAnsiTheme="majorHAnsi" w:cstheme="majorHAnsi"/>
        </w:rPr>
        <w:t>. 2014;109(10). https://journals.lww.com/ajg/Fulltext/2014/10000/The_Prevalence_and_Predictors_of_Opioid_Use_in.18.aspx</w:t>
      </w:r>
    </w:p>
    <w:p w14:paraId="75E2273A" w14:textId="77777777" w:rsidR="00F76193" w:rsidRPr="00426563" w:rsidRDefault="00F76193" w:rsidP="00F76193">
      <w:pPr>
        <w:pStyle w:val="Bibliography"/>
        <w:rPr>
          <w:rFonts w:asciiTheme="majorHAnsi" w:hAnsiTheme="majorHAnsi" w:cstheme="majorHAnsi"/>
        </w:rPr>
      </w:pPr>
      <w:r w:rsidRPr="00426563">
        <w:rPr>
          <w:rFonts w:asciiTheme="majorHAnsi" w:hAnsiTheme="majorHAnsi" w:cstheme="majorHAnsi"/>
        </w:rPr>
        <w:t>15.</w:t>
      </w:r>
      <w:r w:rsidRPr="00426563">
        <w:rPr>
          <w:rFonts w:asciiTheme="majorHAnsi" w:hAnsiTheme="majorHAnsi" w:cstheme="majorHAnsi"/>
        </w:rPr>
        <w:tab/>
        <w:t xml:space="preserve">Lin X, Lofland J, Zhang L, et al. Opioid Use in Patients With Inflammatory Bowel Disease. </w:t>
      </w:r>
      <w:r w:rsidRPr="00426563">
        <w:rPr>
          <w:rFonts w:asciiTheme="majorHAnsi" w:hAnsiTheme="majorHAnsi" w:cstheme="majorHAnsi"/>
          <w:i/>
          <w:iCs/>
        </w:rPr>
        <w:t>Crohns Colitis 360</w:t>
      </w:r>
      <w:r w:rsidRPr="00426563">
        <w:rPr>
          <w:rFonts w:asciiTheme="majorHAnsi" w:hAnsiTheme="majorHAnsi" w:cstheme="majorHAnsi"/>
        </w:rPr>
        <w:t>. 2020;2(1):otaa009. doi:10.1093/crocol/otaa009</w:t>
      </w:r>
    </w:p>
    <w:p w14:paraId="0007C041" w14:textId="77777777" w:rsidR="00F76193" w:rsidRPr="00426563" w:rsidRDefault="00F76193" w:rsidP="00F76193">
      <w:pPr>
        <w:pStyle w:val="Bibliography"/>
        <w:rPr>
          <w:rFonts w:asciiTheme="majorHAnsi" w:hAnsiTheme="majorHAnsi" w:cstheme="majorHAnsi"/>
        </w:rPr>
      </w:pPr>
      <w:r w:rsidRPr="00426563">
        <w:rPr>
          <w:rFonts w:asciiTheme="majorHAnsi" w:hAnsiTheme="majorHAnsi" w:cstheme="majorHAnsi"/>
        </w:rPr>
        <w:t>16.</w:t>
      </w:r>
      <w:r w:rsidRPr="00426563">
        <w:rPr>
          <w:rFonts w:asciiTheme="majorHAnsi" w:hAnsiTheme="majorHAnsi" w:cstheme="majorHAnsi"/>
        </w:rPr>
        <w:tab/>
        <w:t xml:space="preserve">Joint Formulary Committee. </w:t>
      </w:r>
      <w:r w:rsidRPr="00426563">
        <w:rPr>
          <w:rFonts w:asciiTheme="majorHAnsi" w:hAnsiTheme="majorHAnsi" w:cstheme="majorHAnsi"/>
          <w:i/>
          <w:iCs/>
        </w:rPr>
        <w:t>British National Formulary (Online)</w:t>
      </w:r>
      <w:r w:rsidRPr="00426563">
        <w:rPr>
          <w:rFonts w:asciiTheme="majorHAnsi" w:hAnsiTheme="majorHAnsi" w:cstheme="majorHAnsi"/>
        </w:rPr>
        <w:t>. London: BMJ Group and Pharmaceutical Press Accessed October 6, 2022. http://www.medicinescomplete.com</w:t>
      </w:r>
    </w:p>
    <w:p w14:paraId="44672B8B" w14:textId="77777777" w:rsidR="00F76193" w:rsidRPr="00426563" w:rsidRDefault="00F76193" w:rsidP="00F76193">
      <w:pPr>
        <w:pStyle w:val="Bibliography"/>
        <w:rPr>
          <w:rFonts w:asciiTheme="majorHAnsi" w:hAnsiTheme="majorHAnsi" w:cstheme="majorHAnsi"/>
        </w:rPr>
      </w:pPr>
      <w:r w:rsidRPr="00426563">
        <w:rPr>
          <w:rFonts w:asciiTheme="majorHAnsi" w:hAnsiTheme="majorHAnsi" w:cstheme="majorHAnsi"/>
        </w:rPr>
        <w:t>17.</w:t>
      </w:r>
      <w:r w:rsidRPr="00426563">
        <w:rPr>
          <w:rFonts w:asciiTheme="majorHAnsi" w:hAnsiTheme="majorHAnsi" w:cstheme="majorHAnsi"/>
        </w:rPr>
        <w:tab/>
        <w:t xml:space="preserve">Legislation.gov.uk. </w:t>
      </w:r>
      <w:r w:rsidRPr="00426563">
        <w:rPr>
          <w:rFonts w:asciiTheme="majorHAnsi" w:hAnsiTheme="majorHAnsi" w:cstheme="majorHAnsi"/>
          <w:i/>
          <w:iCs/>
        </w:rPr>
        <w:t>The Misuse of Drugs Regulations 2001. [Online]</w:t>
      </w:r>
      <w:r w:rsidRPr="00426563">
        <w:rPr>
          <w:rFonts w:asciiTheme="majorHAnsi" w:hAnsiTheme="majorHAnsi" w:cstheme="majorHAnsi"/>
        </w:rPr>
        <w:t>.; 2018. Accessed October 6, 2022. http://www.legislation.gov.uk/uksi/2001/3998/contents/made</w:t>
      </w:r>
    </w:p>
    <w:p w14:paraId="44FE5A99" w14:textId="77777777" w:rsidR="00F76193" w:rsidRPr="00426563" w:rsidRDefault="00F76193" w:rsidP="00F76193">
      <w:pPr>
        <w:pStyle w:val="Bibliography"/>
        <w:rPr>
          <w:rFonts w:asciiTheme="majorHAnsi" w:hAnsiTheme="majorHAnsi" w:cstheme="majorHAnsi"/>
        </w:rPr>
      </w:pPr>
      <w:r w:rsidRPr="00426563">
        <w:rPr>
          <w:rFonts w:asciiTheme="majorHAnsi" w:hAnsiTheme="majorHAnsi" w:cstheme="majorHAnsi"/>
        </w:rPr>
        <w:t>18.</w:t>
      </w:r>
      <w:r w:rsidRPr="00426563">
        <w:rPr>
          <w:rFonts w:asciiTheme="majorHAnsi" w:hAnsiTheme="majorHAnsi" w:cstheme="majorHAnsi"/>
        </w:rPr>
        <w:tab/>
        <w:t xml:space="preserve">R Core Team. </w:t>
      </w:r>
      <w:r w:rsidRPr="00426563">
        <w:rPr>
          <w:rFonts w:asciiTheme="majorHAnsi" w:hAnsiTheme="majorHAnsi" w:cstheme="majorHAnsi"/>
          <w:i/>
          <w:iCs/>
        </w:rPr>
        <w:t>R: A Language and Environment for Statistical Computing</w:t>
      </w:r>
      <w:r w:rsidRPr="00426563">
        <w:rPr>
          <w:rFonts w:asciiTheme="majorHAnsi" w:hAnsiTheme="majorHAnsi" w:cstheme="majorHAnsi"/>
        </w:rPr>
        <w:t>. R Foundation for Statistical Computing; 2020. https://www.R-project.org/</w:t>
      </w:r>
    </w:p>
    <w:p w14:paraId="6CE684A8" w14:textId="77777777" w:rsidR="00F76193" w:rsidRPr="00426563" w:rsidRDefault="00F76193" w:rsidP="00F76193">
      <w:pPr>
        <w:pStyle w:val="Bibliography"/>
        <w:rPr>
          <w:rFonts w:asciiTheme="majorHAnsi" w:hAnsiTheme="majorHAnsi" w:cstheme="majorHAnsi"/>
        </w:rPr>
      </w:pPr>
      <w:r w:rsidRPr="00426563">
        <w:rPr>
          <w:rFonts w:asciiTheme="majorHAnsi" w:hAnsiTheme="majorHAnsi" w:cstheme="majorHAnsi"/>
        </w:rPr>
        <w:t>19.</w:t>
      </w:r>
      <w:r w:rsidRPr="00426563">
        <w:rPr>
          <w:rFonts w:asciiTheme="majorHAnsi" w:hAnsiTheme="majorHAnsi" w:cstheme="majorHAnsi"/>
        </w:rPr>
        <w:tab/>
        <w:t xml:space="preserve">Ogrinc G, Davies L, Goodman D, Batalden P, Davidoff F, Stevens D. SQUIRE 2.0 (&lt;em&gt;Standards for QUality Improvement Reporting Excellence)&lt;/em&gt;: revised publication guidelines from a detailed consensus process. </w:t>
      </w:r>
      <w:r w:rsidRPr="00426563">
        <w:rPr>
          <w:rFonts w:asciiTheme="majorHAnsi" w:hAnsiTheme="majorHAnsi" w:cstheme="majorHAnsi"/>
          <w:i/>
          <w:iCs/>
        </w:rPr>
        <w:t>BMJ Qual Amp Saf</w:t>
      </w:r>
      <w:r w:rsidRPr="00426563">
        <w:rPr>
          <w:rFonts w:asciiTheme="majorHAnsi" w:hAnsiTheme="majorHAnsi" w:cstheme="majorHAnsi"/>
        </w:rPr>
        <w:t>. 2016;25(12):986. doi:10.1136/bmjqs-2015-004411</w:t>
      </w:r>
    </w:p>
    <w:p w14:paraId="627C2281" w14:textId="77777777" w:rsidR="00F76193" w:rsidRPr="00426563" w:rsidRDefault="00F76193" w:rsidP="00F76193">
      <w:pPr>
        <w:pStyle w:val="Bibliography"/>
        <w:rPr>
          <w:rFonts w:asciiTheme="majorHAnsi" w:hAnsiTheme="majorHAnsi" w:cstheme="majorHAnsi"/>
        </w:rPr>
      </w:pPr>
      <w:r w:rsidRPr="00426563">
        <w:rPr>
          <w:rFonts w:asciiTheme="majorHAnsi" w:hAnsiTheme="majorHAnsi" w:cstheme="majorHAnsi"/>
        </w:rPr>
        <w:t>20.</w:t>
      </w:r>
      <w:r w:rsidRPr="00426563">
        <w:rPr>
          <w:rFonts w:asciiTheme="majorHAnsi" w:hAnsiTheme="majorHAnsi" w:cstheme="majorHAnsi"/>
        </w:rPr>
        <w:tab/>
        <w:t xml:space="preserve">Rhudy C, Perry CL, Singleton M, Talbert J, Barrett TA. Chronic opioid use is associated with early biologic discontinuation in inflammatory bowel disease. </w:t>
      </w:r>
      <w:r w:rsidRPr="00426563">
        <w:rPr>
          <w:rFonts w:asciiTheme="majorHAnsi" w:hAnsiTheme="majorHAnsi" w:cstheme="majorHAnsi"/>
          <w:i/>
          <w:iCs/>
        </w:rPr>
        <w:t>Aliment Pharmacol Ther</w:t>
      </w:r>
      <w:r w:rsidRPr="00426563">
        <w:rPr>
          <w:rFonts w:asciiTheme="majorHAnsi" w:hAnsiTheme="majorHAnsi" w:cstheme="majorHAnsi"/>
        </w:rPr>
        <w:t>. 2021;53(6):704-711. doi:10.1111/apt.16269</w:t>
      </w:r>
    </w:p>
    <w:p w14:paraId="4F44AA45" w14:textId="77777777" w:rsidR="00F76193" w:rsidRPr="00426563" w:rsidRDefault="00F76193" w:rsidP="00F76193">
      <w:pPr>
        <w:pStyle w:val="Bibliography"/>
        <w:rPr>
          <w:rFonts w:asciiTheme="majorHAnsi" w:hAnsiTheme="majorHAnsi" w:cstheme="majorHAnsi"/>
        </w:rPr>
      </w:pPr>
      <w:r w:rsidRPr="00426563">
        <w:rPr>
          <w:rFonts w:asciiTheme="majorHAnsi" w:hAnsiTheme="majorHAnsi" w:cstheme="majorHAnsi"/>
        </w:rPr>
        <w:t>21.</w:t>
      </w:r>
      <w:r w:rsidRPr="00426563">
        <w:rPr>
          <w:rFonts w:asciiTheme="majorHAnsi" w:hAnsiTheme="majorHAnsi" w:cstheme="majorHAnsi"/>
        </w:rPr>
        <w:tab/>
        <w:t xml:space="preserve">Gao Y, Khan S, Akerman M, Sultan K. Analysis of the clinical indications for opiate use in inflammatory bowel disease. </w:t>
      </w:r>
      <w:r w:rsidRPr="00426563">
        <w:rPr>
          <w:rFonts w:asciiTheme="majorHAnsi" w:hAnsiTheme="majorHAnsi" w:cstheme="majorHAnsi"/>
          <w:i/>
          <w:iCs/>
        </w:rPr>
        <w:t>Intest Res</w:t>
      </w:r>
      <w:r w:rsidRPr="00426563">
        <w:rPr>
          <w:rFonts w:asciiTheme="majorHAnsi" w:hAnsiTheme="majorHAnsi" w:cstheme="majorHAnsi"/>
        </w:rPr>
        <w:t>. 2017;15(1):83-89. doi:10.5217/ir.2017.15.1.83</w:t>
      </w:r>
    </w:p>
    <w:p w14:paraId="1844F921" w14:textId="77777777" w:rsidR="00F76193" w:rsidRPr="00426563" w:rsidRDefault="00F76193" w:rsidP="00F76193">
      <w:pPr>
        <w:pStyle w:val="Bibliography"/>
        <w:rPr>
          <w:rFonts w:asciiTheme="majorHAnsi" w:hAnsiTheme="majorHAnsi" w:cstheme="majorHAnsi"/>
        </w:rPr>
      </w:pPr>
      <w:r w:rsidRPr="00426563">
        <w:rPr>
          <w:rFonts w:asciiTheme="majorHAnsi" w:hAnsiTheme="majorHAnsi" w:cstheme="majorHAnsi"/>
        </w:rPr>
        <w:t>22.</w:t>
      </w:r>
      <w:r w:rsidRPr="00426563">
        <w:rPr>
          <w:rFonts w:asciiTheme="majorHAnsi" w:hAnsiTheme="majorHAnsi" w:cstheme="majorHAnsi"/>
        </w:rPr>
        <w:tab/>
        <w:t xml:space="preserve">Niccum B, Moninuola O, Miller K, Khalili H. Opioid Use Among Patients With Inflammatory Bowel Disease: A Systematic Review and Meta-analysis. </w:t>
      </w:r>
      <w:r w:rsidRPr="00426563">
        <w:rPr>
          <w:rFonts w:asciiTheme="majorHAnsi" w:hAnsiTheme="majorHAnsi" w:cstheme="majorHAnsi"/>
          <w:i/>
          <w:iCs/>
        </w:rPr>
        <w:t>Clin Gastroenterol Hepatol</w:t>
      </w:r>
      <w:r w:rsidRPr="00426563">
        <w:rPr>
          <w:rFonts w:asciiTheme="majorHAnsi" w:hAnsiTheme="majorHAnsi" w:cstheme="majorHAnsi"/>
        </w:rPr>
        <w:t>. 2021;19(5):895-907.e4. doi:10.1016/j.cgh.2020.08.041</w:t>
      </w:r>
    </w:p>
    <w:p w14:paraId="29161539" w14:textId="77777777" w:rsidR="00F76193" w:rsidRPr="00426563" w:rsidRDefault="00F76193" w:rsidP="00F76193">
      <w:pPr>
        <w:pStyle w:val="Bibliography"/>
        <w:rPr>
          <w:rFonts w:asciiTheme="majorHAnsi" w:hAnsiTheme="majorHAnsi" w:cstheme="majorHAnsi"/>
        </w:rPr>
      </w:pPr>
      <w:r w:rsidRPr="00426563">
        <w:rPr>
          <w:rFonts w:asciiTheme="majorHAnsi" w:hAnsiTheme="majorHAnsi" w:cstheme="majorHAnsi"/>
        </w:rPr>
        <w:t>23.</w:t>
      </w:r>
      <w:r w:rsidRPr="00426563">
        <w:rPr>
          <w:rFonts w:asciiTheme="majorHAnsi" w:hAnsiTheme="majorHAnsi" w:cstheme="majorHAnsi"/>
        </w:rPr>
        <w:tab/>
        <w:t xml:space="preserve">Yu H, MacIsaac D, Wong JJ, et al. Market share and costs of biologic therapies for inflammatory bowel disease in the USA. </w:t>
      </w:r>
      <w:r w:rsidRPr="00426563">
        <w:rPr>
          <w:rFonts w:asciiTheme="majorHAnsi" w:hAnsiTheme="majorHAnsi" w:cstheme="majorHAnsi"/>
          <w:i/>
          <w:iCs/>
        </w:rPr>
        <w:t>Aliment Pharmacol Ther</w:t>
      </w:r>
      <w:r w:rsidRPr="00426563">
        <w:rPr>
          <w:rFonts w:asciiTheme="majorHAnsi" w:hAnsiTheme="majorHAnsi" w:cstheme="majorHAnsi"/>
        </w:rPr>
        <w:t>. 2018;47(3):364-370. doi:10.1111/apt.14430</w:t>
      </w:r>
    </w:p>
    <w:p w14:paraId="4F38E1F4" w14:textId="77777777" w:rsidR="00F76193" w:rsidRPr="00426563" w:rsidRDefault="00F76193" w:rsidP="00F76193">
      <w:pPr>
        <w:pStyle w:val="Bibliography"/>
        <w:rPr>
          <w:rFonts w:asciiTheme="majorHAnsi" w:hAnsiTheme="majorHAnsi" w:cstheme="majorHAnsi"/>
        </w:rPr>
      </w:pPr>
      <w:r w:rsidRPr="00426563">
        <w:rPr>
          <w:rFonts w:asciiTheme="majorHAnsi" w:hAnsiTheme="majorHAnsi" w:cstheme="majorHAnsi"/>
        </w:rPr>
        <w:t>24.</w:t>
      </w:r>
      <w:r w:rsidRPr="00426563">
        <w:rPr>
          <w:rFonts w:asciiTheme="majorHAnsi" w:hAnsiTheme="majorHAnsi" w:cstheme="majorHAnsi"/>
        </w:rPr>
        <w:tab/>
        <w:t xml:space="preserve">Brat GA, Agniel D, Beam A, et al. Postsurgical prescriptions for opioid naive patients and association with overdose and misuse: retrospective cohort study. </w:t>
      </w:r>
      <w:r w:rsidRPr="00426563">
        <w:rPr>
          <w:rFonts w:asciiTheme="majorHAnsi" w:hAnsiTheme="majorHAnsi" w:cstheme="majorHAnsi"/>
          <w:i/>
          <w:iCs/>
        </w:rPr>
        <w:t>BMJ</w:t>
      </w:r>
      <w:r w:rsidRPr="00426563">
        <w:rPr>
          <w:rFonts w:asciiTheme="majorHAnsi" w:hAnsiTheme="majorHAnsi" w:cstheme="majorHAnsi"/>
        </w:rPr>
        <w:t>. 2018;360:j5790. doi:10.1136/bmj.j5790</w:t>
      </w:r>
    </w:p>
    <w:p w14:paraId="54413AF6" w14:textId="77777777" w:rsidR="00F76193" w:rsidRPr="00426563" w:rsidRDefault="00F76193" w:rsidP="00F76193">
      <w:pPr>
        <w:pStyle w:val="Bibliography"/>
        <w:rPr>
          <w:rFonts w:asciiTheme="majorHAnsi" w:hAnsiTheme="majorHAnsi" w:cstheme="majorHAnsi"/>
        </w:rPr>
      </w:pPr>
      <w:r w:rsidRPr="00426563">
        <w:rPr>
          <w:rFonts w:asciiTheme="majorHAnsi" w:hAnsiTheme="majorHAnsi" w:cstheme="majorHAnsi"/>
        </w:rPr>
        <w:lastRenderedPageBreak/>
        <w:t>25.</w:t>
      </w:r>
      <w:r w:rsidRPr="00426563">
        <w:rPr>
          <w:rFonts w:asciiTheme="majorHAnsi" w:hAnsiTheme="majorHAnsi" w:cstheme="majorHAnsi"/>
        </w:rPr>
        <w:tab/>
        <w:t xml:space="preserve">National Institute for Health and Care Excellence. </w:t>
      </w:r>
      <w:r w:rsidRPr="00426563">
        <w:rPr>
          <w:rFonts w:asciiTheme="majorHAnsi" w:hAnsiTheme="majorHAnsi" w:cstheme="majorHAnsi"/>
          <w:i/>
          <w:iCs/>
        </w:rPr>
        <w:t>Rheumatoid Arthritis in Adults: Management</w:t>
      </w:r>
      <w:r w:rsidRPr="00426563">
        <w:rPr>
          <w:rFonts w:asciiTheme="majorHAnsi" w:hAnsiTheme="majorHAnsi" w:cstheme="majorHAnsi"/>
        </w:rPr>
        <w:t>.; 2018. Accessed August 9, 2022. www.nice.org.uk/guidance/ng100</w:t>
      </w:r>
    </w:p>
    <w:p w14:paraId="657FC9BB" w14:textId="77777777" w:rsidR="00F76193" w:rsidRPr="00426563" w:rsidRDefault="00F76193" w:rsidP="00F76193">
      <w:pPr>
        <w:pStyle w:val="Bibliography"/>
        <w:rPr>
          <w:rFonts w:asciiTheme="majorHAnsi" w:hAnsiTheme="majorHAnsi" w:cstheme="majorHAnsi"/>
        </w:rPr>
      </w:pPr>
      <w:r w:rsidRPr="00426563">
        <w:rPr>
          <w:rFonts w:asciiTheme="majorHAnsi" w:hAnsiTheme="majorHAnsi" w:cstheme="majorHAnsi"/>
        </w:rPr>
        <w:t>26.</w:t>
      </w:r>
      <w:r w:rsidRPr="00426563">
        <w:rPr>
          <w:rFonts w:asciiTheme="majorHAnsi" w:hAnsiTheme="majorHAnsi" w:cstheme="majorHAnsi"/>
        </w:rPr>
        <w:tab/>
        <w:t xml:space="preserve">National Institute for Health and Care Excellence. </w:t>
      </w:r>
      <w:r w:rsidRPr="00426563">
        <w:rPr>
          <w:rFonts w:asciiTheme="majorHAnsi" w:hAnsiTheme="majorHAnsi" w:cstheme="majorHAnsi"/>
          <w:i/>
          <w:iCs/>
        </w:rPr>
        <w:t>Osteoarthritis in over 16s: Diagnosis and Management</w:t>
      </w:r>
      <w:r w:rsidRPr="00426563">
        <w:rPr>
          <w:rFonts w:asciiTheme="majorHAnsi" w:hAnsiTheme="majorHAnsi" w:cstheme="majorHAnsi"/>
        </w:rPr>
        <w:t>. National Institute for Health and Care Excellence; 2022. Accessed February 4, 2023. https://www.nice.org.uk/guidance/ng226</w:t>
      </w:r>
    </w:p>
    <w:p w14:paraId="726AE705" w14:textId="77777777" w:rsidR="00F76193" w:rsidRPr="00426563" w:rsidRDefault="00F76193" w:rsidP="00F76193">
      <w:pPr>
        <w:pStyle w:val="Bibliography"/>
        <w:rPr>
          <w:rFonts w:asciiTheme="majorHAnsi" w:hAnsiTheme="majorHAnsi" w:cstheme="majorHAnsi"/>
        </w:rPr>
      </w:pPr>
      <w:r w:rsidRPr="00426563">
        <w:rPr>
          <w:rFonts w:asciiTheme="majorHAnsi" w:hAnsiTheme="majorHAnsi" w:cstheme="majorHAnsi"/>
        </w:rPr>
        <w:t>27.</w:t>
      </w:r>
      <w:r w:rsidRPr="00426563">
        <w:rPr>
          <w:rFonts w:asciiTheme="majorHAnsi" w:hAnsiTheme="majorHAnsi" w:cstheme="majorHAnsi"/>
        </w:rPr>
        <w:tab/>
        <w:t xml:space="preserve">National Institute for Health and Care Excellence. </w:t>
      </w:r>
      <w:r w:rsidRPr="00426563">
        <w:rPr>
          <w:rFonts w:asciiTheme="majorHAnsi" w:hAnsiTheme="majorHAnsi" w:cstheme="majorHAnsi"/>
          <w:i/>
          <w:iCs/>
        </w:rPr>
        <w:t>Low Back Pain and Sciatica in over 16s: Assessment and Management</w:t>
      </w:r>
      <w:r w:rsidRPr="00426563">
        <w:rPr>
          <w:rFonts w:asciiTheme="majorHAnsi" w:hAnsiTheme="majorHAnsi" w:cstheme="majorHAnsi"/>
        </w:rPr>
        <w:t>.; 2020. Accessed February 4, 2023. https://www.nice.org.uk/guidance/NG59</w:t>
      </w:r>
    </w:p>
    <w:p w14:paraId="0A2D8DBA" w14:textId="77777777" w:rsidR="00F76193" w:rsidRPr="00426563" w:rsidRDefault="00F76193" w:rsidP="00F76193">
      <w:pPr>
        <w:pStyle w:val="Bibliography"/>
        <w:rPr>
          <w:rFonts w:asciiTheme="majorHAnsi" w:hAnsiTheme="majorHAnsi" w:cstheme="majorHAnsi"/>
        </w:rPr>
      </w:pPr>
      <w:r w:rsidRPr="00426563">
        <w:rPr>
          <w:rFonts w:asciiTheme="majorHAnsi" w:hAnsiTheme="majorHAnsi" w:cstheme="majorHAnsi"/>
        </w:rPr>
        <w:t>28.</w:t>
      </w:r>
      <w:r w:rsidRPr="00426563">
        <w:rPr>
          <w:rFonts w:asciiTheme="majorHAnsi" w:hAnsiTheme="majorHAnsi" w:cstheme="majorHAnsi"/>
        </w:rPr>
        <w:tab/>
        <w:t xml:space="preserve">Noureldin M, Higgins PDR, Govani SM, et al. Incidence and predictors of new persistent opioid use following inflammatory bowel disease flares treated with oral corticosteroids. </w:t>
      </w:r>
      <w:r w:rsidRPr="00426563">
        <w:rPr>
          <w:rFonts w:asciiTheme="majorHAnsi" w:hAnsiTheme="majorHAnsi" w:cstheme="majorHAnsi"/>
          <w:i/>
          <w:iCs/>
        </w:rPr>
        <w:t>Aliment Pharmacol Ther</w:t>
      </w:r>
      <w:r w:rsidRPr="00426563">
        <w:rPr>
          <w:rFonts w:asciiTheme="majorHAnsi" w:hAnsiTheme="majorHAnsi" w:cstheme="majorHAnsi"/>
        </w:rPr>
        <w:t>. 2019;49(1):74-83. doi:10.1111/apt.15023</w:t>
      </w:r>
    </w:p>
    <w:p w14:paraId="10A2C30F" w14:textId="77777777" w:rsidR="00F76193" w:rsidRPr="00426563" w:rsidRDefault="00F76193" w:rsidP="00F76193">
      <w:pPr>
        <w:pStyle w:val="Bibliography"/>
        <w:rPr>
          <w:rFonts w:asciiTheme="majorHAnsi" w:hAnsiTheme="majorHAnsi" w:cstheme="majorHAnsi"/>
        </w:rPr>
      </w:pPr>
      <w:r w:rsidRPr="00426563">
        <w:rPr>
          <w:rFonts w:asciiTheme="majorHAnsi" w:hAnsiTheme="majorHAnsi" w:cstheme="majorHAnsi"/>
        </w:rPr>
        <w:t>29.</w:t>
      </w:r>
      <w:r w:rsidRPr="00426563">
        <w:rPr>
          <w:rFonts w:asciiTheme="majorHAnsi" w:hAnsiTheme="majorHAnsi" w:cstheme="majorHAnsi"/>
        </w:rPr>
        <w:tab/>
        <w:t xml:space="preserve">Avery N, McNeilage AG, Stanaway F, et al. Efficacy of interventions to reduce long term opioid treatment for chronic non-cancer pain: systematic review and meta-analysis. </w:t>
      </w:r>
      <w:r w:rsidRPr="00426563">
        <w:rPr>
          <w:rFonts w:asciiTheme="majorHAnsi" w:hAnsiTheme="majorHAnsi" w:cstheme="majorHAnsi"/>
          <w:i/>
          <w:iCs/>
        </w:rPr>
        <w:t>BMJ</w:t>
      </w:r>
      <w:r w:rsidRPr="00426563">
        <w:rPr>
          <w:rFonts w:asciiTheme="majorHAnsi" w:hAnsiTheme="majorHAnsi" w:cstheme="majorHAnsi"/>
        </w:rPr>
        <w:t>. Published online April 4, 2022:e066375. doi:10.1136/bmj-2021-066375</w:t>
      </w:r>
    </w:p>
    <w:p w14:paraId="4F21C98D" w14:textId="77777777" w:rsidR="00F76193" w:rsidRPr="00426563" w:rsidRDefault="00F76193" w:rsidP="00F76193">
      <w:pPr>
        <w:pStyle w:val="Bibliography"/>
        <w:rPr>
          <w:rFonts w:asciiTheme="majorHAnsi" w:hAnsiTheme="majorHAnsi" w:cstheme="majorHAnsi"/>
        </w:rPr>
      </w:pPr>
      <w:r w:rsidRPr="00426563">
        <w:rPr>
          <w:rFonts w:asciiTheme="majorHAnsi" w:hAnsiTheme="majorHAnsi" w:cstheme="majorHAnsi"/>
        </w:rPr>
        <w:t>30.</w:t>
      </w:r>
      <w:r w:rsidRPr="00426563">
        <w:rPr>
          <w:rFonts w:asciiTheme="majorHAnsi" w:hAnsiTheme="majorHAnsi" w:cstheme="majorHAnsi"/>
        </w:rPr>
        <w:tab/>
        <w:t xml:space="preserve">Farrokhyar F, Marshall JK, Easterbrook B, Irvine JE. Functional Gastrointestinal Disorders and Mood Disorders in Patients with Inactive Inflammatory Bowel Disease: Prevalence and Impact on Health. </w:t>
      </w:r>
      <w:r w:rsidRPr="00426563">
        <w:rPr>
          <w:rFonts w:asciiTheme="majorHAnsi" w:hAnsiTheme="majorHAnsi" w:cstheme="majorHAnsi"/>
          <w:i/>
          <w:iCs/>
        </w:rPr>
        <w:t>Inflamm Bowel Dis</w:t>
      </w:r>
      <w:r w:rsidRPr="00426563">
        <w:rPr>
          <w:rFonts w:asciiTheme="majorHAnsi" w:hAnsiTheme="majorHAnsi" w:cstheme="majorHAnsi"/>
        </w:rPr>
        <w:t>. 2006;12(1):38-46. doi:10.1097/01.MIB.0000195391.49762.89</w:t>
      </w:r>
    </w:p>
    <w:p w14:paraId="5E3DFB6A" w14:textId="77777777" w:rsidR="00F76193" w:rsidRPr="00426563" w:rsidRDefault="00F76193" w:rsidP="00F76193">
      <w:pPr>
        <w:pStyle w:val="Bibliography"/>
        <w:rPr>
          <w:rFonts w:asciiTheme="majorHAnsi" w:hAnsiTheme="majorHAnsi" w:cstheme="majorHAnsi"/>
        </w:rPr>
      </w:pPr>
      <w:r w:rsidRPr="00426563">
        <w:rPr>
          <w:rFonts w:asciiTheme="majorHAnsi" w:hAnsiTheme="majorHAnsi" w:cstheme="majorHAnsi"/>
        </w:rPr>
        <w:t>31.</w:t>
      </w:r>
      <w:r w:rsidRPr="00426563">
        <w:rPr>
          <w:rFonts w:asciiTheme="majorHAnsi" w:hAnsiTheme="majorHAnsi" w:cstheme="majorHAnsi"/>
        </w:rPr>
        <w:tab/>
        <w:t xml:space="preserve">Zielińska A, Sałaga M, Włodarczyk M, Fichna J. Focus on current and future management possibilities in inflammatory bowel disease-related chronic pain. </w:t>
      </w:r>
      <w:r w:rsidRPr="00426563">
        <w:rPr>
          <w:rFonts w:asciiTheme="majorHAnsi" w:hAnsiTheme="majorHAnsi" w:cstheme="majorHAnsi"/>
          <w:i/>
          <w:iCs/>
        </w:rPr>
        <w:t>Int J Colorectal Dis</w:t>
      </w:r>
      <w:r w:rsidRPr="00426563">
        <w:rPr>
          <w:rFonts w:asciiTheme="majorHAnsi" w:hAnsiTheme="majorHAnsi" w:cstheme="majorHAnsi"/>
        </w:rPr>
        <w:t>. 2019;34(2):217-227. doi:10.1007/s00384-018-3218-0</w:t>
      </w:r>
    </w:p>
    <w:p w14:paraId="0AE2FF82" w14:textId="77777777" w:rsidR="00F76193" w:rsidRPr="00426563" w:rsidRDefault="00F76193" w:rsidP="00F76193">
      <w:pPr>
        <w:pStyle w:val="Bibliography"/>
        <w:rPr>
          <w:rFonts w:asciiTheme="majorHAnsi" w:hAnsiTheme="majorHAnsi" w:cstheme="majorHAnsi"/>
        </w:rPr>
      </w:pPr>
      <w:r w:rsidRPr="00426563">
        <w:rPr>
          <w:rFonts w:asciiTheme="majorHAnsi" w:hAnsiTheme="majorHAnsi" w:cstheme="majorHAnsi"/>
        </w:rPr>
        <w:t>32.</w:t>
      </w:r>
      <w:r w:rsidRPr="00426563">
        <w:rPr>
          <w:rFonts w:asciiTheme="majorHAnsi" w:hAnsiTheme="majorHAnsi" w:cstheme="majorHAnsi"/>
        </w:rPr>
        <w:tab/>
        <w:t xml:space="preserve">Norton C, Syred J, Kerry S, et al. Supported online self-management versus care as usual for symptoms of fatigue, pain and urgency/incontinence in adults with inflammatory bowel disease (IBD-BOOST): study protocol for a randomised controlled trial. </w:t>
      </w:r>
      <w:r w:rsidRPr="00426563">
        <w:rPr>
          <w:rFonts w:asciiTheme="majorHAnsi" w:hAnsiTheme="majorHAnsi" w:cstheme="majorHAnsi"/>
          <w:i/>
          <w:iCs/>
        </w:rPr>
        <w:t>Trials</w:t>
      </w:r>
      <w:r w:rsidRPr="00426563">
        <w:rPr>
          <w:rFonts w:asciiTheme="majorHAnsi" w:hAnsiTheme="majorHAnsi" w:cstheme="majorHAnsi"/>
        </w:rPr>
        <w:t>. 2021;22(1):516. doi:10.1186/s13063-021-05466-4</w:t>
      </w:r>
    </w:p>
    <w:p w14:paraId="4170C437" w14:textId="77777777" w:rsidR="00F76193" w:rsidRPr="00426563" w:rsidRDefault="00F76193" w:rsidP="00F76193">
      <w:pPr>
        <w:pStyle w:val="Bibliography"/>
        <w:rPr>
          <w:rFonts w:asciiTheme="majorHAnsi" w:hAnsiTheme="majorHAnsi" w:cstheme="majorHAnsi"/>
        </w:rPr>
      </w:pPr>
      <w:r w:rsidRPr="00426563">
        <w:rPr>
          <w:rFonts w:asciiTheme="majorHAnsi" w:hAnsiTheme="majorHAnsi" w:cstheme="majorHAnsi"/>
        </w:rPr>
        <w:t>33.</w:t>
      </w:r>
      <w:r w:rsidRPr="00426563">
        <w:rPr>
          <w:rFonts w:asciiTheme="majorHAnsi" w:hAnsiTheme="majorHAnsi" w:cstheme="majorHAnsi"/>
        </w:rPr>
        <w:tab/>
        <w:t xml:space="preserve">Faculty of Pain Medicine of the Royal College of Anaesthetists. </w:t>
      </w:r>
      <w:r w:rsidRPr="00426563">
        <w:rPr>
          <w:rFonts w:asciiTheme="majorHAnsi" w:hAnsiTheme="majorHAnsi" w:cstheme="majorHAnsi"/>
          <w:i/>
          <w:iCs/>
        </w:rPr>
        <w:t>Tapering and Stopping</w:t>
      </w:r>
      <w:r w:rsidRPr="00426563">
        <w:rPr>
          <w:rFonts w:asciiTheme="majorHAnsi" w:hAnsiTheme="majorHAnsi" w:cstheme="majorHAnsi"/>
        </w:rPr>
        <w:t>. Accessed May 9, 2023. https://fpm.ac.uk/opioids-aware-structured-approach-opioid-prescribing/tapering-and-stopping</w:t>
      </w:r>
    </w:p>
    <w:p w14:paraId="1E244F58" w14:textId="77777777" w:rsidR="00F76193" w:rsidRPr="00426563" w:rsidRDefault="00F76193" w:rsidP="00F76193">
      <w:pPr>
        <w:pStyle w:val="Bibliography"/>
        <w:rPr>
          <w:rFonts w:asciiTheme="majorHAnsi" w:hAnsiTheme="majorHAnsi" w:cstheme="majorHAnsi"/>
        </w:rPr>
      </w:pPr>
      <w:r w:rsidRPr="00426563">
        <w:rPr>
          <w:rFonts w:asciiTheme="majorHAnsi" w:hAnsiTheme="majorHAnsi" w:cstheme="majorHAnsi"/>
        </w:rPr>
        <w:t>34.</w:t>
      </w:r>
      <w:r w:rsidRPr="00426563">
        <w:rPr>
          <w:rFonts w:asciiTheme="majorHAnsi" w:hAnsiTheme="majorHAnsi" w:cstheme="majorHAnsi"/>
        </w:rPr>
        <w:tab/>
        <w:t xml:space="preserve">Levy N, Quinlan J, El-Boghdadly K, et al. An international multidisciplinary consensus statement on the prevention of opioid-related harm in adult surgical patients. </w:t>
      </w:r>
      <w:r w:rsidRPr="00426563">
        <w:rPr>
          <w:rFonts w:asciiTheme="majorHAnsi" w:hAnsiTheme="majorHAnsi" w:cstheme="majorHAnsi"/>
          <w:i/>
          <w:iCs/>
        </w:rPr>
        <w:t>Anaesthesia</w:t>
      </w:r>
      <w:r w:rsidRPr="00426563">
        <w:rPr>
          <w:rFonts w:asciiTheme="majorHAnsi" w:hAnsiTheme="majorHAnsi" w:cstheme="majorHAnsi"/>
        </w:rPr>
        <w:t>. 2021;76(4):520-536. doi:10.1111/anae.15262</w:t>
      </w:r>
    </w:p>
    <w:p w14:paraId="7204A2E1" w14:textId="77777777" w:rsidR="00F76193" w:rsidRPr="00426563" w:rsidRDefault="00F76193" w:rsidP="00F76193">
      <w:pPr>
        <w:pStyle w:val="Bibliography"/>
        <w:rPr>
          <w:rFonts w:asciiTheme="majorHAnsi" w:hAnsiTheme="majorHAnsi" w:cstheme="majorHAnsi"/>
        </w:rPr>
      </w:pPr>
      <w:r w:rsidRPr="00426563">
        <w:rPr>
          <w:rFonts w:asciiTheme="majorHAnsi" w:hAnsiTheme="majorHAnsi" w:cstheme="majorHAnsi"/>
        </w:rPr>
        <w:t>35.</w:t>
      </w:r>
      <w:r w:rsidRPr="00426563">
        <w:rPr>
          <w:rFonts w:asciiTheme="majorHAnsi" w:hAnsiTheme="majorHAnsi" w:cstheme="majorHAnsi"/>
        </w:rPr>
        <w:tab/>
        <w:t xml:space="preserve">Medicines Optimisation Team, Dorset CCG. </w:t>
      </w:r>
      <w:r w:rsidRPr="00426563">
        <w:rPr>
          <w:rFonts w:asciiTheme="majorHAnsi" w:hAnsiTheme="majorHAnsi" w:cstheme="majorHAnsi"/>
          <w:i/>
          <w:iCs/>
        </w:rPr>
        <w:t>Dorset Opioid Prescribing for Chronic Pain: Resource Pack</w:t>
      </w:r>
      <w:r w:rsidRPr="00426563">
        <w:rPr>
          <w:rFonts w:asciiTheme="majorHAnsi" w:hAnsiTheme="majorHAnsi" w:cstheme="majorHAnsi"/>
        </w:rPr>
        <w:t>.; 2018. Accessed May 15, 2023. https://www.nhsdorset.nhs.uk/Downloads/aboutus/medicines-management/Other%20Guidelines/Dorset%20Opioid%20resource%20pack%20FINAL%20Sept%202020.pdf?UNLID=274017865202272214478</w:t>
      </w:r>
    </w:p>
    <w:p w14:paraId="36E98F9E" w14:textId="77777777" w:rsidR="00F76193" w:rsidRPr="00426563" w:rsidRDefault="00F76193" w:rsidP="00F76193">
      <w:pPr>
        <w:pStyle w:val="Bibliography"/>
        <w:rPr>
          <w:rFonts w:asciiTheme="majorHAnsi" w:hAnsiTheme="majorHAnsi" w:cstheme="majorHAnsi"/>
        </w:rPr>
      </w:pPr>
      <w:r w:rsidRPr="00426563">
        <w:rPr>
          <w:rFonts w:asciiTheme="majorHAnsi" w:hAnsiTheme="majorHAnsi" w:cstheme="majorHAnsi"/>
        </w:rPr>
        <w:t>36.</w:t>
      </w:r>
      <w:r w:rsidRPr="00426563">
        <w:rPr>
          <w:rFonts w:asciiTheme="majorHAnsi" w:hAnsiTheme="majorHAnsi" w:cstheme="majorHAnsi"/>
        </w:rPr>
        <w:tab/>
      </w:r>
      <w:r w:rsidRPr="00426563">
        <w:rPr>
          <w:rFonts w:asciiTheme="majorHAnsi" w:hAnsiTheme="majorHAnsi" w:cstheme="majorHAnsi"/>
          <w:i/>
          <w:iCs/>
        </w:rPr>
        <w:t>Guidance for Opioid Reduction in Primary Care</w:t>
      </w:r>
      <w:r w:rsidRPr="00426563">
        <w:rPr>
          <w:rFonts w:asciiTheme="majorHAnsi" w:hAnsiTheme="majorHAnsi" w:cstheme="majorHAnsi"/>
        </w:rPr>
        <w:t xml:space="preserve">. Oxford Pain Management Centre; 2017. Accessed May 15, 2023. </w:t>
      </w:r>
      <w:r w:rsidRPr="00426563">
        <w:rPr>
          <w:rFonts w:asciiTheme="majorHAnsi" w:hAnsiTheme="majorHAnsi" w:cstheme="majorHAnsi"/>
        </w:rPr>
        <w:lastRenderedPageBreak/>
        <w:t>https://www.ouh.nhs.uk/services/referrals/pain/documents/gp-guidance-opioid-reduction.pdf</w:t>
      </w:r>
    </w:p>
    <w:p w14:paraId="7E694797" w14:textId="6FE25703" w:rsidR="0031466C" w:rsidRDefault="00183845" w:rsidP="00E676E1">
      <w:pPr>
        <w:pStyle w:val="Bibliography"/>
        <w:rPr>
          <w:rFonts w:asciiTheme="majorHAnsi" w:hAnsiTheme="majorHAnsi" w:cstheme="majorHAnsi"/>
          <w:b/>
        </w:rPr>
      </w:pPr>
      <w:r w:rsidRPr="00426563">
        <w:rPr>
          <w:rFonts w:asciiTheme="majorHAnsi" w:hAnsiTheme="majorHAnsi" w:cstheme="majorHAnsi"/>
        </w:rPr>
        <w:fldChar w:fldCharType="end"/>
      </w:r>
    </w:p>
    <w:p w14:paraId="74334052" w14:textId="77777777" w:rsidR="00E676E1" w:rsidRPr="00426563" w:rsidRDefault="0031466C" w:rsidP="00E676E1">
      <w:pPr>
        <w:rPr>
          <w:rFonts w:asciiTheme="majorHAnsi" w:hAnsiTheme="majorHAnsi" w:cstheme="majorHAnsi"/>
          <w:u w:val="single"/>
        </w:rPr>
      </w:pPr>
      <w:r>
        <w:rPr>
          <w:rFonts w:asciiTheme="majorHAnsi" w:hAnsiTheme="majorHAnsi" w:cstheme="majorHAnsi"/>
          <w:b/>
        </w:rPr>
        <w:br w:type="page"/>
      </w:r>
      <w:r w:rsidR="00E676E1" w:rsidRPr="00426563">
        <w:rPr>
          <w:rFonts w:asciiTheme="majorHAnsi" w:hAnsiTheme="majorHAnsi" w:cstheme="majorHAnsi"/>
          <w:u w:val="single"/>
        </w:rPr>
        <w:lastRenderedPageBreak/>
        <w:t>Statement of Interests</w:t>
      </w:r>
    </w:p>
    <w:p w14:paraId="6D378F16" w14:textId="77777777" w:rsidR="00E676E1" w:rsidRPr="00426563" w:rsidRDefault="00E676E1" w:rsidP="00E676E1">
      <w:pPr>
        <w:rPr>
          <w:rFonts w:asciiTheme="majorHAnsi" w:hAnsiTheme="majorHAnsi" w:cstheme="majorHAnsi"/>
        </w:rPr>
      </w:pPr>
      <w:r w:rsidRPr="00426563">
        <w:rPr>
          <w:rFonts w:asciiTheme="majorHAnsi" w:hAnsiTheme="majorHAnsi" w:cstheme="majorHAnsi"/>
        </w:rPr>
        <w:t>Samantha Baillie has had speaker arrangements with Takeda and Dr Falk, has received a travel grant from Galapagos and has provided consultancy to Galapagos.</w:t>
      </w:r>
    </w:p>
    <w:p w14:paraId="07791E3B" w14:textId="77777777" w:rsidR="00E676E1" w:rsidRPr="00426563" w:rsidRDefault="00E676E1" w:rsidP="00E676E1">
      <w:pPr>
        <w:spacing w:line="276" w:lineRule="auto"/>
        <w:rPr>
          <w:rFonts w:asciiTheme="majorHAnsi" w:hAnsiTheme="majorHAnsi" w:cstheme="majorHAnsi"/>
        </w:rPr>
      </w:pPr>
      <w:r w:rsidRPr="00426563">
        <w:rPr>
          <w:rFonts w:asciiTheme="majorHAnsi" w:hAnsiTheme="majorHAnsi" w:cstheme="majorHAnsi"/>
        </w:rPr>
        <w:t>Jimmy K. Limdi has received grants from Galapagos and Takeda and speaker and consultancy fees from Abbvie, Arena, Celltrion, Ferring, Galapagos, Janssen, MSD, Pfizer and Takeda.</w:t>
      </w:r>
    </w:p>
    <w:p w14:paraId="4C896BD0" w14:textId="77777777" w:rsidR="00E676E1" w:rsidRPr="00426563" w:rsidRDefault="00E676E1" w:rsidP="00E676E1">
      <w:pPr>
        <w:spacing w:line="276" w:lineRule="auto"/>
        <w:rPr>
          <w:rFonts w:asciiTheme="majorHAnsi" w:hAnsiTheme="majorHAnsi" w:cstheme="majorHAnsi"/>
        </w:rPr>
      </w:pPr>
      <w:r w:rsidRPr="00426563">
        <w:rPr>
          <w:rFonts w:asciiTheme="majorHAnsi" w:hAnsiTheme="majorHAnsi" w:cstheme="majorHAnsi"/>
        </w:rPr>
        <w:t>Gareth C. Parkes has had personal fees from AbbVie, Allergan, BMS, Celltrion, Ferring, Galapagos, Janssen, Takeda, Tillotts. Travel grants from - AbbVie, Celltrion, Ferring, Janssen, Takeda, Tillotts and is a Director and Shareholder in Ampersand Health.</w:t>
      </w:r>
    </w:p>
    <w:p w14:paraId="4EF9F51C" w14:textId="77777777" w:rsidR="00E676E1" w:rsidRPr="00426563" w:rsidRDefault="00E676E1" w:rsidP="00E676E1">
      <w:pPr>
        <w:spacing w:line="276" w:lineRule="auto"/>
        <w:rPr>
          <w:rFonts w:asciiTheme="majorHAnsi" w:hAnsiTheme="majorHAnsi" w:cstheme="majorHAnsi"/>
          <w:color w:val="242424"/>
          <w:shd w:val="clear" w:color="auto" w:fill="FFFFFF"/>
        </w:rPr>
      </w:pPr>
      <w:r w:rsidRPr="00426563">
        <w:rPr>
          <w:rFonts w:asciiTheme="majorHAnsi" w:hAnsiTheme="majorHAnsi" w:cstheme="majorHAnsi"/>
          <w:color w:val="242424"/>
          <w:shd w:val="clear" w:color="auto" w:fill="FFFFFF"/>
        </w:rPr>
        <w:t>Glynn Scott has had speaker arrangements with Takeda, Abbvie, Tillotts and Galapagos.</w:t>
      </w:r>
    </w:p>
    <w:p w14:paraId="663D1840" w14:textId="77777777" w:rsidR="00E676E1" w:rsidRPr="00426563" w:rsidRDefault="00E676E1" w:rsidP="00E676E1">
      <w:pPr>
        <w:spacing w:line="276" w:lineRule="auto"/>
        <w:rPr>
          <w:rFonts w:asciiTheme="majorHAnsi" w:hAnsiTheme="majorHAnsi" w:cstheme="majorHAnsi"/>
          <w:color w:val="242424"/>
          <w:shd w:val="clear" w:color="auto" w:fill="FFFFFF"/>
        </w:rPr>
      </w:pPr>
      <w:r w:rsidRPr="00426563">
        <w:rPr>
          <w:rFonts w:asciiTheme="majorHAnsi" w:hAnsiTheme="majorHAnsi" w:cstheme="majorHAnsi"/>
          <w:color w:val="242424"/>
          <w:shd w:val="clear" w:color="auto" w:fill="FFFFFF"/>
        </w:rPr>
        <w:t>Tim Raine has received research/educational grants and/or speaker/consultation fees from Abbvie, Arena, Aslan, AstraZeneca, Boehringer-Ingelheim, BMS, Celgene, Ferring, Galapagos, Gilead, GSK, Heptares, LabGenius, Janssen, Mylan, MSD, Novartis, Pfizer, Roche, Sandoz, Takeda and UCB.</w:t>
      </w:r>
    </w:p>
    <w:p w14:paraId="50D82A5D" w14:textId="77777777" w:rsidR="00E676E1" w:rsidRPr="00426563" w:rsidRDefault="00E676E1" w:rsidP="00E676E1">
      <w:pPr>
        <w:spacing w:line="276" w:lineRule="auto"/>
        <w:rPr>
          <w:rFonts w:asciiTheme="majorHAnsi" w:eastAsiaTheme="minorHAnsi" w:hAnsiTheme="majorHAnsi" w:cstheme="majorHAnsi"/>
          <w:lang w:eastAsia="en-US"/>
        </w:rPr>
      </w:pPr>
      <w:r w:rsidRPr="00426563">
        <w:rPr>
          <w:rFonts w:asciiTheme="majorHAnsi" w:hAnsiTheme="majorHAnsi" w:cstheme="majorHAnsi"/>
        </w:rPr>
        <w:t xml:space="preserve">Christopher A. Lamb </w:t>
      </w:r>
      <w:r w:rsidRPr="00426563">
        <w:rPr>
          <w:rFonts w:asciiTheme="majorHAnsi" w:eastAsiaTheme="minorHAnsi" w:hAnsiTheme="majorHAnsi" w:cstheme="majorHAnsi"/>
          <w:lang w:eastAsia="en-US"/>
        </w:rPr>
        <w:t>reports grants from</w:t>
      </w:r>
      <w:r w:rsidRPr="00426563">
        <w:rPr>
          <w:rFonts w:asciiTheme="majorHAnsi" w:hAnsiTheme="majorHAnsi" w:cstheme="majorHAnsi"/>
        </w:rPr>
        <w:t xml:space="preserve"> </w:t>
      </w:r>
      <w:r w:rsidRPr="00426563">
        <w:rPr>
          <w:rFonts w:asciiTheme="majorHAnsi" w:eastAsiaTheme="minorHAnsi" w:hAnsiTheme="majorHAnsi" w:cstheme="majorHAnsi"/>
          <w:lang w:eastAsia="en-US"/>
        </w:rPr>
        <w:t>Genentech, grants and personal fees from Janssen, grants and personal fees from Takeda,</w:t>
      </w:r>
      <w:r w:rsidRPr="00426563">
        <w:rPr>
          <w:rFonts w:asciiTheme="majorHAnsi" w:hAnsiTheme="majorHAnsi" w:cstheme="majorHAnsi"/>
        </w:rPr>
        <w:t xml:space="preserve"> </w:t>
      </w:r>
      <w:r w:rsidRPr="00426563">
        <w:rPr>
          <w:rFonts w:asciiTheme="majorHAnsi" w:eastAsiaTheme="minorHAnsi" w:hAnsiTheme="majorHAnsi" w:cstheme="majorHAnsi"/>
          <w:lang w:eastAsia="en-US"/>
        </w:rPr>
        <w:t>grants from AbbVie, personal fees from Ferring, grants from Eli Lilly, grants from Pfizer,</w:t>
      </w:r>
      <w:r w:rsidRPr="00426563">
        <w:rPr>
          <w:rFonts w:asciiTheme="majorHAnsi" w:hAnsiTheme="majorHAnsi" w:cstheme="majorHAnsi"/>
        </w:rPr>
        <w:t xml:space="preserve"> </w:t>
      </w:r>
      <w:r w:rsidRPr="00426563">
        <w:rPr>
          <w:rFonts w:asciiTheme="majorHAnsi" w:eastAsiaTheme="minorHAnsi" w:hAnsiTheme="majorHAnsi" w:cstheme="majorHAnsi"/>
          <w:lang w:eastAsia="en-US"/>
        </w:rPr>
        <w:t>grants from Roche, grants from UCB Biopharma, grants from Sanofi Aventis, grants from</w:t>
      </w:r>
      <w:r w:rsidRPr="00426563">
        <w:rPr>
          <w:rFonts w:asciiTheme="majorHAnsi" w:hAnsiTheme="majorHAnsi" w:cstheme="majorHAnsi"/>
        </w:rPr>
        <w:t xml:space="preserve"> </w:t>
      </w:r>
      <w:r w:rsidRPr="00426563">
        <w:rPr>
          <w:rFonts w:asciiTheme="majorHAnsi" w:eastAsiaTheme="minorHAnsi" w:hAnsiTheme="majorHAnsi" w:cstheme="majorHAnsi"/>
          <w:lang w:eastAsia="en-US"/>
        </w:rPr>
        <w:t>Biogen IDEC, grants from Orion OYJ, personal fees from Dr Falk Pharma, grants from</w:t>
      </w:r>
      <w:r w:rsidRPr="00426563">
        <w:rPr>
          <w:rFonts w:asciiTheme="majorHAnsi" w:hAnsiTheme="majorHAnsi" w:cstheme="majorHAnsi"/>
        </w:rPr>
        <w:t xml:space="preserve"> </w:t>
      </w:r>
      <w:r w:rsidRPr="00426563">
        <w:rPr>
          <w:rFonts w:asciiTheme="majorHAnsi" w:eastAsiaTheme="minorHAnsi" w:hAnsiTheme="majorHAnsi" w:cstheme="majorHAnsi"/>
          <w:lang w:eastAsia="en-US"/>
        </w:rPr>
        <w:t>AstraZeneca, outside the submitted work.</w:t>
      </w:r>
    </w:p>
    <w:p w14:paraId="0FDE06D5" w14:textId="77777777" w:rsidR="00E676E1" w:rsidRPr="00426563" w:rsidRDefault="00E676E1" w:rsidP="00E676E1">
      <w:pPr>
        <w:spacing w:line="276" w:lineRule="auto"/>
        <w:rPr>
          <w:rFonts w:asciiTheme="majorHAnsi" w:eastAsiaTheme="minorHAnsi" w:hAnsiTheme="majorHAnsi" w:cstheme="majorHAnsi"/>
          <w:lang w:eastAsia="en-US"/>
        </w:rPr>
      </w:pPr>
      <w:r w:rsidRPr="00426563">
        <w:rPr>
          <w:rFonts w:asciiTheme="majorHAnsi" w:hAnsiTheme="majorHAnsi" w:cstheme="majorHAnsi"/>
          <w:color w:val="242424"/>
          <w:shd w:val="clear" w:color="auto" w:fill="FFFFFF"/>
        </w:rPr>
        <w:t>Nicholas A. Kennedy has served as a speaker and/or advisory board member for AbbVie, Allergan, BMS, Falk, Ferring, Galapagos, Janssen, Mylan, Pharmacosmos, Sandoz, Takeda and Tillotts.</w:t>
      </w:r>
    </w:p>
    <w:p w14:paraId="53B8D313" w14:textId="77777777" w:rsidR="00E676E1" w:rsidRPr="00426563" w:rsidRDefault="00E676E1" w:rsidP="00E676E1">
      <w:pPr>
        <w:shd w:val="clear" w:color="auto" w:fill="FFFFFF"/>
        <w:textAlignment w:val="baseline"/>
        <w:rPr>
          <w:rFonts w:asciiTheme="majorHAnsi" w:hAnsiTheme="majorHAnsi" w:cstheme="majorHAnsi"/>
          <w:color w:val="000000"/>
          <w:bdr w:val="none" w:sz="0" w:space="0" w:color="auto" w:frame="1"/>
          <w:shd w:val="clear" w:color="auto" w:fill="FFFFFF"/>
        </w:rPr>
      </w:pPr>
      <w:r w:rsidRPr="00426563">
        <w:rPr>
          <w:rFonts w:asciiTheme="majorHAnsi" w:hAnsiTheme="majorHAnsi" w:cstheme="majorHAnsi"/>
          <w:color w:val="000000"/>
          <w:bdr w:val="none" w:sz="0" w:space="0" w:color="auto" w:frame="1"/>
          <w:shd w:val="clear" w:color="auto" w:fill="FFFFFF"/>
        </w:rPr>
        <w:t>Isabel Carbery has speaker arrangements with Celltrion and has received a travel grant from Galapagos.</w:t>
      </w:r>
    </w:p>
    <w:p w14:paraId="7486547E" w14:textId="77777777" w:rsidR="00E676E1" w:rsidRPr="00426563" w:rsidRDefault="00E676E1" w:rsidP="00E676E1">
      <w:pPr>
        <w:shd w:val="clear" w:color="auto" w:fill="FFFFFF"/>
        <w:textAlignment w:val="baseline"/>
        <w:rPr>
          <w:rFonts w:asciiTheme="majorHAnsi" w:hAnsiTheme="majorHAnsi" w:cstheme="majorHAnsi"/>
          <w:color w:val="000000"/>
          <w:bdr w:val="none" w:sz="0" w:space="0" w:color="auto" w:frame="1"/>
          <w:shd w:val="clear" w:color="auto" w:fill="FFFFFF"/>
        </w:rPr>
      </w:pPr>
      <w:r w:rsidRPr="00426563">
        <w:rPr>
          <w:rFonts w:asciiTheme="majorHAnsi" w:hAnsiTheme="majorHAnsi" w:cstheme="majorHAnsi"/>
          <w:color w:val="000000"/>
          <w:bdr w:val="none" w:sz="0" w:space="0" w:color="auto" w:frame="1"/>
          <w:shd w:val="clear" w:color="auto" w:fill="FFFFFF"/>
        </w:rPr>
        <w:t>Richard Pollok has provided consultancy to Galapagos.</w:t>
      </w:r>
    </w:p>
    <w:p w14:paraId="606468BF" w14:textId="77777777" w:rsidR="00E676E1" w:rsidRPr="00426563" w:rsidRDefault="00E676E1" w:rsidP="00E676E1">
      <w:pPr>
        <w:spacing w:line="276" w:lineRule="auto"/>
        <w:jc w:val="both"/>
        <w:rPr>
          <w:rFonts w:asciiTheme="majorHAnsi" w:hAnsiTheme="majorHAnsi" w:cstheme="majorHAnsi"/>
        </w:rPr>
      </w:pPr>
      <w:r w:rsidRPr="00426563">
        <w:rPr>
          <w:rFonts w:asciiTheme="majorHAnsi" w:hAnsiTheme="majorHAnsi" w:cstheme="majorHAnsi"/>
        </w:rPr>
        <w:t>Christian P. Selinger has received unrestricted research grants from Warner Chilcott, Janssen and AbbVie, has provided consultancy to Warner Chilcott, Dr Falk, AbbVie, Takeda, Fresenius Kabi, Galapagos, Ferring, Arena and Janssen, and had speaker arrangements with Warner Chilcott, Dr Falk, AbbVie, MSD, Pfizer, Celltrion and Takeda.</w:t>
      </w:r>
    </w:p>
    <w:p w14:paraId="071354B6" w14:textId="77777777" w:rsidR="00E676E1" w:rsidRPr="00426563" w:rsidRDefault="00E676E1" w:rsidP="00E676E1">
      <w:pPr>
        <w:spacing w:line="276" w:lineRule="auto"/>
        <w:rPr>
          <w:rFonts w:asciiTheme="majorHAnsi" w:hAnsiTheme="majorHAnsi" w:cstheme="majorHAnsi"/>
        </w:rPr>
      </w:pPr>
      <w:r w:rsidRPr="00426563">
        <w:rPr>
          <w:rFonts w:asciiTheme="majorHAnsi" w:hAnsiTheme="majorHAnsi" w:cstheme="majorHAnsi"/>
          <w:color w:val="1C1D1E"/>
          <w:shd w:val="clear" w:color="auto" w:fill="FFFFFF"/>
        </w:rPr>
        <w:t>The preparation of this paper was funded in part by Galapagos.</w:t>
      </w:r>
    </w:p>
    <w:p w14:paraId="34B77893" w14:textId="0BA57E1F" w:rsidR="0031466C" w:rsidRPr="00E676E1" w:rsidRDefault="0031466C" w:rsidP="00E676E1">
      <w:pPr>
        <w:spacing w:after="0"/>
        <w:rPr>
          <w:rFonts w:asciiTheme="majorHAnsi" w:hAnsiTheme="majorHAnsi" w:cstheme="majorHAnsi"/>
          <w:b/>
        </w:rPr>
      </w:pPr>
    </w:p>
    <w:sectPr w:rsidR="0031466C" w:rsidRPr="00E676E1" w:rsidSect="00325214">
      <w:footerReference w:type="even" r:id="rId9"/>
      <w:footerReference w:type="default" r:id="rId10"/>
      <w:pgSz w:w="11906" w:h="16838"/>
      <w:pgMar w:top="1440" w:right="1440" w:bottom="1440" w:left="1440" w:header="708" w:footer="708" w:gutter="0"/>
      <w:lnNumType w:countBy="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67A5D" w14:textId="77777777" w:rsidR="00EA6B35" w:rsidRDefault="00EA6B35" w:rsidP="005C1EFB">
      <w:r>
        <w:separator/>
      </w:r>
    </w:p>
  </w:endnote>
  <w:endnote w:type="continuationSeparator" w:id="0">
    <w:p w14:paraId="5CEF5C8D" w14:textId="77777777" w:rsidR="00EA6B35" w:rsidRDefault="00EA6B35" w:rsidP="005C1EFB">
      <w:r>
        <w:continuationSeparator/>
      </w:r>
    </w:p>
  </w:endnote>
  <w:endnote w:type="continuationNotice" w:id="1">
    <w:p w14:paraId="54AA00CD" w14:textId="77777777" w:rsidR="00EA6B35" w:rsidRDefault="00EA6B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BF21" w14:textId="10641B56" w:rsidR="00C33984" w:rsidRDefault="00C33984" w:rsidP="008730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C4C4EB1" w14:textId="77777777" w:rsidR="00C33984" w:rsidRDefault="00C33984" w:rsidP="00C02A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7093934"/>
      <w:docPartObj>
        <w:docPartGallery w:val="Page Numbers (Bottom of Page)"/>
        <w:docPartUnique/>
      </w:docPartObj>
    </w:sdtPr>
    <w:sdtContent>
      <w:p w14:paraId="40A5611B" w14:textId="5E3AB0A0" w:rsidR="00C33984" w:rsidRDefault="00C33984" w:rsidP="008730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sdtContent>
  </w:sdt>
  <w:p w14:paraId="5E844334" w14:textId="7BF2E25E" w:rsidR="00C33984" w:rsidRPr="00212936" w:rsidRDefault="00C33984" w:rsidP="00C02A42">
    <w:pPr>
      <w:pStyle w:val="Footer"/>
      <w:ind w:right="360"/>
      <w:rPr>
        <w:rFonts w:asciiTheme="majorHAnsi" w:hAnsiTheme="majorHAnsi" w:cstheme="majorHAnsi"/>
      </w:rPr>
    </w:pPr>
    <w:r w:rsidRPr="00212936">
      <w:rPr>
        <w:rFonts w:asciiTheme="majorHAnsi" w:hAnsiTheme="majorHAnsi" w:cstheme="majorHAnsi"/>
      </w:rPr>
      <w:t xml:space="preserve">Opioid Exposure </w:t>
    </w:r>
    <w:r w:rsidR="00592F42">
      <w:rPr>
        <w:rFonts w:asciiTheme="majorHAnsi" w:hAnsiTheme="majorHAnsi" w:cstheme="majorHAnsi"/>
      </w:rPr>
      <w:t>QIP</w:t>
    </w:r>
    <w:r w:rsidRPr="00212936">
      <w:rPr>
        <w:rFonts w:asciiTheme="majorHAnsi" w:hAnsiTheme="majorHAnsi" w:cstheme="majorHAnsi"/>
      </w:rPr>
      <w:t xml:space="preserve"> </w:t>
    </w:r>
    <w:r w:rsidR="00592F42">
      <w:rPr>
        <w:rFonts w:asciiTheme="majorHAnsi" w:hAnsiTheme="majorHAnsi" w:cstheme="majorHAnsi"/>
      </w:rPr>
      <w:t>FG</w:t>
    </w:r>
    <w:r w:rsidRPr="00212936">
      <w:rPr>
        <w:rFonts w:asciiTheme="majorHAnsi" w:hAnsiTheme="majorHAnsi" w:cstheme="majorHAnsi"/>
      </w:rPr>
      <w:t xml:space="preserve"> 202</w:t>
    </w:r>
    <w:r>
      <w:rPr>
        <w:rFonts w:asciiTheme="majorHAnsi" w:hAnsiTheme="majorHAnsi" w:cstheme="majorHAns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D344B" w14:textId="77777777" w:rsidR="00EA6B35" w:rsidRDefault="00EA6B35" w:rsidP="005C1EFB">
      <w:r>
        <w:separator/>
      </w:r>
    </w:p>
  </w:footnote>
  <w:footnote w:type="continuationSeparator" w:id="0">
    <w:p w14:paraId="20D4869B" w14:textId="77777777" w:rsidR="00EA6B35" w:rsidRDefault="00EA6B35" w:rsidP="005C1EFB">
      <w:r>
        <w:continuationSeparator/>
      </w:r>
    </w:p>
  </w:footnote>
  <w:footnote w:type="continuationNotice" w:id="1">
    <w:p w14:paraId="74D7F830" w14:textId="77777777" w:rsidR="00EA6B35" w:rsidRDefault="00EA6B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A7CA9"/>
    <w:multiLevelType w:val="hybridMultilevel"/>
    <w:tmpl w:val="D69EFD16"/>
    <w:lvl w:ilvl="0" w:tplc="3E8046B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3B573D"/>
    <w:multiLevelType w:val="hybridMultilevel"/>
    <w:tmpl w:val="3404DBE0"/>
    <w:lvl w:ilvl="0" w:tplc="A336C9BE">
      <w:start w:val="1"/>
      <w:numFmt w:val="bullet"/>
      <w:lvlText w:val="u"/>
      <w:lvlJc w:val="left"/>
      <w:pPr>
        <w:tabs>
          <w:tab w:val="num" w:pos="720"/>
        </w:tabs>
        <w:ind w:left="720" w:hanging="360"/>
      </w:pPr>
      <w:rPr>
        <w:rFonts w:ascii="Wingdings 3" w:hAnsi="Wingdings 3" w:hint="default"/>
      </w:rPr>
    </w:lvl>
    <w:lvl w:ilvl="1" w:tplc="1A7EBB14" w:tentative="1">
      <w:start w:val="1"/>
      <w:numFmt w:val="bullet"/>
      <w:lvlText w:val="u"/>
      <w:lvlJc w:val="left"/>
      <w:pPr>
        <w:tabs>
          <w:tab w:val="num" w:pos="1440"/>
        </w:tabs>
        <w:ind w:left="1440" w:hanging="360"/>
      </w:pPr>
      <w:rPr>
        <w:rFonts w:ascii="Wingdings 3" w:hAnsi="Wingdings 3" w:hint="default"/>
      </w:rPr>
    </w:lvl>
    <w:lvl w:ilvl="2" w:tplc="6A827D78" w:tentative="1">
      <w:start w:val="1"/>
      <w:numFmt w:val="bullet"/>
      <w:lvlText w:val="u"/>
      <w:lvlJc w:val="left"/>
      <w:pPr>
        <w:tabs>
          <w:tab w:val="num" w:pos="2160"/>
        </w:tabs>
        <w:ind w:left="2160" w:hanging="360"/>
      </w:pPr>
      <w:rPr>
        <w:rFonts w:ascii="Wingdings 3" w:hAnsi="Wingdings 3" w:hint="default"/>
      </w:rPr>
    </w:lvl>
    <w:lvl w:ilvl="3" w:tplc="DAAC9FF8" w:tentative="1">
      <w:start w:val="1"/>
      <w:numFmt w:val="bullet"/>
      <w:lvlText w:val="u"/>
      <w:lvlJc w:val="left"/>
      <w:pPr>
        <w:tabs>
          <w:tab w:val="num" w:pos="2880"/>
        </w:tabs>
        <w:ind w:left="2880" w:hanging="360"/>
      </w:pPr>
      <w:rPr>
        <w:rFonts w:ascii="Wingdings 3" w:hAnsi="Wingdings 3" w:hint="default"/>
      </w:rPr>
    </w:lvl>
    <w:lvl w:ilvl="4" w:tplc="97262D22" w:tentative="1">
      <w:start w:val="1"/>
      <w:numFmt w:val="bullet"/>
      <w:lvlText w:val="u"/>
      <w:lvlJc w:val="left"/>
      <w:pPr>
        <w:tabs>
          <w:tab w:val="num" w:pos="3600"/>
        </w:tabs>
        <w:ind w:left="3600" w:hanging="360"/>
      </w:pPr>
      <w:rPr>
        <w:rFonts w:ascii="Wingdings 3" w:hAnsi="Wingdings 3" w:hint="default"/>
      </w:rPr>
    </w:lvl>
    <w:lvl w:ilvl="5" w:tplc="BAAE5D7E" w:tentative="1">
      <w:start w:val="1"/>
      <w:numFmt w:val="bullet"/>
      <w:lvlText w:val="u"/>
      <w:lvlJc w:val="left"/>
      <w:pPr>
        <w:tabs>
          <w:tab w:val="num" w:pos="4320"/>
        </w:tabs>
        <w:ind w:left="4320" w:hanging="360"/>
      </w:pPr>
      <w:rPr>
        <w:rFonts w:ascii="Wingdings 3" w:hAnsi="Wingdings 3" w:hint="default"/>
      </w:rPr>
    </w:lvl>
    <w:lvl w:ilvl="6" w:tplc="2E5A7AD2" w:tentative="1">
      <w:start w:val="1"/>
      <w:numFmt w:val="bullet"/>
      <w:lvlText w:val="u"/>
      <w:lvlJc w:val="left"/>
      <w:pPr>
        <w:tabs>
          <w:tab w:val="num" w:pos="5040"/>
        </w:tabs>
        <w:ind w:left="5040" w:hanging="360"/>
      </w:pPr>
      <w:rPr>
        <w:rFonts w:ascii="Wingdings 3" w:hAnsi="Wingdings 3" w:hint="default"/>
      </w:rPr>
    </w:lvl>
    <w:lvl w:ilvl="7" w:tplc="6130EC94" w:tentative="1">
      <w:start w:val="1"/>
      <w:numFmt w:val="bullet"/>
      <w:lvlText w:val="u"/>
      <w:lvlJc w:val="left"/>
      <w:pPr>
        <w:tabs>
          <w:tab w:val="num" w:pos="5760"/>
        </w:tabs>
        <w:ind w:left="5760" w:hanging="360"/>
      </w:pPr>
      <w:rPr>
        <w:rFonts w:ascii="Wingdings 3" w:hAnsi="Wingdings 3" w:hint="default"/>
      </w:rPr>
    </w:lvl>
    <w:lvl w:ilvl="8" w:tplc="8C0E7054" w:tentative="1">
      <w:start w:val="1"/>
      <w:numFmt w:val="bullet"/>
      <w:lvlText w:val="u"/>
      <w:lvlJc w:val="left"/>
      <w:pPr>
        <w:tabs>
          <w:tab w:val="num" w:pos="6480"/>
        </w:tabs>
        <w:ind w:left="6480" w:hanging="360"/>
      </w:pPr>
      <w:rPr>
        <w:rFonts w:ascii="Wingdings 3" w:hAnsi="Wingdings 3" w:hint="default"/>
      </w:rPr>
    </w:lvl>
  </w:abstractNum>
  <w:abstractNum w:abstractNumId="2" w15:restartNumberingAfterBreak="0">
    <w:nsid w:val="5D7F2600"/>
    <w:multiLevelType w:val="multilevel"/>
    <w:tmpl w:val="F4A4DF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C50F74"/>
    <w:multiLevelType w:val="hybridMultilevel"/>
    <w:tmpl w:val="138C1FC0"/>
    <w:lvl w:ilvl="0" w:tplc="5D18F6F4">
      <w:start w:val="3"/>
      <w:numFmt w:val="chicago"/>
      <w:lvlText w:val="%1"/>
      <w:lvlJc w:val="left"/>
      <w:pPr>
        <w:ind w:left="164"/>
      </w:pPr>
      <w:rPr>
        <w:rFonts w:ascii="Open Sans" w:eastAsia="Open Sans" w:hAnsi="Open Sans" w:cs="Open Sans"/>
        <w:b w:val="0"/>
        <w:i w:val="0"/>
        <w:strike w:val="0"/>
        <w:dstrike w:val="0"/>
        <w:color w:val="1C1D1E"/>
        <w:sz w:val="21"/>
        <w:szCs w:val="21"/>
        <w:u w:val="none" w:color="000000"/>
        <w:bdr w:val="none" w:sz="0" w:space="0" w:color="auto"/>
        <w:shd w:val="clear" w:color="auto" w:fill="auto"/>
        <w:vertAlign w:val="baseline"/>
      </w:rPr>
    </w:lvl>
    <w:lvl w:ilvl="1" w:tplc="8FC01F9E">
      <w:start w:val="1"/>
      <w:numFmt w:val="lowerLetter"/>
      <w:lvlText w:val="%2"/>
      <w:lvlJc w:val="left"/>
      <w:pPr>
        <w:ind w:left="1080"/>
      </w:pPr>
      <w:rPr>
        <w:rFonts w:ascii="Open Sans" w:eastAsia="Open Sans" w:hAnsi="Open Sans" w:cs="Open Sans"/>
        <w:b w:val="0"/>
        <w:i w:val="0"/>
        <w:strike w:val="0"/>
        <w:dstrike w:val="0"/>
        <w:color w:val="1C1D1E"/>
        <w:sz w:val="21"/>
        <w:szCs w:val="21"/>
        <w:u w:val="none" w:color="000000"/>
        <w:bdr w:val="none" w:sz="0" w:space="0" w:color="auto"/>
        <w:shd w:val="clear" w:color="auto" w:fill="auto"/>
        <w:vertAlign w:val="baseline"/>
      </w:rPr>
    </w:lvl>
    <w:lvl w:ilvl="2" w:tplc="51545EF2">
      <w:start w:val="1"/>
      <w:numFmt w:val="lowerRoman"/>
      <w:lvlText w:val="%3"/>
      <w:lvlJc w:val="left"/>
      <w:pPr>
        <w:ind w:left="1800"/>
      </w:pPr>
      <w:rPr>
        <w:rFonts w:ascii="Open Sans" w:eastAsia="Open Sans" w:hAnsi="Open Sans" w:cs="Open Sans"/>
        <w:b w:val="0"/>
        <w:i w:val="0"/>
        <w:strike w:val="0"/>
        <w:dstrike w:val="0"/>
        <w:color w:val="1C1D1E"/>
        <w:sz w:val="21"/>
        <w:szCs w:val="21"/>
        <w:u w:val="none" w:color="000000"/>
        <w:bdr w:val="none" w:sz="0" w:space="0" w:color="auto"/>
        <w:shd w:val="clear" w:color="auto" w:fill="auto"/>
        <w:vertAlign w:val="baseline"/>
      </w:rPr>
    </w:lvl>
    <w:lvl w:ilvl="3" w:tplc="EC18F20E">
      <w:start w:val="1"/>
      <w:numFmt w:val="decimal"/>
      <w:lvlText w:val="%4"/>
      <w:lvlJc w:val="left"/>
      <w:pPr>
        <w:ind w:left="2520"/>
      </w:pPr>
      <w:rPr>
        <w:rFonts w:ascii="Open Sans" w:eastAsia="Open Sans" w:hAnsi="Open Sans" w:cs="Open Sans"/>
        <w:b w:val="0"/>
        <w:i w:val="0"/>
        <w:strike w:val="0"/>
        <w:dstrike w:val="0"/>
        <w:color w:val="1C1D1E"/>
        <w:sz w:val="21"/>
        <w:szCs w:val="21"/>
        <w:u w:val="none" w:color="000000"/>
        <w:bdr w:val="none" w:sz="0" w:space="0" w:color="auto"/>
        <w:shd w:val="clear" w:color="auto" w:fill="auto"/>
        <w:vertAlign w:val="baseline"/>
      </w:rPr>
    </w:lvl>
    <w:lvl w:ilvl="4" w:tplc="A65C8F20">
      <w:start w:val="1"/>
      <w:numFmt w:val="lowerLetter"/>
      <w:lvlText w:val="%5"/>
      <w:lvlJc w:val="left"/>
      <w:pPr>
        <w:ind w:left="3240"/>
      </w:pPr>
      <w:rPr>
        <w:rFonts w:ascii="Open Sans" w:eastAsia="Open Sans" w:hAnsi="Open Sans" w:cs="Open Sans"/>
        <w:b w:val="0"/>
        <w:i w:val="0"/>
        <w:strike w:val="0"/>
        <w:dstrike w:val="0"/>
        <w:color w:val="1C1D1E"/>
        <w:sz w:val="21"/>
        <w:szCs w:val="21"/>
        <w:u w:val="none" w:color="000000"/>
        <w:bdr w:val="none" w:sz="0" w:space="0" w:color="auto"/>
        <w:shd w:val="clear" w:color="auto" w:fill="auto"/>
        <w:vertAlign w:val="baseline"/>
      </w:rPr>
    </w:lvl>
    <w:lvl w:ilvl="5" w:tplc="21226C88">
      <w:start w:val="1"/>
      <w:numFmt w:val="lowerRoman"/>
      <w:lvlText w:val="%6"/>
      <w:lvlJc w:val="left"/>
      <w:pPr>
        <w:ind w:left="3960"/>
      </w:pPr>
      <w:rPr>
        <w:rFonts w:ascii="Open Sans" w:eastAsia="Open Sans" w:hAnsi="Open Sans" w:cs="Open Sans"/>
        <w:b w:val="0"/>
        <w:i w:val="0"/>
        <w:strike w:val="0"/>
        <w:dstrike w:val="0"/>
        <w:color w:val="1C1D1E"/>
        <w:sz w:val="21"/>
        <w:szCs w:val="21"/>
        <w:u w:val="none" w:color="000000"/>
        <w:bdr w:val="none" w:sz="0" w:space="0" w:color="auto"/>
        <w:shd w:val="clear" w:color="auto" w:fill="auto"/>
        <w:vertAlign w:val="baseline"/>
      </w:rPr>
    </w:lvl>
    <w:lvl w:ilvl="6" w:tplc="1B562C12">
      <w:start w:val="1"/>
      <w:numFmt w:val="decimal"/>
      <w:lvlText w:val="%7"/>
      <w:lvlJc w:val="left"/>
      <w:pPr>
        <w:ind w:left="4680"/>
      </w:pPr>
      <w:rPr>
        <w:rFonts w:ascii="Open Sans" w:eastAsia="Open Sans" w:hAnsi="Open Sans" w:cs="Open Sans"/>
        <w:b w:val="0"/>
        <w:i w:val="0"/>
        <w:strike w:val="0"/>
        <w:dstrike w:val="0"/>
        <w:color w:val="1C1D1E"/>
        <w:sz w:val="21"/>
        <w:szCs w:val="21"/>
        <w:u w:val="none" w:color="000000"/>
        <w:bdr w:val="none" w:sz="0" w:space="0" w:color="auto"/>
        <w:shd w:val="clear" w:color="auto" w:fill="auto"/>
        <w:vertAlign w:val="baseline"/>
      </w:rPr>
    </w:lvl>
    <w:lvl w:ilvl="7" w:tplc="17880AA6">
      <w:start w:val="1"/>
      <w:numFmt w:val="lowerLetter"/>
      <w:lvlText w:val="%8"/>
      <w:lvlJc w:val="left"/>
      <w:pPr>
        <w:ind w:left="5400"/>
      </w:pPr>
      <w:rPr>
        <w:rFonts w:ascii="Open Sans" w:eastAsia="Open Sans" w:hAnsi="Open Sans" w:cs="Open Sans"/>
        <w:b w:val="0"/>
        <w:i w:val="0"/>
        <w:strike w:val="0"/>
        <w:dstrike w:val="0"/>
        <w:color w:val="1C1D1E"/>
        <w:sz w:val="21"/>
        <w:szCs w:val="21"/>
        <w:u w:val="none" w:color="000000"/>
        <w:bdr w:val="none" w:sz="0" w:space="0" w:color="auto"/>
        <w:shd w:val="clear" w:color="auto" w:fill="auto"/>
        <w:vertAlign w:val="baseline"/>
      </w:rPr>
    </w:lvl>
    <w:lvl w:ilvl="8" w:tplc="BD1A3260">
      <w:start w:val="1"/>
      <w:numFmt w:val="lowerRoman"/>
      <w:lvlText w:val="%9"/>
      <w:lvlJc w:val="left"/>
      <w:pPr>
        <w:ind w:left="6120"/>
      </w:pPr>
      <w:rPr>
        <w:rFonts w:ascii="Open Sans" w:eastAsia="Open Sans" w:hAnsi="Open Sans" w:cs="Open Sans"/>
        <w:b w:val="0"/>
        <w:i w:val="0"/>
        <w:strike w:val="0"/>
        <w:dstrike w:val="0"/>
        <w:color w:val="1C1D1E"/>
        <w:sz w:val="21"/>
        <w:szCs w:val="21"/>
        <w:u w:val="none" w:color="000000"/>
        <w:bdr w:val="none" w:sz="0" w:space="0" w:color="auto"/>
        <w:shd w:val="clear" w:color="auto" w:fill="auto"/>
        <w:vertAlign w:val="baseline"/>
      </w:rPr>
    </w:lvl>
  </w:abstractNum>
  <w:num w:numId="1" w16cid:durableId="1584298698">
    <w:abstractNumId w:val="1"/>
  </w:num>
  <w:num w:numId="2" w16cid:durableId="607666177">
    <w:abstractNumId w:val="0"/>
  </w:num>
  <w:num w:numId="3" w16cid:durableId="189148689">
    <w:abstractNumId w:val="2"/>
  </w:num>
  <w:num w:numId="4" w16cid:durableId="19819618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C59"/>
    <w:rsid w:val="00000635"/>
    <w:rsid w:val="00001472"/>
    <w:rsid w:val="00002CFB"/>
    <w:rsid w:val="00006ECE"/>
    <w:rsid w:val="00010ADA"/>
    <w:rsid w:val="00010F13"/>
    <w:rsid w:val="00011A93"/>
    <w:rsid w:val="000137E3"/>
    <w:rsid w:val="00023780"/>
    <w:rsid w:val="00023E36"/>
    <w:rsid w:val="00026C7D"/>
    <w:rsid w:val="00031081"/>
    <w:rsid w:val="00041026"/>
    <w:rsid w:val="00041535"/>
    <w:rsid w:val="00042029"/>
    <w:rsid w:val="00044F36"/>
    <w:rsid w:val="00045C39"/>
    <w:rsid w:val="00047BF3"/>
    <w:rsid w:val="00051619"/>
    <w:rsid w:val="00051900"/>
    <w:rsid w:val="0006104B"/>
    <w:rsid w:val="00061780"/>
    <w:rsid w:val="00061E0C"/>
    <w:rsid w:val="00065A71"/>
    <w:rsid w:val="00066311"/>
    <w:rsid w:val="00066FDF"/>
    <w:rsid w:val="00067CF9"/>
    <w:rsid w:val="00071889"/>
    <w:rsid w:val="000734B5"/>
    <w:rsid w:val="0007551D"/>
    <w:rsid w:val="00081764"/>
    <w:rsid w:val="0008234E"/>
    <w:rsid w:val="0008573D"/>
    <w:rsid w:val="00086C59"/>
    <w:rsid w:val="000922C1"/>
    <w:rsid w:val="00094A22"/>
    <w:rsid w:val="00097829"/>
    <w:rsid w:val="000A2804"/>
    <w:rsid w:val="000A42F8"/>
    <w:rsid w:val="000B0E69"/>
    <w:rsid w:val="000B1E55"/>
    <w:rsid w:val="000B4566"/>
    <w:rsid w:val="000C0993"/>
    <w:rsid w:val="000C19C8"/>
    <w:rsid w:val="000C26AD"/>
    <w:rsid w:val="000C68C9"/>
    <w:rsid w:val="000E4D17"/>
    <w:rsid w:val="000E53B0"/>
    <w:rsid w:val="000E5ECE"/>
    <w:rsid w:val="000F26A2"/>
    <w:rsid w:val="000F31D6"/>
    <w:rsid w:val="000F3DF5"/>
    <w:rsid w:val="000F5E0A"/>
    <w:rsid w:val="001040DF"/>
    <w:rsid w:val="00105AAB"/>
    <w:rsid w:val="00105FF3"/>
    <w:rsid w:val="001061EE"/>
    <w:rsid w:val="00110945"/>
    <w:rsid w:val="00111921"/>
    <w:rsid w:val="00112D0E"/>
    <w:rsid w:val="00113175"/>
    <w:rsid w:val="00114D68"/>
    <w:rsid w:val="0011718F"/>
    <w:rsid w:val="0012056D"/>
    <w:rsid w:val="00131A0F"/>
    <w:rsid w:val="00137D1F"/>
    <w:rsid w:val="00140F93"/>
    <w:rsid w:val="00141E72"/>
    <w:rsid w:val="00143A58"/>
    <w:rsid w:val="00146E9B"/>
    <w:rsid w:val="00147E6C"/>
    <w:rsid w:val="001506C2"/>
    <w:rsid w:val="00151923"/>
    <w:rsid w:val="0016213C"/>
    <w:rsid w:val="00167932"/>
    <w:rsid w:val="001736C1"/>
    <w:rsid w:val="001751BB"/>
    <w:rsid w:val="001764D8"/>
    <w:rsid w:val="00177B9A"/>
    <w:rsid w:val="00177BA0"/>
    <w:rsid w:val="001837D1"/>
    <w:rsid w:val="00183845"/>
    <w:rsid w:val="00185052"/>
    <w:rsid w:val="00185129"/>
    <w:rsid w:val="001916C8"/>
    <w:rsid w:val="00192A2E"/>
    <w:rsid w:val="00193955"/>
    <w:rsid w:val="00194224"/>
    <w:rsid w:val="001943DA"/>
    <w:rsid w:val="001961E6"/>
    <w:rsid w:val="00197D52"/>
    <w:rsid w:val="001A4A4C"/>
    <w:rsid w:val="001A7FE8"/>
    <w:rsid w:val="001B0553"/>
    <w:rsid w:val="001B3828"/>
    <w:rsid w:val="001B7EF3"/>
    <w:rsid w:val="001C0C57"/>
    <w:rsid w:val="001C5136"/>
    <w:rsid w:val="001C6A0A"/>
    <w:rsid w:val="001C7533"/>
    <w:rsid w:val="001D19DF"/>
    <w:rsid w:val="001D2832"/>
    <w:rsid w:val="001D699A"/>
    <w:rsid w:val="001D7F11"/>
    <w:rsid w:val="001E0A91"/>
    <w:rsid w:val="001E1A6C"/>
    <w:rsid w:val="001E4D12"/>
    <w:rsid w:val="001F12D8"/>
    <w:rsid w:val="001F13AF"/>
    <w:rsid w:val="00211F1A"/>
    <w:rsid w:val="00212936"/>
    <w:rsid w:val="002144C5"/>
    <w:rsid w:val="00214D69"/>
    <w:rsid w:val="00221083"/>
    <w:rsid w:val="00221A3F"/>
    <w:rsid w:val="00226D91"/>
    <w:rsid w:val="002345FF"/>
    <w:rsid w:val="00236418"/>
    <w:rsid w:val="00241184"/>
    <w:rsid w:val="00243A84"/>
    <w:rsid w:val="002472DA"/>
    <w:rsid w:val="00252A90"/>
    <w:rsid w:val="00263D12"/>
    <w:rsid w:val="00271305"/>
    <w:rsid w:val="002714AD"/>
    <w:rsid w:val="0027512E"/>
    <w:rsid w:val="00275E2F"/>
    <w:rsid w:val="0028160E"/>
    <w:rsid w:val="00282491"/>
    <w:rsid w:val="0028738C"/>
    <w:rsid w:val="00287CD6"/>
    <w:rsid w:val="002920B8"/>
    <w:rsid w:val="002931A9"/>
    <w:rsid w:val="0029395D"/>
    <w:rsid w:val="002959E3"/>
    <w:rsid w:val="002A18B7"/>
    <w:rsid w:val="002A347D"/>
    <w:rsid w:val="002B1267"/>
    <w:rsid w:val="002B12E5"/>
    <w:rsid w:val="002C0E67"/>
    <w:rsid w:val="002C4A7E"/>
    <w:rsid w:val="002C758B"/>
    <w:rsid w:val="002D27D3"/>
    <w:rsid w:val="002E1B56"/>
    <w:rsid w:val="002E224C"/>
    <w:rsid w:val="002E3F04"/>
    <w:rsid w:val="002E4D6F"/>
    <w:rsid w:val="002E5D22"/>
    <w:rsid w:val="002F290A"/>
    <w:rsid w:val="002F3B4A"/>
    <w:rsid w:val="00300B1A"/>
    <w:rsid w:val="00300C3C"/>
    <w:rsid w:val="00300F07"/>
    <w:rsid w:val="00301CB2"/>
    <w:rsid w:val="003021B8"/>
    <w:rsid w:val="003052A6"/>
    <w:rsid w:val="00310797"/>
    <w:rsid w:val="00313DFF"/>
    <w:rsid w:val="0031466C"/>
    <w:rsid w:val="003156BB"/>
    <w:rsid w:val="00317284"/>
    <w:rsid w:val="003174CE"/>
    <w:rsid w:val="003239C6"/>
    <w:rsid w:val="00324B43"/>
    <w:rsid w:val="00325214"/>
    <w:rsid w:val="003269F6"/>
    <w:rsid w:val="00331400"/>
    <w:rsid w:val="00333EA9"/>
    <w:rsid w:val="0033666C"/>
    <w:rsid w:val="0033795B"/>
    <w:rsid w:val="00342710"/>
    <w:rsid w:val="003434DC"/>
    <w:rsid w:val="00347471"/>
    <w:rsid w:val="00352112"/>
    <w:rsid w:val="00356FAD"/>
    <w:rsid w:val="00361529"/>
    <w:rsid w:val="00364FA2"/>
    <w:rsid w:val="00365D47"/>
    <w:rsid w:val="00365D53"/>
    <w:rsid w:val="00377E31"/>
    <w:rsid w:val="00381E1D"/>
    <w:rsid w:val="00384ADE"/>
    <w:rsid w:val="003910A3"/>
    <w:rsid w:val="003919B2"/>
    <w:rsid w:val="00396780"/>
    <w:rsid w:val="0039786E"/>
    <w:rsid w:val="003A012D"/>
    <w:rsid w:val="003B04F9"/>
    <w:rsid w:val="003B111F"/>
    <w:rsid w:val="003B32E3"/>
    <w:rsid w:val="003C0EC8"/>
    <w:rsid w:val="003C0F48"/>
    <w:rsid w:val="003C1612"/>
    <w:rsid w:val="003C7BA3"/>
    <w:rsid w:val="003D208A"/>
    <w:rsid w:val="003D4063"/>
    <w:rsid w:val="003D588A"/>
    <w:rsid w:val="003E0A70"/>
    <w:rsid w:val="003F1AA4"/>
    <w:rsid w:val="003F1CBA"/>
    <w:rsid w:val="003F37E9"/>
    <w:rsid w:val="003F4327"/>
    <w:rsid w:val="003F60B7"/>
    <w:rsid w:val="003F7008"/>
    <w:rsid w:val="0040142E"/>
    <w:rsid w:val="00401AD3"/>
    <w:rsid w:val="00406489"/>
    <w:rsid w:val="00406830"/>
    <w:rsid w:val="004123F9"/>
    <w:rsid w:val="00412583"/>
    <w:rsid w:val="00413320"/>
    <w:rsid w:val="00416D6F"/>
    <w:rsid w:val="00417B6A"/>
    <w:rsid w:val="00421A2B"/>
    <w:rsid w:val="00423CC0"/>
    <w:rsid w:val="00426563"/>
    <w:rsid w:val="00427D35"/>
    <w:rsid w:val="00427E63"/>
    <w:rsid w:val="00431D26"/>
    <w:rsid w:val="0043458C"/>
    <w:rsid w:val="00436253"/>
    <w:rsid w:val="00437CD8"/>
    <w:rsid w:val="0044181B"/>
    <w:rsid w:val="00451B61"/>
    <w:rsid w:val="00454A30"/>
    <w:rsid w:val="00455763"/>
    <w:rsid w:val="00463EF4"/>
    <w:rsid w:val="004677F8"/>
    <w:rsid w:val="0047301A"/>
    <w:rsid w:val="00474616"/>
    <w:rsid w:val="004755C6"/>
    <w:rsid w:val="0048614C"/>
    <w:rsid w:val="00491A6F"/>
    <w:rsid w:val="00492E44"/>
    <w:rsid w:val="00493E65"/>
    <w:rsid w:val="00496EAA"/>
    <w:rsid w:val="004970C8"/>
    <w:rsid w:val="004A1485"/>
    <w:rsid w:val="004A1C63"/>
    <w:rsid w:val="004A4488"/>
    <w:rsid w:val="004A4B24"/>
    <w:rsid w:val="004A6EE9"/>
    <w:rsid w:val="004B0629"/>
    <w:rsid w:val="004B1199"/>
    <w:rsid w:val="004B34E9"/>
    <w:rsid w:val="004B359D"/>
    <w:rsid w:val="004C3DB9"/>
    <w:rsid w:val="004C4467"/>
    <w:rsid w:val="004C4717"/>
    <w:rsid w:val="004C7905"/>
    <w:rsid w:val="004D4958"/>
    <w:rsid w:val="004D66EA"/>
    <w:rsid w:val="004E0907"/>
    <w:rsid w:val="004E2BC2"/>
    <w:rsid w:val="004E36DC"/>
    <w:rsid w:val="004E467C"/>
    <w:rsid w:val="004E490D"/>
    <w:rsid w:val="004E5756"/>
    <w:rsid w:val="004F0E8B"/>
    <w:rsid w:val="004F2131"/>
    <w:rsid w:val="004F43A7"/>
    <w:rsid w:val="004F4656"/>
    <w:rsid w:val="004F5390"/>
    <w:rsid w:val="004F69B7"/>
    <w:rsid w:val="00502BF3"/>
    <w:rsid w:val="00502EAB"/>
    <w:rsid w:val="005078EA"/>
    <w:rsid w:val="00514F7C"/>
    <w:rsid w:val="0051690B"/>
    <w:rsid w:val="00516DD9"/>
    <w:rsid w:val="00520DC4"/>
    <w:rsid w:val="005211B8"/>
    <w:rsid w:val="00525DD9"/>
    <w:rsid w:val="0053382A"/>
    <w:rsid w:val="0053458D"/>
    <w:rsid w:val="00534836"/>
    <w:rsid w:val="00536337"/>
    <w:rsid w:val="00537CAE"/>
    <w:rsid w:val="0054471E"/>
    <w:rsid w:val="0054670A"/>
    <w:rsid w:val="00547037"/>
    <w:rsid w:val="00552276"/>
    <w:rsid w:val="00556462"/>
    <w:rsid w:val="00556A3E"/>
    <w:rsid w:val="00556CA4"/>
    <w:rsid w:val="00557DA7"/>
    <w:rsid w:val="005615FC"/>
    <w:rsid w:val="00565F1F"/>
    <w:rsid w:val="005711A1"/>
    <w:rsid w:val="005741A8"/>
    <w:rsid w:val="00575074"/>
    <w:rsid w:val="00580D47"/>
    <w:rsid w:val="00583DB2"/>
    <w:rsid w:val="00584323"/>
    <w:rsid w:val="00587012"/>
    <w:rsid w:val="00592F42"/>
    <w:rsid w:val="005948FE"/>
    <w:rsid w:val="005A0583"/>
    <w:rsid w:val="005A21A7"/>
    <w:rsid w:val="005A21B6"/>
    <w:rsid w:val="005A2928"/>
    <w:rsid w:val="005A3893"/>
    <w:rsid w:val="005A7C7D"/>
    <w:rsid w:val="005B0695"/>
    <w:rsid w:val="005B72E0"/>
    <w:rsid w:val="005C1EFB"/>
    <w:rsid w:val="005C444C"/>
    <w:rsid w:val="005D078F"/>
    <w:rsid w:val="005D1478"/>
    <w:rsid w:val="005D1852"/>
    <w:rsid w:val="005D3BEE"/>
    <w:rsid w:val="005D44CE"/>
    <w:rsid w:val="005E22BB"/>
    <w:rsid w:val="005E2686"/>
    <w:rsid w:val="005F05AB"/>
    <w:rsid w:val="005F3EE2"/>
    <w:rsid w:val="005F6226"/>
    <w:rsid w:val="00600A18"/>
    <w:rsid w:val="00600E08"/>
    <w:rsid w:val="006048D4"/>
    <w:rsid w:val="00605F00"/>
    <w:rsid w:val="00611B05"/>
    <w:rsid w:val="00613CBA"/>
    <w:rsid w:val="00616155"/>
    <w:rsid w:val="00616C62"/>
    <w:rsid w:val="00617DF6"/>
    <w:rsid w:val="006308EB"/>
    <w:rsid w:val="006335EE"/>
    <w:rsid w:val="00633938"/>
    <w:rsid w:val="00634DC4"/>
    <w:rsid w:val="00634F4A"/>
    <w:rsid w:val="0063624A"/>
    <w:rsid w:val="00642F21"/>
    <w:rsid w:val="00643FC7"/>
    <w:rsid w:val="006447AE"/>
    <w:rsid w:val="0064605E"/>
    <w:rsid w:val="00647102"/>
    <w:rsid w:val="00650754"/>
    <w:rsid w:val="00656606"/>
    <w:rsid w:val="0066623B"/>
    <w:rsid w:val="00667120"/>
    <w:rsid w:val="006763C2"/>
    <w:rsid w:val="006913D2"/>
    <w:rsid w:val="00694189"/>
    <w:rsid w:val="00697698"/>
    <w:rsid w:val="006A0034"/>
    <w:rsid w:val="006A06E2"/>
    <w:rsid w:val="006A14DE"/>
    <w:rsid w:val="006A1FF2"/>
    <w:rsid w:val="006A4851"/>
    <w:rsid w:val="006A5FB9"/>
    <w:rsid w:val="006A68F7"/>
    <w:rsid w:val="006A756A"/>
    <w:rsid w:val="006B5044"/>
    <w:rsid w:val="006B5BFA"/>
    <w:rsid w:val="006B790A"/>
    <w:rsid w:val="006C113A"/>
    <w:rsid w:val="006C5622"/>
    <w:rsid w:val="006C6ADE"/>
    <w:rsid w:val="006E02EF"/>
    <w:rsid w:val="006E2430"/>
    <w:rsid w:val="006E3772"/>
    <w:rsid w:val="006E4A6F"/>
    <w:rsid w:val="006E4B5C"/>
    <w:rsid w:val="006E6F6D"/>
    <w:rsid w:val="006F0E12"/>
    <w:rsid w:val="006F11C2"/>
    <w:rsid w:val="006F2059"/>
    <w:rsid w:val="006F31E5"/>
    <w:rsid w:val="006F4569"/>
    <w:rsid w:val="006F603F"/>
    <w:rsid w:val="0070015D"/>
    <w:rsid w:val="007035EF"/>
    <w:rsid w:val="0070463A"/>
    <w:rsid w:val="00711E00"/>
    <w:rsid w:val="00712350"/>
    <w:rsid w:val="00713A7E"/>
    <w:rsid w:val="007153B2"/>
    <w:rsid w:val="00716090"/>
    <w:rsid w:val="007201E8"/>
    <w:rsid w:val="007219F7"/>
    <w:rsid w:val="00737AA4"/>
    <w:rsid w:val="00742DA7"/>
    <w:rsid w:val="007501B8"/>
    <w:rsid w:val="00752AE3"/>
    <w:rsid w:val="00767796"/>
    <w:rsid w:val="00771272"/>
    <w:rsid w:val="00772E1D"/>
    <w:rsid w:val="00776204"/>
    <w:rsid w:val="00776248"/>
    <w:rsid w:val="00782CDF"/>
    <w:rsid w:val="007848CC"/>
    <w:rsid w:val="007850F2"/>
    <w:rsid w:val="00790567"/>
    <w:rsid w:val="00790A6B"/>
    <w:rsid w:val="00792E60"/>
    <w:rsid w:val="00796402"/>
    <w:rsid w:val="007966DC"/>
    <w:rsid w:val="0079686D"/>
    <w:rsid w:val="007A6FDB"/>
    <w:rsid w:val="007B1E4A"/>
    <w:rsid w:val="007B3C4F"/>
    <w:rsid w:val="007D104E"/>
    <w:rsid w:val="007D33C7"/>
    <w:rsid w:val="007D3CEC"/>
    <w:rsid w:val="007D5A04"/>
    <w:rsid w:val="007D7CF5"/>
    <w:rsid w:val="007E0EFF"/>
    <w:rsid w:val="007E35E9"/>
    <w:rsid w:val="007E3F03"/>
    <w:rsid w:val="007E4B84"/>
    <w:rsid w:val="007E6AE1"/>
    <w:rsid w:val="007E6CBC"/>
    <w:rsid w:val="007F0C17"/>
    <w:rsid w:val="007F11DB"/>
    <w:rsid w:val="007F17D3"/>
    <w:rsid w:val="007F3296"/>
    <w:rsid w:val="007F7051"/>
    <w:rsid w:val="0080063B"/>
    <w:rsid w:val="00801BCF"/>
    <w:rsid w:val="00802B5E"/>
    <w:rsid w:val="0080545F"/>
    <w:rsid w:val="00805C27"/>
    <w:rsid w:val="008074EF"/>
    <w:rsid w:val="00813D4E"/>
    <w:rsid w:val="00814E4D"/>
    <w:rsid w:val="00816221"/>
    <w:rsid w:val="008225E9"/>
    <w:rsid w:val="00827B18"/>
    <w:rsid w:val="00827EB4"/>
    <w:rsid w:val="00833136"/>
    <w:rsid w:val="0083368D"/>
    <w:rsid w:val="00833E6E"/>
    <w:rsid w:val="0084512F"/>
    <w:rsid w:val="008555E5"/>
    <w:rsid w:val="008563FF"/>
    <w:rsid w:val="00860053"/>
    <w:rsid w:val="0086070E"/>
    <w:rsid w:val="00861304"/>
    <w:rsid w:val="00863481"/>
    <w:rsid w:val="00865476"/>
    <w:rsid w:val="00866509"/>
    <w:rsid w:val="00870345"/>
    <w:rsid w:val="00872EB6"/>
    <w:rsid w:val="008730DF"/>
    <w:rsid w:val="00873AF7"/>
    <w:rsid w:val="008749D8"/>
    <w:rsid w:val="00874BA5"/>
    <w:rsid w:val="00881AA6"/>
    <w:rsid w:val="00883E67"/>
    <w:rsid w:val="00884770"/>
    <w:rsid w:val="00887289"/>
    <w:rsid w:val="00887891"/>
    <w:rsid w:val="0088B6DC"/>
    <w:rsid w:val="008941BC"/>
    <w:rsid w:val="00894870"/>
    <w:rsid w:val="00896A6E"/>
    <w:rsid w:val="008A1A1A"/>
    <w:rsid w:val="008A1ACD"/>
    <w:rsid w:val="008C4060"/>
    <w:rsid w:val="008D0E6C"/>
    <w:rsid w:val="008D53D0"/>
    <w:rsid w:val="008E022A"/>
    <w:rsid w:val="008E2947"/>
    <w:rsid w:val="008E437C"/>
    <w:rsid w:val="008E7E59"/>
    <w:rsid w:val="008E7FB3"/>
    <w:rsid w:val="008F0E11"/>
    <w:rsid w:val="008F1A7C"/>
    <w:rsid w:val="008F25EC"/>
    <w:rsid w:val="008F4D6C"/>
    <w:rsid w:val="008F4E14"/>
    <w:rsid w:val="008F6693"/>
    <w:rsid w:val="00900BAF"/>
    <w:rsid w:val="00900C15"/>
    <w:rsid w:val="00902B62"/>
    <w:rsid w:val="00902BA1"/>
    <w:rsid w:val="009040E1"/>
    <w:rsid w:val="00911E3E"/>
    <w:rsid w:val="00911F26"/>
    <w:rsid w:val="00916A1E"/>
    <w:rsid w:val="00917DA3"/>
    <w:rsid w:val="009201FA"/>
    <w:rsid w:val="00920526"/>
    <w:rsid w:val="00921C59"/>
    <w:rsid w:val="009221EF"/>
    <w:rsid w:val="00922B52"/>
    <w:rsid w:val="00924756"/>
    <w:rsid w:val="00930C52"/>
    <w:rsid w:val="009312BD"/>
    <w:rsid w:val="00932404"/>
    <w:rsid w:val="0094738B"/>
    <w:rsid w:val="00961860"/>
    <w:rsid w:val="00961AA3"/>
    <w:rsid w:val="0096206A"/>
    <w:rsid w:val="00962407"/>
    <w:rsid w:val="0096264E"/>
    <w:rsid w:val="00963A3B"/>
    <w:rsid w:val="00965EF9"/>
    <w:rsid w:val="00967535"/>
    <w:rsid w:val="00974B6E"/>
    <w:rsid w:val="00976E8B"/>
    <w:rsid w:val="0097793F"/>
    <w:rsid w:val="00981752"/>
    <w:rsid w:val="009835F7"/>
    <w:rsid w:val="00984159"/>
    <w:rsid w:val="009853FF"/>
    <w:rsid w:val="00985455"/>
    <w:rsid w:val="00993F00"/>
    <w:rsid w:val="009963EC"/>
    <w:rsid w:val="00997883"/>
    <w:rsid w:val="009A1E0A"/>
    <w:rsid w:val="009A3CAF"/>
    <w:rsid w:val="009A4EE0"/>
    <w:rsid w:val="009A5508"/>
    <w:rsid w:val="009A551C"/>
    <w:rsid w:val="009B0F80"/>
    <w:rsid w:val="009B2E52"/>
    <w:rsid w:val="009B50B3"/>
    <w:rsid w:val="009C1770"/>
    <w:rsid w:val="009C1B84"/>
    <w:rsid w:val="009C251E"/>
    <w:rsid w:val="009C3C55"/>
    <w:rsid w:val="009C47B1"/>
    <w:rsid w:val="009C5886"/>
    <w:rsid w:val="009D0D7A"/>
    <w:rsid w:val="009D0D91"/>
    <w:rsid w:val="009E2E68"/>
    <w:rsid w:val="009E6FE5"/>
    <w:rsid w:val="009F3661"/>
    <w:rsid w:val="009F3C41"/>
    <w:rsid w:val="009F4AE0"/>
    <w:rsid w:val="009F4E7F"/>
    <w:rsid w:val="009F6804"/>
    <w:rsid w:val="00A051A8"/>
    <w:rsid w:val="00A10614"/>
    <w:rsid w:val="00A115BF"/>
    <w:rsid w:val="00A1628C"/>
    <w:rsid w:val="00A1767F"/>
    <w:rsid w:val="00A20D33"/>
    <w:rsid w:val="00A215A7"/>
    <w:rsid w:val="00A22824"/>
    <w:rsid w:val="00A22A61"/>
    <w:rsid w:val="00A238A3"/>
    <w:rsid w:val="00A32B4A"/>
    <w:rsid w:val="00A40FA7"/>
    <w:rsid w:val="00A42163"/>
    <w:rsid w:val="00A44561"/>
    <w:rsid w:val="00A445C8"/>
    <w:rsid w:val="00A44DBC"/>
    <w:rsid w:val="00A462A8"/>
    <w:rsid w:val="00A50B67"/>
    <w:rsid w:val="00A60E9D"/>
    <w:rsid w:val="00A6156A"/>
    <w:rsid w:val="00A64322"/>
    <w:rsid w:val="00A66E7E"/>
    <w:rsid w:val="00A747A4"/>
    <w:rsid w:val="00A77CC1"/>
    <w:rsid w:val="00A8055B"/>
    <w:rsid w:val="00A82BFB"/>
    <w:rsid w:val="00A8493F"/>
    <w:rsid w:val="00AA2BC2"/>
    <w:rsid w:val="00AB0D6F"/>
    <w:rsid w:val="00AB4929"/>
    <w:rsid w:val="00AC1101"/>
    <w:rsid w:val="00AC1D1F"/>
    <w:rsid w:val="00AC2D78"/>
    <w:rsid w:val="00AC66B3"/>
    <w:rsid w:val="00AC742F"/>
    <w:rsid w:val="00AD188E"/>
    <w:rsid w:val="00AD1F5D"/>
    <w:rsid w:val="00AD2EF6"/>
    <w:rsid w:val="00AD67C7"/>
    <w:rsid w:val="00AD71E5"/>
    <w:rsid w:val="00AE1C14"/>
    <w:rsid w:val="00AE3B63"/>
    <w:rsid w:val="00AE41CC"/>
    <w:rsid w:val="00AE64EC"/>
    <w:rsid w:val="00AE6F58"/>
    <w:rsid w:val="00AF1D1D"/>
    <w:rsid w:val="00AF1EBF"/>
    <w:rsid w:val="00AF35E2"/>
    <w:rsid w:val="00AF4088"/>
    <w:rsid w:val="00AF499A"/>
    <w:rsid w:val="00B027DB"/>
    <w:rsid w:val="00B03145"/>
    <w:rsid w:val="00B03985"/>
    <w:rsid w:val="00B0475B"/>
    <w:rsid w:val="00B04F2C"/>
    <w:rsid w:val="00B07F9C"/>
    <w:rsid w:val="00B2156E"/>
    <w:rsid w:val="00B261CA"/>
    <w:rsid w:val="00B2665C"/>
    <w:rsid w:val="00B27026"/>
    <w:rsid w:val="00B270DD"/>
    <w:rsid w:val="00B300AD"/>
    <w:rsid w:val="00B3054C"/>
    <w:rsid w:val="00B34E52"/>
    <w:rsid w:val="00B41EC2"/>
    <w:rsid w:val="00B42D7D"/>
    <w:rsid w:val="00B46124"/>
    <w:rsid w:val="00B47CB1"/>
    <w:rsid w:val="00B519B1"/>
    <w:rsid w:val="00B528DA"/>
    <w:rsid w:val="00B54D2A"/>
    <w:rsid w:val="00B6159F"/>
    <w:rsid w:val="00B62AF0"/>
    <w:rsid w:val="00B66B23"/>
    <w:rsid w:val="00B72B28"/>
    <w:rsid w:val="00B74573"/>
    <w:rsid w:val="00B775C9"/>
    <w:rsid w:val="00B8005D"/>
    <w:rsid w:val="00B81C5F"/>
    <w:rsid w:val="00B85FF1"/>
    <w:rsid w:val="00B86DBA"/>
    <w:rsid w:val="00B87421"/>
    <w:rsid w:val="00B949CC"/>
    <w:rsid w:val="00B97476"/>
    <w:rsid w:val="00BA0531"/>
    <w:rsid w:val="00BA3399"/>
    <w:rsid w:val="00BA40E1"/>
    <w:rsid w:val="00BA4811"/>
    <w:rsid w:val="00BA5125"/>
    <w:rsid w:val="00BA5ACA"/>
    <w:rsid w:val="00BA6078"/>
    <w:rsid w:val="00BA7CF0"/>
    <w:rsid w:val="00BB13B0"/>
    <w:rsid w:val="00BB1827"/>
    <w:rsid w:val="00BB1BAF"/>
    <w:rsid w:val="00BB2BE6"/>
    <w:rsid w:val="00BB702B"/>
    <w:rsid w:val="00BC007A"/>
    <w:rsid w:val="00BC3646"/>
    <w:rsid w:val="00BC5958"/>
    <w:rsid w:val="00BC729F"/>
    <w:rsid w:val="00BD3A21"/>
    <w:rsid w:val="00BD480F"/>
    <w:rsid w:val="00BD7C2D"/>
    <w:rsid w:val="00BE3C48"/>
    <w:rsid w:val="00BE4233"/>
    <w:rsid w:val="00BE4619"/>
    <w:rsid w:val="00BE6E0B"/>
    <w:rsid w:val="00BE76F1"/>
    <w:rsid w:val="00BE7D9E"/>
    <w:rsid w:val="00BF1431"/>
    <w:rsid w:val="00BF5306"/>
    <w:rsid w:val="00C01FBF"/>
    <w:rsid w:val="00C02A42"/>
    <w:rsid w:val="00C03E3F"/>
    <w:rsid w:val="00C0684A"/>
    <w:rsid w:val="00C15709"/>
    <w:rsid w:val="00C15AE2"/>
    <w:rsid w:val="00C20A9B"/>
    <w:rsid w:val="00C20EAB"/>
    <w:rsid w:val="00C24B66"/>
    <w:rsid w:val="00C27946"/>
    <w:rsid w:val="00C3320D"/>
    <w:rsid w:val="00C33984"/>
    <w:rsid w:val="00C3575E"/>
    <w:rsid w:val="00C3732E"/>
    <w:rsid w:val="00C40231"/>
    <w:rsid w:val="00C42915"/>
    <w:rsid w:val="00C42C48"/>
    <w:rsid w:val="00C43298"/>
    <w:rsid w:val="00C44594"/>
    <w:rsid w:val="00C449BF"/>
    <w:rsid w:val="00C44C39"/>
    <w:rsid w:val="00C45165"/>
    <w:rsid w:val="00C45A3F"/>
    <w:rsid w:val="00C55A66"/>
    <w:rsid w:val="00C616A7"/>
    <w:rsid w:val="00C779CC"/>
    <w:rsid w:val="00C821FE"/>
    <w:rsid w:val="00C83B7C"/>
    <w:rsid w:val="00C84ED2"/>
    <w:rsid w:val="00C87886"/>
    <w:rsid w:val="00C953B9"/>
    <w:rsid w:val="00CA6994"/>
    <w:rsid w:val="00CA7399"/>
    <w:rsid w:val="00CB0762"/>
    <w:rsid w:val="00CB09CB"/>
    <w:rsid w:val="00CB23E3"/>
    <w:rsid w:val="00CB263C"/>
    <w:rsid w:val="00CB3725"/>
    <w:rsid w:val="00CB7BEE"/>
    <w:rsid w:val="00CC385F"/>
    <w:rsid w:val="00CC4BE2"/>
    <w:rsid w:val="00CC7910"/>
    <w:rsid w:val="00CC7E18"/>
    <w:rsid w:val="00CD19CB"/>
    <w:rsid w:val="00CE4188"/>
    <w:rsid w:val="00CE45B4"/>
    <w:rsid w:val="00CF0AB2"/>
    <w:rsid w:val="00CF447B"/>
    <w:rsid w:val="00CF5E8C"/>
    <w:rsid w:val="00CF6DCA"/>
    <w:rsid w:val="00D01670"/>
    <w:rsid w:val="00D0511A"/>
    <w:rsid w:val="00D0670F"/>
    <w:rsid w:val="00D06809"/>
    <w:rsid w:val="00D06A8D"/>
    <w:rsid w:val="00D13AB6"/>
    <w:rsid w:val="00D16D1B"/>
    <w:rsid w:val="00D21596"/>
    <w:rsid w:val="00D23763"/>
    <w:rsid w:val="00D25C00"/>
    <w:rsid w:val="00D33BC6"/>
    <w:rsid w:val="00D3601D"/>
    <w:rsid w:val="00D36045"/>
    <w:rsid w:val="00D40F73"/>
    <w:rsid w:val="00D41852"/>
    <w:rsid w:val="00D44F6B"/>
    <w:rsid w:val="00D46918"/>
    <w:rsid w:val="00D5414B"/>
    <w:rsid w:val="00D5780A"/>
    <w:rsid w:val="00D60AB8"/>
    <w:rsid w:val="00D62D02"/>
    <w:rsid w:val="00D63126"/>
    <w:rsid w:val="00D6655E"/>
    <w:rsid w:val="00D67054"/>
    <w:rsid w:val="00D70776"/>
    <w:rsid w:val="00D71B71"/>
    <w:rsid w:val="00D85A4E"/>
    <w:rsid w:val="00D87DC2"/>
    <w:rsid w:val="00D9137F"/>
    <w:rsid w:val="00D913A5"/>
    <w:rsid w:val="00D91DD4"/>
    <w:rsid w:val="00D93682"/>
    <w:rsid w:val="00D937F2"/>
    <w:rsid w:val="00DA3F48"/>
    <w:rsid w:val="00DA687E"/>
    <w:rsid w:val="00DB0381"/>
    <w:rsid w:val="00DB143E"/>
    <w:rsid w:val="00DB1F4A"/>
    <w:rsid w:val="00DB7C1E"/>
    <w:rsid w:val="00DB7D6D"/>
    <w:rsid w:val="00DC03DB"/>
    <w:rsid w:val="00DC0CCF"/>
    <w:rsid w:val="00DC1280"/>
    <w:rsid w:val="00DC230F"/>
    <w:rsid w:val="00DC2DBB"/>
    <w:rsid w:val="00DD381D"/>
    <w:rsid w:val="00DD5A41"/>
    <w:rsid w:val="00DD5B02"/>
    <w:rsid w:val="00DD610F"/>
    <w:rsid w:val="00DE1C62"/>
    <w:rsid w:val="00DF02AF"/>
    <w:rsid w:val="00DF1E45"/>
    <w:rsid w:val="00E00F1F"/>
    <w:rsid w:val="00E04876"/>
    <w:rsid w:val="00E149D7"/>
    <w:rsid w:val="00E14B45"/>
    <w:rsid w:val="00E1569F"/>
    <w:rsid w:val="00E21232"/>
    <w:rsid w:val="00E25C2C"/>
    <w:rsid w:val="00E3240F"/>
    <w:rsid w:val="00E35F2F"/>
    <w:rsid w:val="00E45F21"/>
    <w:rsid w:val="00E51AF6"/>
    <w:rsid w:val="00E51FBC"/>
    <w:rsid w:val="00E56947"/>
    <w:rsid w:val="00E61FC9"/>
    <w:rsid w:val="00E6210B"/>
    <w:rsid w:val="00E62350"/>
    <w:rsid w:val="00E62B80"/>
    <w:rsid w:val="00E645FA"/>
    <w:rsid w:val="00E676E1"/>
    <w:rsid w:val="00E72714"/>
    <w:rsid w:val="00E75442"/>
    <w:rsid w:val="00E7619D"/>
    <w:rsid w:val="00E81FF6"/>
    <w:rsid w:val="00E968A1"/>
    <w:rsid w:val="00E96B80"/>
    <w:rsid w:val="00EA1098"/>
    <w:rsid w:val="00EA2787"/>
    <w:rsid w:val="00EA6B35"/>
    <w:rsid w:val="00EB0AA3"/>
    <w:rsid w:val="00EB202B"/>
    <w:rsid w:val="00EC0B08"/>
    <w:rsid w:val="00EC468E"/>
    <w:rsid w:val="00EC5A6A"/>
    <w:rsid w:val="00EC7611"/>
    <w:rsid w:val="00EC7BFA"/>
    <w:rsid w:val="00EC7C63"/>
    <w:rsid w:val="00ED12AD"/>
    <w:rsid w:val="00ED448A"/>
    <w:rsid w:val="00EE1A2A"/>
    <w:rsid w:val="00EE2486"/>
    <w:rsid w:val="00EE3BDC"/>
    <w:rsid w:val="00EE5889"/>
    <w:rsid w:val="00EF023B"/>
    <w:rsid w:val="00EF31EB"/>
    <w:rsid w:val="00F04619"/>
    <w:rsid w:val="00F05381"/>
    <w:rsid w:val="00F0684C"/>
    <w:rsid w:val="00F0688C"/>
    <w:rsid w:val="00F07093"/>
    <w:rsid w:val="00F12514"/>
    <w:rsid w:val="00F137FD"/>
    <w:rsid w:val="00F14506"/>
    <w:rsid w:val="00F157CD"/>
    <w:rsid w:val="00F16AB0"/>
    <w:rsid w:val="00F178A5"/>
    <w:rsid w:val="00F21EBF"/>
    <w:rsid w:val="00F23B44"/>
    <w:rsid w:val="00F23F4A"/>
    <w:rsid w:val="00F24FCC"/>
    <w:rsid w:val="00F3009D"/>
    <w:rsid w:val="00F30D19"/>
    <w:rsid w:val="00F32D26"/>
    <w:rsid w:val="00F35E15"/>
    <w:rsid w:val="00F37BF6"/>
    <w:rsid w:val="00F40C29"/>
    <w:rsid w:val="00F4211E"/>
    <w:rsid w:val="00F433E3"/>
    <w:rsid w:val="00F43C00"/>
    <w:rsid w:val="00F44678"/>
    <w:rsid w:val="00F521FC"/>
    <w:rsid w:val="00F65482"/>
    <w:rsid w:val="00F663FE"/>
    <w:rsid w:val="00F668E0"/>
    <w:rsid w:val="00F671FB"/>
    <w:rsid w:val="00F72F1A"/>
    <w:rsid w:val="00F76193"/>
    <w:rsid w:val="00F779BC"/>
    <w:rsid w:val="00F820A8"/>
    <w:rsid w:val="00F8327C"/>
    <w:rsid w:val="00F85036"/>
    <w:rsid w:val="00F86F42"/>
    <w:rsid w:val="00F8717B"/>
    <w:rsid w:val="00F90F59"/>
    <w:rsid w:val="00F92C77"/>
    <w:rsid w:val="00F934C2"/>
    <w:rsid w:val="00FA28B1"/>
    <w:rsid w:val="00FA2E55"/>
    <w:rsid w:val="00FA3849"/>
    <w:rsid w:val="00FA7BE7"/>
    <w:rsid w:val="00FB272E"/>
    <w:rsid w:val="00FB310F"/>
    <w:rsid w:val="00FB6AB2"/>
    <w:rsid w:val="00FB7663"/>
    <w:rsid w:val="00FC20D8"/>
    <w:rsid w:val="00FC6A9D"/>
    <w:rsid w:val="00FC7228"/>
    <w:rsid w:val="00FD43C0"/>
    <w:rsid w:val="00FD44CA"/>
    <w:rsid w:val="00FE0496"/>
    <w:rsid w:val="00FF09BA"/>
    <w:rsid w:val="00FF2D8E"/>
    <w:rsid w:val="00FF3488"/>
    <w:rsid w:val="00FF44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BF6E"/>
  <w15:docId w15:val="{E6B3DEC2-3031-9D4E-B670-F813B119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E12"/>
    <w:pPr>
      <w:spacing w:after="240"/>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6C59"/>
    <w:rPr>
      <w:b/>
      <w:bCs/>
    </w:rPr>
  </w:style>
  <w:style w:type="character" w:customStyle="1" w:styleId="marklulxj1opu">
    <w:name w:val="marklulxj1opu"/>
    <w:basedOn w:val="DefaultParagraphFont"/>
    <w:rsid w:val="00214D69"/>
  </w:style>
  <w:style w:type="character" w:styleId="Emphasis">
    <w:name w:val="Emphasis"/>
    <w:basedOn w:val="DefaultParagraphFont"/>
    <w:uiPriority w:val="20"/>
    <w:qFormat/>
    <w:rsid w:val="00516DD9"/>
    <w:rPr>
      <w:i/>
      <w:iCs/>
    </w:rPr>
  </w:style>
  <w:style w:type="paragraph" w:styleId="NormalWeb">
    <w:name w:val="Normal (Web)"/>
    <w:basedOn w:val="Normal"/>
    <w:uiPriority w:val="99"/>
    <w:semiHidden/>
    <w:unhideWhenUsed/>
    <w:rsid w:val="006A756A"/>
    <w:pPr>
      <w:spacing w:before="100" w:beforeAutospacing="1" w:after="100" w:afterAutospacing="1"/>
    </w:pPr>
  </w:style>
  <w:style w:type="character" w:styleId="Hyperlink">
    <w:name w:val="Hyperlink"/>
    <w:basedOn w:val="DefaultParagraphFont"/>
    <w:uiPriority w:val="99"/>
    <w:unhideWhenUsed/>
    <w:rsid w:val="006A756A"/>
    <w:rPr>
      <w:color w:val="0000FF"/>
      <w:u w:val="single"/>
    </w:rPr>
  </w:style>
  <w:style w:type="paragraph" w:styleId="Bibliography">
    <w:name w:val="Bibliography"/>
    <w:basedOn w:val="Normal"/>
    <w:next w:val="Normal"/>
    <w:uiPriority w:val="37"/>
    <w:unhideWhenUsed/>
    <w:rsid w:val="00611B05"/>
    <w:pPr>
      <w:tabs>
        <w:tab w:val="left" w:pos="500"/>
      </w:tabs>
      <w:ind w:left="504" w:hanging="504"/>
    </w:pPr>
  </w:style>
  <w:style w:type="paragraph" w:styleId="Header">
    <w:name w:val="header"/>
    <w:basedOn w:val="Normal"/>
    <w:link w:val="HeaderChar"/>
    <w:uiPriority w:val="99"/>
    <w:unhideWhenUsed/>
    <w:rsid w:val="005C1EFB"/>
    <w:pPr>
      <w:tabs>
        <w:tab w:val="center" w:pos="4513"/>
        <w:tab w:val="right" w:pos="9026"/>
      </w:tabs>
    </w:pPr>
  </w:style>
  <w:style w:type="character" w:customStyle="1" w:styleId="HeaderChar">
    <w:name w:val="Header Char"/>
    <w:basedOn w:val="DefaultParagraphFont"/>
    <w:link w:val="Header"/>
    <w:uiPriority w:val="99"/>
    <w:rsid w:val="005C1EFB"/>
    <w:rPr>
      <w:rFonts w:ascii="Times New Roman" w:eastAsia="Times New Roman" w:hAnsi="Times New Roman" w:cs="Times New Roman"/>
      <w:lang w:eastAsia="en-GB"/>
    </w:rPr>
  </w:style>
  <w:style w:type="paragraph" w:styleId="Footer">
    <w:name w:val="footer"/>
    <w:basedOn w:val="Normal"/>
    <w:link w:val="FooterChar"/>
    <w:uiPriority w:val="99"/>
    <w:unhideWhenUsed/>
    <w:rsid w:val="005C1EFB"/>
    <w:pPr>
      <w:tabs>
        <w:tab w:val="center" w:pos="4513"/>
        <w:tab w:val="right" w:pos="9026"/>
      </w:tabs>
    </w:pPr>
  </w:style>
  <w:style w:type="character" w:customStyle="1" w:styleId="FooterChar">
    <w:name w:val="Footer Char"/>
    <w:basedOn w:val="DefaultParagraphFont"/>
    <w:link w:val="Footer"/>
    <w:uiPriority w:val="99"/>
    <w:rsid w:val="005C1EFB"/>
    <w:rPr>
      <w:rFonts w:ascii="Times New Roman" w:eastAsia="Times New Roman" w:hAnsi="Times New Roman" w:cs="Times New Roman"/>
      <w:lang w:eastAsia="en-GB"/>
    </w:rPr>
  </w:style>
  <w:style w:type="paragraph" w:styleId="Revision">
    <w:name w:val="Revision"/>
    <w:hidden/>
    <w:uiPriority w:val="99"/>
    <w:semiHidden/>
    <w:rsid w:val="00E25C2C"/>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A22A61"/>
    <w:rPr>
      <w:sz w:val="16"/>
      <w:szCs w:val="16"/>
    </w:rPr>
  </w:style>
  <w:style w:type="paragraph" w:styleId="CommentText">
    <w:name w:val="annotation text"/>
    <w:basedOn w:val="Normal"/>
    <w:link w:val="CommentTextChar"/>
    <w:uiPriority w:val="99"/>
    <w:unhideWhenUsed/>
    <w:rsid w:val="00A22A61"/>
    <w:rPr>
      <w:sz w:val="20"/>
      <w:szCs w:val="20"/>
    </w:rPr>
  </w:style>
  <w:style w:type="character" w:customStyle="1" w:styleId="CommentTextChar">
    <w:name w:val="Comment Text Char"/>
    <w:basedOn w:val="DefaultParagraphFont"/>
    <w:link w:val="CommentText"/>
    <w:uiPriority w:val="99"/>
    <w:rsid w:val="00A22A6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22A61"/>
    <w:rPr>
      <w:b/>
      <w:bCs/>
    </w:rPr>
  </w:style>
  <w:style w:type="character" w:customStyle="1" w:styleId="CommentSubjectChar">
    <w:name w:val="Comment Subject Char"/>
    <w:basedOn w:val="CommentTextChar"/>
    <w:link w:val="CommentSubject"/>
    <w:uiPriority w:val="99"/>
    <w:semiHidden/>
    <w:rsid w:val="00A22A61"/>
    <w:rPr>
      <w:rFonts w:ascii="Times New Roman" w:eastAsia="Times New Roman" w:hAnsi="Times New Roman" w:cs="Times New Roman"/>
      <w:b/>
      <w:bCs/>
      <w:sz w:val="20"/>
      <w:szCs w:val="20"/>
      <w:lang w:eastAsia="en-GB"/>
    </w:rPr>
  </w:style>
  <w:style w:type="character" w:styleId="PageNumber">
    <w:name w:val="page number"/>
    <w:basedOn w:val="DefaultParagraphFont"/>
    <w:uiPriority w:val="99"/>
    <w:semiHidden/>
    <w:unhideWhenUsed/>
    <w:rsid w:val="000B1E55"/>
  </w:style>
  <w:style w:type="paragraph" w:styleId="BalloonText">
    <w:name w:val="Balloon Text"/>
    <w:basedOn w:val="Normal"/>
    <w:link w:val="BalloonTextChar"/>
    <w:uiPriority w:val="99"/>
    <w:semiHidden/>
    <w:unhideWhenUsed/>
    <w:rsid w:val="00B528DA"/>
    <w:rPr>
      <w:rFonts w:ascii="Tahoma" w:hAnsi="Tahoma" w:cs="Tahoma"/>
      <w:sz w:val="16"/>
      <w:szCs w:val="16"/>
    </w:rPr>
  </w:style>
  <w:style w:type="character" w:customStyle="1" w:styleId="BalloonTextChar">
    <w:name w:val="Balloon Text Char"/>
    <w:basedOn w:val="DefaultParagraphFont"/>
    <w:link w:val="BalloonText"/>
    <w:uiPriority w:val="99"/>
    <w:semiHidden/>
    <w:rsid w:val="00B528DA"/>
    <w:rPr>
      <w:rFonts w:ascii="Tahoma" w:eastAsia="Times New Roman" w:hAnsi="Tahoma" w:cs="Tahoma"/>
      <w:sz w:val="16"/>
      <w:szCs w:val="16"/>
      <w:lang w:eastAsia="en-GB"/>
    </w:rPr>
  </w:style>
  <w:style w:type="paragraph" w:styleId="ListParagraph">
    <w:name w:val="List Paragraph"/>
    <w:basedOn w:val="Normal"/>
    <w:uiPriority w:val="34"/>
    <w:qFormat/>
    <w:rsid w:val="00916A1E"/>
    <w:pPr>
      <w:ind w:left="720"/>
      <w:contextualSpacing/>
    </w:pPr>
  </w:style>
  <w:style w:type="character" w:styleId="UnresolvedMention">
    <w:name w:val="Unresolved Mention"/>
    <w:basedOn w:val="DefaultParagraphFont"/>
    <w:uiPriority w:val="99"/>
    <w:semiHidden/>
    <w:unhideWhenUsed/>
    <w:rsid w:val="00C83B7C"/>
    <w:rPr>
      <w:color w:val="605E5C"/>
      <w:shd w:val="clear" w:color="auto" w:fill="E1DFDD"/>
    </w:rPr>
  </w:style>
  <w:style w:type="character" w:styleId="FollowedHyperlink">
    <w:name w:val="FollowedHyperlink"/>
    <w:basedOn w:val="DefaultParagraphFont"/>
    <w:uiPriority w:val="99"/>
    <w:semiHidden/>
    <w:unhideWhenUsed/>
    <w:rsid w:val="00317284"/>
    <w:rPr>
      <w:color w:val="954F72" w:themeColor="followedHyperlink"/>
      <w:u w:val="single"/>
    </w:rPr>
  </w:style>
  <w:style w:type="table" w:customStyle="1" w:styleId="TableGrid">
    <w:name w:val="TableGrid"/>
    <w:rsid w:val="00C953B9"/>
    <w:rPr>
      <w:rFonts w:eastAsiaTheme="minorEastAsia"/>
      <w:lang w:eastAsia="en-GB"/>
    </w:rPr>
    <w:tblPr>
      <w:tblCellMar>
        <w:top w:w="0" w:type="dxa"/>
        <w:left w:w="0" w:type="dxa"/>
        <w:bottom w:w="0" w:type="dxa"/>
        <w:right w:w="0" w:type="dxa"/>
      </w:tblCellMar>
    </w:tblPr>
  </w:style>
  <w:style w:type="character" w:styleId="LineNumber">
    <w:name w:val="line number"/>
    <w:basedOn w:val="DefaultParagraphFont"/>
    <w:uiPriority w:val="99"/>
    <w:semiHidden/>
    <w:unhideWhenUsed/>
    <w:rsid w:val="00325214"/>
  </w:style>
  <w:style w:type="table" w:styleId="TableGrid0">
    <w:name w:val="Table Grid"/>
    <w:basedOn w:val="TableNormal"/>
    <w:uiPriority w:val="39"/>
    <w:rsid w:val="00796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11134">
      <w:bodyDiv w:val="1"/>
      <w:marLeft w:val="0"/>
      <w:marRight w:val="0"/>
      <w:marTop w:val="0"/>
      <w:marBottom w:val="0"/>
      <w:divBdr>
        <w:top w:val="none" w:sz="0" w:space="0" w:color="auto"/>
        <w:left w:val="none" w:sz="0" w:space="0" w:color="auto"/>
        <w:bottom w:val="none" w:sz="0" w:space="0" w:color="auto"/>
        <w:right w:val="none" w:sz="0" w:space="0" w:color="auto"/>
      </w:divBdr>
    </w:div>
    <w:div w:id="188178959">
      <w:bodyDiv w:val="1"/>
      <w:marLeft w:val="0"/>
      <w:marRight w:val="0"/>
      <w:marTop w:val="0"/>
      <w:marBottom w:val="0"/>
      <w:divBdr>
        <w:top w:val="none" w:sz="0" w:space="0" w:color="auto"/>
        <w:left w:val="none" w:sz="0" w:space="0" w:color="auto"/>
        <w:bottom w:val="none" w:sz="0" w:space="0" w:color="auto"/>
        <w:right w:val="none" w:sz="0" w:space="0" w:color="auto"/>
      </w:divBdr>
    </w:div>
    <w:div w:id="455759744">
      <w:bodyDiv w:val="1"/>
      <w:marLeft w:val="0"/>
      <w:marRight w:val="0"/>
      <w:marTop w:val="0"/>
      <w:marBottom w:val="0"/>
      <w:divBdr>
        <w:top w:val="none" w:sz="0" w:space="0" w:color="auto"/>
        <w:left w:val="none" w:sz="0" w:space="0" w:color="auto"/>
        <w:bottom w:val="none" w:sz="0" w:space="0" w:color="auto"/>
        <w:right w:val="none" w:sz="0" w:space="0" w:color="auto"/>
      </w:divBdr>
    </w:div>
    <w:div w:id="498077827">
      <w:bodyDiv w:val="1"/>
      <w:marLeft w:val="0"/>
      <w:marRight w:val="0"/>
      <w:marTop w:val="0"/>
      <w:marBottom w:val="0"/>
      <w:divBdr>
        <w:top w:val="none" w:sz="0" w:space="0" w:color="auto"/>
        <w:left w:val="none" w:sz="0" w:space="0" w:color="auto"/>
        <w:bottom w:val="none" w:sz="0" w:space="0" w:color="auto"/>
        <w:right w:val="none" w:sz="0" w:space="0" w:color="auto"/>
      </w:divBdr>
    </w:div>
    <w:div w:id="640692275">
      <w:bodyDiv w:val="1"/>
      <w:marLeft w:val="0"/>
      <w:marRight w:val="0"/>
      <w:marTop w:val="0"/>
      <w:marBottom w:val="0"/>
      <w:divBdr>
        <w:top w:val="none" w:sz="0" w:space="0" w:color="auto"/>
        <w:left w:val="none" w:sz="0" w:space="0" w:color="auto"/>
        <w:bottom w:val="none" w:sz="0" w:space="0" w:color="auto"/>
        <w:right w:val="none" w:sz="0" w:space="0" w:color="auto"/>
      </w:divBdr>
    </w:div>
    <w:div w:id="677389219">
      <w:bodyDiv w:val="1"/>
      <w:marLeft w:val="0"/>
      <w:marRight w:val="0"/>
      <w:marTop w:val="0"/>
      <w:marBottom w:val="0"/>
      <w:divBdr>
        <w:top w:val="none" w:sz="0" w:space="0" w:color="auto"/>
        <w:left w:val="none" w:sz="0" w:space="0" w:color="auto"/>
        <w:bottom w:val="none" w:sz="0" w:space="0" w:color="auto"/>
        <w:right w:val="none" w:sz="0" w:space="0" w:color="auto"/>
      </w:divBdr>
    </w:div>
    <w:div w:id="1270355984">
      <w:bodyDiv w:val="1"/>
      <w:marLeft w:val="0"/>
      <w:marRight w:val="0"/>
      <w:marTop w:val="0"/>
      <w:marBottom w:val="0"/>
      <w:divBdr>
        <w:top w:val="none" w:sz="0" w:space="0" w:color="auto"/>
        <w:left w:val="none" w:sz="0" w:space="0" w:color="auto"/>
        <w:bottom w:val="none" w:sz="0" w:space="0" w:color="auto"/>
        <w:right w:val="none" w:sz="0" w:space="0" w:color="auto"/>
      </w:divBdr>
    </w:div>
    <w:div w:id="1461338527">
      <w:bodyDiv w:val="1"/>
      <w:marLeft w:val="0"/>
      <w:marRight w:val="0"/>
      <w:marTop w:val="0"/>
      <w:marBottom w:val="0"/>
      <w:divBdr>
        <w:top w:val="none" w:sz="0" w:space="0" w:color="auto"/>
        <w:left w:val="none" w:sz="0" w:space="0" w:color="auto"/>
        <w:bottom w:val="none" w:sz="0" w:space="0" w:color="auto"/>
        <w:right w:val="none" w:sz="0" w:space="0" w:color="auto"/>
      </w:divBdr>
    </w:div>
    <w:div w:id="1791388256">
      <w:bodyDiv w:val="1"/>
      <w:marLeft w:val="0"/>
      <w:marRight w:val="0"/>
      <w:marTop w:val="0"/>
      <w:marBottom w:val="0"/>
      <w:divBdr>
        <w:top w:val="none" w:sz="0" w:space="0" w:color="auto"/>
        <w:left w:val="none" w:sz="0" w:space="0" w:color="auto"/>
        <w:bottom w:val="none" w:sz="0" w:space="0" w:color="auto"/>
        <w:right w:val="none" w:sz="0" w:space="0" w:color="auto"/>
      </w:divBdr>
    </w:div>
    <w:div w:id="1863274588">
      <w:bodyDiv w:val="1"/>
      <w:marLeft w:val="0"/>
      <w:marRight w:val="0"/>
      <w:marTop w:val="0"/>
      <w:marBottom w:val="0"/>
      <w:divBdr>
        <w:top w:val="none" w:sz="0" w:space="0" w:color="auto"/>
        <w:left w:val="none" w:sz="0" w:space="0" w:color="auto"/>
        <w:bottom w:val="none" w:sz="0" w:space="0" w:color="auto"/>
        <w:right w:val="none" w:sz="0" w:space="0" w:color="auto"/>
      </w:divBdr>
    </w:div>
    <w:div w:id="1866480908">
      <w:bodyDiv w:val="1"/>
      <w:marLeft w:val="0"/>
      <w:marRight w:val="0"/>
      <w:marTop w:val="0"/>
      <w:marBottom w:val="0"/>
      <w:divBdr>
        <w:top w:val="none" w:sz="0" w:space="0" w:color="auto"/>
        <w:left w:val="none" w:sz="0" w:space="0" w:color="auto"/>
        <w:bottom w:val="none" w:sz="0" w:space="0" w:color="auto"/>
        <w:right w:val="none" w:sz="0" w:space="0" w:color="auto"/>
      </w:divBdr>
      <w:divsChild>
        <w:div w:id="856248">
          <w:marLeft w:val="547"/>
          <w:marRight w:val="0"/>
          <w:marTop w:val="200"/>
          <w:marBottom w:val="0"/>
          <w:divBdr>
            <w:top w:val="none" w:sz="0" w:space="0" w:color="auto"/>
            <w:left w:val="none" w:sz="0" w:space="0" w:color="auto"/>
            <w:bottom w:val="none" w:sz="0" w:space="0" w:color="auto"/>
            <w:right w:val="none" w:sz="0" w:space="0" w:color="auto"/>
          </w:divBdr>
        </w:div>
        <w:div w:id="404497363">
          <w:marLeft w:val="547"/>
          <w:marRight w:val="0"/>
          <w:marTop w:val="200"/>
          <w:marBottom w:val="0"/>
          <w:divBdr>
            <w:top w:val="none" w:sz="0" w:space="0" w:color="auto"/>
            <w:left w:val="none" w:sz="0" w:space="0" w:color="auto"/>
            <w:bottom w:val="none" w:sz="0" w:space="0" w:color="auto"/>
            <w:right w:val="none" w:sz="0" w:space="0" w:color="auto"/>
          </w:divBdr>
        </w:div>
        <w:div w:id="474682909">
          <w:marLeft w:val="547"/>
          <w:marRight w:val="0"/>
          <w:marTop w:val="200"/>
          <w:marBottom w:val="0"/>
          <w:divBdr>
            <w:top w:val="none" w:sz="0" w:space="0" w:color="auto"/>
            <w:left w:val="none" w:sz="0" w:space="0" w:color="auto"/>
            <w:bottom w:val="none" w:sz="0" w:space="0" w:color="auto"/>
            <w:right w:val="none" w:sz="0" w:space="0" w:color="auto"/>
          </w:divBdr>
        </w:div>
        <w:div w:id="1423379236">
          <w:marLeft w:val="547"/>
          <w:marRight w:val="0"/>
          <w:marTop w:val="200"/>
          <w:marBottom w:val="0"/>
          <w:divBdr>
            <w:top w:val="none" w:sz="0" w:space="0" w:color="auto"/>
            <w:left w:val="none" w:sz="0" w:space="0" w:color="auto"/>
            <w:bottom w:val="none" w:sz="0" w:space="0" w:color="auto"/>
            <w:right w:val="none" w:sz="0" w:space="0" w:color="auto"/>
          </w:divBdr>
        </w:div>
        <w:div w:id="1558929779">
          <w:marLeft w:val="547"/>
          <w:marRight w:val="0"/>
          <w:marTop w:val="200"/>
          <w:marBottom w:val="0"/>
          <w:divBdr>
            <w:top w:val="none" w:sz="0" w:space="0" w:color="auto"/>
            <w:left w:val="none" w:sz="0" w:space="0" w:color="auto"/>
            <w:bottom w:val="none" w:sz="0" w:space="0" w:color="auto"/>
            <w:right w:val="none" w:sz="0" w:space="0" w:color="auto"/>
          </w:divBdr>
        </w:div>
      </w:divsChild>
    </w:div>
    <w:div w:id="1956591409">
      <w:bodyDiv w:val="1"/>
      <w:marLeft w:val="0"/>
      <w:marRight w:val="0"/>
      <w:marTop w:val="0"/>
      <w:marBottom w:val="0"/>
      <w:divBdr>
        <w:top w:val="none" w:sz="0" w:space="0" w:color="auto"/>
        <w:left w:val="none" w:sz="0" w:space="0" w:color="auto"/>
        <w:bottom w:val="none" w:sz="0" w:space="0" w:color="auto"/>
        <w:right w:val="none" w:sz="0" w:space="0" w:color="auto"/>
      </w:divBdr>
    </w:div>
    <w:div w:id="1959483067">
      <w:bodyDiv w:val="1"/>
      <w:marLeft w:val="0"/>
      <w:marRight w:val="0"/>
      <w:marTop w:val="0"/>
      <w:marBottom w:val="0"/>
      <w:divBdr>
        <w:top w:val="none" w:sz="0" w:space="0" w:color="auto"/>
        <w:left w:val="none" w:sz="0" w:space="0" w:color="auto"/>
        <w:bottom w:val="none" w:sz="0" w:space="0" w:color="auto"/>
        <w:right w:val="none" w:sz="0" w:space="0" w:color="auto"/>
      </w:divBdr>
    </w:div>
    <w:div w:id="1971937770">
      <w:bodyDiv w:val="1"/>
      <w:marLeft w:val="0"/>
      <w:marRight w:val="0"/>
      <w:marTop w:val="0"/>
      <w:marBottom w:val="0"/>
      <w:divBdr>
        <w:top w:val="none" w:sz="0" w:space="0" w:color="auto"/>
        <w:left w:val="none" w:sz="0" w:space="0" w:color="auto"/>
        <w:bottom w:val="none" w:sz="0" w:space="0" w:color="auto"/>
        <w:right w:val="none" w:sz="0" w:space="0" w:color="auto"/>
      </w:divBdr>
    </w:div>
    <w:div w:id="2030256631">
      <w:bodyDiv w:val="1"/>
      <w:marLeft w:val="0"/>
      <w:marRight w:val="0"/>
      <w:marTop w:val="0"/>
      <w:marBottom w:val="0"/>
      <w:divBdr>
        <w:top w:val="none" w:sz="0" w:space="0" w:color="auto"/>
        <w:left w:val="none" w:sz="0" w:space="0" w:color="auto"/>
        <w:bottom w:val="none" w:sz="0" w:space="0" w:color="auto"/>
        <w:right w:val="none" w:sz="0" w:space="0" w:color="auto"/>
      </w:divBdr>
    </w:div>
    <w:div w:id="2037265582">
      <w:bodyDiv w:val="1"/>
      <w:marLeft w:val="0"/>
      <w:marRight w:val="0"/>
      <w:marTop w:val="0"/>
      <w:marBottom w:val="0"/>
      <w:divBdr>
        <w:top w:val="none" w:sz="0" w:space="0" w:color="auto"/>
        <w:left w:val="none" w:sz="0" w:space="0" w:color="auto"/>
        <w:bottom w:val="none" w:sz="0" w:space="0" w:color="auto"/>
        <w:right w:val="none" w:sz="0" w:space="0" w:color="auto"/>
      </w:divBdr>
      <w:divsChild>
        <w:div w:id="1758557362">
          <w:marLeft w:val="0"/>
          <w:marRight w:val="0"/>
          <w:marTop w:val="180"/>
          <w:marBottom w:val="0"/>
          <w:divBdr>
            <w:top w:val="none" w:sz="0" w:space="0" w:color="auto"/>
            <w:left w:val="none" w:sz="0" w:space="0" w:color="auto"/>
            <w:bottom w:val="none" w:sz="0" w:space="0" w:color="auto"/>
            <w:right w:val="none" w:sz="0" w:space="0" w:color="auto"/>
          </w:divBdr>
          <w:divsChild>
            <w:div w:id="757020597">
              <w:marLeft w:val="0"/>
              <w:marRight w:val="0"/>
              <w:marTop w:val="0"/>
              <w:marBottom w:val="0"/>
              <w:divBdr>
                <w:top w:val="none" w:sz="0" w:space="0" w:color="auto"/>
                <w:left w:val="none" w:sz="0" w:space="0" w:color="auto"/>
                <w:bottom w:val="none" w:sz="0" w:space="0" w:color="auto"/>
                <w:right w:val="none" w:sz="0" w:space="0" w:color="auto"/>
              </w:divBdr>
              <w:divsChild>
                <w:div w:id="798769418">
                  <w:marLeft w:val="150"/>
                  <w:marRight w:val="150"/>
                  <w:marTop w:val="0"/>
                  <w:marBottom w:val="0"/>
                  <w:divBdr>
                    <w:top w:val="none" w:sz="0" w:space="0" w:color="auto"/>
                    <w:left w:val="none" w:sz="0" w:space="0" w:color="auto"/>
                    <w:bottom w:val="none" w:sz="0" w:space="0" w:color="auto"/>
                    <w:right w:val="none" w:sz="0" w:space="0" w:color="auto"/>
                  </w:divBdr>
                </w:div>
              </w:divsChild>
            </w:div>
            <w:div w:id="2048945833">
              <w:marLeft w:val="0"/>
              <w:marRight w:val="0"/>
              <w:marTop w:val="0"/>
              <w:marBottom w:val="0"/>
              <w:divBdr>
                <w:top w:val="none" w:sz="0" w:space="0" w:color="auto"/>
                <w:left w:val="none" w:sz="0" w:space="0" w:color="auto"/>
                <w:bottom w:val="none" w:sz="0" w:space="0" w:color="auto"/>
                <w:right w:val="none" w:sz="0" w:space="0" w:color="auto"/>
              </w:divBdr>
              <w:divsChild>
                <w:div w:id="103889787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baillie1@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ACF07-C6FF-4948-8B80-A8E58BF79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19615</Words>
  <Characters>111807</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131160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Baillie</dc:creator>
  <cp:keywords/>
  <dc:description/>
  <cp:lastModifiedBy>Baillie, Samantha</cp:lastModifiedBy>
  <cp:revision>4</cp:revision>
  <dcterms:created xsi:type="dcterms:W3CDTF">2023-05-18T20:36:00Z</dcterms:created>
  <dcterms:modified xsi:type="dcterms:W3CDTF">2023-05-18T20:48:00Z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id="jkcFD94w"/&gt;&lt;style id="http://www.zotero.org/styles/american-medical-association" hasBibliography="1" bibliographyStyleHasBeenSet="1"/&gt;&lt;prefs&gt;&lt;pref name="fieldType" value="Field"/&gt;&lt;pref name="auto</vt:lpwstr>
  </property>
  <property fmtid="{D5CDD505-2E9C-101B-9397-08002B2CF9AE}" pid="3" name="ZOTERO_PREF_2">
    <vt:lpwstr>maticJournalAbbreviations" value="true"/&gt;&lt;pref name="dontAskDelayCitationUpdates" value="true"/&gt;&lt;/prefs&gt;&lt;/data&gt;</vt:lpwstr>
  </property>
  <property fmtid="{D5CDD505-2E9C-101B-9397-08002B2CF9AE}" pid="4" name="WinDIP File ID">
    <vt:lpwstr>6b7eb1c7-6980-4afd-9c9c-27d2e190e34a</vt:lpwstr>
  </property>
</Properties>
</file>