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5642" w14:textId="5E5B5658" w:rsidR="00AD1512" w:rsidRDefault="00A564ED" w:rsidP="1B43632C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Clearance of </w:t>
      </w:r>
      <w:r w:rsidR="00D628E6">
        <w:rPr>
          <w:rFonts w:ascii="Arial" w:eastAsia="Arial" w:hAnsi="Arial" w:cs="Arial"/>
          <w:sz w:val="24"/>
          <w:szCs w:val="24"/>
        </w:rPr>
        <w:t xml:space="preserve">aspirin and </w:t>
      </w:r>
      <w:r>
        <w:rPr>
          <w:rFonts w:ascii="Arial" w:eastAsia="Arial" w:hAnsi="Arial" w:cs="Arial"/>
          <w:sz w:val="24"/>
          <w:szCs w:val="24"/>
        </w:rPr>
        <w:t xml:space="preserve">salicylate </w:t>
      </w:r>
      <w:r w:rsidR="00D628E6">
        <w:rPr>
          <w:rFonts w:ascii="Arial" w:eastAsia="Arial" w:hAnsi="Arial" w:cs="Arial"/>
          <w:sz w:val="24"/>
          <w:szCs w:val="24"/>
        </w:rPr>
        <w:t>in a laboratory model of</w:t>
      </w:r>
      <w:r>
        <w:rPr>
          <w:rFonts w:ascii="Arial" w:eastAsia="Arial" w:hAnsi="Arial" w:cs="Arial"/>
          <w:sz w:val="24"/>
          <w:szCs w:val="24"/>
        </w:rPr>
        <w:t xml:space="preserve"> continuous kidney replacement therapy is lower than renal clearance in healthy volunteers</w:t>
      </w:r>
      <w:r w:rsidR="00D628E6">
        <w:rPr>
          <w:rFonts w:ascii="Arial" w:eastAsia="Arial" w:hAnsi="Arial" w:cs="Arial"/>
          <w:sz w:val="24"/>
          <w:szCs w:val="24"/>
        </w:rPr>
        <w:t xml:space="preserve">.  </w:t>
      </w:r>
    </w:p>
    <w:p w14:paraId="43A31D16" w14:textId="5A0153DF" w:rsidR="1B43632C" w:rsidRDefault="1B43632C" w:rsidP="1B43632C">
      <w:pPr>
        <w:pStyle w:val="Subtitle"/>
        <w:rPr>
          <w:rFonts w:ascii="Arial" w:eastAsia="Arial" w:hAnsi="Arial" w:cs="Arial"/>
          <w:sz w:val="24"/>
          <w:szCs w:val="24"/>
        </w:rPr>
      </w:pPr>
    </w:p>
    <w:p w14:paraId="7FFB8446" w14:textId="2FFD4755" w:rsidR="0043669D" w:rsidRDefault="0043669D" w:rsidP="0043669D">
      <w:r>
        <w:t>Harris, O</w:t>
      </w:r>
      <w:r w:rsidR="00D30537">
        <w:t>*</w:t>
      </w:r>
      <w:r>
        <w:t>; Khan, S</w:t>
      </w:r>
      <w:r w:rsidR="00D30537">
        <w:t>*</w:t>
      </w:r>
      <w:r>
        <w:t xml:space="preserve">; </w:t>
      </w:r>
      <w:proofErr w:type="spellStart"/>
      <w:r>
        <w:t>Preece</w:t>
      </w:r>
      <w:proofErr w:type="spellEnd"/>
      <w:r>
        <w:t xml:space="preserve">, M; </w:t>
      </w:r>
      <w:r w:rsidR="008F12B7">
        <w:t>Greenwood, I</w:t>
      </w:r>
      <w:r w:rsidR="00DB6631">
        <w:t>A</w:t>
      </w:r>
      <w:r w:rsidR="008F12B7">
        <w:t xml:space="preserve">; </w:t>
      </w:r>
      <w:r w:rsidR="008F12B7">
        <w:t>Stott, J</w:t>
      </w:r>
      <w:r w:rsidR="004E16F3">
        <w:t>B</w:t>
      </w:r>
      <w:r w:rsidR="008F12B7">
        <w:t xml:space="preserve">; </w:t>
      </w:r>
      <w:r w:rsidR="00E92310">
        <w:t>Rhodes, A;</w:t>
      </w:r>
      <w:r w:rsidR="007B0869">
        <w:t xml:space="preserve"> </w:t>
      </w:r>
      <w:r w:rsidR="00E92310">
        <w:t>Shah</w:t>
      </w:r>
      <w:r w:rsidR="00D30537">
        <w:t xml:space="preserve">, N; </w:t>
      </w:r>
      <w:r w:rsidR="00E92310">
        <w:t xml:space="preserve">Leaver, S; </w:t>
      </w:r>
      <w:r w:rsidR="00D30537">
        <w:t>Lonsdale, DO</w:t>
      </w:r>
    </w:p>
    <w:p w14:paraId="4400E922" w14:textId="08E962B9" w:rsidR="00D30537" w:rsidRPr="0043669D" w:rsidRDefault="00D30537" w:rsidP="0043669D">
      <w:r>
        <w:t>*</w:t>
      </w:r>
      <w:proofErr w:type="gramStart"/>
      <w:r>
        <w:t>joint</w:t>
      </w:r>
      <w:proofErr w:type="gramEnd"/>
      <w:r>
        <w:t xml:space="preserve"> first-author</w:t>
      </w:r>
    </w:p>
    <w:p w14:paraId="3B7A9291" w14:textId="1F408C00" w:rsidR="7D3A0B36" w:rsidRDefault="1B43632C" w:rsidP="1B43632C">
      <w:pPr>
        <w:pStyle w:val="Subtitle"/>
        <w:rPr>
          <w:rFonts w:ascii="Arial" w:eastAsia="Arial" w:hAnsi="Arial" w:cs="Arial"/>
          <w:sz w:val="24"/>
          <w:szCs w:val="24"/>
        </w:rPr>
      </w:pPr>
      <w:r w:rsidRPr="1B43632C">
        <w:rPr>
          <w:rFonts w:ascii="Arial" w:eastAsia="Arial" w:hAnsi="Arial" w:cs="Arial"/>
          <w:sz w:val="24"/>
          <w:szCs w:val="24"/>
        </w:rPr>
        <w:t>Abstract</w:t>
      </w:r>
    </w:p>
    <w:p w14:paraId="09656C39" w14:textId="6031EAF4" w:rsidR="001621D1" w:rsidRDefault="001621D1" w:rsidP="1B43632C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Background and aim</w:t>
      </w:r>
      <w:r w:rsidR="000D5FB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1715F20" w14:textId="59793A30" w:rsidR="0045667B" w:rsidRDefault="0045667B" w:rsidP="00DC23F5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Aspirin use in critical care is common, either as a treatment initiated as part of a critical illness or as part of a patient’s regular medication. For those with significant critical illness</w:t>
      </w:r>
      <w:r w:rsidR="000D5FB8">
        <w:rPr>
          <w:rFonts w:ascii="Arial" w:eastAsia="Arial" w:hAnsi="Arial" w:cs="Arial"/>
          <w:bCs/>
          <w:sz w:val="24"/>
          <w:szCs w:val="24"/>
        </w:rPr>
        <w:t xml:space="preserve"> leading to kidney failure, continu</w:t>
      </w:r>
      <w:r w:rsidR="00DC23F5">
        <w:rPr>
          <w:rFonts w:ascii="Arial" w:eastAsia="Arial" w:hAnsi="Arial" w:cs="Arial"/>
          <w:bCs/>
          <w:sz w:val="24"/>
          <w:szCs w:val="24"/>
        </w:rPr>
        <w:t>ous</w:t>
      </w:r>
      <w:r w:rsidR="000D5FB8">
        <w:rPr>
          <w:rFonts w:ascii="Arial" w:eastAsia="Arial" w:hAnsi="Arial" w:cs="Arial"/>
          <w:bCs/>
          <w:sz w:val="24"/>
          <w:szCs w:val="24"/>
        </w:rPr>
        <w:t xml:space="preserve"> kidney replacement therapy</w:t>
      </w:r>
      <w:r w:rsidR="00DC23F5">
        <w:rPr>
          <w:rFonts w:ascii="Arial" w:eastAsia="Arial" w:hAnsi="Arial" w:cs="Arial"/>
          <w:bCs/>
          <w:sz w:val="24"/>
          <w:szCs w:val="24"/>
        </w:rPr>
        <w:t xml:space="preserve"> (CKRT)</w:t>
      </w:r>
      <w:r w:rsidR="000D5FB8">
        <w:rPr>
          <w:rFonts w:ascii="Arial" w:eastAsia="Arial" w:hAnsi="Arial" w:cs="Arial"/>
          <w:bCs/>
          <w:sz w:val="24"/>
          <w:szCs w:val="24"/>
        </w:rPr>
        <w:t xml:space="preserve"> may be initiated as part of organ supportive critical care. </w:t>
      </w:r>
      <w:r w:rsidR="00DC23F5">
        <w:rPr>
          <w:rFonts w:ascii="Arial" w:eastAsia="Arial" w:hAnsi="Arial" w:cs="Arial"/>
          <w:bCs/>
          <w:sz w:val="24"/>
          <w:szCs w:val="24"/>
        </w:rPr>
        <w:t xml:space="preserve">It is recognised that CKRT removes aspirin and salicylate, however </w:t>
      </w:r>
      <w:r w:rsidR="000D5FB8">
        <w:rPr>
          <w:rFonts w:ascii="Arial" w:eastAsia="Arial" w:hAnsi="Arial" w:cs="Arial"/>
          <w:bCs/>
          <w:sz w:val="24"/>
          <w:szCs w:val="24"/>
        </w:rPr>
        <w:t xml:space="preserve">data </w:t>
      </w:r>
      <w:r w:rsidR="00DC23F5">
        <w:rPr>
          <w:rFonts w:ascii="Arial" w:eastAsia="Arial" w:hAnsi="Arial" w:cs="Arial"/>
          <w:bCs/>
          <w:sz w:val="24"/>
          <w:szCs w:val="24"/>
        </w:rPr>
        <w:t xml:space="preserve">is lacking </w:t>
      </w:r>
      <w:r w:rsidR="000D5FB8">
        <w:rPr>
          <w:rFonts w:ascii="Arial" w:eastAsia="Arial" w:hAnsi="Arial" w:cs="Arial"/>
          <w:bCs/>
          <w:sz w:val="24"/>
          <w:szCs w:val="24"/>
        </w:rPr>
        <w:t xml:space="preserve">on </w:t>
      </w:r>
      <w:r w:rsidR="00DC23F5">
        <w:rPr>
          <w:rFonts w:ascii="Arial" w:eastAsia="Arial" w:hAnsi="Arial" w:cs="Arial"/>
          <w:bCs/>
          <w:sz w:val="24"/>
          <w:szCs w:val="24"/>
        </w:rPr>
        <w:t xml:space="preserve">the extent of drug clearance from </w:t>
      </w:r>
      <w:r w:rsidR="009F37D1">
        <w:rPr>
          <w:rFonts w:ascii="Arial" w:eastAsia="Arial" w:hAnsi="Arial" w:cs="Arial"/>
          <w:bCs/>
          <w:sz w:val="24"/>
          <w:szCs w:val="24"/>
        </w:rPr>
        <w:t>CKRT</w:t>
      </w:r>
      <w:r w:rsidR="000D5FB8">
        <w:rPr>
          <w:rFonts w:ascii="Arial" w:eastAsia="Arial" w:hAnsi="Arial" w:cs="Arial"/>
          <w:bCs/>
          <w:sz w:val="24"/>
          <w:szCs w:val="24"/>
        </w:rPr>
        <w:t xml:space="preserve"> outside of the setting of case reports</w:t>
      </w:r>
      <w:r w:rsidR="00DC23F5">
        <w:rPr>
          <w:rFonts w:ascii="Arial" w:eastAsia="Arial" w:hAnsi="Arial" w:cs="Arial"/>
          <w:bCs/>
          <w:sz w:val="24"/>
          <w:szCs w:val="24"/>
        </w:rPr>
        <w:t xml:space="preserve"> in salicylate poisoning</w:t>
      </w:r>
      <w:r w:rsidR="00437670">
        <w:rPr>
          <w:rFonts w:ascii="Arial" w:eastAsia="Arial" w:hAnsi="Arial" w:cs="Arial"/>
          <w:bCs/>
          <w:sz w:val="24"/>
          <w:szCs w:val="24"/>
        </w:rPr>
        <w:fldChar w:fldCharType="begin"/>
      </w:r>
      <w:r w:rsidR="00437670">
        <w:rPr>
          <w:rFonts w:ascii="Arial" w:eastAsia="Arial" w:hAnsi="Arial" w:cs="Arial"/>
          <w:bCs/>
          <w:sz w:val="24"/>
          <w:szCs w:val="24"/>
        </w:rPr>
        <w:instrText xml:space="preserve"> ADDIN EN.CITE &lt;EndNote&gt;&lt;Cite&gt;&lt;Author&gt;Papacostas&lt;/Author&gt;&lt;Year&gt;2016&lt;/Year&gt;&lt;RecNum&gt;99&lt;/RecNum&gt;&lt;DisplayText&gt;&lt;style face="superscript"&gt;1&lt;/style&gt;&lt;/DisplayText&gt;&lt;record&gt;&lt;rec-number&gt;99&lt;/rec-number&gt;&lt;foreign-keys&gt;&lt;key app="EN" db-id="50wtvzp960arr8e00eq5vv23vxpat9xdwzwx" timestamp="1651678797" guid="811a680a-e3a5-4217-9b5e-361d2379bb6c"&gt;99&lt;/key&gt;&lt;/foreign-keys&gt;&lt;ref-type name="Journal Article"&gt;17&lt;/ref-type&gt;&lt;contributors&gt;&lt;authors&gt;&lt;author&gt;Papacostas, Michael F.&lt;/author&gt;&lt;author&gt;Hoge, Margaret&lt;/author&gt;&lt;author&gt;Baum, Michel&lt;/author&gt;&lt;author&gt;Davila, Samuel Z.&lt;/author&gt;&lt;/authors&gt;&lt;/contributors&gt;&lt;titles&gt;&lt;title&gt;Use of continuous renal replacement therapy in salicylate toxicity: A case report and review of the literature&lt;/title&gt;&lt;secondary-title&gt;Heart &amp;amp; Lung&lt;/secondary-title&gt;&lt;/titles&gt;&lt;periodical&gt;&lt;full-title&gt;Heart &amp;amp; Lung&lt;/full-title&gt;&lt;/periodical&gt;&lt;pages&gt;460-463&lt;/pages&gt;&lt;volume&gt;45&lt;/volume&gt;&lt;number&gt;5&lt;/number&gt;&lt;keywords&gt;&lt;keyword&gt;Salicylate&lt;/keyword&gt;&lt;keyword&gt;Intoxication&lt;/keyword&gt;&lt;keyword&gt;Aspirin&lt;/keyword&gt;&lt;keyword&gt;Overdose&lt;/keyword&gt;&lt;keyword&gt;Hemofiltration&lt;/keyword&gt;&lt;keyword&gt;Hemodiafiltration&lt;/keyword&gt;&lt;keyword&gt;Continuous renal replacement therapy&lt;/keyword&gt;&lt;/keywords&gt;&lt;dates&gt;&lt;year&gt;2016&lt;/year&gt;&lt;pub-dates&gt;&lt;date&gt;2016/09/01/&lt;/date&gt;&lt;/pub-dates&gt;&lt;/dates&gt;&lt;isbn&gt;0147-9563&lt;/isbn&gt;&lt;urls&gt;&lt;related-urls&gt;&lt;url&gt;https://www.sciencedirect.com/science/article/pii/S0147956316301443&lt;/url&gt;&lt;/related-urls&gt;&lt;/urls&gt;&lt;electronic-resource-num&gt;https://doi.org/10.1016/j.hrtlng.2016.07.003&lt;/electronic-resource-num&gt;&lt;/record&gt;&lt;/Cite&gt;&lt;/EndNote&gt;</w:instrText>
      </w:r>
      <w:r w:rsidR="00437670">
        <w:rPr>
          <w:rFonts w:ascii="Arial" w:eastAsia="Arial" w:hAnsi="Arial" w:cs="Arial"/>
          <w:bCs/>
          <w:sz w:val="24"/>
          <w:szCs w:val="24"/>
        </w:rPr>
        <w:fldChar w:fldCharType="separate"/>
      </w:r>
      <w:r w:rsidR="00437670" w:rsidRPr="00437670">
        <w:rPr>
          <w:rFonts w:ascii="Arial" w:eastAsia="Arial" w:hAnsi="Arial" w:cs="Arial"/>
          <w:bCs/>
          <w:noProof/>
          <w:sz w:val="24"/>
          <w:szCs w:val="24"/>
          <w:vertAlign w:val="superscript"/>
        </w:rPr>
        <w:t>1</w:t>
      </w:r>
      <w:r w:rsidR="00437670">
        <w:rPr>
          <w:rFonts w:ascii="Arial" w:eastAsia="Arial" w:hAnsi="Arial" w:cs="Arial"/>
          <w:bCs/>
          <w:sz w:val="24"/>
          <w:szCs w:val="24"/>
        </w:rPr>
        <w:fldChar w:fldCharType="end"/>
      </w:r>
      <w:r w:rsidR="000D5FB8">
        <w:rPr>
          <w:rFonts w:ascii="Arial" w:eastAsia="Arial" w:hAnsi="Arial" w:cs="Arial"/>
          <w:bCs/>
          <w:sz w:val="24"/>
          <w:szCs w:val="24"/>
        </w:rPr>
        <w:t xml:space="preserve">.  </w:t>
      </w:r>
    </w:p>
    <w:p w14:paraId="2BED882E" w14:textId="09DE9D87" w:rsidR="001621D1" w:rsidRPr="001621D1" w:rsidRDefault="00DC23F5" w:rsidP="1B43632C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In a laboratory model of renal replacement therapy, we aimed to describe the clearance of aspirin and salicylate at conventional doses of continuous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veno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-venous haemofiltration (CVVH) and explore where in a filtration circuit the drug is lost.</w:t>
      </w:r>
    </w:p>
    <w:p w14:paraId="64B99194" w14:textId="3E755E99" w:rsidR="18C49AFB" w:rsidRDefault="18C49AFB" w:rsidP="18C49AFB">
      <w:pPr>
        <w:rPr>
          <w:rFonts w:ascii="Arial" w:eastAsia="Arial" w:hAnsi="Arial" w:cs="Arial"/>
          <w:b/>
          <w:bCs/>
          <w:sz w:val="24"/>
          <w:szCs w:val="24"/>
        </w:rPr>
      </w:pPr>
      <w:r w:rsidRPr="18C49AFB">
        <w:rPr>
          <w:rFonts w:ascii="Arial" w:eastAsia="Arial" w:hAnsi="Arial" w:cs="Arial"/>
          <w:b/>
          <w:bCs/>
          <w:sz w:val="24"/>
          <w:szCs w:val="24"/>
        </w:rPr>
        <w:t>Methods</w:t>
      </w:r>
    </w:p>
    <w:p w14:paraId="4302976A" w14:textId="39D045C8" w:rsidR="009F37D1" w:rsidRDefault="009F37D1" w:rsidP="009F37D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CKRT using an Aquarius system (Nikkiso Medical) and a 4L jar of aspirin or salicylate in solution </w:t>
      </w:r>
      <w:r w:rsidR="0048754E">
        <w:rPr>
          <w:rFonts w:ascii="Arial" w:eastAsia="Arial" w:hAnsi="Arial" w:cs="Arial"/>
          <w:sz w:val="24"/>
          <w:szCs w:val="24"/>
        </w:rPr>
        <w:t xml:space="preserve">(500 mg/L) </w:t>
      </w:r>
      <w:r>
        <w:rPr>
          <w:rFonts w:ascii="Arial" w:eastAsia="Arial" w:hAnsi="Arial" w:cs="Arial"/>
          <w:sz w:val="24"/>
          <w:szCs w:val="24"/>
        </w:rPr>
        <w:t>was used as a laboratory CKRT model. CKRT was run at a range of clinically relevant filtration rates (</w:t>
      </w:r>
      <w:r w:rsidR="00A564ED">
        <w:rPr>
          <w:rFonts w:ascii="Arial" w:eastAsia="Arial" w:hAnsi="Arial" w:cs="Arial"/>
          <w:sz w:val="24"/>
          <w:szCs w:val="24"/>
        </w:rPr>
        <w:t>15-55 ml/kg/hr</w:t>
      </w:r>
      <w:r>
        <w:rPr>
          <w:rFonts w:ascii="Arial" w:eastAsia="Arial" w:hAnsi="Arial" w:cs="Arial"/>
          <w:sz w:val="24"/>
          <w:szCs w:val="24"/>
        </w:rPr>
        <w:t>) and blood pump speeds (</w:t>
      </w:r>
      <w:r w:rsidR="00A564ED">
        <w:rPr>
          <w:rFonts w:ascii="Arial" w:eastAsia="Arial" w:hAnsi="Arial" w:cs="Arial"/>
          <w:sz w:val="24"/>
          <w:szCs w:val="24"/>
        </w:rPr>
        <w:t>80–300 ml/min</w:t>
      </w:r>
      <w:r>
        <w:rPr>
          <w:rFonts w:ascii="Arial" w:eastAsia="Arial" w:hAnsi="Arial" w:cs="Arial"/>
          <w:sz w:val="24"/>
          <w:szCs w:val="24"/>
        </w:rPr>
        <w:t>) with samples taken from the aspirin solution and effluent at 30</w:t>
      </w:r>
      <w:r w:rsidR="0048754E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minute intervals. Drug concentrations were measured using UV spectrophotometry</w:t>
      </w:r>
      <w:r w:rsidR="0048754E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48754E">
        <w:rPr>
          <w:rFonts w:ascii="Arial" w:eastAsia="Arial" w:hAnsi="Arial" w:cs="Arial"/>
          <w:sz w:val="24"/>
          <w:szCs w:val="24"/>
        </w:rPr>
        <w:t>Jenway</w:t>
      </w:r>
      <w:proofErr w:type="spellEnd"/>
      <w:r w:rsidR="0048754E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at </w:t>
      </w:r>
      <w:r w:rsidR="0048754E">
        <w:rPr>
          <w:rFonts w:ascii="Arial" w:eastAsia="Arial" w:hAnsi="Arial" w:cs="Arial"/>
          <w:sz w:val="24"/>
          <w:szCs w:val="24"/>
        </w:rPr>
        <w:t>233</w:t>
      </w:r>
      <w:r>
        <w:rPr>
          <w:rFonts w:ascii="Arial" w:eastAsia="Arial" w:hAnsi="Arial" w:cs="Arial"/>
          <w:sz w:val="24"/>
          <w:szCs w:val="24"/>
        </w:rPr>
        <w:t xml:space="preserve"> nm </w:t>
      </w:r>
      <w:r w:rsidR="00A564E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aspirin</w:t>
      </w:r>
      <w:r w:rsidR="00A564ED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48754E">
        <w:rPr>
          <w:rFonts w:ascii="Arial" w:eastAsia="Arial" w:hAnsi="Arial" w:cs="Arial"/>
          <w:sz w:val="24"/>
          <w:szCs w:val="24"/>
        </w:rPr>
        <w:t>296</w:t>
      </w:r>
      <w:r>
        <w:rPr>
          <w:rFonts w:ascii="Arial" w:eastAsia="Arial" w:hAnsi="Arial" w:cs="Arial"/>
          <w:sz w:val="24"/>
          <w:szCs w:val="24"/>
        </w:rPr>
        <w:t xml:space="preserve"> nm </w:t>
      </w:r>
      <w:r w:rsidR="00A564E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salicylate</w:t>
      </w:r>
      <w:r w:rsidR="00A564ED">
        <w:rPr>
          <w:rFonts w:ascii="Arial" w:eastAsia="Arial" w:hAnsi="Arial" w:cs="Arial"/>
          <w:sz w:val="24"/>
          <w:szCs w:val="24"/>
        </w:rPr>
        <w:t>)</w:t>
      </w:r>
      <w:r w:rsidR="0048754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A4044F6" w14:textId="3AF242F6" w:rsidR="1B43632C" w:rsidRDefault="1B43632C" w:rsidP="1B43632C">
      <w:pPr>
        <w:rPr>
          <w:rFonts w:ascii="Arial" w:eastAsia="Arial" w:hAnsi="Arial" w:cs="Arial"/>
          <w:b/>
          <w:bCs/>
          <w:sz w:val="24"/>
          <w:szCs w:val="24"/>
        </w:rPr>
      </w:pPr>
      <w:r w:rsidRPr="1B43632C">
        <w:rPr>
          <w:rFonts w:ascii="Arial" w:eastAsia="Arial" w:hAnsi="Arial" w:cs="Arial"/>
          <w:b/>
          <w:bCs/>
          <w:sz w:val="24"/>
          <w:szCs w:val="24"/>
        </w:rPr>
        <w:t>Results</w:t>
      </w:r>
    </w:p>
    <w:p w14:paraId="6B1C7C00" w14:textId="750F8ACD" w:rsidR="1B43632C" w:rsidRPr="009F37D1" w:rsidRDefault="009F37D1" w:rsidP="00734C3A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standard</w:t>
      </w:r>
      <w:r w:rsidR="0048754E">
        <w:rPr>
          <w:rFonts w:ascii="Arial" w:eastAsia="Arial" w:hAnsi="Arial" w:cs="Arial"/>
          <w:sz w:val="24"/>
          <w:szCs w:val="24"/>
        </w:rPr>
        <w:t xml:space="preserve"> CVVH</w:t>
      </w:r>
      <w:r>
        <w:rPr>
          <w:rFonts w:ascii="Arial" w:eastAsia="Arial" w:hAnsi="Arial" w:cs="Arial"/>
          <w:sz w:val="24"/>
          <w:szCs w:val="24"/>
        </w:rPr>
        <w:t xml:space="preserve"> CKRT </w:t>
      </w:r>
      <w:r w:rsidR="0048754E">
        <w:rPr>
          <w:rFonts w:ascii="Arial" w:eastAsia="Arial" w:hAnsi="Arial" w:cs="Arial"/>
          <w:sz w:val="24"/>
          <w:szCs w:val="24"/>
        </w:rPr>
        <w:t>effluent rates</w:t>
      </w:r>
      <w:r>
        <w:rPr>
          <w:rFonts w:ascii="Arial" w:eastAsia="Arial" w:hAnsi="Arial" w:cs="Arial"/>
          <w:sz w:val="24"/>
          <w:szCs w:val="24"/>
        </w:rPr>
        <w:t xml:space="preserve"> (25 ml/kg/hr), salicylate clearance was </w:t>
      </w:r>
      <w:r w:rsidR="00734C3A">
        <w:rPr>
          <w:rFonts w:ascii="Arial" w:eastAsia="Arial" w:hAnsi="Arial" w:cs="Arial"/>
          <w:sz w:val="24"/>
          <w:szCs w:val="24"/>
        </w:rPr>
        <w:t>0.8</w:t>
      </w:r>
      <w:r w:rsidR="00A564ED">
        <w:rPr>
          <w:rFonts w:ascii="Arial" w:eastAsia="Arial" w:hAnsi="Arial" w:cs="Arial"/>
          <w:sz w:val="24"/>
          <w:szCs w:val="24"/>
        </w:rPr>
        <w:t> </w:t>
      </w:r>
      <w:r w:rsidR="00734C3A">
        <w:rPr>
          <w:rFonts w:ascii="Arial" w:eastAsia="Arial" w:hAnsi="Arial" w:cs="Arial"/>
          <w:sz w:val="24"/>
          <w:szCs w:val="24"/>
        </w:rPr>
        <w:t>L/hr</w:t>
      </w:r>
      <w:r>
        <w:rPr>
          <w:rFonts w:ascii="Arial" w:eastAsia="Arial" w:hAnsi="Arial" w:cs="Arial"/>
          <w:sz w:val="24"/>
          <w:szCs w:val="24"/>
        </w:rPr>
        <w:t xml:space="preserve"> and aspirin clearance was </w:t>
      </w:r>
      <w:r w:rsidR="00734C3A">
        <w:rPr>
          <w:rFonts w:ascii="Arial" w:eastAsia="Arial" w:hAnsi="Arial" w:cs="Arial"/>
          <w:sz w:val="24"/>
          <w:szCs w:val="24"/>
        </w:rPr>
        <w:t>1.92 L/hr</w:t>
      </w:r>
      <w:r>
        <w:rPr>
          <w:rFonts w:ascii="Arial" w:eastAsia="Arial" w:hAnsi="Arial" w:cs="Arial"/>
          <w:sz w:val="24"/>
          <w:szCs w:val="24"/>
        </w:rPr>
        <w:t xml:space="preserve">. Clearance was proportional to effluent </w:t>
      </w:r>
      <w:r w:rsidR="0048754E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, for example aspirin clearance was </w:t>
      </w:r>
      <w:r w:rsidR="0048754E">
        <w:rPr>
          <w:rFonts w:ascii="Arial" w:eastAsia="Arial" w:hAnsi="Arial" w:cs="Arial"/>
          <w:sz w:val="24"/>
          <w:szCs w:val="24"/>
        </w:rPr>
        <w:t>1.2 L/hr</w:t>
      </w:r>
      <w:r>
        <w:rPr>
          <w:rFonts w:ascii="Arial" w:eastAsia="Arial" w:hAnsi="Arial" w:cs="Arial"/>
          <w:sz w:val="24"/>
          <w:szCs w:val="24"/>
        </w:rPr>
        <w:t xml:space="preserve"> at 15 ml/kg</w:t>
      </w:r>
      <w:r w:rsidR="0048754E">
        <w:rPr>
          <w:rFonts w:ascii="Arial" w:eastAsia="Arial" w:hAnsi="Arial" w:cs="Arial"/>
          <w:sz w:val="24"/>
          <w:szCs w:val="24"/>
        </w:rPr>
        <w:t>/hr effluent rate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48754E">
        <w:rPr>
          <w:rFonts w:ascii="Arial" w:eastAsia="Arial" w:hAnsi="Arial" w:cs="Arial"/>
          <w:sz w:val="24"/>
          <w:szCs w:val="24"/>
        </w:rPr>
        <w:t>2.8 L/hr</w:t>
      </w:r>
      <w:r>
        <w:rPr>
          <w:rFonts w:ascii="Arial" w:eastAsia="Arial" w:hAnsi="Arial" w:cs="Arial"/>
          <w:sz w:val="24"/>
          <w:szCs w:val="24"/>
        </w:rPr>
        <w:t xml:space="preserve"> at </w:t>
      </w:r>
      <w:r w:rsidR="0048754E">
        <w:rPr>
          <w:rFonts w:ascii="Arial" w:eastAsia="Arial" w:hAnsi="Arial" w:cs="Arial"/>
          <w:sz w:val="24"/>
          <w:szCs w:val="24"/>
        </w:rPr>
        <w:t>55</w:t>
      </w:r>
      <w:r>
        <w:rPr>
          <w:rFonts w:ascii="Arial" w:eastAsia="Arial" w:hAnsi="Arial" w:cs="Arial"/>
          <w:sz w:val="24"/>
          <w:szCs w:val="24"/>
        </w:rPr>
        <w:t xml:space="preserve"> ml/kg</w:t>
      </w:r>
      <w:r w:rsidR="0048754E">
        <w:rPr>
          <w:rFonts w:ascii="Arial" w:eastAsia="Arial" w:hAnsi="Arial" w:cs="Arial"/>
          <w:sz w:val="24"/>
          <w:szCs w:val="24"/>
        </w:rPr>
        <w:t>/hr</w:t>
      </w:r>
      <w:r>
        <w:rPr>
          <w:rFonts w:ascii="Arial" w:eastAsia="Arial" w:hAnsi="Arial" w:cs="Arial"/>
          <w:sz w:val="24"/>
          <w:szCs w:val="24"/>
        </w:rPr>
        <w:t xml:space="preserve"> (p=0.01). </w:t>
      </w:r>
      <w:r w:rsidR="00437670">
        <w:rPr>
          <w:rFonts w:ascii="Arial" w:eastAsia="Arial" w:hAnsi="Arial" w:cs="Arial"/>
          <w:sz w:val="24"/>
          <w:szCs w:val="24"/>
        </w:rPr>
        <w:t xml:space="preserve">Altered blood pump speed did not meaningfully impact on </w:t>
      </w:r>
      <w:r w:rsidR="0048754E">
        <w:rPr>
          <w:rFonts w:ascii="Arial" w:eastAsia="Arial" w:hAnsi="Arial" w:cs="Arial"/>
          <w:sz w:val="24"/>
          <w:szCs w:val="24"/>
        </w:rPr>
        <w:t xml:space="preserve">drug </w:t>
      </w:r>
      <w:r w:rsidR="00437670">
        <w:rPr>
          <w:rFonts w:ascii="Arial" w:eastAsia="Arial" w:hAnsi="Arial" w:cs="Arial"/>
          <w:sz w:val="24"/>
          <w:szCs w:val="24"/>
        </w:rPr>
        <w:t xml:space="preserve">clearance. </w:t>
      </w:r>
      <w:r>
        <w:rPr>
          <w:rFonts w:ascii="Arial" w:eastAsia="Arial" w:hAnsi="Arial" w:cs="Arial"/>
          <w:sz w:val="24"/>
          <w:szCs w:val="24"/>
        </w:rPr>
        <w:t>There was a discrepancy in salicylate measured from the solution in the jar and that measured in the effluent</w:t>
      </w:r>
      <w:r w:rsidR="00437670">
        <w:rPr>
          <w:rFonts w:ascii="Arial" w:eastAsia="Arial" w:hAnsi="Arial" w:cs="Arial"/>
          <w:sz w:val="24"/>
          <w:szCs w:val="24"/>
        </w:rPr>
        <w:t xml:space="preserve">, suggesting salicylate is </w:t>
      </w:r>
      <w:r w:rsidR="0048754E">
        <w:rPr>
          <w:rFonts w:ascii="Arial" w:eastAsia="Arial" w:hAnsi="Arial" w:cs="Arial"/>
          <w:sz w:val="24"/>
          <w:szCs w:val="24"/>
        </w:rPr>
        <w:t>eliminated</w:t>
      </w:r>
      <w:r w:rsidR="00437670">
        <w:rPr>
          <w:rFonts w:ascii="Arial" w:eastAsia="Arial" w:hAnsi="Arial" w:cs="Arial"/>
          <w:sz w:val="24"/>
          <w:szCs w:val="24"/>
        </w:rPr>
        <w:t xml:space="preserve"> not only </w:t>
      </w:r>
      <w:r w:rsidR="0048754E">
        <w:rPr>
          <w:rFonts w:ascii="Arial" w:eastAsia="Arial" w:hAnsi="Arial" w:cs="Arial"/>
          <w:sz w:val="24"/>
          <w:szCs w:val="24"/>
        </w:rPr>
        <w:t>via</w:t>
      </w:r>
      <w:r w:rsidR="00437670">
        <w:rPr>
          <w:rFonts w:ascii="Arial" w:eastAsia="Arial" w:hAnsi="Arial" w:cs="Arial"/>
          <w:sz w:val="24"/>
          <w:szCs w:val="24"/>
        </w:rPr>
        <w:t xml:space="preserve"> haemofiltration but also in adherence to the filter and tubing of the circuit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64E68E8F" w14:textId="72DC24E4" w:rsidR="1B43632C" w:rsidRDefault="1B43632C" w:rsidP="1B43632C">
      <w:pPr>
        <w:rPr>
          <w:rFonts w:ascii="Arial" w:eastAsia="Arial" w:hAnsi="Arial" w:cs="Arial"/>
          <w:b/>
          <w:bCs/>
          <w:sz w:val="24"/>
          <w:szCs w:val="24"/>
        </w:rPr>
      </w:pPr>
      <w:r w:rsidRPr="1B43632C">
        <w:rPr>
          <w:rFonts w:ascii="Arial" w:eastAsia="Arial" w:hAnsi="Arial" w:cs="Arial"/>
          <w:b/>
          <w:bCs/>
          <w:sz w:val="24"/>
          <w:szCs w:val="24"/>
        </w:rPr>
        <w:t>Conclusion</w:t>
      </w:r>
    </w:p>
    <w:p w14:paraId="7CFBF5DD" w14:textId="4D03EC53" w:rsidR="00437670" w:rsidRPr="00734C3A" w:rsidRDefault="00437670" w:rsidP="18C49AFB">
      <w:r>
        <w:rPr>
          <w:rFonts w:ascii="Arial" w:eastAsia="Arial" w:hAnsi="Arial" w:cs="Arial"/>
          <w:sz w:val="24"/>
          <w:szCs w:val="24"/>
        </w:rPr>
        <w:t xml:space="preserve">We have successfully used a laboratory model of CKRT to measure drug clearance by this therapy, in isolation from residual patient </w:t>
      </w:r>
      <w:r w:rsidR="006B6EE8">
        <w:rPr>
          <w:rFonts w:ascii="Arial" w:eastAsia="Arial" w:hAnsi="Arial" w:cs="Arial"/>
          <w:sz w:val="24"/>
          <w:szCs w:val="24"/>
        </w:rPr>
        <w:t>elimination pathways</w:t>
      </w:r>
      <w:r>
        <w:rPr>
          <w:rFonts w:ascii="Arial" w:eastAsia="Arial" w:hAnsi="Arial" w:cs="Arial"/>
          <w:sz w:val="24"/>
          <w:szCs w:val="24"/>
        </w:rPr>
        <w:t>.</w:t>
      </w:r>
      <w:r w:rsidR="00734C3A">
        <w:rPr>
          <w:rFonts w:ascii="Arial" w:eastAsia="Arial" w:hAnsi="Arial" w:cs="Arial"/>
          <w:sz w:val="24"/>
          <w:szCs w:val="24"/>
        </w:rPr>
        <w:t xml:space="preserve"> CKRT at effluent rates recommended in critical care provide</w:t>
      </w:r>
      <w:r w:rsidR="00A564ED">
        <w:rPr>
          <w:rFonts w:ascii="Arial" w:eastAsia="Arial" w:hAnsi="Arial" w:cs="Arial"/>
          <w:sz w:val="24"/>
          <w:szCs w:val="24"/>
        </w:rPr>
        <w:t>d</w:t>
      </w:r>
      <w:r w:rsidR="00734C3A">
        <w:rPr>
          <w:rFonts w:ascii="Arial" w:eastAsia="Arial" w:hAnsi="Arial" w:cs="Arial"/>
          <w:sz w:val="24"/>
          <w:szCs w:val="24"/>
        </w:rPr>
        <w:t xml:space="preserve"> salicylate clearance of 0.8 L/hr in this laboratory model. This compares to a renal clearance of 2.5 L/hr in healthy volunteers</w:t>
      </w:r>
      <w:r w:rsidR="007C695B">
        <w:rPr>
          <w:rFonts w:ascii="Arial" w:eastAsia="Arial" w:hAnsi="Arial" w:cs="Arial"/>
          <w:sz w:val="24"/>
          <w:szCs w:val="24"/>
        </w:rPr>
        <w:fldChar w:fldCharType="begin"/>
      </w:r>
      <w:r w:rsidR="007C695B">
        <w:rPr>
          <w:rFonts w:ascii="Arial" w:eastAsia="Arial" w:hAnsi="Arial" w:cs="Arial"/>
          <w:sz w:val="24"/>
          <w:szCs w:val="24"/>
        </w:rPr>
        <w:instrText xml:space="preserve"> ADDIN EN.CITE &lt;EndNote&gt;&lt;Cite&gt;&lt;Author&gt;Levy&lt;/Author&gt;&lt;Year&gt;1965&lt;/Year&gt;&lt;RecNum&gt;8104&lt;/RecNum&gt;&lt;DisplayText&gt;&lt;style face="superscript"&gt;2&lt;/style&gt;&lt;/DisplayText&gt;&lt;record&gt;&lt;rec-number&gt;8104&lt;/rec-number&gt;&lt;foreign-keys&gt;&lt;key app="EN" db-id="50wtvzp960arr8e00eq5vv23vxpat9xdwzwx" timestamp="1651696293"&gt;8104&lt;/key&gt;&lt;/foreign-keys&gt;&lt;ref-type name="Journal Article"&gt;17&lt;/ref-type&gt;&lt;contributors&gt;&lt;authors&gt;&lt;author&gt;Levy, G.&lt;/author&gt;&lt;/authors&gt;&lt;/contributors&gt;&lt;titles&gt;&lt;title&gt;Pharmacokinetics of salicylate elimination in man&lt;/title&gt;&lt;secondary-title&gt;J Pharm Sci&lt;/secondary-title&gt;&lt;/titles&gt;&lt;periodical&gt;&lt;full-title&gt;J Pharm Sci&lt;/full-title&gt;&lt;/periodical&gt;&lt;pages&gt;959-67&lt;/pages&gt;&lt;volume&gt;54&lt;/volume&gt;&lt;number&gt;7&lt;/number&gt;&lt;keywords&gt;&lt;keyword&gt;Adult&lt;/keyword&gt;&lt;keyword&gt;Aspirin/*metabolism&lt;/keyword&gt;&lt;keyword&gt;Humans&lt;/keyword&gt;&lt;keyword&gt;Kinetics&lt;/keyword&gt;&lt;keyword&gt;Male&lt;/keyword&gt;&lt;keyword&gt;Salicylates/*metabolism&lt;/keyword&gt;&lt;keyword&gt;Urine&lt;/keyword&gt;&lt;/keywords&gt;&lt;dates&gt;&lt;year&gt;1965&lt;/year&gt;&lt;pub-dates&gt;&lt;date&gt;Jul&lt;/date&gt;&lt;/pub-dates&gt;&lt;/dates&gt;&lt;isbn&gt;0022-3549 (Print)&amp;#xD;0022-3549 (Linking)&lt;/isbn&gt;&lt;accession-num&gt;5862532&lt;/accession-num&gt;&lt;urls&gt;&lt;related-urls&gt;&lt;url&gt;https://www.ncbi.nlm.nih.gov/pubmed/5862532&lt;/url&gt;&lt;/related-urls&gt;&lt;/urls&gt;&lt;electronic-resource-num&gt;10.1002/jps.2600540703&lt;/electronic-resource-num&gt;&lt;remote-database-name&gt;Medline&lt;/remote-database-name&gt;&lt;remote-database-provider&gt;NLM&lt;/remote-database-provider&gt;&lt;/record&gt;&lt;/Cite&gt;&lt;/EndNote&gt;</w:instrText>
      </w:r>
      <w:r w:rsidR="007C695B">
        <w:rPr>
          <w:rFonts w:ascii="Arial" w:eastAsia="Arial" w:hAnsi="Arial" w:cs="Arial"/>
          <w:sz w:val="24"/>
          <w:szCs w:val="24"/>
        </w:rPr>
        <w:fldChar w:fldCharType="separate"/>
      </w:r>
      <w:r w:rsidR="007C695B" w:rsidRPr="007C695B">
        <w:rPr>
          <w:rFonts w:ascii="Arial" w:eastAsia="Arial" w:hAnsi="Arial" w:cs="Arial"/>
          <w:noProof/>
          <w:sz w:val="24"/>
          <w:szCs w:val="24"/>
          <w:vertAlign w:val="superscript"/>
        </w:rPr>
        <w:t>2</w:t>
      </w:r>
      <w:r w:rsidR="007C695B">
        <w:rPr>
          <w:rFonts w:ascii="Arial" w:eastAsia="Arial" w:hAnsi="Arial" w:cs="Arial"/>
          <w:sz w:val="24"/>
          <w:szCs w:val="24"/>
        </w:rPr>
        <w:fldChar w:fldCharType="end"/>
      </w:r>
      <w:r w:rsidR="007C695B">
        <w:rPr>
          <w:rFonts w:ascii="Arial" w:eastAsia="Arial" w:hAnsi="Arial" w:cs="Arial"/>
          <w:sz w:val="24"/>
          <w:szCs w:val="24"/>
        </w:rPr>
        <w:t xml:space="preserve">. </w:t>
      </w:r>
      <w:r w:rsidR="003D21C7">
        <w:rPr>
          <w:rFonts w:ascii="Arial" w:eastAsia="Arial" w:hAnsi="Arial" w:cs="Arial"/>
          <w:sz w:val="24"/>
          <w:szCs w:val="24"/>
        </w:rPr>
        <w:t xml:space="preserve">It is therefore likely that standard doses of aspirin provide therapeutic concentrations </w:t>
      </w:r>
      <w:r w:rsidR="0048754E">
        <w:rPr>
          <w:rFonts w:ascii="Arial" w:eastAsia="Arial" w:hAnsi="Arial" w:cs="Arial"/>
          <w:sz w:val="24"/>
          <w:szCs w:val="24"/>
        </w:rPr>
        <w:t xml:space="preserve">of aspirin/salicylate </w:t>
      </w:r>
      <w:r w:rsidR="003D21C7">
        <w:rPr>
          <w:rFonts w:ascii="Arial" w:eastAsia="Arial" w:hAnsi="Arial" w:cs="Arial"/>
          <w:sz w:val="24"/>
          <w:szCs w:val="24"/>
        </w:rPr>
        <w:t>during CKRT</w:t>
      </w:r>
      <w:r w:rsidR="00734C3A">
        <w:rPr>
          <w:rFonts w:ascii="Arial" w:eastAsia="Arial" w:hAnsi="Arial" w:cs="Arial"/>
          <w:sz w:val="24"/>
          <w:szCs w:val="24"/>
        </w:rPr>
        <w:t xml:space="preserve">. Further studies that account for the </w:t>
      </w:r>
      <w:r w:rsidR="00734C3A">
        <w:rPr>
          <w:rFonts w:ascii="Arial" w:eastAsia="Arial" w:hAnsi="Arial" w:cs="Arial"/>
          <w:sz w:val="24"/>
          <w:szCs w:val="24"/>
        </w:rPr>
        <w:lastRenderedPageBreak/>
        <w:t xml:space="preserve">complexities of in-vivo operation of CKRT and residual patient elimination pathways are needed to confirm these findings and explore potential accumulation/toxicity.  </w:t>
      </w:r>
    </w:p>
    <w:p w14:paraId="217B25E9" w14:textId="77777777" w:rsidR="008D3B50" w:rsidRDefault="008D3B50" w:rsidP="18C49AFB">
      <w:pPr>
        <w:rPr>
          <w:rFonts w:ascii="Arial" w:eastAsia="Arial" w:hAnsi="Arial" w:cs="Arial"/>
          <w:sz w:val="24"/>
          <w:szCs w:val="24"/>
        </w:rPr>
      </w:pPr>
    </w:p>
    <w:p w14:paraId="25C011AF" w14:textId="77777777" w:rsidR="00276EC9" w:rsidRDefault="00276EC9" w:rsidP="18C49AFB">
      <w:pPr>
        <w:rPr>
          <w:rFonts w:ascii="Arial" w:eastAsia="Arial" w:hAnsi="Arial" w:cs="Arial"/>
          <w:sz w:val="24"/>
          <w:szCs w:val="24"/>
        </w:rPr>
      </w:pPr>
    </w:p>
    <w:p w14:paraId="352E4B4C" w14:textId="77777777" w:rsidR="007C695B" w:rsidRPr="007C695B" w:rsidRDefault="00276EC9" w:rsidP="007C695B">
      <w:pPr>
        <w:pStyle w:val="EndNoteBibliography"/>
        <w:spacing w:after="0"/>
        <w:ind w:left="720" w:hanging="720"/>
        <w:rPr>
          <w:noProof/>
        </w:rPr>
      </w:pPr>
      <w:r>
        <w:rPr>
          <w:rFonts w:ascii="Arial" w:eastAsia="Arial" w:hAnsi="Arial" w:cs="Arial"/>
          <w:sz w:val="24"/>
          <w:szCs w:val="24"/>
        </w:rPr>
        <w:fldChar w:fldCharType="begin"/>
      </w:r>
      <w:r>
        <w:rPr>
          <w:rFonts w:ascii="Arial" w:eastAsia="Arial" w:hAnsi="Arial" w:cs="Arial"/>
          <w:sz w:val="24"/>
          <w:szCs w:val="24"/>
        </w:rPr>
        <w:instrText xml:space="preserve"> ADDIN EN.REFLIST </w:instrText>
      </w:r>
      <w:r>
        <w:rPr>
          <w:rFonts w:ascii="Arial" w:eastAsia="Arial" w:hAnsi="Arial" w:cs="Arial"/>
          <w:sz w:val="24"/>
          <w:szCs w:val="24"/>
        </w:rPr>
        <w:fldChar w:fldCharType="separate"/>
      </w:r>
      <w:r w:rsidR="007C695B" w:rsidRPr="007C695B">
        <w:rPr>
          <w:noProof/>
        </w:rPr>
        <w:t>1.</w:t>
      </w:r>
      <w:r w:rsidR="007C695B" w:rsidRPr="007C695B">
        <w:rPr>
          <w:noProof/>
        </w:rPr>
        <w:tab/>
        <w:t xml:space="preserve">Papacostas MF, Hoge M, Baum M, Davila SZ. Use of continuous renal replacement therapy in salicylate toxicity: A case report and review of the literature. </w:t>
      </w:r>
      <w:r w:rsidR="007C695B" w:rsidRPr="007C695B">
        <w:rPr>
          <w:i/>
          <w:noProof/>
        </w:rPr>
        <w:t xml:space="preserve">Heart &amp; Lung. </w:t>
      </w:r>
      <w:r w:rsidR="007C695B" w:rsidRPr="007C695B">
        <w:rPr>
          <w:noProof/>
        </w:rPr>
        <w:t>2016;45(5):460-463.</w:t>
      </w:r>
    </w:p>
    <w:p w14:paraId="07763F31" w14:textId="77777777" w:rsidR="007C695B" w:rsidRPr="007C695B" w:rsidRDefault="007C695B" w:rsidP="007C695B">
      <w:pPr>
        <w:pStyle w:val="EndNoteBibliography"/>
        <w:ind w:left="720" w:hanging="720"/>
        <w:rPr>
          <w:noProof/>
        </w:rPr>
      </w:pPr>
      <w:r w:rsidRPr="007C695B">
        <w:rPr>
          <w:noProof/>
        </w:rPr>
        <w:t>2.</w:t>
      </w:r>
      <w:r w:rsidRPr="007C695B">
        <w:rPr>
          <w:noProof/>
        </w:rPr>
        <w:tab/>
        <w:t xml:space="preserve">Levy G. Pharmacokinetics of salicylate elimination in man. </w:t>
      </w:r>
      <w:r w:rsidRPr="007C695B">
        <w:rPr>
          <w:i/>
          <w:noProof/>
        </w:rPr>
        <w:t xml:space="preserve">J Pharm Sci. </w:t>
      </w:r>
      <w:r w:rsidRPr="007C695B">
        <w:rPr>
          <w:noProof/>
        </w:rPr>
        <w:t>1965;54(7):959-967.</w:t>
      </w:r>
    </w:p>
    <w:p w14:paraId="5C93E4CA" w14:textId="6C4E0081" w:rsidR="18C49AFB" w:rsidRDefault="00276EC9" w:rsidP="18C49A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end"/>
      </w:r>
    </w:p>
    <w:sectPr w:rsidR="18C49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640"/>
    <w:multiLevelType w:val="hybridMultilevel"/>
    <w:tmpl w:val="5254F318"/>
    <w:lvl w:ilvl="0" w:tplc="80E0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49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E9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C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E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2D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2A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62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EE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409C7"/>
    <w:multiLevelType w:val="hybridMultilevel"/>
    <w:tmpl w:val="86A4E518"/>
    <w:lvl w:ilvl="0" w:tplc="5446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AE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6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CA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A6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40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2E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09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EC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20524">
    <w:abstractNumId w:val="0"/>
  </w:num>
  <w:num w:numId="2" w16cid:durableId="86252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s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tvzp960arr8e00eq5vv23vxpat9xdwzwx&quot;&gt;endnotelib-Converted&lt;record-ids&gt;&lt;item&gt;99&lt;/item&gt;&lt;item&gt;8104&lt;/item&gt;&lt;/record-ids&gt;&lt;/item&gt;&lt;/Libraries&gt;"/>
  </w:docVars>
  <w:rsids>
    <w:rsidRoot w:val="00E93CAA"/>
    <w:rsid w:val="00043295"/>
    <w:rsid w:val="000D5FB8"/>
    <w:rsid w:val="00155F0A"/>
    <w:rsid w:val="001621D1"/>
    <w:rsid w:val="002266F5"/>
    <w:rsid w:val="00276EC9"/>
    <w:rsid w:val="003D21C7"/>
    <w:rsid w:val="0043669D"/>
    <w:rsid w:val="00437670"/>
    <w:rsid w:val="0045667B"/>
    <w:rsid w:val="0048754E"/>
    <w:rsid w:val="004E16F3"/>
    <w:rsid w:val="006009F3"/>
    <w:rsid w:val="006345CA"/>
    <w:rsid w:val="006415F1"/>
    <w:rsid w:val="006B6EE8"/>
    <w:rsid w:val="00734C3A"/>
    <w:rsid w:val="007A3CDA"/>
    <w:rsid w:val="007B0869"/>
    <w:rsid w:val="007C695B"/>
    <w:rsid w:val="007D072A"/>
    <w:rsid w:val="008D3B50"/>
    <w:rsid w:val="008F12B7"/>
    <w:rsid w:val="009F37D1"/>
    <w:rsid w:val="00A564ED"/>
    <w:rsid w:val="00AD1512"/>
    <w:rsid w:val="00D30537"/>
    <w:rsid w:val="00D628E6"/>
    <w:rsid w:val="00D92D9C"/>
    <w:rsid w:val="00DB6631"/>
    <w:rsid w:val="00DC23F5"/>
    <w:rsid w:val="00E176C3"/>
    <w:rsid w:val="00E92310"/>
    <w:rsid w:val="00E93CAA"/>
    <w:rsid w:val="150A5004"/>
    <w:rsid w:val="18C49AFB"/>
    <w:rsid w:val="1B43632C"/>
    <w:rsid w:val="23B10977"/>
    <w:rsid w:val="254CD9D8"/>
    <w:rsid w:val="2BFA21DF"/>
    <w:rsid w:val="449CAA89"/>
    <w:rsid w:val="73D1C6EB"/>
    <w:rsid w:val="7427E65D"/>
    <w:rsid w:val="7D3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2D4B"/>
  <w15:chartTrackingRefBased/>
  <w15:docId w15:val="{3646794D-1708-4627-BF3F-3A328658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76EC9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6EC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76EC9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76EC9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912A7AF133C47BBA51C5414661C96" ma:contentTypeVersion="7" ma:contentTypeDescription="Create a new document." ma:contentTypeScope="" ma:versionID="4cd0457562d9c1bb0a60d5f3e0c1aa07">
  <xsd:schema xmlns:xsd="http://www.w3.org/2001/XMLSchema" xmlns:xs="http://www.w3.org/2001/XMLSchema" xmlns:p="http://schemas.microsoft.com/office/2006/metadata/properties" xmlns:ns3="adf2124e-2ae1-4a94-97d4-a7d432c5caa0" xmlns:ns4="23adc9b8-2f1a-45c3-ac6e-826cbb07dd31" targetNamespace="http://schemas.microsoft.com/office/2006/metadata/properties" ma:root="true" ma:fieldsID="fd693e2aafa0669c89e32bb2197f8444" ns3:_="" ns4:_="">
    <xsd:import namespace="adf2124e-2ae1-4a94-97d4-a7d432c5caa0"/>
    <xsd:import namespace="23adc9b8-2f1a-45c3-ac6e-826cbb07d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124e-2ae1-4a94-97d4-a7d432c5c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dc9b8-2f1a-45c3-ac6e-826cbb07d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73089-1F67-4E1D-BD4D-33B8672C5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D5695-F82E-43FC-AC35-DDC63BF4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2124e-2ae1-4a94-97d4-a7d432c5caa0"/>
    <ds:schemaRef ds:uri="23adc9b8-2f1a-45c3-ac6e-826cbb07d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CC4D0-6181-4C98-B3A2-BD8ACF3F7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Harris</dc:creator>
  <cp:keywords/>
  <dc:description/>
  <cp:lastModifiedBy>Dagan Lonsdale</cp:lastModifiedBy>
  <cp:revision>9</cp:revision>
  <dcterms:created xsi:type="dcterms:W3CDTF">2022-05-04T21:00:00Z</dcterms:created>
  <dcterms:modified xsi:type="dcterms:W3CDTF">2022-05-04T21:06:00Z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0x0101000E2912A7AF133C47BBA51C5414661C96</vt:lpwstr>
  </property>
</Properties>
</file>