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4FC8" w14:textId="297B5356" w:rsidR="000874F0" w:rsidRDefault="00B1422D" w:rsidP="002E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425378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56030" w:rsidRPr="00D131E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94956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1" w:name="_GoBack"/>
      <w:bookmarkEnd w:id="1"/>
      <w:r w:rsidR="00256030" w:rsidRPr="00D131EA">
        <w:rPr>
          <w:rFonts w:ascii="Times New Roman" w:hAnsi="Times New Roman" w:cs="Times New Roman"/>
          <w:b/>
          <w:bCs/>
          <w:sz w:val="24"/>
          <w:szCs w:val="24"/>
        </w:rPr>
        <w:t xml:space="preserve">.  Drugs </w:t>
      </w:r>
      <w:r w:rsidR="00E66870">
        <w:rPr>
          <w:rFonts w:ascii="Times New Roman" w:hAnsi="Times New Roman" w:cs="Times New Roman"/>
          <w:b/>
          <w:bCs/>
          <w:sz w:val="24"/>
          <w:szCs w:val="24"/>
        </w:rPr>
        <w:t xml:space="preserve">which may inhibit nausea and/ or vomiting and </w:t>
      </w:r>
      <w:r w:rsidR="00256030" w:rsidRPr="00D131EA">
        <w:rPr>
          <w:rFonts w:ascii="Times New Roman" w:hAnsi="Times New Roman" w:cs="Times New Roman"/>
          <w:b/>
          <w:bCs/>
          <w:sz w:val="24"/>
          <w:szCs w:val="24"/>
        </w:rPr>
        <w:t>cited as treatment</w:t>
      </w:r>
      <w:r w:rsidR="00E6687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6030" w:rsidRPr="00D131EA">
        <w:rPr>
          <w:rFonts w:ascii="Times New Roman" w:hAnsi="Times New Roman" w:cs="Times New Roman"/>
          <w:b/>
          <w:bCs/>
          <w:sz w:val="24"/>
          <w:szCs w:val="24"/>
        </w:rPr>
        <w:t xml:space="preserve"> of gastroparesis but lack adequate pharmacological and clinical evaluation</w:t>
      </w:r>
    </w:p>
    <w:p w14:paraId="7310C6A0" w14:textId="77777777" w:rsidR="00D131EA" w:rsidRPr="00D131EA" w:rsidRDefault="00D131EA" w:rsidP="002E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4531"/>
        <w:gridCol w:w="2977"/>
        <w:gridCol w:w="6452"/>
      </w:tblGrid>
      <w:tr w:rsidR="005A3606" w:rsidRPr="00D131EA" w14:paraId="6066963B" w14:textId="77777777" w:rsidTr="006954BA">
        <w:tc>
          <w:tcPr>
            <w:tcW w:w="4531" w:type="dxa"/>
          </w:tcPr>
          <w:bookmarkEnd w:id="0"/>
          <w:p w14:paraId="697A5C0C" w14:textId="3836536A" w:rsidR="005A3606" w:rsidRPr="00D131EA" w:rsidRDefault="005A3606" w:rsidP="002E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 or Drug Class</w:t>
            </w:r>
          </w:p>
        </w:tc>
        <w:tc>
          <w:tcPr>
            <w:tcW w:w="2977" w:type="dxa"/>
          </w:tcPr>
          <w:p w14:paraId="162A36FE" w14:textId="00A6879F" w:rsidR="005A3606" w:rsidRPr="00D131EA" w:rsidRDefault="005A3606" w:rsidP="002E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Limitation</w:t>
            </w:r>
          </w:p>
        </w:tc>
        <w:tc>
          <w:tcPr>
            <w:tcW w:w="6452" w:type="dxa"/>
          </w:tcPr>
          <w:p w14:paraId="6C8C60B3" w14:textId="1C512E3D" w:rsidR="005A3606" w:rsidRPr="00D131EA" w:rsidRDefault="005A3606" w:rsidP="002E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Mechanism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anti-emetic </w:t>
            </w:r>
            <w:r w:rsidRPr="00D13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5A3606" w:rsidRPr="002E18D5" w14:paraId="629211D5" w14:textId="77777777" w:rsidTr="006954BA">
        <w:tc>
          <w:tcPr>
            <w:tcW w:w="4531" w:type="dxa"/>
          </w:tcPr>
          <w:p w14:paraId="2EC53762" w14:textId="04C3715D" w:rsidR="005A3606" w:rsidRDefault="005A3606" w:rsidP="002E18D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istamine H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antagonists</w:t>
            </w:r>
            <w:r w:rsidR="0072557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72557D" w:rsidRPr="0072557D">
              <w:rPr>
                <w:rFonts w:ascii="Times New Roman" w:hAnsi="Times New Roman" w:cs="Times New Roman"/>
                <w:bCs/>
                <w:sz w:val="24"/>
                <w:szCs w:val="24"/>
              </w:rPr>
              <w:t>(now classified as inverse agonists)</w:t>
            </w:r>
            <w:r w:rsidR="0072557D" w:rsidRPr="005A360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13A1F2F0" w14:textId="612BC640" w:rsidR="00BD6353" w:rsidRPr="00BD6353" w:rsidRDefault="00BD6353" w:rsidP="00BD635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</w:rPr>
              <w:t>Promethazine: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</w:t>
            </w:r>
            <w:r w:rsidRPr="009B603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antagonist; </w:t>
            </w:r>
            <w:r w:rsidR="00680A5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igher concentrations antagonise at D</w:t>
            </w:r>
            <w:r w:rsidRPr="009B603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receptors</w:t>
            </w:r>
          </w:p>
          <w:p w14:paraId="045CC184" w14:textId="77023C93" w:rsidR="00BD6353" w:rsidRPr="00BD6353" w:rsidRDefault="00BD6353" w:rsidP="00BD635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</w:rPr>
              <w:t>Diphenhydramine: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</w:t>
            </w:r>
            <w:r w:rsidRPr="009B603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AF04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antagonist</w:t>
            </w:r>
          </w:p>
        </w:tc>
        <w:tc>
          <w:tcPr>
            <w:tcW w:w="2977" w:type="dxa"/>
          </w:tcPr>
          <w:p w14:paraId="75789547" w14:textId="75B2F778" w:rsidR="005A3606" w:rsidRPr="002E18D5" w:rsidRDefault="00BD6353" w:rsidP="002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Used</w:t>
            </w:r>
            <w:r w:rsidR="00680A58" w:rsidRPr="00680A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2,3</w:t>
            </w:r>
            <w:r w:rsidRPr="00680A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but n</w:t>
            </w:r>
            <w:r w:rsidR="005A3606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controlled trials in patients with gastroparesis or </w:t>
            </w:r>
            <w:r w:rsidR="00680A58">
              <w:rPr>
                <w:rFonts w:ascii="Times New Roman" w:hAnsi="Times New Roman" w:cs="Times New Roman"/>
                <w:bCs/>
                <w:sz w:val="24"/>
                <w:szCs w:val="24"/>
              </w:rPr>
              <w:t>FD</w:t>
            </w:r>
          </w:p>
        </w:tc>
        <w:tc>
          <w:tcPr>
            <w:tcW w:w="6452" w:type="dxa"/>
          </w:tcPr>
          <w:p w14:paraId="2E03CB11" w14:textId="49A06571" w:rsidR="005A3606" w:rsidRPr="00F43C71" w:rsidRDefault="005A3606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sickness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inhibited</w:t>
            </w:r>
            <w:r w:rsidRPr="00256030">
              <w:rPr>
                <w:sz w:val="24"/>
                <w:szCs w:val="24"/>
              </w:rPr>
              <w:t xml:space="preserve">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because H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receptors in the vestibular system and the brainstem integrat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ive circuitry (‘vomiting centre’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) are blocked</w:t>
            </w:r>
            <w:r w:rsidR="00680A58" w:rsidRPr="00680A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4,5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with additional anti-emetic activity conferred by antagonis</w:t>
            </w:r>
            <w:r w:rsidR="00322DC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muscarinic receptors, particularly for diphenhydramine.</w:t>
            </w:r>
            <w:r w:rsidRPr="002E1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These drugs may also exhibit some anti-emetic activity against postoperative emesis</w:t>
            </w:r>
            <w:r w:rsidR="00680A58" w:rsidRPr="00680A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6,7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680A58">
              <w:rPr>
                <w:rFonts w:ascii="Times New Roman" w:hAnsi="Times New Roman" w:cs="Times New Roman"/>
                <w:bCs/>
                <w:sz w:val="24"/>
                <w:szCs w:val="24"/>
              </w:rPr>
              <w:t>mACh</w:t>
            </w:r>
            <w:proofErr w:type="spellEnd"/>
            <w:r w:rsidR="00680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antagonism may reduce gastric emptying</w:t>
            </w:r>
            <w:r w:rsidR="00680A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0A58" w:rsidRPr="00680A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72557D" w:rsidRPr="002E18D5" w14:paraId="384C41A9" w14:textId="77777777" w:rsidTr="006954BA">
        <w:tc>
          <w:tcPr>
            <w:tcW w:w="4531" w:type="dxa"/>
          </w:tcPr>
          <w:p w14:paraId="27ADE9C4" w14:textId="72FE09B0" w:rsidR="00235DBD" w:rsidRDefault="00235DBD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235DBD">
              <w:rPr>
                <w:rFonts w:ascii="Times New Roman" w:hAnsi="Times New Roman" w:cs="Times New Roman"/>
                <w:bCs/>
                <w:sz w:val="24"/>
                <w:szCs w:val="24"/>
              </w:rPr>
              <w:t>arijuana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</w:t>
            </w:r>
            <w:r w:rsidR="0072557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etrahydrocannabinol (THC) derivatives</w:t>
            </w:r>
          </w:p>
          <w:p w14:paraId="4B765648" w14:textId="415308CA" w:rsidR="00235DBD" w:rsidRDefault="00235DBD" w:rsidP="00235D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72557D" w:rsidRPr="00235DBD">
              <w:rPr>
                <w:rFonts w:ascii="Times New Roman" w:hAnsi="Times New Roman" w:cs="Times New Roman"/>
                <w:bCs/>
                <w:sz w:val="24"/>
                <w:szCs w:val="24"/>
              </w:rPr>
              <w:t>ronabinol</w:t>
            </w:r>
          </w:p>
          <w:p w14:paraId="6DA4A3F1" w14:textId="59B93A68" w:rsidR="00235DBD" w:rsidRDefault="00235DBD" w:rsidP="00235D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72557D" w:rsidRPr="00235DBD">
              <w:rPr>
                <w:rFonts w:ascii="Times New Roman" w:hAnsi="Times New Roman" w:cs="Times New Roman"/>
                <w:bCs/>
                <w:sz w:val="24"/>
                <w:szCs w:val="24"/>
              </w:rPr>
              <w:t>abilione</w:t>
            </w:r>
            <w:proofErr w:type="spellEnd"/>
          </w:p>
          <w:p w14:paraId="18C2FD3C" w14:textId="2DB6EEEF" w:rsidR="0072557D" w:rsidRPr="00235DBD" w:rsidRDefault="0072557D" w:rsidP="00235D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EEE0C5" w14:textId="7ACD06C6" w:rsidR="0072557D" w:rsidRPr="00EF0430" w:rsidRDefault="00EF0430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o controlled trials</w:t>
            </w:r>
            <w:r w:rsidR="005527E3">
              <w:rPr>
                <w:rFonts w:ascii="Times New Roman" w:hAnsi="Times New Roman" w:cs="Times New Roman"/>
                <w:bCs/>
                <w:sz w:val="24"/>
                <w:szCs w:val="24"/>
              </w:rPr>
              <w:t>. C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ase reports with THC derivatives or self-use of marijuana with other anti-emetics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35DBD" w:rsidRPr="00EF043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Pr="00EF043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,10,11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THC derivatives </w:t>
            </w:r>
            <w:r w:rsidR="00235DBD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delay gastric emptying</w:t>
            </w:r>
            <w:r w:rsidR="00235DBD">
              <w:rPr>
                <w:rFonts w:ascii="Times New Roman" w:hAnsi="Times New Roman" w:cs="Times New Roman"/>
                <w:bCs/>
                <w:sz w:val="24"/>
                <w:szCs w:val="24"/>
              </w:rPr>
              <w:t>. M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arijuana </w:t>
            </w:r>
            <w:r w:rsidR="00235DBD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cause cannabinoid hyperemesis syndrome</w:t>
            </w:r>
            <w:r w:rsidRPr="00EF043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452" w:type="dxa"/>
          </w:tcPr>
          <w:p w14:paraId="4831C480" w14:textId="5AB687E9" w:rsidR="0072557D" w:rsidRPr="00015D94" w:rsidRDefault="005527E3" w:rsidP="00015D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Dronabinol a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pproved and used as anti-emetic drugs in patients receiving anti-cancer chemotherapy</w:t>
            </w:r>
            <w:r w:rsidRPr="005527E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12</w:t>
            </w:r>
            <w:r w:rsidR="0072557D"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72557D" w:rsidRPr="0020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These agents 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 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>CB</w:t>
            </w:r>
            <w:r w:rsidR="00015D94" w:rsidRPr="0020018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agonist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>, acting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dorsal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>vagal complex and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D94" w:rsidRPr="00015D94">
              <w:rPr>
                <w:rFonts w:ascii="Times New Roman" w:hAnsi="Times New Roman" w:cs="Times New Roman"/>
                <w:bCs/>
                <w:sz w:val="24"/>
                <w:szCs w:val="24"/>
              </w:rPr>
              <w:t>the visceral insular cortex.</w:t>
            </w:r>
            <w:r w:rsidR="00200188" w:rsidRPr="002001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527E3" w:rsidRPr="002E18D5" w14:paraId="26BE43E8" w14:textId="77777777" w:rsidTr="006954BA">
        <w:tc>
          <w:tcPr>
            <w:tcW w:w="4531" w:type="dxa"/>
          </w:tcPr>
          <w:p w14:paraId="2513384A" w14:textId="77777777" w:rsidR="005527E3" w:rsidRDefault="005527E3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</w:t>
            </w:r>
            <w:r w:rsidRPr="00E734D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-adrenoceptor agonis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  <w:p w14:paraId="607FBE18" w14:textId="6D63432D" w:rsidR="005527E3" w:rsidRPr="005527E3" w:rsidRDefault="005527E3" w:rsidP="005527E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7E3">
              <w:rPr>
                <w:rFonts w:ascii="Times New Roman" w:hAnsi="Times New Roman" w:cs="Times New Roman"/>
                <w:bCs/>
                <w:sz w:val="24"/>
                <w:szCs w:val="24"/>
              </w:rPr>
              <w:t>Clonidine</w:t>
            </w:r>
          </w:p>
        </w:tc>
        <w:tc>
          <w:tcPr>
            <w:tcW w:w="2977" w:type="dxa"/>
          </w:tcPr>
          <w:p w14:paraId="38AD9FB2" w14:textId="4227FEBE" w:rsidR="005527E3" w:rsidRPr="005527E3" w:rsidRDefault="005527E3" w:rsidP="00925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Small trials in diabetic gastroparesis</w:t>
            </w:r>
            <w:r w:rsidR="0020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increased gastric emptying of liquid meal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reduced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symptoms</w:t>
            </w:r>
            <w:r w:rsidR="00637B4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00188" w:rsidRPr="002001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13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no effect on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>stric emptying of solid meal with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reduced 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>nausea</w:t>
            </w:r>
            <w:r w:rsidR="00637B4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6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vomiting</w:t>
            </w:r>
            <w:r w:rsidR="002001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00188" w:rsidRPr="002001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452" w:type="dxa"/>
          </w:tcPr>
          <w:p w14:paraId="77D44DEC" w14:textId="3FC30A4F" w:rsidR="00371913" w:rsidRPr="00371913" w:rsidRDefault="0024690C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mechanism of the a</w:t>
            </w:r>
            <w:r w:rsidR="00CD242E" w:rsidRPr="00CD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ntiemetic effect of clonidine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unclear but thought to be related to a</w:t>
            </w:r>
            <w:r w:rsidR="00E35F93">
              <w:rPr>
                <w:rFonts w:ascii="Times New Roman" w:hAnsi="Times New Roman" w:cs="Times New Roman"/>
                <w:bCs/>
                <w:sz w:val="24"/>
                <w:szCs w:val="24"/>
              </w:rPr>
              <w:t>ctivation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α</w:t>
            </w:r>
            <w:r w:rsidRPr="0024690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-adrenoceptor within the AP</w:t>
            </w:r>
            <w:r w:rsidRPr="002469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although </w:t>
            </w:r>
            <w:r w:rsidR="00371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inhibition of sympathetic tone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contribute to reduction of PONV</w:t>
            </w:r>
            <w:r w:rsidRPr="002469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="00CD242E" w:rsidRPr="00CD24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6887" w:rsidRPr="002E18D5" w14:paraId="031650F7" w14:textId="77777777" w:rsidTr="006954BA">
        <w:tc>
          <w:tcPr>
            <w:tcW w:w="4531" w:type="dxa"/>
          </w:tcPr>
          <w:p w14:paraId="0136E7C7" w14:textId="77777777" w:rsidR="004D6887" w:rsidRDefault="004D6887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Dopamine D</w:t>
            </w:r>
            <w:r w:rsidRPr="004D68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receptor antagonists</w:t>
            </w:r>
          </w:p>
          <w:p w14:paraId="528FEF11" w14:textId="6DD38227" w:rsidR="004D6887" w:rsidRPr="004D6887" w:rsidRDefault="004D6887" w:rsidP="00925EB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Cs/>
                <w:sz w:val="24"/>
                <w:szCs w:val="24"/>
              </w:rPr>
              <w:t>Haloperidol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E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rain penetration confers disadvantages and potential advantages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r</w:t>
            </w:r>
            <w:r w:rsidR="00925EBF" w:rsidRPr="00FC12D1">
              <w:rPr>
                <w:rFonts w:ascii="Times New Roman" w:hAnsi="Times New Roman" w:cs="Times New Roman"/>
                <w:bCs/>
                <w:sz w:val="24"/>
                <w:szCs w:val="24"/>
              </w:rPr>
              <w:t>educe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25EBF" w:rsidRPr="00FC1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need for analgesic medication </w:t>
            </w:r>
            <w:r w:rsidR="00925EBF" w:rsidRPr="00FC12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and symptoms of nausea and vomiting 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reported </w:t>
            </w:r>
            <w:r w:rsidR="00925EBF" w:rsidRPr="00FC12D1">
              <w:rPr>
                <w:rFonts w:ascii="Times New Roman" w:hAnsi="Times New Roman" w:cs="Times New Roman"/>
                <w:bCs/>
                <w:sz w:val="24"/>
                <w:szCs w:val="24"/>
              </w:rPr>
              <w:t>in patients at emergency treatment de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>partment</w:t>
            </w:r>
            <w:r w:rsidR="00925EBF" w:rsidRPr="006E4E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16</w:t>
            </w:r>
          </w:p>
          <w:p w14:paraId="26A7C890" w14:textId="336CF47A" w:rsidR="004D6887" w:rsidRPr="004D6887" w:rsidRDefault="004D6887" w:rsidP="00925EB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Cs/>
                <w:sz w:val="24"/>
                <w:szCs w:val="24"/>
              </w:rPr>
              <w:t>Trimethobenzamide (Tigan)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6E4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block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apomorphine-induced vomiting in dogs</w:t>
            </w:r>
            <w:r w:rsidRPr="00DD16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6E4E32">
              <w:rPr>
                <w:rFonts w:ascii="Times New Roman" w:hAnsi="Times New Roman" w:cs="Times New Roman"/>
                <w:bCs/>
                <w:sz w:val="24"/>
                <w:szCs w:val="24"/>
              </w:rPr>
              <w:t>responses to dop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amine.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18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Said to be useful.</w:t>
            </w:r>
            <w:r w:rsidR="00925EBF" w:rsidRPr="00DD16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19</w:t>
            </w:r>
          </w:p>
          <w:p w14:paraId="33877520" w14:textId="2F3D604F" w:rsidR="00925EBF" w:rsidRPr="00925EBF" w:rsidRDefault="00925EBF" w:rsidP="00925EB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9D0982">
              <w:rPr>
                <w:rFonts w:ascii="Times New Roman" w:hAnsi="Times New Roman" w:cs="Times New Roman"/>
                <w:bCs/>
                <w:sz w:val="24"/>
                <w:szCs w:val="24"/>
              </w:rPr>
              <w:t>hiethylperazine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Blocks responses to </w:t>
            </w:r>
            <w:r w:rsidRPr="009D0982">
              <w:rPr>
                <w:rFonts w:ascii="Times New Roman" w:hAnsi="Times New Roman" w:cs="Times New Roman"/>
                <w:bCs/>
                <w:sz w:val="24"/>
                <w:szCs w:val="24"/>
              </w:rPr>
              <w:t>dopamine</w:t>
            </w:r>
            <w:r w:rsidRPr="00DD16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  <w:r w:rsidRPr="009D0982">
              <w:rPr>
                <w:rFonts w:ascii="Times New Roman" w:hAnsi="Times New Roman" w:cs="Times New Roman"/>
                <w:bCs/>
                <w:sz w:val="24"/>
                <w:szCs w:val="24"/>
              </w:rPr>
              <w:t>ase study suggests ability to reduce symptoms of gastroparesis</w:t>
            </w:r>
            <w:r w:rsidRPr="00DD163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977" w:type="dxa"/>
          </w:tcPr>
          <w:p w14:paraId="6EA52DA8" w14:textId="7810D91C" w:rsidR="004D6887" w:rsidRPr="00256030" w:rsidRDefault="004D6887" w:rsidP="00925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No controlled trials. </w:t>
            </w:r>
          </w:p>
        </w:tc>
        <w:tc>
          <w:tcPr>
            <w:tcW w:w="6452" w:type="dxa"/>
          </w:tcPr>
          <w:p w14:paraId="51D5687C" w14:textId="0EDFA64B" w:rsidR="004D6887" w:rsidRDefault="004D6887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D16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163B">
              <w:rPr>
                <w:rFonts w:ascii="Times New Roman" w:hAnsi="Times New Roman" w:cs="Times New Roman"/>
                <w:sz w:val="24"/>
                <w:szCs w:val="24"/>
              </w:rPr>
              <w:t xml:space="preserve"> receptor antagonist with anti-emetic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likely to occur within the AP</w:t>
            </w:r>
          </w:p>
        </w:tc>
      </w:tr>
      <w:tr w:rsidR="00015D94" w:rsidRPr="002E18D5" w14:paraId="388BA32F" w14:textId="77777777" w:rsidTr="006954BA">
        <w:tc>
          <w:tcPr>
            <w:tcW w:w="4531" w:type="dxa"/>
          </w:tcPr>
          <w:p w14:paraId="295B08F3" w14:textId="77777777" w:rsidR="006954BA" w:rsidRDefault="00015D94" w:rsidP="00925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</w:t>
            </w:r>
            <w:r w:rsidRPr="001975E6">
              <w:rPr>
                <w:rFonts w:ascii="Times New Roman" w:hAnsi="Times New Roman" w:cs="Times New Roman"/>
                <w:bCs/>
                <w:sz w:val="24"/>
                <w:szCs w:val="24"/>
              </w:rPr>
              <w:t>evosulpiride</w:t>
            </w:r>
          </w:p>
          <w:p w14:paraId="3F512E2F" w14:textId="3C47CB9D" w:rsidR="00015D94" w:rsidRPr="006954BA" w:rsidRDefault="00925EBF" w:rsidP="006954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4BA">
              <w:rPr>
                <w:rFonts w:ascii="Times New Roman" w:hAnsi="Times New Roman" w:cs="Times New Roman"/>
                <w:bCs/>
                <w:sz w:val="24"/>
                <w:szCs w:val="24"/>
              </w:rPr>
              <w:t>May improve symptoms in diabetic or idiopathic gastroparesis, including nausea, vomiting and early satiety.</w:t>
            </w:r>
            <w:r w:rsidRPr="006954B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22,23</w:t>
            </w:r>
            <w:r w:rsidRPr="00695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Accelerates gastric emptying</w:t>
            </w:r>
          </w:p>
        </w:tc>
        <w:tc>
          <w:tcPr>
            <w:tcW w:w="2977" w:type="dxa"/>
          </w:tcPr>
          <w:p w14:paraId="5D033408" w14:textId="150E3017" w:rsidR="00015D94" w:rsidRPr="004D6887" w:rsidRDefault="004D6887" w:rsidP="00925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975E6">
              <w:rPr>
                <w:rFonts w:ascii="Times New Roman" w:hAnsi="Times New Roman" w:cs="Times New Roman"/>
                <w:bCs/>
                <w:sz w:val="24"/>
                <w:szCs w:val="24"/>
              </w:rPr>
              <w:t>mall studies, without placebo control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52" w:type="dxa"/>
          </w:tcPr>
          <w:p w14:paraId="5EF0020D" w14:textId="28912860" w:rsidR="00015D94" w:rsidRPr="00786307" w:rsidRDefault="00015D94" w:rsidP="004D6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E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4D68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 </w:t>
            </w:r>
            <w:r w:rsidRPr="001975E6">
              <w:rPr>
                <w:rFonts w:ascii="Times New Roman" w:hAnsi="Times New Roman" w:cs="Times New Roman"/>
                <w:bCs/>
                <w:sz w:val="24"/>
                <w:szCs w:val="24"/>
              </w:rPr>
              <w:t>receptor antagonist and a 5-HT</w:t>
            </w:r>
            <w:r w:rsidRPr="004D68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197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 agonist w</w:t>
            </w:r>
            <w:r w:rsidR="004D6887">
              <w:rPr>
                <w:rFonts w:ascii="Times New Roman" w:hAnsi="Times New Roman" w:cs="Times New Roman"/>
                <w:bCs/>
                <w:sz w:val="24"/>
                <w:szCs w:val="24"/>
              </w:rPr>
              <w:t>ith brain-penetrant properties</w:t>
            </w:r>
            <w:r w:rsidR="004D6887" w:rsidRPr="004D68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24</w:t>
            </w:r>
            <w:r w:rsidRPr="004D688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15D94" w:rsidRPr="002E18D5" w14:paraId="6971F523" w14:textId="77777777" w:rsidTr="006954BA">
        <w:tc>
          <w:tcPr>
            <w:tcW w:w="4531" w:type="dxa"/>
          </w:tcPr>
          <w:p w14:paraId="4213D744" w14:textId="77777777" w:rsidR="00637B41" w:rsidRDefault="00015D94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>ricyclic antidepressants</w:t>
            </w:r>
          </w:p>
          <w:p w14:paraId="785CACD4" w14:textId="39916DB2" w:rsidR="00015D94" w:rsidRPr="00925EBF" w:rsidRDefault="00015D94" w:rsidP="002E18D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</w:rPr>
              <w:t>prochlorperazine, chlorpromazine, fluphenazine, levomepromazine</w:t>
            </w:r>
          </w:p>
        </w:tc>
        <w:tc>
          <w:tcPr>
            <w:tcW w:w="2977" w:type="dxa"/>
          </w:tcPr>
          <w:p w14:paraId="165F28F2" w14:textId="51E5C28B" w:rsidR="00015D94" w:rsidRPr="002E18D5" w:rsidRDefault="00015D94" w:rsidP="002E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92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clear scientific rationale. C</w:t>
            </w:r>
            <w:r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>ase reports and small trials</w:t>
            </w:r>
          </w:p>
        </w:tc>
        <w:tc>
          <w:tcPr>
            <w:tcW w:w="6452" w:type="dxa"/>
          </w:tcPr>
          <w:p w14:paraId="5BB27CFE" w14:textId="0DB70146" w:rsidR="00015D94" w:rsidRPr="001975E6" w:rsidRDefault="00443C66" w:rsidP="002E1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A1526">
              <w:rPr>
                <w:rFonts w:ascii="Times New Roman" w:hAnsi="Times New Roman" w:cs="Times New Roman"/>
                <w:bCs/>
                <w:sz w:val="24"/>
                <w:szCs w:val="24"/>
              </w:rPr>
              <w:t>se</w:t>
            </w:r>
            <w:r w:rsidR="001616C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A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anti-emetic drugs, usually in patients receiving anti-cancer chemotherapy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37B41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 likely </w:t>
            </w:r>
            <w:r w:rsidR="00015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effective 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>because of antagonis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the H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>, muscarinic, α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4D6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adrenoceptor and/ or 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>5-HT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="00015D94" w:rsidRPr="0030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receptor</w:t>
            </w:r>
            <w:r w:rsidRPr="00443C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14:paraId="66DB8623" w14:textId="77777777" w:rsidR="005A3606" w:rsidRDefault="005A3606" w:rsidP="002E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C3D2" w14:textId="77777777" w:rsidR="00680A58" w:rsidRDefault="00680A58" w:rsidP="00680A5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D6353">
        <w:rPr>
          <w:rFonts w:ascii="Times New Roman" w:hAnsi="Times New Roman" w:cs="Times New Roman"/>
          <w:sz w:val="24"/>
          <w:szCs w:val="24"/>
        </w:rPr>
        <w:t xml:space="preserve">Sanger GJ, Andrews PLR. A history of drug discovery for treatment of nausea and vomiting and the implications for future research. Front </w:t>
      </w:r>
      <w:proofErr w:type="spellStart"/>
      <w:r w:rsidRPr="00BD6353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BD6353">
        <w:rPr>
          <w:rFonts w:ascii="Times New Roman" w:hAnsi="Times New Roman" w:cs="Times New Roman"/>
          <w:sz w:val="24"/>
          <w:szCs w:val="24"/>
        </w:rPr>
        <w:t xml:space="preserve">. 2018 Sep </w:t>
      </w:r>
      <w:proofErr w:type="gramStart"/>
      <w:r w:rsidRPr="00BD6353">
        <w:rPr>
          <w:rFonts w:ascii="Times New Roman" w:hAnsi="Times New Roman" w:cs="Times New Roman"/>
          <w:sz w:val="24"/>
          <w:szCs w:val="24"/>
        </w:rPr>
        <w:t>4;9:913</w:t>
      </w:r>
      <w:proofErr w:type="gramEnd"/>
      <w:r w:rsidRPr="00BD6353">
        <w:rPr>
          <w:rFonts w:ascii="Times New Roman" w:hAnsi="Times New Roman" w:cs="Times New Roman"/>
          <w:sz w:val="24"/>
          <w:szCs w:val="24"/>
        </w:rPr>
        <w:t>.</w:t>
      </w:r>
    </w:p>
    <w:p w14:paraId="7B5E4092" w14:textId="00201B05" w:rsidR="00256030" w:rsidRDefault="005A3606" w:rsidP="005A3606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A3606">
        <w:rPr>
          <w:rFonts w:ascii="Times New Roman" w:hAnsi="Times New Roman" w:cs="Times New Roman"/>
          <w:sz w:val="24"/>
          <w:szCs w:val="24"/>
        </w:rPr>
        <w:t xml:space="preserve">Yu D, Ramsey FV, Norton WF, Norton N, </w:t>
      </w:r>
      <w:proofErr w:type="spellStart"/>
      <w:r w:rsidRPr="005A3606">
        <w:rPr>
          <w:rFonts w:ascii="Times New Roman" w:hAnsi="Times New Roman" w:cs="Times New Roman"/>
          <w:sz w:val="24"/>
          <w:szCs w:val="24"/>
        </w:rPr>
        <w:t>Schneck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S, Gaetano T, Parkman HP. The burdens, concerns, and quality of life of patients with gastroparesis. Dig Dis Sci. </w:t>
      </w:r>
      <w:proofErr w:type="gramStart"/>
      <w:r w:rsidRPr="005A3606">
        <w:rPr>
          <w:rFonts w:ascii="Times New Roman" w:hAnsi="Times New Roman" w:cs="Times New Roman"/>
          <w:sz w:val="24"/>
          <w:szCs w:val="24"/>
        </w:rPr>
        <w:t>2017;62:829</w:t>
      </w:r>
      <w:proofErr w:type="gramEnd"/>
      <w:r w:rsidRPr="005A3606">
        <w:rPr>
          <w:rFonts w:ascii="Times New Roman" w:hAnsi="Times New Roman" w:cs="Times New Roman"/>
          <w:sz w:val="24"/>
          <w:szCs w:val="24"/>
        </w:rPr>
        <w:t>‐893.</w:t>
      </w:r>
    </w:p>
    <w:p w14:paraId="1FB12E5F" w14:textId="77777777" w:rsidR="00600E05" w:rsidRDefault="005A3606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A3606">
        <w:rPr>
          <w:rFonts w:ascii="Times New Roman" w:hAnsi="Times New Roman" w:cs="Times New Roman"/>
          <w:sz w:val="24"/>
          <w:szCs w:val="24"/>
        </w:rPr>
        <w:t>Zikos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TA., Nguyen L, Kamal A, Fernandez‑Becker N, Regalia </w:t>
      </w:r>
      <w:proofErr w:type="gramStart"/>
      <w:r w:rsidRPr="005A3606">
        <w:rPr>
          <w:rFonts w:ascii="Times New Roman" w:hAnsi="Times New Roman" w:cs="Times New Roman"/>
          <w:sz w:val="24"/>
          <w:szCs w:val="24"/>
        </w:rPr>
        <w:t>K,·</w:t>
      </w:r>
      <w:proofErr w:type="gramEnd"/>
      <w:r w:rsidRPr="005A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06">
        <w:rPr>
          <w:rFonts w:ascii="Times New Roman" w:hAnsi="Times New Roman" w:cs="Times New Roman"/>
          <w:sz w:val="24"/>
          <w:szCs w:val="24"/>
        </w:rPr>
        <w:t>Nandwani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A3606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I, Garcia M, Okafor P, </w:t>
      </w:r>
      <w:proofErr w:type="spellStart"/>
      <w:r w:rsidRPr="005A3606">
        <w:rPr>
          <w:rFonts w:ascii="Times New Roman" w:hAnsi="Times New Roman" w:cs="Times New Roman"/>
          <w:sz w:val="24"/>
          <w:szCs w:val="24"/>
        </w:rPr>
        <w:t>Neshatian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L, Grewal D,· Garcia P, </w:t>
      </w:r>
      <w:proofErr w:type="spellStart"/>
      <w:r w:rsidRPr="005A3606">
        <w:rPr>
          <w:rFonts w:ascii="Times New Roman" w:hAnsi="Times New Roman" w:cs="Times New Roman"/>
          <w:sz w:val="24"/>
          <w:szCs w:val="24"/>
        </w:rPr>
        <w:t>Triadaflopoulos</w:t>
      </w:r>
      <w:proofErr w:type="spellEnd"/>
      <w:r w:rsidRPr="005A3606">
        <w:rPr>
          <w:rFonts w:ascii="Times New Roman" w:hAnsi="Times New Roman" w:cs="Times New Roman"/>
          <w:sz w:val="24"/>
          <w:szCs w:val="24"/>
        </w:rPr>
        <w:t xml:space="preserve"> G, Clarke JO. Marijuana, ondansetron, and promethazine are perceived as most effective treatments for gastrointestinal nausea. Dig Dis Sci, </w:t>
      </w:r>
      <w:hyperlink r:id="rId5" w:history="1">
        <w:r w:rsidRPr="00076F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https://doi.org/10.1007/s10620-020-06195-5</w:t>
        </w:r>
      </w:hyperlink>
    </w:p>
    <w:p w14:paraId="754D680E" w14:textId="4666DA79" w:rsidR="005A3606" w:rsidRDefault="00E70059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00E05">
        <w:rPr>
          <w:rFonts w:ascii="Times New Roman" w:hAnsi="Times New Roman" w:cs="Times New Roman"/>
          <w:sz w:val="24"/>
          <w:szCs w:val="24"/>
        </w:rPr>
        <w:t>T</w:t>
      </w:r>
      <w:r w:rsidR="00600E05">
        <w:rPr>
          <w:rFonts w:ascii="Times New Roman" w:hAnsi="Times New Roman" w:cs="Times New Roman"/>
          <w:sz w:val="24"/>
          <w:szCs w:val="24"/>
        </w:rPr>
        <w:t>akatani</w:t>
      </w:r>
      <w:proofErr w:type="spellEnd"/>
      <w:r w:rsidR="00600E05">
        <w:rPr>
          <w:rFonts w:ascii="Times New Roman" w:hAnsi="Times New Roman" w:cs="Times New Roman"/>
          <w:sz w:val="24"/>
          <w:szCs w:val="24"/>
        </w:rPr>
        <w:t xml:space="preserve"> T</w:t>
      </w:r>
      <w:r w:rsidRPr="00600E05">
        <w:rPr>
          <w:rFonts w:ascii="Times New Roman" w:hAnsi="Times New Roman" w:cs="Times New Roman"/>
          <w:sz w:val="24"/>
          <w:szCs w:val="24"/>
        </w:rPr>
        <w:t>, I</w:t>
      </w:r>
      <w:r w:rsidR="00600E05">
        <w:rPr>
          <w:rFonts w:ascii="Times New Roman" w:hAnsi="Times New Roman" w:cs="Times New Roman"/>
          <w:sz w:val="24"/>
          <w:szCs w:val="24"/>
        </w:rPr>
        <w:t>to J</w:t>
      </w:r>
      <w:r w:rsidRPr="00600E05">
        <w:rPr>
          <w:rFonts w:ascii="Times New Roman" w:hAnsi="Times New Roman" w:cs="Times New Roman"/>
          <w:sz w:val="24"/>
          <w:szCs w:val="24"/>
        </w:rPr>
        <w:t>, M</w:t>
      </w:r>
      <w:r w:rsidR="00600E05">
        <w:rPr>
          <w:rFonts w:ascii="Times New Roman" w:hAnsi="Times New Roman" w:cs="Times New Roman"/>
          <w:sz w:val="24"/>
          <w:szCs w:val="24"/>
        </w:rPr>
        <w:t>atsuoka I</w:t>
      </w:r>
      <w:r w:rsidRPr="00600E05">
        <w:rPr>
          <w:rFonts w:ascii="Times New Roman" w:hAnsi="Times New Roman" w:cs="Times New Roman"/>
          <w:sz w:val="24"/>
          <w:szCs w:val="24"/>
        </w:rPr>
        <w:t>,</w:t>
      </w:r>
      <w:r w:rsidR="006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05">
        <w:rPr>
          <w:rFonts w:ascii="Times New Roman" w:hAnsi="Times New Roman" w:cs="Times New Roman"/>
          <w:sz w:val="24"/>
          <w:szCs w:val="24"/>
        </w:rPr>
        <w:t>S</w:t>
      </w:r>
      <w:r w:rsidR="00600E05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600E0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00E05">
        <w:rPr>
          <w:rFonts w:ascii="Times New Roman" w:hAnsi="Times New Roman" w:cs="Times New Roman"/>
          <w:sz w:val="24"/>
          <w:szCs w:val="24"/>
        </w:rPr>
        <w:t>T</w:t>
      </w:r>
      <w:r w:rsidR="00600E05">
        <w:rPr>
          <w:rFonts w:ascii="Times New Roman" w:hAnsi="Times New Roman" w:cs="Times New Roman"/>
          <w:sz w:val="24"/>
          <w:szCs w:val="24"/>
        </w:rPr>
        <w:t>akaori</w:t>
      </w:r>
      <w:proofErr w:type="spellEnd"/>
      <w:r w:rsidR="00600E05">
        <w:rPr>
          <w:rFonts w:ascii="Times New Roman" w:hAnsi="Times New Roman" w:cs="Times New Roman"/>
          <w:sz w:val="24"/>
          <w:szCs w:val="24"/>
        </w:rPr>
        <w:t xml:space="preserve"> S</w:t>
      </w:r>
      <w:r w:rsidRPr="00600E05">
        <w:rPr>
          <w:rFonts w:ascii="Times New Roman" w:hAnsi="Times New Roman" w:cs="Times New Roman"/>
          <w:sz w:val="24"/>
          <w:szCs w:val="24"/>
        </w:rPr>
        <w:t>. E</w:t>
      </w:r>
      <w:r w:rsidR="00600E05">
        <w:rPr>
          <w:rFonts w:ascii="Times New Roman" w:hAnsi="Times New Roman" w:cs="Times New Roman"/>
          <w:sz w:val="24"/>
          <w:szCs w:val="24"/>
        </w:rPr>
        <w:t>ffects of diphenhydramine</w:t>
      </w:r>
      <w:r w:rsidRPr="00600E05">
        <w:rPr>
          <w:rFonts w:ascii="Times New Roman" w:hAnsi="Times New Roman" w:cs="Times New Roman"/>
          <w:sz w:val="24"/>
          <w:szCs w:val="24"/>
        </w:rPr>
        <w:t xml:space="preserve"> </w:t>
      </w:r>
      <w:r w:rsidR="00600E05">
        <w:rPr>
          <w:rFonts w:ascii="Times New Roman" w:hAnsi="Times New Roman" w:cs="Times New Roman"/>
          <w:sz w:val="24"/>
          <w:szCs w:val="24"/>
        </w:rPr>
        <w:t>iontophoretically applied onto neurons in the medial and lateral vestibular nuclei</w:t>
      </w:r>
      <w:r w:rsidRPr="00600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E05">
        <w:rPr>
          <w:rFonts w:ascii="Times New Roman" w:hAnsi="Times New Roman" w:cs="Times New Roman"/>
          <w:sz w:val="24"/>
          <w:szCs w:val="24"/>
        </w:rPr>
        <w:t>Jpn</w:t>
      </w:r>
      <w:proofErr w:type="spellEnd"/>
      <w:r w:rsidRPr="00600E0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600E05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600E05">
        <w:rPr>
          <w:rFonts w:ascii="Times New Roman" w:hAnsi="Times New Roman" w:cs="Times New Roman"/>
          <w:sz w:val="24"/>
          <w:szCs w:val="24"/>
        </w:rPr>
        <w:t>. 33, 557-56 1 (1983)</w:t>
      </w:r>
    </w:p>
    <w:p w14:paraId="72D82733" w14:textId="1DEC1D7C" w:rsidR="00322DC9" w:rsidRDefault="00322DC9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2DC9">
        <w:rPr>
          <w:rFonts w:ascii="Times New Roman" w:hAnsi="Times New Roman" w:cs="Times New Roman"/>
          <w:sz w:val="24"/>
          <w:szCs w:val="24"/>
        </w:rPr>
        <w:t xml:space="preserve">Soto E., Vega R. (2010). Neuropharmacology of vestibular system disorders. </w:t>
      </w:r>
      <w:proofErr w:type="spellStart"/>
      <w:r w:rsidRPr="00322DC9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322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DC9">
        <w:rPr>
          <w:rFonts w:ascii="Times New Roman" w:hAnsi="Times New Roman" w:cs="Times New Roman"/>
          <w:sz w:val="24"/>
          <w:szCs w:val="24"/>
        </w:rPr>
        <w:t>Neuropharmacol</w:t>
      </w:r>
      <w:proofErr w:type="spellEnd"/>
      <w:r w:rsidRPr="00322DC9">
        <w:rPr>
          <w:rFonts w:ascii="Times New Roman" w:hAnsi="Times New Roman" w:cs="Times New Roman"/>
          <w:sz w:val="24"/>
          <w:szCs w:val="24"/>
        </w:rPr>
        <w:t>. 8, 26–40. 10.2174/157015910790909511</w:t>
      </w:r>
    </w:p>
    <w:p w14:paraId="0633D8B8" w14:textId="74E24464" w:rsidR="00322DC9" w:rsidRDefault="00322DC9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2DC9">
        <w:rPr>
          <w:rFonts w:ascii="Times New Roman" w:hAnsi="Times New Roman" w:cs="Times New Roman"/>
          <w:sz w:val="24"/>
          <w:szCs w:val="24"/>
        </w:rPr>
        <w:lastRenderedPageBreak/>
        <w:t xml:space="preserve">Kothari SN, Boyd WC, </w:t>
      </w:r>
      <w:proofErr w:type="spellStart"/>
      <w:r w:rsidRPr="00322DC9">
        <w:rPr>
          <w:rFonts w:ascii="Times New Roman" w:hAnsi="Times New Roman" w:cs="Times New Roman"/>
          <w:sz w:val="24"/>
          <w:szCs w:val="24"/>
        </w:rPr>
        <w:t>Bottcher</w:t>
      </w:r>
      <w:proofErr w:type="spellEnd"/>
      <w:r w:rsidRPr="00322DC9">
        <w:rPr>
          <w:rFonts w:ascii="Times New Roman" w:hAnsi="Times New Roman" w:cs="Times New Roman"/>
          <w:sz w:val="24"/>
          <w:szCs w:val="24"/>
        </w:rPr>
        <w:t xml:space="preserve"> ML, Lambert PJ. Antiemetic efficacy of prophylactic dimenhydrinate vs. ondansetron: a randomized, prospective trial in patients undergoing laparoscopic cholecystectomy. </w:t>
      </w:r>
      <w:proofErr w:type="spellStart"/>
      <w:r w:rsidRPr="00322DC9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32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DC9">
        <w:rPr>
          <w:rFonts w:ascii="Times New Roman" w:hAnsi="Times New Roman" w:cs="Times New Roman"/>
          <w:sz w:val="24"/>
          <w:szCs w:val="24"/>
        </w:rPr>
        <w:t>Endosc</w:t>
      </w:r>
      <w:proofErr w:type="spellEnd"/>
      <w:r w:rsidRPr="00322DC9">
        <w:rPr>
          <w:rFonts w:ascii="Times New Roman" w:hAnsi="Times New Roman" w:cs="Times New Roman"/>
          <w:sz w:val="24"/>
          <w:szCs w:val="24"/>
        </w:rPr>
        <w:t xml:space="preserve"> 2000; 14: 926–9.</w:t>
      </w:r>
    </w:p>
    <w:p w14:paraId="2766A31F" w14:textId="56141425" w:rsidR="00322DC9" w:rsidRDefault="00173EA1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73EA1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P, Morin AM,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Roewer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Eberhart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LH. Dimenhydrinate for prophylaxis of postoperative nausea and vomiting: a meta-analysis of randomized controlled trials.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Anaesthesiol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Scand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2002; 46: 238–44.</w:t>
      </w:r>
    </w:p>
    <w:p w14:paraId="5D1DAA1D" w14:textId="589A9A6E" w:rsidR="00173EA1" w:rsidRDefault="00173EA1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3EA1">
        <w:rPr>
          <w:rFonts w:ascii="Times New Roman" w:hAnsi="Times New Roman" w:cs="Times New Roman"/>
          <w:sz w:val="24"/>
          <w:szCs w:val="24"/>
        </w:rPr>
        <w:t xml:space="preserve">Stewart JJ, Wood MJ, Wood CD, Mims ME. Effects of motion sickness and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antimotion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sickness drugs on gastric function. J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A1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173EA1">
        <w:rPr>
          <w:rFonts w:ascii="Times New Roman" w:hAnsi="Times New Roman" w:cs="Times New Roman"/>
          <w:sz w:val="24"/>
          <w:szCs w:val="24"/>
        </w:rPr>
        <w:t xml:space="preserve"> 1994; 34: 635–43</w:t>
      </w:r>
    </w:p>
    <w:p w14:paraId="68A2CC32" w14:textId="77B17B18" w:rsidR="00BD6353" w:rsidRDefault="00235DBD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35DBD">
        <w:rPr>
          <w:rFonts w:ascii="Times New Roman" w:hAnsi="Times New Roman" w:cs="Times New Roman"/>
          <w:sz w:val="24"/>
          <w:szCs w:val="24"/>
        </w:rPr>
        <w:t xml:space="preserve">Avalos DJ, </w:t>
      </w:r>
      <w:proofErr w:type="spellStart"/>
      <w:r w:rsidRPr="00235DBD">
        <w:rPr>
          <w:rFonts w:ascii="Times New Roman" w:hAnsi="Times New Roman" w:cs="Times New Roman"/>
          <w:sz w:val="24"/>
          <w:szCs w:val="24"/>
        </w:rPr>
        <w:t>Sarosiek</w:t>
      </w:r>
      <w:proofErr w:type="spellEnd"/>
      <w:r w:rsidRPr="00235DB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235DBD">
        <w:rPr>
          <w:rFonts w:ascii="Times New Roman" w:hAnsi="Times New Roman" w:cs="Times New Roman"/>
          <w:sz w:val="24"/>
          <w:szCs w:val="24"/>
        </w:rPr>
        <w:t>Loganathan</w:t>
      </w:r>
      <w:proofErr w:type="spellEnd"/>
      <w:r w:rsidRPr="00235DBD">
        <w:rPr>
          <w:rFonts w:ascii="Times New Roman" w:hAnsi="Times New Roman" w:cs="Times New Roman"/>
          <w:sz w:val="24"/>
          <w:szCs w:val="24"/>
        </w:rPr>
        <w:t xml:space="preserve"> P, McCallum RW (2018). Diabetic gastroparesis: current challenges and future prospects. Clin Exp Gastroenterol 11, 347-363.</w:t>
      </w:r>
    </w:p>
    <w:p w14:paraId="6ECC411A" w14:textId="4FAD243D" w:rsidR="00235DBD" w:rsidRDefault="00EF0430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0430">
        <w:rPr>
          <w:rFonts w:ascii="Times New Roman" w:hAnsi="Times New Roman" w:cs="Times New Roman"/>
          <w:sz w:val="24"/>
          <w:szCs w:val="24"/>
        </w:rPr>
        <w:t xml:space="preserve">Jehangir A, Parkman HP. Cannabinoid use in patients with gastroparesis and related disorders. Am J </w:t>
      </w:r>
      <w:proofErr w:type="gramStart"/>
      <w:r w:rsidRPr="00EF0430">
        <w:rPr>
          <w:rFonts w:ascii="Times New Roman" w:hAnsi="Times New Roman" w:cs="Times New Roman"/>
          <w:sz w:val="24"/>
          <w:szCs w:val="24"/>
        </w:rPr>
        <w:t>Gastroenterol..</w:t>
      </w:r>
      <w:proofErr w:type="gramEnd"/>
      <w:r w:rsidRPr="00EF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430">
        <w:rPr>
          <w:rFonts w:ascii="Times New Roman" w:hAnsi="Times New Roman" w:cs="Times New Roman"/>
          <w:sz w:val="24"/>
          <w:szCs w:val="24"/>
        </w:rPr>
        <w:t>2019;114:945</w:t>
      </w:r>
      <w:proofErr w:type="gramEnd"/>
      <w:r w:rsidRPr="00EF0430">
        <w:rPr>
          <w:rFonts w:ascii="Times New Roman" w:hAnsi="Times New Roman" w:cs="Times New Roman"/>
          <w:sz w:val="24"/>
          <w:szCs w:val="24"/>
        </w:rPr>
        <w:t>–953.</w:t>
      </w:r>
    </w:p>
    <w:p w14:paraId="40541FB6" w14:textId="01C3B70C" w:rsidR="00EF0430" w:rsidRDefault="00EF0430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0430">
        <w:rPr>
          <w:rFonts w:ascii="Times New Roman" w:hAnsi="Times New Roman" w:cs="Times New Roman"/>
          <w:sz w:val="24"/>
          <w:szCs w:val="24"/>
        </w:rPr>
        <w:t xml:space="preserve">Parkman HP, Sharkey EP, Nguyen LA, Yates KP, Abell TL, Hasler WL, Snape W, Clarke J,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Schey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R, Koch KL,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B, McCallum RW,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Sarosiek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I, Grover M,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Farrugia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Tonascia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Pasricha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 xml:space="preserve"> PJ; Frank A. Hamilton for the NIH Gastroparesis Consortium. Marijuana use in patients with symptoms of gastroparesis: Prevalence, patient characteristics, and perceived benefit. Dig Dis Sci. 2019. </w:t>
      </w:r>
      <w:proofErr w:type="spellStart"/>
      <w:r w:rsidRPr="00EF043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F0430">
        <w:rPr>
          <w:rFonts w:ascii="Times New Roman" w:hAnsi="Times New Roman" w:cs="Times New Roman"/>
          <w:sz w:val="24"/>
          <w:szCs w:val="24"/>
        </w:rPr>
        <w:t>: 10.1007/s10620-019-05963-2</w:t>
      </w:r>
    </w:p>
    <w:p w14:paraId="4C520A1F" w14:textId="4E447160" w:rsidR="005527E3" w:rsidRDefault="005527E3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527E3">
        <w:rPr>
          <w:rFonts w:ascii="Times New Roman" w:hAnsi="Times New Roman" w:cs="Times New Roman"/>
          <w:sz w:val="24"/>
          <w:szCs w:val="24"/>
        </w:rPr>
        <w:t>Meiri</w:t>
      </w:r>
      <w:proofErr w:type="spellEnd"/>
      <w:r w:rsidRPr="005527E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527E3">
        <w:rPr>
          <w:rFonts w:ascii="Times New Roman" w:hAnsi="Times New Roman" w:cs="Times New Roman"/>
          <w:sz w:val="24"/>
          <w:szCs w:val="24"/>
        </w:rPr>
        <w:t>Jhangiani</w:t>
      </w:r>
      <w:proofErr w:type="spellEnd"/>
      <w:r w:rsidRPr="005527E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5527E3">
        <w:rPr>
          <w:rFonts w:ascii="Times New Roman" w:hAnsi="Times New Roman" w:cs="Times New Roman"/>
          <w:sz w:val="24"/>
          <w:szCs w:val="24"/>
        </w:rPr>
        <w:t>Vredenburgh</w:t>
      </w:r>
      <w:proofErr w:type="spellEnd"/>
      <w:r w:rsidRPr="005527E3">
        <w:rPr>
          <w:rFonts w:ascii="Times New Roman" w:hAnsi="Times New Roman" w:cs="Times New Roman"/>
          <w:sz w:val="24"/>
          <w:szCs w:val="24"/>
        </w:rPr>
        <w:t xml:space="preserve"> JJ, et al. Efficacy of dronabinol alone and in combination with ondansetron versus ondansetron alone for delayed chemotherapy-induced nausea and vomiting. </w:t>
      </w:r>
      <w:proofErr w:type="spellStart"/>
      <w:r w:rsidRPr="005527E3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5527E3">
        <w:rPr>
          <w:rFonts w:ascii="Times New Roman" w:hAnsi="Times New Roman" w:cs="Times New Roman"/>
          <w:sz w:val="24"/>
          <w:szCs w:val="24"/>
        </w:rPr>
        <w:t xml:space="preserve"> Med Res </w:t>
      </w:r>
      <w:proofErr w:type="spellStart"/>
      <w:r w:rsidRPr="005527E3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5527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27E3">
        <w:rPr>
          <w:rFonts w:ascii="Times New Roman" w:hAnsi="Times New Roman" w:cs="Times New Roman"/>
          <w:sz w:val="24"/>
          <w:szCs w:val="24"/>
        </w:rPr>
        <w:t>2007;23:533</w:t>
      </w:r>
      <w:proofErr w:type="gramEnd"/>
      <w:r w:rsidRPr="005527E3">
        <w:rPr>
          <w:rFonts w:ascii="Times New Roman" w:hAnsi="Times New Roman" w:cs="Times New Roman"/>
          <w:sz w:val="24"/>
          <w:szCs w:val="24"/>
        </w:rPr>
        <w:t>–543.</w:t>
      </w:r>
    </w:p>
    <w:p w14:paraId="7920CD94" w14:textId="3C1BE6D2" w:rsidR="005527E3" w:rsidRDefault="00200188" w:rsidP="00600E0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0188">
        <w:rPr>
          <w:rFonts w:ascii="Times New Roman" w:hAnsi="Times New Roman" w:cs="Times New Roman"/>
          <w:sz w:val="24"/>
          <w:szCs w:val="24"/>
        </w:rPr>
        <w:t xml:space="preserve">Rosa-e-Silva L,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Troncon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LE, Oliveira RB,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Iazigi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N, Gallo L Jr, Foss MC. Treatment of diabetic gastroparesis with oral clonidine. Aliment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1995; 9: 179–83.</w:t>
      </w:r>
    </w:p>
    <w:p w14:paraId="48F213DA" w14:textId="77777777" w:rsidR="00E35F93" w:rsidRDefault="00200188" w:rsidP="00E35F93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00188">
        <w:rPr>
          <w:rFonts w:ascii="Times New Roman" w:hAnsi="Times New Roman" w:cs="Times New Roman"/>
          <w:sz w:val="24"/>
          <w:szCs w:val="24"/>
        </w:rPr>
        <w:t>Huilgol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V, Evans J, Hellman RS,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Soergel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KH. Acute effect of clonidine on gastric emptying in patients with diabetic gastropathy and controls. Aliment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188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200188">
        <w:rPr>
          <w:rFonts w:ascii="Times New Roman" w:hAnsi="Times New Roman" w:cs="Times New Roman"/>
          <w:sz w:val="24"/>
          <w:szCs w:val="24"/>
        </w:rPr>
        <w:t xml:space="preserve"> 2002;16: 945–50.</w:t>
      </w:r>
    </w:p>
    <w:p w14:paraId="1C3A60A2" w14:textId="77777777" w:rsidR="006E4E32" w:rsidRDefault="00E35F93" w:rsidP="006E4E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35F93">
        <w:rPr>
          <w:rFonts w:ascii="Times New Roman" w:hAnsi="Times New Roman" w:cs="Times New Roman"/>
          <w:sz w:val="24"/>
          <w:szCs w:val="24"/>
        </w:rPr>
        <w:t>Oddby-Muhrbeck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E35F93">
        <w:rPr>
          <w:rFonts w:ascii="Times New Roman" w:hAnsi="Times New Roman" w:cs="Times New Roman"/>
          <w:sz w:val="24"/>
          <w:szCs w:val="24"/>
        </w:rPr>
        <w:t>Eksborg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35F93">
        <w:rPr>
          <w:rFonts w:ascii="Times New Roman" w:hAnsi="Times New Roman" w:cs="Times New Roman"/>
          <w:sz w:val="24"/>
          <w:szCs w:val="24"/>
        </w:rPr>
        <w:t>Bergendahl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HTG, </w:t>
      </w:r>
      <w:proofErr w:type="spellStart"/>
      <w:r w:rsidRPr="00E35F93">
        <w:rPr>
          <w:rFonts w:ascii="Times New Roman" w:hAnsi="Times New Roman" w:cs="Times New Roman"/>
          <w:sz w:val="24"/>
          <w:szCs w:val="24"/>
        </w:rPr>
        <w:t>Muhrbeck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E35F93">
        <w:rPr>
          <w:rFonts w:ascii="Times New Roman" w:hAnsi="Times New Roman" w:cs="Times New Roman"/>
          <w:sz w:val="24"/>
          <w:szCs w:val="24"/>
        </w:rPr>
        <w:t>Lönnqvist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13" w:rsidRPr="00E35F93">
        <w:rPr>
          <w:rFonts w:ascii="Times New Roman" w:hAnsi="Times New Roman" w:cs="Times New Roman"/>
          <w:sz w:val="24"/>
          <w:szCs w:val="24"/>
        </w:rPr>
        <w:t>Effects of clonidine on postoperative nausea and vomiting in breast cancer surgery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F93">
        <w:rPr>
          <w:rFonts w:ascii="Times New Roman" w:hAnsi="Times New Roman" w:cs="Times New Roman"/>
          <w:sz w:val="24"/>
          <w:szCs w:val="24"/>
        </w:rPr>
        <w:t>Anesthesiology</w:t>
      </w:r>
      <w:proofErr w:type="spellEnd"/>
      <w:r w:rsidRPr="00E35F93">
        <w:rPr>
          <w:rFonts w:ascii="Times New Roman" w:hAnsi="Times New Roman" w:cs="Times New Roman"/>
          <w:sz w:val="24"/>
          <w:szCs w:val="24"/>
        </w:rPr>
        <w:t xml:space="preserve"> 2002; 96:1109–14</w:t>
      </w:r>
      <w:r w:rsidR="006E4E32">
        <w:rPr>
          <w:rFonts w:ascii="Times New Roman" w:hAnsi="Times New Roman" w:cs="Times New Roman"/>
          <w:sz w:val="24"/>
          <w:szCs w:val="24"/>
        </w:rPr>
        <w:t>.</w:t>
      </w:r>
    </w:p>
    <w:p w14:paraId="0668DF44" w14:textId="77777777" w:rsidR="00DD163B" w:rsidRDefault="006E4E32" w:rsidP="00DD163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4E32">
        <w:rPr>
          <w:rFonts w:ascii="Times New Roman" w:hAnsi="Times New Roman" w:cs="Times New Roman"/>
          <w:sz w:val="24"/>
          <w:szCs w:val="24"/>
        </w:rPr>
        <w:t xml:space="preserve">Ramirez R, Stalcup P, Croft B, </w:t>
      </w:r>
      <w:proofErr w:type="spellStart"/>
      <w:r w:rsidRPr="006E4E32">
        <w:rPr>
          <w:rFonts w:ascii="Times New Roman" w:hAnsi="Times New Roman" w:cs="Times New Roman"/>
          <w:sz w:val="24"/>
          <w:szCs w:val="24"/>
        </w:rPr>
        <w:t>Darracq</w:t>
      </w:r>
      <w:proofErr w:type="spellEnd"/>
      <w:r w:rsidRPr="006E4E32">
        <w:rPr>
          <w:rFonts w:ascii="Times New Roman" w:hAnsi="Times New Roman" w:cs="Times New Roman"/>
          <w:sz w:val="24"/>
          <w:szCs w:val="24"/>
        </w:rPr>
        <w:t xml:space="preserve"> MA. Haloperidol undermining gastroparesis symptoms (HUGS) in the emergency department. Am J </w:t>
      </w:r>
      <w:proofErr w:type="spellStart"/>
      <w:r w:rsidRPr="006E4E32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6E4E32">
        <w:rPr>
          <w:rFonts w:ascii="Times New Roman" w:hAnsi="Times New Roman" w:cs="Times New Roman"/>
          <w:sz w:val="24"/>
          <w:szCs w:val="24"/>
        </w:rPr>
        <w:t xml:space="preserve"> Med. 2017;35(8):1118-1120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F335E" w14:textId="01EFAA07" w:rsidR="00DD163B" w:rsidRDefault="00DD163B" w:rsidP="00DD163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Wyant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G. M. (1962). A comparative study of eleven anti-emetic drugs in dogs.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63B">
        <w:rPr>
          <w:rFonts w:ascii="Times New Roman" w:hAnsi="Times New Roman" w:cs="Times New Roman"/>
          <w:sz w:val="24"/>
          <w:szCs w:val="24"/>
        </w:rPr>
        <w:t xml:space="preserve">Can.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. Soc. J. 9, 399–407.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>: 10.1007/BF03019133</w:t>
      </w:r>
    </w:p>
    <w:p w14:paraId="3EF376A2" w14:textId="77777777" w:rsidR="00DD163B" w:rsidRDefault="006E4E32" w:rsidP="00DD163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D163B">
        <w:rPr>
          <w:rFonts w:ascii="Times New Roman" w:hAnsi="Times New Roman" w:cs="Times New Roman"/>
          <w:sz w:val="24"/>
          <w:szCs w:val="24"/>
        </w:rPr>
        <w:t>Thambisetty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M, Gallardo KA,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Liow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J-S, Beason-Held LL,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Umhau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JC,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AK, Der M,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Herscovitch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Rapoport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JL, Rapoport SI. The utility of 11C-arachidonate PET to study in vivo dopaminergic neurotransmission in humans. J Cerebral Blood Flow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Metabol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(2012) 32, 676–684.</w:t>
      </w:r>
    </w:p>
    <w:p w14:paraId="16073A39" w14:textId="77777777" w:rsidR="00DD163B" w:rsidRDefault="00DD163B" w:rsidP="00DD163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D163B">
        <w:rPr>
          <w:rFonts w:ascii="Times New Roman" w:hAnsi="Times New Roman" w:cs="Times New Roman"/>
          <w:sz w:val="24"/>
          <w:szCs w:val="24"/>
        </w:rPr>
        <w:t>Fass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R, McCallum RW, Parkman HP. Treatment Challenges in the Management of Gastroparesis-Related GERD. Gastroenterol Hepatol (N Y). 2009 Oct; 5(10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18): 4–16.</w:t>
      </w:r>
    </w:p>
    <w:p w14:paraId="494D1072" w14:textId="77777777" w:rsidR="00DD163B" w:rsidRDefault="00DD163B" w:rsidP="00DD163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D163B">
        <w:rPr>
          <w:rFonts w:ascii="Times New Roman" w:hAnsi="Times New Roman" w:cs="Times New Roman"/>
          <w:sz w:val="24"/>
          <w:szCs w:val="24"/>
        </w:rPr>
        <w:t>Lossos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Mevorach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D, Oren R.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Thiethylperazine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treatment of gastroparesis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diabeticorum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. Ann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Pharmacother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1992; 26: 1016</w:t>
      </w:r>
    </w:p>
    <w:p w14:paraId="7132CF1E" w14:textId="77777777" w:rsidR="004D6887" w:rsidRDefault="00DD163B" w:rsidP="004D688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D163B">
        <w:rPr>
          <w:rFonts w:ascii="Times New Roman" w:hAnsi="Times New Roman" w:cs="Times New Roman"/>
          <w:sz w:val="24"/>
          <w:szCs w:val="24"/>
        </w:rPr>
        <w:t>Briani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Cagnin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Chierichetti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Tiberio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Battistin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Pizzolato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Thiethylperazine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-induced parkinsonism: in vivo demonstration of dopamine D2 receptors blockade.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 xml:space="preserve"> J Neurol. 2004 Oct;11(10):709-10. </w:t>
      </w:r>
      <w:proofErr w:type="spellStart"/>
      <w:r w:rsidRPr="00DD163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D163B">
        <w:rPr>
          <w:rFonts w:ascii="Times New Roman" w:hAnsi="Times New Roman" w:cs="Times New Roman"/>
          <w:sz w:val="24"/>
          <w:szCs w:val="24"/>
        </w:rPr>
        <w:t>: 10.1111/j.1468-1331.2004.</w:t>
      </w:r>
      <w:proofErr w:type="gramStart"/>
      <w:r w:rsidRPr="00DD163B">
        <w:rPr>
          <w:rFonts w:ascii="Times New Roman" w:hAnsi="Times New Roman" w:cs="Times New Roman"/>
          <w:sz w:val="24"/>
          <w:szCs w:val="24"/>
        </w:rPr>
        <w:t>00844.x.</w:t>
      </w:r>
      <w:proofErr w:type="gramEnd"/>
    </w:p>
    <w:p w14:paraId="10929150" w14:textId="77777777" w:rsidR="004D6887" w:rsidRDefault="004D6887" w:rsidP="004D688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6887">
        <w:rPr>
          <w:rFonts w:ascii="Times New Roman" w:hAnsi="Times New Roman" w:cs="Times New Roman"/>
          <w:sz w:val="24"/>
          <w:szCs w:val="24"/>
        </w:rPr>
        <w:lastRenderedPageBreak/>
        <w:t>Melga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P, Mansi C,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Ciuchi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Giusti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Sciaba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Prando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R. Chronic administration of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levosulpiride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control in IDDM patients with gastroparesis. Diabetes Care </w:t>
      </w:r>
      <w:proofErr w:type="gramStart"/>
      <w:r w:rsidRPr="004D6887">
        <w:rPr>
          <w:rFonts w:ascii="Times New Roman" w:hAnsi="Times New Roman" w:cs="Times New Roman"/>
          <w:sz w:val="24"/>
          <w:szCs w:val="24"/>
        </w:rPr>
        <w:t>1997;20:55</w:t>
      </w:r>
      <w:proofErr w:type="gramEnd"/>
      <w:r w:rsidRPr="004D6887">
        <w:rPr>
          <w:rFonts w:ascii="Times New Roman" w:hAnsi="Times New Roman" w:cs="Times New Roman"/>
          <w:sz w:val="24"/>
          <w:szCs w:val="24"/>
        </w:rPr>
        <w:t>–8.</w:t>
      </w:r>
    </w:p>
    <w:p w14:paraId="5FB5275A" w14:textId="77777777" w:rsidR="004D6887" w:rsidRDefault="004D6887" w:rsidP="004D688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D6887">
        <w:rPr>
          <w:rFonts w:ascii="Times New Roman" w:hAnsi="Times New Roman" w:cs="Times New Roman"/>
          <w:sz w:val="24"/>
          <w:szCs w:val="24"/>
        </w:rPr>
        <w:t xml:space="preserve">Mansi C,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Borro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P, Giacomini M,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Biagini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Pandolfo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Savarino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V. Comparative effects of levosulpiride and cisapride on gastric emptying and symptoms in patients with functional dyspepsia and gastroparesis. Aliment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887">
        <w:rPr>
          <w:rFonts w:ascii="Times New Roman" w:hAnsi="Times New Roman" w:cs="Times New Roman"/>
          <w:sz w:val="24"/>
          <w:szCs w:val="24"/>
        </w:rPr>
        <w:t>2000;14:561</w:t>
      </w:r>
      <w:proofErr w:type="gramEnd"/>
      <w:r w:rsidRPr="004D6887">
        <w:rPr>
          <w:rFonts w:ascii="Times New Roman" w:hAnsi="Times New Roman" w:cs="Times New Roman"/>
          <w:sz w:val="24"/>
          <w:szCs w:val="24"/>
        </w:rPr>
        <w:t>–9.</w:t>
      </w:r>
    </w:p>
    <w:p w14:paraId="02FB9896" w14:textId="270AADAA" w:rsidR="004D6887" w:rsidRPr="004D6887" w:rsidRDefault="004D6887" w:rsidP="004D688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6887">
        <w:rPr>
          <w:rFonts w:ascii="Times New Roman" w:hAnsi="Times New Roman" w:cs="Times New Roman"/>
          <w:sz w:val="24"/>
          <w:szCs w:val="24"/>
        </w:rPr>
        <w:t>Tonini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M., De Giorgio R.,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Spelta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Bassotti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G., Di Nucci A., </w:t>
      </w:r>
      <w:proofErr w:type="spellStart"/>
      <w:r w:rsidRPr="004D6887">
        <w:rPr>
          <w:rFonts w:ascii="Times New Roman" w:hAnsi="Times New Roman" w:cs="Times New Roman"/>
          <w:sz w:val="24"/>
          <w:szCs w:val="24"/>
        </w:rPr>
        <w:t>Anselmi</w:t>
      </w:r>
      <w:proofErr w:type="spellEnd"/>
      <w:r w:rsidRPr="004D6887">
        <w:rPr>
          <w:rFonts w:ascii="Times New Roman" w:hAnsi="Times New Roman" w:cs="Times New Roman"/>
          <w:sz w:val="24"/>
          <w:szCs w:val="24"/>
        </w:rPr>
        <w:t xml:space="preserve"> L., Balestra B., De Ponti F. 5-HT Receptors contribute to the motor stimulating effect of levosulpiride in the guinea-pig gastrointestinal tract. Digestive and Liver Disease 35 (2003) 244–250</w:t>
      </w:r>
    </w:p>
    <w:sectPr w:rsidR="004D6887" w:rsidRPr="004D6887" w:rsidSect="00256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191"/>
    <w:multiLevelType w:val="hybridMultilevel"/>
    <w:tmpl w:val="8F0E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063"/>
    <w:multiLevelType w:val="hybridMultilevel"/>
    <w:tmpl w:val="9992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2355"/>
    <w:multiLevelType w:val="hybridMultilevel"/>
    <w:tmpl w:val="5A82C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370"/>
    <w:multiLevelType w:val="hybridMultilevel"/>
    <w:tmpl w:val="CC04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3245"/>
    <w:multiLevelType w:val="hybridMultilevel"/>
    <w:tmpl w:val="5A82C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520"/>
    <w:multiLevelType w:val="hybridMultilevel"/>
    <w:tmpl w:val="7E7A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30"/>
    <w:rsid w:val="00015D94"/>
    <w:rsid w:val="00120FB7"/>
    <w:rsid w:val="001316BA"/>
    <w:rsid w:val="001616CE"/>
    <w:rsid w:val="00173EA1"/>
    <w:rsid w:val="001975E6"/>
    <w:rsid w:val="001A1799"/>
    <w:rsid w:val="001A4155"/>
    <w:rsid w:val="001A5959"/>
    <w:rsid w:val="00200188"/>
    <w:rsid w:val="00223DB9"/>
    <w:rsid w:val="00232305"/>
    <w:rsid w:val="00235DBD"/>
    <w:rsid w:val="0024690C"/>
    <w:rsid w:val="00256030"/>
    <w:rsid w:val="002E18D5"/>
    <w:rsid w:val="00322DC9"/>
    <w:rsid w:val="00336454"/>
    <w:rsid w:val="00370F2F"/>
    <w:rsid w:val="00371913"/>
    <w:rsid w:val="00390393"/>
    <w:rsid w:val="003A3861"/>
    <w:rsid w:val="00421475"/>
    <w:rsid w:val="00443C66"/>
    <w:rsid w:val="0047269A"/>
    <w:rsid w:val="0049640B"/>
    <w:rsid w:val="004A198D"/>
    <w:rsid w:val="004B6083"/>
    <w:rsid w:val="004D6887"/>
    <w:rsid w:val="005527E3"/>
    <w:rsid w:val="00586EAE"/>
    <w:rsid w:val="005A3606"/>
    <w:rsid w:val="005B06A9"/>
    <w:rsid w:val="005B4FFC"/>
    <w:rsid w:val="005D2967"/>
    <w:rsid w:val="005D3293"/>
    <w:rsid w:val="005F1383"/>
    <w:rsid w:val="005F46DB"/>
    <w:rsid w:val="00600E05"/>
    <w:rsid w:val="00637B41"/>
    <w:rsid w:val="006770F7"/>
    <w:rsid w:val="00680A58"/>
    <w:rsid w:val="006954BA"/>
    <w:rsid w:val="006E0B1F"/>
    <w:rsid w:val="006E4E32"/>
    <w:rsid w:val="00717F2C"/>
    <w:rsid w:val="0072557D"/>
    <w:rsid w:val="00786307"/>
    <w:rsid w:val="007C2E08"/>
    <w:rsid w:val="0080726E"/>
    <w:rsid w:val="00827AAE"/>
    <w:rsid w:val="00894956"/>
    <w:rsid w:val="008A74B2"/>
    <w:rsid w:val="00917679"/>
    <w:rsid w:val="00925EBF"/>
    <w:rsid w:val="00972CA1"/>
    <w:rsid w:val="0097616E"/>
    <w:rsid w:val="009B6039"/>
    <w:rsid w:val="009B7B0A"/>
    <w:rsid w:val="009D0982"/>
    <w:rsid w:val="00B1422D"/>
    <w:rsid w:val="00BA7DEE"/>
    <w:rsid w:val="00BB6821"/>
    <w:rsid w:val="00BD6353"/>
    <w:rsid w:val="00BF579B"/>
    <w:rsid w:val="00C652FE"/>
    <w:rsid w:val="00C77F4C"/>
    <w:rsid w:val="00CD242E"/>
    <w:rsid w:val="00CF0DD1"/>
    <w:rsid w:val="00D131EA"/>
    <w:rsid w:val="00D43E58"/>
    <w:rsid w:val="00D54571"/>
    <w:rsid w:val="00DD163B"/>
    <w:rsid w:val="00DE4FFF"/>
    <w:rsid w:val="00DE73E1"/>
    <w:rsid w:val="00E35F93"/>
    <w:rsid w:val="00E66870"/>
    <w:rsid w:val="00E70059"/>
    <w:rsid w:val="00E734D2"/>
    <w:rsid w:val="00E778DD"/>
    <w:rsid w:val="00EB1D08"/>
    <w:rsid w:val="00EC1DB6"/>
    <w:rsid w:val="00EF0430"/>
    <w:rsid w:val="00F43C71"/>
    <w:rsid w:val="00F46B7C"/>
    <w:rsid w:val="00F60978"/>
    <w:rsid w:val="00F61478"/>
    <w:rsid w:val="00FC12D1"/>
    <w:rsid w:val="00FC406E"/>
    <w:rsid w:val="00FE4A20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9B8"/>
  <w15:chartTrackingRefBased/>
  <w15:docId w15:val="{D0606918-04F8-43C7-AE47-BC515CEA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6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6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3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620-020-06195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Sanger</dc:creator>
  <cp:keywords/>
  <dc:description/>
  <cp:lastModifiedBy>Gareth Sanger</cp:lastModifiedBy>
  <cp:revision>6</cp:revision>
  <dcterms:created xsi:type="dcterms:W3CDTF">2022-09-05T13:15:00Z</dcterms:created>
  <dcterms:modified xsi:type="dcterms:W3CDTF">2022-11-02T12:46:00Z</dcterms:modified>
</cp:coreProperties>
</file>