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56B01" w14:textId="5667592C" w:rsidR="00B6307B" w:rsidRDefault="00FB68EE" w:rsidP="002E4B24">
      <w:pPr>
        <w:pStyle w:val="Heading1"/>
        <w:numPr>
          <w:ilvl w:val="0"/>
          <w:numId w:val="0"/>
        </w:numPr>
        <w:rPr>
          <w:shd w:val="clear" w:color="auto" w:fill="FFFFFF"/>
        </w:rPr>
      </w:pPr>
      <w:r>
        <w:rPr>
          <w:shd w:val="clear" w:color="auto" w:fill="FFFFFF"/>
        </w:rPr>
        <w:t>EUSEM CONGRESS OCT 2022</w:t>
      </w:r>
    </w:p>
    <w:p w14:paraId="263D8451" w14:textId="0B713108" w:rsidR="009E73FE" w:rsidRPr="009E73FE" w:rsidRDefault="001358B1" w:rsidP="009E73FE">
      <w:pPr>
        <w:rPr>
          <w:b/>
        </w:rPr>
      </w:pPr>
      <w:r>
        <w:rPr>
          <w:b/>
        </w:rPr>
        <w:t>Emergency n</w:t>
      </w:r>
      <w:r w:rsidR="00E90926">
        <w:rPr>
          <w:b/>
        </w:rPr>
        <w:t>urses’</w:t>
      </w:r>
      <w:r w:rsidR="00411BDD">
        <w:rPr>
          <w:b/>
        </w:rPr>
        <w:t xml:space="preserve"> preference for </w:t>
      </w:r>
      <w:r w:rsidR="00E90926">
        <w:rPr>
          <w:b/>
        </w:rPr>
        <w:t>tools</w:t>
      </w:r>
      <w:r w:rsidR="00411BDD">
        <w:rPr>
          <w:b/>
        </w:rPr>
        <w:t xml:space="preserve"> to identify</w:t>
      </w:r>
      <w:r w:rsidR="00E100BD">
        <w:rPr>
          <w:b/>
        </w:rPr>
        <w:t xml:space="preserve"> frailty in major trauma </w:t>
      </w:r>
      <w:r w:rsidR="00E90926">
        <w:rPr>
          <w:b/>
        </w:rPr>
        <w:t>patients</w:t>
      </w:r>
      <w:r w:rsidR="00C87B26">
        <w:rPr>
          <w:b/>
        </w:rPr>
        <w:t>: a prospective</w:t>
      </w:r>
      <w:r w:rsidR="003E773E">
        <w:rPr>
          <w:b/>
        </w:rPr>
        <w:t xml:space="preserve"> multi-centre cohort study</w:t>
      </w:r>
    </w:p>
    <w:p w14:paraId="5EBCC2EA" w14:textId="77777777" w:rsidR="002E4B24" w:rsidRDefault="002E4B24" w:rsidP="002E4B24"/>
    <w:p w14:paraId="15B993BF" w14:textId="5D0A1DC3" w:rsidR="00FD04B3" w:rsidRPr="002E4B24" w:rsidRDefault="00FD04B3" w:rsidP="002E4B24">
      <w:pPr>
        <w:rPr>
          <w:rFonts w:cstheme="minorHAnsi"/>
          <w:b/>
        </w:rPr>
      </w:pPr>
      <w:r w:rsidRPr="002E4B24">
        <w:rPr>
          <w:rFonts w:cstheme="minorHAnsi"/>
          <w:b/>
        </w:rPr>
        <w:t>H Jarman</w:t>
      </w:r>
      <w:r w:rsidRPr="002E4B24">
        <w:rPr>
          <w:rFonts w:cstheme="minorHAnsi"/>
          <w:b/>
          <w:vertAlign w:val="superscript"/>
        </w:rPr>
        <w:t>1</w:t>
      </w:r>
      <w:r w:rsidRPr="002E4B24">
        <w:rPr>
          <w:rFonts w:cstheme="minorHAnsi"/>
          <w:b/>
        </w:rPr>
        <w:t>, R Crouch</w:t>
      </w:r>
      <w:r w:rsidR="009E73FE">
        <w:rPr>
          <w:rFonts w:cstheme="minorHAnsi"/>
          <w:b/>
          <w:vertAlign w:val="superscript"/>
        </w:rPr>
        <w:t>2</w:t>
      </w:r>
      <w:r w:rsidRPr="002E4B24">
        <w:rPr>
          <w:rFonts w:cstheme="minorHAnsi"/>
          <w:b/>
        </w:rPr>
        <w:t xml:space="preserve">, M </w:t>
      </w:r>
      <w:r w:rsidR="009E73FE">
        <w:rPr>
          <w:rFonts w:cstheme="minorHAnsi"/>
          <w:b/>
        </w:rPr>
        <w:t>Baxter</w:t>
      </w:r>
      <w:r w:rsidR="009E73FE">
        <w:rPr>
          <w:rFonts w:cstheme="minorHAnsi"/>
          <w:b/>
          <w:vertAlign w:val="superscript"/>
        </w:rPr>
        <w:t>2</w:t>
      </w:r>
      <w:r w:rsidRPr="002E4B24">
        <w:rPr>
          <w:rFonts w:cstheme="minorHAnsi"/>
          <w:b/>
        </w:rPr>
        <w:t xml:space="preserve">, </w:t>
      </w:r>
      <w:r w:rsidR="009E73FE">
        <w:rPr>
          <w:rFonts w:cstheme="minorHAnsi"/>
          <w:b/>
        </w:rPr>
        <w:t>Chao Wang</w:t>
      </w:r>
      <w:r w:rsidR="009E73FE">
        <w:rPr>
          <w:rFonts w:cstheme="minorHAnsi"/>
          <w:b/>
          <w:vertAlign w:val="superscript"/>
        </w:rPr>
        <w:t>3</w:t>
      </w:r>
      <w:r w:rsidR="009E73FE">
        <w:rPr>
          <w:rFonts w:cstheme="minorHAnsi"/>
          <w:b/>
        </w:rPr>
        <w:t>, E C</w:t>
      </w:r>
      <w:r w:rsidR="009E73FE" w:rsidRPr="002E4B24">
        <w:rPr>
          <w:rFonts w:cstheme="minorHAnsi"/>
          <w:b/>
        </w:rPr>
        <w:t>ole</w:t>
      </w:r>
      <w:r w:rsidR="009E73FE">
        <w:rPr>
          <w:rFonts w:cstheme="minorHAnsi"/>
          <w:b/>
          <w:vertAlign w:val="superscript"/>
        </w:rPr>
        <w:t>4</w:t>
      </w:r>
    </w:p>
    <w:p w14:paraId="0B65BD03" w14:textId="77777777" w:rsidR="00FD04B3" w:rsidRDefault="00FD04B3" w:rsidP="002E4B24">
      <w:pPr>
        <w:rPr>
          <w:rFonts w:cstheme="minorHAnsi"/>
        </w:rPr>
      </w:pPr>
    </w:p>
    <w:p w14:paraId="775C03CC" w14:textId="66DD7876" w:rsidR="00FD04B3" w:rsidRPr="00527AAE" w:rsidRDefault="00FD04B3" w:rsidP="002E4B24">
      <w:pPr>
        <w:rPr>
          <w:rFonts w:ascii="Calibri" w:hAnsi="Calibri" w:cs="Calibri"/>
          <w:b/>
        </w:rPr>
      </w:pPr>
      <w:r w:rsidRPr="00527AAE">
        <w:rPr>
          <w:rFonts w:ascii="Calibri" w:hAnsi="Calibri" w:cs="Calibri"/>
          <w:b/>
        </w:rPr>
        <w:t>1</w:t>
      </w:r>
      <w:r w:rsidR="005732B4">
        <w:rPr>
          <w:rFonts w:ascii="Calibri" w:hAnsi="Calibri" w:cs="Calibri"/>
          <w:b/>
        </w:rPr>
        <w:t>.</w:t>
      </w:r>
      <w:r w:rsidRPr="00527AAE">
        <w:rPr>
          <w:rFonts w:ascii="Calibri" w:hAnsi="Calibri" w:cs="Calibri"/>
          <w:b/>
        </w:rPr>
        <w:t xml:space="preserve"> </w:t>
      </w:r>
      <w:r w:rsidR="009E73FE">
        <w:rPr>
          <w:rFonts w:ascii="Calibri" w:hAnsi="Calibri" w:cs="Calibri"/>
          <w:b/>
        </w:rPr>
        <w:t xml:space="preserve">Emergency Department Clinical Research Unit, </w:t>
      </w:r>
      <w:r w:rsidRPr="00527AAE">
        <w:rPr>
          <w:rFonts w:ascii="Calibri" w:hAnsi="Calibri" w:cs="Calibri"/>
          <w:b/>
        </w:rPr>
        <w:t>St George’s University Hospitals NHS Foundation Trust</w:t>
      </w:r>
    </w:p>
    <w:p w14:paraId="268FE4DE" w14:textId="59632F77" w:rsidR="00527AAE" w:rsidRDefault="009E73FE" w:rsidP="00527AAE">
      <w:pPr>
        <w:rPr>
          <w:rFonts w:ascii="Calibri" w:hAnsi="Calibri" w:cs="Calibri"/>
          <w:b/>
        </w:rPr>
      </w:pPr>
      <w:r>
        <w:rPr>
          <w:b/>
          <w:iCs/>
        </w:rPr>
        <w:t>2</w:t>
      </w:r>
      <w:r w:rsidR="005732B4">
        <w:rPr>
          <w:b/>
          <w:iCs/>
        </w:rPr>
        <w:t>.</w:t>
      </w:r>
      <w:r w:rsidR="00FD04B3" w:rsidRPr="00527AAE">
        <w:rPr>
          <w:b/>
          <w:iCs/>
        </w:rPr>
        <w:t xml:space="preserve"> </w:t>
      </w:r>
      <w:r w:rsidR="00527AAE" w:rsidRPr="00527AAE">
        <w:rPr>
          <w:rFonts w:ascii="Calibri" w:hAnsi="Calibri" w:cs="Calibri"/>
          <w:b/>
        </w:rPr>
        <w:t>University Hospital Southampton NHS Foundation Trust</w:t>
      </w:r>
    </w:p>
    <w:p w14:paraId="1F74796B" w14:textId="4D20D7F3" w:rsidR="009E73FE" w:rsidRPr="00527AAE" w:rsidRDefault="009E73FE" w:rsidP="00527AA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</w:t>
      </w:r>
      <w:r w:rsidR="005732B4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</w:t>
      </w:r>
      <w:r w:rsidRPr="009E73FE">
        <w:rPr>
          <w:b/>
        </w:rPr>
        <w:t>Faculty of Health, Social Care and Education, Kingston University and St George’s, University of London</w:t>
      </w:r>
    </w:p>
    <w:p w14:paraId="5E6555DF" w14:textId="00095874" w:rsidR="009E73FE" w:rsidRPr="00527AAE" w:rsidRDefault="009E73FE" w:rsidP="009E73FE">
      <w:pPr>
        <w:rPr>
          <w:rStyle w:val="Emphasis"/>
          <w:rFonts w:ascii="Calibri" w:hAnsi="Calibri" w:cs="Calibri"/>
          <w:b/>
          <w:i w:val="0"/>
        </w:rPr>
      </w:pPr>
      <w:r>
        <w:rPr>
          <w:rFonts w:ascii="Calibri" w:hAnsi="Calibri" w:cs="Calibri"/>
          <w:b/>
        </w:rPr>
        <w:t>4</w:t>
      </w:r>
      <w:r w:rsidR="005732B4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</w:t>
      </w:r>
      <w:r w:rsidR="009A6A1D">
        <w:rPr>
          <w:rFonts w:ascii="Calibri" w:hAnsi="Calibri" w:cs="Calibri"/>
          <w:b/>
        </w:rPr>
        <w:t xml:space="preserve">Centre for Trauma Sciences, </w:t>
      </w:r>
      <w:r w:rsidR="009A6A1D">
        <w:rPr>
          <w:rStyle w:val="Emphasis"/>
          <w:rFonts w:ascii="Calibri" w:hAnsi="Calibri" w:cs="Calibri"/>
          <w:b/>
          <w:i w:val="0"/>
        </w:rPr>
        <w:t xml:space="preserve">Queen Mary University, </w:t>
      </w:r>
      <w:r w:rsidRPr="00527AAE">
        <w:rPr>
          <w:rStyle w:val="Emphasis"/>
          <w:rFonts w:ascii="Calibri" w:hAnsi="Calibri" w:cs="Calibri"/>
          <w:b/>
          <w:i w:val="0"/>
        </w:rPr>
        <w:t>London</w:t>
      </w:r>
    </w:p>
    <w:p w14:paraId="298B1919" w14:textId="77777777" w:rsidR="00B6307B" w:rsidRDefault="00B6307B" w:rsidP="002E4B24"/>
    <w:p w14:paraId="5B2E6287" w14:textId="77777777" w:rsidR="00A57ECD" w:rsidRDefault="00B6307B">
      <w:r>
        <w:t> </w:t>
      </w:r>
      <w:r w:rsidR="00A57ECD">
        <w:br w:type="page"/>
      </w:r>
    </w:p>
    <w:p w14:paraId="67A37D63" w14:textId="76A58558" w:rsidR="00B91A3A" w:rsidRPr="00AF60B5" w:rsidRDefault="00FB68EE" w:rsidP="00B91A3A">
      <w:pPr>
        <w:rPr>
          <w:b/>
        </w:rPr>
      </w:pPr>
      <w:r>
        <w:rPr>
          <w:b/>
        </w:rPr>
        <w:lastRenderedPageBreak/>
        <w:t>Background</w:t>
      </w:r>
    </w:p>
    <w:p w14:paraId="50D7DE6B" w14:textId="5FA2B410" w:rsidR="00A45467" w:rsidRDefault="00FB68EE" w:rsidP="0096103B">
      <w:r>
        <w:t xml:space="preserve">Early assessment of </w:t>
      </w:r>
      <w:r w:rsidR="00671C84">
        <w:t>frailty</w:t>
      </w:r>
      <w:r>
        <w:t xml:space="preserve"> is an important factor in guiding frailty</w:t>
      </w:r>
      <w:r w:rsidR="008D71FD">
        <w:t>-</w:t>
      </w:r>
      <w:r>
        <w:t>specific care</w:t>
      </w:r>
      <w:r w:rsidR="00671C84">
        <w:t xml:space="preserve"> in older major trauma patients. It is recommended this is performed in the E</w:t>
      </w:r>
      <w:r w:rsidR="004B334D">
        <w:t xml:space="preserve">mergency </w:t>
      </w:r>
      <w:r w:rsidR="00671C84">
        <w:t>D</w:t>
      </w:r>
      <w:r w:rsidR="004B334D">
        <w:t>epartment (ED)</w:t>
      </w:r>
      <w:r w:rsidR="00671C84">
        <w:t xml:space="preserve"> but there </w:t>
      </w:r>
      <w:r w:rsidR="008D71FD">
        <w:t xml:space="preserve">are time and clinical challenges to doing this accurately. </w:t>
      </w:r>
      <w:r w:rsidR="00A45467">
        <w:t>To increase rates of frailty screening in this group the measurement tool needs to be quick to complete</w:t>
      </w:r>
      <w:r w:rsidR="005732B4">
        <w:t xml:space="preserve"> and </w:t>
      </w:r>
      <w:r w:rsidR="00A45467">
        <w:t xml:space="preserve">easy to use. This study aimed to ascertain the preference of nursing staff completing frailty assessment in older major trauma patients in the </w:t>
      </w:r>
      <w:r w:rsidR="005732B4">
        <w:t>ED</w:t>
      </w:r>
      <w:r w:rsidR="00A45467">
        <w:t xml:space="preserve">. </w:t>
      </w:r>
    </w:p>
    <w:p w14:paraId="67B1D34C" w14:textId="714AE0CB" w:rsidR="00B91A3A" w:rsidRDefault="00B91A3A" w:rsidP="00B91A3A">
      <w:pPr>
        <w:rPr>
          <w:b/>
        </w:rPr>
      </w:pPr>
      <w:r w:rsidRPr="00586AE1">
        <w:rPr>
          <w:b/>
        </w:rPr>
        <w:t>Methods</w:t>
      </w:r>
      <w:r w:rsidR="007132B3">
        <w:rPr>
          <w:b/>
        </w:rPr>
        <w:t xml:space="preserve"> </w:t>
      </w:r>
    </w:p>
    <w:p w14:paraId="130144AB" w14:textId="69E245A0" w:rsidR="003D247E" w:rsidRDefault="007132B3" w:rsidP="00B91A3A">
      <w:r>
        <w:t>This prospective multi-centre study recruit</w:t>
      </w:r>
      <w:r w:rsidR="006732B2">
        <w:t>ed</w:t>
      </w:r>
      <w:r>
        <w:t xml:space="preserve"> from five UK </w:t>
      </w:r>
      <w:r w:rsidR="00013761">
        <w:t>M</w:t>
      </w:r>
      <w:r w:rsidR="00F1691F">
        <w:t xml:space="preserve">ajor </w:t>
      </w:r>
      <w:r w:rsidR="00013761">
        <w:t>T</w:t>
      </w:r>
      <w:r w:rsidR="00F1691F">
        <w:t xml:space="preserve">rauma </w:t>
      </w:r>
      <w:r w:rsidR="00013761">
        <w:t>C</w:t>
      </w:r>
      <w:r w:rsidR="00F1691F">
        <w:t>entre</w:t>
      </w:r>
      <w:r w:rsidR="00013761">
        <w:t>s</w:t>
      </w:r>
      <w:r>
        <w:t xml:space="preserve"> between June 2019 and March 2020. </w:t>
      </w:r>
      <w:r w:rsidR="002C60B8">
        <w:t xml:space="preserve">Eligible patients were aged 65 or over requiring ‘trauma team activation’ and admitted to hospital. </w:t>
      </w:r>
      <w:r w:rsidR="003D247E">
        <w:t>Patients were assessed for frailty by nurses trained to use three different frailty screening tools – the Clinical Frailty Scale</w:t>
      </w:r>
      <w:r w:rsidR="0030392E">
        <w:t xml:space="preserve"> (CFS)</w:t>
      </w:r>
      <w:r w:rsidR="003D247E">
        <w:t xml:space="preserve">, the PRISMA-7 </w:t>
      </w:r>
      <w:r w:rsidR="002C60B8">
        <w:t>tool,</w:t>
      </w:r>
      <w:r w:rsidR="003D247E">
        <w:t xml:space="preserve"> and the Trauma Specific </w:t>
      </w:r>
      <w:r w:rsidR="00942B19">
        <w:t>Frailty Index</w:t>
      </w:r>
      <w:r w:rsidR="007924DD">
        <w:t xml:space="preserve"> (TSFI)</w:t>
      </w:r>
      <w:r w:rsidR="00942B19">
        <w:t xml:space="preserve">. </w:t>
      </w:r>
      <w:r w:rsidR="002C60B8">
        <w:t xml:space="preserve">Completion rates for each of the tools were calculated and nurses were asked to rate their preference for each of the tools and the reasons for non-completion if relevant. </w:t>
      </w:r>
    </w:p>
    <w:p w14:paraId="4D9B6964" w14:textId="609EC1FB" w:rsidR="00B91A3A" w:rsidRPr="00586AE1" w:rsidRDefault="00B91A3A" w:rsidP="00B91A3A">
      <w:pPr>
        <w:rPr>
          <w:rFonts w:cstheme="minorHAnsi"/>
          <w:b/>
        </w:rPr>
      </w:pPr>
      <w:r w:rsidRPr="00586AE1">
        <w:rPr>
          <w:rFonts w:cstheme="minorHAnsi"/>
          <w:b/>
        </w:rPr>
        <w:t>Results</w:t>
      </w:r>
      <w:r w:rsidR="001002A0">
        <w:rPr>
          <w:rFonts w:cstheme="minorHAnsi"/>
          <w:b/>
        </w:rPr>
        <w:t xml:space="preserve"> </w:t>
      </w:r>
    </w:p>
    <w:p w14:paraId="202AE03E" w14:textId="3884F966" w:rsidR="0030392E" w:rsidRDefault="00807009" w:rsidP="00B91A3A">
      <w:r w:rsidRPr="00013761">
        <w:t xml:space="preserve">Data were analysed from </w:t>
      </w:r>
      <w:r w:rsidR="00827619">
        <w:t xml:space="preserve">370 patients. </w:t>
      </w:r>
      <w:r w:rsidR="00942B19">
        <w:t xml:space="preserve">Completion rates for each of the tools varied </w:t>
      </w:r>
      <w:r w:rsidR="007924DD">
        <w:t>with</w:t>
      </w:r>
      <w:r w:rsidR="00942B19">
        <w:t xml:space="preserve"> </w:t>
      </w:r>
      <w:r w:rsidR="004E098F">
        <w:t xml:space="preserve">highest degree of compliance </w:t>
      </w:r>
      <w:r w:rsidR="007924DD">
        <w:t xml:space="preserve">using the </w:t>
      </w:r>
      <w:r w:rsidR="0030392E">
        <w:t>CFS</w:t>
      </w:r>
      <w:r w:rsidR="007924DD">
        <w:t xml:space="preserve"> (98.9%). </w:t>
      </w:r>
      <w:r w:rsidR="005F7A6B">
        <w:t xml:space="preserve">TSFI was least </w:t>
      </w:r>
      <w:r w:rsidR="0030392E">
        <w:t xml:space="preserve">likely to be completed with “lack of available information to complete questions” as the most cited reason. </w:t>
      </w:r>
      <w:r w:rsidR="007924DD">
        <w:t xml:space="preserve">Nurses showed a clear preference for the </w:t>
      </w:r>
      <w:r w:rsidR="0030392E">
        <w:t>CFS</w:t>
      </w:r>
      <w:r w:rsidR="007924DD">
        <w:t xml:space="preserve"> with 57.3% ranking this as first choice (PRISMA-7 32.16%; TSFI 10.54%). </w:t>
      </w:r>
      <w:r w:rsidR="0030392E">
        <w:t xml:space="preserve">Both PRISMA-7 and CFS were both rated highly as ‘extremely easy to complete’ (PRISMA-7 58.5%, CFS 59.61%). </w:t>
      </w:r>
    </w:p>
    <w:p w14:paraId="1BABEDB2" w14:textId="718BEDB3" w:rsidR="00B91A3A" w:rsidRPr="0030392E" w:rsidRDefault="00B91A3A" w:rsidP="00B91A3A">
      <w:r w:rsidRPr="00C31A8D">
        <w:rPr>
          <w:rFonts w:cs="Calibri"/>
          <w:b/>
        </w:rPr>
        <w:t>Conclusion</w:t>
      </w:r>
      <w:r w:rsidR="001002A0">
        <w:rPr>
          <w:rFonts w:cs="Calibri"/>
          <w:b/>
        </w:rPr>
        <w:t xml:space="preserve"> </w:t>
      </w:r>
    </w:p>
    <w:p w14:paraId="45002609" w14:textId="2E911435" w:rsidR="001002A0" w:rsidRDefault="0030392E" w:rsidP="00590F89">
      <w:r>
        <w:t>User acceptability is an important consideration in the selection of a frailty measurement tool for use in major trauma patients. Our study shows the</w:t>
      </w:r>
      <w:r w:rsidR="004E098F">
        <w:t xml:space="preserve"> Clinical Frailty Scale </w:t>
      </w:r>
      <w:r>
        <w:t xml:space="preserve">has high rates of </w:t>
      </w:r>
      <w:r w:rsidR="009069F3">
        <w:t>completion and a</w:t>
      </w:r>
      <w:r>
        <w:t xml:space="preserve">cceptability and </w:t>
      </w:r>
      <w:r w:rsidR="004E098F">
        <w:t xml:space="preserve">can be implemented in practice for assessment of frailty in major trauma. </w:t>
      </w:r>
    </w:p>
    <w:p w14:paraId="0EC0FE03" w14:textId="1CDD7AE1" w:rsidR="008D71FD" w:rsidRDefault="008D71FD" w:rsidP="00590F89"/>
    <w:p w14:paraId="4104E709" w14:textId="77777777" w:rsidR="008D71FD" w:rsidRPr="003D3714" w:rsidRDefault="008D71FD" w:rsidP="008D71FD">
      <w:r>
        <w:t xml:space="preserve">Trial registration: </w:t>
      </w:r>
      <w:r w:rsidRPr="003D3714">
        <w:t>ISRCTN12345678</w:t>
      </w:r>
    </w:p>
    <w:p w14:paraId="742014BD" w14:textId="77777777" w:rsidR="008D71FD" w:rsidRDefault="008D71FD" w:rsidP="008D71FD">
      <w:r>
        <w:t>Funding: this work was supported by The Burdett Trust for Nursing.</w:t>
      </w:r>
    </w:p>
    <w:p w14:paraId="0DC89A03" w14:textId="4060A585" w:rsidR="008D71FD" w:rsidRDefault="008D71FD" w:rsidP="008D71FD">
      <w:pPr>
        <w:autoSpaceDE w:val="0"/>
        <w:autoSpaceDN w:val="0"/>
        <w:adjustRightInd w:val="0"/>
        <w:spacing w:after="0" w:line="240" w:lineRule="auto"/>
      </w:pPr>
      <w:r>
        <w:t>Ethical approval</w:t>
      </w:r>
      <w:r w:rsidR="00C87B26">
        <w:t xml:space="preserve"> and informed consent</w:t>
      </w:r>
      <w:r>
        <w:t xml:space="preserve">: </w:t>
      </w:r>
      <w:r w:rsidRPr="003D3714">
        <w:t>The</w:t>
      </w:r>
      <w:r>
        <w:t xml:space="preserve"> </w:t>
      </w:r>
      <w:r w:rsidRPr="003D3714">
        <w:t>study was approved by the UK Social Care Research</w:t>
      </w:r>
      <w:r>
        <w:t xml:space="preserve"> </w:t>
      </w:r>
      <w:r w:rsidRPr="003D3714">
        <w:t>Ethics Committee (REC no 19/IEC08/0006)</w:t>
      </w:r>
      <w:r w:rsidR="00C87B26">
        <w:t xml:space="preserve">. Informed consent was sought from all participants. </w:t>
      </w:r>
      <w:r w:rsidRPr="003D3714">
        <w:t xml:space="preserve"> </w:t>
      </w:r>
    </w:p>
    <w:p w14:paraId="537B374C" w14:textId="161BBBEB" w:rsidR="008D71FD" w:rsidRDefault="008D71FD" w:rsidP="008D71FD"/>
    <w:sectPr w:rsidR="008D71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D21FF" w14:textId="77777777" w:rsidR="00500C6C" w:rsidRDefault="00500C6C" w:rsidP="00500C6C">
      <w:pPr>
        <w:spacing w:after="0" w:line="240" w:lineRule="auto"/>
      </w:pPr>
      <w:r>
        <w:separator/>
      </w:r>
    </w:p>
  </w:endnote>
  <w:endnote w:type="continuationSeparator" w:id="0">
    <w:p w14:paraId="2B278220" w14:textId="77777777" w:rsidR="00500C6C" w:rsidRDefault="00500C6C" w:rsidP="00500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87054" w14:textId="77777777" w:rsidR="00300BAE" w:rsidRDefault="00300B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2743" w14:textId="32654B21" w:rsidR="00500C6C" w:rsidRDefault="00300BAE" w:rsidP="00027CE9">
    <w:pPr>
      <w:pStyle w:val="NoSpacing"/>
      <w:rPr>
        <w:noProof/>
      </w:rPr>
    </w:pPr>
    <w:r>
      <w:t>EuSEM abstract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A1FF5" w14:textId="77777777" w:rsidR="00300BAE" w:rsidRDefault="00300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1EE54" w14:textId="77777777" w:rsidR="00500C6C" w:rsidRDefault="00500C6C" w:rsidP="00500C6C">
      <w:pPr>
        <w:spacing w:after="0" w:line="240" w:lineRule="auto"/>
      </w:pPr>
      <w:r>
        <w:separator/>
      </w:r>
    </w:p>
  </w:footnote>
  <w:footnote w:type="continuationSeparator" w:id="0">
    <w:p w14:paraId="1FE40F34" w14:textId="77777777" w:rsidR="00500C6C" w:rsidRDefault="00500C6C" w:rsidP="00500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5B0D" w14:textId="77777777" w:rsidR="00300BAE" w:rsidRDefault="00300B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00270" w14:textId="77777777" w:rsidR="00300BAE" w:rsidRDefault="00300B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0CB0C" w14:textId="77777777" w:rsidR="00300BAE" w:rsidRDefault="00300B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B48F5"/>
    <w:multiLevelType w:val="multilevel"/>
    <w:tmpl w:val="9F282DD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07B"/>
    <w:rsid w:val="00000273"/>
    <w:rsid w:val="00013761"/>
    <w:rsid w:val="000218E8"/>
    <w:rsid w:val="00027CE9"/>
    <w:rsid w:val="000416EF"/>
    <w:rsid w:val="000557EF"/>
    <w:rsid w:val="00076D86"/>
    <w:rsid w:val="00084EA7"/>
    <w:rsid w:val="0009580C"/>
    <w:rsid w:val="000A62E9"/>
    <w:rsid w:val="000D2664"/>
    <w:rsid w:val="001002A0"/>
    <w:rsid w:val="001358B1"/>
    <w:rsid w:val="002475E9"/>
    <w:rsid w:val="00252E0A"/>
    <w:rsid w:val="0025561C"/>
    <w:rsid w:val="0026201D"/>
    <w:rsid w:val="00281A61"/>
    <w:rsid w:val="002C526A"/>
    <w:rsid w:val="002C60B8"/>
    <w:rsid w:val="002C695F"/>
    <w:rsid w:val="002E4B24"/>
    <w:rsid w:val="002F653A"/>
    <w:rsid w:val="00300BAE"/>
    <w:rsid w:val="0030392E"/>
    <w:rsid w:val="003516D6"/>
    <w:rsid w:val="00381655"/>
    <w:rsid w:val="00390951"/>
    <w:rsid w:val="003D247E"/>
    <w:rsid w:val="003D2C58"/>
    <w:rsid w:val="003E773E"/>
    <w:rsid w:val="003F178C"/>
    <w:rsid w:val="00411BDD"/>
    <w:rsid w:val="0041251B"/>
    <w:rsid w:val="004516A2"/>
    <w:rsid w:val="00455E97"/>
    <w:rsid w:val="00495D55"/>
    <w:rsid w:val="004B334D"/>
    <w:rsid w:val="004C737A"/>
    <w:rsid w:val="004E098F"/>
    <w:rsid w:val="004E535B"/>
    <w:rsid w:val="00500C6C"/>
    <w:rsid w:val="00527AAE"/>
    <w:rsid w:val="005354E9"/>
    <w:rsid w:val="005732B4"/>
    <w:rsid w:val="00573A39"/>
    <w:rsid w:val="00586AE1"/>
    <w:rsid w:val="00590F89"/>
    <w:rsid w:val="005A6378"/>
    <w:rsid w:val="005B37D8"/>
    <w:rsid w:val="005B68CD"/>
    <w:rsid w:val="005F7A6B"/>
    <w:rsid w:val="00621444"/>
    <w:rsid w:val="00655B21"/>
    <w:rsid w:val="00671C84"/>
    <w:rsid w:val="006732B2"/>
    <w:rsid w:val="007132B3"/>
    <w:rsid w:val="007924DD"/>
    <w:rsid w:val="007B2358"/>
    <w:rsid w:val="00807009"/>
    <w:rsid w:val="00827619"/>
    <w:rsid w:val="008353DA"/>
    <w:rsid w:val="00851A1B"/>
    <w:rsid w:val="0089724E"/>
    <w:rsid w:val="008D5265"/>
    <w:rsid w:val="008D71FD"/>
    <w:rsid w:val="008E20F8"/>
    <w:rsid w:val="008E7B78"/>
    <w:rsid w:val="009069F3"/>
    <w:rsid w:val="009248D2"/>
    <w:rsid w:val="00924F3A"/>
    <w:rsid w:val="00942B19"/>
    <w:rsid w:val="0096103B"/>
    <w:rsid w:val="00971357"/>
    <w:rsid w:val="009A6A1D"/>
    <w:rsid w:val="009C1BBB"/>
    <w:rsid w:val="009D6586"/>
    <w:rsid w:val="009E73FE"/>
    <w:rsid w:val="009F33E0"/>
    <w:rsid w:val="00A24871"/>
    <w:rsid w:val="00A45467"/>
    <w:rsid w:val="00A57ECD"/>
    <w:rsid w:val="00A76627"/>
    <w:rsid w:val="00AB5023"/>
    <w:rsid w:val="00AF60B5"/>
    <w:rsid w:val="00B2128C"/>
    <w:rsid w:val="00B42D39"/>
    <w:rsid w:val="00B6307B"/>
    <w:rsid w:val="00B64CE7"/>
    <w:rsid w:val="00B91A3A"/>
    <w:rsid w:val="00B91B8D"/>
    <w:rsid w:val="00BB7C13"/>
    <w:rsid w:val="00C03822"/>
    <w:rsid w:val="00C269A1"/>
    <w:rsid w:val="00C31A8D"/>
    <w:rsid w:val="00C449CC"/>
    <w:rsid w:val="00C87B26"/>
    <w:rsid w:val="00C90C85"/>
    <w:rsid w:val="00D056F4"/>
    <w:rsid w:val="00D109B8"/>
    <w:rsid w:val="00D10E41"/>
    <w:rsid w:val="00D374B3"/>
    <w:rsid w:val="00D76F40"/>
    <w:rsid w:val="00D95638"/>
    <w:rsid w:val="00E100BD"/>
    <w:rsid w:val="00E8686A"/>
    <w:rsid w:val="00E90926"/>
    <w:rsid w:val="00EC0D96"/>
    <w:rsid w:val="00F1691F"/>
    <w:rsid w:val="00F262B8"/>
    <w:rsid w:val="00F540B2"/>
    <w:rsid w:val="00F77C4B"/>
    <w:rsid w:val="00F86EBC"/>
    <w:rsid w:val="00FB68EE"/>
    <w:rsid w:val="00FD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0DAC9AD"/>
  <w15:docId w15:val="{50282D9C-F68C-4471-95D5-0231D4CA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 A"/>
    <w:basedOn w:val="Normal"/>
    <w:next w:val="Normal"/>
    <w:link w:val="Heading1Char"/>
    <w:uiPriority w:val="9"/>
    <w:qFormat/>
    <w:rsid w:val="00B64CE7"/>
    <w:pPr>
      <w:numPr>
        <w:numId w:val="1"/>
      </w:numPr>
      <w:spacing w:before="60" w:after="100" w:afterAutospacing="1" w:line="240" w:lineRule="auto"/>
      <w:ind w:left="357" w:hanging="357"/>
      <w:outlineLvl w:val="0"/>
    </w:pPr>
    <w:rPr>
      <w:rFonts w:ascii="Calibri" w:eastAsiaTheme="minorEastAsia" w:hAnsi="Calibri" w:cstheme="minorHAnsi"/>
      <w:b/>
      <w:caps/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7A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99"/>
    <w:qFormat/>
    <w:rsid w:val="00FD04B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57ECD"/>
    <w:rPr>
      <w:b/>
      <w:bCs/>
      <w:i/>
      <w:iCs/>
      <w:color w:val="5B9BD5" w:themeColor="accent1"/>
    </w:rPr>
  </w:style>
  <w:style w:type="character" w:customStyle="1" w:styleId="Heading1Char">
    <w:name w:val="Heading 1 Char"/>
    <w:aliases w:val="Heading A Char"/>
    <w:basedOn w:val="DefaultParagraphFont"/>
    <w:link w:val="Heading1"/>
    <w:uiPriority w:val="9"/>
    <w:rsid w:val="00B64CE7"/>
    <w:rPr>
      <w:rFonts w:ascii="Calibri" w:eastAsiaTheme="minorEastAsia" w:hAnsi="Calibri" w:cstheme="minorHAnsi"/>
      <w:b/>
      <w:caps/>
      <w:sz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64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4CE7"/>
    <w:pPr>
      <w:spacing w:before="100" w:beforeAutospacing="1" w:after="100" w:afterAutospacing="1" w:line="240" w:lineRule="auto"/>
    </w:pPr>
    <w:rPr>
      <w:rFonts w:ascii="Calibri" w:hAnsi="Calibri" w:cs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4CE7"/>
    <w:rPr>
      <w:rFonts w:ascii="Calibri" w:hAnsi="Calibri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CE7"/>
    <w:rPr>
      <w:rFonts w:ascii="Segoe UI" w:hAnsi="Segoe UI" w:cs="Segoe UI"/>
      <w:sz w:val="18"/>
      <w:szCs w:val="18"/>
    </w:rPr>
  </w:style>
  <w:style w:type="character" w:customStyle="1" w:styleId="ordinal-number">
    <w:name w:val="ordinal-number"/>
    <w:basedOn w:val="DefaultParagraphFont"/>
    <w:rsid w:val="00D056F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A3A"/>
    <w:pPr>
      <w:spacing w:before="0" w:beforeAutospacing="0" w:after="160" w:afterAutospacing="0"/>
    </w:pPr>
    <w:rPr>
      <w:rFonts w:ascii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A3A"/>
    <w:rPr>
      <w:rFonts w:ascii="Calibri" w:hAnsi="Calibri" w:cs="Arial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0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C6C"/>
  </w:style>
  <w:style w:type="paragraph" w:styleId="Footer">
    <w:name w:val="footer"/>
    <w:basedOn w:val="Normal"/>
    <w:link w:val="FooterChar"/>
    <w:uiPriority w:val="99"/>
    <w:unhideWhenUsed/>
    <w:rsid w:val="00500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C6C"/>
  </w:style>
  <w:style w:type="character" w:customStyle="1" w:styleId="normaltextrun">
    <w:name w:val="normaltextrun"/>
    <w:basedOn w:val="DefaultParagraphFont"/>
    <w:rsid w:val="004E535B"/>
  </w:style>
  <w:style w:type="character" w:customStyle="1" w:styleId="Heading2Char">
    <w:name w:val="Heading 2 Char"/>
    <w:basedOn w:val="DefaultParagraphFont"/>
    <w:link w:val="Heading2"/>
    <w:uiPriority w:val="9"/>
    <w:semiHidden/>
    <w:rsid w:val="00527A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E73FE"/>
    <w:pPr>
      <w:spacing w:after="240" w:line="240" w:lineRule="auto"/>
      <w:contextualSpacing/>
      <w:jc w:val="center"/>
    </w:pPr>
    <w:rPr>
      <w:rFonts w:eastAsiaTheme="majorEastAsia" w:cstheme="majorBidi"/>
      <w:b/>
      <w:spacing w:val="5"/>
      <w:kern w:val="28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9E73FE"/>
    <w:rPr>
      <w:rFonts w:eastAsiaTheme="majorEastAsia" w:cstheme="majorBidi"/>
      <w:b/>
      <w:spacing w:val="5"/>
      <w:kern w:val="28"/>
      <w:sz w:val="26"/>
      <w:szCs w:val="26"/>
    </w:rPr>
  </w:style>
  <w:style w:type="table" w:styleId="TableGrid">
    <w:name w:val="Table Grid"/>
    <w:basedOn w:val="TableNormal"/>
    <w:uiPriority w:val="59"/>
    <w:rsid w:val="001002A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27C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StGeorges Hospital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Jarman</dc:creator>
  <cp:lastModifiedBy>Heather Jarman</cp:lastModifiedBy>
  <cp:revision>5</cp:revision>
  <dcterms:created xsi:type="dcterms:W3CDTF">2022-05-12T05:53:00Z</dcterms:created>
  <dcterms:modified xsi:type="dcterms:W3CDTF">2022-10-28T06:47:00Z</dcterms:modified>
</cp:coreProperties>
</file>