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2D36" w14:textId="339B56CD" w:rsidR="00284C55" w:rsidRPr="00B64058" w:rsidRDefault="00284C55" w:rsidP="00284C55">
      <w:pPr>
        <w:spacing w:before="120" w:line="480" w:lineRule="auto"/>
        <w:rPr>
          <w:rFonts w:cstheme="minorHAnsi"/>
          <w:b/>
          <w:color w:val="000000" w:themeColor="text1"/>
          <w:sz w:val="32"/>
          <w:szCs w:val="32"/>
        </w:rPr>
      </w:pPr>
      <w:r w:rsidRPr="00B64058">
        <w:rPr>
          <w:rFonts w:cstheme="minorHAnsi"/>
          <w:b/>
          <w:color w:val="000000" w:themeColor="text1"/>
          <w:sz w:val="32"/>
          <w:szCs w:val="32"/>
        </w:rPr>
        <w:t>Assessment of Flomoxef Combined with Amikacin in a Hollow Fiber Model for the Treatment of Neonatal Sepsis in Low- and Middle-Income Healthcare Settings – Supplementary Data</w:t>
      </w:r>
    </w:p>
    <w:p w14:paraId="695DC96B" w14:textId="16EFDC4F" w:rsidR="00284C55" w:rsidRPr="00B64058" w:rsidRDefault="00284C55" w:rsidP="00284C55">
      <w:pPr>
        <w:spacing w:before="120" w:line="480" w:lineRule="auto"/>
        <w:rPr>
          <w:rFonts w:cstheme="minorHAnsi"/>
          <w:b/>
          <w:color w:val="000000" w:themeColor="text1"/>
        </w:rPr>
      </w:pPr>
      <w:r w:rsidRPr="00B64058">
        <w:rPr>
          <w:rFonts w:cstheme="minorHAnsi"/>
          <w:b/>
          <w:color w:val="000000" w:themeColor="text1"/>
        </w:rPr>
        <w:t>Supplementary text 1 – Bioanalysis method details</w:t>
      </w:r>
    </w:p>
    <w:p w14:paraId="04D57B7E" w14:textId="77777777" w:rsidR="00284C55" w:rsidRPr="00B64058" w:rsidRDefault="00284C55" w:rsidP="00284C55">
      <w:pPr>
        <w:spacing w:before="120" w:line="480" w:lineRule="auto"/>
        <w:jc w:val="both"/>
        <w:rPr>
          <w:color w:val="000000" w:themeColor="text1"/>
        </w:rPr>
      </w:pPr>
      <w:r w:rsidRPr="00B64058">
        <w:rPr>
          <w:b/>
          <w:bCs/>
          <w:color w:val="000000" w:themeColor="text1"/>
        </w:rPr>
        <w:t xml:space="preserve">Flomoxef Bioanalysis. </w:t>
      </w:r>
      <w:r w:rsidRPr="00B64058">
        <w:rPr>
          <w:color w:val="000000" w:themeColor="text1"/>
        </w:rPr>
        <w:t xml:space="preserve">The internal standard, Moxalactam (Cayman Chemicals, USA) was prepared in acetonitrile (25 mg/L, Fisher Scientific UK) and 200 </w:t>
      </w:r>
      <w:r w:rsidRPr="00B64058">
        <w:rPr>
          <w:color w:val="000000" w:themeColor="text1"/>
        </w:rPr>
        <w:sym w:font="Symbol" w:char="F06D"/>
      </w:r>
      <w:r w:rsidRPr="00B64058">
        <w:rPr>
          <w:color w:val="000000" w:themeColor="text1"/>
        </w:rPr>
        <w:t xml:space="preserve">L was added to a 96-well protein precipitation plate (Phenomenex, Cheshire, UK).  Fifty </w:t>
      </w:r>
      <w:r w:rsidRPr="00B64058">
        <w:rPr>
          <w:color w:val="000000" w:themeColor="text1"/>
        </w:rPr>
        <w:sym w:font="Symbol" w:char="F06D"/>
      </w:r>
      <w:r w:rsidRPr="00B64058">
        <w:rPr>
          <w:color w:val="000000" w:themeColor="text1"/>
        </w:rPr>
        <w:t xml:space="preserve">L each of samples, blanks, calibrators in the range 0.1 – 50 mg/L and quality controls (0.75, 7.5 and 37.5 mg/L) were mixed with the internal standard on an orbital shaker.  Liquid was drawn through the protein precipitation plate into a collection plate using a positive pressure manifold with water and water containing 0.1% formic acid (200 </w:t>
      </w:r>
      <w:r w:rsidRPr="00B64058">
        <w:rPr>
          <w:color w:val="000000" w:themeColor="text1"/>
        </w:rPr>
        <w:sym w:font="Symbol" w:char="F06D"/>
      </w:r>
      <w:r w:rsidRPr="00B64058">
        <w:rPr>
          <w:color w:val="000000" w:themeColor="text1"/>
        </w:rPr>
        <w:t xml:space="preserve">L) added to each well, before sealing and mixing on an orbital shaker prior to analysis by liquid chromatography-tandem mass spectrometry (LC-MS/MS).  </w:t>
      </w:r>
    </w:p>
    <w:p w14:paraId="0CEF3771" w14:textId="77777777" w:rsidR="00284C55" w:rsidRPr="00B64058" w:rsidRDefault="00284C55" w:rsidP="00284C55">
      <w:pPr>
        <w:spacing w:before="120" w:line="480" w:lineRule="auto"/>
        <w:jc w:val="both"/>
        <w:rPr>
          <w:color w:val="000000" w:themeColor="text1"/>
        </w:rPr>
      </w:pPr>
      <w:r w:rsidRPr="00B64058">
        <w:rPr>
          <w:color w:val="000000" w:themeColor="text1"/>
        </w:rPr>
        <w:t xml:space="preserve">LC-MS/MS analysis was performed using an Agilent 1290 Infinity high-performance liquid chromatography (HPLC) system coupled to an Agilent 6420 triple-quadrupole mass spectrometer fitted with an electrospray source controlled using Agilent </w:t>
      </w:r>
      <w:proofErr w:type="spellStart"/>
      <w:r w:rsidRPr="00B64058">
        <w:rPr>
          <w:color w:val="000000" w:themeColor="text1"/>
        </w:rPr>
        <w:t>MassHunter</w:t>
      </w:r>
      <w:proofErr w:type="spellEnd"/>
      <w:r w:rsidRPr="00B64058">
        <w:rPr>
          <w:color w:val="000000" w:themeColor="text1"/>
        </w:rPr>
        <w:t xml:space="preserve"> data acquisition software (version B.06.00).  Analytes were injected (4 </w:t>
      </w:r>
      <w:r w:rsidRPr="00B64058">
        <w:rPr>
          <w:color w:val="000000" w:themeColor="text1"/>
        </w:rPr>
        <w:sym w:font="Symbol" w:char="F06D"/>
      </w:r>
      <w:r w:rsidRPr="00B64058">
        <w:rPr>
          <w:color w:val="000000" w:themeColor="text1"/>
        </w:rPr>
        <w:t xml:space="preserve">L) onto an </w:t>
      </w:r>
      <w:r w:rsidRPr="00B64058">
        <w:rPr>
          <w:rFonts w:cstheme="minorHAnsi"/>
          <w:bCs/>
        </w:rPr>
        <w:t xml:space="preserve">Phenomenex </w:t>
      </w:r>
      <w:r w:rsidRPr="00B64058">
        <w:rPr>
          <w:rFonts w:cstheme="minorHAnsi"/>
          <w:lang w:eastAsia="de-DE"/>
        </w:rPr>
        <w:t xml:space="preserve"> </w:t>
      </w:r>
      <w:proofErr w:type="spellStart"/>
      <w:r w:rsidRPr="00B64058">
        <w:rPr>
          <w:rFonts w:cstheme="minorHAnsi"/>
          <w:lang w:eastAsia="de-DE"/>
        </w:rPr>
        <w:t>Kinetex</w:t>
      </w:r>
      <w:proofErr w:type="spellEnd"/>
      <w:r w:rsidRPr="00B64058">
        <w:rPr>
          <w:rFonts w:cstheme="minorHAnsi"/>
          <w:lang w:eastAsia="de-DE"/>
        </w:rPr>
        <w:t xml:space="preserve"> C18 column (100 A, 2.1 mm x 50 mm, 2.6 µm) </w:t>
      </w:r>
      <w:r w:rsidRPr="00B64058">
        <w:rPr>
          <w:color w:val="000000" w:themeColor="text1"/>
        </w:rPr>
        <w:t xml:space="preserve">and separated over a 4 min. gradient using a mixture of solvents A (LC-MS grade water containing 0.1% formic acid) and B (HPLC grade acetonitrile containing 0.1% formic acid). Separations were performed by applying a linear gradient of 95% to 5% solvent A over 2.50 mins at 0.6 mL/min followed by an equilibration step (1.5 mins at 95% solvent A). </w:t>
      </w:r>
    </w:p>
    <w:p w14:paraId="502E9309" w14:textId="77777777" w:rsidR="00284C55" w:rsidRPr="00B64058" w:rsidRDefault="00284C55" w:rsidP="00284C55">
      <w:pPr>
        <w:spacing w:before="120" w:line="480" w:lineRule="auto"/>
        <w:jc w:val="both"/>
        <w:rPr>
          <w:color w:val="000000" w:themeColor="text1"/>
        </w:rPr>
      </w:pPr>
      <w:r w:rsidRPr="00B64058">
        <w:rPr>
          <w:color w:val="000000" w:themeColor="text1"/>
        </w:rPr>
        <w:lastRenderedPageBreak/>
        <w:t xml:space="preserve">The mass spectrometer was operated in positive ion mode using a Multiple Reaction Monitoring (MRM) method with the specified mass transitions and collision energies: flomoxef </w:t>
      </w:r>
      <w:r w:rsidRPr="00B64058">
        <w:rPr>
          <w:rFonts w:cs="Arial"/>
        </w:rPr>
        <w:t>497.0 &gt; 199.0</w:t>
      </w:r>
      <w:r w:rsidRPr="00B64058">
        <w:rPr>
          <w:color w:val="000000" w:themeColor="text1"/>
        </w:rPr>
        <w:t xml:space="preserve"> (Ce 15 ev) and moxalactam </w:t>
      </w:r>
      <w:r w:rsidRPr="00B64058">
        <w:rPr>
          <w:rFonts w:cs="Arial"/>
        </w:rPr>
        <w:t>521.0 &gt; 377.0</w:t>
      </w:r>
      <w:r w:rsidRPr="00B64058">
        <w:rPr>
          <w:color w:val="000000" w:themeColor="text1"/>
        </w:rPr>
        <w:t xml:space="preserve"> (Ce 10 ev).  </w:t>
      </w:r>
      <w:r w:rsidRPr="00B64058">
        <w:t xml:space="preserve">Mass spectrometry readouts were processed using Agilent </w:t>
      </w:r>
      <w:proofErr w:type="spellStart"/>
      <w:r w:rsidRPr="00B64058">
        <w:t>MassHunter</w:t>
      </w:r>
      <w:proofErr w:type="spellEnd"/>
      <w:r w:rsidRPr="00B64058">
        <w:t xml:space="preserve"> quantitative analysis (version B.05.02). Prior to sample analysis, the analytical method was validated to assess recovery and matrix effects, </w:t>
      </w:r>
      <w:proofErr w:type="spellStart"/>
      <w:r w:rsidRPr="00B64058">
        <w:t>interday</w:t>
      </w:r>
      <w:proofErr w:type="spellEnd"/>
      <w:r w:rsidRPr="00B64058">
        <w:t xml:space="preserve"> and intraday accuracy and precision, carryover, dilution integrity, stability in the matrix (4 h at room temperature and three-freeze thaw cycles), and processed sample stability (reinjection of extracts after 24 h).</w:t>
      </w:r>
    </w:p>
    <w:p w14:paraId="25CBA7D3" w14:textId="77777777" w:rsidR="00284C55" w:rsidRPr="00B64058" w:rsidRDefault="00284C55" w:rsidP="00284C55">
      <w:pPr>
        <w:spacing w:before="120" w:line="480" w:lineRule="auto"/>
        <w:jc w:val="both"/>
        <w:rPr>
          <w:color w:val="000000" w:themeColor="text1"/>
        </w:rPr>
      </w:pPr>
      <w:r w:rsidRPr="00B64058">
        <w:rPr>
          <w:color w:val="000000" w:themeColor="text1"/>
        </w:rPr>
        <w:t>The average recovery from matrix was 83%.  The LLQ was defined as 0.1 mg/L and the LOD 0.05 mg/L.  The inter- and intra-day %CV on the three QC levels ranged from 5.04% – 7.65% and -5.68% – 2.16% respectively.  The analyte was found to be stable in all conditions described above.</w:t>
      </w:r>
    </w:p>
    <w:p w14:paraId="10F1FE2E" w14:textId="77777777" w:rsidR="00284C55" w:rsidRPr="00B64058" w:rsidRDefault="00284C55" w:rsidP="00284C55">
      <w:pPr>
        <w:spacing w:before="120" w:line="480" w:lineRule="auto"/>
        <w:rPr>
          <w:b/>
          <w:bCs/>
          <w:color w:val="000000" w:themeColor="text1"/>
        </w:rPr>
      </w:pPr>
    </w:p>
    <w:p w14:paraId="2EB0EADA" w14:textId="77777777" w:rsidR="00284C55" w:rsidRPr="00B64058" w:rsidRDefault="00284C55" w:rsidP="00284C55">
      <w:pPr>
        <w:spacing w:before="120" w:line="480" w:lineRule="auto"/>
        <w:rPr>
          <w:color w:val="000000" w:themeColor="text1"/>
        </w:rPr>
      </w:pPr>
      <w:r w:rsidRPr="00B64058">
        <w:rPr>
          <w:b/>
          <w:bCs/>
          <w:color w:val="000000" w:themeColor="text1"/>
        </w:rPr>
        <w:t xml:space="preserve">Amikacin Bioanalysis. </w:t>
      </w:r>
      <w:r w:rsidRPr="00B64058">
        <w:rPr>
          <w:color w:val="000000" w:themeColor="text1"/>
        </w:rPr>
        <w:t>The internal standard, [</w:t>
      </w:r>
      <w:r w:rsidRPr="00B64058">
        <w:rPr>
          <w:color w:val="000000" w:themeColor="text1"/>
          <w:vertAlign w:val="superscript"/>
        </w:rPr>
        <w:t>2</w:t>
      </w:r>
      <w:r w:rsidRPr="00B64058">
        <w:rPr>
          <w:color w:val="000000" w:themeColor="text1"/>
        </w:rPr>
        <w:t>H</w:t>
      </w:r>
      <w:r w:rsidRPr="00B64058">
        <w:rPr>
          <w:color w:val="000000" w:themeColor="text1"/>
          <w:vertAlign w:val="subscript"/>
        </w:rPr>
        <w:t>5</w:t>
      </w:r>
      <w:r w:rsidRPr="00B64058">
        <w:rPr>
          <w:color w:val="000000" w:themeColor="text1"/>
        </w:rPr>
        <w:t>] amikacin (</w:t>
      </w:r>
      <w:proofErr w:type="spellStart"/>
      <w:r w:rsidRPr="00B64058">
        <w:rPr>
          <w:color w:val="000000" w:themeColor="text1"/>
        </w:rPr>
        <w:t>Alsachim</w:t>
      </w:r>
      <w:proofErr w:type="spellEnd"/>
      <w:r w:rsidRPr="00B64058">
        <w:rPr>
          <w:color w:val="000000" w:themeColor="text1"/>
        </w:rPr>
        <w:t xml:space="preserve">, </w:t>
      </w:r>
      <w:proofErr w:type="spellStart"/>
      <w:r w:rsidRPr="00B64058">
        <w:rPr>
          <w:color w:val="000000" w:themeColor="text1"/>
        </w:rPr>
        <w:t>Illkirch-Graffenstaden</w:t>
      </w:r>
      <w:proofErr w:type="spellEnd"/>
      <w:r w:rsidRPr="00B64058">
        <w:rPr>
          <w:color w:val="000000" w:themeColor="text1"/>
        </w:rPr>
        <w:t xml:space="preserve">, France) was prepared in acetonitrile plus 5% trichloroacetic acid (TCA) (25 mg/L, Fisher Scientific, UK) and 150 </w:t>
      </w:r>
      <w:r w:rsidRPr="00B64058">
        <w:rPr>
          <w:color w:val="000000" w:themeColor="text1"/>
        </w:rPr>
        <w:sym w:font="Symbol" w:char="F06D"/>
      </w:r>
      <w:r w:rsidRPr="00B64058">
        <w:rPr>
          <w:color w:val="000000" w:themeColor="text1"/>
        </w:rPr>
        <w:t xml:space="preserve">L was added to a 96-well protein precipitation plate (Phenomenex, Cheshire, UK).  Fifty </w:t>
      </w:r>
      <w:r w:rsidRPr="00B64058">
        <w:rPr>
          <w:color w:val="000000" w:themeColor="text1"/>
        </w:rPr>
        <w:sym w:font="Symbol" w:char="F06D"/>
      </w:r>
      <w:r w:rsidRPr="00B64058">
        <w:rPr>
          <w:color w:val="000000" w:themeColor="text1"/>
        </w:rPr>
        <w:t>L each of samples, blanks, calibrators in the range 0.5 – 50 mg/L and quality controls (0.75, 7.5 and 37.5 mg/L) were mixed with the internal standard on an orbital shaker.  Liquid was drawn through the protein precipitation plate into a collection plate using a positive pressure manifold.  Samples were evaporated under nitrogen (40 L/min) followed by reconstitution in water (Fisher Scientific, UK) and 0.1% heptafluorobutyric acid [Sigma-Aldrich, UK] and mixed using an orbital shaker prior to analysis by LC-MS-MS.</w:t>
      </w:r>
    </w:p>
    <w:p w14:paraId="542E7341" w14:textId="77777777" w:rsidR="00284C55" w:rsidRPr="00B64058" w:rsidRDefault="00284C55" w:rsidP="00284C55">
      <w:pPr>
        <w:spacing w:before="120" w:line="480" w:lineRule="auto"/>
        <w:rPr>
          <w:color w:val="000000" w:themeColor="text1"/>
        </w:rPr>
      </w:pPr>
      <w:r w:rsidRPr="00B64058">
        <w:rPr>
          <w:color w:val="000000" w:themeColor="text1"/>
        </w:rPr>
        <w:lastRenderedPageBreak/>
        <w:t xml:space="preserve">LC-MS-MS analysis was performed using an Agilent 1290 Infinity HPLC coupled to an Agilent 6420 triple quadrupole mass spectrometer fitted with an electrospray source controlled using Agilent </w:t>
      </w:r>
      <w:proofErr w:type="spellStart"/>
      <w:r w:rsidRPr="00B64058">
        <w:rPr>
          <w:color w:val="000000" w:themeColor="text1"/>
        </w:rPr>
        <w:t>MassHunter</w:t>
      </w:r>
      <w:proofErr w:type="spellEnd"/>
      <w:r w:rsidRPr="00B64058">
        <w:rPr>
          <w:color w:val="000000" w:themeColor="text1"/>
        </w:rPr>
        <w:t xml:space="preserve"> Data Acquisition software (Ver B.06.00).  Analytes were injected (5 </w:t>
      </w:r>
      <w:r w:rsidRPr="00B64058">
        <w:rPr>
          <w:color w:val="000000" w:themeColor="text1"/>
        </w:rPr>
        <w:sym w:font="Symbol" w:char="F06D"/>
      </w:r>
      <w:r w:rsidRPr="00B64058">
        <w:rPr>
          <w:color w:val="000000" w:themeColor="text1"/>
        </w:rPr>
        <w:t xml:space="preserve">L) onto a </w:t>
      </w:r>
      <w:r w:rsidRPr="00B64058">
        <w:rPr>
          <w:bCs/>
          <w:color w:val="000000" w:themeColor="text1"/>
        </w:rPr>
        <w:t xml:space="preserve">Discovery® HS C18 HPLC Column </w:t>
      </w:r>
      <w:r w:rsidRPr="00B64058">
        <w:rPr>
          <w:color w:val="000000" w:themeColor="text1"/>
        </w:rPr>
        <w:t xml:space="preserve">(2.1 mm x 50 mm, 3 µm, 50°C) and separated over a 3.5 min. gradient using a mixture of solvents A (LC-MS grade water with 0.1% (v/v) heptafluorobutyric acid) and B (HPLC grade acetonitrile with 0.1% (v/v) heptafluorobutyric acid). Separations were performed by applying a linear gradient of 2% to 98% solvent B over 3 mins at 0.5 mL/min followed by an equilibration step (0.5 mins at 2% solvent B). </w:t>
      </w:r>
    </w:p>
    <w:p w14:paraId="15085816" w14:textId="77777777" w:rsidR="00284C55" w:rsidRPr="00B64058" w:rsidRDefault="00284C55" w:rsidP="00284C55">
      <w:pPr>
        <w:spacing w:before="120" w:line="480" w:lineRule="auto"/>
        <w:rPr>
          <w:color w:val="000000" w:themeColor="text1"/>
        </w:rPr>
      </w:pPr>
      <w:r w:rsidRPr="00B64058">
        <w:rPr>
          <w:color w:val="000000" w:themeColor="text1"/>
        </w:rPr>
        <w:t>The mass spectrometer was operated in positive ion mode using a Multiple Reaction Monitoring (MRM) method with the specified mass transitions and collision energies: amikacin 586.4 &gt; 163.2 (Ce 30 ev) and [</w:t>
      </w:r>
      <w:r w:rsidRPr="00B64058">
        <w:rPr>
          <w:color w:val="000000" w:themeColor="text1"/>
          <w:vertAlign w:val="superscript"/>
        </w:rPr>
        <w:t>2</w:t>
      </w:r>
      <w:r w:rsidRPr="00B64058">
        <w:rPr>
          <w:color w:val="000000" w:themeColor="text1"/>
        </w:rPr>
        <w:t>H</w:t>
      </w:r>
      <w:r w:rsidRPr="00B64058">
        <w:rPr>
          <w:color w:val="000000" w:themeColor="text1"/>
          <w:vertAlign w:val="subscript"/>
        </w:rPr>
        <w:t>5</w:t>
      </w:r>
      <w:r w:rsidRPr="00B64058">
        <w:rPr>
          <w:color w:val="000000" w:themeColor="text1"/>
        </w:rPr>
        <w:t>] amikacin 591.3 &gt; 163.2 (Ce 30 ev). Mass spectrometry readouts were processed using Agilent Mass Hunter Quantitative Analysis (Ver B.05.02).</w:t>
      </w:r>
    </w:p>
    <w:p w14:paraId="7C2804CD" w14:textId="77777777" w:rsidR="00284C55" w:rsidRPr="00B64058" w:rsidRDefault="00284C55" w:rsidP="00284C55">
      <w:pPr>
        <w:spacing w:before="120" w:line="480" w:lineRule="auto"/>
        <w:rPr>
          <w:color w:val="000000" w:themeColor="text1"/>
        </w:rPr>
      </w:pPr>
      <w:r w:rsidRPr="00B64058">
        <w:rPr>
          <w:color w:val="000000" w:themeColor="text1"/>
        </w:rPr>
        <w:t>Prior to sample analysis, the analytical method was validated to assess recovery and matrix effects, inter- and intra-day accuracy and precision, carryover, dilution integrity, stability in matrix (4 hours at room temperature and 3 freeze thaw cycles) and processed sample stability (reinjection of extracts after 24hrs).  The average recovery from matrix was 75.3%.  The limit of quantification (LLQ) was defined as 0.5 mg/L and the limit of detection (LOD) 0.25 mg/L.  The inter- and intra-day %CV on the three QC levels ranged from 2.5% – 5.7% and 2.9% – 6.41% respectively.  The analyte was found to be stable in all conditions described above.</w:t>
      </w:r>
    </w:p>
    <w:p w14:paraId="0AE38F5B" w14:textId="35203710" w:rsidR="00284C55" w:rsidRPr="00B64058" w:rsidRDefault="00284C55">
      <w:pPr>
        <w:rPr>
          <w:rFonts w:cstheme="minorHAnsi"/>
          <w:b/>
          <w:color w:val="000000" w:themeColor="text1"/>
        </w:rPr>
      </w:pPr>
      <w:r w:rsidRPr="00B64058">
        <w:rPr>
          <w:rFonts w:cstheme="minorHAnsi"/>
          <w:b/>
          <w:color w:val="000000" w:themeColor="text1"/>
        </w:rPr>
        <w:br w:type="page"/>
      </w:r>
    </w:p>
    <w:p w14:paraId="383E0961" w14:textId="044ED392" w:rsidR="00284C55" w:rsidRPr="00B64058" w:rsidRDefault="00284C55" w:rsidP="00284C55">
      <w:pPr>
        <w:spacing w:before="120" w:line="480" w:lineRule="auto"/>
        <w:rPr>
          <w:b/>
          <w:bCs/>
          <w:color w:val="000000" w:themeColor="text1"/>
        </w:rPr>
      </w:pPr>
      <w:r w:rsidRPr="00B64058">
        <w:rPr>
          <w:b/>
          <w:bCs/>
          <w:color w:val="000000" w:themeColor="text1"/>
        </w:rPr>
        <w:lastRenderedPageBreak/>
        <w:t>Supplementary Text 2</w:t>
      </w:r>
    </w:p>
    <w:p w14:paraId="5F174C4C" w14:textId="7834A636" w:rsidR="00284C55" w:rsidRPr="00B64058" w:rsidRDefault="00284C55" w:rsidP="00284C55">
      <w:pPr>
        <w:spacing w:before="120" w:line="480" w:lineRule="auto"/>
        <w:rPr>
          <w:color w:val="000000" w:themeColor="text1"/>
        </w:rPr>
      </w:pPr>
      <w:r w:rsidRPr="00B64058">
        <w:rPr>
          <w:color w:val="000000" w:themeColor="text1"/>
        </w:rPr>
        <w:t>The structural model used in the population PK model of the 16-arm HFIM experiment took the form as follows:</w:t>
      </w:r>
    </w:p>
    <w:p w14:paraId="3EFA9F3C" w14:textId="77777777" w:rsidR="00284C55" w:rsidRPr="00B64058" w:rsidRDefault="00284C55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 xml:space="preserve">[1].   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dX1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=R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1</m:t>
              </m:r>
            </m:e>
          </m:d>
          <m:r>
            <w:rPr>
              <w:rFonts w:ascii="Cambria Math" w:hAnsi="Cambria Math"/>
              <w:color w:val="000000" w:themeColor="text1"/>
              <w:sz w:val="20"/>
              <w:szCs w:val="20"/>
            </w:rPr>
            <m:t>-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0"/>
                      <w:szCs w:val="20"/>
                    </w:rPr>
                    <m:t>Cl1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0"/>
                      <w:szCs w:val="20"/>
                    </w:rPr>
                    <m:t>V1</m:t>
                  </m:r>
                </m:den>
              </m:f>
            </m:e>
          </m:d>
          <m:r>
            <w:rPr>
              <w:rFonts w:ascii="Cambria Math" w:hAnsi="Cambria Math"/>
              <w:color w:val="000000" w:themeColor="text1"/>
              <w:sz w:val="20"/>
              <w:szCs w:val="20"/>
            </w:rPr>
            <m:t>*X1</m:t>
          </m:r>
        </m:oMath>
      </m:oMathPara>
    </w:p>
    <w:p w14:paraId="2FBBA833" w14:textId="77777777" w:rsidR="00284C55" w:rsidRPr="00B64058" w:rsidRDefault="00284C55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r>
            <w:rPr>
              <w:rFonts w:ascii="Cambria Math" w:hAnsi="Cambria Math"/>
              <w:color w:val="000000" w:themeColor="text1"/>
              <w:sz w:val="20"/>
              <w:szCs w:val="20"/>
            </w:rPr>
            <m:t xml:space="preserve">[2].     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dX2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=R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2</m:t>
              </m:r>
            </m:e>
          </m:d>
          <m:r>
            <w:rPr>
              <w:rFonts w:ascii="Cambria Math" w:hAnsi="Cambria Math"/>
              <w:color w:val="000000" w:themeColor="text1"/>
              <w:sz w:val="20"/>
              <w:szCs w:val="20"/>
            </w:rPr>
            <m:t>-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0"/>
                      <w:szCs w:val="20"/>
                    </w:rPr>
                    <m:t>Cl2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0"/>
                      <w:szCs w:val="20"/>
                    </w:rPr>
                    <m:t>V2</m:t>
                  </m:r>
                </m:den>
              </m:f>
            </m:e>
          </m:d>
          <m:r>
            <w:rPr>
              <w:rFonts w:ascii="Cambria Math" w:hAnsi="Cambria Math"/>
              <w:color w:val="000000" w:themeColor="text1"/>
              <w:sz w:val="20"/>
              <w:szCs w:val="20"/>
            </w:rPr>
            <m:t>*X2</m:t>
          </m:r>
        </m:oMath>
      </m:oMathPara>
    </w:p>
    <w:p w14:paraId="4D30797A" w14:textId="77777777" w:rsidR="00284C55" w:rsidRPr="00B64058" w:rsidRDefault="00284C55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r>
            <w:rPr>
              <w:rFonts w:ascii="Cambria Math" w:hAnsi="Cambria Math"/>
              <w:color w:val="000000" w:themeColor="text1"/>
              <w:sz w:val="20"/>
              <w:szCs w:val="20"/>
            </w:rPr>
            <m:t xml:space="preserve">[3a].      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dX3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=X3*(Kgs*(1-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20"/>
                      <w:szCs w:val="20"/>
                    </w:rPr>
                    <m:t>X3+X4+X5</m:t>
                  </m:r>
                </m:e>
              </m:d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POPmax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)-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Kks*XMs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(1+XMs)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)</m:t>
          </m:r>
        </m:oMath>
      </m:oMathPara>
    </w:p>
    <w:p w14:paraId="57B12C10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3b</m:t>
              </m:r>
            </m:e>
          </m:d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. if X1=0 then XMs=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X2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V2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50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H2s</m:t>
              </m:r>
            </m:sup>
          </m:sSup>
        </m:oMath>
      </m:oMathPara>
    </w:p>
    <w:p w14:paraId="42F44D7C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3c</m:t>
              </m:r>
            </m:e>
          </m:d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. if X2=0 then XMs=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X1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V1</m:t>
                          </m:r>
                        </m:den>
                      </m:f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E50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H1s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 xml:space="preserve"> </m:t>
          </m:r>
        </m:oMath>
      </m:oMathPara>
    </w:p>
    <w:p w14:paraId="314D6890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3d</m:t>
              </m:r>
            </m:e>
          </m:d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 xml:space="preserve">. Else: 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V1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E50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s*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XMs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H1s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V2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E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50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s*XMs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H2s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(α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 xml:space="preserve">*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V1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V2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E50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s*E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50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s*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XMs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H1s+H2s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=1</m:t>
          </m:r>
        </m:oMath>
      </m:oMathPara>
    </w:p>
    <w:p w14:paraId="01B11FFA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4a</m:t>
              </m:r>
            </m:e>
          </m:d>
          <m:r>
            <w:rPr>
              <w:rFonts w:ascii="Cambria Math" w:hAnsi="Cambria Math"/>
              <w:color w:val="000000" w:themeColor="text1"/>
              <w:sz w:val="20"/>
              <w:szCs w:val="20"/>
            </w:rPr>
            <m:t xml:space="preserve">.      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dX4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=X4*(Kgr1*(1-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20"/>
                      <w:szCs w:val="20"/>
                    </w:rPr>
                    <m:t>X3+X4+X5</m:t>
                  </m:r>
                </m:e>
              </m:d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POPmax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)-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Kkr1*XMr1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(1+XMr1)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)</m:t>
          </m:r>
        </m:oMath>
      </m:oMathPara>
    </w:p>
    <w:p w14:paraId="03246E20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4b</m:t>
              </m:r>
            </m:e>
          </m:d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. if X1=0 then XMr1=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X2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V2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50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r1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H2r1</m:t>
              </m:r>
            </m:sup>
          </m:sSup>
        </m:oMath>
      </m:oMathPara>
    </w:p>
    <w:p w14:paraId="27A16CDD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4c</m:t>
              </m:r>
            </m:e>
          </m:d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. if X2=0 then XMr1=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X1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V1</m:t>
                          </m:r>
                        </m:den>
                      </m:f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E50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r1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H1r1</m:t>
              </m:r>
            </m:sup>
          </m:sSup>
        </m:oMath>
      </m:oMathPara>
    </w:p>
    <w:p w14:paraId="76DA1D57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4d</m:t>
              </m:r>
            </m:e>
          </m:d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 xml:space="preserve">. Else: 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V1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E50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r1*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XMr1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H1r1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V2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E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50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r1*XMr1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H2r1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(α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r1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 xml:space="preserve">*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V1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V2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E50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r1*E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50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r1*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XMr1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H1r1+H2r1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=1</m:t>
          </m:r>
        </m:oMath>
      </m:oMathPara>
    </w:p>
    <w:p w14:paraId="28A47A9C" w14:textId="77777777" w:rsidR="00284C55" w:rsidRPr="00B64058" w:rsidRDefault="00284C55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r>
            <w:rPr>
              <w:rFonts w:ascii="Cambria Math" w:hAnsi="Cambria Math"/>
              <w:color w:val="000000" w:themeColor="text1"/>
              <w:sz w:val="20"/>
              <w:szCs w:val="20"/>
            </w:rPr>
            <m:t xml:space="preserve">[5a].     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dX5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=X5*(Kgr2*(1-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20"/>
                      <w:szCs w:val="20"/>
                    </w:rPr>
                    <m:t>X3+X4+X5</m:t>
                  </m:r>
                </m:e>
              </m:d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POPmax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)-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Kkr2*XMr2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(1+XMr2)</m:t>
              </m:r>
            </m:den>
          </m:f>
          <m:r>
            <w:rPr>
              <w:rFonts w:ascii="Cambria Math" w:hAnsi="Cambria Math"/>
              <w:color w:val="000000" w:themeColor="text1"/>
              <w:sz w:val="20"/>
              <w:szCs w:val="20"/>
            </w:rPr>
            <m:t>)</m:t>
          </m:r>
        </m:oMath>
      </m:oMathPara>
    </w:p>
    <w:p w14:paraId="49006AA5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5b</m:t>
              </m:r>
            </m:e>
          </m:d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. if X1=0 then XMr2=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X2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V2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50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r2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H2r2</m:t>
              </m:r>
            </m:sup>
          </m:sSup>
        </m:oMath>
      </m:oMathPara>
    </w:p>
    <w:p w14:paraId="300809B8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5c</m:t>
              </m:r>
            </m:e>
          </m:d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. if X2=0 then XMr2=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X1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V1</m:t>
                          </m:r>
                        </m:den>
                      </m:f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E50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r2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H1r2</m:t>
              </m:r>
            </m:sup>
          </m:sSup>
        </m:oMath>
      </m:oMathPara>
    </w:p>
    <w:p w14:paraId="3F69A026" w14:textId="77777777" w:rsidR="00284C55" w:rsidRPr="00B64058" w:rsidRDefault="00000000" w:rsidP="00284C55">
      <w:pPr>
        <w:spacing w:before="120" w:line="480" w:lineRule="auto"/>
        <w:rPr>
          <w:rFonts w:eastAsiaTheme="minorEastAsia"/>
          <w:color w:val="000000" w:themeColor="text1"/>
          <w:sz w:val="20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5d</m:t>
              </m:r>
            </m:e>
          </m:d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 xml:space="preserve">. Else: 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V1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E50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r2*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XMr2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H1r2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V2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E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50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r2*XMr2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H2r2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(α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r2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 xml:space="preserve">*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V1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V2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E50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r2*E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50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r2*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XMr2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H1r2+H2r2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0"/>
                          <w:szCs w:val="20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  <w:sz w:val="20"/>
              <w:szCs w:val="20"/>
            </w:rPr>
            <m:t>=1</m:t>
          </m:r>
        </m:oMath>
      </m:oMathPara>
    </w:p>
    <w:p w14:paraId="5231B682" w14:textId="77777777" w:rsidR="00284C55" w:rsidRPr="00B64058" w:rsidRDefault="00284C55" w:rsidP="00284C55">
      <w:pPr>
        <w:spacing w:before="120" w:line="480" w:lineRule="auto"/>
        <w:rPr>
          <w:rFonts w:eastAsiaTheme="minorEastAsia"/>
          <w:color w:val="000000" w:themeColor="text1"/>
        </w:rPr>
      </w:pPr>
      <w:r w:rsidRPr="00B64058">
        <w:rPr>
          <w:rFonts w:eastAsiaTheme="minorEastAsia"/>
          <w:color w:val="000000" w:themeColor="text1"/>
        </w:rPr>
        <w:t>Equations 1 and 2 model the mass of flomoxef (X1) and amikacin (X2) over time (t). R(1) and R(2) refer the rate of addition of each drug to the HFIM system; Cl1 and Cl2 refer to the clearance of each drug; and V1 and V2 refer to the volume of distribution.</w:t>
      </w:r>
    </w:p>
    <w:p w14:paraId="583377DC" w14:textId="04A92C42" w:rsidR="00284C55" w:rsidRPr="00B64058" w:rsidRDefault="00284C55" w:rsidP="00284C55">
      <w:pPr>
        <w:spacing w:before="120" w:line="480" w:lineRule="auto"/>
        <w:rPr>
          <w:rFonts w:eastAsiaTheme="minorEastAsia"/>
          <w:color w:val="000000" w:themeColor="text1"/>
        </w:rPr>
      </w:pPr>
      <w:r w:rsidRPr="00B64058">
        <w:rPr>
          <w:rFonts w:eastAsiaTheme="minorEastAsia"/>
          <w:color w:val="000000" w:themeColor="text1"/>
        </w:rPr>
        <w:t xml:space="preserve">Equations 3, 4 and 5 model the bacterial populations that are fully susceptible (X3), resistant to flomoxef (X4), and resistant to amikacin (X5) </w:t>
      </w:r>
      <w:r w:rsidR="00CB43B0" w:rsidRPr="00B64058">
        <w:rPr>
          <w:rFonts w:eastAsiaTheme="minorEastAsia"/>
          <w:color w:val="000000" w:themeColor="text1"/>
        </w:rPr>
        <w:t xml:space="preserve">(as quantified by bacterial growth on 4xMIC agar plates) </w:t>
      </w:r>
      <w:r w:rsidRPr="00B64058">
        <w:rPr>
          <w:rFonts w:eastAsiaTheme="minorEastAsia"/>
          <w:color w:val="000000" w:themeColor="text1"/>
        </w:rPr>
        <w:t>over time (t). All equations are identical except for the suffixes on equation terms associated with each population (s, r1 and r2, respectively).</w:t>
      </w:r>
    </w:p>
    <w:p w14:paraId="498A1C92" w14:textId="77777777" w:rsidR="00284C55" w:rsidRPr="00B64058" w:rsidRDefault="00284C55" w:rsidP="00284C55">
      <w:pPr>
        <w:spacing w:before="120" w:line="480" w:lineRule="auto"/>
        <w:rPr>
          <w:rFonts w:eastAsiaTheme="minorEastAsia"/>
          <w:color w:val="000000" w:themeColor="text1"/>
        </w:rPr>
      </w:pPr>
      <w:r w:rsidRPr="00B64058">
        <w:rPr>
          <w:rFonts w:eastAsiaTheme="minorEastAsia"/>
          <w:color w:val="000000" w:themeColor="text1"/>
        </w:rPr>
        <w:t xml:space="preserve">Equation 3a-5a model the growth bacterial population and kill due any present antibiotics. Kgs, Kgr1 and Kgr2 are the growth constant for each population; </w:t>
      </w:r>
      <w:proofErr w:type="spellStart"/>
      <w:r w:rsidRPr="00B64058">
        <w:rPr>
          <w:rFonts w:eastAsiaTheme="minorEastAsia"/>
          <w:color w:val="000000" w:themeColor="text1"/>
        </w:rPr>
        <w:t>POPmax</w:t>
      </w:r>
      <w:proofErr w:type="spellEnd"/>
      <w:r w:rsidRPr="00B64058">
        <w:rPr>
          <w:rFonts w:eastAsiaTheme="minorEastAsia"/>
          <w:color w:val="000000" w:themeColor="text1"/>
        </w:rPr>
        <w:t xml:space="preserve"> is the maximum bacterial population concentration within the HFIM; and </w:t>
      </w:r>
      <w:proofErr w:type="spellStart"/>
      <w:r w:rsidRPr="00B64058">
        <w:rPr>
          <w:rFonts w:eastAsiaTheme="minorEastAsia"/>
          <w:color w:val="000000" w:themeColor="text1"/>
        </w:rPr>
        <w:t>Kks</w:t>
      </w:r>
      <w:proofErr w:type="spellEnd"/>
      <w:r w:rsidRPr="00B64058">
        <w:rPr>
          <w:rFonts w:eastAsiaTheme="minorEastAsia"/>
          <w:color w:val="000000" w:themeColor="text1"/>
        </w:rPr>
        <w:t>, Kkr1 and Kkr2 are the kill constants for each population.</w:t>
      </w:r>
    </w:p>
    <w:p w14:paraId="5276EB39" w14:textId="77777777" w:rsidR="00284C55" w:rsidRPr="00B64058" w:rsidRDefault="00284C55" w:rsidP="00284C55">
      <w:pPr>
        <w:spacing w:before="120" w:line="480" w:lineRule="auto"/>
        <w:rPr>
          <w:rFonts w:eastAsiaTheme="minorEastAsia"/>
          <w:color w:val="000000" w:themeColor="text1"/>
        </w:rPr>
      </w:pPr>
      <w:r w:rsidRPr="00B64058">
        <w:rPr>
          <w:rFonts w:eastAsiaTheme="minorEastAsia"/>
          <w:color w:val="000000" w:themeColor="text1"/>
        </w:rPr>
        <w:t>XMs, XMr1 and XMr2 are conditional composite terms. If X1 or X2 = 0 (i.e., one drug is absent), then equations 3-5b-c define these functions, where H1 and H2 refer to the Hill constant for flomoxef and amikacin suffixed by the relevant population marker (s, r1 or r2) and E50</w:t>
      </w:r>
      <w:r w:rsidRPr="00B64058">
        <w:rPr>
          <w:rFonts w:eastAsiaTheme="minorEastAsia"/>
          <w:color w:val="000000" w:themeColor="text1"/>
          <w:vertAlign w:val="subscript"/>
        </w:rPr>
        <w:t>1</w:t>
      </w:r>
      <w:r w:rsidRPr="00B64058">
        <w:rPr>
          <w:rFonts w:eastAsiaTheme="minorEastAsia"/>
          <w:color w:val="000000" w:themeColor="text1"/>
        </w:rPr>
        <w:t xml:space="preserve"> and E50</w:t>
      </w:r>
      <w:r w:rsidRPr="00B64058">
        <w:rPr>
          <w:rFonts w:eastAsiaTheme="minorEastAsia"/>
          <w:color w:val="000000" w:themeColor="text1"/>
          <w:vertAlign w:val="subscript"/>
        </w:rPr>
        <w:t>2</w:t>
      </w:r>
      <w:r w:rsidRPr="00B64058">
        <w:rPr>
          <w:rFonts w:eastAsiaTheme="minorEastAsia"/>
          <w:color w:val="000000" w:themeColor="text1"/>
        </w:rPr>
        <w:t xml:space="preserve"> refer to the concentrations of flomoxef and amikacin required to achieve 50% of maximal efficacy in each bacterial population. In these circumstances, equations 3-5a describe a standard Emax model.</w:t>
      </w:r>
    </w:p>
    <w:p w14:paraId="2FED28AC" w14:textId="3C227D65" w:rsidR="00284C55" w:rsidRPr="00B64058" w:rsidRDefault="00284C55" w:rsidP="00284C55">
      <w:pPr>
        <w:spacing w:before="120" w:line="480" w:lineRule="auto"/>
        <w:rPr>
          <w:rFonts w:eastAsiaTheme="minorEastAsia"/>
          <w:color w:val="000000" w:themeColor="text1"/>
        </w:rPr>
      </w:pPr>
      <w:r w:rsidRPr="00B64058">
        <w:rPr>
          <w:rFonts w:eastAsiaTheme="minorEastAsia"/>
          <w:color w:val="000000" w:themeColor="text1"/>
        </w:rPr>
        <w:lastRenderedPageBreak/>
        <w:t xml:space="preserve">When X1 &gt; 0 and X2 &gt; 0 (i.e., either drug is present), equations 3-5d define XMs, XMr1 and XMr2. These equations replicate Greco’s model of synergy </w:t>
      </w:r>
      <w:r w:rsidRPr="00B64058">
        <w:rPr>
          <w:rFonts w:eastAsiaTheme="minorEastAsia"/>
          <w:color w:val="000000" w:themeColor="text1"/>
        </w:rPr>
        <w:fldChar w:fldCharType="begin" w:fldLock="1"/>
      </w:r>
      <w:r w:rsidRPr="00B64058">
        <w:rPr>
          <w:rFonts w:eastAsiaTheme="minorEastAsia"/>
          <w:color w:val="000000" w:themeColor="text1"/>
        </w:rPr>
        <w:instrText>ADDIN CSL_CITATION {"citationItems":[{"id":"ITEM-1","itemData":{"ISSN":"00316997","PMID":"7568331","author":[{"dropping-particle":"","family":"Greco","given":"W. R.","non-dropping-particle":"","parse-names":false,"suffix":""},{"dropping-particle":"","family":"Bravo","given":"G.","non-dropping-particle":"","parse-names":false,"suffix":""},{"dropping-particle":"","family":"Parsons","given":"J. C.","non-dropping-particle":"","parse-names":false,"suffix":""}],"container-title":"Pharmacological Reviews","id":"ITEM-1","issue":"2","issued":{"date-parts":[["1995"]]},"page":"331-385","title":"The search for synergy: A critical review from a response surface perspective","type":"article-journal","volume":"47"},"uris":["http://www.mendeley.com/documents/?uuid=09711f40-8780-378e-954e-5bd53fbfaac1"]}],"mendeley":{"formattedCitation":"&lt;sup&gt;52&lt;/sup&gt;","plainTextFormattedCitation":"52","previouslyFormattedCitation":"&lt;sup&gt;52&lt;/sup&gt;"},"properties":{"noteIndex":0},"schema":"https://github.com/citation-style-language/schema/raw/master/csl-citation.json"}</w:instrText>
      </w:r>
      <w:r w:rsidRPr="00B64058">
        <w:rPr>
          <w:rFonts w:eastAsiaTheme="minorEastAsia"/>
          <w:color w:val="000000" w:themeColor="text1"/>
        </w:rPr>
        <w:fldChar w:fldCharType="separate"/>
      </w:r>
      <w:r w:rsidRPr="00B64058">
        <w:rPr>
          <w:rFonts w:eastAsiaTheme="minorEastAsia"/>
          <w:noProof/>
          <w:color w:val="000000" w:themeColor="text1"/>
          <w:vertAlign w:val="superscript"/>
        </w:rPr>
        <w:t>52</w:t>
      </w:r>
      <w:r w:rsidRPr="00B64058">
        <w:rPr>
          <w:rFonts w:eastAsiaTheme="minorEastAsia"/>
          <w:color w:val="000000" w:themeColor="text1"/>
        </w:rPr>
        <w:fldChar w:fldCharType="end"/>
      </w:r>
      <w:r w:rsidRPr="00B64058">
        <w:rPr>
          <w:rFonts w:eastAsiaTheme="minorEastAsia"/>
          <w:color w:val="000000" w:themeColor="text1"/>
        </w:rPr>
        <w:t xml:space="preserve">, with </w:t>
      </w:r>
      <w:r w:rsidRPr="00B64058">
        <w:rPr>
          <w:rFonts w:eastAsiaTheme="minorEastAsia"/>
          <w:color w:val="000000" w:themeColor="text1"/>
        </w:rPr>
        <w:sym w:font="Symbol" w:char="F061"/>
      </w:r>
      <w:r w:rsidRPr="00B64058">
        <w:rPr>
          <w:rFonts w:eastAsiaTheme="minorEastAsia"/>
          <w:color w:val="000000" w:themeColor="text1"/>
          <w:vertAlign w:val="subscript"/>
        </w:rPr>
        <w:t>s</w:t>
      </w:r>
      <w:r w:rsidRPr="00B64058">
        <w:rPr>
          <w:rFonts w:eastAsiaTheme="minorEastAsia"/>
          <w:color w:val="000000" w:themeColor="text1"/>
        </w:rPr>
        <w:t xml:space="preserve">, </w:t>
      </w:r>
      <w:r w:rsidRPr="00B64058">
        <w:rPr>
          <w:rFonts w:eastAsiaTheme="minorEastAsia"/>
          <w:color w:val="000000" w:themeColor="text1"/>
        </w:rPr>
        <w:sym w:font="Symbol" w:char="F061"/>
      </w:r>
      <w:r w:rsidRPr="00B64058">
        <w:rPr>
          <w:rFonts w:eastAsiaTheme="minorEastAsia"/>
          <w:color w:val="000000" w:themeColor="text1"/>
          <w:vertAlign w:val="subscript"/>
        </w:rPr>
        <w:t xml:space="preserve">r1 </w:t>
      </w:r>
      <w:r w:rsidRPr="00B64058">
        <w:rPr>
          <w:rFonts w:eastAsiaTheme="minorEastAsia"/>
          <w:color w:val="000000" w:themeColor="text1"/>
        </w:rPr>
        <w:t xml:space="preserve">and </w:t>
      </w:r>
      <w:r w:rsidRPr="00B64058">
        <w:rPr>
          <w:rFonts w:eastAsiaTheme="minorEastAsia"/>
          <w:color w:val="000000" w:themeColor="text1"/>
        </w:rPr>
        <w:sym w:font="Symbol" w:char="F061"/>
      </w:r>
      <w:r w:rsidRPr="00B64058">
        <w:rPr>
          <w:rFonts w:eastAsiaTheme="minorEastAsia"/>
          <w:color w:val="000000" w:themeColor="text1"/>
          <w:vertAlign w:val="subscript"/>
        </w:rPr>
        <w:t xml:space="preserve">r2 </w:t>
      </w:r>
      <w:r w:rsidRPr="00B64058">
        <w:rPr>
          <w:rFonts w:eastAsiaTheme="minorEastAsia"/>
          <w:color w:val="000000" w:themeColor="text1"/>
        </w:rPr>
        <w:t xml:space="preserve">representing the interaction term for flomoxef and amikacin in each bacterial population. Under these conditions, XMs, XMr1 and XMr2 represent the composite term (E/(Econ-E)), where E is the measured effect of the present drugs and Econ is the control response. As the equations 3-5d are in an unclosed form, the values of XMs, XMr1 and XMr2 were determined via a </w:t>
      </w:r>
      <w:proofErr w:type="spellStart"/>
      <w:r w:rsidRPr="00B64058">
        <w:rPr>
          <w:rFonts w:eastAsiaTheme="minorEastAsia"/>
          <w:color w:val="000000" w:themeColor="text1"/>
        </w:rPr>
        <w:t>Nelder</w:t>
      </w:r>
      <w:proofErr w:type="spellEnd"/>
      <w:r w:rsidRPr="00B64058">
        <w:rPr>
          <w:rFonts w:eastAsiaTheme="minorEastAsia"/>
          <w:color w:val="000000" w:themeColor="text1"/>
        </w:rPr>
        <w:t>-Mead algorithm.</w:t>
      </w:r>
    </w:p>
    <w:p w14:paraId="12315546" w14:textId="09A12025" w:rsidR="005271F1" w:rsidRPr="00B64058" w:rsidRDefault="005271F1">
      <w:pPr>
        <w:rPr>
          <w:rFonts w:eastAsiaTheme="minorEastAsia"/>
          <w:color w:val="000000" w:themeColor="text1"/>
        </w:rPr>
      </w:pPr>
      <w:r w:rsidRPr="00B64058">
        <w:rPr>
          <w:rFonts w:eastAsiaTheme="minorEastAsia"/>
          <w:color w:val="000000" w:themeColor="text1"/>
        </w:rPr>
        <w:br w:type="page"/>
      </w:r>
    </w:p>
    <w:p w14:paraId="2681CA9B" w14:textId="77777777" w:rsidR="00C11B25" w:rsidRPr="00B64058" w:rsidRDefault="00B04FFB">
      <w:pPr>
        <w:rPr>
          <w:b/>
          <w:bCs/>
        </w:rPr>
      </w:pPr>
      <w:r w:rsidRPr="00B64058">
        <w:rPr>
          <w:b/>
          <w:bCs/>
        </w:rPr>
        <w:lastRenderedPageBreak/>
        <w:t>Supplementary Tables</w:t>
      </w:r>
    </w:p>
    <w:p w14:paraId="12BA0950" w14:textId="77777777" w:rsidR="00C11B25" w:rsidRPr="00B64058" w:rsidRDefault="00C11B25">
      <w:pPr>
        <w:rPr>
          <w:b/>
          <w:bCs/>
        </w:rPr>
      </w:pP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671"/>
        <w:gridCol w:w="1577"/>
        <w:gridCol w:w="1806"/>
        <w:gridCol w:w="1672"/>
        <w:gridCol w:w="1048"/>
        <w:gridCol w:w="1236"/>
      </w:tblGrid>
      <w:tr w:rsidR="00C11B25" w:rsidRPr="00B64058" w14:paraId="145C92CF" w14:textId="77777777" w:rsidTr="00C84C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0603F864" w14:textId="77777777" w:rsidR="00C11B25" w:rsidRPr="00B64058" w:rsidRDefault="00C11B25" w:rsidP="00C84CE6">
            <w:pPr>
              <w:jc w:val="center"/>
              <w:rPr>
                <w:b w:val="0"/>
                <w:sz w:val="24"/>
                <w:szCs w:val="24"/>
              </w:rPr>
            </w:pPr>
            <w:r w:rsidRPr="00B64058">
              <w:rPr>
                <w:b w:val="0"/>
                <w:sz w:val="24"/>
                <w:szCs w:val="24"/>
              </w:rPr>
              <w:t>Species</w:t>
            </w:r>
          </w:p>
        </w:tc>
        <w:tc>
          <w:tcPr>
            <w:tcW w:w="1578" w:type="dxa"/>
            <w:vAlign w:val="center"/>
          </w:tcPr>
          <w:p w14:paraId="615CBBE3" w14:textId="77777777" w:rsidR="00C11B25" w:rsidRPr="00B64058" w:rsidRDefault="00C11B25" w:rsidP="00C84C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64058">
              <w:rPr>
                <w:b w:val="0"/>
                <w:sz w:val="24"/>
                <w:szCs w:val="24"/>
              </w:rPr>
              <w:t>Isolate</w:t>
            </w:r>
          </w:p>
        </w:tc>
        <w:tc>
          <w:tcPr>
            <w:tcW w:w="1807" w:type="dxa"/>
            <w:vAlign w:val="center"/>
          </w:tcPr>
          <w:p w14:paraId="3DA0F012" w14:textId="77777777" w:rsidR="00C11B25" w:rsidRPr="00B64058" w:rsidRDefault="00C11B25" w:rsidP="00C84C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64058">
              <w:rPr>
                <w:b w:val="0"/>
                <w:sz w:val="24"/>
                <w:szCs w:val="24"/>
              </w:rPr>
              <w:t>Known Resistance Mechanisms</w:t>
            </w:r>
          </w:p>
        </w:tc>
        <w:tc>
          <w:tcPr>
            <w:tcW w:w="1673" w:type="dxa"/>
            <w:vAlign w:val="center"/>
          </w:tcPr>
          <w:p w14:paraId="6226BF00" w14:textId="77777777" w:rsidR="00C11B25" w:rsidRPr="00B64058" w:rsidRDefault="00C11B25" w:rsidP="00C84C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64058">
              <w:rPr>
                <w:b w:val="0"/>
                <w:sz w:val="24"/>
                <w:szCs w:val="24"/>
              </w:rPr>
              <w:t>Source</w:t>
            </w:r>
          </w:p>
        </w:tc>
        <w:tc>
          <w:tcPr>
            <w:tcW w:w="1048" w:type="dxa"/>
          </w:tcPr>
          <w:p w14:paraId="037A4263" w14:textId="77777777" w:rsidR="00C11B25" w:rsidRPr="00B64058" w:rsidRDefault="00C11B25" w:rsidP="00C84C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64058">
              <w:rPr>
                <w:b w:val="0"/>
              </w:rPr>
              <w:t>Flomoxef MIC (mg/L)</w:t>
            </w:r>
          </w:p>
        </w:tc>
        <w:tc>
          <w:tcPr>
            <w:tcW w:w="1237" w:type="dxa"/>
          </w:tcPr>
          <w:p w14:paraId="04518C36" w14:textId="297F3606" w:rsidR="00C11B25" w:rsidRPr="00B64058" w:rsidRDefault="00D859D7" w:rsidP="00C84C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64058">
              <w:rPr>
                <w:b w:val="0"/>
              </w:rPr>
              <w:t>Amikacin</w:t>
            </w:r>
            <w:r w:rsidR="00C11B25" w:rsidRPr="00B64058">
              <w:rPr>
                <w:b w:val="0"/>
              </w:rPr>
              <w:t xml:space="preserve"> MIC </w:t>
            </w:r>
          </w:p>
          <w:p w14:paraId="477CA897" w14:textId="77777777" w:rsidR="00C11B25" w:rsidRPr="00B64058" w:rsidRDefault="00C11B25" w:rsidP="00C84C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64058">
              <w:rPr>
                <w:b w:val="0"/>
              </w:rPr>
              <w:t>(mg/L)</w:t>
            </w:r>
          </w:p>
        </w:tc>
      </w:tr>
      <w:tr w:rsidR="00C11B25" w:rsidRPr="00B64058" w14:paraId="77060E79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3E78BC88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38E58320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NCTC 13352*</w:t>
            </w:r>
          </w:p>
        </w:tc>
        <w:tc>
          <w:tcPr>
            <w:tcW w:w="1807" w:type="dxa"/>
            <w:vAlign w:val="center"/>
          </w:tcPr>
          <w:p w14:paraId="57E434AC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  <w:sz w:val="24"/>
                <w:szCs w:val="24"/>
              </w:rPr>
              <w:t>TEM-10</w:t>
            </w:r>
          </w:p>
        </w:tc>
        <w:tc>
          <w:tcPr>
            <w:tcW w:w="1673" w:type="dxa"/>
            <w:vAlign w:val="center"/>
          </w:tcPr>
          <w:p w14:paraId="68C5805A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7BD9DCAD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</w:rPr>
              <w:t>0.125</w:t>
            </w:r>
          </w:p>
        </w:tc>
        <w:tc>
          <w:tcPr>
            <w:tcW w:w="1237" w:type="dxa"/>
            <w:vAlign w:val="center"/>
          </w:tcPr>
          <w:p w14:paraId="6FF3CCD6" w14:textId="67DD532E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</w:rPr>
              <w:t>2</w:t>
            </w:r>
          </w:p>
        </w:tc>
      </w:tr>
      <w:tr w:rsidR="00C11B25" w:rsidRPr="00B64058" w14:paraId="64FB9005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3E6624FA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6FA56FB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NCTC 13353*</w:t>
            </w:r>
          </w:p>
        </w:tc>
        <w:tc>
          <w:tcPr>
            <w:tcW w:w="1807" w:type="dxa"/>
            <w:vAlign w:val="center"/>
          </w:tcPr>
          <w:p w14:paraId="38BCE5ED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CTX-M-15</w:t>
            </w:r>
          </w:p>
        </w:tc>
        <w:tc>
          <w:tcPr>
            <w:tcW w:w="1673" w:type="dxa"/>
            <w:vAlign w:val="center"/>
          </w:tcPr>
          <w:p w14:paraId="41CD9289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067B58A8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</w:rPr>
              <w:t>0.125</w:t>
            </w:r>
          </w:p>
        </w:tc>
        <w:tc>
          <w:tcPr>
            <w:tcW w:w="1237" w:type="dxa"/>
            <w:vAlign w:val="center"/>
          </w:tcPr>
          <w:p w14:paraId="4504D210" w14:textId="4049FB7D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16</w:t>
            </w:r>
          </w:p>
        </w:tc>
      </w:tr>
      <w:tr w:rsidR="00C11B25" w:rsidRPr="00B64058" w14:paraId="40C16B92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21D0F259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67EE14B3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NCTC 13451*</w:t>
            </w:r>
          </w:p>
        </w:tc>
        <w:tc>
          <w:tcPr>
            <w:tcW w:w="1807" w:type="dxa"/>
            <w:vAlign w:val="center"/>
          </w:tcPr>
          <w:p w14:paraId="339D0519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 xml:space="preserve">CTX-M-15, OXA-1, TEM-1, aac6'-lb-cr, mph(A), catB4, </w:t>
            </w:r>
            <w:proofErr w:type="spellStart"/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tet</w:t>
            </w:r>
            <w:proofErr w:type="spellEnd"/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 xml:space="preserve">(A), dfrA7, aadA5, </w:t>
            </w:r>
            <w:proofErr w:type="spellStart"/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sulI</w:t>
            </w:r>
            <w:proofErr w:type="spellEnd"/>
          </w:p>
        </w:tc>
        <w:tc>
          <w:tcPr>
            <w:tcW w:w="1673" w:type="dxa"/>
            <w:vAlign w:val="center"/>
          </w:tcPr>
          <w:p w14:paraId="29D96367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13C73FA9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</w:rPr>
              <w:t>0.125</w:t>
            </w:r>
          </w:p>
        </w:tc>
        <w:tc>
          <w:tcPr>
            <w:tcW w:w="1237" w:type="dxa"/>
            <w:vAlign w:val="center"/>
          </w:tcPr>
          <w:p w14:paraId="5DE1F6AE" w14:textId="031B3C8A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16</w:t>
            </w:r>
          </w:p>
        </w:tc>
      </w:tr>
      <w:tr w:rsidR="00C11B25" w:rsidRPr="00B64058" w14:paraId="2C07811A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57488B44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151397A2" w14:textId="1D9594C6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SPT 719*</w:t>
            </w:r>
          </w:p>
        </w:tc>
        <w:tc>
          <w:tcPr>
            <w:tcW w:w="1807" w:type="dxa"/>
            <w:vAlign w:val="center"/>
          </w:tcPr>
          <w:p w14:paraId="2BACD2DB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SHV ESBL, TEM ESBL</w:t>
            </w:r>
          </w:p>
        </w:tc>
        <w:tc>
          <w:tcPr>
            <w:tcW w:w="1673" w:type="dxa"/>
            <w:vAlign w:val="center"/>
          </w:tcPr>
          <w:p w14:paraId="2021ED75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JMI</w:t>
            </w:r>
          </w:p>
        </w:tc>
        <w:tc>
          <w:tcPr>
            <w:tcW w:w="1048" w:type="dxa"/>
            <w:vAlign w:val="center"/>
          </w:tcPr>
          <w:p w14:paraId="509F696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0E9CAF8E" w14:textId="46EE20DF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8</w:t>
            </w:r>
          </w:p>
        </w:tc>
      </w:tr>
      <w:tr w:rsidR="00C11B25" w:rsidRPr="00B64058" w14:paraId="29D0C8E5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36F083DC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43FF585A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SPT 717</w:t>
            </w:r>
          </w:p>
        </w:tc>
        <w:tc>
          <w:tcPr>
            <w:tcW w:w="1807" w:type="dxa"/>
            <w:vAlign w:val="center"/>
          </w:tcPr>
          <w:p w14:paraId="35ED4ED6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CMYII</w:t>
            </w:r>
          </w:p>
        </w:tc>
        <w:tc>
          <w:tcPr>
            <w:tcW w:w="1673" w:type="dxa"/>
            <w:vAlign w:val="center"/>
          </w:tcPr>
          <w:p w14:paraId="6BF62EEC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JMI</w:t>
            </w:r>
          </w:p>
        </w:tc>
        <w:tc>
          <w:tcPr>
            <w:tcW w:w="1048" w:type="dxa"/>
            <w:vAlign w:val="center"/>
          </w:tcPr>
          <w:p w14:paraId="5E730300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&gt;32</w:t>
            </w:r>
          </w:p>
        </w:tc>
        <w:tc>
          <w:tcPr>
            <w:tcW w:w="1237" w:type="dxa"/>
            <w:vAlign w:val="center"/>
          </w:tcPr>
          <w:p w14:paraId="7D470D29" w14:textId="386FE155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</w:tr>
      <w:tr w:rsidR="00C11B25" w:rsidRPr="00B64058" w14:paraId="4FC7F338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49B7BB5A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289B5472" w14:textId="0E7930BF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SPT 731</w:t>
            </w:r>
            <w:r w:rsidRPr="00B64058">
              <w:rPr>
                <w:rFonts w:ascii="Calibri" w:hAnsi="Calibri" w:cs="Calibri"/>
                <w:color w:val="000000" w:themeColor="text1"/>
                <w:vertAlign w:val="superscript"/>
              </w:rPr>
              <w:t>†</w:t>
            </w:r>
          </w:p>
        </w:tc>
        <w:tc>
          <w:tcPr>
            <w:tcW w:w="1807" w:type="dxa"/>
            <w:vAlign w:val="center"/>
          </w:tcPr>
          <w:p w14:paraId="6A0370B4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CTX-M-1, TEM, ST131, O25b</w:t>
            </w:r>
          </w:p>
        </w:tc>
        <w:tc>
          <w:tcPr>
            <w:tcW w:w="1673" w:type="dxa"/>
            <w:vAlign w:val="center"/>
          </w:tcPr>
          <w:p w14:paraId="21079AA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JMI</w:t>
            </w:r>
          </w:p>
        </w:tc>
        <w:tc>
          <w:tcPr>
            <w:tcW w:w="1048" w:type="dxa"/>
            <w:vAlign w:val="center"/>
          </w:tcPr>
          <w:p w14:paraId="3BC5F7A1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</w:rPr>
              <w:t>0.125</w:t>
            </w:r>
          </w:p>
        </w:tc>
        <w:tc>
          <w:tcPr>
            <w:tcW w:w="1237" w:type="dxa"/>
            <w:vAlign w:val="center"/>
          </w:tcPr>
          <w:p w14:paraId="34B99CFA" w14:textId="06CF357A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16</w:t>
            </w:r>
          </w:p>
        </w:tc>
      </w:tr>
      <w:tr w:rsidR="00C11B25" w:rsidRPr="00B64058" w14:paraId="1018F1F6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44CA815D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27D19458" w14:textId="5A4FC76F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I1025*</w:t>
            </w:r>
            <w:r w:rsidRPr="00B64058">
              <w:rPr>
                <w:rFonts w:ascii="Calibri" w:hAnsi="Calibri" w:cs="Calibri"/>
                <w:color w:val="000000" w:themeColor="text1"/>
                <w:vertAlign w:val="superscript"/>
              </w:rPr>
              <w:t>†</w:t>
            </w:r>
          </w:p>
        </w:tc>
        <w:tc>
          <w:tcPr>
            <w:tcW w:w="1807" w:type="dxa"/>
            <w:vAlign w:val="center"/>
          </w:tcPr>
          <w:p w14:paraId="2E34B95B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 xml:space="preserve">ESBL, </w:t>
            </w:r>
            <w:proofErr w:type="spellStart"/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Fos</w:t>
            </w:r>
            <w:proofErr w:type="spellEnd"/>
          </w:p>
        </w:tc>
        <w:tc>
          <w:tcPr>
            <w:tcW w:w="1673" w:type="dxa"/>
            <w:vAlign w:val="center"/>
          </w:tcPr>
          <w:p w14:paraId="37B7932E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18960B41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8</w:t>
            </w:r>
          </w:p>
        </w:tc>
        <w:tc>
          <w:tcPr>
            <w:tcW w:w="1237" w:type="dxa"/>
            <w:vAlign w:val="center"/>
          </w:tcPr>
          <w:p w14:paraId="4F3A714A" w14:textId="564346C3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</w:tr>
      <w:tr w:rsidR="00C11B25" w:rsidRPr="00B64058" w14:paraId="33B8DB70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2807282F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359D674B" w14:textId="41A2C211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I1057*</w:t>
            </w:r>
          </w:p>
        </w:tc>
        <w:tc>
          <w:tcPr>
            <w:tcW w:w="1807" w:type="dxa"/>
            <w:vAlign w:val="center"/>
          </w:tcPr>
          <w:p w14:paraId="72908860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CTX-M-15, CMY-23, FQ-resistant</w:t>
            </w:r>
          </w:p>
        </w:tc>
        <w:tc>
          <w:tcPr>
            <w:tcW w:w="1673" w:type="dxa"/>
            <w:vAlign w:val="center"/>
          </w:tcPr>
          <w:p w14:paraId="2DCCCCCD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24D9AD1D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0.0625</w:t>
            </w:r>
          </w:p>
        </w:tc>
        <w:tc>
          <w:tcPr>
            <w:tcW w:w="1237" w:type="dxa"/>
            <w:vAlign w:val="center"/>
          </w:tcPr>
          <w:p w14:paraId="4DD306CE" w14:textId="574AE881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32</w:t>
            </w:r>
          </w:p>
        </w:tc>
      </w:tr>
      <w:tr w:rsidR="00C11B25" w:rsidRPr="00B64058" w14:paraId="379B2A22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55C71FEB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5320581B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I779*</w:t>
            </w:r>
          </w:p>
        </w:tc>
        <w:tc>
          <w:tcPr>
            <w:tcW w:w="1807" w:type="dxa"/>
            <w:vAlign w:val="center"/>
          </w:tcPr>
          <w:p w14:paraId="1AE0E691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CTX-M-14</w:t>
            </w:r>
          </w:p>
        </w:tc>
        <w:tc>
          <w:tcPr>
            <w:tcW w:w="1673" w:type="dxa"/>
            <w:vAlign w:val="center"/>
          </w:tcPr>
          <w:p w14:paraId="40FA0B96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539B5B33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0A0687FA" w14:textId="6FC676B3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</w:tr>
      <w:tr w:rsidR="00C11B25" w:rsidRPr="00B64058" w14:paraId="70FE5B18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56AC298D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25C2DFD7" w14:textId="094CA1A3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ATCC BAA2523*</w:t>
            </w:r>
          </w:p>
        </w:tc>
        <w:tc>
          <w:tcPr>
            <w:tcW w:w="1807" w:type="dxa"/>
            <w:vAlign w:val="center"/>
          </w:tcPr>
          <w:p w14:paraId="4011F7D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OXA-48</w:t>
            </w:r>
          </w:p>
        </w:tc>
        <w:tc>
          <w:tcPr>
            <w:tcW w:w="1673" w:type="dxa"/>
            <w:vAlign w:val="center"/>
          </w:tcPr>
          <w:p w14:paraId="0C5F0BC5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LGC Standards</w:t>
            </w:r>
          </w:p>
        </w:tc>
        <w:tc>
          <w:tcPr>
            <w:tcW w:w="1048" w:type="dxa"/>
            <w:vAlign w:val="center"/>
          </w:tcPr>
          <w:p w14:paraId="35532B4E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0.5</w:t>
            </w:r>
          </w:p>
        </w:tc>
        <w:tc>
          <w:tcPr>
            <w:tcW w:w="1237" w:type="dxa"/>
            <w:vAlign w:val="center"/>
          </w:tcPr>
          <w:p w14:paraId="52B125A7" w14:textId="2BC4A910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8</w:t>
            </w:r>
          </w:p>
        </w:tc>
      </w:tr>
      <w:tr w:rsidR="00C11B25" w:rsidRPr="00B64058" w14:paraId="45970281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68F9A958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i/>
                <w:color w:val="000000" w:themeColor="text1"/>
              </w:rPr>
            </w:pPr>
            <w:r w:rsidRPr="00B64058">
              <w:rPr>
                <w:rFonts w:cstheme="minorHAnsi"/>
                <w:b w:val="0"/>
                <w:i/>
                <w:iCs/>
                <w:color w:val="000000" w:themeColor="text1"/>
                <w:sz w:val="24"/>
                <w:szCs w:val="24"/>
              </w:rPr>
              <w:t>E. coli</w:t>
            </w:r>
          </w:p>
        </w:tc>
        <w:tc>
          <w:tcPr>
            <w:tcW w:w="1578" w:type="dxa"/>
            <w:vAlign w:val="center"/>
          </w:tcPr>
          <w:p w14:paraId="4CE27819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bCs/>
                <w:color w:val="000000" w:themeColor="text1"/>
                <w:kern w:val="24"/>
                <w:vertAlign w:val="superscript"/>
              </w:rPr>
            </w:pPr>
            <w:r w:rsidRPr="00B64058">
              <w:rPr>
                <w:color w:val="000000" w:themeColor="text1"/>
                <w:sz w:val="24"/>
                <w:szCs w:val="24"/>
              </w:rPr>
              <w:t>ST195</w:t>
            </w:r>
            <w:r w:rsidRPr="00B64058">
              <w:rPr>
                <w:rFonts w:ascii="Calibri" w:hAnsi="Calibri" w:cs="Calibri"/>
                <w:color w:val="000000" w:themeColor="text1"/>
                <w:vertAlign w:val="superscript"/>
              </w:rPr>
              <w:t>†‡</w:t>
            </w:r>
          </w:p>
        </w:tc>
        <w:tc>
          <w:tcPr>
            <w:tcW w:w="1807" w:type="dxa"/>
            <w:vAlign w:val="center"/>
          </w:tcPr>
          <w:p w14:paraId="27263CD6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  <w:sz w:val="24"/>
                <w:szCs w:val="24"/>
              </w:rPr>
              <w:t>CTX-M-14</w:t>
            </w:r>
          </w:p>
        </w:tc>
        <w:tc>
          <w:tcPr>
            <w:tcW w:w="1673" w:type="dxa"/>
            <w:vAlign w:val="center"/>
          </w:tcPr>
          <w:p w14:paraId="00F8AAD9" w14:textId="77777777" w:rsidR="00C11B25" w:rsidRPr="00B64058" w:rsidDel="005330D2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5EBEF6C9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B64058">
              <w:rPr>
                <w:rFonts w:cstheme="minorHAnsi"/>
                <w:bCs/>
                <w:color w:val="000000" w:themeColor="text1"/>
              </w:rPr>
              <w:t>0.125</w:t>
            </w:r>
          </w:p>
        </w:tc>
        <w:tc>
          <w:tcPr>
            <w:tcW w:w="1237" w:type="dxa"/>
            <w:vAlign w:val="center"/>
          </w:tcPr>
          <w:p w14:paraId="5F0E6073" w14:textId="3296A45A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B64058">
              <w:rPr>
                <w:rFonts w:cstheme="minorHAnsi"/>
                <w:bCs/>
                <w:color w:val="000000" w:themeColor="text1"/>
              </w:rPr>
              <w:t>4</w:t>
            </w:r>
          </w:p>
        </w:tc>
      </w:tr>
      <w:tr w:rsidR="00C11B25" w:rsidRPr="00B64058" w14:paraId="30AC03E2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4D47E9D3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1578" w:type="dxa"/>
            <w:vAlign w:val="center"/>
          </w:tcPr>
          <w:p w14:paraId="5AE2311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bCs/>
                <w:color w:val="000000" w:themeColor="text1"/>
                <w:kern w:val="24"/>
                <w:sz w:val="24"/>
                <w:szCs w:val="24"/>
              </w:rPr>
              <w:t>ATCC 700603</w:t>
            </w:r>
          </w:p>
        </w:tc>
        <w:tc>
          <w:tcPr>
            <w:tcW w:w="1807" w:type="dxa"/>
            <w:vAlign w:val="center"/>
          </w:tcPr>
          <w:p w14:paraId="32835A90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bCs/>
                <w:color w:val="000000" w:themeColor="text1"/>
                <w:kern w:val="24"/>
                <w:sz w:val="24"/>
                <w:szCs w:val="24"/>
              </w:rPr>
              <w:t>SHV-18 ESBL</w:t>
            </w:r>
          </w:p>
        </w:tc>
        <w:tc>
          <w:tcPr>
            <w:tcW w:w="1673" w:type="dxa"/>
            <w:vAlign w:val="center"/>
          </w:tcPr>
          <w:p w14:paraId="74361A28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bCs/>
                <w:color w:val="000000" w:themeColor="text1"/>
                <w:kern w:val="24"/>
                <w:sz w:val="24"/>
                <w:szCs w:val="24"/>
              </w:rPr>
              <w:t>LGC Standards</w:t>
            </w:r>
          </w:p>
        </w:tc>
        <w:tc>
          <w:tcPr>
            <w:tcW w:w="1048" w:type="dxa"/>
            <w:vAlign w:val="center"/>
          </w:tcPr>
          <w:p w14:paraId="5A96542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bCs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54287F64" w14:textId="582BECDB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bCs/>
                <w:color w:val="000000" w:themeColor="text1"/>
                <w:kern w:val="24"/>
              </w:rPr>
              <w:t>2</w:t>
            </w:r>
          </w:p>
        </w:tc>
      </w:tr>
      <w:tr w:rsidR="00C11B25" w:rsidRPr="00B64058" w14:paraId="50317AF0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521DC5CC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1578" w:type="dxa"/>
            <w:vAlign w:val="center"/>
          </w:tcPr>
          <w:p w14:paraId="5B3A1500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NCTC 13438</w:t>
            </w:r>
          </w:p>
        </w:tc>
        <w:tc>
          <w:tcPr>
            <w:tcW w:w="1807" w:type="dxa"/>
            <w:vAlign w:val="center"/>
          </w:tcPr>
          <w:p w14:paraId="5E447E6F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KPC3</w:t>
            </w:r>
          </w:p>
        </w:tc>
        <w:tc>
          <w:tcPr>
            <w:tcW w:w="1673" w:type="dxa"/>
            <w:vAlign w:val="center"/>
          </w:tcPr>
          <w:p w14:paraId="04B35593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6EE6956F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  <w:tc>
          <w:tcPr>
            <w:tcW w:w="1237" w:type="dxa"/>
            <w:vAlign w:val="center"/>
          </w:tcPr>
          <w:p w14:paraId="1EFFA389" w14:textId="7F6C8E8F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69DA58A7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15461D8F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1578" w:type="dxa"/>
            <w:vAlign w:val="center"/>
          </w:tcPr>
          <w:p w14:paraId="3DE8BEA8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1091463</w:t>
            </w:r>
          </w:p>
        </w:tc>
        <w:tc>
          <w:tcPr>
            <w:tcW w:w="1807" w:type="dxa"/>
            <w:vAlign w:val="center"/>
          </w:tcPr>
          <w:p w14:paraId="24E7065A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SHV-OSBL, TEM-OSBL, CTX-M-3</w:t>
            </w:r>
          </w:p>
        </w:tc>
        <w:tc>
          <w:tcPr>
            <w:tcW w:w="1673" w:type="dxa"/>
            <w:vAlign w:val="center"/>
          </w:tcPr>
          <w:p w14:paraId="4DEB83E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IHMA</w:t>
            </w:r>
          </w:p>
        </w:tc>
        <w:tc>
          <w:tcPr>
            <w:tcW w:w="1048" w:type="dxa"/>
            <w:vAlign w:val="center"/>
          </w:tcPr>
          <w:p w14:paraId="5F314E79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8</w:t>
            </w:r>
          </w:p>
        </w:tc>
        <w:tc>
          <w:tcPr>
            <w:tcW w:w="1237" w:type="dxa"/>
            <w:vAlign w:val="center"/>
          </w:tcPr>
          <w:p w14:paraId="019C7252" w14:textId="65846B95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1386BE09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7887E697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1578" w:type="dxa"/>
            <w:vAlign w:val="center"/>
          </w:tcPr>
          <w:p w14:paraId="10A6380D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H207</w:t>
            </w:r>
          </w:p>
        </w:tc>
        <w:tc>
          <w:tcPr>
            <w:tcW w:w="1807" w:type="dxa"/>
            <w:vAlign w:val="center"/>
          </w:tcPr>
          <w:p w14:paraId="53C114AD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Unspecified ESBL</w:t>
            </w:r>
          </w:p>
        </w:tc>
        <w:tc>
          <w:tcPr>
            <w:tcW w:w="1673" w:type="dxa"/>
            <w:vAlign w:val="center"/>
          </w:tcPr>
          <w:p w14:paraId="31431567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7598E11D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0.125</w:t>
            </w:r>
          </w:p>
        </w:tc>
        <w:tc>
          <w:tcPr>
            <w:tcW w:w="1237" w:type="dxa"/>
            <w:vAlign w:val="center"/>
          </w:tcPr>
          <w:p w14:paraId="0501076E" w14:textId="24202446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2</w:t>
            </w:r>
          </w:p>
        </w:tc>
      </w:tr>
      <w:tr w:rsidR="00C11B25" w:rsidRPr="00B64058" w14:paraId="45E8913A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33352627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1578" w:type="dxa"/>
            <w:vAlign w:val="center"/>
          </w:tcPr>
          <w:p w14:paraId="19057991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1256506</w:t>
            </w:r>
            <w:r w:rsidRPr="00B64058">
              <w:rPr>
                <w:rFonts w:ascii="Calibri" w:hAnsi="Calibri" w:cs="Calibri"/>
                <w:color w:val="000000" w:themeColor="text1"/>
                <w:vertAlign w:val="superscript"/>
              </w:rPr>
              <w:t>†</w:t>
            </w:r>
          </w:p>
        </w:tc>
        <w:tc>
          <w:tcPr>
            <w:tcW w:w="1807" w:type="dxa"/>
            <w:vAlign w:val="center"/>
          </w:tcPr>
          <w:p w14:paraId="02156986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SHV-OSBL; TEM-OSBL; CTX-M-2; CMY-2</w:t>
            </w:r>
          </w:p>
        </w:tc>
        <w:tc>
          <w:tcPr>
            <w:tcW w:w="1673" w:type="dxa"/>
            <w:vAlign w:val="center"/>
          </w:tcPr>
          <w:p w14:paraId="0A7DF5DA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IHMA</w:t>
            </w:r>
          </w:p>
        </w:tc>
        <w:tc>
          <w:tcPr>
            <w:tcW w:w="1048" w:type="dxa"/>
            <w:vAlign w:val="center"/>
          </w:tcPr>
          <w:p w14:paraId="1D4D5A35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32</w:t>
            </w:r>
          </w:p>
        </w:tc>
        <w:tc>
          <w:tcPr>
            <w:tcW w:w="1237" w:type="dxa"/>
            <w:vAlign w:val="center"/>
          </w:tcPr>
          <w:p w14:paraId="3B8A5B97" w14:textId="001C4F8D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2</w:t>
            </w:r>
          </w:p>
        </w:tc>
      </w:tr>
      <w:tr w:rsidR="00C11B25" w:rsidRPr="00B64058" w14:paraId="2D9E69B4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0618264E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1578" w:type="dxa"/>
            <w:vAlign w:val="center"/>
          </w:tcPr>
          <w:p w14:paraId="678235B5" w14:textId="5BE198E5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1216477</w:t>
            </w:r>
          </w:p>
        </w:tc>
        <w:tc>
          <w:tcPr>
            <w:tcW w:w="1807" w:type="dxa"/>
            <w:vAlign w:val="center"/>
          </w:tcPr>
          <w:p w14:paraId="09534383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SHV-OSBL, TEM-OSBL, CTX-M-15</w:t>
            </w:r>
          </w:p>
        </w:tc>
        <w:tc>
          <w:tcPr>
            <w:tcW w:w="1673" w:type="dxa"/>
            <w:vAlign w:val="center"/>
          </w:tcPr>
          <w:p w14:paraId="5A51BB80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IHMA</w:t>
            </w:r>
          </w:p>
        </w:tc>
        <w:tc>
          <w:tcPr>
            <w:tcW w:w="1048" w:type="dxa"/>
            <w:vAlign w:val="center"/>
          </w:tcPr>
          <w:p w14:paraId="0C92FF36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7E5568B2" w14:textId="59247796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8</w:t>
            </w:r>
          </w:p>
        </w:tc>
      </w:tr>
      <w:tr w:rsidR="00C11B25" w:rsidRPr="00B64058" w14:paraId="44567096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3149EDBE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1578" w:type="dxa"/>
            <w:vAlign w:val="center"/>
          </w:tcPr>
          <w:p w14:paraId="7C325335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1237221</w:t>
            </w:r>
          </w:p>
        </w:tc>
        <w:tc>
          <w:tcPr>
            <w:tcW w:w="1807" w:type="dxa"/>
            <w:vAlign w:val="center"/>
          </w:tcPr>
          <w:p w14:paraId="31AF1982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SHV-OSBL, CTX-M-15</w:t>
            </w:r>
          </w:p>
        </w:tc>
        <w:tc>
          <w:tcPr>
            <w:tcW w:w="1673" w:type="dxa"/>
            <w:vAlign w:val="center"/>
          </w:tcPr>
          <w:p w14:paraId="25725071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IHMA</w:t>
            </w:r>
          </w:p>
        </w:tc>
        <w:tc>
          <w:tcPr>
            <w:tcW w:w="1048" w:type="dxa"/>
            <w:vAlign w:val="center"/>
          </w:tcPr>
          <w:p w14:paraId="2D84CC14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5A95EA9D" w14:textId="670CAB81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8</w:t>
            </w:r>
          </w:p>
        </w:tc>
      </w:tr>
      <w:tr w:rsidR="00C11B25" w:rsidRPr="00B64058" w14:paraId="19307F02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432A0561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1578" w:type="dxa"/>
            <w:vAlign w:val="center"/>
          </w:tcPr>
          <w:p w14:paraId="3E1D40BE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1280740*</w:t>
            </w:r>
            <w:r w:rsidRPr="00B64058">
              <w:rPr>
                <w:rFonts w:ascii="Calibri" w:hAnsi="Calibri" w:cs="Calibri"/>
                <w:color w:val="000000" w:themeColor="text1"/>
                <w:vertAlign w:val="superscript"/>
              </w:rPr>
              <w:t>†</w:t>
            </w:r>
          </w:p>
        </w:tc>
        <w:tc>
          <w:tcPr>
            <w:tcW w:w="1807" w:type="dxa"/>
            <w:vAlign w:val="center"/>
          </w:tcPr>
          <w:p w14:paraId="03497F16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SHV-OSBL, TEM-OSBL, CTX-M-15, DHA-1</w:t>
            </w:r>
          </w:p>
        </w:tc>
        <w:tc>
          <w:tcPr>
            <w:tcW w:w="1673" w:type="dxa"/>
            <w:vAlign w:val="center"/>
          </w:tcPr>
          <w:p w14:paraId="359D1C1A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IHMA</w:t>
            </w:r>
          </w:p>
        </w:tc>
        <w:tc>
          <w:tcPr>
            <w:tcW w:w="1048" w:type="dxa"/>
            <w:vAlign w:val="center"/>
          </w:tcPr>
          <w:p w14:paraId="674BD242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32</w:t>
            </w:r>
          </w:p>
        </w:tc>
        <w:tc>
          <w:tcPr>
            <w:tcW w:w="1237" w:type="dxa"/>
            <w:vAlign w:val="center"/>
          </w:tcPr>
          <w:p w14:paraId="62CE2363" w14:textId="6C1C5F4F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4</w:t>
            </w:r>
          </w:p>
        </w:tc>
      </w:tr>
      <w:tr w:rsidR="00C11B25" w:rsidRPr="00B64058" w14:paraId="74695C77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748534BC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1578" w:type="dxa"/>
            <w:vAlign w:val="center"/>
          </w:tcPr>
          <w:p w14:paraId="3544F54D" w14:textId="78B3693F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1203217</w:t>
            </w:r>
            <w:r w:rsidRPr="00B64058">
              <w:rPr>
                <w:rFonts w:ascii="Calibri" w:hAnsi="Calibri" w:cs="Calibri"/>
                <w:color w:val="000000" w:themeColor="text1"/>
                <w:vertAlign w:val="superscript"/>
              </w:rPr>
              <w:t>†</w:t>
            </w:r>
          </w:p>
        </w:tc>
        <w:tc>
          <w:tcPr>
            <w:tcW w:w="1807" w:type="dxa"/>
            <w:vAlign w:val="center"/>
          </w:tcPr>
          <w:p w14:paraId="31835F1E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SHV-12, CTX-M-9, OXA-48</w:t>
            </w:r>
          </w:p>
        </w:tc>
        <w:tc>
          <w:tcPr>
            <w:tcW w:w="1673" w:type="dxa"/>
            <w:vAlign w:val="center"/>
          </w:tcPr>
          <w:p w14:paraId="17E4DB11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IHMA</w:t>
            </w:r>
          </w:p>
        </w:tc>
        <w:tc>
          <w:tcPr>
            <w:tcW w:w="1048" w:type="dxa"/>
            <w:vAlign w:val="center"/>
          </w:tcPr>
          <w:p w14:paraId="41B4D47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0.5</w:t>
            </w:r>
          </w:p>
        </w:tc>
        <w:tc>
          <w:tcPr>
            <w:tcW w:w="1237" w:type="dxa"/>
            <w:vAlign w:val="center"/>
          </w:tcPr>
          <w:p w14:paraId="5148E440" w14:textId="178145AC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1</w:t>
            </w:r>
          </w:p>
        </w:tc>
      </w:tr>
      <w:tr w:rsidR="00C11B25" w:rsidRPr="00B64058" w14:paraId="294C371E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090D2CAE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lastRenderedPageBreak/>
              <w:t>K. pneumoniae</w:t>
            </w:r>
          </w:p>
        </w:tc>
        <w:tc>
          <w:tcPr>
            <w:tcW w:w="1578" w:type="dxa"/>
            <w:vAlign w:val="center"/>
          </w:tcPr>
          <w:p w14:paraId="5977D4F8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SPT 723*</w:t>
            </w:r>
          </w:p>
        </w:tc>
        <w:tc>
          <w:tcPr>
            <w:tcW w:w="1807" w:type="dxa"/>
            <w:vAlign w:val="center"/>
          </w:tcPr>
          <w:p w14:paraId="65320C0D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CP_CTX-M_Group1, CP_SHV_ESBL, CP_SHV_WT, CTX-M-15 ,OXA-1/30, SHV-5</w:t>
            </w:r>
          </w:p>
        </w:tc>
        <w:tc>
          <w:tcPr>
            <w:tcW w:w="1673" w:type="dxa"/>
            <w:vAlign w:val="center"/>
          </w:tcPr>
          <w:p w14:paraId="4C054662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JMI Laboratories</w:t>
            </w:r>
          </w:p>
        </w:tc>
        <w:tc>
          <w:tcPr>
            <w:tcW w:w="1048" w:type="dxa"/>
            <w:vAlign w:val="center"/>
          </w:tcPr>
          <w:p w14:paraId="0169FA84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59BC566B" w14:textId="555AA795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</w:tr>
      <w:tr w:rsidR="00C11B25" w:rsidRPr="00B64058" w14:paraId="7D9DAD57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6BEB3C95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3A80134B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bCs/>
                <w:color w:val="000000" w:themeColor="text1"/>
                <w:kern w:val="24"/>
                <w:sz w:val="24"/>
                <w:szCs w:val="24"/>
              </w:rPr>
              <w:t>NCTC 13656*</w:t>
            </w:r>
          </w:p>
        </w:tc>
        <w:tc>
          <w:tcPr>
            <w:tcW w:w="1807" w:type="dxa"/>
            <w:vAlign w:val="center"/>
          </w:tcPr>
          <w:p w14:paraId="5E710520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30DE9782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66672BDE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</w:rPr>
              <w:t>4</w:t>
            </w:r>
          </w:p>
        </w:tc>
        <w:tc>
          <w:tcPr>
            <w:tcW w:w="1237" w:type="dxa"/>
            <w:vAlign w:val="center"/>
          </w:tcPr>
          <w:p w14:paraId="1F0AD518" w14:textId="11DBDFA4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</w:rPr>
              <w:t>4</w:t>
            </w:r>
          </w:p>
        </w:tc>
      </w:tr>
      <w:tr w:rsidR="00C11B25" w:rsidRPr="00B64058" w14:paraId="0809CAD6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250FE894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6E5A46E9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NCTC 13435*</w:t>
            </w:r>
          </w:p>
        </w:tc>
        <w:tc>
          <w:tcPr>
            <w:tcW w:w="1807" w:type="dxa"/>
            <w:vAlign w:val="center"/>
          </w:tcPr>
          <w:p w14:paraId="185F4DFC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1B3F8169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6E5449D8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1</w:t>
            </w:r>
          </w:p>
        </w:tc>
        <w:tc>
          <w:tcPr>
            <w:tcW w:w="1237" w:type="dxa"/>
            <w:vAlign w:val="center"/>
          </w:tcPr>
          <w:p w14:paraId="32A1E638" w14:textId="3B1F4842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2</w:t>
            </w:r>
          </w:p>
        </w:tc>
      </w:tr>
      <w:tr w:rsidR="00C11B25" w:rsidRPr="00B64058" w14:paraId="66C71D03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7AB73B12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62621EBE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NCTC 13616</w:t>
            </w:r>
          </w:p>
        </w:tc>
        <w:tc>
          <w:tcPr>
            <w:tcW w:w="1807" w:type="dxa"/>
            <w:vAlign w:val="center"/>
          </w:tcPr>
          <w:p w14:paraId="69424CF1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2F8EA54D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0E683618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  <w:tc>
          <w:tcPr>
            <w:tcW w:w="1237" w:type="dxa"/>
            <w:vAlign w:val="center"/>
          </w:tcPr>
          <w:p w14:paraId="4EEFF642" w14:textId="3A23CFDD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2</w:t>
            </w:r>
          </w:p>
        </w:tc>
      </w:tr>
      <w:tr w:rsidR="00C11B25" w:rsidRPr="00B64058" w14:paraId="52F69AB0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7FB0F086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42084F39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NCTC 13626</w:t>
            </w:r>
          </w:p>
        </w:tc>
        <w:tc>
          <w:tcPr>
            <w:tcW w:w="1807" w:type="dxa"/>
            <w:vAlign w:val="center"/>
          </w:tcPr>
          <w:p w14:paraId="53D41200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09C3711B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29D6C9E3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16</w:t>
            </w:r>
          </w:p>
        </w:tc>
        <w:tc>
          <w:tcPr>
            <w:tcW w:w="1237" w:type="dxa"/>
            <w:vAlign w:val="center"/>
          </w:tcPr>
          <w:p w14:paraId="300BE255" w14:textId="0AEA1A7E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68B4DD1B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59993A89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6667897C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NCTC 13813*</w:t>
            </w:r>
          </w:p>
        </w:tc>
        <w:tc>
          <w:tcPr>
            <w:tcW w:w="1807" w:type="dxa"/>
            <w:vAlign w:val="center"/>
          </w:tcPr>
          <w:p w14:paraId="2D125395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331D466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0523D8DC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2</w:t>
            </w:r>
          </w:p>
        </w:tc>
        <w:tc>
          <w:tcPr>
            <w:tcW w:w="1237" w:type="dxa"/>
            <w:vAlign w:val="center"/>
          </w:tcPr>
          <w:p w14:paraId="4B431CCE" w14:textId="52071902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0E35ED4C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7D933F94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14FB0AC0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F656 (USA300)*</w:t>
            </w:r>
          </w:p>
        </w:tc>
        <w:tc>
          <w:tcPr>
            <w:tcW w:w="1807" w:type="dxa"/>
            <w:vAlign w:val="center"/>
          </w:tcPr>
          <w:p w14:paraId="7DD8367F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6AAFA2AA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6F004FC3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  <w:tc>
          <w:tcPr>
            <w:tcW w:w="1237" w:type="dxa"/>
            <w:vAlign w:val="center"/>
          </w:tcPr>
          <w:p w14:paraId="7A00DD47" w14:textId="75573545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2</w:t>
            </w:r>
          </w:p>
        </w:tc>
      </w:tr>
      <w:tr w:rsidR="00C11B25" w:rsidRPr="00B64058" w14:paraId="2652C32C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45DD43DE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54816B85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F40*</w:t>
            </w:r>
          </w:p>
        </w:tc>
        <w:tc>
          <w:tcPr>
            <w:tcW w:w="1807" w:type="dxa"/>
            <w:vAlign w:val="center"/>
          </w:tcPr>
          <w:p w14:paraId="0406BF49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11E51190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1BDF8413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68DAA0AC" w14:textId="2DA38636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</w:tr>
      <w:tr w:rsidR="00C11B25" w:rsidRPr="00B64058" w14:paraId="55B6A74C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50163CE9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002B8CE4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F89</w:t>
            </w:r>
          </w:p>
        </w:tc>
        <w:tc>
          <w:tcPr>
            <w:tcW w:w="1807" w:type="dxa"/>
            <w:vAlign w:val="center"/>
          </w:tcPr>
          <w:p w14:paraId="21C8BCEE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2D04AF7C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27CCF2AD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  <w:tc>
          <w:tcPr>
            <w:tcW w:w="1237" w:type="dxa"/>
            <w:vAlign w:val="center"/>
          </w:tcPr>
          <w:p w14:paraId="7C86AD63" w14:textId="7560A00D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2</w:t>
            </w:r>
          </w:p>
        </w:tc>
      </w:tr>
      <w:tr w:rsidR="00C11B25" w:rsidRPr="00B64058" w14:paraId="6739442F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5B3D0405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4ED025DB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F82</w:t>
            </w:r>
          </w:p>
        </w:tc>
        <w:tc>
          <w:tcPr>
            <w:tcW w:w="1807" w:type="dxa"/>
            <w:vAlign w:val="center"/>
          </w:tcPr>
          <w:p w14:paraId="22492DE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6C73E876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35A9F160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0.5</w:t>
            </w:r>
          </w:p>
        </w:tc>
        <w:tc>
          <w:tcPr>
            <w:tcW w:w="1237" w:type="dxa"/>
            <w:vAlign w:val="center"/>
          </w:tcPr>
          <w:p w14:paraId="539DC91D" w14:textId="16E91C25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3082EA14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1AF9B96F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MRSA</w:t>
            </w:r>
          </w:p>
        </w:tc>
        <w:tc>
          <w:tcPr>
            <w:tcW w:w="1578" w:type="dxa"/>
            <w:vAlign w:val="center"/>
          </w:tcPr>
          <w:p w14:paraId="794BA28D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F471</w:t>
            </w:r>
          </w:p>
        </w:tc>
        <w:tc>
          <w:tcPr>
            <w:tcW w:w="1807" w:type="dxa"/>
            <w:vAlign w:val="center"/>
          </w:tcPr>
          <w:p w14:paraId="65A7E325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MecA</w:t>
            </w:r>
          </w:p>
        </w:tc>
        <w:tc>
          <w:tcPr>
            <w:tcW w:w="1673" w:type="dxa"/>
            <w:vAlign w:val="center"/>
          </w:tcPr>
          <w:p w14:paraId="74C2003E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University of Birmingham</w:t>
            </w:r>
          </w:p>
        </w:tc>
        <w:tc>
          <w:tcPr>
            <w:tcW w:w="1048" w:type="dxa"/>
            <w:vAlign w:val="center"/>
          </w:tcPr>
          <w:p w14:paraId="519049C0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  <w:tc>
          <w:tcPr>
            <w:tcW w:w="1237" w:type="dxa"/>
            <w:vAlign w:val="center"/>
          </w:tcPr>
          <w:p w14:paraId="276A3513" w14:textId="07E97004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4</w:t>
            </w:r>
          </w:p>
        </w:tc>
      </w:tr>
      <w:tr w:rsidR="00C11B25" w:rsidRPr="00B64058" w14:paraId="37FFAAEA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295AC261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19DFD729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bCs/>
                <w:color w:val="000000" w:themeColor="text1"/>
                <w:kern w:val="24"/>
                <w:sz w:val="24"/>
                <w:szCs w:val="24"/>
              </w:rPr>
              <w:t>NCTC 14091</w:t>
            </w:r>
          </w:p>
        </w:tc>
        <w:tc>
          <w:tcPr>
            <w:tcW w:w="1807" w:type="dxa"/>
            <w:vAlign w:val="center"/>
          </w:tcPr>
          <w:p w14:paraId="3B4E0428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3B023837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5F336CF8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cstheme="minorHAnsi"/>
                <w:bCs/>
                <w:color w:val="000000" w:themeColor="text1"/>
                <w:kern w:val="24"/>
              </w:rPr>
              <w:t>0.5</w:t>
            </w:r>
          </w:p>
        </w:tc>
        <w:tc>
          <w:tcPr>
            <w:tcW w:w="1237" w:type="dxa"/>
            <w:vAlign w:val="center"/>
          </w:tcPr>
          <w:p w14:paraId="52E861E0" w14:textId="217B0240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4F8C03F7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664C92FF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22B01F20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NCTC 14093</w:t>
            </w:r>
          </w:p>
        </w:tc>
        <w:tc>
          <w:tcPr>
            <w:tcW w:w="1807" w:type="dxa"/>
            <w:vAlign w:val="center"/>
          </w:tcPr>
          <w:p w14:paraId="59A6C3F9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6DB90DE2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6F567C8D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63F52B53" w14:textId="07121EF4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485BD8A2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4980FB63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7438EAF0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NCTC 14095</w:t>
            </w:r>
          </w:p>
        </w:tc>
        <w:tc>
          <w:tcPr>
            <w:tcW w:w="1807" w:type="dxa"/>
            <w:vAlign w:val="center"/>
          </w:tcPr>
          <w:p w14:paraId="469A018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1D3A94E8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6B6F4678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26EF60A8" w14:textId="5D3A37FA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16969750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0692A342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428DDDBD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NCTC 14092</w:t>
            </w:r>
          </w:p>
        </w:tc>
        <w:tc>
          <w:tcPr>
            <w:tcW w:w="1807" w:type="dxa"/>
            <w:vAlign w:val="center"/>
          </w:tcPr>
          <w:p w14:paraId="57806F6E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753FABA5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  <w:sz w:val="24"/>
                <w:szCs w:val="24"/>
              </w:rPr>
              <w:t>PHE</w:t>
            </w:r>
          </w:p>
        </w:tc>
        <w:tc>
          <w:tcPr>
            <w:tcW w:w="1048" w:type="dxa"/>
            <w:vAlign w:val="center"/>
          </w:tcPr>
          <w:p w14:paraId="26A8CD3B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34D626AD" w14:textId="1D825AA6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77543405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2A379116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30C5B53C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313566 (C13)</w:t>
            </w:r>
          </w:p>
        </w:tc>
        <w:tc>
          <w:tcPr>
            <w:tcW w:w="1807" w:type="dxa"/>
            <w:vAlign w:val="center"/>
          </w:tcPr>
          <w:p w14:paraId="2BC69A23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7D13F44C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Royal Liverpool Hospital</w:t>
            </w:r>
          </w:p>
        </w:tc>
        <w:tc>
          <w:tcPr>
            <w:tcW w:w="1048" w:type="dxa"/>
            <w:vAlign w:val="center"/>
          </w:tcPr>
          <w:p w14:paraId="019001AC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0C9CD2EB" w14:textId="2CDC4A34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54267F7D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745CA76D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218FEFB8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412909 (C14)</w:t>
            </w:r>
          </w:p>
        </w:tc>
        <w:tc>
          <w:tcPr>
            <w:tcW w:w="1807" w:type="dxa"/>
            <w:vAlign w:val="center"/>
          </w:tcPr>
          <w:p w14:paraId="29EC27B5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63BC17A1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Royal Liverpool Hospital</w:t>
            </w:r>
          </w:p>
        </w:tc>
        <w:tc>
          <w:tcPr>
            <w:tcW w:w="1048" w:type="dxa"/>
            <w:vAlign w:val="center"/>
          </w:tcPr>
          <w:p w14:paraId="41E36344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4B63F122" w14:textId="1A1773B3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4017861F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63F5CBF4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679E3EE8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529312 (C15)</w:t>
            </w:r>
          </w:p>
        </w:tc>
        <w:tc>
          <w:tcPr>
            <w:tcW w:w="1807" w:type="dxa"/>
            <w:vAlign w:val="center"/>
          </w:tcPr>
          <w:p w14:paraId="3CE0405E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02123A2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Royal Liverpool Hospital</w:t>
            </w:r>
          </w:p>
        </w:tc>
        <w:tc>
          <w:tcPr>
            <w:tcW w:w="1048" w:type="dxa"/>
            <w:vAlign w:val="center"/>
          </w:tcPr>
          <w:p w14:paraId="104EBCFF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0.125</w:t>
            </w:r>
          </w:p>
        </w:tc>
        <w:tc>
          <w:tcPr>
            <w:tcW w:w="1237" w:type="dxa"/>
            <w:vAlign w:val="center"/>
          </w:tcPr>
          <w:p w14:paraId="37B544A7" w14:textId="10BE6675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29F78894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618129BA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332AB5F0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629129 (C16)</w:t>
            </w:r>
          </w:p>
        </w:tc>
        <w:tc>
          <w:tcPr>
            <w:tcW w:w="1807" w:type="dxa"/>
            <w:vAlign w:val="center"/>
          </w:tcPr>
          <w:p w14:paraId="08928B36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78F353FB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Royal Liverpool Hospital</w:t>
            </w:r>
          </w:p>
        </w:tc>
        <w:tc>
          <w:tcPr>
            <w:tcW w:w="1048" w:type="dxa"/>
            <w:vAlign w:val="center"/>
          </w:tcPr>
          <w:p w14:paraId="29E9BB52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06C40B70" w14:textId="736D5477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&gt;32</w:t>
            </w:r>
          </w:p>
        </w:tc>
      </w:tr>
      <w:tr w:rsidR="00C11B25" w:rsidRPr="00B64058" w14:paraId="75353E29" w14:textId="77777777" w:rsidTr="00C84C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183F54C8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50A44D47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729701 (C17)</w:t>
            </w:r>
          </w:p>
        </w:tc>
        <w:tc>
          <w:tcPr>
            <w:tcW w:w="1807" w:type="dxa"/>
            <w:vAlign w:val="center"/>
          </w:tcPr>
          <w:p w14:paraId="4A3587B7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02A4590B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Royal Liverpool Hospital</w:t>
            </w:r>
          </w:p>
        </w:tc>
        <w:tc>
          <w:tcPr>
            <w:tcW w:w="1048" w:type="dxa"/>
            <w:vAlign w:val="center"/>
          </w:tcPr>
          <w:p w14:paraId="75F89B23" w14:textId="77777777" w:rsidR="00C11B25" w:rsidRPr="00B64058" w:rsidRDefault="00C11B25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0.0625</w:t>
            </w:r>
          </w:p>
        </w:tc>
        <w:tc>
          <w:tcPr>
            <w:tcW w:w="1237" w:type="dxa"/>
            <w:vAlign w:val="center"/>
          </w:tcPr>
          <w:p w14:paraId="5D648AFF" w14:textId="0D9CF61F" w:rsidR="00C11B25" w:rsidRPr="00B64058" w:rsidRDefault="00D859D7" w:rsidP="00C84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16</w:t>
            </w:r>
          </w:p>
        </w:tc>
      </w:tr>
      <w:tr w:rsidR="00C11B25" w:rsidRPr="00B64058" w14:paraId="773ADD3A" w14:textId="77777777" w:rsidTr="00C84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vAlign w:val="center"/>
          </w:tcPr>
          <w:p w14:paraId="169EAFD2" w14:textId="77777777" w:rsidR="00C11B25" w:rsidRPr="00B64058" w:rsidRDefault="00C11B25" w:rsidP="00C84CE6">
            <w:pPr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b w:val="0"/>
                <w:i/>
                <w:color w:val="000000" w:themeColor="text1"/>
                <w:sz w:val="24"/>
                <w:szCs w:val="24"/>
              </w:rPr>
              <w:t>S. agalactiae</w:t>
            </w:r>
          </w:p>
        </w:tc>
        <w:tc>
          <w:tcPr>
            <w:tcW w:w="1578" w:type="dxa"/>
            <w:vAlign w:val="center"/>
          </w:tcPr>
          <w:p w14:paraId="60CBC7C1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824843 (C18)*</w:t>
            </w:r>
          </w:p>
        </w:tc>
        <w:tc>
          <w:tcPr>
            <w:tcW w:w="1807" w:type="dxa"/>
            <w:vAlign w:val="center"/>
          </w:tcPr>
          <w:p w14:paraId="04BB275C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cstheme="minorHAnsi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673" w:type="dxa"/>
            <w:vAlign w:val="center"/>
          </w:tcPr>
          <w:p w14:paraId="1AE1ABA6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Royal Liverpool Hospital</w:t>
            </w:r>
          </w:p>
        </w:tc>
        <w:tc>
          <w:tcPr>
            <w:tcW w:w="1048" w:type="dxa"/>
            <w:vAlign w:val="center"/>
          </w:tcPr>
          <w:p w14:paraId="5E82ADC2" w14:textId="77777777" w:rsidR="00C11B25" w:rsidRPr="00B64058" w:rsidRDefault="00C11B25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0.25</w:t>
            </w:r>
          </w:p>
        </w:tc>
        <w:tc>
          <w:tcPr>
            <w:tcW w:w="1237" w:type="dxa"/>
            <w:vAlign w:val="center"/>
          </w:tcPr>
          <w:p w14:paraId="5650DCFE" w14:textId="226C3F49" w:rsidR="00C11B25" w:rsidRPr="00B64058" w:rsidRDefault="00D859D7" w:rsidP="00C84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color w:val="000000" w:themeColor="text1"/>
                <w:kern w:val="24"/>
              </w:rPr>
            </w:pPr>
            <w:r w:rsidRPr="00B64058">
              <w:rPr>
                <w:rFonts w:eastAsiaTheme="minorEastAsia" w:cstheme="minorHAnsi"/>
                <w:color w:val="000000" w:themeColor="text1"/>
                <w:kern w:val="24"/>
              </w:rPr>
              <w:t>32</w:t>
            </w:r>
          </w:p>
        </w:tc>
      </w:tr>
    </w:tbl>
    <w:p w14:paraId="2845FBEC" w14:textId="77777777" w:rsidR="00C11B25" w:rsidRPr="00B64058" w:rsidRDefault="00C11B25" w:rsidP="00C11B25">
      <w:pPr>
        <w:spacing w:before="120" w:line="480" w:lineRule="auto"/>
        <w:rPr>
          <w:color w:val="000000" w:themeColor="text1"/>
        </w:rPr>
      </w:pPr>
      <w:r w:rsidRPr="00B64058">
        <w:rPr>
          <w:color w:val="000000" w:themeColor="text1"/>
        </w:rPr>
        <w:t>Table S1 : Details of isolates used in initial MIC assays. * denotes strains selected for assessment in checkerboard assays.</w:t>
      </w:r>
      <w:r w:rsidRPr="00B64058">
        <w:rPr>
          <w:rFonts w:ascii="Calibri" w:hAnsi="Calibri" w:cs="Calibri"/>
          <w:color w:val="000000" w:themeColor="text1"/>
          <w:vertAlign w:val="superscript"/>
        </w:rPr>
        <w:t xml:space="preserve"> †</w:t>
      </w:r>
      <w:r w:rsidRPr="00B64058">
        <w:rPr>
          <w:rFonts w:ascii="Calibri" w:hAnsi="Calibri" w:cs="Calibri"/>
          <w:color w:val="000000" w:themeColor="text1"/>
        </w:rPr>
        <w:t xml:space="preserve"> denotes strain used in HFIM experiments. </w:t>
      </w:r>
      <w:r w:rsidRPr="00B64058">
        <w:rPr>
          <w:rFonts w:ascii="Calibri" w:hAnsi="Calibri" w:cs="Calibri"/>
          <w:color w:val="000000" w:themeColor="text1"/>
          <w:vertAlign w:val="superscript"/>
        </w:rPr>
        <w:t xml:space="preserve">‡ </w:t>
      </w:r>
      <w:r w:rsidRPr="00B64058">
        <w:rPr>
          <w:rFonts w:ascii="Calibri" w:hAnsi="Calibri" w:cs="Calibri"/>
          <w:color w:val="000000" w:themeColor="text1"/>
        </w:rPr>
        <w:t xml:space="preserve">denotes </w:t>
      </w:r>
      <w:r w:rsidRPr="00B64058">
        <w:rPr>
          <w:rFonts w:ascii="Calibri" w:hAnsi="Calibri" w:cs="Calibri"/>
          <w:color w:val="000000" w:themeColor="text1"/>
        </w:rPr>
        <w:lastRenderedPageBreak/>
        <w:t>strains used only in HFIM; not included in the panel of strains for MIC determination.</w:t>
      </w:r>
      <w:r w:rsidRPr="00B64058">
        <w:rPr>
          <w:color w:val="000000" w:themeColor="text1"/>
        </w:rPr>
        <w:t xml:space="preserve"> IHMA = International Health Management Associates; PHE = Public Health England.</w:t>
      </w:r>
    </w:p>
    <w:p w14:paraId="7CBF8148" w14:textId="5C465F11" w:rsidR="00B04FFB" w:rsidRPr="00B64058" w:rsidRDefault="00B04FFB">
      <w:pPr>
        <w:rPr>
          <w:b/>
          <w:bCs/>
        </w:rPr>
      </w:pPr>
      <w:r w:rsidRPr="00B64058">
        <w:rPr>
          <w:b/>
          <w:bCs/>
        </w:rPr>
        <w:br w:type="page"/>
      </w:r>
    </w:p>
    <w:p w14:paraId="712B5BA8" w14:textId="4AA37B56" w:rsidR="005271F1" w:rsidRPr="00B64058" w:rsidRDefault="005271F1" w:rsidP="005271F1">
      <w:pPr>
        <w:spacing w:line="480" w:lineRule="auto"/>
        <w:rPr>
          <w:b/>
          <w:bCs/>
        </w:rPr>
      </w:pPr>
      <w:r w:rsidRPr="00B64058">
        <w:rPr>
          <w:b/>
          <w:bCs/>
        </w:rPr>
        <w:lastRenderedPageBreak/>
        <w:t>Supplementary Figures</w:t>
      </w:r>
    </w:p>
    <w:p w14:paraId="0D265C58" w14:textId="77777777" w:rsidR="005271F1" w:rsidRPr="00B64058" w:rsidRDefault="005271F1" w:rsidP="005271F1">
      <w:pPr>
        <w:spacing w:line="480" w:lineRule="auto"/>
        <w:rPr>
          <w:i/>
          <w:iCs/>
        </w:rPr>
      </w:pPr>
      <w:r w:rsidRPr="00B64058">
        <w:rPr>
          <w:i/>
          <w:iCs/>
          <w:noProof/>
        </w:rPr>
        <w:drawing>
          <wp:inline distT="0" distB="0" distL="0" distR="0" wp14:anchorId="16977F30" wp14:editId="4CF720A4">
            <wp:extent cx="5727700" cy="4414520"/>
            <wp:effectExtent l="0" t="0" r="0" b="508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5F08" w14:textId="2FBE0D6A" w:rsidR="00442C14" w:rsidRPr="00B64058" w:rsidRDefault="005271F1" w:rsidP="005271F1">
      <w:pPr>
        <w:spacing w:line="480" w:lineRule="auto"/>
        <w:rPr>
          <w:i/>
          <w:iCs/>
        </w:rPr>
      </w:pPr>
      <w:r w:rsidRPr="00B64058">
        <w:rPr>
          <w:i/>
          <w:iCs/>
        </w:rPr>
        <w:t>Figure S1 – Schematic configuration of the HFIM with two agents. The supplementary compartments are omitted in arms with monotherapy</w:t>
      </w:r>
      <w:r w:rsidR="00442C14" w:rsidRPr="00B64058">
        <w:rPr>
          <w:i/>
          <w:iCs/>
        </w:rPr>
        <w:t>.</w:t>
      </w:r>
    </w:p>
    <w:p w14:paraId="643032FE" w14:textId="77777777" w:rsidR="00442C14" w:rsidRPr="00B64058" w:rsidRDefault="00442C14">
      <w:pPr>
        <w:rPr>
          <w:i/>
          <w:iCs/>
        </w:rPr>
      </w:pPr>
      <w:r w:rsidRPr="00B64058">
        <w:rPr>
          <w:i/>
          <w:iCs/>
        </w:rPr>
        <w:br w:type="page"/>
      </w:r>
    </w:p>
    <w:p w14:paraId="332A0A11" w14:textId="15091808" w:rsidR="005271F1" w:rsidRPr="00B64058" w:rsidRDefault="00442C14" w:rsidP="005271F1">
      <w:pPr>
        <w:spacing w:line="480" w:lineRule="auto"/>
      </w:pPr>
      <w:r w:rsidRPr="00B64058">
        <w:rPr>
          <w:noProof/>
        </w:rPr>
        <w:lastRenderedPageBreak/>
        <w:drawing>
          <wp:inline distT="0" distB="0" distL="0" distR="0" wp14:anchorId="18EB9F49" wp14:editId="1BD21DBA">
            <wp:extent cx="5727700" cy="5727700"/>
            <wp:effectExtent l="0" t="0" r="0" b="0"/>
            <wp:docPr id="7" name="Picture 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2671" w14:textId="0809C94D" w:rsidR="00853C80" w:rsidRDefault="00442C14" w:rsidP="00442C14">
      <w:pPr>
        <w:spacing w:line="480" w:lineRule="auto"/>
        <w:rPr>
          <w:i/>
          <w:iCs/>
        </w:rPr>
      </w:pPr>
      <w:r w:rsidRPr="00B64058">
        <w:rPr>
          <w:i/>
          <w:iCs/>
        </w:rPr>
        <w:t>Figure S2 – Modelled time-concentration profiles</w:t>
      </w:r>
      <w:r w:rsidR="008C7A33" w:rsidRPr="00B64058">
        <w:rPr>
          <w:i/>
          <w:iCs/>
        </w:rPr>
        <w:t xml:space="preserve"> (solid line</w:t>
      </w:r>
      <w:r w:rsidR="008331FB" w:rsidRPr="00B64058">
        <w:rPr>
          <w:i/>
          <w:iCs/>
        </w:rPr>
        <w:t>s</w:t>
      </w:r>
      <w:r w:rsidR="008C7A33" w:rsidRPr="00B64058">
        <w:rPr>
          <w:i/>
          <w:iCs/>
        </w:rPr>
        <w:t>)</w:t>
      </w:r>
      <w:r w:rsidRPr="00B64058">
        <w:rPr>
          <w:i/>
          <w:iCs/>
        </w:rPr>
        <w:t xml:space="preserve"> </w:t>
      </w:r>
      <w:r w:rsidR="008C7A33" w:rsidRPr="00B64058">
        <w:rPr>
          <w:i/>
          <w:iCs/>
        </w:rPr>
        <w:t xml:space="preserve">with overlaid drug measurements (+) </w:t>
      </w:r>
      <w:r w:rsidRPr="00B64058">
        <w:rPr>
          <w:i/>
          <w:iCs/>
        </w:rPr>
        <w:t xml:space="preserve">for amikacin (red) and flomoxef (black) in </w:t>
      </w:r>
      <w:r w:rsidR="008331FB" w:rsidRPr="00B64058">
        <w:rPr>
          <w:i/>
          <w:iCs/>
        </w:rPr>
        <w:t xml:space="preserve">the </w:t>
      </w:r>
      <w:r w:rsidRPr="00B64058">
        <w:rPr>
          <w:i/>
          <w:iCs/>
        </w:rPr>
        <w:t>16-arm HFIM experiment</w:t>
      </w:r>
      <w:r w:rsidR="008C7A33" w:rsidRPr="00B64058">
        <w:rPr>
          <w:i/>
          <w:iCs/>
        </w:rPr>
        <w:t>. ID A – P correspond to arms 1-16 respectively.</w:t>
      </w:r>
    </w:p>
    <w:p w14:paraId="7A7C32A3" w14:textId="77777777" w:rsidR="00853C80" w:rsidRDefault="00853C80">
      <w:pPr>
        <w:rPr>
          <w:i/>
          <w:iCs/>
        </w:rPr>
      </w:pPr>
      <w:r>
        <w:rPr>
          <w:i/>
          <w:iCs/>
        </w:rPr>
        <w:br w:type="page"/>
      </w:r>
    </w:p>
    <w:p w14:paraId="270E6542" w14:textId="7443EEF5" w:rsidR="00BA58A3" w:rsidRDefault="00BA58A3" w:rsidP="00442C14">
      <w:pPr>
        <w:spacing w:line="480" w:lineRule="auto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6D3314C7" wp14:editId="107AC896">
            <wp:extent cx="5727700" cy="5727700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2CC2" w14:textId="60E1716A" w:rsidR="00442C14" w:rsidRPr="00B64058" w:rsidRDefault="00853C80" w:rsidP="00442C14">
      <w:pPr>
        <w:spacing w:line="480" w:lineRule="auto"/>
        <w:rPr>
          <w:i/>
          <w:iCs/>
        </w:rPr>
      </w:pPr>
      <w:r w:rsidRPr="00891BD5">
        <w:rPr>
          <w:i/>
          <w:iCs/>
        </w:rPr>
        <w:t>Figure S3 – Modelled pharmacodynamic profiles (solid lines) with overlaid bacterial quantification</w:t>
      </w:r>
      <w:r w:rsidR="00624F58" w:rsidRPr="00891BD5">
        <w:rPr>
          <w:i/>
          <w:iCs/>
        </w:rPr>
        <w:t xml:space="preserve"> (+)</w:t>
      </w:r>
      <w:r w:rsidRPr="00891BD5">
        <w:rPr>
          <w:i/>
          <w:iCs/>
        </w:rPr>
        <w:t xml:space="preserve"> for</w:t>
      </w:r>
      <w:r w:rsidR="00624F58" w:rsidRPr="00891BD5">
        <w:rPr>
          <w:i/>
          <w:iCs/>
        </w:rPr>
        <w:t xml:space="preserve"> total bacterial counts (blue), amikacin-resistant bacterial counts (magenta) and flomoxef-resistant bacterial counts (green). ID A – P correspond to arms 1-16 respectively. N.B. as noted in Table 3, the modelling of the flomoxef-resistant population is poor due to the lack of flomoxef-resistant populations emerging in any flomoxef-containing arm</w:t>
      </w:r>
      <w:r w:rsidR="00A32C02" w:rsidRPr="00891BD5">
        <w:rPr>
          <w:i/>
          <w:iCs/>
        </w:rPr>
        <w:t>, and we therefore cannot comment on the effect of the combination on prevention of emergence of resistance to flomoxef</w:t>
      </w:r>
      <w:r w:rsidR="00624F58" w:rsidRPr="00891BD5">
        <w:rPr>
          <w:i/>
          <w:iCs/>
        </w:rPr>
        <w:t>.</w:t>
      </w:r>
      <w:r>
        <w:rPr>
          <w:i/>
          <w:iCs/>
        </w:rPr>
        <w:t xml:space="preserve"> </w:t>
      </w:r>
    </w:p>
    <w:p w14:paraId="7581BC6B" w14:textId="79262D95" w:rsidR="00442C14" w:rsidRPr="00B64058" w:rsidRDefault="00442C14">
      <w:pPr>
        <w:rPr>
          <w:b/>
          <w:bCs/>
        </w:rPr>
      </w:pPr>
      <w:r w:rsidRPr="00B64058">
        <w:rPr>
          <w:b/>
          <w:bCs/>
        </w:rPr>
        <w:br w:type="page"/>
      </w:r>
    </w:p>
    <w:p w14:paraId="41081584" w14:textId="658DB98E" w:rsidR="005271F1" w:rsidRPr="00B64058" w:rsidRDefault="00442C14" w:rsidP="005271F1">
      <w:pPr>
        <w:spacing w:line="480" w:lineRule="auto"/>
        <w:rPr>
          <w:b/>
          <w:bCs/>
        </w:rPr>
      </w:pPr>
      <w:r w:rsidRPr="00B64058">
        <w:rPr>
          <w:b/>
          <w:bCs/>
          <w:noProof/>
        </w:rPr>
        <w:lastRenderedPageBreak/>
        <w:drawing>
          <wp:inline distT="0" distB="0" distL="0" distR="0" wp14:anchorId="434F0197" wp14:editId="4237237E">
            <wp:extent cx="5727700" cy="3818255"/>
            <wp:effectExtent l="0" t="0" r="0" b="4445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61E5" w14:textId="2FF44F5D" w:rsidR="00442C14" w:rsidRPr="00B64058" w:rsidRDefault="00442C14" w:rsidP="005271F1">
      <w:pPr>
        <w:spacing w:line="480" w:lineRule="auto"/>
        <w:rPr>
          <w:b/>
          <w:bCs/>
        </w:rPr>
      </w:pPr>
      <w:r w:rsidRPr="00B64058">
        <w:rPr>
          <w:b/>
          <w:bCs/>
          <w:noProof/>
        </w:rPr>
        <w:drawing>
          <wp:inline distT="0" distB="0" distL="0" distR="0" wp14:anchorId="345F7614" wp14:editId="77E12713">
            <wp:extent cx="5727700" cy="3818255"/>
            <wp:effectExtent l="0" t="0" r="0" b="4445"/>
            <wp:docPr id="9" name="Picture 9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6FE3" w14:textId="5311298C" w:rsidR="008C7A33" w:rsidRPr="00B64058" w:rsidRDefault="008C7A33" w:rsidP="005271F1">
      <w:pPr>
        <w:spacing w:line="480" w:lineRule="auto"/>
        <w:rPr>
          <w:i/>
          <w:iCs/>
        </w:rPr>
      </w:pPr>
      <w:r w:rsidRPr="00B64058">
        <w:rPr>
          <w:i/>
          <w:iCs/>
        </w:rPr>
        <w:t xml:space="preserve">Figure </w:t>
      </w:r>
      <w:r w:rsidR="00552316" w:rsidRPr="00B64058">
        <w:rPr>
          <w:i/>
          <w:iCs/>
        </w:rPr>
        <w:t>S</w:t>
      </w:r>
      <w:r w:rsidR="00552316">
        <w:rPr>
          <w:i/>
          <w:iCs/>
        </w:rPr>
        <w:t>4</w:t>
      </w:r>
      <w:r w:rsidR="00552316" w:rsidRPr="00B64058">
        <w:rPr>
          <w:i/>
          <w:iCs/>
        </w:rPr>
        <w:t xml:space="preserve"> </w:t>
      </w:r>
      <w:r w:rsidRPr="00B64058">
        <w:rPr>
          <w:i/>
          <w:iCs/>
        </w:rPr>
        <w:t xml:space="preserve">– Modelled time concentrations (solid line) with overlaid measurement drug concentrations (*) for the HFIM experiments replicating clinically </w:t>
      </w:r>
      <w:r w:rsidR="008331FB" w:rsidRPr="00B64058">
        <w:rPr>
          <w:i/>
          <w:iCs/>
        </w:rPr>
        <w:t>relevant</w:t>
      </w:r>
      <w:r w:rsidRPr="00B64058">
        <w:rPr>
          <w:i/>
          <w:iCs/>
        </w:rPr>
        <w:t xml:space="preserve"> drugs exposures </w:t>
      </w:r>
      <w:r w:rsidRPr="00B64058">
        <w:rPr>
          <w:i/>
          <w:iCs/>
        </w:rPr>
        <w:lastRenderedPageBreak/>
        <w:t>for amikacin (top) and flomoxef (bottom). N.B. flomoxef drug concentration measurements below the limit of detection are omitted from the overlay, but still incorporated in the model.</w:t>
      </w:r>
    </w:p>
    <w:p w14:paraId="5592D373" w14:textId="77777777" w:rsidR="008C7A33" w:rsidRPr="00B64058" w:rsidRDefault="008C7A33">
      <w:pPr>
        <w:rPr>
          <w:i/>
          <w:iCs/>
        </w:rPr>
      </w:pPr>
      <w:r w:rsidRPr="00B64058">
        <w:rPr>
          <w:i/>
          <w:iCs/>
        </w:rPr>
        <w:br w:type="page"/>
      </w:r>
    </w:p>
    <w:p w14:paraId="7B5004F9" w14:textId="77777777" w:rsidR="008C7A33" w:rsidRPr="00B64058" w:rsidRDefault="008C7A33" w:rsidP="005271F1">
      <w:pPr>
        <w:spacing w:line="480" w:lineRule="auto"/>
        <w:rPr>
          <w:b/>
          <w:bCs/>
        </w:rPr>
      </w:pPr>
    </w:p>
    <w:p w14:paraId="27681D37" w14:textId="77777777" w:rsidR="005271F1" w:rsidRPr="00B64058" w:rsidRDefault="005271F1" w:rsidP="005271F1">
      <w:pPr>
        <w:pStyle w:val="Caption"/>
        <w:spacing w:line="480" w:lineRule="auto"/>
        <w:rPr>
          <w:i w:val="0"/>
          <w:iCs w:val="0"/>
          <w:color w:val="000000" w:themeColor="text1"/>
          <w:sz w:val="24"/>
          <w:szCs w:val="24"/>
        </w:rPr>
      </w:pPr>
      <w:r w:rsidRPr="00B64058">
        <w:rPr>
          <w:i w:val="0"/>
          <w:iCs w:val="0"/>
          <w:noProof/>
          <w:color w:val="000000" w:themeColor="text1"/>
          <w:sz w:val="24"/>
          <w:szCs w:val="24"/>
        </w:rPr>
        <w:drawing>
          <wp:inline distT="0" distB="0" distL="0" distR="0" wp14:anchorId="0F24A0EE" wp14:editId="0B3E770C">
            <wp:extent cx="5727700" cy="4177030"/>
            <wp:effectExtent l="0" t="0" r="0" b="127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9115" w14:textId="12C75E72" w:rsidR="005271F1" w:rsidRPr="00B64058" w:rsidRDefault="005271F1" w:rsidP="005271F1">
      <w:pPr>
        <w:pStyle w:val="Caption"/>
        <w:spacing w:line="480" w:lineRule="auto"/>
        <w:rPr>
          <w:i w:val="0"/>
          <w:iCs w:val="0"/>
          <w:color w:val="000000" w:themeColor="text1"/>
          <w:sz w:val="24"/>
          <w:szCs w:val="24"/>
        </w:rPr>
      </w:pPr>
      <w:r w:rsidRPr="00B64058">
        <w:rPr>
          <w:i w:val="0"/>
          <w:iCs w:val="0"/>
          <w:color w:val="000000" w:themeColor="text1"/>
          <w:sz w:val="24"/>
          <w:szCs w:val="24"/>
        </w:rPr>
        <w:t xml:space="preserve">Figure 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>S</w:t>
      </w:r>
      <w:r w:rsidR="00552316">
        <w:rPr>
          <w:i w:val="0"/>
          <w:iCs w:val="0"/>
          <w:color w:val="000000" w:themeColor="text1"/>
          <w:sz w:val="24"/>
          <w:szCs w:val="24"/>
        </w:rPr>
        <w:t>5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– HFIM pharmacodynamic results from 2x2 dosing matrix for </w:t>
      </w:r>
      <w:r w:rsidRPr="00B64058">
        <w:rPr>
          <w:color w:val="000000" w:themeColor="text1"/>
          <w:sz w:val="24"/>
          <w:szCs w:val="24"/>
        </w:rPr>
        <w:t>E. coli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 SPT731 strain (Flomoxef MIC 0.125mg/L, Amikacin MIC 16mg/L)</w:t>
      </w:r>
    </w:p>
    <w:p w14:paraId="020BC520" w14:textId="77777777" w:rsidR="005271F1" w:rsidRPr="00B64058" w:rsidRDefault="005271F1" w:rsidP="005271F1">
      <w:pPr>
        <w:rPr>
          <w:b/>
          <w:bCs/>
        </w:rPr>
      </w:pPr>
      <w:r w:rsidRPr="00B64058">
        <w:rPr>
          <w:b/>
          <w:bCs/>
        </w:rPr>
        <w:br w:type="page"/>
      </w:r>
    </w:p>
    <w:p w14:paraId="1895FEB8" w14:textId="77777777" w:rsidR="005271F1" w:rsidRPr="00B64058" w:rsidRDefault="005271F1" w:rsidP="005271F1">
      <w:pPr>
        <w:pStyle w:val="Caption"/>
        <w:spacing w:line="480" w:lineRule="auto"/>
        <w:rPr>
          <w:i w:val="0"/>
          <w:iCs w:val="0"/>
          <w:color w:val="000000" w:themeColor="text1"/>
          <w:sz w:val="24"/>
          <w:szCs w:val="24"/>
        </w:rPr>
      </w:pPr>
      <w:r w:rsidRPr="00B64058">
        <w:rPr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669BDC1" wp14:editId="51A1905F">
            <wp:extent cx="5727700" cy="415417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A51F" w14:textId="600F4D03" w:rsidR="005271F1" w:rsidRPr="00B64058" w:rsidRDefault="005271F1" w:rsidP="005271F1">
      <w:pPr>
        <w:pStyle w:val="Caption"/>
        <w:spacing w:line="480" w:lineRule="auto"/>
        <w:rPr>
          <w:i w:val="0"/>
          <w:iCs w:val="0"/>
          <w:color w:val="000000" w:themeColor="text1"/>
          <w:sz w:val="24"/>
          <w:szCs w:val="24"/>
        </w:rPr>
      </w:pPr>
      <w:r w:rsidRPr="00B64058">
        <w:rPr>
          <w:i w:val="0"/>
          <w:iCs w:val="0"/>
          <w:color w:val="000000" w:themeColor="text1"/>
          <w:sz w:val="24"/>
          <w:szCs w:val="24"/>
        </w:rPr>
        <w:t xml:space="preserve">Figure 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>S</w:t>
      </w:r>
      <w:r w:rsidR="00552316">
        <w:rPr>
          <w:i w:val="0"/>
          <w:iCs w:val="0"/>
          <w:color w:val="000000" w:themeColor="text1"/>
          <w:sz w:val="24"/>
          <w:szCs w:val="24"/>
        </w:rPr>
        <w:t>6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– HFIM pharmacodynamic results from 2x2 dosing matrix for </w:t>
      </w:r>
      <w:r w:rsidRPr="00B64058">
        <w:rPr>
          <w:color w:val="000000" w:themeColor="text1"/>
          <w:sz w:val="24"/>
          <w:szCs w:val="24"/>
        </w:rPr>
        <w:t>K. pneumoniae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 1203217 </w:t>
      </w:r>
      <w:proofErr w:type="gramStart"/>
      <w:r w:rsidRPr="00B64058">
        <w:rPr>
          <w:i w:val="0"/>
          <w:iCs w:val="0"/>
          <w:color w:val="000000" w:themeColor="text1"/>
          <w:sz w:val="24"/>
          <w:szCs w:val="24"/>
        </w:rPr>
        <w:t>strain</w:t>
      </w:r>
      <w:proofErr w:type="gramEnd"/>
      <w:r w:rsidRPr="00B64058">
        <w:rPr>
          <w:i w:val="0"/>
          <w:iCs w:val="0"/>
          <w:color w:val="000000" w:themeColor="text1"/>
          <w:sz w:val="24"/>
          <w:szCs w:val="24"/>
        </w:rPr>
        <w:t xml:space="preserve"> (Flomoxef MIC 0.5mg/L, Amikacin MIC 1mg/L)</w:t>
      </w:r>
    </w:p>
    <w:p w14:paraId="032083A9" w14:textId="77777777" w:rsidR="005271F1" w:rsidRPr="00B64058" w:rsidRDefault="005271F1" w:rsidP="005271F1">
      <w:pPr>
        <w:rPr>
          <w:b/>
          <w:bCs/>
        </w:rPr>
      </w:pPr>
      <w:r w:rsidRPr="00B64058">
        <w:rPr>
          <w:b/>
          <w:bCs/>
        </w:rPr>
        <w:br w:type="page"/>
      </w:r>
    </w:p>
    <w:p w14:paraId="1167A55E" w14:textId="77777777" w:rsidR="005271F1" w:rsidRPr="00B64058" w:rsidRDefault="005271F1" w:rsidP="005271F1">
      <w:pPr>
        <w:pStyle w:val="Caption"/>
        <w:spacing w:line="480" w:lineRule="auto"/>
        <w:rPr>
          <w:i w:val="0"/>
          <w:iCs w:val="0"/>
          <w:color w:val="000000" w:themeColor="text1"/>
          <w:sz w:val="24"/>
          <w:szCs w:val="24"/>
        </w:rPr>
      </w:pPr>
      <w:r w:rsidRPr="00B64058">
        <w:rPr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E2C5EB5" wp14:editId="473A298F">
            <wp:extent cx="5727700" cy="415417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B8C1" w14:textId="203D9EC0" w:rsidR="005271F1" w:rsidRPr="00B64058" w:rsidRDefault="005271F1" w:rsidP="005271F1">
      <w:pPr>
        <w:pStyle w:val="Caption"/>
        <w:spacing w:line="480" w:lineRule="auto"/>
        <w:rPr>
          <w:i w:val="0"/>
          <w:iCs w:val="0"/>
          <w:color w:val="000000" w:themeColor="text1"/>
          <w:sz w:val="24"/>
          <w:szCs w:val="24"/>
        </w:rPr>
      </w:pPr>
      <w:r w:rsidRPr="00B64058">
        <w:rPr>
          <w:i w:val="0"/>
          <w:iCs w:val="0"/>
          <w:color w:val="000000" w:themeColor="text1"/>
          <w:sz w:val="24"/>
          <w:szCs w:val="24"/>
        </w:rPr>
        <w:t xml:space="preserve">Figure 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>S</w:t>
      </w:r>
      <w:r w:rsidR="00552316">
        <w:rPr>
          <w:i w:val="0"/>
          <w:iCs w:val="0"/>
          <w:color w:val="000000" w:themeColor="text1"/>
          <w:sz w:val="24"/>
          <w:szCs w:val="24"/>
        </w:rPr>
        <w:t>7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– HFIM pharmacodynamic results from 2x2 dosing matrix for </w:t>
      </w:r>
      <w:r w:rsidRPr="00B64058">
        <w:rPr>
          <w:color w:val="000000" w:themeColor="text1"/>
          <w:sz w:val="24"/>
          <w:szCs w:val="24"/>
        </w:rPr>
        <w:t>E. coli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 I1025 strain (Flomoxef MIC 8mg/L, Amikacin MIC 4mg/L)</w:t>
      </w:r>
    </w:p>
    <w:p w14:paraId="379F9809" w14:textId="77777777" w:rsidR="005271F1" w:rsidRPr="00B64058" w:rsidRDefault="005271F1" w:rsidP="005271F1">
      <w:pPr>
        <w:rPr>
          <w:b/>
          <w:bCs/>
        </w:rPr>
      </w:pPr>
      <w:r w:rsidRPr="00B64058">
        <w:rPr>
          <w:b/>
          <w:bCs/>
        </w:rPr>
        <w:br w:type="page"/>
      </w:r>
    </w:p>
    <w:p w14:paraId="00985589" w14:textId="77777777" w:rsidR="005271F1" w:rsidRPr="00B64058" w:rsidRDefault="005271F1" w:rsidP="005271F1">
      <w:pPr>
        <w:pStyle w:val="Caption"/>
        <w:spacing w:line="480" w:lineRule="auto"/>
        <w:rPr>
          <w:i w:val="0"/>
          <w:iCs w:val="0"/>
          <w:color w:val="000000" w:themeColor="text1"/>
          <w:sz w:val="24"/>
          <w:szCs w:val="24"/>
        </w:rPr>
      </w:pPr>
      <w:r w:rsidRPr="00B64058">
        <w:rPr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D592AB1" wp14:editId="00C796AE">
            <wp:extent cx="5727700" cy="4177030"/>
            <wp:effectExtent l="0" t="0" r="0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0816" w14:textId="5450E2A2" w:rsidR="005271F1" w:rsidRPr="00B64058" w:rsidRDefault="005271F1" w:rsidP="005271F1">
      <w:pPr>
        <w:pStyle w:val="Caption"/>
        <w:spacing w:line="480" w:lineRule="auto"/>
        <w:rPr>
          <w:i w:val="0"/>
          <w:iCs w:val="0"/>
          <w:color w:val="000000" w:themeColor="text1"/>
          <w:sz w:val="24"/>
          <w:szCs w:val="24"/>
        </w:rPr>
      </w:pPr>
      <w:r w:rsidRPr="00B64058">
        <w:rPr>
          <w:i w:val="0"/>
          <w:iCs w:val="0"/>
          <w:color w:val="000000" w:themeColor="text1"/>
          <w:sz w:val="24"/>
          <w:szCs w:val="24"/>
        </w:rPr>
        <w:t xml:space="preserve">Figure 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>S</w:t>
      </w:r>
      <w:r w:rsidR="00552316">
        <w:rPr>
          <w:i w:val="0"/>
          <w:iCs w:val="0"/>
          <w:color w:val="000000" w:themeColor="text1"/>
          <w:sz w:val="24"/>
          <w:szCs w:val="24"/>
        </w:rPr>
        <w:t>8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– HFIM pharmacodynamic results from 2x2 dosing matrix for </w:t>
      </w:r>
      <w:r w:rsidRPr="00B64058">
        <w:rPr>
          <w:color w:val="000000" w:themeColor="text1"/>
          <w:sz w:val="24"/>
          <w:szCs w:val="24"/>
        </w:rPr>
        <w:t xml:space="preserve">K. </w:t>
      </w:r>
      <w:r w:rsidR="00720B9A" w:rsidRPr="00B64058">
        <w:rPr>
          <w:color w:val="000000" w:themeColor="text1"/>
          <w:sz w:val="24"/>
          <w:szCs w:val="24"/>
        </w:rPr>
        <w:t>pnueumoniae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 1256506 </w:t>
      </w:r>
      <w:proofErr w:type="gramStart"/>
      <w:r w:rsidRPr="00B64058">
        <w:rPr>
          <w:i w:val="0"/>
          <w:iCs w:val="0"/>
          <w:color w:val="000000" w:themeColor="text1"/>
          <w:sz w:val="24"/>
          <w:szCs w:val="24"/>
        </w:rPr>
        <w:t>strain</w:t>
      </w:r>
      <w:proofErr w:type="gramEnd"/>
      <w:r w:rsidRPr="00B64058">
        <w:rPr>
          <w:i w:val="0"/>
          <w:iCs w:val="0"/>
          <w:color w:val="000000" w:themeColor="text1"/>
          <w:sz w:val="24"/>
          <w:szCs w:val="24"/>
        </w:rPr>
        <w:t xml:space="preserve"> (Flomoxef MIC 32mg/L, Amikacin MIC 2mg/L)</w:t>
      </w:r>
    </w:p>
    <w:p w14:paraId="3B413159" w14:textId="77777777" w:rsidR="005271F1" w:rsidRPr="00B64058" w:rsidRDefault="005271F1" w:rsidP="005271F1">
      <w:pPr>
        <w:rPr>
          <w:b/>
          <w:bCs/>
        </w:rPr>
      </w:pPr>
      <w:r w:rsidRPr="00B64058">
        <w:rPr>
          <w:b/>
          <w:bCs/>
        </w:rPr>
        <w:br w:type="page"/>
      </w:r>
    </w:p>
    <w:p w14:paraId="4F0F045D" w14:textId="77777777" w:rsidR="005271F1" w:rsidRPr="00B64058" w:rsidRDefault="005271F1" w:rsidP="005271F1">
      <w:pPr>
        <w:pStyle w:val="Caption"/>
        <w:spacing w:line="480" w:lineRule="auto"/>
        <w:rPr>
          <w:i w:val="0"/>
          <w:iCs w:val="0"/>
          <w:color w:val="000000" w:themeColor="text1"/>
          <w:sz w:val="24"/>
          <w:szCs w:val="24"/>
        </w:rPr>
      </w:pPr>
      <w:r w:rsidRPr="00B64058">
        <w:rPr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3EC448A" wp14:editId="1A0E25DF">
            <wp:extent cx="5727700" cy="4177030"/>
            <wp:effectExtent l="0" t="0" r="0" b="127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EE7F" w14:textId="12C60576" w:rsidR="008E652C" w:rsidRPr="004C36E1" w:rsidRDefault="005271F1" w:rsidP="004C36E1">
      <w:pPr>
        <w:pStyle w:val="Caption"/>
        <w:spacing w:line="480" w:lineRule="auto"/>
        <w:rPr>
          <w:b/>
          <w:bCs/>
        </w:rPr>
      </w:pPr>
      <w:r w:rsidRPr="00B64058">
        <w:rPr>
          <w:i w:val="0"/>
          <w:iCs w:val="0"/>
          <w:color w:val="000000" w:themeColor="text1"/>
          <w:sz w:val="24"/>
          <w:szCs w:val="24"/>
        </w:rPr>
        <w:t xml:space="preserve">Figure 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>S</w:t>
      </w:r>
      <w:r w:rsidR="00552316">
        <w:rPr>
          <w:i w:val="0"/>
          <w:iCs w:val="0"/>
          <w:color w:val="000000" w:themeColor="text1"/>
          <w:sz w:val="24"/>
          <w:szCs w:val="24"/>
        </w:rPr>
        <w:t>9</w:t>
      </w:r>
      <w:r w:rsidR="00552316" w:rsidRPr="00B64058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– HFIM pharmacodynamic results from 2x2 dosing matrix for </w:t>
      </w:r>
      <w:r w:rsidRPr="00B64058">
        <w:rPr>
          <w:color w:val="000000" w:themeColor="text1"/>
          <w:sz w:val="24"/>
          <w:szCs w:val="24"/>
        </w:rPr>
        <w:t xml:space="preserve">K. </w:t>
      </w:r>
      <w:r w:rsidR="00720B9A" w:rsidRPr="00B64058">
        <w:rPr>
          <w:color w:val="000000" w:themeColor="text1"/>
          <w:sz w:val="24"/>
          <w:szCs w:val="24"/>
        </w:rPr>
        <w:t>pnueumoniae</w:t>
      </w:r>
      <w:r w:rsidRPr="00B64058">
        <w:rPr>
          <w:i w:val="0"/>
          <w:iCs w:val="0"/>
          <w:color w:val="000000" w:themeColor="text1"/>
          <w:sz w:val="24"/>
          <w:szCs w:val="24"/>
        </w:rPr>
        <w:t xml:space="preserve"> 1280740 </w:t>
      </w:r>
      <w:proofErr w:type="gramStart"/>
      <w:r w:rsidRPr="00B64058">
        <w:rPr>
          <w:i w:val="0"/>
          <w:iCs w:val="0"/>
          <w:color w:val="000000" w:themeColor="text1"/>
          <w:sz w:val="24"/>
          <w:szCs w:val="24"/>
        </w:rPr>
        <w:t>strain</w:t>
      </w:r>
      <w:proofErr w:type="gramEnd"/>
      <w:r w:rsidRPr="00B64058">
        <w:rPr>
          <w:i w:val="0"/>
          <w:iCs w:val="0"/>
          <w:color w:val="000000" w:themeColor="text1"/>
          <w:sz w:val="24"/>
          <w:szCs w:val="24"/>
        </w:rPr>
        <w:t xml:space="preserve"> (Flomoxef MIC 32mg/L, Amikacin MIC 4mg/L)</w:t>
      </w:r>
    </w:p>
    <w:sectPr w:rsidR="008E652C" w:rsidRPr="004C36E1" w:rsidSect="00FE345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7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C55"/>
    <w:rsid w:val="00032159"/>
    <w:rsid w:val="001C7E47"/>
    <w:rsid w:val="00225016"/>
    <w:rsid w:val="00254F2D"/>
    <w:rsid w:val="00284C55"/>
    <w:rsid w:val="002C54C4"/>
    <w:rsid w:val="003130AE"/>
    <w:rsid w:val="00442C14"/>
    <w:rsid w:val="004C36E1"/>
    <w:rsid w:val="004F4A04"/>
    <w:rsid w:val="005271F1"/>
    <w:rsid w:val="00552316"/>
    <w:rsid w:val="00597EED"/>
    <w:rsid w:val="005E1C02"/>
    <w:rsid w:val="005E497F"/>
    <w:rsid w:val="00624F58"/>
    <w:rsid w:val="00676613"/>
    <w:rsid w:val="00720B9A"/>
    <w:rsid w:val="00826683"/>
    <w:rsid w:val="008331FB"/>
    <w:rsid w:val="00853C80"/>
    <w:rsid w:val="00891BD5"/>
    <w:rsid w:val="008C7A33"/>
    <w:rsid w:val="009156FF"/>
    <w:rsid w:val="009A3B06"/>
    <w:rsid w:val="009E2757"/>
    <w:rsid w:val="00A03879"/>
    <w:rsid w:val="00A32C02"/>
    <w:rsid w:val="00A34FF7"/>
    <w:rsid w:val="00A400B6"/>
    <w:rsid w:val="00B03CAA"/>
    <w:rsid w:val="00B04FFB"/>
    <w:rsid w:val="00B64058"/>
    <w:rsid w:val="00B65A56"/>
    <w:rsid w:val="00B7387D"/>
    <w:rsid w:val="00BA58A3"/>
    <w:rsid w:val="00BC3DF8"/>
    <w:rsid w:val="00BC5FD8"/>
    <w:rsid w:val="00C105B2"/>
    <w:rsid w:val="00C11B25"/>
    <w:rsid w:val="00C84E51"/>
    <w:rsid w:val="00CB43B0"/>
    <w:rsid w:val="00CB4806"/>
    <w:rsid w:val="00D76D29"/>
    <w:rsid w:val="00D83BB2"/>
    <w:rsid w:val="00D859D7"/>
    <w:rsid w:val="00DF6274"/>
    <w:rsid w:val="00EF6308"/>
    <w:rsid w:val="00F11F16"/>
    <w:rsid w:val="00F53186"/>
    <w:rsid w:val="00FE0291"/>
    <w:rsid w:val="00FE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FC449"/>
  <w15:chartTrackingRefBased/>
  <w15:docId w15:val="{1F6C65DE-7565-E44F-AC52-294B9FE6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271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71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71F1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271F1"/>
    <w:pPr>
      <w:spacing w:after="200"/>
    </w:pPr>
    <w:rPr>
      <w:i/>
      <w:iCs/>
      <w:color w:val="44546A" w:themeColor="text2"/>
      <w:sz w:val="18"/>
      <w:szCs w:val="18"/>
    </w:rPr>
  </w:style>
  <w:style w:type="table" w:styleId="GridTable4">
    <w:name w:val="Grid Table 4"/>
    <w:basedOn w:val="TableNormal"/>
    <w:uiPriority w:val="49"/>
    <w:rsid w:val="00C11B25"/>
    <w:rPr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CB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00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4F893F-7162-864E-96C7-6EF575587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2158</Words>
  <Characters>12303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Darlow, Christopher</dc:creator>
  <cp:keywords/>
  <dc:description/>
  <cp:lastModifiedBy>Darlow, Christopher</cp:lastModifiedBy>
  <cp:revision>2</cp:revision>
  <dcterms:created xsi:type="dcterms:W3CDTF">2022-08-16T10:00:00Z</dcterms:created>
  <dcterms:modified xsi:type="dcterms:W3CDTF">2022-08-16T10:00:00Z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Unique User Id_1">
    <vt:lpwstr>50d4b2ca-1d8f-3775-ade6-d2047fd26fc1</vt:lpwstr>
  </property>
  <property fmtid="{D5CDD505-2E9C-101B-9397-08002B2CF9AE}" pid="3" name="Mendeley Citation Style_1">
    <vt:lpwstr>http://csl.mendeley.com/styles/455439591/journal-of-antimicrobial-chemotherapy</vt:lpwstr>
  </property>
</Properties>
</file>