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4F283" w14:textId="16F311F9" w:rsidR="00B96E49" w:rsidRDefault="00B96E49">
      <w:r>
        <w:t>Palforzia</w:t>
      </w:r>
      <w:r w:rsidR="001D50F5">
        <w:t xml:space="preserve"> for peanut allergy: panacea or predicament</w:t>
      </w:r>
      <w:r w:rsidR="008A62CA">
        <w:t>?</w:t>
      </w:r>
    </w:p>
    <w:p w14:paraId="03A1209E" w14:textId="4FE6DE3B" w:rsidR="001D50F5" w:rsidRDefault="001D50F5"/>
    <w:p w14:paraId="7985D451" w14:textId="281636E6" w:rsidR="001254FC" w:rsidRPr="00795295" w:rsidRDefault="001254FC" w:rsidP="001254FC">
      <w:pPr>
        <w:rPr>
          <w:b/>
          <w:bCs/>
        </w:rPr>
      </w:pPr>
      <w:r w:rsidRPr="00795295">
        <w:rPr>
          <w:b/>
          <w:bCs/>
        </w:rPr>
        <w:t>Michael R. Perkin,</w:t>
      </w:r>
    </w:p>
    <w:p w14:paraId="2F440270" w14:textId="77777777" w:rsidR="001254FC" w:rsidRDefault="001254FC" w:rsidP="001254FC">
      <w:pPr>
        <w:pStyle w:val="Heading2"/>
        <w:spacing w:before="0" w:after="0"/>
        <w:rPr>
          <w:rFonts w:asciiTheme="minorHAnsi" w:hAnsiTheme="minorHAnsi" w:cstheme="minorHAnsi"/>
          <w:szCs w:val="22"/>
        </w:rPr>
      </w:pPr>
    </w:p>
    <w:p w14:paraId="5F1E56FB" w14:textId="28A71D8D" w:rsidR="001254FC" w:rsidRDefault="001254FC" w:rsidP="001254FC">
      <w:pPr>
        <w:pStyle w:val="Heading2"/>
        <w:spacing w:before="0" w:after="0"/>
        <w:rPr>
          <w:rFonts w:asciiTheme="minorHAnsi" w:hAnsiTheme="minorHAnsi" w:cstheme="minorHAnsi"/>
          <w:b/>
          <w:szCs w:val="22"/>
        </w:rPr>
      </w:pPr>
      <w:r>
        <w:rPr>
          <w:rFonts w:asciiTheme="minorHAnsi" w:hAnsiTheme="minorHAnsi" w:cstheme="minorHAnsi"/>
          <w:szCs w:val="22"/>
        </w:rPr>
        <w:t>Author (ORCID ID)</w:t>
      </w:r>
    </w:p>
    <w:p w14:paraId="29FBC249" w14:textId="4F1E08CF" w:rsidR="001254FC" w:rsidRDefault="001254FC" w:rsidP="001254FC">
      <w:pPr>
        <w:rPr>
          <w:rFonts w:cs="Times New Roman"/>
          <w:szCs w:val="24"/>
          <w:vertAlign w:val="superscript"/>
        </w:rPr>
      </w:pPr>
      <w:r>
        <w:t>Michael Perkin (0000-0001-9272-2585)</w:t>
      </w:r>
    </w:p>
    <w:p w14:paraId="574EFA29" w14:textId="77777777" w:rsidR="00856682" w:rsidRDefault="00856682" w:rsidP="001254FC">
      <w:pPr>
        <w:pStyle w:val="Heading2"/>
        <w:spacing w:before="0" w:after="0"/>
        <w:rPr>
          <w:rFonts w:asciiTheme="minorHAnsi" w:hAnsiTheme="minorHAnsi" w:cstheme="minorHAnsi"/>
          <w:szCs w:val="22"/>
        </w:rPr>
      </w:pPr>
    </w:p>
    <w:p w14:paraId="3A5941F6" w14:textId="3A2EA534" w:rsidR="001254FC" w:rsidRDefault="001254FC" w:rsidP="001254FC">
      <w:pPr>
        <w:pStyle w:val="Heading2"/>
        <w:spacing w:before="0" w:after="0"/>
        <w:rPr>
          <w:rFonts w:asciiTheme="minorHAnsi" w:hAnsiTheme="minorHAnsi" w:cstheme="minorHAnsi"/>
          <w:szCs w:val="22"/>
        </w:rPr>
      </w:pPr>
      <w:r>
        <w:rPr>
          <w:rFonts w:asciiTheme="minorHAnsi" w:hAnsiTheme="minorHAnsi" w:cstheme="minorHAnsi"/>
          <w:szCs w:val="22"/>
        </w:rPr>
        <w:t>Author names and position</w:t>
      </w:r>
    </w:p>
    <w:p w14:paraId="0D44533C" w14:textId="3B629941" w:rsidR="001254FC" w:rsidRDefault="001254FC" w:rsidP="001254FC">
      <w:pPr>
        <w:rPr>
          <w:rFonts w:cstheme="minorHAnsi"/>
        </w:rPr>
      </w:pPr>
      <w:r>
        <w:rPr>
          <w:rFonts w:cstheme="minorHAnsi"/>
          <w:b/>
          <w:bCs/>
        </w:rPr>
        <w:t xml:space="preserve">Michael </w:t>
      </w:r>
      <w:r w:rsidR="00856682">
        <w:rPr>
          <w:rFonts w:cstheme="minorHAnsi"/>
          <w:b/>
          <w:bCs/>
        </w:rPr>
        <w:t xml:space="preserve">R </w:t>
      </w:r>
      <w:r>
        <w:rPr>
          <w:rFonts w:cstheme="minorHAnsi"/>
          <w:b/>
          <w:bCs/>
        </w:rPr>
        <w:t>Perkin,</w:t>
      </w:r>
      <w:r>
        <w:rPr>
          <w:rFonts w:cstheme="minorHAnsi"/>
        </w:rPr>
        <w:t xml:space="preserve"> Consultant in Paediatric Allergy &amp; Reader in Clinical Epidemiology</w:t>
      </w:r>
    </w:p>
    <w:p w14:paraId="1139E89C" w14:textId="77777777" w:rsidR="001254FC" w:rsidRDefault="001254FC" w:rsidP="001254FC">
      <w:pPr>
        <w:rPr>
          <w:rFonts w:cstheme="minorHAnsi"/>
        </w:rPr>
      </w:pPr>
      <w:r>
        <w:rPr>
          <w:rFonts w:cstheme="minorHAnsi"/>
        </w:rPr>
        <w:t>Population Health Research Institute, St George's, University of London, Cranmer Terrace, SW17 0RE</w:t>
      </w:r>
    </w:p>
    <w:p w14:paraId="35F3713F" w14:textId="77777777" w:rsidR="001254FC" w:rsidRDefault="001254FC" w:rsidP="001254FC">
      <w:pPr>
        <w:rPr>
          <w:rFonts w:cstheme="minorHAnsi"/>
        </w:rPr>
      </w:pPr>
    </w:p>
    <w:p w14:paraId="574C5028" w14:textId="77777777" w:rsidR="001254FC" w:rsidRDefault="001254FC" w:rsidP="001254FC">
      <w:pPr>
        <w:rPr>
          <w:rFonts w:cstheme="minorHAnsi"/>
        </w:rPr>
      </w:pPr>
      <w:r>
        <w:rPr>
          <w:rFonts w:cstheme="minorHAnsi"/>
        </w:rPr>
        <w:t>The authors have no Conflict of Interest to declare in relation to this work.</w:t>
      </w:r>
    </w:p>
    <w:p w14:paraId="25ABF94E" w14:textId="77777777" w:rsidR="001254FC" w:rsidRDefault="001254FC" w:rsidP="001254FC">
      <w:pPr>
        <w:rPr>
          <w:rFonts w:cstheme="minorHAnsi"/>
        </w:rPr>
      </w:pPr>
    </w:p>
    <w:p w14:paraId="5187F8F5" w14:textId="77777777" w:rsidR="001254FC" w:rsidRDefault="001254FC" w:rsidP="001254FC">
      <w:pPr>
        <w:rPr>
          <w:rFonts w:cstheme="minorHAnsi"/>
          <w:b/>
        </w:rPr>
      </w:pPr>
      <w:r>
        <w:rPr>
          <w:rFonts w:cstheme="minorHAnsi"/>
          <w:b/>
        </w:rPr>
        <w:t>Correspondence:</w:t>
      </w:r>
    </w:p>
    <w:p w14:paraId="68669DC0" w14:textId="77777777" w:rsidR="001254FC" w:rsidRDefault="001254FC" w:rsidP="001254FC">
      <w:pPr>
        <w:rPr>
          <w:rFonts w:cstheme="minorHAnsi"/>
        </w:rPr>
      </w:pPr>
      <w:r>
        <w:rPr>
          <w:rFonts w:cstheme="minorHAnsi"/>
        </w:rPr>
        <w:t>Michael Perkin</w:t>
      </w:r>
    </w:p>
    <w:p w14:paraId="43BECB48" w14:textId="54E1F938" w:rsidR="001254FC" w:rsidRDefault="001254FC" w:rsidP="001254FC">
      <w:pPr>
        <w:rPr>
          <w:rFonts w:cstheme="minorHAnsi"/>
        </w:rPr>
      </w:pPr>
      <w:r w:rsidRPr="009A0D63">
        <w:rPr>
          <w:rFonts w:cstheme="minorHAnsi"/>
        </w:rPr>
        <w:t>mperkin@sgul.ac.uk</w:t>
      </w:r>
    </w:p>
    <w:p w14:paraId="09895EA7" w14:textId="77777777" w:rsidR="001254FC" w:rsidRPr="00041A6B" w:rsidRDefault="001254FC" w:rsidP="001254FC">
      <w:pPr>
        <w:rPr>
          <w:rFonts w:cstheme="minorHAnsi"/>
        </w:rPr>
      </w:pPr>
    </w:p>
    <w:p w14:paraId="66E8515A" w14:textId="77777777" w:rsidR="001254FC" w:rsidRDefault="001254FC"/>
    <w:p w14:paraId="4F5875D6" w14:textId="4BB6E734" w:rsidR="00B22AAB" w:rsidRDefault="00B22AAB">
      <w:r>
        <w:t xml:space="preserve">Over a century ago, Alfred Schofield </w:t>
      </w:r>
      <w:r w:rsidR="003638F9">
        <w:t xml:space="preserve">reported in the Lancet treating </w:t>
      </w:r>
      <w:r>
        <w:t xml:space="preserve">a 13 year boy with an egg allergy by introducing tiny amounts of egg into his diet and incrementing </w:t>
      </w:r>
      <w:r w:rsidR="00093067">
        <w:t>the dose</w:t>
      </w:r>
      <w:r>
        <w:t>.</w:t>
      </w:r>
      <w:r w:rsidRPr="00B22AAB">
        <w:rPr>
          <w:noProof/>
          <w:vertAlign w:val="superscript"/>
        </w:rPr>
        <w:t>1</w:t>
      </w:r>
      <w:r w:rsidR="005F49DA">
        <w:t xml:space="preserve"> Commencing </w:t>
      </w:r>
      <w:r w:rsidR="00A6094F">
        <w:t xml:space="preserve">in December 1906 </w:t>
      </w:r>
      <w:r w:rsidR="005F49DA">
        <w:t>with pills containing 1/10000</w:t>
      </w:r>
      <w:r w:rsidR="005F49DA" w:rsidRPr="005F49DA">
        <w:rPr>
          <w:vertAlign w:val="superscript"/>
        </w:rPr>
        <w:t>th</w:t>
      </w:r>
      <w:r w:rsidR="005F49DA">
        <w:t xml:space="preserve"> part of a raw egg daily</w:t>
      </w:r>
      <w:r w:rsidR="00093067">
        <w:t xml:space="preserve"> t</w:t>
      </w:r>
      <w:r w:rsidR="005F49DA">
        <w:t>his dose was maintained for a month, before in the following month the dose was incremented every four days until 1/1000</w:t>
      </w:r>
      <w:r w:rsidR="005F49DA" w:rsidRPr="005F49DA">
        <w:rPr>
          <w:vertAlign w:val="superscript"/>
        </w:rPr>
        <w:t>th</w:t>
      </w:r>
      <w:r w:rsidR="005F49DA">
        <w:t xml:space="preserve"> of a raw egg was consumed daily. </w:t>
      </w:r>
      <w:r w:rsidR="00A6094F">
        <w:t>Incrementing doses of pills containing raw or cooked egg alternately ensued the following month.  By March he was consuming 1/250</w:t>
      </w:r>
      <w:r w:rsidR="00A6094F" w:rsidRPr="00A6094F">
        <w:rPr>
          <w:vertAlign w:val="superscript"/>
        </w:rPr>
        <w:t>th</w:t>
      </w:r>
      <w:r w:rsidR="00A6094F">
        <w:t xml:space="preserve"> egg daily, April 1/150</w:t>
      </w:r>
      <w:r w:rsidR="00A6094F" w:rsidRPr="00A6094F">
        <w:rPr>
          <w:vertAlign w:val="superscript"/>
        </w:rPr>
        <w:t>th</w:t>
      </w:r>
      <w:r w:rsidR="00A6094F">
        <w:t xml:space="preserve"> and June 1/33</w:t>
      </w:r>
      <w:r w:rsidR="00A6094F" w:rsidRPr="00A6094F">
        <w:rPr>
          <w:vertAlign w:val="superscript"/>
        </w:rPr>
        <w:t>r</w:t>
      </w:r>
      <w:r w:rsidR="00A6094F">
        <w:rPr>
          <w:vertAlign w:val="superscript"/>
        </w:rPr>
        <w:t xml:space="preserve">d </w:t>
      </w:r>
      <w:r w:rsidR="00A6094F">
        <w:t>. In July the pills were dropped and he was switched to actual egg and by the end of July was consuming 1/6</w:t>
      </w:r>
      <w:r w:rsidR="00A6094F" w:rsidRPr="00A6094F">
        <w:rPr>
          <w:vertAlign w:val="superscript"/>
        </w:rPr>
        <w:t>th</w:t>
      </w:r>
      <w:r w:rsidR="00A6094F">
        <w:t xml:space="preserve"> of an egg daily. The amount was then rapidly increased until he ate one egg a day.</w:t>
      </w:r>
      <w:r w:rsidR="00093067">
        <w:t xml:space="preserve"> The whole process had lasted 9 months and pills had been substituted for real food towards the end of the regimen.</w:t>
      </w:r>
    </w:p>
    <w:p w14:paraId="0FAD8250" w14:textId="77777777" w:rsidR="00A6094F" w:rsidRDefault="00A6094F"/>
    <w:p w14:paraId="0E6CFC4D" w14:textId="5C1F5719" w:rsidR="00A6094F" w:rsidRDefault="00A6094F" w:rsidP="00D33F37">
      <w:r>
        <w:t xml:space="preserve">So many aspects of Schofield’s case report are pertinent to contemporary food </w:t>
      </w:r>
      <w:r w:rsidR="002F36E7">
        <w:t>immunotherapy</w:t>
      </w:r>
      <w:r>
        <w:t xml:space="preserve">. </w:t>
      </w:r>
      <w:r w:rsidR="002F36E7">
        <w:t xml:space="preserve">The Cambridge group in their seminal trial </w:t>
      </w:r>
      <w:r>
        <w:t xml:space="preserve">of peanut </w:t>
      </w:r>
      <w:r w:rsidR="002F36E7">
        <w:t xml:space="preserve">immunotherapy </w:t>
      </w:r>
      <w:r>
        <w:t xml:space="preserve">with </w:t>
      </w:r>
      <w:r w:rsidR="00AC1F4B">
        <w:t xml:space="preserve">defatted peanut flour </w:t>
      </w:r>
      <w:r>
        <w:t xml:space="preserve">used a daily regimen, </w:t>
      </w:r>
      <w:r w:rsidR="00D33F37">
        <w:t>with</w:t>
      </w:r>
      <w:r w:rsidR="00CA7895">
        <w:t xml:space="preserve"> nine</w:t>
      </w:r>
      <w:r>
        <w:t xml:space="preserve"> fortnightly increments</w:t>
      </w:r>
      <w:r w:rsidR="00D33F37">
        <w:t>, starting at 2</w:t>
      </w:r>
      <w:r w:rsidR="003C757D">
        <w:t xml:space="preserve"> </w:t>
      </w:r>
      <w:r w:rsidR="00D33F37">
        <w:t>mg through to a maintenance dose of 800</w:t>
      </w:r>
      <w:r w:rsidR="00C55567">
        <w:t xml:space="preserve"> </w:t>
      </w:r>
      <w:r w:rsidR="00D33F37">
        <w:t xml:space="preserve">mg and </w:t>
      </w:r>
      <w:r>
        <w:t xml:space="preserve">lasting </w:t>
      </w:r>
      <w:r w:rsidR="00CA7895">
        <w:t>6</w:t>
      </w:r>
      <w:r>
        <w:t xml:space="preserve"> months.</w:t>
      </w:r>
      <w:r w:rsidR="002F36E7" w:rsidRPr="002F36E7">
        <w:rPr>
          <w:noProof/>
          <w:vertAlign w:val="superscript"/>
        </w:rPr>
        <w:t>2</w:t>
      </w:r>
      <w:r>
        <w:t xml:space="preserve"> </w:t>
      </w:r>
      <w:r w:rsidR="00D33F37">
        <w:t>Ongoing daily consumption of 800</w:t>
      </w:r>
      <w:r w:rsidR="00C55567">
        <w:t xml:space="preserve"> </w:t>
      </w:r>
      <w:r w:rsidR="00D33F37">
        <w:t>mg of peanut protein was recommended</w:t>
      </w:r>
      <w:r w:rsidR="002F36E7">
        <w:t xml:space="preserve"> but the vehicle was not stated</w:t>
      </w:r>
      <w:r w:rsidR="00D33F37">
        <w:t>. In</w:t>
      </w:r>
      <w:r w:rsidR="002F36E7">
        <w:t xml:space="preserve"> contrast, in</w:t>
      </w:r>
      <w:r w:rsidR="00D33F37">
        <w:t xml:space="preserve"> the</w:t>
      </w:r>
      <w:r w:rsidR="002F36E7">
        <w:t>ir</w:t>
      </w:r>
      <w:r w:rsidR="00D33F37">
        <w:t xml:space="preserve"> earlier pilot study</w:t>
      </w:r>
      <w:r w:rsidR="002F36E7">
        <w:t>,</w:t>
      </w:r>
      <w:r w:rsidR="00D33F37">
        <w:t xml:space="preserve"> at the final updose </w:t>
      </w:r>
      <w:r w:rsidR="002F36E7">
        <w:t xml:space="preserve">it was stated that </w:t>
      </w:r>
      <w:r w:rsidR="00D33F37">
        <w:t>subjects were given the choice of continuing to take peanut flour or five to seven peanuts daily (~800 mg protein).</w:t>
      </w:r>
      <w:r w:rsidR="002F36E7" w:rsidRPr="002F36E7">
        <w:rPr>
          <w:noProof/>
          <w:vertAlign w:val="superscript"/>
        </w:rPr>
        <w:t>3</w:t>
      </w:r>
    </w:p>
    <w:p w14:paraId="0617C329" w14:textId="366F387C" w:rsidR="00A6094F" w:rsidRDefault="00A6094F"/>
    <w:p w14:paraId="414B27A1" w14:textId="5EB4B589" w:rsidR="00BB7A1D" w:rsidRDefault="00622CD8" w:rsidP="00BB7A1D">
      <w:proofErr w:type="spellStart"/>
      <w:r>
        <w:t>Aimmune</w:t>
      </w:r>
      <w:proofErr w:type="spellEnd"/>
      <w:r>
        <w:t xml:space="preserve"> have replicated what Schofield did, namely placing a food product, defatted peanut flour, into capsules or sachets (as opposed to pills) and the result is </w:t>
      </w:r>
      <w:r w:rsidR="00BB7A1D">
        <w:t>Palforzia</w:t>
      </w:r>
      <w:r>
        <w:t xml:space="preserve">, </w:t>
      </w:r>
      <w:r w:rsidR="00BB7A1D">
        <w:t xml:space="preserve">the first licensed product for peanut immunotherapy </w:t>
      </w:r>
      <w:r>
        <w:t>in the UK</w:t>
      </w:r>
      <w:r w:rsidR="002A6395">
        <w:t xml:space="preserve"> </w:t>
      </w:r>
      <w:r>
        <w:t xml:space="preserve">which </w:t>
      </w:r>
      <w:r w:rsidR="00BB7A1D">
        <w:t xml:space="preserve">has just been approved by NICE. </w:t>
      </w:r>
      <w:r>
        <w:t>The immunotherapy regimen with Palforzia</w:t>
      </w:r>
      <w:r w:rsidR="00BB7A1D">
        <w:t xml:space="preserve"> requires an initial dose escalation day then 11 fortnightly up-dosing visits. Hence 12 </w:t>
      </w:r>
      <w:r w:rsidR="00AD6C2E">
        <w:t>allergy day case visits</w:t>
      </w:r>
      <w:r w:rsidR="00BB7A1D">
        <w:t xml:space="preserve"> per child. The median number of challenges undertaken per week in UK paediatric allergy services is two. The NHS is expected to offer Palforzia to 600 children in the first year, rising to 2000 each year after that. 2000 children requires 24,000 </w:t>
      </w:r>
      <w:r w:rsidR="00AD6C2E">
        <w:t>day case visits</w:t>
      </w:r>
      <w:r w:rsidR="00BB7A1D">
        <w:t xml:space="preserve">. The entire UK food challenge capacity in the 139 units that provide food challenges is 30,076. So 80% of all challenges would have to cease and be switched to </w:t>
      </w:r>
      <w:r w:rsidR="00AD6C2E">
        <w:t xml:space="preserve">day case visits for </w:t>
      </w:r>
      <w:r w:rsidR="00BB7A1D">
        <w:t xml:space="preserve">Palforzia. </w:t>
      </w:r>
      <w:r w:rsidR="00AD6C2E">
        <w:t xml:space="preserve">In the AR101 trial, 33% of the administrations of adrenaline autoinjectors (AAI) in the Palforzia arm took place in clinic. Hence it is essential that Palforzia updosing visits take place in an environment appropriate for the </w:t>
      </w:r>
      <w:r w:rsidR="00AD6C2E">
        <w:lastRenderedPageBreak/>
        <w:t>management of anaphylaxis and administration of AAIs and that pressure is resisted that for logi</w:t>
      </w:r>
      <w:r w:rsidR="0003776F">
        <w:t>sti</w:t>
      </w:r>
      <w:r w:rsidR="00AD6C2E">
        <w:t>cal purposes updosing takes place in, for example, the</w:t>
      </w:r>
      <w:r w:rsidR="00BB7A1D">
        <w:t xml:space="preserve"> outpatient</w:t>
      </w:r>
      <w:r w:rsidR="00AD6C2E">
        <w:t xml:space="preserve"> department</w:t>
      </w:r>
      <w:r w:rsidR="00BB7A1D">
        <w:t>.</w:t>
      </w:r>
    </w:p>
    <w:p w14:paraId="62F6B3EE" w14:textId="77777777" w:rsidR="00BB7A1D" w:rsidRDefault="00BB7A1D" w:rsidP="00BB7A1D"/>
    <w:p w14:paraId="46204A44" w14:textId="565A39D2" w:rsidR="00A14AFF" w:rsidRDefault="00A6094F">
      <w:r>
        <w:t xml:space="preserve">Schofield achieved a 100% success rate for his </w:t>
      </w:r>
      <w:r w:rsidR="00A64F65">
        <w:t xml:space="preserve">egg </w:t>
      </w:r>
      <w:r>
        <w:t>tolerance induction regimen</w:t>
      </w:r>
      <w:r w:rsidR="00B454C4">
        <w:t xml:space="preserve"> </w:t>
      </w:r>
      <w:r w:rsidR="00A64F65">
        <w:t>in a trial</w:t>
      </w:r>
      <w:r w:rsidR="00B454C4">
        <w:t xml:space="preserve"> of n=1. </w:t>
      </w:r>
      <w:r w:rsidR="002F36E7">
        <w:t xml:space="preserve">Using </w:t>
      </w:r>
      <w:r w:rsidR="00AC1F4B">
        <w:t>defatted peanut flour</w:t>
      </w:r>
      <w:r w:rsidR="002F36E7">
        <w:t xml:space="preserve"> </w:t>
      </w:r>
      <w:r w:rsidR="00393BC8">
        <w:t>achieved</w:t>
      </w:r>
      <w:r w:rsidR="002F36E7">
        <w:t xml:space="preserve"> tolerance of</w:t>
      </w:r>
      <w:r w:rsidR="001C2CE9">
        <w:t xml:space="preserve"> a daily</w:t>
      </w:r>
      <w:r w:rsidR="002F36E7">
        <w:t xml:space="preserve"> 800</w:t>
      </w:r>
      <w:r w:rsidR="00393BC8">
        <w:t xml:space="preserve"> </w:t>
      </w:r>
      <w:r w:rsidR="002F36E7">
        <w:t xml:space="preserve">mg </w:t>
      </w:r>
      <w:r w:rsidR="001C2CE9">
        <w:t xml:space="preserve">dose </w:t>
      </w:r>
      <w:r w:rsidR="002F36E7">
        <w:t xml:space="preserve">of peanut protein in </w:t>
      </w:r>
      <w:r w:rsidR="00393BC8">
        <w:t>88</w:t>
      </w:r>
      <w:r w:rsidR="002F36E7">
        <w:t>% and</w:t>
      </w:r>
      <w:r w:rsidR="00393BC8">
        <w:t xml:space="preserve"> </w:t>
      </w:r>
      <w:r w:rsidR="001C2CE9">
        <w:t xml:space="preserve">to a cumulative dose of </w:t>
      </w:r>
      <w:r w:rsidR="002F36E7">
        <w:t>1400</w:t>
      </w:r>
      <w:r w:rsidR="00393BC8">
        <w:t xml:space="preserve"> </w:t>
      </w:r>
      <w:r w:rsidR="002F36E7">
        <w:t xml:space="preserve">mg peanut protein in </w:t>
      </w:r>
      <w:r w:rsidR="00393BC8">
        <w:t>58</w:t>
      </w:r>
      <w:r w:rsidR="002F36E7">
        <w:t>% (Cambridge)</w:t>
      </w:r>
      <w:r w:rsidR="00393BC8" w:rsidRPr="00393BC8">
        <w:rPr>
          <w:noProof/>
          <w:vertAlign w:val="superscript"/>
        </w:rPr>
        <w:t>2</w:t>
      </w:r>
      <w:r w:rsidR="002F36E7">
        <w:t xml:space="preserve"> and </w:t>
      </w:r>
      <w:r w:rsidR="005D2AA7">
        <w:t>of</w:t>
      </w:r>
      <w:r w:rsidR="002F36E7">
        <w:t xml:space="preserve"> </w:t>
      </w:r>
      <w:r w:rsidR="001C2CE9">
        <w:t xml:space="preserve">a single dose of 600 </w:t>
      </w:r>
      <w:r w:rsidR="002F36E7">
        <w:t>mg</w:t>
      </w:r>
      <w:r w:rsidR="001C2CE9">
        <w:t xml:space="preserve"> (cumulative dose of </w:t>
      </w:r>
      <w:r w:rsidR="0074570F">
        <w:rPr>
          <w:rFonts w:cs="Calibri"/>
        </w:rPr>
        <w:t>≥</w:t>
      </w:r>
      <w:r w:rsidR="001C2CE9">
        <w:t>1043 mg)</w:t>
      </w:r>
      <w:r w:rsidR="002F36E7">
        <w:t xml:space="preserve"> of peanut protein in </w:t>
      </w:r>
      <w:r w:rsidR="001C2CE9">
        <w:t>67</w:t>
      </w:r>
      <w:r w:rsidR="002F36E7">
        <w:t xml:space="preserve">% </w:t>
      </w:r>
      <w:r w:rsidR="0074570F">
        <w:t xml:space="preserve">and </w:t>
      </w:r>
      <w:r w:rsidR="005D2AA7">
        <w:t>of</w:t>
      </w:r>
      <w:r w:rsidR="0074570F">
        <w:t xml:space="preserve"> a single dose of 1000 mg (cumulative dose of </w:t>
      </w:r>
      <w:r w:rsidR="0074570F">
        <w:rPr>
          <w:rFonts w:cs="Calibri"/>
        </w:rPr>
        <w:t>≥</w:t>
      </w:r>
      <w:r w:rsidR="0074570F">
        <w:t xml:space="preserve">2043 mg) of peanut protein in 50% </w:t>
      </w:r>
      <w:r w:rsidR="002F36E7">
        <w:t>(</w:t>
      </w:r>
      <w:r w:rsidR="00AC1F4B">
        <w:t>Palforzia</w:t>
      </w:r>
      <w:r w:rsidR="002F36E7">
        <w:t>).</w:t>
      </w:r>
      <w:r w:rsidR="00571520" w:rsidRPr="00571520">
        <w:rPr>
          <w:noProof/>
          <w:vertAlign w:val="superscript"/>
        </w:rPr>
        <w:t>4</w:t>
      </w:r>
      <w:r w:rsidR="00A14AFF">
        <w:t xml:space="preserve"> Schofield’s child completed his course of immunotherapy, whereas 21% of the children commencing Palforzia did not complete the</w:t>
      </w:r>
      <w:r w:rsidR="001439E3">
        <w:t>ir</w:t>
      </w:r>
      <w:r w:rsidR="00A14AFF">
        <w:t xml:space="preserve"> immunotherapy regimen.</w:t>
      </w:r>
      <w:r w:rsidR="00571520" w:rsidRPr="00571520">
        <w:rPr>
          <w:noProof/>
          <w:vertAlign w:val="superscript"/>
        </w:rPr>
        <w:t>4</w:t>
      </w:r>
    </w:p>
    <w:p w14:paraId="0AEDE05B" w14:textId="77777777" w:rsidR="00B454C4" w:rsidRDefault="00B454C4"/>
    <w:p w14:paraId="49C1B853" w14:textId="2B14BF99" w:rsidR="002A6395" w:rsidRDefault="005D2AA7" w:rsidP="0060018F">
      <w:r>
        <w:t xml:space="preserve">Schofield </w:t>
      </w:r>
      <w:r w:rsidR="001439E3">
        <w:t>reported</w:t>
      </w:r>
      <w:r w:rsidR="0060018F">
        <w:t xml:space="preserve"> that having successfully completed his egg immunotherapy the “difference to the boy is, of course, enormous”. </w:t>
      </w:r>
      <w:r w:rsidR="00A14AFF">
        <w:t xml:space="preserve">Objectively measuring the improvement in quality of life from peanut immunotherapy has provided more variable results. Chu </w:t>
      </w:r>
      <w:r w:rsidR="00A14AFF">
        <w:rPr>
          <w:i/>
        </w:rPr>
        <w:t xml:space="preserve">et al </w:t>
      </w:r>
      <w:r w:rsidR="00A14AFF">
        <w:t>reported no change in quality of life in their systematic review of peanut immunotherapy.</w:t>
      </w:r>
      <w:r w:rsidR="00B07935" w:rsidRPr="00B07935">
        <w:rPr>
          <w:noProof/>
          <w:vertAlign w:val="superscript"/>
        </w:rPr>
        <w:t>5</w:t>
      </w:r>
      <w:r w:rsidR="00A14AFF">
        <w:t xml:space="preserve"> Reports of the improvement in quality of life for those receiving immunotherapy </w:t>
      </w:r>
      <w:r w:rsidR="002A6395">
        <w:t xml:space="preserve">demonstrate selection bias </w:t>
      </w:r>
      <w:r w:rsidR="00A14AFF">
        <w:t xml:space="preserve">through being restricted to those who successfully </w:t>
      </w:r>
      <w:r w:rsidR="00427AA0">
        <w:t xml:space="preserve">completed </w:t>
      </w:r>
      <w:r w:rsidR="00A14AFF">
        <w:t>the immunotherapy, ignoring the views of those who drop out during treatment.</w:t>
      </w:r>
      <w:r w:rsidR="00571520">
        <w:t xml:space="preserve"> </w:t>
      </w:r>
      <w:r w:rsidR="002A6395">
        <w:t>There is a real concern that for the one in five children who fail to complete a course of peanut immunotherapy there could potentially be a very negative effect on the child and family’s quality of life, with them perceiving that the opportunity to improve life for the family having been lost.</w:t>
      </w:r>
    </w:p>
    <w:p w14:paraId="6B8E4EE8" w14:textId="77777777" w:rsidR="002A6395" w:rsidRDefault="002A6395" w:rsidP="0060018F"/>
    <w:p w14:paraId="62C4B1D0" w14:textId="43D6D19D" w:rsidR="0060018F" w:rsidRDefault="00B455CE" w:rsidP="0060018F">
      <w:r>
        <w:t xml:space="preserve">The ARTEMIS </w:t>
      </w:r>
      <w:r w:rsidR="00975116">
        <w:t>trial</w:t>
      </w:r>
      <w:r w:rsidR="00B3678C">
        <w:t>,</w:t>
      </w:r>
      <w:r w:rsidR="00975116">
        <w:t xml:space="preserve"> using Palforzia</w:t>
      </w:r>
      <w:r w:rsidR="00B3678C">
        <w:t>,</w:t>
      </w:r>
      <w:r w:rsidR="00975116">
        <w:t xml:space="preserve"> assessed </w:t>
      </w:r>
      <w:r w:rsidR="002A6395">
        <w:t xml:space="preserve">participant reported </w:t>
      </w:r>
      <w:r w:rsidR="00975116">
        <w:t>quality of life with the FAQLQ (4 components) and FAIM (6 components), stratified by two age bands (8-12 and 13-17).</w:t>
      </w:r>
      <w:r w:rsidR="00B07935" w:rsidRPr="00B07935">
        <w:rPr>
          <w:noProof/>
          <w:vertAlign w:val="superscript"/>
        </w:rPr>
        <w:t>6</w:t>
      </w:r>
      <w:r w:rsidR="00975116">
        <w:t xml:space="preserve"> No statistically significant improvement was seen in any component for 13-17 year olds. Improvements that exceeded the minimum clinically important difference (</w:t>
      </w:r>
      <w:r w:rsidR="00975116">
        <w:rPr>
          <w:rFonts w:cs="Calibri"/>
        </w:rPr>
        <w:t>≥</w:t>
      </w:r>
      <w:r w:rsidR="00975116">
        <w:t>0.5) were seen in all four FAQLQ components</w:t>
      </w:r>
      <w:r w:rsidR="004A6F32">
        <w:t xml:space="preserve"> in the 8-12 year olds</w:t>
      </w:r>
      <w:r w:rsidR="00975116">
        <w:t xml:space="preserve">. However, one of these was not statistically significant. Given 20 outcomes were being assessed, adjustment should have been made for multiple comparisons which would have rendered none of the comparisons </w:t>
      </w:r>
      <w:r w:rsidR="00387C9A">
        <w:t>statistically significant.</w:t>
      </w:r>
      <w:r w:rsidR="00975116">
        <w:t xml:space="preserve"> </w:t>
      </w:r>
    </w:p>
    <w:p w14:paraId="06484CEF" w14:textId="1EBC2938" w:rsidR="00727691" w:rsidRDefault="00727691" w:rsidP="0060018F"/>
    <w:p w14:paraId="2D954169" w14:textId="3676F188" w:rsidR="00727691" w:rsidRDefault="005D2AA7" w:rsidP="0060018F">
      <w:r>
        <w:t>Schofield</w:t>
      </w:r>
      <w:r w:rsidR="00C55567">
        <w:t>’s</w:t>
      </w:r>
      <w:r>
        <w:t xml:space="preserve"> </w:t>
      </w:r>
      <w:r w:rsidR="00727691">
        <w:t>case was 13</w:t>
      </w:r>
      <w:r w:rsidR="00612875">
        <w:t xml:space="preserve"> years old</w:t>
      </w:r>
      <w:r w:rsidR="00727691">
        <w:t xml:space="preserve">. </w:t>
      </w:r>
      <w:r w:rsidR="002A4951">
        <w:t>Palforzia</w:t>
      </w:r>
      <w:r w:rsidR="00727691">
        <w:t xml:space="preserve"> </w:t>
      </w:r>
      <w:r w:rsidR="0023240F">
        <w:t>has been approved for children age 4-17 years</w:t>
      </w:r>
      <w:r w:rsidR="002A6395">
        <w:t xml:space="preserve">, with it being found to be ineffective in </w:t>
      </w:r>
      <w:r w:rsidR="00727691">
        <w:t>adults</w:t>
      </w:r>
      <w:r w:rsidR="002A6395">
        <w:t xml:space="preserve"> in the AR101 trial</w:t>
      </w:r>
      <w:r w:rsidR="00727691">
        <w:t>.</w:t>
      </w:r>
      <w:r w:rsidR="00612875" w:rsidRPr="002A6395">
        <w:rPr>
          <w:noProof/>
          <w:vertAlign w:val="superscript"/>
        </w:rPr>
        <w:t>4</w:t>
      </w:r>
      <w:r w:rsidR="00727691" w:rsidRPr="002A6395">
        <w:t xml:space="preserve"> </w:t>
      </w:r>
      <w:r w:rsidR="0023240F" w:rsidRPr="002A6395">
        <w:t>It is conceivable that Palforzia may be more</w:t>
      </w:r>
      <w:r w:rsidR="00727691" w:rsidRPr="002A6395">
        <w:t xml:space="preserve"> efficacious in younger children</w:t>
      </w:r>
      <w:r w:rsidR="002A6395">
        <w:t>, h</w:t>
      </w:r>
      <w:r w:rsidR="00727691" w:rsidRPr="002A6395">
        <w:t xml:space="preserve">owever, commencing peanut immunotherapy in children under 10 is confounded by the fact that </w:t>
      </w:r>
      <w:r w:rsidR="0023240F" w:rsidRPr="002A6395">
        <w:t xml:space="preserve">up to </w:t>
      </w:r>
      <w:r w:rsidR="00727691" w:rsidRPr="002A6395">
        <w:t xml:space="preserve">20% </w:t>
      </w:r>
      <w:r w:rsidR="00727691">
        <w:t>of peanut allergic children outgrow their peanut allergy by 10 years of age spontaneously. In contrast to those undergoing peanut immunotherapy, spontaneously outgrowing peanut allergy results in life long tolerance and, most importantly, is not dependent on ongoing regular consumption of peanut. Hence starting younger children with Palforzia carries the risk of including some children who would have spontaneously outgrown their peanut allergy anyway.</w:t>
      </w:r>
    </w:p>
    <w:p w14:paraId="2EE65F97" w14:textId="77777777" w:rsidR="0060018F" w:rsidRDefault="0060018F"/>
    <w:p w14:paraId="56EDF454" w14:textId="31723883" w:rsidR="00A6094F" w:rsidRDefault="008E3F34">
      <w:r>
        <w:t xml:space="preserve">Schofield wrote that “some may think a great deal of trouble was taken to cure this idiosyncrasy”, but immunotherapy is not a cure for most people with food allergy. </w:t>
      </w:r>
      <w:r w:rsidR="00F82F20">
        <w:t xml:space="preserve">After 134 weeks peanut immunotherapy followed by 26 weeks of avoidance, Jones </w:t>
      </w:r>
      <w:r w:rsidR="00F82F20">
        <w:rPr>
          <w:i/>
        </w:rPr>
        <w:t>et al</w:t>
      </w:r>
      <w:r w:rsidR="00F82F20">
        <w:t xml:space="preserve"> found that</w:t>
      </w:r>
      <w:r w:rsidR="0023240F">
        <w:t xml:space="preserve"> just</w:t>
      </w:r>
      <w:r w:rsidR="00F82F20">
        <w:t xml:space="preserve"> 21% (20/96) remained tolerant.</w:t>
      </w:r>
      <w:r w:rsidR="00B07935" w:rsidRPr="00B07935">
        <w:rPr>
          <w:noProof/>
          <w:vertAlign w:val="superscript"/>
        </w:rPr>
        <w:t>7</w:t>
      </w:r>
    </w:p>
    <w:p w14:paraId="01C31781" w14:textId="77777777" w:rsidR="00B454C4" w:rsidRDefault="00B454C4"/>
    <w:p w14:paraId="3469734D" w14:textId="58EA4DB7" w:rsidR="00B454C4" w:rsidRPr="006E120A" w:rsidRDefault="00B454C4" w:rsidP="006E120A">
      <w:pPr>
        <w:autoSpaceDE w:val="0"/>
        <w:autoSpaceDN w:val="0"/>
        <w:adjustRightInd w:val="0"/>
        <w:rPr>
          <w:rFonts w:asciiTheme="minorHAnsi" w:hAnsiTheme="minorHAnsi" w:cstheme="minorHAnsi"/>
        </w:rPr>
      </w:pPr>
      <w:r>
        <w:t xml:space="preserve">Schofield’s case appeared to experience no adverse symptoms from his regimen, but this was clearly an aberration as the process of repeatedly giving a food to which a child is allergic inevitably induces symptoms. </w:t>
      </w:r>
      <w:r w:rsidR="00571520">
        <w:t xml:space="preserve">Chu </w:t>
      </w:r>
      <w:r w:rsidR="00571520" w:rsidRPr="008B7A1D">
        <w:rPr>
          <w:i/>
        </w:rPr>
        <w:t>et al</w:t>
      </w:r>
      <w:r w:rsidR="00571520">
        <w:t xml:space="preserve"> reported that peanut oral immunotherapy regimens considerably increase allergic and anaphylactic reactions over avoidance or placebo.</w:t>
      </w:r>
      <w:r w:rsidR="00B07935" w:rsidRPr="00B07935">
        <w:rPr>
          <w:noProof/>
          <w:vertAlign w:val="superscript"/>
        </w:rPr>
        <w:t>5</w:t>
      </w:r>
      <w:r w:rsidR="00571520">
        <w:t xml:space="preserve"> </w:t>
      </w:r>
      <w:r>
        <w:t xml:space="preserve">Safety remains the prevailing </w:t>
      </w:r>
      <w:r w:rsidRPr="006E120A">
        <w:rPr>
          <w:rFonts w:asciiTheme="minorHAnsi" w:hAnsiTheme="minorHAnsi" w:cstheme="minorHAnsi"/>
        </w:rPr>
        <w:t xml:space="preserve">concern with food immunotherapy and the first fatality has been reported. In the AR101 trial </w:t>
      </w:r>
      <w:r w:rsidR="008B7A1D" w:rsidRPr="006E120A">
        <w:rPr>
          <w:rFonts w:asciiTheme="minorHAnsi" w:hAnsiTheme="minorHAnsi" w:cstheme="minorHAnsi"/>
        </w:rPr>
        <w:t>14</w:t>
      </w:r>
      <w:r w:rsidRPr="006E120A">
        <w:rPr>
          <w:rFonts w:asciiTheme="minorHAnsi" w:hAnsiTheme="minorHAnsi" w:cstheme="minorHAnsi"/>
        </w:rPr>
        <w:t>% required an adrenaline autoinjector to be administered during their</w:t>
      </w:r>
      <w:r w:rsidR="008B7A1D" w:rsidRPr="006E120A">
        <w:rPr>
          <w:rFonts w:asciiTheme="minorHAnsi" w:hAnsiTheme="minorHAnsi" w:cstheme="minorHAnsi"/>
        </w:rPr>
        <w:t xml:space="preserve"> Palforzia immuno</w:t>
      </w:r>
      <w:r w:rsidRPr="006E120A">
        <w:rPr>
          <w:rFonts w:asciiTheme="minorHAnsi" w:hAnsiTheme="minorHAnsi" w:cstheme="minorHAnsi"/>
        </w:rPr>
        <w:t xml:space="preserve">therapy, with </w:t>
      </w:r>
      <w:r w:rsidRPr="006E120A">
        <w:rPr>
          <w:rFonts w:asciiTheme="minorHAnsi" w:hAnsiTheme="minorHAnsi" w:cstheme="minorHAnsi"/>
        </w:rPr>
        <w:lastRenderedPageBreak/>
        <w:t xml:space="preserve">an AAI being </w:t>
      </w:r>
      <w:r w:rsidR="0060018F" w:rsidRPr="006E120A">
        <w:rPr>
          <w:rFonts w:asciiTheme="minorHAnsi" w:hAnsiTheme="minorHAnsi" w:cstheme="minorHAnsi"/>
        </w:rPr>
        <w:t>administered</w:t>
      </w:r>
      <w:r w:rsidRPr="006E120A">
        <w:rPr>
          <w:rFonts w:asciiTheme="minorHAnsi" w:hAnsiTheme="minorHAnsi" w:cstheme="minorHAnsi"/>
        </w:rPr>
        <w:t xml:space="preserve"> three times on one single occasion for one participant.</w:t>
      </w:r>
      <w:r w:rsidR="008B7A1D" w:rsidRPr="006E120A">
        <w:rPr>
          <w:rFonts w:asciiTheme="minorHAnsi" w:hAnsiTheme="minorHAnsi" w:cstheme="minorHAnsi"/>
          <w:noProof/>
          <w:vertAlign w:val="superscript"/>
        </w:rPr>
        <w:t>4</w:t>
      </w:r>
      <w:r w:rsidRPr="006E120A">
        <w:rPr>
          <w:rFonts w:asciiTheme="minorHAnsi" w:hAnsiTheme="minorHAnsi" w:cstheme="minorHAnsi"/>
        </w:rPr>
        <w:t xml:space="preserve"> This was the experience within the highly selected environment of a research randomised controlled trial. Once Palforzia is used more widely in the real world it seem</w:t>
      </w:r>
      <w:r w:rsidR="00B3678C">
        <w:rPr>
          <w:rFonts w:asciiTheme="minorHAnsi" w:hAnsiTheme="minorHAnsi" w:cstheme="minorHAnsi"/>
        </w:rPr>
        <w:t>s</w:t>
      </w:r>
      <w:r w:rsidRPr="006E120A">
        <w:rPr>
          <w:rFonts w:asciiTheme="minorHAnsi" w:hAnsiTheme="minorHAnsi" w:cstheme="minorHAnsi"/>
        </w:rPr>
        <w:t xml:space="preserve"> likely that more </w:t>
      </w:r>
      <w:r w:rsidR="0060018F" w:rsidRPr="006E120A">
        <w:rPr>
          <w:rFonts w:asciiTheme="minorHAnsi" w:hAnsiTheme="minorHAnsi" w:cstheme="minorHAnsi"/>
        </w:rPr>
        <w:t>untoward</w:t>
      </w:r>
      <w:r w:rsidRPr="006E120A">
        <w:rPr>
          <w:rFonts w:asciiTheme="minorHAnsi" w:hAnsiTheme="minorHAnsi" w:cstheme="minorHAnsi"/>
        </w:rPr>
        <w:t xml:space="preserve"> events will occur. </w:t>
      </w:r>
      <w:r w:rsidR="006E120A" w:rsidRPr="006E120A">
        <w:rPr>
          <w:rFonts w:asciiTheme="minorHAnsi" w:hAnsiTheme="minorHAnsi" w:cstheme="minorHAnsi"/>
        </w:rPr>
        <w:t>Vazquez-Ortiz</w:t>
      </w:r>
      <w:r w:rsidR="006E120A">
        <w:rPr>
          <w:rFonts w:asciiTheme="minorHAnsi" w:hAnsiTheme="minorHAnsi" w:cstheme="minorHAnsi"/>
        </w:rPr>
        <w:t xml:space="preserve"> </w:t>
      </w:r>
      <w:r w:rsidR="006E120A">
        <w:rPr>
          <w:rFonts w:asciiTheme="minorHAnsi" w:hAnsiTheme="minorHAnsi" w:cstheme="minorHAnsi"/>
          <w:i/>
        </w:rPr>
        <w:t>et al</w:t>
      </w:r>
      <w:r w:rsidR="006E120A" w:rsidRPr="006E120A">
        <w:rPr>
          <w:rFonts w:asciiTheme="minorHAnsi" w:hAnsiTheme="minorHAnsi" w:cstheme="minorHAnsi"/>
          <w:i/>
        </w:rPr>
        <w:t xml:space="preserve"> </w:t>
      </w:r>
      <w:r w:rsidRPr="006E120A">
        <w:rPr>
          <w:rFonts w:asciiTheme="minorHAnsi" w:hAnsiTheme="minorHAnsi" w:cstheme="minorHAnsi"/>
        </w:rPr>
        <w:t xml:space="preserve">recorded </w:t>
      </w:r>
      <w:r w:rsidR="006E120A">
        <w:rPr>
          <w:rFonts w:asciiTheme="minorHAnsi" w:hAnsiTheme="minorHAnsi" w:cstheme="minorHAnsi"/>
        </w:rPr>
        <w:t xml:space="preserve">three </w:t>
      </w:r>
      <w:r w:rsidRPr="006E120A">
        <w:rPr>
          <w:rFonts w:asciiTheme="minorHAnsi" w:hAnsiTheme="minorHAnsi" w:cstheme="minorHAnsi"/>
        </w:rPr>
        <w:t>cases of life threatening anaphylaxis during immunotherapy in Spain</w:t>
      </w:r>
      <w:r w:rsidR="006E120A">
        <w:rPr>
          <w:rFonts w:asciiTheme="minorHAnsi" w:hAnsiTheme="minorHAnsi" w:cstheme="minorHAnsi"/>
        </w:rPr>
        <w:t>. In one, a 14 year old</w:t>
      </w:r>
      <w:r w:rsidR="0023240F">
        <w:rPr>
          <w:rFonts w:asciiTheme="minorHAnsi" w:hAnsiTheme="minorHAnsi" w:cstheme="minorHAnsi"/>
        </w:rPr>
        <w:t xml:space="preserve"> missed </w:t>
      </w:r>
      <w:r w:rsidR="006E120A" w:rsidRPr="006E120A">
        <w:rPr>
          <w:rFonts w:asciiTheme="minorHAnsi" w:hAnsiTheme="minorHAnsi" w:cstheme="minorHAnsi"/>
        </w:rPr>
        <w:t xml:space="preserve">3 days of his </w:t>
      </w:r>
      <w:r w:rsidR="002A6395">
        <w:rPr>
          <w:rFonts w:asciiTheme="minorHAnsi" w:hAnsiTheme="minorHAnsi" w:cstheme="minorHAnsi"/>
        </w:rPr>
        <w:t xml:space="preserve">maintenance </w:t>
      </w:r>
      <w:r w:rsidR="006E120A" w:rsidRPr="006E120A">
        <w:rPr>
          <w:rFonts w:asciiTheme="minorHAnsi" w:hAnsiTheme="minorHAnsi" w:cstheme="minorHAnsi"/>
        </w:rPr>
        <w:t>OIT</w:t>
      </w:r>
      <w:r w:rsidR="0023240F">
        <w:rPr>
          <w:rFonts w:asciiTheme="minorHAnsi" w:hAnsiTheme="minorHAnsi" w:cstheme="minorHAnsi"/>
        </w:rPr>
        <w:t>. T</w:t>
      </w:r>
      <w:r w:rsidR="006E120A" w:rsidRPr="006E120A">
        <w:rPr>
          <w:rFonts w:asciiTheme="minorHAnsi" w:hAnsiTheme="minorHAnsi" w:cstheme="minorHAnsi"/>
        </w:rPr>
        <w:t>aking a dose the next day</w:t>
      </w:r>
      <w:r w:rsidR="006E120A">
        <w:rPr>
          <w:rFonts w:asciiTheme="minorHAnsi" w:hAnsiTheme="minorHAnsi" w:cstheme="minorHAnsi"/>
        </w:rPr>
        <w:t>,</w:t>
      </w:r>
      <w:r w:rsidR="0023240F">
        <w:rPr>
          <w:rFonts w:asciiTheme="minorHAnsi" w:hAnsiTheme="minorHAnsi" w:cstheme="minorHAnsi"/>
        </w:rPr>
        <w:t xml:space="preserve"> he</w:t>
      </w:r>
      <w:r w:rsidR="006E120A" w:rsidRPr="006E120A">
        <w:rPr>
          <w:rFonts w:asciiTheme="minorHAnsi" w:hAnsiTheme="minorHAnsi" w:cstheme="minorHAnsi"/>
        </w:rPr>
        <w:t xml:space="preserve"> experienc</w:t>
      </w:r>
      <w:r w:rsidR="006E120A">
        <w:rPr>
          <w:rFonts w:asciiTheme="minorHAnsi" w:hAnsiTheme="minorHAnsi" w:cstheme="minorHAnsi"/>
        </w:rPr>
        <w:t>ed</w:t>
      </w:r>
      <w:r w:rsidR="006E120A" w:rsidRPr="006E120A">
        <w:rPr>
          <w:rFonts w:asciiTheme="minorHAnsi" w:hAnsiTheme="minorHAnsi" w:cstheme="minorHAnsi"/>
        </w:rPr>
        <w:t xml:space="preserve"> anaphylaxis requiring three administrations of an AAI, volume expansion, inotropes, intravenous salbutamol, steroids, and invasive ventilation for 48 hours.</w:t>
      </w:r>
      <w:r w:rsidR="00B07935" w:rsidRPr="00B07935">
        <w:rPr>
          <w:noProof/>
          <w:vertAlign w:val="superscript"/>
        </w:rPr>
        <w:t>8</w:t>
      </w:r>
    </w:p>
    <w:p w14:paraId="4C7916BC" w14:textId="77777777" w:rsidR="00B454C4" w:rsidRDefault="00B454C4"/>
    <w:p w14:paraId="0772DD58" w14:textId="4329AFD6" w:rsidR="002A6395" w:rsidRDefault="002A6395" w:rsidP="002A6395">
      <w:r>
        <w:t xml:space="preserve">The Cambridge group’s </w:t>
      </w:r>
      <w:r w:rsidR="00C55567">
        <w:t xml:space="preserve">six month </w:t>
      </w:r>
      <w:r>
        <w:t xml:space="preserve">peanut flour </w:t>
      </w:r>
      <w:r w:rsidR="00C55567">
        <w:t xml:space="preserve">regimen consisted of </w:t>
      </w:r>
      <w:r>
        <w:t xml:space="preserve">18 weeks for updosing and 8 weeks of maintenance. This achieved essentially the same efficacy as the AR101 peanut flour protocol of 22 weeks of updosing and 24 weeks of maintenance therapy (almost 11 months). Notably, the Palforzia prescribing information does not state how long maintenance should continue for, nor when to consider switching from Palforzia to actual peanut. The Palforzia maintenance dose of </w:t>
      </w:r>
      <w:r w:rsidR="00706FA2">
        <w:t>3</w:t>
      </w:r>
      <w:r>
        <w:t>00</w:t>
      </w:r>
      <w:r w:rsidR="00C55567">
        <w:t xml:space="preserve"> </w:t>
      </w:r>
      <w:r>
        <w:t xml:space="preserve">mg of peanut protein represents </w:t>
      </w:r>
      <w:r w:rsidR="007B47A5">
        <w:t>2</w:t>
      </w:r>
      <w:r>
        <w:t xml:space="preserve"> UK peanuts.  The original Cambridge studies were content to allow their participants to switch from maintenance with peanut flour to actual peanuts and one has to question the morality of the NHS paying £10.12 per day for </w:t>
      </w:r>
      <w:r w:rsidR="007B47A5">
        <w:t>two</w:t>
      </w:r>
      <w:bookmarkStart w:id="0" w:name="_GoBack"/>
      <w:bookmarkEnd w:id="0"/>
      <w:r>
        <w:t xml:space="preserve"> peanuts for each child on maintenance therapy with Palforzia.</w:t>
      </w:r>
    </w:p>
    <w:p w14:paraId="0CCBC151" w14:textId="7FC406DB" w:rsidR="002A6395" w:rsidRDefault="002A6395" w:rsidP="002A6395"/>
    <w:p w14:paraId="2982CED1" w14:textId="390F31B7" w:rsidR="002A6395" w:rsidRDefault="002A6395">
      <w:r>
        <w:t>Twelve months of Palforzia for one child will be costing the NHS £</w:t>
      </w:r>
      <w:r w:rsidR="002137F0">
        <w:t>3693.80 (+VAT)</w:t>
      </w:r>
      <w:r w:rsidR="002155C5">
        <w:t>.</w:t>
      </w:r>
      <w:r w:rsidR="008A62CA">
        <w:t xml:space="preserve"> T</w:t>
      </w:r>
      <w:r w:rsidR="002155C5">
        <w:t>he cost to the NHS to provide challenge capacity</w:t>
      </w:r>
      <w:r w:rsidR="0023240F">
        <w:t xml:space="preserve">, </w:t>
      </w:r>
      <w:r w:rsidR="002155C5">
        <w:t xml:space="preserve">appropriately trained staff to supervise the </w:t>
      </w:r>
      <w:r w:rsidR="0023240F">
        <w:t xml:space="preserve">updosing and food </w:t>
      </w:r>
      <w:r w:rsidR="002155C5">
        <w:t xml:space="preserve">challenges </w:t>
      </w:r>
      <w:r w:rsidR="0023240F">
        <w:t>is considerable</w:t>
      </w:r>
      <w:r w:rsidR="00BB5A6C">
        <w:t xml:space="preserve">. Palforzia treatment in the NHS is therefore likely to be made available to </w:t>
      </w:r>
      <w:r w:rsidR="002155C5">
        <w:t xml:space="preserve">a relatively small number of children, predominantly confined to </w:t>
      </w:r>
      <w:r w:rsidR="00BB5A6C">
        <w:t>well-resourced</w:t>
      </w:r>
      <w:r w:rsidR="002155C5">
        <w:t xml:space="preserve"> tertiary paediatric allergy centres. </w:t>
      </w:r>
    </w:p>
    <w:p w14:paraId="615F3088" w14:textId="77777777" w:rsidR="002A6395" w:rsidRDefault="002A6395"/>
    <w:p w14:paraId="67BE0F45" w14:textId="28D5CD82" w:rsidR="00B22AAB" w:rsidRDefault="002A6395">
      <w:r>
        <w:t>Schofield submitted his case report to the Lancet with his affiliation listed as Harley Street. He doesn’t record how much he charged for either his pills or his service or how many visits had to be made to his Harley Street practice during the course of the immunotherapy. A</w:t>
      </w:r>
      <w:r w:rsidR="002155C5">
        <w:t xml:space="preserve"> century on, </w:t>
      </w:r>
      <w:r>
        <w:t>a small minority w</w:t>
      </w:r>
      <w:r w:rsidR="002155C5">
        <w:t>ho have the ability to pa</w:t>
      </w:r>
      <w:r w:rsidR="0060018F">
        <w:t>y</w:t>
      </w:r>
      <w:r>
        <w:t>, will seek treatment in the private sector.</w:t>
      </w:r>
    </w:p>
    <w:p w14:paraId="2D39C287" w14:textId="1BE887C4" w:rsidR="002A6395" w:rsidRDefault="002A6395"/>
    <w:p w14:paraId="1A894BFC" w14:textId="61274888" w:rsidR="002A6395" w:rsidRDefault="002A6395">
      <w:r>
        <w:t xml:space="preserve">However, the fundamental concern is that whether the treatment is being offering in the NHS or privately, a thorough discussion takes place of the many issues related to peanut immunotherapy: adverse events requiring AAI administration; the potential as immunotherapy use becomes more widespread for occasional episodes of life threatening anaphylaxis, as with the Spanish experience; long term potential side effects, including eosinophilic oesophagitis; equivocal quality of life data; ongoing tolerance requiring sustained and potentially life long consumption; treatment not allowing any additional peanut consumption beyond the Palforzia itself. </w:t>
      </w:r>
    </w:p>
    <w:p w14:paraId="3CF5BE46" w14:textId="3A915A0C" w:rsidR="002A6395" w:rsidRDefault="002A6395"/>
    <w:p w14:paraId="002F3D0F" w14:textId="50243A3F" w:rsidR="002A6395" w:rsidRDefault="002A6395" w:rsidP="002A6395">
      <w:r>
        <w:t>The first paper to assess real-world adoption of peanut immunotherapy with Palforzia found that of 237 peanut-allergic individuals, 22 (9.3%) chose to pursue peanut immunotherapy with Palforzia, whereas 215 (90.7%) declined therapy.</w:t>
      </w:r>
      <w:r w:rsidR="00F51C44" w:rsidRPr="00F51C44">
        <w:rPr>
          <w:noProof/>
          <w:vertAlign w:val="superscript"/>
        </w:rPr>
        <w:t>9</w:t>
      </w:r>
      <w:r>
        <w:t xml:space="preserve"> The two most common reasons to decline therapy were</w:t>
      </w:r>
    </w:p>
    <w:p w14:paraId="2F4605E6" w14:textId="7B23940C" w:rsidR="002A6395" w:rsidRDefault="002A6395" w:rsidP="002A6395">
      <w:r>
        <w:t>“concern over adverse effects,” and “concern over the degree of commitment,” cited by 35.4%</w:t>
      </w:r>
    </w:p>
    <w:p w14:paraId="76254420" w14:textId="1B856171" w:rsidR="002A6395" w:rsidRDefault="002A6395" w:rsidP="002A6395">
      <w:r>
        <w:t>and 28.5% of responding families, respectively.</w:t>
      </w:r>
      <w:r w:rsidR="00F51C44" w:rsidRPr="00F51C44">
        <w:rPr>
          <w:noProof/>
          <w:vertAlign w:val="superscript"/>
        </w:rPr>
        <w:t>9</w:t>
      </w:r>
      <w:r>
        <w:t xml:space="preserve"> Significantly, children age 8-12 years and caregivers with low </w:t>
      </w:r>
      <w:r w:rsidR="00C55567">
        <w:t>quality of life</w:t>
      </w:r>
      <w:r>
        <w:t xml:space="preserve"> as reported by their FAQL-CF were more likely to pursue therapy with Palforzia.</w:t>
      </w:r>
      <w:r w:rsidR="00F51C44" w:rsidRPr="00F51C44">
        <w:rPr>
          <w:noProof/>
          <w:vertAlign w:val="superscript"/>
        </w:rPr>
        <w:t>9</w:t>
      </w:r>
      <w:r>
        <w:t xml:space="preserve"> So potentially what improvements are being presented as occurring after successful peanut immunotherapy reflect a selection bias of those with significantly reduced quality of life at baseline. The question therefore is whether for the majority with higher baseline quality of life scores, is consideration of peanut immunotherapy even necessary?</w:t>
      </w:r>
    </w:p>
    <w:p w14:paraId="16B77FB7" w14:textId="77777777" w:rsidR="002A6395" w:rsidRDefault="002A6395" w:rsidP="002A6395"/>
    <w:p w14:paraId="0B764DCD" w14:textId="54935BF5" w:rsidR="002A6395" w:rsidRDefault="002A6395"/>
    <w:p w14:paraId="6624A897" w14:textId="2764962D" w:rsidR="002A6395" w:rsidRDefault="002A6395"/>
    <w:p w14:paraId="58E216B6" w14:textId="77777777" w:rsidR="002A6395" w:rsidRDefault="002A6395"/>
    <w:p w14:paraId="423098AF" w14:textId="54BB2956" w:rsidR="00F51C44" w:rsidRPr="00F51C44" w:rsidRDefault="00F51C44" w:rsidP="00F51C44">
      <w:pPr>
        <w:pStyle w:val="EndNoteBibliographyTitle"/>
      </w:pPr>
      <w:r w:rsidRPr="00F51C44">
        <w:lastRenderedPageBreak/>
        <w:t>References</w:t>
      </w:r>
    </w:p>
    <w:p w14:paraId="06A525FE" w14:textId="77777777" w:rsidR="00F51C44" w:rsidRPr="00F51C44" w:rsidRDefault="00F51C44" w:rsidP="00F51C44">
      <w:pPr>
        <w:pStyle w:val="EndNoteBibliographyTitle"/>
      </w:pPr>
    </w:p>
    <w:p w14:paraId="17A5155B" w14:textId="77777777" w:rsidR="00F51C44" w:rsidRPr="00F51C44" w:rsidRDefault="00F51C44" w:rsidP="00F51C44">
      <w:pPr>
        <w:pStyle w:val="EndNoteBibliography"/>
        <w:ind w:left="720" w:hanging="720"/>
      </w:pPr>
      <w:r w:rsidRPr="00F51C44">
        <w:t>1.</w:t>
      </w:r>
      <w:r w:rsidRPr="00F51C44">
        <w:tab/>
        <w:t xml:space="preserve">Schofield AT. A case of egg poisoning. </w:t>
      </w:r>
      <w:r w:rsidRPr="00F51C44">
        <w:rPr>
          <w:i/>
        </w:rPr>
        <w:t xml:space="preserve">The Lancet. </w:t>
      </w:r>
      <w:r w:rsidRPr="00F51C44">
        <w:t>1908;171(4410):716.</w:t>
      </w:r>
    </w:p>
    <w:p w14:paraId="11CA0E25" w14:textId="77777777" w:rsidR="00F51C44" w:rsidRPr="00F51C44" w:rsidRDefault="00F51C44" w:rsidP="00F51C44">
      <w:pPr>
        <w:pStyle w:val="EndNoteBibliography"/>
        <w:ind w:left="720" w:hanging="720"/>
      </w:pPr>
      <w:r w:rsidRPr="00F51C44">
        <w:t>2.</w:t>
      </w:r>
      <w:r w:rsidRPr="00F51C44">
        <w:tab/>
        <w:t xml:space="preserve">Anagnostou K, Islam S, King Y, et al. Assessing the efficacy of oral immunotherapy for the desensitisation of peanut allergy in children (STOP II): a phase 2 randomised controlled trial. </w:t>
      </w:r>
      <w:r w:rsidRPr="00F51C44">
        <w:rPr>
          <w:i/>
        </w:rPr>
        <w:t xml:space="preserve">Lancet. </w:t>
      </w:r>
      <w:r w:rsidRPr="00F51C44">
        <w:t>2014;383(9925):1297-1304.</w:t>
      </w:r>
    </w:p>
    <w:p w14:paraId="3E6C711C" w14:textId="77777777" w:rsidR="00F51C44" w:rsidRPr="00F51C44" w:rsidRDefault="00F51C44" w:rsidP="00F51C44">
      <w:pPr>
        <w:pStyle w:val="EndNoteBibliography"/>
        <w:ind w:left="720" w:hanging="720"/>
      </w:pPr>
      <w:r w:rsidRPr="00F51C44">
        <w:t>3.</w:t>
      </w:r>
      <w:r w:rsidRPr="00F51C44">
        <w:tab/>
        <w:t xml:space="preserve">Anagnostou K, Clark A, King Y, Islam S, Deighton J, Ewan P. Efficacy and safety of high-dose peanut oral immunotherapy with factors predicting outcome. </w:t>
      </w:r>
      <w:r w:rsidRPr="00F51C44">
        <w:rPr>
          <w:i/>
        </w:rPr>
        <w:t xml:space="preserve">Clin Exp Allergy. </w:t>
      </w:r>
      <w:r w:rsidRPr="00F51C44">
        <w:t>2011;41(9):1273-1281.</w:t>
      </w:r>
    </w:p>
    <w:p w14:paraId="6276E741" w14:textId="77777777" w:rsidR="00F51C44" w:rsidRPr="00F51C44" w:rsidRDefault="00F51C44" w:rsidP="00F51C44">
      <w:pPr>
        <w:pStyle w:val="EndNoteBibliography"/>
        <w:ind w:left="720" w:hanging="720"/>
      </w:pPr>
      <w:r w:rsidRPr="00F51C44">
        <w:t>4.</w:t>
      </w:r>
      <w:r w:rsidRPr="00F51C44">
        <w:tab/>
        <w:t xml:space="preserve">AR101 Oral Immunotherapy for Peanut Allergy. </w:t>
      </w:r>
      <w:r w:rsidRPr="00F51C44">
        <w:rPr>
          <w:i/>
        </w:rPr>
        <w:t xml:space="preserve">New England Journal of Medicine. </w:t>
      </w:r>
      <w:r w:rsidRPr="00F51C44">
        <w:t>2018;379(21):1991-2001.</w:t>
      </w:r>
    </w:p>
    <w:p w14:paraId="2B769113" w14:textId="77777777" w:rsidR="00F51C44" w:rsidRPr="00F51C44" w:rsidRDefault="00F51C44" w:rsidP="00F51C44">
      <w:pPr>
        <w:pStyle w:val="EndNoteBibliography"/>
        <w:ind w:left="720" w:hanging="720"/>
      </w:pPr>
      <w:r w:rsidRPr="00F51C44">
        <w:t>5.</w:t>
      </w:r>
      <w:r w:rsidRPr="00F51C44">
        <w:tab/>
        <w:t xml:space="preserve">Chu DK, Wood RA, French S, et al. Oral immunotherapy for peanut allergy (PACE): a systematic review and meta-analysis of efficacy and safety. </w:t>
      </w:r>
      <w:r w:rsidRPr="00F51C44">
        <w:rPr>
          <w:i/>
        </w:rPr>
        <w:t xml:space="preserve">The Lancet. </w:t>
      </w:r>
      <w:r w:rsidRPr="00F51C44">
        <w:t>2019;393(10187):2222-2232.</w:t>
      </w:r>
    </w:p>
    <w:p w14:paraId="611149B3" w14:textId="77777777" w:rsidR="00F51C44" w:rsidRPr="00F51C44" w:rsidRDefault="00F51C44" w:rsidP="00F51C44">
      <w:pPr>
        <w:pStyle w:val="EndNoteBibliography"/>
        <w:ind w:left="720" w:hanging="720"/>
      </w:pPr>
      <w:r w:rsidRPr="00F51C44">
        <w:t>6.</w:t>
      </w:r>
      <w:r w:rsidRPr="00F51C44">
        <w:tab/>
        <w:t xml:space="preserve">O'B Hourihane J, Beyer K, Abbas A, et al. Efficacy and safety of oral immunotherapy with AR101 in European children with a peanut allergy (ARTEMIS): a multicentre, double-blind, randomised, placebo-controlled phase 3 trial. </w:t>
      </w:r>
      <w:r w:rsidRPr="00F51C44">
        <w:rPr>
          <w:i/>
        </w:rPr>
        <w:t xml:space="preserve">The Lancet Child &amp; Adolescent Health. </w:t>
      </w:r>
      <w:r w:rsidRPr="00F51C44">
        <w:t>2020;4(10):728-739.</w:t>
      </w:r>
    </w:p>
    <w:p w14:paraId="76EFA95D" w14:textId="77777777" w:rsidR="00F51C44" w:rsidRPr="00F51C44" w:rsidRDefault="00F51C44" w:rsidP="00F51C44">
      <w:pPr>
        <w:pStyle w:val="EndNoteBibliography"/>
        <w:ind w:left="720" w:hanging="720"/>
      </w:pPr>
      <w:r w:rsidRPr="00F51C44">
        <w:t>7.</w:t>
      </w:r>
      <w:r w:rsidRPr="00F51C44">
        <w:tab/>
        <w:t xml:space="preserve">Jones S, Kim E, Nadeau K, et al. Tolerance development following oral immunotherapy (OIT) in 1-3 year old children with peanut allergy: findings from the Immune Tolerance Network (ITN) IMPACT trial. </w:t>
      </w:r>
      <w:r w:rsidRPr="00F51C44">
        <w:rPr>
          <w:i/>
        </w:rPr>
        <w:t xml:space="preserve">Journal of Allergy and Clinical Immunology. </w:t>
      </w:r>
      <w:r w:rsidRPr="00F51C44">
        <w:t>2020;145(2):AB338.</w:t>
      </w:r>
    </w:p>
    <w:p w14:paraId="597DC113" w14:textId="77777777" w:rsidR="00F51C44" w:rsidRPr="00F51C44" w:rsidRDefault="00F51C44" w:rsidP="00F51C44">
      <w:pPr>
        <w:pStyle w:val="EndNoteBibliography"/>
        <w:ind w:left="720" w:hanging="720"/>
      </w:pPr>
      <w:r w:rsidRPr="00F51C44">
        <w:t>8.</w:t>
      </w:r>
      <w:r w:rsidRPr="00F51C44">
        <w:tab/>
        <w:t xml:space="preserve">Vazquez-Ortiz M, Alvaro M, Piquer M, et al. Life-threatening anaphylaxis to egg and milk oral immunotherapy in asthmatic teenagers. </w:t>
      </w:r>
      <w:r w:rsidRPr="00F51C44">
        <w:rPr>
          <w:i/>
        </w:rPr>
        <w:t xml:space="preserve">Annals of Allergy, Asthma &amp; Immunology. </w:t>
      </w:r>
      <w:r w:rsidRPr="00F51C44">
        <w:t>2014;113(4):482-484.</w:t>
      </w:r>
    </w:p>
    <w:p w14:paraId="134297AF" w14:textId="77777777" w:rsidR="00F51C44" w:rsidRPr="00F51C44" w:rsidRDefault="00F51C44" w:rsidP="00F51C44">
      <w:pPr>
        <w:pStyle w:val="EndNoteBibliography"/>
        <w:ind w:left="720" w:hanging="720"/>
      </w:pPr>
      <w:r w:rsidRPr="00F51C44">
        <w:t>9.</w:t>
      </w:r>
      <w:r w:rsidRPr="00F51C44">
        <w:tab/>
        <w:t xml:space="preserve">Mustafa SS, Patrawala S. Real World Adoption of FDA-approved Peanut Oral Immunotherapy with Palforzia. </w:t>
      </w:r>
      <w:r w:rsidRPr="00F51C44">
        <w:rPr>
          <w:i/>
        </w:rPr>
        <w:t xml:space="preserve">Journal of Allergy and Clinical Immunology. </w:t>
      </w:r>
      <w:r w:rsidRPr="00F51C44">
        <w:t>2021;147(2):AB108.</w:t>
      </w:r>
    </w:p>
    <w:p w14:paraId="538606FD" w14:textId="2EC4F36B" w:rsidR="00B22AAB" w:rsidRDefault="00B22AAB"/>
    <w:sectPr w:rsidR="00B22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Exp Allerg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svfxad5p00rse2xvzvddziezet5sx95xa2&quot;&gt;My EndNote Library&lt;record-ids&gt;&lt;item&gt;394&lt;/item&gt;&lt;item&gt;395&lt;/item&gt;&lt;/record-ids&gt;&lt;/item&gt;&lt;/Libraries&gt;"/>
  </w:docVars>
  <w:rsids>
    <w:rsidRoot w:val="00B96E49"/>
    <w:rsid w:val="00033056"/>
    <w:rsid w:val="0003776F"/>
    <w:rsid w:val="00093067"/>
    <w:rsid w:val="001254FC"/>
    <w:rsid w:val="00134E55"/>
    <w:rsid w:val="001439E3"/>
    <w:rsid w:val="00146C0B"/>
    <w:rsid w:val="001B1897"/>
    <w:rsid w:val="001C2CE9"/>
    <w:rsid w:val="001D50F5"/>
    <w:rsid w:val="001F0BDC"/>
    <w:rsid w:val="00211470"/>
    <w:rsid w:val="002137F0"/>
    <w:rsid w:val="002155C5"/>
    <w:rsid w:val="00217135"/>
    <w:rsid w:val="0023240F"/>
    <w:rsid w:val="002A4951"/>
    <w:rsid w:val="002A6395"/>
    <w:rsid w:val="002B16AE"/>
    <w:rsid w:val="002F36E7"/>
    <w:rsid w:val="00324B1E"/>
    <w:rsid w:val="0033331F"/>
    <w:rsid w:val="003638F9"/>
    <w:rsid w:val="00387C9A"/>
    <w:rsid w:val="00393BC8"/>
    <w:rsid w:val="003C3488"/>
    <w:rsid w:val="003C757D"/>
    <w:rsid w:val="00427AA0"/>
    <w:rsid w:val="004A6F32"/>
    <w:rsid w:val="005674A8"/>
    <w:rsid w:val="00571520"/>
    <w:rsid w:val="005D2AA7"/>
    <w:rsid w:val="005F49DA"/>
    <w:rsid w:val="0060018F"/>
    <w:rsid w:val="00612875"/>
    <w:rsid w:val="00622CD8"/>
    <w:rsid w:val="0065561A"/>
    <w:rsid w:val="006E120A"/>
    <w:rsid w:val="00706FA2"/>
    <w:rsid w:val="00727691"/>
    <w:rsid w:val="0074570F"/>
    <w:rsid w:val="007B47A5"/>
    <w:rsid w:val="00856682"/>
    <w:rsid w:val="008635D5"/>
    <w:rsid w:val="008A62CA"/>
    <w:rsid w:val="008B7A1D"/>
    <w:rsid w:val="008E2BC5"/>
    <w:rsid w:val="008E3F34"/>
    <w:rsid w:val="00975116"/>
    <w:rsid w:val="009A0D63"/>
    <w:rsid w:val="00A14AFF"/>
    <w:rsid w:val="00A6094F"/>
    <w:rsid w:val="00A64F65"/>
    <w:rsid w:val="00AC0BCA"/>
    <w:rsid w:val="00AC1F4B"/>
    <w:rsid w:val="00AD6C2E"/>
    <w:rsid w:val="00B07935"/>
    <w:rsid w:val="00B22AAB"/>
    <w:rsid w:val="00B3678C"/>
    <w:rsid w:val="00B454C4"/>
    <w:rsid w:val="00B455CE"/>
    <w:rsid w:val="00B96E49"/>
    <w:rsid w:val="00BB5A6C"/>
    <w:rsid w:val="00BB7A1D"/>
    <w:rsid w:val="00C32E4A"/>
    <w:rsid w:val="00C55567"/>
    <w:rsid w:val="00CA7895"/>
    <w:rsid w:val="00D33F37"/>
    <w:rsid w:val="00DE6450"/>
    <w:rsid w:val="00E06E46"/>
    <w:rsid w:val="00E45B5D"/>
    <w:rsid w:val="00E9661D"/>
    <w:rsid w:val="00EB45CE"/>
    <w:rsid w:val="00F51C44"/>
    <w:rsid w:val="00F82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D98A"/>
  <w15:chartTrackingRefBased/>
  <w15:docId w15:val="{DFF6924E-459D-4B22-90CE-AA30170E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BCA"/>
    <w:pPr>
      <w:spacing w:after="0" w:line="240" w:lineRule="auto"/>
    </w:pPr>
    <w:rPr>
      <w:rFonts w:ascii="Calibri" w:hAnsi="Calibri"/>
    </w:rPr>
  </w:style>
  <w:style w:type="paragraph" w:styleId="Heading2">
    <w:name w:val="heading 2"/>
    <w:basedOn w:val="Normal"/>
    <w:next w:val="Normal"/>
    <w:link w:val="Heading2Char"/>
    <w:uiPriority w:val="9"/>
    <w:semiHidden/>
    <w:unhideWhenUsed/>
    <w:qFormat/>
    <w:rsid w:val="001254FC"/>
    <w:pPr>
      <w:keepNext/>
      <w:keepLines/>
      <w:spacing w:before="40" w:after="120" w:line="360" w:lineRule="auto"/>
      <w:outlineLvl w:val="1"/>
    </w:pPr>
    <w:rPr>
      <w:rFonts w:ascii="Arial" w:eastAsiaTheme="majorEastAsia" w:hAnsi="Arial"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E4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6E49"/>
    <w:rPr>
      <w:b/>
      <w:bCs/>
    </w:rPr>
  </w:style>
  <w:style w:type="character" w:styleId="CommentReference">
    <w:name w:val="annotation reference"/>
    <w:basedOn w:val="DefaultParagraphFont"/>
    <w:uiPriority w:val="99"/>
    <w:semiHidden/>
    <w:unhideWhenUsed/>
    <w:rsid w:val="00B96E49"/>
    <w:rPr>
      <w:sz w:val="16"/>
      <w:szCs w:val="16"/>
    </w:rPr>
  </w:style>
  <w:style w:type="paragraph" w:styleId="CommentText">
    <w:name w:val="annotation text"/>
    <w:basedOn w:val="Normal"/>
    <w:link w:val="CommentTextChar"/>
    <w:uiPriority w:val="99"/>
    <w:semiHidden/>
    <w:unhideWhenUsed/>
    <w:rsid w:val="00B96E49"/>
    <w:rPr>
      <w:sz w:val="20"/>
      <w:szCs w:val="20"/>
    </w:rPr>
  </w:style>
  <w:style w:type="character" w:customStyle="1" w:styleId="CommentTextChar">
    <w:name w:val="Comment Text Char"/>
    <w:basedOn w:val="DefaultParagraphFont"/>
    <w:link w:val="CommentText"/>
    <w:uiPriority w:val="99"/>
    <w:semiHidden/>
    <w:rsid w:val="00B96E4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96E49"/>
    <w:rPr>
      <w:b/>
      <w:bCs/>
    </w:rPr>
  </w:style>
  <w:style w:type="character" w:customStyle="1" w:styleId="CommentSubjectChar">
    <w:name w:val="Comment Subject Char"/>
    <w:basedOn w:val="CommentTextChar"/>
    <w:link w:val="CommentSubject"/>
    <w:uiPriority w:val="99"/>
    <w:semiHidden/>
    <w:rsid w:val="00B96E49"/>
    <w:rPr>
      <w:rFonts w:ascii="Calibri" w:hAnsi="Calibri"/>
      <w:b/>
      <w:bCs/>
      <w:sz w:val="20"/>
      <w:szCs w:val="20"/>
    </w:rPr>
  </w:style>
  <w:style w:type="paragraph" w:styleId="BalloonText">
    <w:name w:val="Balloon Text"/>
    <w:basedOn w:val="Normal"/>
    <w:link w:val="BalloonTextChar"/>
    <w:uiPriority w:val="99"/>
    <w:semiHidden/>
    <w:unhideWhenUsed/>
    <w:rsid w:val="00B96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E49"/>
    <w:rPr>
      <w:rFonts w:ascii="Segoe UI" w:hAnsi="Segoe UI" w:cs="Segoe UI"/>
      <w:sz w:val="18"/>
      <w:szCs w:val="18"/>
    </w:rPr>
  </w:style>
  <w:style w:type="paragraph" w:customStyle="1" w:styleId="EndNoteBibliographyTitle">
    <w:name w:val="EndNote Bibliography Title"/>
    <w:basedOn w:val="Normal"/>
    <w:link w:val="EndNoteBibliographyTitleChar"/>
    <w:rsid w:val="00B22AAB"/>
    <w:pPr>
      <w:jc w:val="center"/>
    </w:pPr>
    <w:rPr>
      <w:rFonts w:cs="Calibri"/>
      <w:noProof/>
      <w:lang w:val="en-US"/>
    </w:rPr>
  </w:style>
  <w:style w:type="character" w:customStyle="1" w:styleId="EndNoteBibliographyTitleChar">
    <w:name w:val="EndNote Bibliography Title Char"/>
    <w:basedOn w:val="DefaultParagraphFont"/>
    <w:link w:val="EndNoteBibliographyTitle"/>
    <w:rsid w:val="00B22AAB"/>
    <w:rPr>
      <w:rFonts w:ascii="Calibri" w:hAnsi="Calibri" w:cs="Calibri"/>
      <w:noProof/>
      <w:lang w:val="en-US"/>
    </w:rPr>
  </w:style>
  <w:style w:type="paragraph" w:customStyle="1" w:styleId="EndNoteBibliography">
    <w:name w:val="EndNote Bibliography"/>
    <w:basedOn w:val="Normal"/>
    <w:link w:val="EndNoteBibliographyChar"/>
    <w:rsid w:val="00B22AAB"/>
    <w:rPr>
      <w:rFonts w:cs="Calibri"/>
      <w:noProof/>
      <w:lang w:val="en-US"/>
    </w:rPr>
  </w:style>
  <w:style w:type="character" w:customStyle="1" w:styleId="EndNoteBibliographyChar">
    <w:name w:val="EndNote Bibliography Char"/>
    <w:basedOn w:val="DefaultParagraphFont"/>
    <w:link w:val="EndNoteBibliography"/>
    <w:rsid w:val="00B22AAB"/>
    <w:rPr>
      <w:rFonts w:ascii="Calibri" w:hAnsi="Calibri" w:cs="Calibri"/>
      <w:noProof/>
      <w:lang w:val="en-US"/>
    </w:rPr>
  </w:style>
  <w:style w:type="character" w:customStyle="1" w:styleId="Heading2Char">
    <w:name w:val="Heading 2 Char"/>
    <w:basedOn w:val="DefaultParagraphFont"/>
    <w:link w:val="Heading2"/>
    <w:uiPriority w:val="9"/>
    <w:semiHidden/>
    <w:rsid w:val="001254FC"/>
    <w:rPr>
      <w:rFonts w:ascii="Arial" w:eastAsiaTheme="majorEastAsia" w:hAnsi="Arial" w:cs="Arial"/>
      <w:i/>
      <w:iCs/>
      <w:szCs w:val="24"/>
    </w:rPr>
  </w:style>
  <w:style w:type="character" w:styleId="Hyperlink">
    <w:name w:val="Hyperlink"/>
    <w:basedOn w:val="DefaultParagraphFont"/>
    <w:uiPriority w:val="99"/>
    <w:unhideWhenUsed/>
    <w:rsid w:val="001254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2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Perkin</dc:creator>
  <cp:keywords/>
  <dc:description/>
  <cp:lastModifiedBy>Michael Perkin</cp:lastModifiedBy>
  <cp:revision>4</cp:revision>
  <cp:lastPrinted>2022-03-24T13:33:00Z</cp:lastPrinted>
  <dcterms:created xsi:type="dcterms:W3CDTF">2022-04-07T17:37:00Z</dcterms:created>
  <dcterms:modified xsi:type="dcterms:W3CDTF">2022-04-20T17:22:00Z</dcterms:modified>
</cp:coreProperties>
</file>