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1B09" w14:textId="77777777" w:rsidR="00363CDD" w:rsidRPr="00363CDD" w:rsidRDefault="00363CDD" w:rsidP="00363CDD">
      <w:pPr>
        <w:spacing w:after="0" w:line="240" w:lineRule="auto"/>
        <w:outlineLvl w:val="0"/>
        <w:rPr>
          <w:rFonts w:ascii="NexaLight" w:eastAsia="Times New Roman" w:hAnsi="NexaLight" w:cs="Times New Roman"/>
          <w:b/>
          <w:bCs/>
          <w:color w:val="000000"/>
          <w:kern w:val="36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b/>
          <w:bCs/>
          <w:color w:val="000000"/>
          <w:kern w:val="36"/>
          <w:sz w:val="20"/>
          <w:szCs w:val="20"/>
          <w:lang w:eastAsia="en-GB"/>
        </w:rPr>
        <w:br/>
        <w:t>Abstract</w:t>
      </w:r>
    </w:p>
    <w:p w14:paraId="688E24CC" w14:textId="77777777" w:rsidR="00363CDD" w:rsidRPr="00363CDD" w:rsidRDefault="00363CDD" w:rsidP="00363CDD">
      <w:pPr>
        <w:spacing w:after="0" w:line="240" w:lineRule="auto"/>
        <w:textAlignment w:val="center"/>
        <w:outlineLvl w:val="0"/>
        <w:rPr>
          <w:rFonts w:ascii="NexaLight" w:eastAsia="Times New Roman" w:hAnsi="NexaLight" w:cs="Times New Roman"/>
          <w:b/>
          <w:bCs/>
          <w:color w:val="000000"/>
          <w:kern w:val="36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b/>
          <w:bCs/>
          <w:color w:val="000000"/>
          <w:kern w:val="36"/>
          <w:sz w:val="20"/>
          <w:szCs w:val="20"/>
          <w:lang w:eastAsia="en-GB"/>
        </w:rPr>
        <w:t>A-22-04454</w:t>
      </w:r>
    </w:p>
    <w:p w14:paraId="7B9D2958" w14:textId="77777777" w:rsidR="00363CDD" w:rsidRPr="00363CDD" w:rsidRDefault="00363CDD" w:rsidP="00363CDD">
      <w:pPr>
        <w:shd w:val="clear" w:color="auto" w:fill="FFFFFF"/>
        <w:spacing w:after="0" w:line="240" w:lineRule="auto"/>
        <w:ind w:left="-15" w:right="-15"/>
        <w:outlineLvl w:val="1"/>
        <w:rPr>
          <w:rFonts w:ascii="NexaLight" w:eastAsia="Times New Roman" w:hAnsi="NexaLight" w:cs="Times New Roman"/>
          <w:b/>
          <w:bCs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b/>
          <w:bCs/>
          <w:color w:val="000000"/>
          <w:sz w:val="20"/>
          <w:szCs w:val="20"/>
          <w:lang w:eastAsia="en-GB"/>
        </w:rPr>
        <w:t>Details</w:t>
      </w:r>
    </w:p>
    <w:p w14:paraId="57480A4E" w14:textId="77777777" w:rsidR="00363CDD" w:rsidRPr="00363CDD" w:rsidRDefault="00363CDD" w:rsidP="00363CDD">
      <w:pPr>
        <w:shd w:val="clear" w:color="auto" w:fill="FFFFFF"/>
        <w:spacing w:after="0" w:line="240" w:lineRule="auto"/>
        <w:outlineLvl w:val="2"/>
        <w:rPr>
          <w:rFonts w:ascii="NexaLight" w:eastAsia="Times New Roman" w:hAnsi="NexaLight" w:cs="Times New Roman"/>
          <w:b/>
          <w:bCs/>
          <w:color w:val="000000"/>
          <w:sz w:val="27"/>
          <w:szCs w:val="27"/>
          <w:lang w:eastAsia="en-GB"/>
        </w:rPr>
      </w:pPr>
      <w:r w:rsidRPr="00363CDD">
        <w:rPr>
          <w:rFonts w:ascii="NexaLight" w:eastAsia="Times New Roman" w:hAnsi="NexaLight" w:cs="Times New Roman"/>
          <w:b/>
          <w:bCs/>
          <w:color w:val="007DC6"/>
          <w:sz w:val="27"/>
          <w:szCs w:val="27"/>
          <w:lang w:eastAsia="en-GB"/>
        </w:rPr>
        <w:t>Information</w:t>
      </w:r>
    </w:p>
    <w:p w14:paraId="01C03D90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Event</w:t>
      </w:r>
    </w:p>
    <w:p w14:paraId="47066E04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hyperlink r:id="rId5" w:tgtFrame="_blank" w:history="1">
        <w:r w:rsidRPr="00363CDD">
          <w:rPr>
            <w:rFonts w:ascii="NexaLight" w:eastAsia="Times New Roman" w:hAnsi="NexaLight" w:cs="Times New Roman"/>
            <w:color w:val="007DC6"/>
            <w:sz w:val="20"/>
            <w:szCs w:val="20"/>
            <w:u w:val="single"/>
            <w:lang w:eastAsia="en-GB"/>
          </w:rPr>
          <w:t>Congress Europe 2022</w:t>
        </w:r>
      </w:hyperlink>
    </w:p>
    <w:p w14:paraId="5CB76BD7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Stage</w:t>
      </w:r>
    </w:p>
    <w:p w14:paraId="03B10687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Closed</w:t>
      </w:r>
    </w:p>
    <w:p w14:paraId="39542057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Type</w:t>
      </w:r>
    </w:p>
    <w:p w14:paraId="6B698564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Poster or Oral</w:t>
      </w:r>
    </w:p>
    <w:p w14:paraId="4A2F3AB9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Status</w:t>
      </w:r>
    </w:p>
    <w:p w14:paraId="10ECAC8B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Accepted</w:t>
      </w:r>
    </w:p>
    <w:p w14:paraId="62A40219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Abstract Topic</w:t>
      </w:r>
    </w:p>
    <w:p w14:paraId="48F15C5D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Ageing and dementia</w:t>
      </w:r>
    </w:p>
    <w:p w14:paraId="6E71291C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Date Submitted</w:t>
      </w:r>
    </w:p>
    <w:p w14:paraId="06430266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29/01/2022 14:25</w:t>
      </w:r>
    </w:p>
    <w:p w14:paraId="53BFB3D5" w14:textId="77777777" w:rsidR="00363CDD" w:rsidRPr="00363CDD" w:rsidRDefault="00363CDD" w:rsidP="00363CDD">
      <w:pPr>
        <w:shd w:val="clear" w:color="auto" w:fill="FFFFFF"/>
        <w:spacing w:after="0" w:line="240" w:lineRule="auto"/>
        <w:outlineLvl w:val="2"/>
        <w:rPr>
          <w:rFonts w:ascii="NexaLight" w:eastAsia="Times New Roman" w:hAnsi="NexaLight" w:cs="Times New Roman"/>
          <w:b/>
          <w:bCs/>
          <w:color w:val="000000"/>
          <w:sz w:val="27"/>
          <w:szCs w:val="27"/>
          <w:lang w:eastAsia="en-GB"/>
        </w:rPr>
      </w:pPr>
      <w:r w:rsidRPr="00363CDD">
        <w:rPr>
          <w:rFonts w:ascii="NexaLight" w:eastAsia="Times New Roman" w:hAnsi="NexaLight" w:cs="Times New Roman"/>
          <w:b/>
          <w:bCs/>
          <w:color w:val="007DC6"/>
          <w:sz w:val="27"/>
          <w:szCs w:val="27"/>
          <w:lang w:eastAsia="en-GB"/>
        </w:rPr>
        <w:t>Body</w:t>
      </w:r>
    </w:p>
    <w:p w14:paraId="7C62D5BB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Title</w:t>
      </w:r>
    </w:p>
    <w:p w14:paraId="76AE6197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1H-Magnetic Resonance Spectroscopy in Older People with Delirium</w:t>
      </w:r>
    </w:p>
    <w:p w14:paraId="1AE2C509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Introduction</w:t>
      </w:r>
    </w:p>
    <w:p w14:paraId="08ADA265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Delirium is an acute disorder of consciousness that affects up to 35% of hospitalised older people and is associated with significant morbidity, including an ≥8-fold increased risk of dementia. The mechanism underlying this is unknown. Because glutamate excitotoxicity is associated with brain injury, we used 1H-Magnetic Resonance Spectroscopy (MRS) to measure brain glutamate concentrations in older adults with delirium.</w:t>
      </w:r>
    </w:p>
    <w:p w14:paraId="083BB20B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Methods</w:t>
      </w:r>
    </w:p>
    <w:p w14:paraId="752A100F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Medical inpatients aged 65+ with and without delirium were recruited. Delirium was confirmed according to DSM-5 criteria. Physical illness severity was assessed using APACHE-II, pre-admission frailty with CFS and pre-admission cognitive decline with IQCODE. MRS was acquired from parietal white matter.</w:t>
      </w:r>
    </w:p>
    <w:p w14:paraId="69B6F4E6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Results</w:t>
      </w:r>
    </w:p>
    <w:p w14:paraId="2ADE19A9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MRS data were obtained from 13 delirium patients and 12 controls. There was no significant difference between groups in age (82 vs. 79; p=0.152), IQCODE (4 vs. 3, p = 0.095) or APACHE-II (8 vs 6.5, p = 0.068); however, delirium patients were slightly frailer (CFS 5 vs. 4.5, p = 0.049). MRS demonstrated no difference in combined glutamate + glutamine (</w:t>
      </w:r>
      <w:proofErr w:type="spellStart"/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Glx</w:t>
      </w:r>
      <w:proofErr w:type="spellEnd"/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 xml:space="preserve">) concentration (p=0.516). However, when patients with known neurodegenerative disease or severe atrophy were excluded, </w:t>
      </w:r>
      <w:proofErr w:type="spellStart"/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Glx</w:t>
      </w:r>
      <w:proofErr w:type="spellEnd"/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 xml:space="preserve"> concentration was elevated in the delirium group (</w:t>
      </w:r>
      <w:proofErr w:type="spellStart"/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Glx</w:t>
      </w:r>
      <w:proofErr w:type="spellEnd"/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/</w:t>
      </w:r>
      <w:proofErr w:type="spellStart"/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tCr</w:t>
      </w:r>
      <w:proofErr w:type="spellEnd"/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 xml:space="preserve"> 1.75 vs. 1.51, p = 0.024). Exploratory analysis suggested this was due to a difference in glutamate (p=0.046) rather than glutamine (p = 0.297) concentration.</w:t>
      </w:r>
    </w:p>
    <w:p w14:paraId="258B36C5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Conclusion</w:t>
      </w:r>
    </w:p>
    <w:p w14:paraId="68C0FD41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This study suggests that brain glutamate concentrations might be elevated in delirium and supports further investigation of glutamate excitotoxicity as a potentially modifiable contributor to delirium severity and post-delirium cognitive decline.</w:t>
      </w:r>
    </w:p>
    <w:p w14:paraId="4EC090B6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Disclosure</w:t>
      </w:r>
    </w:p>
    <w:p w14:paraId="4C7C77C0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None</w:t>
      </w:r>
    </w:p>
    <w:p w14:paraId="5E0ACE39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Author Details</w:t>
      </w:r>
    </w:p>
    <w:p w14:paraId="5F9659DD" w14:textId="77777777" w:rsidR="00363CDD" w:rsidRPr="00363CDD" w:rsidRDefault="00363CDD" w:rsidP="00363CDD">
      <w:pPr>
        <w:shd w:val="clear" w:color="auto" w:fill="FFFFFF"/>
        <w:spacing w:after="0" w:line="240" w:lineRule="auto"/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</w:pP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D. Richardson </w:t>
      </w:r>
      <w:r w:rsidRPr="00363CDD">
        <w:rPr>
          <w:rFonts w:ascii="NexaLight" w:eastAsia="Times New Roman" w:hAnsi="NexaLight" w:cs="Times New Roman"/>
          <w:color w:val="000000"/>
          <w:sz w:val="15"/>
          <w:szCs w:val="15"/>
          <w:vertAlign w:val="superscript"/>
          <w:lang w:eastAsia="en-GB"/>
        </w:rPr>
        <w:t>2</w:t>
      </w: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, L. Binney </w:t>
      </w:r>
      <w:r w:rsidRPr="00363CDD">
        <w:rPr>
          <w:rFonts w:ascii="NexaLight" w:eastAsia="Times New Roman" w:hAnsi="NexaLight" w:cs="Times New Roman"/>
          <w:color w:val="000000"/>
          <w:sz w:val="15"/>
          <w:szCs w:val="15"/>
          <w:vertAlign w:val="superscript"/>
          <w:lang w:eastAsia="en-GB"/>
        </w:rPr>
        <w:t>1</w:t>
      </w: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, U. Khan </w:t>
      </w:r>
      <w:r w:rsidRPr="00363CDD">
        <w:rPr>
          <w:rFonts w:ascii="NexaLight" w:eastAsia="Times New Roman" w:hAnsi="NexaLight" w:cs="Times New Roman"/>
          <w:color w:val="000000"/>
          <w:sz w:val="15"/>
          <w:szCs w:val="15"/>
          <w:vertAlign w:val="superscript"/>
          <w:lang w:eastAsia="en-GB"/>
        </w:rPr>
        <w:t>2</w:t>
      </w: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, P. Rich </w:t>
      </w:r>
      <w:r w:rsidRPr="00363CDD">
        <w:rPr>
          <w:rFonts w:ascii="NexaLight" w:eastAsia="Times New Roman" w:hAnsi="NexaLight" w:cs="Times New Roman"/>
          <w:color w:val="000000"/>
          <w:sz w:val="15"/>
          <w:szCs w:val="15"/>
          <w:vertAlign w:val="superscript"/>
          <w:lang w:eastAsia="en-GB"/>
        </w:rPr>
        <w:t>3</w:t>
      </w: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, D. Davis </w:t>
      </w:r>
      <w:r w:rsidRPr="00363CDD">
        <w:rPr>
          <w:rFonts w:ascii="NexaLight" w:eastAsia="Times New Roman" w:hAnsi="NexaLight" w:cs="Times New Roman"/>
          <w:color w:val="000000"/>
          <w:sz w:val="15"/>
          <w:szCs w:val="15"/>
          <w:vertAlign w:val="superscript"/>
          <w:lang w:eastAsia="en-GB"/>
        </w:rPr>
        <w:t>4</w:t>
      </w: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, A. Hainsworth </w:t>
      </w:r>
      <w:r w:rsidRPr="00363CDD">
        <w:rPr>
          <w:rFonts w:ascii="NexaLight" w:eastAsia="Times New Roman" w:hAnsi="NexaLight" w:cs="Times New Roman"/>
          <w:color w:val="000000"/>
          <w:sz w:val="15"/>
          <w:szCs w:val="15"/>
          <w:vertAlign w:val="superscript"/>
          <w:lang w:eastAsia="en-GB"/>
        </w:rPr>
        <w:t>5</w:t>
      </w: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, F. Howe </w:t>
      </w:r>
      <w:r w:rsidRPr="00363CDD">
        <w:rPr>
          <w:rFonts w:ascii="NexaLight" w:eastAsia="Times New Roman" w:hAnsi="NexaLight" w:cs="Times New Roman"/>
          <w:color w:val="000000"/>
          <w:sz w:val="15"/>
          <w:szCs w:val="15"/>
          <w:vertAlign w:val="superscript"/>
          <w:lang w:eastAsia="en-GB"/>
        </w:rPr>
        <w:t>2</w:t>
      </w: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, </w:t>
      </w:r>
      <w:r w:rsidRPr="00363CDD">
        <w:rPr>
          <w:rFonts w:ascii="NexaLight" w:eastAsia="Times New Roman" w:hAnsi="NexaLight" w:cs="Times New Roman"/>
          <w:color w:val="000000"/>
          <w:sz w:val="20"/>
          <w:szCs w:val="20"/>
          <w:u w:val="single"/>
          <w:lang w:eastAsia="en-GB"/>
        </w:rPr>
        <w:t>J. Isaacs </w:t>
      </w:r>
      <w:r w:rsidRPr="00363CDD">
        <w:rPr>
          <w:rFonts w:ascii="NexaLight" w:eastAsia="Times New Roman" w:hAnsi="NexaLight" w:cs="Times New Roman"/>
          <w:color w:val="000000"/>
          <w:sz w:val="15"/>
          <w:szCs w:val="15"/>
          <w:u w:val="single"/>
          <w:vertAlign w:val="superscript"/>
          <w:lang w:eastAsia="en-GB"/>
        </w:rPr>
        <w:t>1</w:t>
      </w: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; </w:t>
      </w:r>
      <w:r w:rsidRPr="00363CDD">
        <w:rPr>
          <w:rFonts w:ascii="NexaLight" w:eastAsia="Times New Roman" w:hAnsi="NexaLight" w:cs="Times New Roman"/>
          <w:color w:val="000000"/>
          <w:sz w:val="15"/>
          <w:szCs w:val="15"/>
          <w:vertAlign w:val="superscript"/>
          <w:lang w:eastAsia="en-GB"/>
        </w:rPr>
        <w:t>1</w:t>
      </w: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 Department of Neurology, Atkinson Morley Regional Neurosciences Centre, St George’s University Hospitals NHS Foundation Trust, London, UK, </w:t>
      </w:r>
      <w:r w:rsidRPr="00363CDD">
        <w:rPr>
          <w:rFonts w:ascii="NexaLight" w:eastAsia="Times New Roman" w:hAnsi="NexaLight" w:cs="Times New Roman"/>
          <w:color w:val="000000"/>
          <w:sz w:val="15"/>
          <w:szCs w:val="15"/>
          <w:vertAlign w:val="superscript"/>
          <w:lang w:eastAsia="en-GB"/>
        </w:rPr>
        <w:t>2</w:t>
      </w: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 Neurosciences Research Section, Molecular and Clinical Sciences Research Institute, St George’s University of London, London, UK, </w:t>
      </w:r>
      <w:r w:rsidRPr="00363CDD">
        <w:rPr>
          <w:rFonts w:ascii="NexaLight" w:eastAsia="Times New Roman" w:hAnsi="NexaLight" w:cs="Times New Roman"/>
          <w:color w:val="000000"/>
          <w:sz w:val="15"/>
          <w:szCs w:val="15"/>
          <w:vertAlign w:val="superscript"/>
          <w:lang w:eastAsia="en-GB"/>
        </w:rPr>
        <w:t>3</w:t>
      </w: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 Department of Neuroradiology, Atkinson Morley Regional Neurosciences Centre, St George’s University Hospitals NHS Foundation Trust, London, UK, </w:t>
      </w:r>
      <w:r w:rsidRPr="00363CDD">
        <w:rPr>
          <w:rFonts w:ascii="NexaLight" w:eastAsia="Times New Roman" w:hAnsi="NexaLight" w:cs="Times New Roman"/>
          <w:color w:val="000000"/>
          <w:sz w:val="15"/>
          <w:szCs w:val="15"/>
          <w:vertAlign w:val="superscript"/>
          <w:lang w:eastAsia="en-GB"/>
        </w:rPr>
        <w:t>4</w:t>
      </w: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 MRC Unit for Lifelong Health and Ageing, University College London, London, UK, </w:t>
      </w:r>
      <w:r w:rsidRPr="00363CDD">
        <w:rPr>
          <w:rFonts w:ascii="NexaLight" w:eastAsia="Times New Roman" w:hAnsi="NexaLight" w:cs="Times New Roman"/>
          <w:color w:val="000000"/>
          <w:sz w:val="15"/>
          <w:szCs w:val="15"/>
          <w:vertAlign w:val="superscript"/>
          <w:lang w:eastAsia="en-GB"/>
        </w:rPr>
        <w:t>5</w:t>
      </w:r>
      <w:r w:rsidRPr="00363CDD">
        <w:rPr>
          <w:rFonts w:ascii="NexaLight" w:eastAsia="Times New Roman" w:hAnsi="NexaLight" w:cs="Times New Roman"/>
          <w:color w:val="000000"/>
          <w:sz w:val="20"/>
          <w:szCs w:val="20"/>
          <w:lang w:eastAsia="en-GB"/>
        </w:rPr>
        <w:t> Cell Biology Research Section, Molecular and Clinical Sciences Research Institute, St George’s University of London, London, UK</w:t>
      </w:r>
    </w:p>
    <w:p w14:paraId="498E4F47" w14:textId="77777777" w:rsidR="00326553" w:rsidRDefault="00363CDD"/>
    <w:sectPr w:rsidR="00326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a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B5A3B"/>
    <w:multiLevelType w:val="multilevel"/>
    <w:tmpl w:val="861C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68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DD"/>
    <w:rsid w:val="00363CDD"/>
    <w:rsid w:val="00897243"/>
    <w:rsid w:val="00996EB7"/>
    <w:rsid w:val="00D2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0D3D"/>
  <w15:chartTrackingRefBased/>
  <w15:docId w15:val="{D43DFDDD-6D12-4372-BB70-53129048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3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63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63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CD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3C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63CD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ioutputtext">
    <w:name w:val="uioutputtext"/>
    <w:basedOn w:val="DefaultParagraphFont"/>
    <w:rsid w:val="00363CDD"/>
  </w:style>
  <w:style w:type="paragraph" w:customStyle="1" w:styleId="slds-button">
    <w:name w:val="slds-button"/>
    <w:basedOn w:val="Normal"/>
    <w:rsid w:val="0036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63CDD"/>
    <w:rPr>
      <w:color w:val="0000FF"/>
      <w:u w:val="single"/>
    </w:rPr>
  </w:style>
  <w:style w:type="character" w:customStyle="1" w:styleId="test-idsection-header-title">
    <w:name w:val="test-id__section-header-title"/>
    <w:basedOn w:val="DefaultParagraphFont"/>
    <w:rsid w:val="00363CDD"/>
  </w:style>
  <w:style w:type="character" w:customStyle="1" w:styleId="test-idfield-label">
    <w:name w:val="test-id__field-label"/>
    <w:basedOn w:val="DefaultParagraphFont"/>
    <w:rsid w:val="00363CDD"/>
  </w:style>
  <w:style w:type="character" w:customStyle="1" w:styleId="test-idfield-value">
    <w:name w:val="test-id__field-value"/>
    <w:basedOn w:val="DefaultParagraphFont"/>
    <w:rsid w:val="00363CDD"/>
  </w:style>
  <w:style w:type="character" w:customStyle="1" w:styleId="uioutputdatetime">
    <w:name w:val="uioutputdatetime"/>
    <w:basedOn w:val="DefaultParagraphFont"/>
    <w:rsid w:val="00363CDD"/>
  </w:style>
  <w:style w:type="character" w:customStyle="1" w:styleId="uioutputtextarea">
    <w:name w:val="uioutputtextarea"/>
    <w:basedOn w:val="DefaultParagraphFont"/>
    <w:rsid w:val="0036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3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5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6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6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16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3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96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34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089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90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16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57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1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3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55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5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1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08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8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5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4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11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77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6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9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2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70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7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9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57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96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61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4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9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2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4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7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89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78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2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1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5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2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3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57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ean.org/s/event/a1M3Y000007KjnwUAC/congress-europe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Isaacs</dc:creator>
  <cp:keywords/>
  <dc:description/>
  <cp:lastModifiedBy>Jeremy Isaacs</cp:lastModifiedBy>
  <cp:revision>1</cp:revision>
  <dcterms:created xsi:type="dcterms:W3CDTF">2022-08-14T08:40:00Z</dcterms:created>
  <dcterms:modified xsi:type="dcterms:W3CDTF">2022-08-14T08:41:00Z</dcterms:modified>
</cp:coreProperties>
</file>