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2B2205" w14:textId="33896767" w:rsidR="006D3944" w:rsidRPr="005C0E80" w:rsidRDefault="006D3944" w:rsidP="006D3944">
      <w:pPr>
        <w:pStyle w:val="Caption"/>
        <w:rPr>
          <w:rStyle w:val="normaltextrun"/>
          <w:rFonts w:ascii="Times New Roman" w:eastAsia="Times New Roman" w:hAnsi="Times New Roman" w:cs="Times New Roman"/>
          <w:b/>
          <w:bCs/>
          <w:i w:val="0"/>
          <w:iCs w:val="0"/>
          <w:color w:val="auto"/>
          <w:sz w:val="22"/>
          <w:szCs w:val="22"/>
          <w:lang w:eastAsia="en-GB"/>
        </w:rPr>
      </w:pPr>
      <w:r w:rsidRPr="005C0E80">
        <w:rPr>
          <w:rStyle w:val="normaltextrun"/>
          <w:rFonts w:ascii="Times New Roman" w:eastAsia="Times New Roman" w:hAnsi="Times New Roman" w:cs="Times New Roman"/>
          <w:b/>
          <w:bCs/>
          <w:i w:val="0"/>
          <w:iCs w:val="0"/>
          <w:color w:val="auto"/>
          <w:sz w:val="22"/>
          <w:szCs w:val="22"/>
          <w:lang w:eastAsia="en-GB"/>
        </w:rPr>
        <w:t>Supplementary Appendix</w:t>
      </w:r>
      <w:r w:rsidR="00160158" w:rsidRPr="005C0E80">
        <w:rPr>
          <w:rStyle w:val="normaltextrun"/>
          <w:rFonts w:ascii="Times New Roman" w:eastAsia="Times New Roman" w:hAnsi="Times New Roman" w:cs="Times New Roman"/>
          <w:b/>
          <w:bCs/>
          <w:i w:val="0"/>
          <w:iCs w:val="0"/>
          <w:color w:val="auto"/>
          <w:sz w:val="22"/>
          <w:szCs w:val="22"/>
          <w:lang w:eastAsia="en-GB"/>
        </w:rPr>
        <w:t xml:space="preserve"> - </w:t>
      </w:r>
      <w:r w:rsidR="008608AA" w:rsidRPr="005C0E80">
        <w:rPr>
          <w:rStyle w:val="normaltextrun"/>
          <w:rFonts w:ascii="Times New Roman" w:eastAsia="Times New Roman" w:hAnsi="Times New Roman" w:cs="Times New Roman"/>
          <w:b/>
          <w:bCs/>
          <w:i w:val="0"/>
          <w:iCs w:val="0"/>
          <w:color w:val="auto"/>
          <w:sz w:val="22"/>
          <w:szCs w:val="22"/>
          <w:lang w:eastAsia="en-GB"/>
        </w:rPr>
        <w:t xml:space="preserve">Clinical characteristics and predictors of outcomes of </w:t>
      </w:r>
      <w:r w:rsidR="00B47A17" w:rsidRPr="005C0E80">
        <w:rPr>
          <w:rStyle w:val="normaltextrun"/>
          <w:rFonts w:ascii="Times New Roman" w:eastAsia="Times New Roman" w:hAnsi="Times New Roman" w:cs="Times New Roman"/>
          <w:b/>
          <w:bCs/>
          <w:i w:val="0"/>
          <w:iCs w:val="0"/>
          <w:color w:val="auto"/>
          <w:sz w:val="22"/>
          <w:szCs w:val="22"/>
          <w:lang w:eastAsia="en-GB"/>
        </w:rPr>
        <w:t>hospitalized</w:t>
      </w:r>
      <w:r w:rsidR="008608AA" w:rsidRPr="005C0E80">
        <w:rPr>
          <w:rStyle w:val="normaltextrun"/>
          <w:rFonts w:ascii="Times New Roman" w:eastAsia="Times New Roman" w:hAnsi="Times New Roman" w:cs="Times New Roman"/>
          <w:b/>
          <w:bCs/>
          <w:i w:val="0"/>
          <w:iCs w:val="0"/>
          <w:color w:val="auto"/>
          <w:sz w:val="22"/>
          <w:szCs w:val="22"/>
          <w:lang w:eastAsia="en-GB"/>
        </w:rPr>
        <w:t xml:space="preserve"> patients with COVID-19 in a London NHS Trust: a retrospective cohort study</w:t>
      </w:r>
    </w:p>
    <w:p w14:paraId="6FF4AF69" w14:textId="77777777" w:rsidR="001B3D7C" w:rsidRPr="005C0E80" w:rsidRDefault="001B3D7C" w:rsidP="001B3D7C">
      <w:pPr>
        <w:pStyle w:val="Caption"/>
        <w:jc w:val="both"/>
        <w:rPr>
          <w:rStyle w:val="normaltextrun"/>
          <w:rFonts w:ascii="Times New Roman" w:eastAsia="Times New Roman" w:hAnsi="Times New Roman" w:cs="Times New Roman"/>
          <w:i w:val="0"/>
          <w:iCs w:val="0"/>
          <w:color w:val="auto"/>
          <w:sz w:val="22"/>
          <w:szCs w:val="22"/>
          <w:lang w:eastAsia="en-GB"/>
        </w:rPr>
      </w:pPr>
    </w:p>
    <w:p w14:paraId="2F27B0AF" w14:textId="2B76A238" w:rsidR="006D3944" w:rsidRPr="00F24C46" w:rsidRDefault="00B94307" w:rsidP="00F24C46">
      <w:pPr>
        <w:pStyle w:val="Caption"/>
        <w:spacing w:line="360" w:lineRule="auto"/>
        <w:jc w:val="both"/>
        <w:rPr>
          <w:rStyle w:val="normaltextrun"/>
          <w:rFonts w:ascii="Times New Roman" w:eastAsia="Times New Roman" w:hAnsi="Times New Roman" w:cs="Times New Roman"/>
          <w:i w:val="0"/>
          <w:iCs w:val="0"/>
          <w:color w:val="auto"/>
          <w:sz w:val="24"/>
          <w:szCs w:val="24"/>
          <w:lang w:eastAsia="en-GB"/>
        </w:rPr>
      </w:pPr>
      <w:r w:rsidRPr="00F24C46">
        <w:rPr>
          <w:rStyle w:val="normaltextrun"/>
          <w:rFonts w:ascii="Times New Roman" w:eastAsia="Times New Roman" w:hAnsi="Times New Roman" w:cs="Times New Roman"/>
          <w:i w:val="0"/>
          <w:iCs w:val="0"/>
          <w:color w:val="auto"/>
          <w:sz w:val="24"/>
          <w:szCs w:val="24"/>
          <w:lang w:eastAsia="en-GB"/>
        </w:rPr>
        <w:t xml:space="preserve">This supplementary appendix presents additional </w:t>
      </w:r>
      <w:r w:rsidR="00D46D74" w:rsidRPr="00F24C46">
        <w:rPr>
          <w:rStyle w:val="normaltextrun"/>
          <w:rFonts w:ascii="Times New Roman" w:eastAsia="Times New Roman" w:hAnsi="Times New Roman" w:cs="Times New Roman"/>
          <w:i w:val="0"/>
          <w:iCs w:val="0"/>
          <w:color w:val="auto"/>
          <w:sz w:val="24"/>
          <w:szCs w:val="24"/>
          <w:lang w:eastAsia="en-GB"/>
        </w:rPr>
        <w:t xml:space="preserve">figures and tables to fully </w:t>
      </w:r>
      <w:r w:rsidR="00B47A17" w:rsidRPr="00F24C46">
        <w:rPr>
          <w:rStyle w:val="normaltextrun"/>
          <w:rFonts w:ascii="Times New Roman" w:eastAsia="Times New Roman" w:hAnsi="Times New Roman" w:cs="Times New Roman"/>
          <w:i w:val="0"/>
          <w:iCs w:val="0"/>
          <w:color w:val="auto"/>
          <w:sz w:val="24"/>
          <w:szCs w:val="24"/>
          <w:lang w:eastAsia="en-GB"/>
        </w:rPr>
        <w:t>characterize</w:t>
      </w:r>
      <w:r w:rsidR="00D46D74" w:rsidRPr="00F24C46">
        <w:rPr>
          <w:rStyle w:val="normaltextrun"/>
          <w:rFonts w:ascii="Times New Roman" w:eastAsia="Times New Roman" w:hAnsi="Times New Roman" w:cs="Times New Roman"/>
          <w:i w:val="0"/>
          <w:iCs w:val="0"/>
          <w:color w:val="auto"/>
          <w:sz w:val="24"/>
          <w:szCs w:val="24"/>
          <w:lang w:eastAsia="en-GB"/>
        </w:rPr>
        <w:t xml:space="preserve"> the cohort of COVID-19 patients at </w:t>
      </w:r>
      <w:r w:rsidR="00B47A17" w:rsidRPr="00F24C46">
        <w:rPr>
          <w:rStyle w:val="normaltextrun"/>
          <w:rFonts w:ascii="Times New Roman" w:eastAsia="Times New Roman" w:hAnsi="Times New Roman" w:cs="Times New Roman"/>
          <w:i w:val="0"/>
          <w:iCs w:val="0"/>
          <w:color w:val="auto"/>
          <w:sz w:val="24"/>
          <w:szCs w:val="24"/>
          <w:lang w:eastAsia="en-GB"/>
        </w:rPr>
        <w:t>hospitalized</w:t>
      </w:r>
      <w:r w:rsidR="00D46D74" w:rsidRPr="00F24C46">
        <w:rPr>
          <w:rStyle w:val="normaltextrun"/>
          <w:rFonts w:ascii="Times New Roman" w:eastAsia="Times New Roman" w:hAnsi="Times New Roman" w:cs="Times New Roman"/>
          <w:i w:val="0"/>
          <w:iCs w:val="0"/>
          <w:color w:val="auto"/>
          <w:sz w:val="24"/>
          <w:szCs w:val="24"/>
          <w:lang w:eastAsia="en-GB"/>
        </w:rPr>
        <w:t xml:space="preserve"> at Imperial College Healthcare </w:t>
      </w:r>
      <w:r w:rsidR="001B3D7C" w:rsidRPr="00F24C46">
        <w:rPr>
          <w:rStyle w:val="normaltextrun"/>
          <w:rFonts w:ascii="Times New Roman" w:eastAsia="Times New Roman" w:hAnsi="Times New Roman" w:cs="Times New Roman"/>
          <w:i w:val="0"/>
          <w:iCs w:val="0"/>
          <w:color w:val="auto"/>
          <w:sz w:val="24"/>
          <w:szCs w:val="24"/>
          <w:lang w:eastAsia="en-GB"/>
        </w:rPr>
        <w:t xml:space="preserve">NHS </w:t>
      </w:r>
      <w:r w:rsidR="00D46D74" w:rsidRPr="00F24C46">
        <w:rPr>
          <w:rStyle w:val="normaltextrun"/>
          <w:rFonts w:ascii="Times New Roman" w:eastAsia="Times New Roman" w:hAnsi="Times New Roman" w:cs="Times New Roman"/>
          <w:i w:val="0"/>
          <w:iCs w:val="0"/>
          <w:color w:val="auto"/>
          <w:sz w:val="24"/>
          <w:szCs w:val="24"/>
          <w:lang w:eastAsia="en-GB"/>
        </w:rPr>
        <w:t xml:space="preserve">Trust </w:t>
      </w:r>
      <w:r w:rsidR="001B3D7C" w:rsidRPr="00F24C46">
        <w:rPr>
          <w:rStyle w:val="normaltextrun"/>
          <w:rFonts w:ascii="Times New Roman" w:eastAsia="Times New Roman" w:hAnsi="Times New Roman" w:cs="Times New Roman"/>
          <w:i w:val="0"/>
          <w:iCs w:val="0"/>
          <w:color w:val="auto"/>
          <w:sz w:val="24"/>
          <w:szCs w:val="24"/>
          <w:lang w:eastAsia="en-GB"/>
        </w:rPr>
        <w:t>between the 25</w:t>
      </w:r>
      <w:r w:rsidR="001B3D7C" w:rsidRPr="00F24C46">
        <w:rPr>
          <w:rStyle w:val="normaltextrun"/>
          <w:rFonts w:ascii="Times New Roman" w:eastAsia="Times New Roman" w:hAnsi="Times New Roman" w:cs="Times New Roman"/>
          <w:i w:val="0"/>
          <w:iCs w:val="0"/>
          <w:color w:val="auto"/>
          <w:sz w:val="24"/>
          <w:szCs w:val="24"/>
          <w:vertAlign w:val="superscript"/>
          <w:lang w:eastAsia="en-GB"/>
        </w:rPr>
        <w:t>th</w:t>
      </w:r>
      <w:r w:rsidR="001B3D7C" w:rsidRPr="00F24C46">
        <w:rPr>
          <w:rStyle w:val="normaltextrun"/>
          <w:rFonts w:ascii="Times New Roman" w:eastAsia="Times New Roman" w:hAnsi="Times New Roman" w:cs="Times New Roman"/>
          <w:i w:val="0"/>
          <w:iCs w:val="0"/>
          <w:color w:val="auto"/>
          <w:sz w:val="24"/>
          <w:szCs w:val="24"/>
          <w:lang w:eastAsia="en-GB"/>
        </w:rPr>
        <w:t xml:space="preserve"> of February and 5</w:t>
      </w:r>
      <w:r w:rsidR="001B3D7C" w:rsidRPr="00F24C46">
        <w:rPr>
          <w:rStyle w:val="normaltextrun"/>
          <w:rFonts w:ascii="Times New Roman" w:eastAsia="Times New Roman" w:hAnsi="Times New Roman" w:cs="Times New Roman"/>
          <w:i w:val="0"/>
          <w:iCs w:val="0"/>
          <w:color w:val="auto"/>
          <w:sz w:val="24"/>
          <w:szCs w:val="24"/>
          <w:vertAlign w:val="superscript"/>
          <w:lang w:eastAsia="en-GB"/>
        </w:rPr>
        <w:t>th</w:t>
      </w:r>
      <w:r w:rsidR="001B3D7C" w:rsidRPr="00F24C46">
        <w:rPr>
          <w:rStyle w:val="normaltextrun"/>
          <w:rFonts w:ascii="Times New Roman" w:eastAsia="Times New Roman" w:hAnsi="Times New Roman" w:cs="Times New Roman"/>
          <w:i w:val="0"/>
          <w:iCs w:val="0"/>
          <w:color w:val="auto"/>
          <w:sz w:val="24"/>
          <w:szCs w:val="24"/>
          <w:lang w:eastAsia="en-GB"/>
        </w:rPr>
        <w:t xml:space="preserve"> of </w:t>
      </w:r>
      <w:r w:rsidR="00996D1E" w:rsidRPr="00F24C46">
        <w:rPr>
          <w:rStyle w:val="normaltextrun"/>
          <w:rFonts w:ascii="Times New Roman" w:eastAsia="Times New Roman" w:hAnsi="Times New Roman" w:cs="Times New Roman"/>
          <w:i w:val="0"/>
          <w:iCs w:val="0"/>
          <w:color w:val="auto"/>
          <w:sz w:val="24"/>
          <w:szCs w:val="24"/>
          <w:lang w:eastAsia="en-GB"/>
        </w:rPr>
        <w:t>April</w:t>
      </w:r>
      <w:r w:rsidR="001B3D7C" w:rsidRPr="00F24C46">
        <w:rPr>
          <w:rStyle w:val="normaltextrun"/>
          <w:rFonts w:ascii="Times New Roman" w:eastAsia="Times New Roman" w:hAnsi="Times New Roman" w:cs="Times New Roman"/>
          <w:i w:val="0"/>
          <w:iCs w:val="0"/>
          <w:color w:val="auto"/>
          <w:sz w:val="24"/>
          <w:szCs w:val="24"/>
          <w:lang w:eastAsia="en-GB"/>
        </w:rPr>
        <w:t xml:space="preserve"> 2020. </w:t>
      </w:r>
    </w:p>
    <w:p w14:paraId="487EAE6D" w14:textId="42A5AB48" w:rsidR="00495883" w:rsidRPr="00F24C46" w:rsidRDefault="00495883" w:rsidP="00F24C46">
      <w:pPr>
        <w:spacing w:line="360" w:lineRule="auto"/>
        <w:rPr>
          <w:lang w:val="en-US" w:eastAsia="en-GB"/>
        </w:rPr>
      </w:pPr>
      <w:r w:rsidRPr="00F24C46">
        <w:rPr>
          <w:lang w:val="en-US" w:eastAsia="en-GB"/>
        </w:rPr>
        <w:t xml:space="preserve">For radiologic </w:t>
      </w:r>
      <w:r w:rsidR="0063539A" w:rsidRPr="00F24C46">
        <w:rPr>
          <w:lang w:val="en-US" w:eastAsia="en-GB"/>
        </w:rPr>
        <w:t xml:space="preserve">description of finding, we used the classification system proposed by the </w:t>
      </w:r>
      <w:r w:rsidR="0031441E" w:rsidRPr="00F24C46">
        <w:rPr>
          <w:lang w:val="en-US" w:eastAsia="en-GB"/>
        </w:rPr>
        <w:t>British</w:t>
      </w:r>
      <w:r w:rsidR="0063539A" w:rsidRPr="00F24C46">
        <w:rPr>
          <w:lang w:val="en-US" w:eastAsia="en-GB"/>
        </w:rPr>
        <w:t xml:space="preserve"> </w:t>
      </w:r>
      <w:r w:rsidR="0031441E" w:rsidRPr="00F24C46">
        <w:rPr>
          <w:lang w:val="en-US" w:eastAsia="en-GB"/>
        </w:rPr>
        <w:t>Society</w:t>
      </w:r>
      <w:r w:rsidR="0063539A" w:rsidRPr="00F24C46">
        <w:rPr>
          <w:lang w:val="en-US" w:eastAsia="en-GB"/>
        </w:rPr>
        <w:t xml:space="preserve"> of Thoracic Imaging,</w:t>
      </w:r>
      <w:r w:rsidR="00D406ED" w:rsidRPr="00F24C46">
        <w:rPr>
          <w:lang w:val="en-US" w:eastAsia="en-GB"/>
        </w:rPr>
        <w:fldChar w:fldCharType="begin"/>
      </w:r>
      <w:r w:rsidR="002A5EDE" w:rsidRPr="00F24C46">
        <w:rPr>
          <w:lang w:val="en-US" w:eastAsia="en-GB"/>
        </w:rPr>
        <w:instrText xml:space="preserve"> ADDIN ZOTERO_ITEM CSL_CITATION {"citationID":"QaYUh4KF","properties":{"formattedCitation":"[1]","plainCitation":"[1]","noteIndex":0},"citationItems":[{"id":1084,"uris":["http://zotero.org/users/5874418/items/NJJECGIA"],"uri":["http://zotero.org/users/5874418/items/NJJECGIA"],"itemData":{"id":1084,"type":"report","language":"en","page":"28","source":"Zotero","title":"Thoracic Imaging in COVID-19 Infection","author":[{"literal":"British Society of Thoracic Imaging"}],"issued":{"date-parts":[["2020"]]}}}],"schema":"https://github.com/citation-style-language/schema/raw/master/csl-citation.json"} </w:instrText>
      </w:r>
      <w:r w:rsidR="00D406ED" w:rsidRPr="00F24C46">
        <w:rPr>
          <w:lang w:val="en-US" w:eastAsia="en-GB"/>
        </w:rPr>
        <w:fldChar w:fldCharType="separate"/>
      </w:r>
      <w:r w:rsidR="002A5EDE" w:rsidRPr="00F24C46">
        <w:t>[1]</w:t>
      </w:r>
      <w:r w:rsidR="00D406ED" w:rsidRPr="00F24C46">
        <w:rPr>
          <w:lang w:val="en-US" w:eastAsia="en-GB"/>
        </w:rPr>
        <w:fldChar w:fldCharType="end"/>
      </w:r>
      <w:r w:rsidR="0063539A" w:rsidRPr="00F24C46">
        <w:rPr>
          <w:lang w:val="en-US" w:eastAsia="en-GB"/>
        </w:rPr>
        <w:t xml:space="preserve"> as follows: </w:t>
      </w:r>
      <w:r w:rsidRPr="00F24C46">
        <w:rPr>
          <w:lang w:val="en-US" w:eastAsia="en-GB"/>
        </w:rPr>
        <w:t>(</w:t>
      </w:r>
      <w:proofErr w:type="spellStart"/>
      <w:r w:rsidRPr="00F24C46">
        <w:rPr>
          <w:lang w:val="en-US" w:eastAsia="en-GB"/>
        </w:rPr>
        <w:t>i</w:t>
      </w:r>
      <w:proofErr w:type="spellEnd"/>
      <w:r w:rsidRPr="00F24C46">
        <w:rPr>
          <w:lang w:val="en-US" w:eastAsia="en-GB"/>
        </w:rPr>
        <w:t>) radiological findings (CVCX0 = Normal, CVCX1 = Classic, CVCX2 = Indeterminate, CVCX3 = Non-COVID-19) and (ii) quantification of radiographic disease severity (mild, moderate, severe).13 As CT scans were not systematically performed for all COVID-19 patients in this clinical setting, they were excluded from this analysis.</w:t>
      </w:r>
    </w:p>
    <w:p w14:paraId="16676C7A" w14:textId="18B94E47" w:rsidR="001B3D7C" w:rsidRPr="00F24C46" w:rsidRDefault="001B3D7C" w:rsidP="00F24C46">
      <w:pPr>
        <w:spacing w:line="360" w:lineRule="auto"/>
        <w:rPr>
          <w:lang w:val="en-US" w:eastAsia="en-GB"/>
        </w:rPr>
      </w:pPr>
    </w:p>
    <w:p w14:paraId="17FCB7FC" w14:textId="77777777" w:rsidR="001B3D7C" w:rsidRPr="005C0E80" w:rsidRDefault="001B3D7C" w:rsidP="001B3D7C">
      <w:pPr>
        <w:rPr>
          <w:lang w:val="en-US" w:eastAsia="en-GB"/>
        </w:rPr>
      </w:pPr>
    </w:p>
    <w:p w14:paraId="20B1EFB6" w14:textId="448681D8" w:rsidR="006D3944" w:rsidRPr="005C0E80" w:rsidRDefault="006D3944" w:rsidP="006D3944">
      <w:pPr>
        <w:pStyle w:val="Caption"/>
        <w:rPr>
          <w:rStyle w:val="normaltextrun"/>
          <w:rFonts w:ascii="Times New Roman" w:eastAsia="Times New Roman" w:hAnsi="Times New Roman" w:cs="Times New Roman"/>
          <w:b/>
          <w:bCs/>
          <w:i w:val="0"/>
          <w:iCs w:val="0"/>
          <w:color w:val="auto"/>
          <w:sz w:val="22"/>
          <w:szCs w:val="22"/>
          <w:lang w:eastAsia="en-GB"/>
        </w:rPr>
      </w:pPr>
      <w:r w:rsidRPr="005C0E80">
        <w:rPr>
          <w:rStyle w:val="normaltextrun"/>
          <w:rFonts w:ascii="Times New Roman" w:eastAsia="Times New Roman" w:hAnsi="Times New Roman" w:cs="Times New Roman"/>
          <w:b/>
          <w:bCs/>
          <w:i w:val="0"/>
          <w:iCs w:val="0"/>
          <w:color w:val="auto"/>
          <w:sz w:val="22"/>
          <w:szCs w:val="22"/>
          <w:lang w:eastAsia="en-GB"/>
        </w:rPr>
        <w:t xml:space="preserve">Equation </w:t>
      </w:r>
      <w:r w:rsidR="00B0096D" w:rsidRPr="005C0E80">
        <w:rPr>
          <w:rStyle w:val="normaltextrun"/>
          <w:rFonts w:ascii="Times New Roman" w:eastAsia="Times New Roman" w:hAnsi="Times New Roman" w:cs="Times New Roman"/>
          <w:b/>
          <w:bCs/>
          <w:i w:val="0"/>
          <w:iCs w:val="0"/>
          <w:color w:val="auto"/>
          <w:sz w:val="22"/>
          <w:szCs w:val="22"/>
          <w:lang w:eastAsia="en-GB"/>
        </w:rPr>
        <w:t>S</w:t>
      </w:r>
      <w:r w:rsidRPr="005C0E80">
        <w:rPr>
          <w:rStyle w:val="normaltextrun"/>
          <w:rFonts w:ascii="Times New Roman" w:eastAsia="Times New Roman" w:hAnsi="Times New Roman" w:cs="Times New Roman"/>
          <w:b/>
          <w:bCs/>
          <w:i w:val="0"/>
          <w:iCs w:val="0"/>
          <w:color w:val="auto"/>
          <w:sz w:val="22"/>
          <w:szCs w:val="22"/>
          <w:lang w:eastAsia="en-GB"/>
        </w:rPr>
        <w:t>1. Cumulative transition hazard and survival function defined by the Nelson-</w:t>
      </w:r>
      <w:proofErr w:type="spellStart"/>
      <w:r w:rsidRPr="005C0E80">
        <w:rPr>
          <w:rStyle w:val="normaltextrun"/>
          <w:rFonts w:ascii="Times New Roman" w:eastAsia="Times New Roman" w:hAnsi="Times New Roman" w:cs="Times New Roman"/>
          <w:b/>
          <w:bCs/>
          <w:i w:val="0"/>
          <w:iCs w:val="0"/>
          <w:color w:val="auto"/>
          <w:sz w:val="22"/>
          <w:szCs w:val="22"/>
          <w:lang w:eastAsia="en-GB"/>
        </w:rPr>
        <w:t>Aeler</w:t>
      </w:r>
      <w:proofErr w:type="spellEnd"/>
      <w:r w:rsidRPr="005C0E80">
        <w:rPr>
          <w:rStyle w:val="normaltextrun"/>
          <w:rFonts w:ascii="Times New Roman" w:eastAsia="Times New Roman" w:hAnsi="Times New Roman" w:cs="Times New Roman"/>
          <w:b/>
          <w:bCs/>
          <w:i w:val="0"/>
          <w:iCs w:val="0"/>
          <w:color w:val="auto"/>
          <w:sz w:val="22"/>
          <w:szCs w:val="22"/>
          <w:lang w:eastAsia="en-GB"/>
        </w:rPr>
        <w:t xml:space="preserve"> (a) and Kaplan-Meier (b) estimators.</w:t>
      </w:r>
    </w:p>
    <w:p w14:paraId="6545CD31" w14:textId="77777777" w:rsidR="006D3944" w:rsidRPr="005C0E80" w:rsidRDefault="006D3944" w:rsidP="006D3944">
      <w:pPr>
        <w:pStyle w:val="paragraph"/>
        <w:spacing w:before="0" w:beforeAutospacing="0" w:after="0" w:afterAutospacing="0" w:line="360" w:lineRule="auto"/>
        <w:jc w:val="both"/>
        <w:textAlignment w:val="baseline"/>
        <w:rPr>
          <w:rStyle w:val="normaltextrun"/>
          <w:sz w:val="22"/>
          <w:szCs w:val="22"/>
          <w:lang w:val="en-US"/>
        </w:rPr>
      </w:pPr>
      <m:oMathPara>
        <m:oMath>
          <m:r>
            <w:rPr>
              <w:rStyle w:val="normaltextrun"/>
              <w:rFonts w:ascii="Cambria Math" w:hAnsi="Cambria Math"/>
              <w:sz w:val="22"/>
              <w:szCs w:val="22"/>
              <w:lang w:val="en-US"/>
            </w:rPr>
            <m:t xml:space="preserve">a) Cumulative transition hazard </m:t>
          </m:r>
          <m:d>
            <m:dPr>
              <m:ctrlPr>
                <w:rPr>
                  <w:rStyle w:val="normaltextrun"/>
                  <w:rFonts w:ascii="Cambria Math" w:hAnsi="Cambria Math"/>
                  <w:i/>
                  <w:sz w:val="22"/>
                  <w:szCs w:val="22"/>
                  <w:lang w:val="en-US"/>
                </w:rPr>
              </m:ctrlPr>
            </m:dPr>
            <m:e>
              <m:r>
                <w:rPr>
                  <w:rStyle w:val="normaltextrun"/>
                  <w:rFonts w:ascii="Cambria Math" w:hAnsi="Cambria Math"/>
                  <w:sz w:val="22"/>
                  <w:szCs w:val="22"/>
                  <w:lang w:val="en-US"/>
                </w:rPr>
                <m:t>t</m:t>
              </m:r>
            </m:e>
          </m:d>
          <m:r>
            <w:rPr>
              <w:rStyle w:val="normaltextrun"/>
              <w:rFonts w:ascii="Cambria Math" w:hAnsi="Cambria Math"/>
              <w:sz w:val="22"/>
              <w:szCs w:val="22"/>
              <w:lang w:val="en-US"/>
            </w:rPr>
            <m:t xml:space="preserve">= </m:t>
          </m:r>
          <m:nary>
            <m:naryPr>
              <m:chr m:val="∑"/>
              <m:limLoc m:val="undOvr"/>
              <m:ctrlPr>
                <w:rPr>
                  <w:rStyle w:val="normaltextrun"/>
                  <w:rFonts w:ascii="Cambria Math" w:hAnsi="Cambria Math"/>
                  <w:i/>
                  <w:sz w:val="22"/>
                  <w:szCs w:val="22"/>
                  <w:lang w:val="en-US"/>
                </w:rPr>
              </m:ctrlPr>
            </m:naryPr>
            <m:sub>
              <m:r>
                <w:rPr>
                  <w:rStyle w:val="normaltextrun"/>
                  <w:rFonts w:ascii="Cambria Math" w:hAnsi="Cambria Math"/>
                  <w:sz w:val="22"/>
                  <w:szCs w:val="22"/>
                  <w:lang w:val="en-US"/>
                </w:rPr>
                <m:t>k=1</m:t>
              </m:r>
            </m:sub>
            <m:sup>
              <m:r>
                <w:rPr>
                  <w:rStyle w:val="normaltextrun"/>
                  <w:rFonts w:ascii="Cambria Math" w:hAnsi="Cambria Math"/>
                  <w:sz w:val="22"/>
                  <w:szCs w:val="22"/>
                  <w:lang w:val="en-US"/>
                </w:rPr>
                <m:t>K</m:t>
              </m:r>
            </m:sup>
            <m:e>
              <m:f>
                <m:fPr>
                  <m:ctrlPr>
                    <w:rPr>
                      <w:rStyle w:val="normaltextrun"/>
                      <w:rFonts w:ascii="Cambria Math" w:hAnsi="Cambria Math"/>
                      <w:i/>
                      <w:sz w:val="22"/>
                      <w:szCs w:val="22"/>
                      <w:lang w:val="en-US"/>
                    </w:rPr>
                  </m:ctrlPr>
                </m:fPr>
                <m:num>
                  <m:r>
                    <w:rPr>
                      <w:rStyle w:val="normaltextrun"/>
                      <w:rFonts w:ascii="Cambria Math" w:hAnsi="Cambria Math"/>
                      <w:sz w:val="22"/>
                      <w:szCs w:val="22"/>
                      <w:lang w:val="en-US"/>
                    </w:rPr>
                    <m:t xml:space="preserve">number observed ⟶transitions at </m:t>
                  </m:r>
                  <m:sSub>
                    <m:sSubPr>
                      <m:ctrlPr>
                        <w:rPr>
                          <w:rStyle w:val="normaltextrun"/>
                          <w:rFonts w:ascii="Cambria Math" w:hAnsi="Cambria Math"/>
                          <w:i/>
                          <w:sz w:val="22"/>
                          <w:szCs w:val="22"/>
                          <w:lang w:val="en-US"/>
                        </w:rPr>
                      </m:ctrlPr>
                    </m:sSubPr>
                    <m:e>
                      <m:r>
                        <w:rPr>
                          <w:rStyle w:val="normaltextrun"/>
                          <w:rFonts w:ascii="Cambria Math" w:hAnsi="Cambria Math"/>
                          <w:sz w:val="22"/>
                          <w:szCs w:val="22"/>
                          <w:lang w:val="en-US"/>
                        </w:rPr>
                        <m:t>t</m:t>
                      </m:r>
                    </m:e>
                    <m:sub>
                      <m:r>
                        <w:rPr>
                          <w:rStyle w:val="normaltextrun"/>
                          <w:rFonts w:ascii="Cambria Math" w:hAnsi="Cambria Math"/>
                          <w:sz w:val="22"/>
                          <w:szCs w:val="22"/>
                          <w:lang w:val="en-US"/>
                        </w:rPr>
                        <m:t>k</m:t>
                      </m:r>
                    </m:sub>
                  </m:sSub>
                </m:num>
                <m:den>
                  <m:r>
                    <w:rPr>
                      <w:rStyle w:val="normaltextrun"/>
                      <w:rFonts w:ascii="Cambria Math" w:hAnsi="Cambria Math"/>
                      <w:sz w:val="22"/>
                      <w:szCs w:val="22"/>
                      <w:lang w:val="en-US"/>
                    </w:rPr>
                    <m:t xml:space="preserve">numer at risk just prior to </m:t>
                  </m:r>
                  <m:sSub>
                    <m:sSubPr>
                      <m:ctrlPr>
                        <w:rPr>
                          <w:rStyle w:val="normaltextrun"/>
                          <w:rFonts w:ascii="Cambria Math" w:hAnsi="Cambria Math"/>
                          <w:i/>
                          <w:sz w:val="22"/>
                          <w:szCs w:val="22"/>
                          <w:lang w:val="en-US"/>
                        </w:rPr>
                      </m:ctrlPr>
                    </m:sSubPr>
                    <m:e>
                      <m:r>
                        <w:rPr>
                          <w:rStyle w:val="normaltextrun"/>
                          <w:rFonts w:ascii="Cambria Math" w:hAnsi="Cambria Math"/>
                          <w:sz w:val="22"/>
                          <w:szCs w:val="22"/>
                          <w:lang w:val="en-US"/>
                        </w:rPr>
                        <m:t>t</m:t>
                      </m:r>
                    </m:e>
                    <m:sub>
                      <m:r>
                        <w:rPr>
                          <w:rStyle w:val="normaltextrun"/>
                          <w:rFonts w:ascii="Cambria Math" w:hAnsi="Cambria Math"/>
                          <w:sz w:val="22"/>
                          <w:szCs w:val="22"/>
                          <w:lang w:val="en-US"/>
                        </w:rPr>
                        <m:t>k</m:t>
                      </m:r>
                    </m:sub>
                  </m:sSub>
                </m:den>
              </m:f>
            </m:e>
          </m:nary>
        </m:oMath>
      </m:oMathPara>
    </w:p>
    <w:p w14:paraId="41DDB3DB" w14:textId="77777777" w:rsidR="006D3944" w:rsidRPr="005C0E80" w:rsidRDefault="006D3944" w:rsidP="006D3944">
      <w:pPr>
        <w:pStyle w:val="paragraph"/>
        <w:spacing w:before="0" w:beforeAutospacing="0" w:after="0" w:afterAutospacing="0" w:line="360" w:lineRule="auto"/>
        <w:jc w:val="both"/>
        <w:textAlignment w:val="baseline"/>
        <w:rPr>
          <w:rStyle w:val="normaltextrun"/>
          <w:sz w:val="22"/>
          <w:szCs w:val="22"/>
          <w:lang w:val="en-US"/>
        </w:rPr>
      </w:pPr>
    </w:p>
    <w:p w14:paraId="340B7C31" w14:textId="692D2CEC" w:rsidR="006D3944" w:rsidRPr="005C0E80" w:rsidRDefault="006D3944" w:rsidP="00BD4734">
      <w:pPr>
        <w:pStyle w:val="paragraph"/>
        <w:spacing w:before="0" w:beforeAutospacing="0" w:after="0" w:afterAutospacing="0" w:line="360" w:lineRule="auto"/>
        <w:jc w:val="both"/>
        <w:textAlignment w:val="baseline"/>
        <w:rPr>
          <w:rStyle w:val="normaltextrun"/>
          <w:sz w:val="22"/>
          <w:szCs w:val="22"/>
          <w:lang w:val="en-US"/>
        </w:rPr>
      </w:pPr>
      <m:oMathPara>
        <m:oMath>
          <m:r>
            <w:rPr>
              <w:rStyle w:val="normaltextrun"/>
              <w:rFonts w:ascii="Cambria Math" w:hAnsi="Cambria Math"/>
              <w:sz w:val="22"/>
              <w:szCs w:val="22"/>
              <w:lang w:val="en-US"/>
            </w:rPr>
            <m:t xml:space="preserve">b) Survival </m:t>
          </m:r>
          <m:d>
            <m:dPr>
              <m:ctrlPr>
                <w:rPr>
                  <w:rStyle w:val="normaltextrun"/>
                  <w:rFonts w:ascii="Cambria Math" w:hAnsi="Cambria Math"/>
                  <w:i/>
                  <w:sz w:val="22"/>
                  <w:szCs w:val="22"/>
                  <w:lang w:val="en-US"/>
                </w:rPr>
              </m:ctrlPr>
            </m:dPr>
            <m:e>
              <m:r>
                <w:rPr>
                  <w:rStyle w:val="normaltextrun"/>
                  <w:rFonts w:ascii="Cambria Math" w:hAnsi="Cambria Math"/>
                  <w:sz w:val="22"/>
                  <w:szCs w:val="22"/>
                  <w:lang w:val="en-US"/>
                </w:rPr>
                <m:t>t</m:t>
              </m:r>
            </m:e>
          </m:d>
          <m:r>
            <w:rPr>
              <w:rStyle w:val="normaltextrun"/>
              <w:rFonts w:ascii="Cambria Math" w:hAnsi="Cambria Math"/>
              <w:sz w:val="22"/>
              <w:szCs w:val="22"/>
              <w:lang w:val="en-US"/>
            </w:rPr>
            <m:t xml:space="preserve">= </m:t>
          </m:r>
          <m:nary>
            <m:naryPr>
              <m:chr m:val="∏"/>
              <m:limLoc m:val="undOvr"/>
              <m:supHide m:val="1"/>
              <m:ctrlPr>
                <w:rPr>
                  <w:rStyle w:val="normaltextrun"/>
                  <w:rFonts w:ascii="Cambria Math" w:hAnsi="Cambria Math"/>
                  <w:i/>
                  <w:sz w:val="22"/>
                  <w:szCs w:val="22"/>
                  <w:lang w:val="en-US"/>
                </w:rPr>
              </m:ctrlPr>
            </m:naryPr>
            <m:sub>
              <m:sSub>
                <m:sSubPr>
                  <m:ctrlPr>
                    <w:rPr>
                      <w:rStyle w:val="normaltextrun"/>
                      <w:rFonts w:ascii="Cambria Math" w:hAnsi="Cambria Math"/>
                      <w:i/>
                      <w:sz w:val="22"/>
                      <w:szCs w:val="22"/>
                      <w:lang w:val="en-US"/>
                    </w:rPr>
                  </m:ctrlPr>
                </m:sSubPr>
                <m:e>
                  <m:r>
                    <w:rPr>
                      <w:rStyle w:val="normaltextrun"/>
                      <w:rFonts w:ascii="Cambria Math" w:hAnsi="Cambria Math"/>
                      <w:sz w:val="22"/>
                      <w:szCs w:val="22"/>
                      <w:lang w:val="en-US"/>
                    </w:rPr>
                    <m:t>t</m:t>
                  </m:r>
                </m:e>
                <m:sub>
                  <m:r>
                    <w:rPr>
                      <w:rStyle w:val="normaltextrun"/>
                      <w:rFonts w:ascii="Cambria Math" w:hAnsi="Cambria Math"/>
                      <w:sz w:val="22"/>
                      <w:szCs w:val="22"/>
                      <w:lang w:val="en-US"/>
                    </w:rPr>
                    <m:t>i</m:t>
                  </m:r>
                </m:sub>
              </m:sSub>
              <m:r>
                <w:rPr>
                  <w:rStyle w:val="normaltextrun"/>
                  <w:rFonts w:ascii="Cambria Math" w:hAnsi="Cambria Math"/>
                  <w:sz w:val="22"/>
                  <w:szCs w:val="22"/>
                  <w:lang w:val="en-US"/>
                </w:rPr>
                <m:t>≤t</m:t>
              </m:r>
            </m:sub>
            <m:sup/>
            <m:e>
              <m:r>
                <w:rPr>
                  <w:rStyle w:val="normaltextrun"/>
                  <w:rFonts w:ascii="Cambria Math" w:hAnsi="Cambria Math"/>
                  <w:sz w:val="22"/>
                  <w:szCs w:val="22"/>
                  <w:lang w:val="en-US"/>
                </w:rPr>
                <m:t xml:space="preserve">(1- </m:t>
              </m:r>
              <m:f>
                <m:fPr>
                  <m:ctrlPr>
                    <w:rPr>
                      <w:rStyle w:val="normaltextrun"/>
                      <w:rFonts w:ascii="Cambria Math" w:hAnsi="Cambria Math"/>
                      <w:i/>
                      <w:sz w:val="22"/>
                      <w:szCs w:val="22"/>
                      <w:lang w:val="en-US"/>
                    </w:rPr>
                  </m:ctrlPr>
                </m:fPr>
                <m:num>
                  <m:sSub>
                    <m:sSubPr>
                      <m:ctrlPr>
                        <w:rPr>
                          <w:rStyle w:val="normaltextrun"/>
                          <w:rFonts w:ascii="Cambria Math" w:hAnsi="Cambria Math"/>
                          <w:i/>
                          <w:sz w:val="22"/>
                          <w:szCs w:val="22"/>
                          <w:lang w:val="en-US"/>
                        </w:rPr>
                      </m:ctrlPr>
                    </m:sSubPr>
                    <m:e>
                      <m:r>
                        <w:rPr>
                          <w:rStyle w:val="normaltextrun"/>
                          <w:rFonts w:ascii="Cambria Math" w:hAnsi="Cambria Math"/>
                          <w:sz w:val="22"/>
                          <w:szCs w:val="22"/>
                          <w:lang w:val="en-US"/>
                        </w:rPr>
                        <m:t>d</m:t>
                      </m:r>
                    </m:e>
                    <m:sub>
                      <m:r>
                        <w:rPr>
                          <w:rStyle w:val="normaltextrun"/>
                          <w:rFonts w:ascii="Cambria Math" w:hAnsi="Cambria Math"/>
                          <w:sz w:val="22"/>
                          <w:szCs w:val="22"/>
                          <w:lang w:val="en-US"/>
                        </w:rPr>
                        <m:t>i</m:t>
                      </m:r>
                    </m:sub>
                  </m:sSub>
                </m:num>
                <m:den>
                  <m:sSub>
                    <m:sSubPr>
                      <m:ctrlPr>
                        <w:rPr>
                          <w:rStyle w:val="normaltextrun"/>
                          <w:rFonts w:ascii="Cambria Math" w:hAnsi="Cambria Math"/>
                          <w:i/>
                          <w:sz w:val="22"/>
                          <w:szCs w:val="22"/>
                          <w:lang w:val="en-US"/>
                        </w:rPr>
                      </m:ctrlPr>
                    </m:sSubPr>
                    <m:e>
                      <m:r>
                        <w:rPr>
                          <w:rStyle w:val="normaltextrun"/>
                          <w:rFonts w:ascii="Cambria Math" w:hAnsi="Cambria Math"/>
                          <w:sz w:val="22"/>
                          <w:szCs w:val="22"/>
                          <w:lang w:val="en-US"/>
                        </w:rPr>
                        <m:t>n</m:t>
                      </m:r>
                    </m:e>
                    <m:sub>
                      <m:r>
                        <w:rPr>
                          <w:rStyle w:val="normaltextrun"/>
                          <w:rFonts w:ascii="Cambria Math" w:hAnsi="Cambria Math"/>
                          <w:sz w:val="22"/>
                          <w:szCs w:val="22"/>
                          <w:lang w:val="en-US"/>
                        </w:rPr>
                        <m:t>i</m:t>
                      </m:r>
                    </m:sub>
                  </m:sSub>
                </m:den>
              </m:f>
            </m:e>
          </m:nary>
          <m:r>
            <w:rPr>
              <w:rStyle w:val="normaltextrun"/>
              <w:rFonts w:ascii="Cambria Math" w:hAnsi="Cambria Math"/>
              <w:sz w:val="22"/>
              <w:szCs w:val="22"/>
              <w:lang w:val="en-US"/>
            </w:rPr>
            <m:t>)</m:t>
          </m:r>
        </m:oMath>
      </m:oMathPara>
    </w:p>
    <w:p w14:paraId="37A839BF" w14:textId="77777777" w:rsidR="006D3944" w:rsidRPr="005C0E80" w:rsidRDefault="006D3944" w:rsidP="006D3944">
      <w:pPr>
        <w:rPr>
          <w:rStyle w:val="normaltextrun"/>
          <w:b/>
          <w:bCs/>
          <w:sz w:val="22"/>
          <w:szCs w:val="22"/>
          <w:lang w:val="en-US"/>
        </w:rPr>
      </w:pPr>
    </w:p>
    <w:p w14:paraId="35FDA076" w14:textId="77777777" w:rsidR="00646CC1" w:rsidRDefault="00646CC1">
      <w:pPr>
        <w:rPr>
          <w:rStyle w:val="normaltextrun"/>
          <w:b/>
          <w:bCs/>
          <w:sz w:val="22"/>
          <w:szCs w:val="22"/>
          <w:lang w:val="en-US"/>
        </w:rPr>
      </w:pPr>
      <w:r>
        <w:rPr>
          <w:rStyle w:val="normaltextrun"/>
          <w:b/>
          <w:bCs/>
          <w:sz w:val="22"/>
          <w:szCs w:val="22"/>
          <w:lang w:val="en-US"/>
        </w:rPr>
        <w:br w:type="page"/>
      </w:r>
    </w:p>
    <w:p w14:paraId="02C9AB5F" w14:textId="43FF58C7" w:rsidR="00027423" w:rsidRPr="000864AC" w:rsidRDefault="00027423" w:rsidP="006D3944">
      <w:pPr>
        <w:rPr>
          <w:rStyle w:val="normaltextrun"/>
          <w:b/>
          <w:bCs/>
          <w:sz w:val="22"/>
          <w:szCs w:val="22"/>
          <w:lang w:val="en-US"/>
        </w:rPr>
      </w:pPr>
      <w:r>
        <w:rPr>
          <w:rStyle w:val="normaltextrun"/>
          <w:b/>
          <w:bCs/>
          <w:sz w:val="22"/>
          <w:szCs w:val="22"/>
          <w:lang w:val="en-US"/>
        </w:rPr>
        <w:lastRenderedPageBreak/>
        <w:t xml:space="preserve">Supplementary Table S1: </w:t>
      </w:r>
      <w:r w:rsidR="00911385">
        <w:rPr>
          <w:rStyle w:val="normaltextrun"/>
          <w:sz w:val="22"/>
          <w:szCs w:val="22"/>
          <w:lang w:val="en-US"/>
        </w:rPr>
        <w:t>Mean (SD) of numeric clinical variables on admission</w:t>
      </w:r>
    </w:p>
    <w:tbl>
      <w:tblPr>
        <w:tblW w:w="8931" w:type="dxa"/>
        <w:jc w:val="center"/>
        <w:tblLayout w:type="fixed"/>
        <w:tblLook w:val="04A0" w:firstRow="1" w:lastRow="0" w:firstColumn="1" w:lastColumn="0" w:noHBand="0" w:noVBand="1"/>
      </w:tblPr>
      <w:tblGrid>
        <w:gridCol w:w="1843"/>
        <w:gridCol w:w="1996"/>
        <w:gridCol w:w="1997"/>
        <w:gridCol w:w="1997"/>
        <w:gridCol w:w="1098"/>
      </w:tblGrid>
      <w:tr w:rsidR="00911385" w:rsidRPr="00911385" w14:paraId="0A114E7E" w14:textId="77777777" w:rsidTr="00BD1F5A">
        <w:trPr>
          <w:trHeight w:val="749"/>
          <w:jc w:val="center"/>
        </w:trPr>
        <w:tc>
          <w:tcPr>
            <w:tcW w:w="1843" w:type="dxa"/>
            <w:tcBorders>
              <w:top w:val="nil"/>
              <w:left w:val="nil"/>
              <w:bottom w:val="nil"/>
              <w:right w:val="nil"/>
            </w:tcBorders>
            <w:shd w:val="clear" w:color="auto" w:fill="auto"/>
            <w:noWrap/>
            <w:vAlign w:val="bottom"/>
            <w:hideMark/>
          </w:tcPr>
          <w:p w14:paraId="67B71AA9" w14:textId="77777777" w:rsidR="00911385" w:rsidRPr="00911385" w:rsidRDefault="00911385" w:rsidP="00911385">
            <w:pPr>
              <w:rPr>
                <w:sz w:val="22"/>
                <w:szCs w:val="22"/>
                <w:lang w:eastAsia="en-GB"/>
              </w:rPr>
            </w:pPr>
          </w:p>
        </w:tc>
        <w:tc>
          <w:tcPr>
            <w:tcW w:w="1996" w:type="dxa"/>
            <w:tcBorders>
              <w:top w:val="nil"/>
              <w:left w:val="nil"/>
              <w:bottom w:val="nil"/>
              <w:right w:val="nil"/>
            </w:tcBorders>
            <w:shd w:val="clear" w:color="auto" w:fill="auto"/>
            <w:vAlign w:val="bottom"/>
            <w:hideMark/>
          </w:tcPr>
          <w:p w14:paraId="7686A1DA" w14:textId="77777777" w:rsidR="00911385" w:rsidRPr="00911385" w:rsidRDefault="00911385" w:rsidP="009F4974">
            <w:pPr>
              <w:jc w:val="center"/>
              <w:rPr>
                <w:b/>
                <w:bCs/>
                <w:color w:val="000000"/>
                <w:sz w:val="22"/>
                <w:szCs w:val="22"/>
                <w:lang w:eastAsia="en-GB"/>
              </w:rPr>
            </w:pPr>
            <w:r w:rsidRPr="00911385">
              <w:rPr>
                <w:b/>
                <w:bCs/>
                <w:color w:val="000000"/>
                <w:sz w:val="22"/>
                <w:szCs w:val="22"/>
                <w:lang w:eastAsia="en-GB"/>
              </w:rPr>
              <w:t>All (n = 615)</w:t>
            </w:r>
          </w:p>
        </w:tc>
        <w:tc>
          <w:tcPr>
            <w:tcW w:w="1997" w:type="dxa"/>
            <w:tcBorders>
              <w:top w:val="nil"/>
              <w:left w:val="nil"/>
              <w:bottom w:val="nil"/>
              <w:right w:val="nil"/>
            </w:tcBorders>
            <w:shd w:val="clear" w:color="auto" w:fill="auto"/>
            <w:vAlign w:val="bottom"/>
            <w:hideMark/>
          </w:tcPr>
          <w:p w14:paraId="25FC2DF2" w14:textId="77777777" w:rsidR="00911385" w:rsidRPr="00911385" w:rsidRDefault="00911385" w:rsidP="009F4974">
            <w:pPr>
              <w:jc w:val="center"/>
              <w:rPr>
                <w:b/>
                <w:bCs/>
                <w:color w:val="000000"/>
                <w:sz w:val="22"/>
                <w:szCs w:val="22"/>
                <w:lang w:eastAsia="en-GB"/>
              </w:rPr>
            </w:pPr>
            <w:r w:rsidRPr="00911385">
              <w:rPr>
                <w:b/>
                <w:bCs/>
                <w:color w:val="000000"/>
                <w:sz w:val="22"/>
                <w:szCs w:val="22"/>
                <w:lang w:eastAsia="en-GB"/>
              </w:rPr>
              <w:t>Discharged (dead) (n = 179)</w:t>
            </w:r>
          </w:p>
        </w:tc>
        <w:tc>
          <w:tcPr>
            <w:tcW w:w="1997" w:type="dxa"/>
            <w:tcBorders>
              <w:top w:val="nil"/>
              <w:left w:val="nil"/>
              <w:bottom w:val="nil"/>
              <w:right w:val="nil"/>
            </w:tcBorders>
            <w:shd w:val="clear" w:color="auto" w:fill="auto"/>
            <w:vAlign w:val="bottom"/>
            <w:hideMark/>
          </w:tcPr>
          <w:p w14:paraId="63D59300" w14:textId="77777777" w:rsidR="00972BED" w:rsidRDefault="00911385" w:rsidP="009F4974">
            <w:pPr>
              <w:jc w:val="center"/>
              <w:rPr>
                <w:b/>
                <w:bCs/>
                <w:color w:val="000000"/>
                <w:sz w:val="22"/>
                <w:szCs w:val="22"/>
                <w:lang w:eastAsia="en-GB"/>
              </w:rPr>
            </w:pPr>
            <w:r w:rsidRPr="00911385">
              <w:rPr>
                <w:b/>
                <w:bCs/>
                <w:color w:val="000000"/>
                <w:sz w:val="22"/>
                <w:szCs w:val="22"/>
                <w:lang w:eastAsia="en-GB"/>
              </w:rPr>
              <w:t xml:space="preserve">Discharged (recovered) </w:t>
            </w:r>
          </w:p>
          <w:p w14:paraId="567B593B" w14:textId="669E5952" w:rsidR="00911385" w:rsidRPr="00911385" w:rsidRDefault="00911385" w:rsidP="009F4974">
            <w:pPr>
              <w:jc w:val="center"/>
              <w:rPr>
                <w:b/>
                <w:bCs/>
                <w:color w:val="000000"/>
                <w:sz w:val="22"/>
                <w:szCs w:val="22"/>
                <w:lang w:eastAsia="en-GB"/>
              </w:rPr>
            </w:pPr>
            <w:r w:rsidRPr="00911385">
              <w:rPr>
                <w:b/>
                <w:bCs/>
                <w:color w:val="000000"/>
                <w:sz w:val="22"/>
                <w:szCs w:val="22"/>
                <w:lang w:eastAsia="en-GB"/>
              </w:rPr>
              <w:t>(n = 381)</w:t>
            </w:r>
          </w:p>
        </w:tc>
        <w:tc>
          <w:tcPr>
            <w:tcW w:w="1098" w:type="dxa"/>
            <w:tcBorders>
              <w:top w:val="nil"/>
              <w:left w:val="nil"/>
              <w:bottom w:val="nil"/>
              <w:right w:val="nil"/>
            </w:tcBorders>
            <w:shd w:val="clear" w:color="auto" w:fill="auto"/>
            <w:vAlign w:val="bottom"/>
            <w:hideMark/>
          </w:tcPr>
          <w:p w14:paraId="551B0EBD" w14:textId="77777777" w:rsidR="00911385" w:rsidRPr="00911385" w:rsidRDefault="00911385" w:rsidP="00911385">
            <w:pPr>
              <w:jc w:val="center"/>
              <w:rPr>
                <w:b/>
                <w:bCs/>
                <w:color w:val="000000"/>
                <w:sz w:val="22"/>
                <w:szCs w:val="22"/>
                <w:lang w:eastAsia="en-GB"/>
              </w:rPr>
            </w:pPr>
            <w:r w:rsidRPr="00911385">
              <w:rPr>
                <w:b/>
                <w:bCs/>
                <w:color w:val="000000"/>
                <w:sz w:val="22"/>
                <w:szCs w:val="22"/>
                <w:lang w:eastAsia="en-GB"/>
              </w:rPr>
              <w:t>p value</w:t>
            </w:r>
          </w:p>
        </w:tc>
      </w:tr>
      <w:tr w:rsidR="00911385" w:rsidRPr="00911385" w14:paraId="27029F9C"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54FCE57B" w14:textId="77777777" w:rsidR="00911385" w:rsidRPr="00911385" w:rsidRDefault="00911385" w:rsidP="00911385">
            <w:pPr>
              <w:rPr>
                <w:color w:val="000000"/>
                <w:sz w:val="22"/>
                <w:szCs w:val="22"/>
                <w:lang w:eastAsia="en-GB"/>
              </w:rPr>
            </w:pPr>
            <w:r w:rsidRPr="00911385">
              <w:rPr>
                <w:color w:val="000000"/>
                <w:sz w:val="22"/>
                <w:szCs w:val="22"/>
                <w:lang w:eastAsia="en-GB"/>
              </w:rPr>
              <w:t>SaO2</w:t>
            </w:r>
          </w:p>
        </w:tc>
        <w:tc>
          <w:tcPr>
            <w:tcW w:w="1996" w:type="dxa"/>
            <w:tcBorders>
              <w:top w:val="nil"/>
              <w:left w:val="nil"/>
              <w:bottom w:val="nil"/>
              <w:right w:val="nil"/>
            </w:tcBorders>
            <w:shd w:val="clear" w:color="auto" w:fill="auto"/>
            <w:noWrap/>
            <w:vAlign w:val="bottom"/>
            <w:hideMark/>
          </w:tcPr>
          <w:p w14:paraId="04FC71E2" w14:textId="77777777" w:rsidR="00911385" w:rsidRPr="00911385" w:rsidRDefault="00911385" w:rsidP="009F4974">
            <w:pPr>
              <w:jc w:val="center"/>
              <w:rPr>
                <w:color w:val="000000"/>
                <w:sz w:val="22"/>
                <w:szCs w:val="22"/>
                <w:lang w:eastAsia="en-GB"/>
              </w:rPr>
            </w:pPr>
            <w:r w:rsidRPr="00911385">
              <w:rPr>
                <w:color w:val="000000"/>
                <w:sz w:val="22"/>
                <w:szCs w:val="22"/>
                <w:lang w:eastAsia="en-GB"/>
              </w:rPr>
              <w:t>94.72 (4.93)</w:t>
            </w:r>
          </w:p>
        </w:tc>
        <w:tc>
          <w:tcPr>
            <w:tcW w:w="1997" w:type="dxa"/>
            <w:tcBorders>
              <w:top w:val="nil"/>
              <w:left w:val="nil"/>
              <w:bottom w:val="nil"/>
              <w:right w:val="nil"/>
            </w:tcBorders>
            <w:shd w:val="clear" w:color="auto" w:fill="auto"/>
            <w:noWrap/>
            <w:vAlign w:val="bottom"/>
            <w:hideMark/>
          </w:tcPr>
          <w:p w14:paraId="63A9A88A" w14:textId="77777777" w:rsidR="00911385" w:rsidRPr="00911385" w:rsidRDefault="00911385" w:rsidP="009F4974">
            <w:pPr>
              <w:jc w:val="center"/>
              <w:rPr>
                <w:color w:val="000000"/>
                <w:sz w:val="22"/>
                <w:szCs w:val="22"/>
                <w:lang w:eastAsia="en-GB"/>
              </w:rPr>
            </w:pPr>
            <w:r w:rsidRPr="00911385">
              <w:rPr>
                <w:color w:val="000000"/>
                <w:sz w:val="22"/>
                <w:szCs w:val="22"/>
                <w:lang w:eastAsia="en-GB"/>
              </w:rPr>
              <w:t>93.41 (5.28)</w:t>
            </w:r>
          </w:p>
        </w:tc>
        <w:tc>
          <w:tcPr>
            <w:tcW w:w="1997" w:type="dxa"/>
            <w:tcBorders>
              <w:top w:val="nil"/>
              <w:left w:val="nil"/>
              <w:bottom w:val="nil"/>
              <w:right w:val="nil"/>
            </w:tcBorders>
            <w:shd w:val="clear" w:color="auto" w:fill="auto"/>
            <w:noWrap/>
            <w:vAlign w:val="bottom"/>
            <w:hideMark/>
          </w:tcPr>
          <w:p w14:paraId="7EB3B43C" w14:textId="77777777" w:rsidR="00911385" w:rsidRPr="00911385" w:rsidRDefault="00911385" w:rsidP="009F4974">
            <w:pPr>
              <w:jc w:val="center"/>
              <w:rPr>
                <w:color w:val="000000"/>
                <w:sz w:val="22"/>
                <w:szCs w:val="22"/>
                <w:lang w:eastAsia="en-GB"/>
              </w:rPr>
            </w:pPr>
            <w:r w:rsidRPr="00911385">
              <w:rPr>
                <w:color w:val="000000"/>
                <w:sz w:val="22"/>
                <w:szCs w:val="22"/>
                <w:lang w:eastAsia="en-GB"/>
              </w:rPr>
              <w:t>95.63 (4.1)</w:t>
            </w:r>
          </w:p>
        </w:tc>
        <w:tc>
          <w:tcPr>
            <w:tcW w:w="1098" w:type="dxa"/>
            <w:tcBorders>
              <w:top w:val="nil"/>
              <w:left w:val="nil"/>
              <w:bottom w:val="nil"/>
              <w:right w:val="nil"/>
            </w:tcBorders>
            <w:shd w:val="clear" w:color="auto" w:fill="auto"/>
            <w:noWrap/>
            <w:vAlign w:val="bottom"/>
            <w:hideMark/>
          </w:tcPr>
          <w:p w14:paraId="4F165689" w14:textId="4CF8909D" w:rsidR="00911385" w:rsidRPr="00911385" w:rsidRDefault="00BD1F5A" w:rsidP="00911385">
            <w:pPr>
              <w:jc w:val="center"/>
              <w:rPr>
                <w:color w:val="000000"/>
                <w:sz w:val="22"/>
                <w:szCs w:val="22"/>
                <w:lang w:eastAsia="en-GB"/>
              </w:rPr>
            </w:pPr>
            <w:r>
              <w:rPr>
                <w:color w:val="000000"/>
                <w:sz w:val="22"/>
                <w:szCs w:val="22"/>
                <w:lang w:eastAsia="en-GB"/>
              </w:rPr>
              <w:t>&lt;</w:t>
            </w:r>
            <w:r w:rsidR="00911385" w:rsidRPr="00911385">
              <w:rPr>
                <w:color w:val="000000"/>
                <w:sz w:val="22"/>
                <w:szCs w:val="22"/>
                <w:lang w:eastAsia="en-GB"/>
              </w:rPr>
              <w:t>0.0</w:t>
            </w:r>
            <w:r>
              <w:rPr>
                <w:color w:val="000000"/>
                <w:sz w:val="22"/>
                <w:szCs w:val="22"/>
                <w:lang w:eastAsia="en-GB"/>
              </w:rPr>
              <w:t>1</w:t>
            </w:r>
          </w:p>
        </w:tc>
      </w:tr>
      <w:tr w:rsidR="00911385" w:rsidRPr="00911385" w14:paraId="58CF5E7B"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2AB1F558" w14:textId="77777777" w:rsidR="00911385" w:rsidRPr="00911385" w:rsidRDefault="00911385" w:rsidP="00911385">
            <w:pPr>
              <w:rPr>
                <w:color w:val="000000"/>
                <w:sz w:val="22"/>
                <w:szCs w:val="22"/>
                <w:lang w:eastAsia="en-GB"/>
              </w:rPr>
            </w:pPr>
            <w:r w:rsidRPr="00911385">
              <w:rPr>
                <w:color w:val="000000"/>
                <w:sz w:val="22"/>
                <w:szCs w:val="22"/>
                <w:lang w:eastAsia="en-GB"/>
              </w:rPr>
              <w:t>Temperature</w:t>
            </w:r>
          </w:p>
        </w:tc>
        <w:tc>
          <w:tcPr>
            <w:tcW w:w="1996" w:type="dxa"/>
            <w:tcBorders>
              <w:top w:val="nil"/>
              <w:left w:val="nil"/>
              <w:bottom w:val="nil"/>
              <w:right w:val="nil"/>
            </w:tcBorders>
            <w:shd w:val="clear" w:color="auto" w:fill="auto"/>
            <w:noWrap/>
            <w:vAlign w:val="bottom"/>
            <w:hideMark/>
          </w:tcPr>
          <w:p w14:paraId="081E0A5D" w14:textId="77777777" w:rsidR="00911385" w:rsidRPr="00911385" w:rsidRDefault="00911385" w:rsidP="009F4974">
            <w:pPr>
              <w:jc w:val="center"/>
              <w:rPr>
                <w:color w:val="000000"/>
                <w:sz w:val="22"/>
                <w:szCs w:val="22"/>
                <w:lang w:eastAsia="en-GB"/>
              </w:rPr>
            </w:pPr>
            <w:r w:rsidRPr="00911385">
              <w:rPr>
                <w:color w:val="000000"/>
                <w:sz w:val="22"/>
                <w:szCs w:val="22"/>
                <w:lang w:eastAsia="en-GB"/>
              </w:rPr>
              <w:t>37.45 (1.1)</w:t>
            </w:r>
          </w:p>
        </w:tc>
        <w:tc>
          <w:tcPr>
            <w:tcW w:w="1997" w:type="dxa"/>
            <w:tcBorders>
              <w:top w:val="nil"/>
              <w:left w:val="nil"/>
              <w:bottom w:val="nil"/>
              <w:right w:val="nil"/>
            </w:tcBorders>
            <w:shd w:val="clear" w:color="auto" w:fill="auto"/>
            <w:noWrap/>
            <w:vAlign w:val="bottom"/>
            <w:hideMark/>
          </w:tcPr>
          <w:p w14:paraId="038039A7" w14:textId="77777777" w:rsidR="00911385" w:rsidRPr="00911385" w:rsidRDefault="00911385" w:rsidP="009F4974">
            <w:pPr>
              <w:jc w:val="center"/>
              <w:rPr>
                <w:color w:val="000000"/>
                <w:sz w:val="22"/>
                <w:szCs w:val="22"/>
                <w:lang w:eastAsia="en-GB"/>
              </w:rPr>
            </w:pPr>
            <w:r w:rsidRPr="00911385">
              <w:rPr>
                <w:color w:val="000000"/>
                <w:sz w:val="22"/>
                <w:szCs w:val="22"/>
                <w:lang w:eastAsia="en-GB"/>
              </w:rPr>
              <w:t>37.52 (1.09)</w:t>
            </w:r>
          </w:p>
        </w:tc>
        <w:tc>
          <w:tcPr>
            <w:tcW w:w="1997" w:type="dxa"/>
            <w:tcBorders>
              <w:top w:val="nil"/>
              <w:left w:val="nil"/>
              <w:bottom w:val="nil"/>
              <w:right w:val="nil"/>
            </w:tcBorders>
            <w:shd w:val="clear" w:color="auto" w:fill="auto"/>
            <w:noWrap/>
            <w:vAlign w:val="bottom"/>
            <w:hideMark/>
          </w:tcPr>
          <w:p w14:paraId="6930610E" w14:textId="77777777" w:rsidR="00911385" w:rsidRPr="00911385" w:rsidRDefault="00911385" w:rsidP="009F4974">
            <w:pPr>
              <w:jc w:val="center"/>
              <w:rPr>
                <w:color w:val="000000"/>
                <w:sz w:val="22"/>
                <w:szCs w:val="22"/>
                <w:lang w:eastAsia="en-GB"/>
              </w:rPr>
            </w:pPr>
            <w:r w:rsidRPr="00911385">
              <w:rPr>
                <w:color w:val="000000"/>
                <w:sz w:val="22"/>
                <w:szCs w:val="22"/>
                <w:lang w:eastAsia="en-GB"/>
              </w:rPr>
              <w:t>37.41 (1.09)</w:t>
            </w:r>
          </w:p>
        </w:tc>
        <w:tc>
          <w:tcPr>
            <w:tcW w:w="1098" w:type="dxa"/>
            <w:tcBorders>
              <w:top w:val="nil"/>
              <w:left w:val="nil"/>
              <w:bottom w:val="nil"/>
              <w:right w:val="nil"/>
            </w:tcBorders>
            <w:shd w:val="clear" w:color="auto" w:fill="auto"/>
            <w:noWrap/>
            <w:vAlign w:val="bottom"/>
            <w:hideMark/>
          </w:tcPr>
          <w:p w14:paraId="0008486E" w14:textId="77777777" w:rsidR="00911385" w:rsidRPr="00911385" w:rsidRDefault="00911385" w:rsidP="00911385">
            <w:pPr>
              <w:jc w:val="center"/>
              <w:rPr>
                <w:color w:val="000000"/>
                <w:sz w:val="22"/>
                <w:szCs w:val="22"/>
                <w:lang w:eastAsia="en-GB"/>
              </w:rPr>
            </w:pPr>
            <w:r w:rsidRPr="00911385">
              <w:rPr>
                <w:color w:val="000000"/>
                <w:sz w:val="22"/>
                <w:szCs w:val="22"/>
                <w:lang w:eastAsia="en-GB"/>
              </w:rPr>
              <w:t>0.27</w:t>
            </w:r>
          </w:p>
        </w:tc>
      </w:tr>
      <w:tr w:rsidR="00BD1F5A" w:rsidRPr="00911385" w14:paraId="64453DDB"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26686935" w14:textId="77777777" w:rsidR="00BD1F5A" w:rsidRPr="00911385" w:rsidRDefault="00BD1F5A" w:rsidP="00BD1F5A">
            <w:pPr>
              <w:rPr>
                <w:color w:val="000000"/>
                <w:sz w:val="22"/>
                <w:szCs w:val="22"/>
                <w:lang w:eastAsia="en-GB"/>
              </w:rPr>
            </w:pPr>
            <w:r w:rsidRPr="00911385">
              <w:rPr>
                <w:color w:val="000000"/>
                <w:sz w:val="22"/>
                <w:szCs w:val="22"/>
                <w:lang w:eastAsia="en-GB"/>
              </w:rPr>
              <w:t>Respiratory rate</w:t>
            </w:r>
          </w:p>
        </w:tc>
        <w:tc>
          <w:tcPr>
            <w:tcW w:w="1996" w:type="dxa"/>
            <w:tcBorders>
              <w:top w:val="nil"/>
              <w:left w:val="nil"/>
              <w:bottom w:val="nil"/>
              <w:right w:val="nil"/>
            </w:tcBorders>
            <w:shd w:val="clear" w:color="auto" w:fill="auto"/>
            <w:noWrap/>
            <w:vAlign w:val="bottom"/>
            <w:hideMark/>
          </w:tcPr>
          <w:p w14:paraId="0E98D32D"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24.24 (7.59)</w:t>
            </w:r>
          </w:p>
        </w:tc>
        <w:tc>
          <w:tcPr>
            <w:tcW w:w="1997" w:type="dxa"/>
            <w:tcBorders>
              <w:top w:val="nil"/>
              <w:left w:val="nil"/>
              <w:bottom w:val="nil"/>
              <w:right w:val="nil"/>
            </w:tcBorders>
            <w:shd w:val="clear" w:color="auto" w:fill="auto"/>
            <w:noWrap/>
            <w:vAlign w:val="bottom"/>
            <w:hideMark/>
          </w:tcPr>
          <w:p w14:paraId="17EA0C50"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25.18 (7.45)</w:t>
            </w:r>
          </w:p>
        </w:tc>
        <w:tc>
          <w:tcPr>
            <w:tcW w:w="1997" w:type="dxa"/>
            <w:tcBorders>
              <w:top w:val="nil"/>
              <w:left w:val="nil"/>
              <w:bottom w:val="nil"/>
              <w:right w:val="nil"/>
            </w:tcBorders>
            <w:shd w:val="clear" w:color="auto" w:fill="auto"/>
            <w:noWrap/>
            <w:vAlign w:val="bottom"/>
            <w:hideMark/>
          </w:tcPr>
          <w:p w14:paraId="08E71DED"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23.51 (7.47)</w:t>
            </w:r>
          </w:p>
        </w:tc>
        <w:tc>
          <w:tcPr>
            <w:tcW w:w="1098" w:type="dxa"/>
            <w:tcBorders>
              <w:top w:val="nil"/>
              <w:left w:val="nil"/>
              <w:bottom w:val="nil"/>
              <w:right w:val="nil"/>
            </w:tcBorders>
            <w:shd w:val="clear" w:color="auto" w:fill="auto"/>
            <w:noWrap/>
            <w:vAlign w:val="bottom"/>
            <w:hideMark/>
          </w:tcPr>
          <w:p w14:paraId="2573BDCE" w14:textId="531D102C"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911385" w:rsidRPr="00911385" w14:paraId="201B382F"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4F62F956" w14:textId="77777777" w:rsidR="00911385" w:rsidRPr="00911385" w:rsidRDefault="00911385" w:rsidP="00911385">
            <w:pPr>
              <w:rPr>
                <w:color w:val="000000"/>
                <w:sz w:val="22"/>
                <w:szCs w:val="22"/>
                <w:lang w:eastAsia="en-GB"/>
              </w:rPr>
            </w:pPr>
            <w:r w:rsidRPr="00911385">
              <w:rPr>
                <w:color w:val="000000"/>
                <w:sz w:val="22"/>
                <w:szCs w:val="22"/>
                <w:lang w:eastAsia="en-GB"/>
              </w:rPr>
              <w:t>Pulse</w:t>
            </w:r>
          </w:p>
        </w:tc>
        <w:tc>
          <w:tcPr>
            <w:tcW w:w="1996" w:type="dxa"/>
            <w:tcBorders>
              <w:top w:val="nil"/>
              <w:left w:val="nil"/>
              <w:bottom w:val="nil"/>
              <w:right w:val="nil"/>
            </w:tcBorders>
            <w:shd w:val="clear" w:color="auto" w:fill="auto"/>
            <w:noWrap/>
            <w:vAlign w:val="bottom"/>
            <w:hideMark/>
          </w:tcPr>
          <w:p w14:paraId="23043EF9" w14:textId="77777777" w:rsidR="00911385" w:rsidRPr="00911385" w:rsidRDefault="00911385" w:rsidP="009F4974">
            <w:pPr>
              <w:jc w:val="center"/>
              <w:rPr>
                <w:color w:val="000000"/>
                <w:sz w:val="22"/>
                <w:szCs w:val="22"/>
                <w:lang w:eastAsia="en-GB"/>
              </w:rPr>
            </w:pPr>
            <w:r w:rsidRPr="00911385">
              <w:rPr>
                <w:color w:val="000000"/>
                <w:sz w:val="22"/>
                <w:szCs w:val="22"/>
                <w:lang w:eastAsia="en-GB"/>
              </w:rPr>
              <w:t>94.8 (19.3)</w:t>
            </w:r>
          </w:p>
        </w:tc>
        <w:tc>
          <w:tcPr>
            <w:tcW w:w="1997" w:type="dxa"/>
            <w:tcBorders>
              <w:top w:val="nil"/>
              <w:left w:val="nil"/>
              <w:bottom w:val="nil"/>
              <w:right w:val="nil"/>
            </w:tcBorders>
            <w:shd w:val="clear" w:color="auto" w:fill="auto"/>
            <w:noWrap/>
            <w:vAlign w:val="bottom"/>
            <w:hideMark/>
          </w:tcPr>
          <w:p w14:paraId="74F08B0E" w14:textId="77777777" w:rsidR="00911385" w:rsidRPr="00911385" w:rsidRDefault="00911385" w:rsidP="009F4974">
            <w:pPr>
              <w:jc w:val="center"/>
              <w:rPr>
                <w:color w:val="000000"/>
                <w:sz w:val="22"/>
                <w:szCs w:val="22"/>
                <w:lang w:eastAsia="en-GB"/>
              </w:rPr>
            </w:pPr>
            <w:r w:rsidRPr="00911385">
              <w:rPr>
                <w:color w:val="000000"/>
                <w:sz w:val="22"/>
                <w:szCs w:val="22"/>
                <w:lang w:eastAsia="en-GB"/>
              </w:rPr>
              <w:t>95.96 (19.03)</w:t>
            </w:r>
          </w:p>
        </w:tc>
        <w:tc>
          <w:tcPr>
            <w:tcW w:w="1997" w:type="dxa"/>
            <w:tcBorders>
              <w:top w:val="nil"/>
              <w:left w:val="nil"/>
              <w:bottom w:val="nil"/>
              <w:right w:val="nil"/>
            </w:tcBorders>
            <w:shd w:val="clear" w:color="auto" w:fill="auto"/>
            <w:noWrap/>
            <w:vAlign w:val="bottom"/>
            <w:hideMark/>
          </w:tcPr>
          <w:p w14:paraId="4B13858E" w14:textId="77777777" w:rsidR="00911385" w:rsidRPr="00911385" w:rsidRDefault="00911385" w:rsidP="009F4974">
            <w:pPr>
              <w:jc w:val="center"/>
              <w:rPr>
                <w:color w:val="000000"/>
                <w:sz w:val="22"/>
                <w:szCs w:val="22"/>
                <w:lang w:eastAsia="en-GB"/>
              </w:rPr>
            </w:pPr>
            <w:r w:rsidRPr="00911385">
              <w:rPr>
                <w:color w:val="000000"/>
                <w:sz w:val="22"/>
                <w:szCs w:val="22"/>
                <w:lang w:eastAsia="en-GB"/>
              </w:rPr>
              <w:t>93.99 (19.88)</w:t>
            </w:r>
          </w:p>
        </w:tc>
        <w:tc>
          <w:tcPr>
            <w:tcW w:w="1098" w:type="dxa"/>
            <w:tcBorders>
              <w:top w:val="nil"/>
              <w:left w:val="nil"/>
              <w:bottom w:val="nil"/>
              <w:right w:val="nil"/>
            </w:tcBorders>
            <w:shd w:val="clear" w:color="auto" w:fill="auto"/>
            <w:noWrap/>
            <w:vAlign w:val="bottom"/>
            <w:hideMark/>
          </w:tcPr>
          <w:p w14:paraId="46F780F6" w14:textId="77777777" w:rsidR="00911385" w:rsidRPr="00911385" w:rsidRDefault="00911385" w:rsidP="00911385">
            <w:pPr>
              <w:jc w:val="center"/>
              <w:rPr>
                <w:color w:val="000000"/>
                <w:sz w:val="22"/>
                <w:szCs w:val="22"/>
                <w:lang w:eastAsia="en-GB"/>
              </w:rPr>
            </w:pPr>
            <w:r w:rsidRPr="00911385">
              <w:rPr>
                <w:color w:val="000000"/>
                <w:sz w:val="22"/>
                <w:szCs w:val="22"/>
                <w:lang w:eastAsia="en-GB"/>
              </w:rPr>
              <w:t>0.26</w:t>
            </w:r>
          </w:p>
        </w:tc>
      </w:tr>
      <w:tr w:rsidR="00911385" w:rsidRPr="00911385" w14:paraId="0433A853"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4F471C3E" w14:textId="77777777" w:rsidR="00911385" w:rsidRPr="00911385" w:rsidRDefault="00911385" w:rsidP="00911385">
            <w:pPr>
              <w:rPr>
                <w:color w:val="000000"/>
                <w:sz w:val="22"/>
                <w:szCs w:val="22"/>
                <w:lang w:eastAsia="en-GB"/>
              </w:rPr>
            </w:pPr>
            <w:r w:rsidRPr="00911385">
              <w:rPr>
                <w:color w:val="000000"/>
                <w:sz w:val="22"/>
                <w:szCs w:val="22"/>
                <w:lang w:eastAsia="en-GB"/>
              </w:rPr>
              <w:t>MAP</w:t>
            </w:r>
          </w:p>
        </w:tc>
        <w:tc>
          <w:tcPr>
            <w:tcW w:w="1996" w:type="dxa"/>
            <w:tcBorders>
              <w:top w:val="nil"/>
              <w:left w:val="nil"/>
              <w:bottom w:val="nil"/>
              <w:right w:val="nil"/>
            </w:tcBorders>
            <w:shd w:val="clear" w:color="auto" w:fill="auto"/>
            <w:noWrap/>
            <w:vAlign w:val="bottom"/>
            <w:hideMark/>
          </w:tcPr>
          <w:p w14:paraId="76136710" w14:textId="77777777" w:rsidR="00911385" w:rsidRPr="00911385" w:rsidRDefault="00911385" w:rsidP="009F4974">
            <w:pPr>
              <w:jc w:val="center"/>
              <w:rPr>
                <w:color w:val="000000"/>
                <w:sz w:val="22"/>
                <w:szCs w:val="22"/>
                <w:lang w:eastAsia="en-GB"/>
              </w:rPr>
            </w:pPr>
            <w:r w:rsidRPr="00911385">
              <w:rPr>
                <w:color w:val="000000"/>
                <w:sz w:val="22"/>
                <w:szCs w:val="22"/>
                <w:lang w:eastAsia="en-GB"/>
              </w:rPr>
              <w:t>94.53 (16.88)</w:t>
            </w:r>
          </w:p>
        </w:tc>
        <w:tc>
          <w:tcPr>
            <w:tcW w:w="1997" w:type="dxa"/>
            <w:tcBorders>
              <w:top w:val="nil"/>
              <w:left w:val="nil"/>
              <w:bottom w:val="nil"/>
              <w:right w:val="nil"/>
            </w:tcBorders>
            <w:shd w:val="clear" w:color="auto" w:fill="auto"/>
            <w:noWrap/>
            <w:vAlign w:val="bottom"/>
            <w:hideMark/>
          </w:tcPr>
          <w:p w14:paraId="6165CA45" w14:textId="77777777" w:rsidR="00911385" w:rsidRPr="00911385" w:rsidRDefault="00911385" w:rsidP="009F4974">
            <w:pPr>
              <w:jc w:val="center"/>
              <w:rPr>
                <w:color w:val="000000"/>
                <w:sz w:val="22"/>
                <w:szCs w:val="22"/>
                <w:lang w:eastAsia="en-GB"/>
              </w:rPr>
            </w:pPr>
            <w:r w:rsidRPr="00911385">
              <w:rPr>
                <w:color w:val="000000"/>
                <w:sz w:val="22"/>
                <w:szCs w:val="22"/>
                <w:lang w:eastAsia="en-GB"/>
              </w:rPr>
              <w:t>92.81 (19.57)</w:t>
            </w:r>
          </w:p>
        </w:tc>
        <w:tc>
          <w:tcPr>
            <w:tcW w:w="1997" w:type="dxa"/>
            <w:tcBorders>
              <w:top w:val="nil"/>
              <w:left w:val="nil"/>
              <w:bottom w:val="nil"/>
              <w:right w:val="nil"/>
            </w:tcBorders>
            <w:shd w:val="clear" w:color="auto" w:fill="auto"/>
            <w:noWrap/>
            <w:vAlign w:val="bottom"/>
            <w:hideMark/>
          </w:tcPr>
          <w:p w14:paraId="190DA3D8" w14:textId="77777777" w:rsidR="00911385" w:rsidRPr="00911385" w:rsidRDefault="00911385" w:rsidP="009F4974">
            <w:pPr>
              <w:jc w:val="center"/>
              <w:rPr>
                <w:color w:val="000000"/>
                <w:sz w:val="22"/>
                <w:szCs w:val="22"/>
                <w:lang w:eastAsia="en-GB"/>
              </w:rPr>
            </w:pPr>
            <w:r w:rsidRPr="00911385">
              <w:rPr>
                <w:color w:val="000000"/>
                <w:sz w:val="22"/>
                <w:szCs w:val="22"/>
                <w:lang w:eastAsia="en-GB"/>
              </w:rPr>
              <w:t>95.03 (15.44)</w:t>
            </w:r>
          </w:p>
        </w:tc>
        <w:tc>
          <w:tcPr>
            <w:tcW w:w="1098" w:type="dxa"/>
            <w:tcBorders>
              <w:top w:val="nil"/>
              <w:left w:val="nil"/>
              <w:bottom w:val="nil"/>
              <w:right w:val="nil"/>
            </w:tcBorders>
            <w:shd w:val="clear" w:color="auto" w:fill="auto"/>
            <w:noWrap/>
            <w:vAlign w:val="bottom"/>
            <w:hideMark/>
          </w:tcPr>
          <w:p w14:paraId="3B5342BA" w14:textId="77777777" w:rsidR="00911385" w:rsidRPr="00911385" w:rsidRDefault="00911385" w:rsidP="00911385">
            <w:pPr>
              <w:jc w:val="center"/>
              <w:rPr>
                <w:color w:val="000000"/>
                <w:sz w:val="22"/>
                <w:szCs w:val="22"/>
                <w:lang w:eastAsia="en-GB"/>
              </w:rPr>
            </w:pPr>
            <w:r w:rsidRPr="00911385">
              <w:rPr>
                <w:color w:val="000000"/>
                <w:sz w:val="22"/>
                <w:szCs w:val="22"/>
                <w:lang w:eastAsia="en-GB"/>
              </w:rPr>
              <w:t>0.18</w:t>
            </w:r>
          </w:p>
        </w:tc>
      </w:tr>
      <w:tr w:rsidR="00BD1F5A" w:rsidRPr="00911385" w14:paraId="5032C6A4"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4CCD27F5" w14:textId="77777777" w:rsidR="00BD1F5A" w:rsidRPr="00911385" w:rsidRDefault="00BD1F5A" w:rsidP="00BD1F5A">
            <w:pPr>
              <w:rPr>
                <w:color w:val="000000"/>
                <w:sz w:val="22"/>
                <w:szCs w:val="22"/>
                <w:lang w:eastAsia="en-GB"/>
              </w:rPr>
            </w:pPr>
            <w:r w:rsidRPr="00911385">
              <w:rPr>
                <w:color w:val="000000"/>
                <w:sz w:val="22"/>
                <w:szCs w:val="22"/>
                <w:lang w:eastAsia="en-GB"/>
              </w:rPr>
              <w:t>NEWS-2</w:t>
            </w:r>
          </w:p>
        </w:tc>
        <w:tc>
          <w:tcPr>
            <w:tcW w:w="1996" w:type="dxa"/>
            <w:tcBorders>
              <w:top w:val="nil"/>
              <w:left w:val="nil"/>
              <w:bottom w:val="nil"/>
              <w:right w:val="nil"/>
            </w:tcBorders>
            <w:shd w:val="clear" w:color="auto" w:fill="auto"/>
            <w:noWrap/>
            <w:vAlign w:val="bottom"/>
            <w:hideMark/>
          </w:tcPr>
          <w:p w14:paraId="7582B77F" w14:textId="77777777" w:rsidR="00BD1F5A" w:rsidRPr="00911385" w:rsidRDefault="00BD1F5A" w:rsidP="00BD1F5A">
            <w:pPr>
              <w:jc w:val="center"/>
              <w:rPr>
                <w:color w:val="000000"/>
                <w:sz w:val="22"/>
                <w:szCs w:val="22"/>
                <w:lang w:eastAsia="en-GB"/>
              </w:rPr>
            </w:pPr>
            <w:r w:rsidRPr="00911385">
              <w:rPr>
                <w:color w:val="000000"/>
                <w:sz w:val="22"/>
                <w:szCs w:val="22"/>
                <w:lang w:eastAsia="en-GB"/>
              </w:rPr>
              <w:t>5.08 (3.09)</w:t>
            </w:r>
          </w:p>
        </w:tc>
        <w:tc>
          <w:tcPr>
            <w:tcW w:w="1997" w:type="dxa"/>
            <w:tcBorders>
              <w:top w:val="nil"/>
              <w:left w:val="nil"/>
              <w:bottom w:val="nil"/>
              <w:right w:val="nil"/>
            </w:tcBorders>
            <w:shd w:val="clear" w:color="auto" w:fill="auto"/>
            <w:noWrap/>
            <w:vAlign w:val="bottom"/>
            <w:hideMark/>
          </w:tcPr>
          <w:p w14:paraId="32C666A5" w14:textId="77777777" w:rsidR="00BD1F5A" w:rsidRPr="00911385" w:rsidRDefault="00BD1F5A" w:rsidP="00BD1F5A">
            <w:pPr>
              <w:jc w:val="center"/>
              <w:rPr>
                <w:color w:val="000000"/>
                <w:sz w:val="22"/>
                <w:szCs w:val="22"/>
                <w:lang w:eastAsia="en-GB"/>
              </w:rPr>
            </w:pPr>
            <w:r w:rsidRPr="00911385">
              <w:rPr>
                <w:color w:val="000000"/>
                <w:sz w:val="22"/>
                <w:szCs w:val="22"/>
                <w:lang w:eastAsia="en-GB"/>
              </w:rPr>
              <w:t>6.23 (3.21)</w:t>
            </w:r>
          </w:p>
        </w:tc>
        <w:tc>
          <w:tcPr>
            <w:tcW w:w="1997" w:type="dxa"/>
            <w:tcBorders>
              <w:top w:val="nil"/>
              <w:left w:val="nil"/>
              <w:bottom w:val="nil"/>
              <w:right w:val="nil"/>
            </w:tcBorders>
            <w:shd w:val="clear" w:color="auto" w:fill="auto"/>
            <w:noWrap/>
            <w:vAlign w:val="bottom"/>
            <w:hideMark/>
          </w:tcPr>
          <w:p w14:paraId="005C83D0" w14:textId="77777777" w:rsidR="00BD1F5A" w:rsidRPr="00911385" w:rsidRDefault="00BD1F5A" w:rsidP="00BD1F5A">
            <w:pPr>
              <w:jc w:val="center"/>
              <w:rPr>
                <w:color w:val="000000"/>
                <w:sz w:val="22"/>
                <w:szCs w:val="22"/>
                <w:lang w:eastAsia="en-GB"/>
              </w:rPr>
            </w:pPr>
            <w:r w:rsidRPr="00911385">
              <w:rPr>
                <w:color w:val="000000"/>
                <w:sz w:val="22"/>
                <w:szCs w:val="22"/>
                <w:lang w:eastAsia="en-GB"/>
              </w:rPr>
              <w:t>4.43 (2.77)</w:t>
            </w:r>
          </w:p>
        </w:tc>
        <w:tc>
          <w:tcPr>
            <w:tcW w:w="1098" w:type="dxa"/>
            <w:tcBorders>
              <w:top w:val="nil"/>
              <w:left w:val="nil"/>
              <w:bottom w:val="nil"/>
              <w:right w:val="nil"/>
            </w:tcBorders>
            <w:shd w:val="clear" w:color="auto" w:fill="auto"/>
            <w:noWrap/>
            <w:vAlign w:val="bottom"/>
            <w:hideMark/>
          </w:tcPr>
          <w:p w14:paraId="78397B0E" w14:textId="5D8A0D86"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911385" w:rsidRPr="00911385" w14:paraId="4B4C64C2"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46FB61DC" w14:textId="77777777" w:rsidR="00911385" w:rsidRPr="00911385" w:rsidRDefault="00911385" w:rsidP="00911385">
            <w:pPr>
              <w:rPr>
                <w:color w:val="000000"/>
                <w:sz w:val="22"/>
                <w:szCs w:val="22"/>
                <w:lang w:eastAsia="en-GB"/>
              </w:rPr>
            </w:pPr>
            <w:r w:rsidRPr="00911385">
              <w:rPr>
                <w:color w:val="000000"/>
                <w:sz w:val="22"/>
                <w:szCs w:val="22"/>
                <w:lang w:eastAsia="en-GB"/>
              </w:rPr>
              <w:t>BMI</w:t>
            </w:r>
          </w:p>
        </w:tc>
        <w:tc>
          <w:tcPr>
            <w:tcW w:w="1996" w:type="dxa"/>
            <w:tcBorders>
              <w:top w:val="nil"/>
              <w:left w:val="nil"/>
              <w:bottom w:val="nil"/>
              <w:right w:val="nil"/>
            </w:tcBorders>
            <w:shd w:val="clear" w:color="auto" w:fill="auto"/>
            <w:noWrap/>
            <w:vAlign w:val="bottom"/>
            <w:hideMark/>
          </w:tcPr>
          <w:p w14:paraId="34E61E6C" w14:textId="77777777" w:rsidR="00911385" w:rsidRPr="00911385" w:rsidRDefault="00911385" w:rsidP="009F4974">
            <w:pPr>
              <w:jc w:val="center"/>
              <w:rPr>
                <w:color w:val="000000"/>
                <w:sz w:val="22"/>
                <w:szCs w:val="22"/>
                <w:lang w:eastAsia="en-GB"/>
              </w:rPr>
            </w:pPr>
            <w:r w:rsidRPr="00911385">
              <w:rPr>
                <w:color w:val="000000"/>
                <w:sz w:val="22"/>
                <w:szCs w:val="22"/>
                <w:lang w:eastAsia="en-GB"/>
              </w:rPr>
              <w:t>28.85 (7.23)</w:t>
            </w:r>
          </w:p>
        </w:tc>
        <w:tc>
          <w:tcPr>
            <w:tcW w:w="1997" w:type="dxa"/>
            <w:tcBorders>
              <w:top w:val="nil"/>
              <w:left w:val="nil"/>
              <w:bottom w:val="nil"/>
              <w:right w:val="nil"/>
            </w:tcBorders>
            <w:shd w:val="clear" w:color="auto" w:fill="auto"/>
            <w:noWrap/>
            <w:vAlign w:val="bottom"/>
            <w:hideMark/>
          </w:tcPr>
          <w:p w14:paraId="7B29E57B" w14:textId="77777777" w:rsidR="00911385" w:rsidRPr="00911385" w:rsidRDefault="00911385" w:rsidP="009F4974">
            <w:pPr>
              <w:jc w:val="center"/>
              <w:rPr>
                <w:color w:val="000000"/>
                <w:sz w:val="22"/>
                <w:szCs w:val="22"/>
                <w:lang w:eastAsia="en-GB"/>
              </w:rPr>
            </w:pPr>
            <w:r w:rsidRPr="00911385">
              <w:rPr>
                <w:color w:val="000000"/>
                <w:sz w:val="22"/>
                <w:szCs w:val="22"/>
                <w:lang w:eastAsia="en-GB"/>
              </w:rPr>
              <w:t>29.47 (8.23)</w:t>
            </w:r>
          </w:p>
        </w:tc>
        <w:tc>
          <w:tcPr>
            <w:tcW w:w="1997" w:type="dxa"/>
            <w:tcBorders>
              <w:top w:val="nil"/>
              <w:left w:val="nil"/>
              <w:bottom w:val="nil"/>
              <w:right w:val="nil"/>
            </w:tcBorders>
            <w:shd w:val="clear" w:color="auto" w:fill="auto"/>
            <w:noWrap/>
            <w:vAlign w:val="bottom"/>
            <w:hideMark/>
          </w:tcPr>
          <w:p w14:paraId="11558E22" w14:textId="77777777" w:rsidR="00911385" w:rsidRPr="00911385" w:rsidRDefault="00911385" w:rsidP="009F4974">
            <w:pPr>
              <w:jc w:val="center"/>
              <w:rPr>
                <w:color w:val="000000"/>
                <w:sz w:val="22"/>
                <w:szCs w:val="22"/>
                <w:lang w:eastAsia="en-GB"/>
              </w:rPr>
            </w:pPr>
            <w:r w:rsidRPr="00911385">
              <w:rPr>
                <w:color w:val="000000"/>
                <w:sz w:val="22"/>
                <w:szCs w:val="22"/>
                <w:lang w:eastAsia="en-GB"/>
              </w:rPr>
              <w:t>28.62 (6.76)</w:t>
            </w:r>
          </w:p>
        </w:tc>
        <w:tc>
          <w:tcPr>
            <w:tcW w:w="1098" w:type="dxa"/>
            <w:tcBorders>
              <w:top w:val="nil"/>
              <w:left w:val="nil"/>
              <w:bottom w:val="nil"/>
              <w:right w:val="nil"/>
            </w:tcBorders>
            <w:shd w:val="clear" w:color="auto" w:fill="auto"/>
            <w:noWrap/>
            <w:vAlign w:val="bottom"/>
            <w:hideMark/>
          </w:tcPr>
          <w:p w14:paraId="1A3A57F0" w14:textId="77777777" w:rsidR="00911385" w:rsidRPr="00911385" w:rsidRDefault="00911385" w:rsidP="00911385">
            <w:pPr>
              <w:jc w:val="center"/>
              <w:rPr>
                <w:color w:val="000000"/>
                <w:sz w:val="22"/>
                <w:szCs w:val="22"/>
                <w:lang w:eastAsia="en-GB"/>
              </w:rPr>
            </w:pPr>
            <w:r w:rsidRPr="00911385">
              <w:rPr>
                <w:color w:val="000000"/>
                <w:sz w:val="22"/>
                <w:szCs w:val="22"/>
                <w:lang w:eastAsia="en-GB"/>
              </w:rPr>
              <w:t>0.38</w:t>
            </w:r>
          </w:p>
        </w:tc>
      </w:tr>
      <w:tr w:rsidR="00911385" w:rsidRPr="00911385" w14:paraId="2ED575F3"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4CC246C2" w14:textId="77777777" w:rsidR="00911385" w:rsidRPr="00911385" w:rsidRDefault="00911385" w:rsidP="00911385">
            <w:pPr>
              <w:rPr>
                <w:color w:val="000000"/>
                <w:sz w:val="22"/>
                <w:szCs w:val="22"/>
                <w:lang w:eastAsia="en-GB"/>
              </w:rPr>
            </w:pPr>
            <w:r w:rsidRPr="00911385">
              <w:rPr>
                <w:color w:val="000000"/>
                <w:sz w:val="22"/>
                <w:szCs w:val="22"/>
                <w:lang w:eastAsia="en-GB"/>
              </w:rPr>
              <w:t>Haemoglobin</w:t>
            </w:r>
          </w:p>
        </w:tc>
        <w:tc>
          <w:tcPr>
            <w:tcW w:w="1996" w:type="dxa"/>
            <w:tcBorders>
              <w:top w:val="nil"/>
              <w:left w:val="nil"/>
              <w:bottom w:val="nil"/>
              <w:right w:val="nil"/>
            </w:tcBorders>
            <w:shd w:val="clear" w:color="auto" w:fill="auto"/>
            <w:noWrap/>
            <w:vAlign w:val="bottom"/>
            <w:hideMark/>
          </w:tcPr>
          <w:p w14:paraId="542169FA" w14:textId="77777777" w:rsidR="00911385" w:rsidRPr="00911385" w:rsidRDefault="00911385" w:rsidP="009F4974">
            <w:pPr>
              <w:jc w:val="center"/>
              <w:rPr>
                <w:color w:val="000000"/>
                <w:sz w:val="22"/>
                <w:szCs w:val="22"/>
                <w:lang w:eastAsia="en-GB"/>
              </w:rPr>
            </w:pPr>
            <w:r w:rsidRPr="00911385">
              <w:rPr>
                <w:color w:val="000000"/>
                <w:sz w:val="22"/>
                <w:szCs w:val="22"/>
                <w:lang w:eastAsia="en-GB"/>
              </w:rPr>
              <w:t>132.6 (19.58)</w:t>
            </w:r>
          </w:p>
        </w:tc>
        <w:tc>
          <w:tcPr>
            <w:tcW w:w="1997" w:type="dxa"/>
            <w:tcBorders>
              <w:top w:val="nil"/>
              <w:left w:val="nil"/>
              <w:bottom w:val="nil"/>
              <w:right w:val="nil"/>
            </w:tcBorders>
            <w:shd w:val="clear" w:color="auto" w:fill="auto"/>
            <w:noWrap/>
            <w:vAlign w:val="bottom"/>
            <w:hideMark/>
          </w:tcPr>
          <w:p w14:paraId="20EB6C12" w14:textId="77777777" w:rsidR="00911385" w:rsidRPr="00911385" w:rsidRDefault="00911385" w:rsidP="009F4974">
            <w:pPr>
              <w:jc w:val="center"/>
              <w:rPr>
                <w:color w:val="000000"/>
                <w:sz w:val="22"/>
                <w:szCs w:val="22"/>
                <w:lang w:eastAsia="en-GB"/>
              </w:rPr>
            </w:pPr>
            <w:r w:rsidRPr="00911385">
              <w:rPr>
                <w:color w:val="000000"/>
                <w:sz w:val="22"/>
                <w:szCs w:val="22"/>
                <w:lang w:eastAsia="en-GB"/>
              </w:rPr>
              <w:t>129.57 (20.48)</w:t>
            </w:r>
          </w:p>
        </w:tc>
        <w:tc>
          <w:tcPr>
            <w:tcW w:w="1997" w:type="dxa"/>
            <w:tcBorders>
              <w:top w:val="nil"/>
              <w:left w:val="nil"/>
              <w:bottom w:val="nil"/>
              <w:right w:val="nil"/>
            </w:tcBorders>
            <w:shd w:val="clear" w:color="auto" w:fill="auto"/>
            <w:noWrap/>
            <w:vAlign w:val="bottom"/>
            <w:hideMark/>
          </w:tcPr>
          <w:p w14:paraId="029DB6A0" w14:textId="77777777" w:rsidR="00911385" w:rsidRPr="00911385" w:rsidRDefault="00911385" w:rsidP="009F4974">
            <w:pPr>
              <w:jc w:val="center"/>
              <w:rPr>
                <w:color w:val="000000"/>
                <w:sz w:val="22"/>
                <w:szCs w:val="22"/>
                <w:lang w:eastAsia="en-GB"/>
              </w:rPr>
            </w:pPr>
            <w:r w:rsidRPr="00911385">
              <w:rPr>
                <w:color w:val="000000"/>
                <w:sz w:val="22"/>
                <w:szCs w:val="22"/>
                <w:lang w:eastAsia="en-GB"/>
              </w:rPr>
              <w:t>133.47 (19.01)</w:t>
            </w:r>
          </w:p>
        </w:tc>
        <w:tc>
          <w:tcPr>
            <w:tcW w:w="1098" w:type="dxa"/>
            <w:tcBorders>
              <w:top w:val="nil"/>
              <w:left w:val="nil"/>
              <w:bottom w:val="nil"/>
              <w:right w:val="nil"/>
            </w:tcBorders>
            <w:shd w:val="clear" w:color="auto" w:fill="auto"/>
            <w:noWrap/>
            <w:vAlign w:val="bottom"/>
            <w:hideMark/>
          </w:tcPr>
          <w:p w14:paraId="7773C18F" w14:textId="77777777" w:rsidR="00911385" w:rsidRPr="00911385" w:rsidRDefault="00911385" w:rsidP="00911385">
            <w:pPr>
              <w:jc w:val="center"/>
              <w:rPr>
                <w:color w:val="000000"/>
                <w:sz w:val="22"/>
                <w:szCs w:val="22"/>
                <w:lang w:eastAsia="en-GB"/>
              </w:rPr>
            </w:pPr>
            <w:r w:rsidRPr="00911385">
              <w:rPr>
                <w:color w:val="000000"/>
                <w:sz w:val="22"/>
                <w:szCs w:val="22"/>
                <w:lang w:eastAsia="en-GB"/>
              </w:rPr>
              <w:t>0.03</w:t>
            </w:r>
          </w:p>
        </w:tc>
      </w:tr>
      <w:tr w:rsidR="00911385" w:rsidRPr="00911385" w14:paraId="185ECC6C"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4E1AC484" w14:textId="77777777" w:rsidR="00911385" w:rsidRPr="00911385" w:rsidRDefault="00911385" w:rsidP="00911385">
            <w:pPr>
              <w:rPr>
                <w:color w:val="000000"/>
                <w:sz w:val="22"/>
                <w:szCs w:val="22"/>
                <w:lang w:eastAsia="en-GB"/>
              </w:rPr>
            </w:pPr>
            <w:r w:rsidRPr="00911385">
              <w:rPr>
                <w:color w:val="000000"/>
                <w:sz w:val="22"/>
                <w:szCs w:val="22"/>
                <w:lang w:eastAsia="en-GB"/>
              </w:rPr>
              <w:t>White blood cells</w:t>
            </w:r>
          </w:p>
        </w:tc>
        <w:tc>
          <w:tcPr>
            <w:tcW w:w="1996" w:type="dxa"/>
            <w:tcBorders>
              <w:top w:val="nil"/>
              <w:left w:val="nil"/>
              <w:bottom w:val="nil"/>
              <w:right w:val="nil"/>
            </w:tcBorders>
            <w:shd w:val="clear" w:color="auto" w:fill="auto"/>
            <w:noWrap/>
            <w:vAlign w:val="bottom"/>
            <w:hideMark/>
          </w:tcPr>
          <w:p w14:paraId="73F1E29A" w14:textId="77777777" w:rsidR="00911385" w:rsidRPr="00911385" w:rsidRDefault="00911385" w:rsidP="009F4974">
            <w:pPr>
              <w:jc w:val="center"/>
              <w:rPr>
                <w:color w:val="000000"/>
                <w:sz w:val="22"/>
                <w:szCs w:val="22"/>
                <w:lang w:eastAsia="en-GB"/>
              </w:rPr>
            </w:pPr>
            <w:r w:rsidRPr="00911385">
              <w:rPr>
                <w:color w:val="000000"/>
                <w:sz w:val="22"/>
                <w:szCs w:val="22"/>
                <w:lang w:eastAsia="en-GB"/>
              </w:rPr>
              <w:t>7.93 (4.29)</w:t>
            </w:r>
          </w:p>
        </w:tc>
        <w:tc>
          <w:tcPr>
            <w:tcW w:w="1997" w:type="dxa"/>
            <w:tcBorders>
              <w:top w:val="nil"/>
              <w:left w:val="nil"/>
              <w:bottom w:val="nil"/>
              <w:right w:val="nil"/>
            </w:tcBorders>
            <w:shd w:val="clear" w:color="auto" w:fill="auto"/>
            <w:noWrap/>
            <w:vAlign w:val="bottom"/>
            <w:hideMark/>
          </w:tcPr>
          <w:p w14:paraId="218F284E" w14:textId="77777777" w:rsidR="00911385" w:rsidRPr="00911385" w:rsidRDefault="00911385" w:rsidP="009F4974">
            <w:pPr>
              <w:jc w:val="center"/>
              <w:rPr>
                <w:color w:val="000000"/>
                <w:sz w:val="22"/>
                <w:szCs w:val="22"/>
                <w:lang w:eastAsia="en-GB"/>
              </w:rPr>
            </w:pPr>
            <w:r w:rsidRPr="00911385">
              <w:rPr>
                <w:color w:val="000000"/>
                <w:sz w:val="22"/>
                <w:szCs w:val="22"/>
                <w:lang w:eastAsia="en-GB"/>
              </w:rPr>
              <w:t>8.33 (4.01)</w:t>
            </w:r>
          </w:p>
        </w:tc>
        <w:tc>
          <w:tcPr>
            <w:tcW w:w="1997" w:type="dxa"/>
            <w:tcBorders>
              <w:top w:val="nil"/>
              <w:left w:val="nil"/>
              <w:bottom w:val="nil"/>
              <w:right w:val="nil"/>
            </w:tcBorders>
            <w:shd w:val="clear" w:color="auto" w:fill="auto"/>
            <w:noWrap/>
            <w:vAlign w:val="bottom"/>
            <w:hideMark/>
          </w:tcPr>
          <w:p w14:paraId="0C0A03A4" w14:textId="77777777" w:rsidR="00911385" w:rsidRPr="00911385" w:rsidRDefault="00911385" w:rsidP="009F4974">
            <w:pPr>
              <w:jc w:val="center"/>
              <w:rPr>
                <w:color w:val="000000"/>
                <w:sz w:val="22"/>
                <w:szCs w:val="22"/>
                <w:lang w:eastAsia="en-GB"/>
              </w:rPr>
            </w:pPr>
            <w:r w:rsidRPr="00911385">
              <w:rPr>
                <w:color w:val="000000"/>
                <w:sz w:val="22"/>
                <w:szCs w:val="22"/>
                <w:lang w:eastAsia="en-GB"/>
              </w:rPr>
              <w:t>7.59 (4.32)</w:t>
            </w:r>
          </w:p>
        </w:tc>
        <w:tc>
          <w:tcPr>
            <w:tcW w:w="1098" w:type="dxa"/>
            <w:tcBorders>
              <w:top w:val="nil"/>
              <w:left w:val="nil"/>
              <w:bottom w:val="nil"/>
              <w:right w:val="nil"/>
            </w:tcBorders>
            <w:shd w:val="clear" w:color="auto" w:fill="auto"/>
            <w:noWrap/>
            <w:vAlign w:val="bottom"/>
            <w:hideMark/>
          </w:tcPr>
          <w:p w14:paraId="773A731B" w14:textId="77777777" w:rsidR="00911385" w:rsidRPr="00911385" w:rsidRDefault="00911385" w:rsidP="00911385">
            <w:pPr>
              <w:jc w:val="center"/>
              <w:rPr>
                <w:color w:val="000000"/>
                <w:sz w:val="22"/>
                <w:szCs w:val="22"/>
                <w:lang w:eastAsia="en-GB"/>
              </w:rPr>
            </w:pPr>
            <w:r w:rsidRPr="00911385">
              <w:rPr>
                <w:color w:val="000000"/>
                <w:sz w:val="22"/>
                <w:szCs w:val="22"/>
                <w:lang w:eastAsia="en-GB"/>
              </w:rPr>
              <w:t>0.02</w:t>
            </w:r>
          </w:p>
        </w:tc>
      </w:tr>
      <w:tr w:rsidR="00BD1F5A" w:rsidRPr="00911385" w14:paraId="165B48DB"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07D4F739" w14:textId="77777777" w:rsidR="00BD1F5A" w:rsidRPr="00911385" w:rsidRDefault="00BD1F5A" w:rsidP="00BD1F5A">
            <w:pPr>
              <w:rPr>
                <w:color w:val="000000"/>
                <w:sz w:val="22"/>
                <w:szCs w:val="22"/>
                <w:lang w:eastAsia="en-GB"/>
              </w:rPr>
            </w:pPr>
            <w:r w:rsidRPr="00911385">
              <w:rPr>
                <w:color w:val="000000"/>
                <w:sz w:val="22"/>
                <w:szCs w:val="22"/>
                <w:lang w:eastAsia="en-GB"/>
              </w:rPr>
              <w:t>Lymphocytes</w:t>
            </w:r>
          </w:p>
        </w:tc>
        <w:tc>
          <w:tcPr>
            <w:tcW w:w="1996" w:type="dxa"/>
            <w:tcBorders>
              <w:top w:val="nil"/>
              <w:left w:val="nil"/>
              <w:bottom w:val="nil"/>
              <w:right w:val="nil"/>
            </w:tcBorders>
            <w:shd w:val="clear" w:color="auto" w:fill="auto"/>
            <w:noWrap/>
            <w:vAlign w:val="bottom"/>
            <w:hideMark/>
          </w:tcPr>
          <w:p w14:paraId="101CEABA"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1.13 (1.24)</w:t>
            </w:r>
          </w:p>
        </w:tc>
        <w:tc>
          <w:tcPr>
            <w:tcW w:w="1997" w:type="dxa"/>
            <w:tcBorders>
              <w:top w:val="nil"/>
              <w:left w:val="nil"/>
              <w:bottom w:val="nil"/>
              <w:right w:val="nil"/>
            </w:tcBorders>
            <w:shd w:val="clear" w:color="auto" w:fill="auto"/>
            <w:noWrap/>
            <w:vAlign w:val="bottom"/>
            <w:hideMark/>
          </w:tcPr>
          <w:p w14:paraId="40658AB5"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1.01 (1.35)</w:t>
            </w:r>
          </w:p>
        </w:tc>
        <w:tc>
          <w:tcPr>
            <w:tcW w:w="1997" w:type="dxa"/>
            <w:tcBorders>
              <w:top w:val="nil"/>
              <w:left w:val="nil"/>
              <w:bottom w:val="nil"/>
              <w:right w:val="nil"/>
            </w:tcBorders>
            <w:shd w:val="clear" w:color="auto" w:fill="auto"/>
            <w:noWrap/>
            <w:vAlign w:val="bottom"/>
            <w:hideMark/>
          </w:tcPr>
          <w:p w14:paraId="128710E2"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1.13 (0.84)</w:t>
            </w:r>
          </w:p>
        </w:tc>
        <w:tc>
          <w:tcPr>
            <w:tcW w:w="1098" w:type="dxa"/>
            <w:tcBorders>
              <w:top w:val="nil"/>
              <w:left w:val="nil"/>
              <w:bottom w:val="nil"/>
              <w:right w:val="nil"/>
            </w:tcBorders>
            <w:shd w:val="clear" w:color="auto" w:fill="auto"/>
            <w:noWrap/>
            <w:vAlign w:val="bottom"/>
            <w:hideMark/>
          </w:tcPr>
          <w:p w14:paraId="629F5A62" w14:textId="44123DC8"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783F0200"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4706B893" w14:textId="77777777" w:rsidR="00BD1F5A" w:rsidRPr="00911385" w:rsidRDefault="00BD1F5A" w:rsidP="00BD1F5A">
            <w:pPr>
              <w:rPr>
                <w:color w:val="000000"/>
                <w:sz w:val="22"/>
                <w:szCs w:val="22"/>
                <w:lang w:eastAsia="en-GB"/>
              </w:rPr>
            </w:pPr>
            <w:r w:rsidRPr="00911385">
              <w:rPr>
                <w:color w:val="000000"/>
                <w:sz w:val="22"/>
                <w:szCs w:val="22"/>
                <w:lang w:eastAsia="en-GB"/>
              </w:rPr>
              <w:t>Platelets</w:t>
            </w:r>
          </w:p>
        </w:tc>
        <w:tc>
          <w:tcPr>
            <w:tcW w:w="1996" w:type="dxa"/>
            <w:tcBorders>
              <w:top w:val="nil"/>
              <w:left w:val="nil"/>
              <w:bottom w:val="nil"/>
              <w:right w:val="nil"/>
            </w:tcBorders>
            <w:shd w:val="clear" w:color="auto" w:fill="auto"/>
            <w:noWrap/>
            <w:vAlign w:val="bottom"/>
            <w:hideMark/>
          </w:tcPr>
          <w:p w14:paraId="67E3B006"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212.75 (91.04)</w:t>
            </w:r>
          </w:p>
        </w:tc>
        <w:tc>
          <w:tcPr>
            <w:tcW w:w="1997" w:type="dxa"/>
            <w:tcBorders>
              <w:top w:val="nil"/>
              <w:left w:val="nil"/>
              <w:bottom w:val="nil"/>
              <w:right w:val="nil"/>
            </w:tcBorders>
            <w:shd w:val="clear" w:color="auto" w:fill="auto"/>
            <w:noWrap/>
            <w:vAlign w:val="bottom"/>
            <w:hideMark/>
          </w:tcPr>
          <w:p w14:paraId="24E4C11B"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194.91 (87.73)</w:t>
            </w:r>
          </w:p>
        </w:tc>
        <w:tc>
          <w:tcPr>
            <w:tcW w:w="1997" w:type="dxa"/>
            <w:tcBorders>
              <w:top w:val="nil"/>
              <w:left w:val="nil"/>
              <w:bottom w:val="nil"/>
              <w:right w:val="nil"/>
            </w:tcBorders>
            <w:shd w:val="clear" w:color="auto" w:fill="auto"/>
            <w:noWrap/>
            <w:vAlign w:val="bottom"/>
            <w:hideMark/>
          </w:tcPr>
          <w:p w14:paraId="76D0E400"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221.97 (91.38)</w:t>
            </w:r>
          </w:p>
        </w:tc>
        <w:tc>
          <w:tcPr>
            <w:tcW w:w="1098" w:type="dxa"/>
            <w:tcBorders>
              <w:top w:val="nil"/>
              <w:left w:val="nil"/>
              <w:bottom w:val="nil"/>
              <w:right w:val="nil"/>
            </w:tcBorders>
            <w:shd w:val="clear" w:color="auto" w:fill="auto"/>
            <w:noWrap/>
            <w:vAlign w:val="bottom"/>
            <w:hideMark/>
          </w:tcPr>
          <w:p w14:paraId="46C7C0DF" w14:textId="158E7C05"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16191BAB"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243CB5C9" w14:textId="4CF18300" w:rsidR="00BD1F5A" w:rsidRPr="00911385" w:rsidRDefault="00BD1F5A" w:rsidP="00BD1F5A">
            <w:pPr>
              <w:rPr>
                <w:color w:val="000000"/>
                <w:sz w:val="22"/>
                <w:szCs w:val="22"/>
                <w:lang w:eastAsia="en-GB"/>
              </w:rPr>
            </w:pPr>
            <w:r w:rsidRPr="00911385">
              <w:rPr>
                <w:color w:val="000000"/>
                <w:sz w:val="22"/>
                <w:szCs w:val="22"/>
                <w:lang w:eastAsia="en-GB"/>
              </w:rPr>
              <w:t>Creatinine</w:t>
            </w:r>
          </w:p>
        </w:tc>
        <w:tc>
          <w:tcPr>
            <w:tcW w:w="1996" w:type="dxa"/>
            <w:tcBorders>
              <w:top w:val="nil"/>
              <w:left w:val="nil"/>
              <w:bottom w:val="nil"/>
              <w:right w:val="nil"/>
            </w:tcBorders>
            <w:shd w:val="clear" w:color="auto" w:fill="auto"/>
            <w:noWrap/>
            <w:vAlign w:val="bottom"/>
            <w:hideMark/>
          </w:tcPr>
          <w:p w14:paraId="48169631"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138.6 (161.26)</w:t>
            </w:r>
          </w:p>
        </w:tc>
        <w:tc>
          <w:tcPr>
            <w:tcW w:w="1997" w:type="dxa"/>
            <w:tcBorders>
              <w:top w:val="nil"/>
              <w:left w:val="nil"/>
              <w:bottom w:val="nil"/>
              <w:right w:val="nil"/>
            </w:tcBorders>
            <w:shd w:val="clear" w:color="auto" w:fill="auto"/>
            <w:noWrap/>
            <w:vAlign w:val="bottom"/>
            <w:hideMark/>
          </w:tcPr>
          <w:p w14:paraId="258CBC28"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184.13 (207.11)</w:t>
            </w:r>
          </w:p>
        </w:tc>
        <w:tc>
          <w:tcPr>
            <w:tcW w:w="1997" w:type="dxa"/>
            <w:tcBorders>
              <w:top w:val="nil"/>
              <w:left w:val="nil"/>
              <w:bottom w:val="nil"/>
              <w:right w:val="nil"/>
            </w:tcBorders>
            <w:shd w:val="clear" w:color="auto" w:fill="auto"/>
            <w:noWrap/>
            <w:vAlign w:val="bottom"/>
            <w:hideMark/>
          </w:tcPr>
          <w:p w14:paraId="231B02A8"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115.75 (130.58)</w:t>
            </w:r>
          </w:p>
        </w:tc>
        <w:tc>
          <w:tcPr>
            <w:tcW w:w="1098" w:type="dxa"/>
            <w:tcBorders>
              <w:top w:val="nil"/>
              <w:left w:val="nil"/>
              <w:bottom w:val="nil"/>
              <w:right w:val="nil"/>
            </w:tcBorders>
            <w:shd w:val="clear" w:color="auto" w:fill="auto"/>
            <w:noWrap/>
            <w:vAlign w:val="bottom"/>
            <w:hideMark/>
          </w:tcPr>
          <w:p w14:paraId="5E419C61" w14:textId="7C94CCBE"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3B87DB26"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5C472E36" w14:textId="77777777" w:rsidR="00BD1F5A" w:rsidRPr="00911385" w:rsidRDefault="00BD1F5A" w:rsidP="00BD1F5A">
            <w:pPr>
              <w:rPr>
                <w:color w:val="000000"/>
                <w:sz w:val="22"/>
                <w:szCs w:val="22"/>
                <w:lang w:eastAsia="en-GB"/>
              </w:rPr>
            </w:pPr>
            <w:r w:rsidRPr="00911385">
              <w:rPr>
                <w:color w:val="000000"/>
                <w:sz w:val="22"/>
                <w:szCs w:val="22"/>
                <w:lang w:eastAsia="en-GB"/>
              </w:rPr>
              <w:t>Urea</w:t>
            </w:r>
          </w:p>
        </w:tc>
        <w:tc>
          <w:tcPr>
            <w:tcW w:w="1996" w:type="dxa"/>
            <w:tcBorders>
              <w:top w:val="nil"/>
              <w:left w:val="nil"/>
              <w:bottom w:val="nil"/>
              <w:right w:val="nil"/>
            </w:tcBorders>
            <w:shd w:val="clear" w:color="auto" w:fill="auto"/>
            <w:noWrap/>
            <w:vAlign w:val="bottom"/>
            <w:hideMark/>
          </w:tcPr>
          <w:p w14:paraId="31C4A536" w14:textId="77777777" w:rsidR="00BD1F5A" w:rsidRPr="00911385" w:rsidRDefault="00BD1F5A" w:rsidP="00BD1F5A">
            <w:pPr>
              <w:jc w:val="center"/>
              <w:rPr>
                <w:color w:val="000000"/>
                <w:sz w:val="22"/>
                <w:szCs w:val="22"/>
                <w:lang w:eastAsia="en-GB"/>
              </w:rPr>
            </w:pPr>
            <w:r w:rsidRPr="00911385">
              <w:rPr>
                <w:color w:val="000000"/>
                <w:sz w:val="22"/>
                <w:szCs w:val="22"/>
                <w:lang w:eastAsia="en-GB"/>
              </w:rPr>
              <w:t>8.7 (7.96)</w:t>
            </w:r>
          </w:p>
        </w:tc>
        <w:tc>
          <w:tcPr>
            <w:tcW w:w="1997" w:type="dxa"/>
            <w:tcBorders>
              <w:top w:val="nil"/>
              <w:left w:val="nil"/>
              <w:bottom w:val="nil"/>
              <w:right w:val="nil"/>
            </w:tcBorders>
            <w:shd w:val="clear" w:color="auto" w:fill="auto"/>
            <w:noWrap/>
            <w:vAlign w:val="bottom"/>
            <w:hideMark/>
          </w:tcPr>
          <w:p w14:paraId="6002C90E"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11.5 (8.58)</w:t>
            </w:r>
          </w:p>
        </w:tc>
        <w:tc>
          <w:tcPr>
            <w:tcW w:w="1997" w:type="dxa"/>
            <w:tcBorders>
              <w:top w:val="nil"/>
              <w:left w:val="nil"/>
              <w:bottom w:val="nil"/>
              <w:right w:val="nil"/>
            </w:tcBorders>
            <w:shd w:val="clear" w:color="auto" w:fill="auto"/>
            <w:noWrap/>
            <w:vAlign w:val="bottom"/>
            <w:hideMark/>
          </w:tcPr>
          <w:p w14:paraId="65E80004" w14:textId="77777777" w:rsidR="00BD1F5A" w:rsidRPr="00911385" w:rsidRDefault="00BD1F5A" w:rsidP="00BD1F5A">
            <w:pPr>
              <w:jc w:val="center"/>
              <w:rPr>
                <w:color w:val="000000"/>
                <w:sz w:val="22"/>
                <w:szCs w:val="22"/>
                <w:lang w:eastAsia="en-GB"/>
              </w:rPr>
            </w:pPr>
            <w:r w:rsidRPr="00911385">
              <w:rPr>
                <w:color w:val="000000"/>
                <w:sz w:val="22"/>
                <w:szCs w:val="22"/>
                <w:lang w:eastAsia="en-GB"/>
              </w:rPr>
              <w:t>7.49 (7.69)</w:t>
            </w:r>
          </w:p>
        </w:tc>
        <w:tc>
          <w:tcPr>
            <w:tcW w:w="1098" w:type="dxa"/>
            <w:tcBorders>
              <w:top w:val="nil"/>
              <w:left w:val="nil"/>
              <w:bottom w:val="nil"/>
              <w:right w:val="nil"/>
            </w:tcBorders>
            <w:shd w:val="clear" w:color="auto" w:fill="auto"/>
            <w:noWrap/>
            <w:vAlign w:val="bottom"/>
            <w:hideMark/>
          </w:tcPr>
          <w:p w14:paraId="105582CE" w14:textId="115492ED"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69B39AA3"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65EF1120" w14:textId="77777777" w:rsidR="00BD1F5A" w:rsidRPr="00911385" w:rsidRDefault="00BD1F5A" w:rsidP="00BD1F5A">
            <w:pPr>
              <w:rPr>
                <w:color w:val="000000"/>
                <w:sz w:val="22"/>
                <w:szCs w:val="22"/>
                <w:lang w:eastAsia="en-GB"/>
              </w:rPr>
            </w:pPr>
            <w:r w:rsidRPr="00911385">
              <w:rPr>
                <w:color w:val="000000"/>
                <w:sz w:val="22"/>
                <w:szCs w:val="22"/>
                <w:lang w:eastAsia="en-GB"/>
              </w:rPr>
              <w:t>GFR (MDRD)</w:t>
            </w:r>
          </w:p>
        </w:tc>
        <w:tc>
          <w:tcPr>
            <w:tcW w:w="1996" w:type="dxa"/>
            <w:tcBorders>
              <w:top w:val="nil"/>
              <w:left w:val="nil"/>
              <w:bottom w:val="nil"/>
              <w:right w:val="nil"/>
            </w:tcBorders>
            <w:shd w:val="clear" w:color="auto" w:fill="auto"/>
            <w:noWrap/>
            <w:vAlign w:val="bottom"/>
            <w:hideMark/>
          </w:tcPr>
          <w:p w14:paraId="1F70EE0A" w14:textId="77777777" w:rsidR="00BD1F5A" w:rsidRPr="00911385" w:rsidRDefault="00BD1F5A" w:rsidP="00BD1F5A">
            <w:pPr>
              <w:jc w:val="center"/>
              <w:rPr>
                <w:color w:val="000000"/>
                <w:sz w:val="22"/>
                <w:szCs w:val="22"/>
                <w:lang w:eastAsia="en-GB"/>
              </w:rPr>
            </w:pPr>
            <w:r w:rsidRPr="00911385">
              <w:rPr>
                <w:color w:val="000000"/>
                <w:sz w:val="22"/>
                <w:szCs w:val="22"/>
                <w:lang w:eastAsia="en-GB"/>
              </w:rPr>
              <w:t>68.5 (47)</w:t>
            </w:r>
          </w:p>
        </w:tc>
        <w:tc>
          <w:tcPr>
            <w:tcW w:w="1997" w:type="dxa"/>
            <w:tcBorders>
              <w:top w:val="nil"/>
              <w:left w:val="nil"/>
              <w:bottom w:val="nil"/>
              <w:right w:val="nil"/>
            </w:tcBorders>
            <w:shd w:val="clear" w:color="auto" w:fill="auto"/>
            <w:noWrap/>
            <w:vAlign w:val="bottom"/>
            <w:hideMark/>
          </w:tcPr>
          <w:p w14:paraId="4A68C14F" w14:textId="77777777" w:rsidR="00BD1F5A" w:rsidRPr="00911385" w:rsidRDefault="00BD1F5A" w:rsidP="00BD1F5A">
            <w:pPr>
              <w:jc w:val="center"/>
              <w:rPr>
                <w:color w:val="000000"/>
                <w:sz w:val="22"/>
                <w:szCs w:val="22"/>
                <w:lang w:eastAsia="en-GB"/>
              </w:rPr>
            </w:pPr>
            <w:r w:rsidRPr="00911385">
              <w:rPr>
                <w:color w:val="000000"/>
                <w:sz w:val="22"/>
                <w:szCs w:val="22"/>
                <w:lang w:eastAsia="en-GB"/>
              </w:rPr>
              <w:t>50.74 (27.37)</w:t>
            </w:r>
          </w:p>
        </w:tc>
        <w:tc>
          <w:tcPr>
            <w:tcW w:w="1997" w:type="dxa"/>
            <w:tcBorders>
              <w:top w:val="nil"/>
              <w:left w:val="nil"/>
              <w:bottom w:val="nil"/>
              <w:right w:val="nil"/>
            </w:tcBorders>
            <w:shd w:val="clear" w:color="auto" w:fill="auto"/>
            <w:noWrap/>
            <w:vAlign w:val="bottom"/>
            <w:hideMark/>
          </w:tcPr>
          <w:p w14:paraId="2FCCDF13" w14:textId="77777777" w:rsidR="00BD1F5A" w:rsidRPr="00911385" w:rsidRDefault="00BD1F5A" w:rsidP="00BD1F5A">
            <w:pPr>
              <w:jc w:val="center"/>
              <w:rPr>
                <w:color w:val="000000"/>
                <w:sz w:val="22"/>
                <w:szCs w:val="22"/>
                <w:lang w:eastAsia="en-GB"/>
              </w:rPr>
            </w:pPr>
            <w:r w:rsidRPr="00911385">
              <w:rPr>
                <w:color w:val="000000"/>
                <w:sz w:val="22"/>
                <w:szCs w:val="22"/>
                <w:lang w:eastAsia="en-GB"/>
              </w:rPr>
              <w:t>68.29 (24.89)</w:t>
            </w:r>
          </w:p>
        </w:tc>
        <w:tc>
          <w:tcPr>
            <w:tcW w:w="1098" w:type="dxa"/>
            <w:tcBorders>
              <w:top w:val="nil"/>
              <w:left w:val="nil"/>
              <w:bottom w:val="nil"/>
              <w:right w:val="nil"/>
            </w:tcBorders>
            <w:shd w:val="clear" w:color="auto" w:fill="auto"/>
            <w:noWrap/>
            <w:vAlign w:val="bottom"/>
            <w:hideMark/>
          </w:tcPr>
          <w:p w14:paraId="61969A8A" w14:textId="1F90EED7"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3E9AFD47"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2A405EBF" w14:textId="77777777" w:rsidR="00BD1F5A" w:rsidRPr="00911385" w:rsidRDefault="00BD1F5A" w:rsidP="00BD1F5A">
            <w:pPr>
              <w:rPr>
                <w:color w:val="000000"/>
                <w:sz w:val="22"/>
                <w:szCs w:val="22"/>
                <w:lang w:eastAsia="en-GB"/>
              </w:rPr>
            </w:pPr>
            <w:r w:rsidRPr="00911385">
              <w:rPr>
                <w:color w:val="000000"/>
                <w:sz w:val="22"/>
                <w:szCs w:val="22"/>
                <w:lang w:eastAsia="en-GB"/>
              </w:rPr>
              <w:t>Albumin</w:t>
            </w:r>
          </w:p>
        </w:tc>
        <w:tc>
          <w:tcPr>
            <w:tcW w:w="1996" w:type="dxa"/>
            <w:tcBorders>
              <w:top w:val="nil"/>
              <w:left w:val="nil"/>
              <w:bottom w:val="nil"/>
              <w:right w:val="nil"/>
            </w:tcBorders>
            <w:shd w:val="clear" w:color="auto" w:fill="auto"/>
            <w:noWrap/>
            <w:vAlign w:val="bottom"/>
            <w:hideMark/>
          </w:tcPr>
          <w:p w14:paraId="027F7EB6" w14:textId="77777777" w:rsidR="00BD1F5A" w:rsidRPr="00911385" w:rsidRDefault="00BD1F5A" w:rsidP="00BD1F5A">
            <w:pPr>
              <w:jc w:val="center"/>
              <w:rPr>
                <w:color w:val="000000"/>
                <w:sz w:val="22"/>
                <w:szCs w:val="22"/>
                <w:lang w:eastAsia="en-GB"/>
              </w:rPr>
            </w:pPr>
            <w:r w:rsidRPr="00911385">
              <w:rPr>
                <w:color w:val="000000"/>
                <w:sz w:val="22"/>
                <w:szCs w:val="22"/>
                <w:lang w:eastAsia="en-GB"/>
              </w:rPr>
              <w:t>31.07 (5.12)</w:t>
            </w:r>
          </w:p>
        </w:tc>
        <w:tc>
          <w:tcPr>
            <w:tcW w:w="1997" w:type="dxa"/>
            <w:tcBorders>
              <w:top w:val="nil"/>
              <w:left w:val="nil"/>
              <w:bottom w:val="nil"/>
              <w:right w:val="nil"/>
            </w:tcBorders>
            <w:shd w:val="clear" w:color="auto" w:fill="auto"/>
            <w:noWrap/>
            <w:vAlign w:val="bottom"/>
            <w:hideMark/>
          </w:tcPr>
          <w:p w14:paraId="702CBDDE"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29.83 (5.03)</w:t>
            </w:r>
          </w:p>
        </w:tc>
        <w:tc>
          <w:tcPr>
            <w:tcW w:w="1997" w:type="dxa"/>
            <w:tcBorders>
              <w:top w:val="nil"/>
              <w:left w:val="nil"/>
              <w:bottom w:val="nil"/>
              <w:right w:val="nil"/>
            </w:tcBorders>
            <w:shd w:val="clear" w:color="auto" w:fill="auto"/>
            <w:noWrap/>
            <w:vAlign w:val="bottom"/>
            <w:hideMark/>
          </w:tcPr>
          <w:p w14:paraId="7F7CDEDD" w14:textId="77777777" w:rsidR="00BD1F5A" w:rsidRPr="00911385" w:rsidRDefault="00BD1F5A" w:rsidP="00BD1F5A">
            <w:pPr>
              <w:jc w:val="center"/>
              <w:rPr>
                <w:color w:val="000000"/>
                <w:sz w:val="22"/>
                <w:szCs w:val="22"/>
                <w:lang w:eastAsia="en-GB"/>
              </w:rPr>
            </w:pPr>
            <w:r w:rsidRPr="00911385">
              <w:rPr>
                <w:color w:val="000000"/>
                <w:sz w:val="22"/>
                <w:szCs w:val="22"/>
                <w:lang w:eastAsia="en-GB"/>
              </w:rPr>
              <w:t>31.96 (5.04)</w:t>
            </w:r>
          </w:p>
        </w:tc>
        <w:tc>
          <w:tcPr>
            <w:tcW w:w="1098" w:type="dxa"/>
            <w:tcBorders>
              <w:top w:val="nil"/>
              <w:left w:val="nil"/>
              <w:bottom w:val="nil"/>
              <w:right w:val="nil"/>
            </w:tcBorders>
            <w:shd w:val="clear" w:color="auto" w:fill="auto"/>
            <w:noWrap/>
            <w:vAlign w:val="bottom"/>
            <w:hideMark/>
          </w:tcPr>
          <w:p w14:paraId="747EC6BC" w14:textId="530D8B45"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59CFE527"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5AF364AF" w14:textId="49CF6C03" w:rsidR="00BD1F5A" w:rsidRPr="00911385" w:rsidRDefault="00BD1F5A" w:rsidP="00BD1F5A">
            <w:pPr>
              <w:rPr>
                <w:color w:val="000000"/>
                <w:sz w:val="22"/>
                <w:szCs w:val="22"/>
                <w:lang w:eastAsia="en-GB"/>
              </w:rPr>
            </w:pPr>
            <w:r w:rsidRPr="00911385">
              <w:rPr>
                <w:color w:val="000000"/>
                <w:sz w:val="22"/>
                <w:szCs w:val="22"/>
                <w:lang w:eastAsia="en-GB"/>
              </w:rPr>
              <w:t>Total bilirubi</w:t>
            </w:r>
            <w:r>
              <w:rPr>
                <w:color w:val="000000"/>
                <w:sz w:val="22"/>
                <w:szCs w:val="22"/>
                <w:lang w:eastAsia="en-GB"/>
              </w:rPr>
              <w:t>n</w:t>
            </w:r>
          </w:p>
        </w:tc>
        <w:tc>
          <w:tcPr>
            <w:tcW w:w="1996" w:type="dxa"/>
            <w:tcBorders>
              <w:top w:val="nil"/>
              <w:left w:val="nil"/>
              <w:bottom w:val="nil"/>
              <w:right w:val="nil"/>
            </w:tcBorders>
            <w:shd w:val="clear" w:color="auto" w:fill="auto"/>
            <w:noWrap/>
            <w:vAlign w:val="bottom"/>
            <w:hideMark/>
          </w:tcPr>
          <w:p w14:paraId="466A69E3"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13.44 (11.66)</w:t>
            </w:r>
          </w:p>
        </w:tc>
        <w:tc>
          <w:tcPr>
            <w:tcW w:w="1997" w:type="dxa"/>
            <w:tcBorders>
              <w:top w:val="nil"/>
              <w:left w:val="nil"/>
              <w:bottom w:val="nil"/>
              <w:right w:val="nil"/>
            </w:tcBorders>
            <w:shd w:val="clear" w:color="auto" w:fill="auto"/>
            <w:noWrap/>
            <w:vAlign w:val="bottom"/>
            <w:hideMark/>
          </w:tcPr>
          <w:p w14:paraId="7B6CFAE9"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14.29 (10.17)</w:t>
            </w:r>
          </w:p>
        </w:tc>
        <w:tc>
          <w:tcPr>
            <w:tcW w:w="1997" w:type="dxa"/>
            <w:tcBorders>
              <w:top w:val="nil"/>
              <w:left w:val="nil"/>
              <w:bottom w:val="nil"/>
              <w:right w:val="nil"/>
            </w:tcBorders>
            <w:shd w:val="clear" w:color="auto" w:fill="auto"/>
            <w:noWrap/>
            <w:vAlign w:val="bottom"/>
            <w:hideMark/>
          </w:tcPr>
          <w:p w14:paraId="1EE2A77F"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12.94 (12.58)</w:t>
            </w:r>
          </w:p>
        </w:tc>
        <w:tc>
          <w:tcPr>
            <w:tcW w:w="1098" w:type="dxa"/>
            <w:tcBorders>
              <w:top w:val="nil"/>
              <w:left w:val="nil"/>
              <w:bottom w:val="nil"/>
              <w:right w:val="nil"/>
            </w:tcBorders>
            <w:shd w:val="clear" w:color="auto" w:fill="auto"/>
            <w:noWrap/>
            <w:vAlign w:val="bottom"/>
            <w:hideMark/>
          </w:tcPr>
          <w:p w14:paraId="78406782" w14:textId="77777777" w:rsidR="00BD1F5A" w:rsidRPr="00911385" w:rsidRDefault="00BD1F5A" w:rsidP="00BD1F5A">
            <w:pPr>
              <w:jc w:val="center"/>
              <w:rPr>
                <w:color w:val="000000"/>
                <w:sz w:val="22"/>
                <w:szCs w:val="22"/>
                <w:lang w:eastAsia="en-GB"/>
              </w:rPr>
            </w:pPr>
            <w:r w:rsidRPr="00911385">
              <w:rPr>
                <w:color w:val="000000"/>
                <w:sz w:val="22"/>
                <w:szCs w:val="22"/>
                <w:lang w:eastAsia="en-GB"/>
              </w:rPr>
              <w:t>0.09</w:t>
            </w:r>
          </w:p>
        </w:tc>
      </w:tr>
      <w:tr w:rsidR="00BD1F5A" w:rsidRPr="00911385" w14:paraId="1FEBAC2D"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1796FDFC" w14:textId="77777777" w:rsidR="00BD1F5A" w:rsidRPr="00911385" w:rsidRDefault="00BD1F5A" w:rsidP="00BD1F5A">
            <w:pPr>
              <w:rPr>
                <w:color w:val="000000"/>
                <w:sz w:val="22"/>
                <w:szCs w:val="22"/>
                <w:lang w:eastAsia="en-GB"/>
              </w:rPr>
            </w:pPr>
            <w:r w:rsidRPr="00911385">
              <w:rPr>
                <w:color w:val="000000"/>
                <w:sz w:val="22"/>
                <w:szCs w:val="22"/>
                <w:lang w:eastAsia="en-GB"/>
              </w:rPr>
              <w:t>ALT</w:t>
            </w:r>
          </w:p>
        </w:tc>
        <w:tc>
          <w:tcPr>
            <w:tcW w:w="1996" w:type="dxa"/>
            <w:tcBorders>
              <w:top w:val="nil"/>
              <w:left w:val="nil"/>
              <w:bottom w:val="nil"/>
              <w:right w:val="nil"/>
            </w:tcBorders>
            <w:shd w:val="clear" w:color="auto" w:fill="auto"/>
            <w:noWrap/>
            <w:vAlign w:val="bottom"/>
            <w:hideMark/>
          </w:tcPr>
          <w:p w14:paraId="169A66D8" w14:textId="77777777" w:rsidR="00BD1F5A" w:rsidRPr="00911385" w:rsidRDefault="00BD1F5A" w:rsidP="00BD1F5A">
            <w:pPr>
              <w:jc w:val="center"/>
              <w:rPr>
                <w:color w:val="000000"/>
                <w:sz w:val="22"/>
                <w:szCs w:val="22"/>
                <w:lang w:eastAsia="en-GB"/>
              </w:rPr>
            </w:pPr>
            <w:r w:rsidRPr="00911385">
              <w:rPr>
                <w:color w:val="000000"/>
                <w:sz w:val="22"/>
                <w:szCs w:val="22"/>
                <w:lang w:eastAsia="en-GB"/>
              </w:rPr>
              <w:t>46.38 (108.46)</w:t>
            </w:r>
          </w:p>
        </w:tc>
        <w:tc>
          <w:tcPr>
            <w:tcW w:w="1997" w:type="dxa"/>
            <w:tcBorders>
              <w:top w:val="nil"/>
              <w:left w:val="nil"/>
              <w:bottom w:val="nil"/>
              <w:right w:val="nil"/>
            </w:tcBorders>
            <w:shd w:val="clear" w:color="auto" w:fill="auto"/>
            <w:noWrap/>
            <w:vAlign w:val="bottom"/>
            <w:hideMark/>
          </w:tcPr>
          <w:p w14:paraId="3C682C15" w14:textId="77777777" w:rsidR="00BD1F5A" w:rsidRPr="00911385" w:rsidRDefault="00BD1F5A" w:rsidP="00BD1F5A">
            <w:pPr>
              <w:jc w:val="center"/>
              <w:rPr>
                <w:color w:val="000000"/>
                <w:sz w:val="22"/>
                <w:szCs w:val="22"/>
                <w:lang w:eastAsia="en-GB"/>
              </w:rPr>
            </w:pPr>
            <w:r w:rsidRPr="00911385">
              <w:rPr>
                <w:color w:val="000000"/>
                <w:sz w:val="22"/>
                <w:szCs w:val="22"/>
                <w:lang w:eastAsia="en-GB"/>
              </w:rPr>
              <w:t>54.83 (179.51)</w:t>
            </w:r>
          </w:p>
        </w:tc>
        <w:tc>
          <w:tcPr>
            <w:tcW w:w="1997" w:type="dxa"/>
            <w:tcBorders>
              <w:top w:val="nil"/>
              <w:left w:val="nil"/>
              <w:bottom w:val="nil"/>
              <w:right w:val="nil"/>
            </w:tcBorders>
            <w:shd w:val="clear" w:color="auto" w:fill="auto"/>
            <w:noWrap/>
            <w:vAlign w:val="bottom"/>
            <w:hideMark/>
          </w:tcPr>
          <w:p w14:paraId="037003A4" w14:textId="77777777" w:rsidR="00BD1F5A" w:rsidRPr="00911385" w:rsidRDefault="00BD1F5A" w:rsidP="00BD1F5A">
            <w:pPr>
              <w:jc w:val="center"/>
              <w:rPr>
                <w:color w:val="000000"/>
                <w:sz w:val="22"/>
                <w:szCs w:val="22"/>
                <w:lang w:eastAsia="en-GB"/>
              </w:rPr>
            </w:pPr>
            <w:r w:rsidRPr="00911385">
              <w:rPr>
                <w:color w:val="000000"/>
                <w:sz w:val="22"/>
                <w:szCs w:val="22"/>
                <w:lang w:eastAsia="en-GB"/>
              </w:rPr>
              <w:t>43.12 (65.12)</w:t>
            </w:r>
          </w:p>
        </w:tc>
        <w:tc>
          <w:tcPr>
            <w:tcW w:w="1098" w:type="dxa"/>
            <w:tcBorders>
              <w:top w:val="nil"/>
              <w:left w:val="nil"/>
              <w:bottom w:val="nil"/>
              <w:right w:val="nil"/>
            </w:tcBorders>
            <w:shd w:val="clear" w:color="auto" w:fill="auto"/>
            <w:noWrap/>
            <w:vAlign w:val="bottom"/>
            <w:hideMark/>
          </w:tcPr>
          <w:p w14:paraId="7B484E2A" w14:textId="77777777" w:rsidR="00BD1F5A" w:rsidRPr="00911385" w:rsidRDefault="00BD1F5A" w:rsidP="00BD1F5A">
            <w:pPr>
              <w:jc w:val="center"/>
              <w:rPr>
                <w:color w:val="000000"/>
                <w:sz w:val="22"/>
                <w:szCs w:val="22"/>
                <w:lang w:eastAsia="en-GB"/>
              </w:rPr>
            </w:pPr>
            <w:r w:rsidRPr="00911385">
              <w:rPr>
                <w:color w:val="000000"/>
                <w:sz w:val="22"/>
                <w:szCs w:val="22"/>
                <w:lang w:eastAsia="en-GB"/>
              </w:rPr>
              <w:t>0.22</w:t>
            </w:r>
          </w:p>
        </w:tc>
      </w:tr>
      <w:tr w:rsidR="00BD1F5A" w:rsidRPr="00911385" w14:paraId="78B788AB"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2F390B32" w14:textId="77777777" w:rsidR="00BD1F5A" w:rsidRPr="00911385" w:rsidRDefault="00BD1F5A" w:rsidP="00BD1F5A">
            <w:pPr>
              <w:rPr>
                <w:color w:val="000000"/>
                <w:sz w:val="22"/>
                <w:szCs w:val="22"/>
                <w:lang w:eastAsia="en-GB"/>
              </w:rPr>
            </w:pPr>
            <w:r w:rsidRPr="00911385">
              <w:rPr>
                <w:color w:val="000000"/>
                <w:sz w:val="22"/>
                <w:szCs w:val="22"/>
                <w:lang w:eastAsia="en-GB"/>
              </w:rPr>
              <w:t>ALP</w:t>
            </w:r>
          </w:p>
        </w:tc>
        <w:tc>
          <w:tcPr>
            <w:tcW w:w="1996" w:type="dxa"/>
            <w:tcBorders>
              <w:top w:val="nil"/>
              <w:left w:val="nil"/>
              <w:bottom w:val="nil"/>
              <w:right w:val="nil"/>
            </w:tcBorders>
            <w:shd w:val="clear" w:color="auto" w:fill="auto"/>
            <w:noWrap/>
            <w:vAlign w:val="bottom"/>
            <w:hideMark/>
          </w:tcPr>
          <w:p w14:paraId="3A6F56A1" w14:textId="77777777" w:rsidR="00BD1F5A" w:rsidRPr="00911385" w:rsidRDefault="00BD1F5A" w:rsidP="00BD1F5A">
            <w:pPr>
              <w:jc w:val="center"/>
              <w:rPr>
                <w:color w:val="000000"/>
                <w:sz w:val="22"/>
                <w:szCs w:val="22"/>
                <w:lang w:eastAsia="en-GB"/>
              </w:rPr>
            </w:pPr>
            <w:r w:rsidRPr="00911385">
              <w:rPr>
                <w:color w:val="000000"/>
                <w:sz w:val="22"/>
                <w:szCs w:val="22"/>
                <w:lang w:eastAsia="en-GB"/>
              </w:rPr>
              <w:t>94.81 (63.09)</w:t>
            </w:r>
          </w:p>
        </w:tc>
        <w:tc>
          <w:tcPr>
            <w:tcW w:w="1997" w:type="dxa"/>
            <w:tcBorders>
              <w:top w:val="nil"/>
              <w:left w:val="nil"/>
              <w:bottom w:val="nil"/>
              <w:right w:val="nil"/>
            </w:tcBorders>
            <w:shd w:val="clear" w:color="auto" w:fill="auto"/>
            <w:noWrap/>
            <w:vAlign w:val="bottom"/>
            <w:hideMark/>
          </w:tcPr>
          <w:p w14:paraId="5C5B33AE" w14:textId="77777777" w:rsidR="00BD1F5A" w:rsidRPr="00911385" w:rsidRDefault="00BD1F5A" w:rsidP="00BD1F5A">
            <w:pPr>
              <w:jc w:val="center"/>
              <w:rPr>
                <w:color w:val="000000"/>
                <w:sz w:val="22"/>
                <w:szCs w:val="22"/>
                <w:lang w:eastAsia="en-GB"/>
              </w:rPr>
            </w:pPr>
            <w:r w:rsidRPr="00911385">
              <w:rPr>
                <w:color w:val="000000"/>
                <w:sz w:val="22"/>
                <w:szCs w:val="22"/>
                <w:lang w:eastAsia="en-GB"/>
              </w:rPr>
              <w:t>99.25 (49.59)</w:t>
            </w:r>
          </w:p>
        </w:tc>
        <w:tc>
          <w:tcPr>
            <w:tcW w:w="1997" w:type="dxa"/>
            <w:tcBorders>
              <w:top w:val="nil"/>
              <w:left w:val="nil"/>
              <w:bottom w:val="nil"/>
              <w:right w:val="nil"/>
            </w:tcBorders>
            <w:shd w:val="clear" w:color="auto" w:fill="auto"/>
            <w:noWrap/>
            <w:vAlign w:val="bottom"/>
            <w:hideMark/>
          </w:tcPr>
          <w:p w14:paraId="31DA8835" w14:textId="77777777" w:rsidR="00BD1F5A" w:rsidRPr="00911385" w:rsidRDefault="00BD1F5A" w:rsidP="00BD1F5A">
            <w:pPr>
              <w:jc w:val="center"/>
              <w:rPr>
                <w:color w:val="000000"/>
                <w:sz w:val="22"/>
                <w:szCs w:val="22"/>
                <w:lang w:eastAsia="en-GB"/>
              </w:rPr>
            </w:pPr>
            <w:r w:rsidRPr="00911385">
              <w:rPr>
                <w:color w:val="000000"/>
                <w:sz w:val="22"/>
                <w:szCs w:val="22"/>
                <w:lang w:eastAsia="en-GB"/>
              </w:rPr>
              <w:t>93.38 (69.47)</w:t>
            </w:r>
          </w:p>
        </w:tc>
        <w:tc>
          <w:tcPr>
            <w:tcW w:w="1098" w:type="dxa"/>
            <w:tcBorders>
              <w:top w:val="nil"/>
              <w:left w:val="nil"/>
              <w:bottom w:val="nil"/>
              <w:right w:val="nil"/>
            </w:tcBorders>
            <w:shd w:val="clear" w:color="auto" w:fill="auto"/>
            <w:noWrap/>
            <w:vAlign w:val="bottom"/>
            <w:hideMark/>
          </w:tcPr>
          <w:p w14:paraId="27A8259C" w14:textId="77777777" w:rsidR="00BD1F5A" w:rsidRPr="00911385" w:rsidRDefault="00BD1F5A" w:rsidP="00BD1F5A">
            <w:pPr>
              <w:jc w:val="center"/>
              <w:rPr>
                <w:color w:val="000000"/>
                <w:sz w:val="22"/>
                <w:szCs w:val="22"/>
                <w:lang w:eastAsia="en-GB"/>
              </w:rPr>
            </w:pPr>
            <w:r w:rsidRPr="00911385">
              <w:rPr>
                <w:color w:val="000000"/>
                <w:sz w:val="22"/>
                <w:szCs w:val="22"/>
                <w:lang w:eastAsia="en-GB"/>
              </w:rPr>
              <w:t>0.05</w:t>
            </w:r>
          </w:p>
        </w:tc>
      </w:tr>
      <w:tr w:rsidR="00BD1F5A" w:rsidRPr="00911385" w14:paraId="261C07BD"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3402EE66" w14:textId="77777777" w:rsidR="00BD1F5A" w:rsidRPr="00911385" w:rsidRDefault="00BD1F5A" w:rsidP="00BD1F5A">
            <w:pPr>
              <w:rPr>
                <w:color w:val="000000"/>
                <w:sz w:val="22"/>
                <w:szCs w:val="22"/>
                <w:lang w:eastAsia="en-GB"/>
              </w:rPr>
            </w:pPr>
            <w:r w:rsidRPr="00911385">
              <w:rPr>
                <w:color w:val="000000"/>
                <w:sz w:val="22"/>
                <w:szCs w:val="22"/>
                <w:lang w:eastAsia="en-GB"/>
              </w:rPr>
              <w:t>PT</w:t>
            </w:r>
          </w:p>
        </w:tc>
        <w:tc>
          <w:tcPr>
            <w:tcW w:w="1996" w:type="dxa"/>
            <w:tcBorders>
              <w:top w:val="nil"/>
              <w:left w:val="nil"/>
              <w:bottom w:val="nil"/>
              <w:right w:val="nil"/>
            </w:tcBorders>
            <w:shd w:val="clear" w:color="auto" w:fill="auto"/>
            <w:noWrap/>
            <w:vAlign w:val="bottom"/>
            <w:hideMark/>
          </w:tcPr>
          <w:p w14:paraId="6F8096A5"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13.8 (1.7)</w:t>
            </w:r>
          </w:p>
        </w:tc>
        <w:tc>
          <w:tcPr>
            <w:tcW w:w="1997" w:type="dxa"/>
            <w:tcBorders>
              <w:top w:val="nil"/>
              <w:left w:val="nil"/>
              <w:bottom w:val="nil"/>
              <w:right w:val="nil"/>
            </w:tcBorders>
            <w:shd w:val="clear" w:color="auto" w:fill="auto"/>
            <w:noWrap/>
            <w:vAlign w:val="bottom"/>
            <w:hideMark/>
          </w:tcPr>
          <w:p w14:paraId="33201EBE"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16.49 (11.38)</w:t>
            </w:r>
          </w:p>
        </w:tc>
        <w:tc>
          <w:tcPr>
            <w:tcW w:w="1997" w:type="dxa"/>
            <w:tcBorders>
              <w:top w:val="nil"/>
              <w:left w:val="nil"/>
              <w:bottom w:val="nil"/>
              <w:right w:val="nil"/>
            </w:tcBorders>
            <w:shd w:val="clear" w:color="auto" w:fill="auto"/>
            <w:noWrap/>
            <w:vAlign w:val="bottom"/>
            <w:hideMark/>
          </w:tcPr>
          <w:p w14:paraId="724840F4"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16.31 (16.7)</w:t>
            </w:r>
          </w:p>
        </w:tc>
        <w:tc>
          <w:tcPr>
            <w:tcW w:w="1098" w:type="dxa"/>
            <w:tcBorders>
              <w:top w:val="nil"/>
              <w:left w:val="nil"/>
              <w:bottom w:val="nil"/>
              <w:right w:val="nil"/>
            </w:tcBorders>
            <w:shd w:val="clear" w:color="auto" w:fill="auto"/>
            <w:noWrap/>
            <w:vAlign w:val="bottom"/>
            <w:hideMark/>
          </w:tcPr>
          <w:p w14:paraId="58F0B9FD" w14:textId="77777777" w:rsidR="00BD1F5A" w:rsidRPr="00911385" w:rsidRDefault="00BD1F5A" w:rsidP="00BD1F5A">
            <w:pPr>
              <w:jc w:val="center"/>
              <w:rPr>
                <w:color w:val="000000"/>
                <w:sz w:val="22"/>
                <w:szCs w:val="22"/>
                <w:lang w:eastAsia="en-GB"/>
              </w:rPr>
            </w:pPr>
            <w:r w:rsidRPr="00911385">
              <w:rPr>
                <w:color w:val="000000"/>
                <w:sz w:val="22"/>
                <w:szCs w:val="22"/>
                <w:lang w:eastAsia="en-GB"/>
              </w:rPr>
              <w:t>0.08</w:t>
            </w:r>
          </w:p>
        </w:tc>
      </w:tr>
      <w:tr w:rsidR="00BD1F5A" w:rsidRPr="00911385" w14:paraId="02A071E4"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1C61958F" w14:textId="77777777" w:rsidR="00BD1F5A" w:rsidRPr="00911385" w:rsidRDefault="00BD1F5A" w:rsidP="00BD1F5A">
            <w:pPr>
              <w:rPr>
                <w:color w:val="000000"/>
                <w:sz w:val="22"/>
                <w:szCs w:val="22"/>
                <w:lang w:eastAsia="en-GB"/>
              </w:rPr>
            </w:pPr>
            <w:r w:rsidRPr="00911385">
              <w:rPr>
                <w:color w:val="000000"/>
                <w:sz w:val="22"/>
                <w:szCs w:val="22"/>
                <w:lang w:eastAsia="en-GB"/>
              </w:rPr>
              <w:t>Lactate</w:t>
            </w:r>
          </w:p>
        </w:tc>
        <w:tc>
          <w:tcPr>
            <w:tcW w:w="1996" w:type="dxa"/>
            <w:tcBorders>
              <w:top w:val="nil"/>
              <w:left w:val="nil"/>
              <w:bottom w:val="nil"/>
              <w:right w:val="nil"/>
            </w:tcBorders>
            <w:shd w:val="clear" w:color="auto" w:fill="auto"/>
            <w:noWrap/>
            <w:vAlign w:val="bottom"/>
            <w:hideMark/>
          </w:tcPr>
          <w:p w14:paraId="66B355C1"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1.73 (1.56)</w:t>
            </w:r>
          </w:p>
        </w:tc>
        <w:tc>
          <w:tcPr>
            <w:tcW w:w="1997" w:type="dxa"/>
            <w:tcBorders>
              <w:top w:val="nil"/>
              <w:left w:val="nil"/>
              <w:bottom w:val="nil"/>
              <w:right w:val="nil"/>
            </w:tcBorders>
            <w:shd w:val="clear" w:color="auto" w:fill="auto"/>
            <w:noWrap/>
            <w:vAlign w:val="bottom"/>
            <w:hideMark/>
          </w:tcPr>
          <w:p w14:paraId="08EDBFE8"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2.08 (2.19)</w:t>
            </w:r>
          </w:p>
        </w:tc>
        <w:tc>
          <w:tcPr>
            <w:tcW w:w="1997" w:type="dxa"/>
            <w:tcBorders>
              <w:top w:val="nil"/>
              <w:left w:val="nil"/>
              <w:bottom w:val="nil"/>
              <w:right w:val="nil"/>
            </w:tcBorders>
            <w:shd w:val="clear" w:color="auto" w:fill="auto"/>
            <w:noWrap/>
            <w:vAlign w:val="bottom"/>
            <w:hideMark/>
          </w:tcPr>
          <w:p w14:paraId="23E7E540"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1.56 (1.18)</w:t>
            </w:r>
          </w:p>
        </w:tc>
        <w:tc>
          <w:tcPr>
            <w:tcW w:w="1098" w:type="dxa"/>
            <w:tcBorders>
              <w:top w:val="nil"/>
              <w:left w:val="nil"/>
              <w:bottom w:val="nil"/>
              <w:right w:val="nil"/>
            </w:tcBorders>
            <w:shd w:val="clear" w:color="auto" w:fill="auto"/>
            <w:noWrap/>
            <w:vAlign w:val="bottom"/>
            <w:hideMark/>
          </w:tcPr>
          <w:p w14:paraId="1252840C" w14:textId="4E179D63"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7632E260"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603DEDC6" w14:textId="77777777" w:rsidR="00BD1F5A" w:rsidRPr="00911385" w:rsidRDefault="00BD1F5A" w:rsidP="00BD1F5A">
            <w:pPr>
              <w:rPr>
                <w:color w:val="000000"/>
                <w:sz w:val="22"/>
                <w:szCs w:val="22"/>
                <w:lang w:eastAsia="en-GB"/>
              </w:rPr>
            </w:pPr>
            <w:r w:rsidRPr="00911385">
              <w:rPr>
                <w:color w:val="000000"/>
                <w:sz w:val="22"/>
                <w:szCs w:val="22"/>
                <w:lang w:eastAsia="en-GB"/>
              </w:rPr>
              <w:t>Glucose</w:t>
            </w:r>
          </w:p>
        </w:tc>
        <w:tc>
          <w:tcPr>
            <w:tcW w:w="1996" w:type="dxa"/>
            <w:tcBorders>
              <w:top w:val="nil"/>
              <w:left w:val="nil"/>
              <w:bottom w:val="nil"/>
              <w:right w:val="nil"/>
            </w:tcBorders>
            <w:shd w:val="clear" w:color="auto" w:fill="auto"/>
            <w:noWrap/>
            <w:vAlign w:val="bottom"/>
            <w:hideMark/>
          </w:tcPr>
          <w:p w14:paraId="42D7BCBE" w14:textId="77777777" w:rsidR="00BD1F5A" w:rsidRPr="00911385" w:rsidRDefault="00BD1F5A" w:rsidP="00BD1F5A">
            <w:pPr>
              <w:jc w:val="center"/>
              <w:rPr>
                <w:color w:val="000000"/>
                <w:sz w:val="22"/>
                <w:szCs w:val="22"/>
                <w:lang w:eastAsia="en-GB"/>
              </w:rPr>
            </w:pPr>
            <w:r w:rsidRPr="00911385">
              <w:rPr>
                <w:color w:val="000000"/>
                <w:sz w:val="22"/>
                <w:szCs w:val="22"/>
                <w:lang w:eastAsia="en-GB"/>
              </w:rPr>
              <w:t>9.1 (5.58)</w:t>
            </w:r>
          </w:p>
        </w:tc>
        <w:tc>
          <w:tcPr>
            <w:tcW w:w="1997" w:type="dxa"/>
            <w:tcBorders>
              <w:top w:val="nil"/>
              <w:left w:val="nil"/>
              <w:bottom w:val="nil"/>
              <w:right w:val="nil"/>
            </w:tcBorders>
            <w:shd w:val="clear" w:color="auto" w:fill="auto"/>
            <w:noWrap/>
            <w:vAlign w:val="bottom"/>
            <w:hideMark/>
          </w:tcPr>
          <w:p w14:paraId="6970A082" w14:textId="77777777" w:rsidR="00BD1F5A" w:rsidRPr="00911385" w:rsidRDefault="00BD1F5A" w:rsidP="00BD1F5A">
            <w:pPr>
              <w:jc w:val="center"/>
              <w:rPr>
                <w:color w:val="000000"/>
                <w:sz w:val="22"/>
                <w:szCs w:val="22"/>
                <w:lang w:eastAsia="en-GB"/>
              </w:rPr>
            </w:pPr>
            <w:r w:rsidRPr="00911385">
              <w:rPr>
                <w:color w:val="000000"/>
                <w:sz w:val="22"/>
                <w:szCs w:val="22"/>
                <w:lang w:eastAsia="en-GB"/>
              </w:rPr>
              <w:t>9.38 (5.75)</w:t>
            </w:r>
          </w:p>
        </w:tc>
        <w:tc>
          <w:tcPr>
            <w:tcW w:w="1997" w:type="dxa"/>
            <w:tcBorders>
              <w:top w:val="nil"/>
              <w:left w:val="nil"/>
              <w:bottom w:val="nil"/>
              <w:right w:val="nil"/>
            </w:tcBorders>
            <w:shd w:val="clear" w:color="auto" w:fill="auto"/>
            <w:noWrap/>
            <w:vAlign w:val="bottom"/>
            <w:hideMark/>
          </w:tcPr>
          <w:p w14:paraId="20CA931D" w14:textId="77777777" w:rsidR="00BD1F5A" w:rsidRPr="00911385" w:rsidRDefault="00BD1F5A" w:rsidP="00BD1F5A">
            <w:pPr>
              <w:jc w:val="center"/>
              <w:rPr>
                <w:color w:val="000000"/>
                <w:sz w:val="22"/>
                <w:szCs w:val="22"/>
                <w:lang w:eastAsia="en-GB"/>
              </w:rPr>
            </w:pPr>
            <w:r w:rsidRPr="00911385">
              <w:rPr>
                <w:color w:val="000000"/>
                <w:sz w:val="22"/>
                <w:szCs w:val="22"/>
                <w:lang w:eastAsia="en-GB"/>
              </w:rPr>
              <w:t>8.6 (4.67)</w:t>
            </w:r>
          </w:p>
        </w:tc>
        <w:tc>
          <w:tcPr>
            <w:tcW w:w="1098" w:type="dxa"/>
            <w:tcBorders>
              <w:top w:val="nil"/>
              <w:left w:val="nil"/>
              <w:bottom w:val="nil"/>
              <w:right w:val="nil"/>
            </w:tcBorders>
            <w:shd w:val="clear" w:color="auto" w:fill="auto"/>
            <w:noWrap/>
            <w:vAlign w:val="bottom"/>
            <w:hideMark/>
          </w:tcPr>
          <w:p w14:paraId="167A8AFE" w14:textId="77777777" w:rsidR="00BD1F5A" w:rsidRPr="00911385" w:rsidRDefault="00BD1F5A" w:rsidP="00BD1F5A">
            <w:pPr>
              <w:jc w:val="center"/>
              <w:rPr>
                <w:color w:val="000000"/>
                <w:sz w:val="22"/>
                <w:szCs w:val="22"/>
                <w:lang w:eastAsia="en-GB"/>
              </w:rPr>
            </w:pPr>
            <w:r w:rsidRPr="00911385">
              <w:rPr>
                <w:color w:val="000000"/>
                <w:sz w:val="22"/>
                <w:szCs w:val="22"/>
                <w:lang w:eastAsia="en-GB"/>
              </w:rPr>
              <w:t>0.19</w:t>
            </w:r>
          </w:p>
        </w:tc>
      </w:tr>
      <w:tr w:rsidR="00BD1F5A" w:rsidRPr="00911385" w14:paraId="52328890"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19236E3F" w14:textId="77777777" w:rsidR="00BD1F5A" w:rsidRPr="00911385" w:rsidRDefault="00BD1F5A" w:rsidP="00BD1F5A">
            <w:pPr>
              <w:rPr>
                <w:color w:val="000000"/>
                <w:sz w:val="22"/>
                <w:szCs w:val="22"/>
                <w:lang w:eastAsia="en-GB"/>
              </w:rPr>
            </w:pPr>
            <w:r w:rsidRPr="00911385">
              <w:rPr>
                <w:color w:val="000000"/>
                <w:sz w:val="22"/>
                <w:szCs w:val="22"/>
                <w:lang w:eastAsia="en-GB"/>
              </w:rPr>
              <w:t>CRP</w:t>
            </w:r>
          </w:p>
        </w:tc>
        <w:tc>
          <w:tcPr>
            <w:tcW w:w="1996" w:type="dxa"/>
            <w:tcBorders>
              <w:top w:val="nil"/>
              <w:left w:val="nil"/>
              <w:bottom w:val="nil"/>
              <w:right w:val="nil"/>
            </w:tcBorders>
            <w:shd w:val="clear" w:color="auto" w:fill="auto"/>
            <w:noWrap/>
            <w:vAlign w:val="bottom"/>
            <w:hideMark/>
          </w:tcPr>
          <w:p w14:paraId="7F49139E"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103.65 (133.27)</w:t>
            </w:r>
          </w:p>
        </w:tc>
        <w:tc>
          <w:tcPr>
            <w:tcW w:w="1997" w:type="dxa"/>
            <w:tcBorders>
              <w:top w:val="nil"/>
              <w:left w:val="nil"/>
              <w:bottom w:val="nil"/>
              <w:right w:val="nil"/>
            </w:tcBorders>
            <w:shd w:val="clear" w:color="auto" w:fill="auto"/>
            <w:noWrap/>
            <w:vAlign w:val="bottom"/>
            <w:hideMark/>
          </w:tcPr>
          <w:p w14:paraId="31827F19"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151.66 (102.78)</w:t>
            </w:r>
          </w:p>
        </w:tc>
        <w:tc>
          <w:tcPr>
            <w:tcW w:w="1997" w:type="dxa"/>
            <w:tcBorders>
              <w:top w:val="nil"/>
              <w:left w:val="nil"/>
              <w:bottom w:val="nil"/>
              <w:right w:val="nil"/>
            </w:tcBorders>
            <w:shd w:val="clear" w:color="auto" w:fill="auto"/>
            <w:noWrap/>
            <w:vAlign w:val="bottom"/>
            <w:hideMark/>
          </w:tcPr>
          <w:p w14:paraId="7652AEBB"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106.3 (91.76)</w:t>
            </w:r>
          </w:p>
        </w:tc>
        <w:tc>
          <w:tcPr>
            <w:tcW w:w="1098" w:type="dxa"/>
            <w:tcBorders>
              <w:top w:val="nil"/>
              <w:left w:val="nil"/>
              <w:bottom w:val="nil"/>
              <w:right w:val="nil"/>
            </w:tcBorders>
            <w:shd w:val="clear" w:color="auto" w:fill="auto"/>
            <w:noWrap/>
            <w:vAlign w:val="bottom"/>
            <w:hideMark/>
          </w:tcPr>
          <w:p w14:paraId="5D06352B" w14:textId="112496AE"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4945E7F1"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77ADE343" w14:textId="77777777" w:rsidR="00BD1F5A" w:rsidRPr="00911385" w:rsidRDefault="00BD1F5A" w:rsidP="00BD1F5A">
            <w:pPr>
              <w:rPr>
                <w:color w:val="000000"/>
                <w:sz w:val="22"/>
                <w:szCs w:val="22"/>
                <w:lang w:eastAsia="en-GB"/>
              </w:rPr>
            </w:pPr>
            <w:r w:rsidRPr="00911385">
              <w:rPr>
                <w:color w:val="000000"/>
                <w:sz w:val="22"/>
                <w:szCs w:val="22"/>
                <w:lang w:eastAsia="en-GB"/>
              </w:rPr>
              <w:t>D-Dimer</w:t>
            </w:r>
          </w:p>
        </w:tc>
        <w:tc>
          <w:tcPr>
            <w:tcW w:w="1996" w:type="dxa"/>
            <w:tcBorders>
              <w:top w:val="nil"/>
              <w:left w:val="nil"/>
              <w:bottom w:val="nil"/>
              <w:right w:val="nil"/>
            </w:tcBorders>
            <w:shd w:val="clear" w:color="auto" w:fill="auto"/>
            <w:noWrap/>
            <w:vAlign w:val="bottom"/>
            <w:hideMark/>
          </w:tcPr>
          <w:p w14:paraId="64F47135"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2506.73 (3942.01)</w:t>
            </w:r>
          </w:p>
        </w:tc>
        <w:tc>
          <w:tcPr>
            <w:tcW w:w="1997" w:type="dxa"/>
            <w:tcBorders>
              <w:top w:val="nil"/>
              <w:left w:val="nil"/>
              <w:bottom w:val="nil"/>
              <w:right w:val="nil"/>
            </w:tcBorders>
            <w:shd w:val="clear" w:color="auto" w:fill="auto"/>
            <w:noWrap/>
            <w:vAlign w:val="bottom"/>
            <w:hideMark/>
          </w:tcPr>
          <w:p w14:paraId="10A7DF70"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2874.63 (4103.94)</w:t>
            </w:r>
          </w:p>
        </w:tc>
        <w:tc>
          <w:tcPr>
            <w:tcW w:w="1997" w:type="dxa"/>
            <w:tcBorders>
              <w:top w:val="nil"/>
              <w:left w:val="nil"/>
              <w:bottom w:val="nil"/>
              <w:right w:val="nil"/>
            </w:tcBorders>
            <w:shd w:val="clear" w:color="auto" w:fill="auto"/>
            <w:noWrap/>
            <w:vAlign w:val="bottom"/>
            <w:hideMark/>
          </w:tcPr>
          <w:p w14:paraId="133395B8"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2283.74 (3862.81)</w:t>
            </w:r>
          </w:p>
        </w:tc>
        <w:tc>
          <w:tcPr>
            <w:tcW w:w="1098" w:type="dxa"/>
            <w:tcBorders>
              <w:top w:val="nil"/>
              <w:left w:val="nil"/>
              <w:bottom w:val="nil"/>
              <w:right w:val="nil"/>
            </w:tcBorders>
            <w:shd w:val="clear" w:color="auto" w:fill="auto"/>
            <w:noWrap/>
            <w:vAlign w:val="bottom"/>
            <w:hideMark/>
          </w:tcPr>
          <w:p w14:paraId="3D037901" w14:textId="77777777" w:rsidR="00BD1F5A" w:rsidRPr="00911385" w:rsidRDefault="00BD1F5A" w:rsidP="00BD1F5A">
            <w:pPr>
              <w:jc w:val="center"/>
              <w:rPr>
                <w:color w:val="000000"/>
                <w:sz w:val="22"/>
                <w:szCs w:val="22"/>
                <w:lang w:eastAsia="en-GB"/>
              </w:rPr>
            </w:pPr>
            <w:r w:rsidRPr="00911385">
              <w:rPr>
                <w:color w:val="000000"/>
                <w:sz w:val="22"/>
                <w:szCs w:val="22"/>
                <w:lang w:eastAsia="en-GB"/>
              </w:rPr>
              <w:t>0.04</w:t>
            </w:r>
          </w:p>
        </w:tc>
      </w:tr>
      <w:tr w:rsidR="00BD1F5A" w:rsidRPr="00911385" w14:paraId="658D5EFC"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19DFD475" w14:textId="77777777" w:rsidR="00BD1F5A" w:rsidRPr="00911385" w:rsidRDefault="00BD1F5A" w:rsidP="00BD1F5A">
            <w:pPr>
              <w:rPr>
                <w:color w:val="000000"/>
                <w:sz w:val="22"/>
                <w:szCs w:val="22"/>
                <w:lang w:eastAsia="en-GB"/>
              </w:rPr>
            </w:pPr>
            <w:r w:rsidRPr="00911385">
              <w:rPr>
                <w:color w:val="000000"/>
                <w:sz w:val="22"/>
                <w:szCs w:val="22"/>
                <w:lang w:eastAsia="en-GB"/>
              </w:rPr>
              <w:t>LDH</w:t>
            </w:r>
          </w:p>
        </w:tc>
        <w:tc>
          <w:tcPr>
            <w:tcW w:w="1996" w:type="dxa"/>
            <w:tcBorders>
              <w:top w:val="nil"/>
              <w:left w:val="nil"/>
              <w:bottom w:val="nil"/>
              <w:right w:val="nil"/>
            </w:tcBorders>
            <w:shd w:val="clear" w:color="auto" w:fill="auto"/>
            <w:noWrap/>
            <w:vAlign w:val="bottom"/>
            <w:hideMark/>
          </w:tcPr>
          <w:p w14:paraId="3AE6400E" w14:textId="77777777" w:rsidR="00BD1F5A" w:rsidRPr="00911385" w:rsidRDefault="00BD1F5A" w:rsidP="00BD1F5A">
            <w:pPr>
              <w:jc w:val="center"/>
              <w:rPr>
                <w:color w:val="000000"/>
                <w:sz w:val="22"/>
                <w:szCs w:val="22"/>
                <w:lang w:eastAsia="en-GB"/>
              </w:rPr>
            </w:pPr>
            <w:r w:rsidRPr="00911385">
              <w:rPr>
                <w:color w:val="000000"/>
                <w:sz w:val="22"/>
                <w:szCs w:val="22"/>
                <w:lang w:eastAsia="en-GB"/>
              </w:rPr>
              <w:t>505.21 (434.52)</w:t>
            </w:r>
          </w:p>
        </w:tc>
        <w:tc>
          <w:tcPr>
            <w:tcW w:w="1997" w:type="dxa"/>
            <w:tcBorders>
              <w:top w:val="nil"/>
              <w:left w:val="nil"/>
              <w:bottom w:val="nil"/>
              <w:right w:val="nil"/>
            </w:tcBorders>
            <w:shd w:val="clear" w:color="auto" w:fill="auto"/>
            <w:noWrap/>
            <w:vAlign w:val="bottom"/>
            <w:hideMark/>
          </w:tcPr>
          <w:p w14:paraId="2E3431BA" w14:textId="77777777" w:rsidR="00BD1F5A" w:rsidRPr="00911385" w:rsidRDefault="00BD1F5A" w:rsidP="00BD1F5A">
            <w:pPr>
              <w:jc w:val="center"/>
              <w:rPr>
                <w:color w:val="000000"/>
                <w:sz w:val="22"/>
                <w:szCs w:val="22"/>
                <w:lang w:eastAsia="en-GB"/>
              </w:rPr>
            </w:pPr>
            <w:r w:rsidRPr="00911385">
              <w:rPr>
                <w:color w:val="000000"/>
                <w:sz w:val="22"/>
                <w:szCs w:val="22"/>
                <w:lang w:eastAsia="en-GB"/>
              </w:rPr>
              <w:t>623.8 (680.95)</w:t>
            </w:r>
          </w:p>
        </w:tc>
        <w:tc>
          <w:tcPr>
            <w:tcW w:w="1997" w:type="dxa"/>
            <w:tcBorders>
              <w:top w:val="nil"/>
              <w:left w:val="nil"/>
              <w:bottom w:val="nil"/>
              <w:right w:val="nil"/>
            </w:tcBorders>
            <w:shd w:val="clear" w:color="auto" w:fill="auto"/>
            <w:noWrap/>
            <w:vAlign w:val="bottom"/>
            <w:hideMark/>
          </w:tcPr>
          <w:p w14:paraId="236481D7" w14:textId="77777777" w:rsidR="00BD1F5A" w:rsidRPr="00911385" w:rsidRDefault="00BD1F5A" w:rsidP="00BD1F5A">
            <w:pPr>
              <w:jc w:val="center"/>
              <w:rPr>
                <w:color w:val="000000"/>
                <w:sz w:val="22"/>
                <w:szCs w:val="22"/>
                <w:lang w:eastAsia="en-GB"/>
              </w:rPr>
            </w:pPr>
            <w:r w:rsidRPr="00911385">
              <w:rPr>
                <w:color w:val="000000"/>
                <w:sz w:val="22"/>
                <w:szCs w:val="22"/>
                <w:lang w:eastAsia="en-GB"/>
              </w:rPr>
              <w:t>439.86 (273.7)</w:t>
            </w:r>
          </w:p>
        </w:tc>
        <w:tc>
          <w:tcPr>
            <w:tcW w:w="1098" w:type="dxa"/>
            <w:tcBorders>
              <w:top w:val="nil"/>
              <w:left w:val="nil"/>
              <w:bottom w:val="nil"/>
              <w:right w:val="nil"/>
            </w:tcBorders>
            <w:shd w:val="clear" w:color="auto" w:fill="auto"/>
            <w:noWrap/>
            <w:vAlign w:val="bottom"/>
            <w:hideMark/>
          </w:tcPr>
          <w:p w14:paraId="61D5E3B4" w14:textId="3E4FA394"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2BA2C346"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7B81C747" w14:textId="77777777" w:rsidR="00BD1F5A" w:rsidRPr="00911385" w:rsidRDefault="00BD1F5A" w:rsidP="00BD1F5A">
            <w:pPr>
              <w:rPr>
                <w:color w:val="000000"/>
                <w:sz w:val="22"/>
                <w:szCs w:val="22"/>
                <w:lang w:eastAsia="en-GB"/>
              </w:rPr>
            </w:pPr>
            <w:r w:rsidRPr="00911385">
              <w:rPr>
                <w:color w:val="000000"/>
                <w:sz w:val="22"/>
                <w:szCs w:val="22"/>
                <w:lang w:eastAsia="en-GB"/>
              </w:rPr>
              <w:t>Troponin</w:t>
            </w:r>
          </w:p>
        </w:tc>
        <w:tc>
          <w:tcPr>
            <w:tcW w:w="1996" w:type="dxa"/>
            <w:tcBorders>
              <w:top w:val="nil"/>
              <w:left w:val="nil"/>
              <w:bottom w:val="nil"/>
              <w:right w:val="nil"/>
            </w:tcBorders>
            <w:shd w:val="clear" w:color="auto" w:fill="auto"/>
            <w:noWrap/>
            <w:vAlign w:val="bottom"/>
            <w:hideMark/>
          </w:tcPr>
          <w:p w14:paraId="3CC6F7EA"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14 (35.5)</w:t>
            </w:r>
          </w:p>
        </w:tc>
        <w:tc>
          <w:tcPr>
            <w:tcW w:w="1997" w:type="dxa"/>
            <w:tcBorders>
              <w:top w:val="nil"/>
              <w:left w:val="nil"/>
              <w:bottom w:val="nil"/>
              <w:right w:val="nil"/>
            </w:tcBorders>
            <w:shd w:val="clear" w:color="auto" w:fill="auto"/>
            <w:noWrap/>
            <w:vAlign w:val="bottom"/>
            <w:hideMark/>
          </w:tcPr>
          <w:p w14:paraId="38218F12"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252.69 (904.56)</w:t>
            </w:r>
          </w:p>
        </w:tc>
        <w:tc>
          <w:tcPr>
            <w:tcW w:w="1997" w:type="dxa"/>
            <w:tcBorders>
              <w:top w:val="nil"/>
              <w:left w:val="nil"/>
              <w:bottom w:val="nil"/>
              <w:right w:val="nil"/>
            </w:tcBorders>
            <w:shd w:val="clear" w:color="auto" w:fill="auto"/>
            <w:noWrap/>
            <w:vAlign w:val="bottom"/>
            <w:hideMark/>
          </w:tcPr>
          <w:p w14:paraId="7A7A6ED1" w14:textId="77777777" w:rsidR="00BD1F5A" w:rsidRPr="00911385" w:rsidRDefault="00BD1F5A" w:rsidP="00BD1F5A">
            <w:pPr>
              <w:jc w:val="center"/>
              <w:rPr>
                <w:color w:val="000000"/>
                <w:sz w:val="22"/>
                <w:szCs w:val="22"/>
                <w:lang w:eastAsia="en-GB"/>
              </w:rPr>
            </w:pPr>
            <w:r w:rsidRPr="00911385">
              <w:rPr>
                <w:color w:val="000000"/>
                <w:sz w:val="22"/>
                <w:szCs w:val="22"/>
                <w:lang w:eastAsia="en-GB"/>
              </w:rPr>
              <w:t>86.8 (914.33)</w:t>
            </w:r>
          </w:p>
        </w:tc>
        <w:tc>
          <w:tcPr>
            <w:tcW w:w="1098" w:type="dxa"/>
            <w:tcBorders>
              <w:top w:val="nil"/>
              <w:left w:val="nil"/>
              <w:bottom w:val="nil"/>
              <w:right w:val="nil"/>
            </w:tcBorders>
            <w:shd w:val="clear" w:color="auto" w:fill="auto"/>
            <w:noWrap/>
            <w:vAlign w:val="bottom"/>
            <w:hideMark/>
          </w:tcPr>
          <w:p w14:paraId="45FA3A7E" w14:textId="6848E62A"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4B2CF722"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1E2A238E" w14:textId="77777777" w:rsidR="00BD1F5A" w:rsidRPr="00911385" w:rsidRDefault="00BD1F5A" w:rsidP="00BD1F5A">
            <w:pPr>
              <w:rPr>
                <w:color w:val="000000"/>
                <w:sz w:val="22"/>
                <w:szCs w:val="22"/>
                <w:lang w:eastAsia="en-GB"/>
              </w:rPr>
            </w:pPr>
            <w:r w:rsidRPr="00911385">
              <w:rPr>
                <w:color w:val="000000"/>
                <w:sz w:val="22"/>
                <w:szCs w:val="22"/>
                <w:lang w:eastAsia="en-GB"/>
              </w:rPr>
              <w:t>CK</w:t>
            </w:r>
          </w:p>
        </w:tc>
        <w:tc>
          <w:tcPr>
            <w:tcW w:w="1996" w:type="dxa"/>
            <w:tcBorders>
              <w:top w:val="nil"/>
              <w:left w:val="nil"/>
              <w:bottom w:val="nil"/>
              <w:right w:val="nil"/>
            </w:tcBorders>
            <w:shd w:val="clear" w:color="auto" w:fill="auto"/>
            <w:noWrap/>
            <w:vAlign w:val="bottom"/>
            <w:hideMark/>
          </w:tcPr>
          <w:p w14:paraId="51A2D13B" w14:textId="77777777" w:rsidR="00BD1F5A" w:rsidRPr="00911385" w:rsidRDefault="00BD1F5A" w:rsidP="00BD1F5A">
            <w:pPr>
              <w:jc w:val="center"/>
              <w:rPr>
                <w:color w:val="000000"/>
                <w:sz w:val="22"/>
                <w:szCs w:val="22"/>
                <w:lang w:eastAsia="en-GB"/>
              </w:rPr>
            </w:pPr>
            <w:r w:rsidRPr="00911385">
              <w:rPr>
                <w:color w:val="000000"/>
                <w:sz w:val="22"/>
                <w:szCs w:val="22"/>
                <w:lang w:eastAsia="en-GB"/>
              </w:rPr>
              <w:t>541.34 (1355.61)</w:t>
            </w:r>
          </w:p>
        </w:tc>
        <w:tc>
          <w:tcPr>
            <w:tcW w:w="1997" w:type="dxa"/>
            <w:tcBorders>
              <w:top w:val="nil"/>
              <w:left w:val="nil"/>
              <w:bottom w:val="nil"/>
              <w:right w:val="nil"/>
            </w:tcBorders>
            <w:shd w:val="clear" w:color="auto" w:fill="auto"/>
            <w:noWrap/>
            <w:vAlign w:val="bottom"/>
            <w:hideMark/>
          </w:tcPr>
          <w:p w14:paraId="6E41ABAF" w14:textId="77777777" w:rsidR="00BD1F5A" w:rsidRPr="00911385" w:rsidRDefault="00BD1F5A" w:rsidP="00BD1F5A">
            <w:pPr>
              <w:jc w:val="center"/>
              <w:rPr>
                <w:color w:val="000000"/>
                <w:sz w:val="22"/>
                <w:szCs w:val="22"/>
                <w:lang w:eastAsia="en-GB"/>
              </w:rPr>
            </w:pPr>
            <w:r w:rsidRPr="00911385">
              <w:rPr>
                <w:color w:val="000000"/>
                <w:sz w:val="22"/>
                <w:szCs w:val="22"/>
                <w:lang w:eastAsia="en-GB"/>
              </w:rPr>
              <w:t>695.31 (1173.64)</w:t>
            </w:r>
          </w:p>
        </w:tc>
        <w:tc>
          <w:tcPr>
            <w:tcW w:w="1997" w:type="dxa"/>
            <w:tcBorders>
              <w:top w:val="nil"/>
              <w:left w:val="nil"/>
              <w:bottom w:val="nil"/>
              <w:right w:val="nil"/>
            </w:tcBorders>
            <w:shd w:val="clear" w:color="auto" w:fill="auto"/>
            <w:noWrap/>
            <w:vAlign w:val="bottom"/>
            <w:hideMark/>
          </w:tcPr>
          <w:p w14:paraId="68643DF3" w14:textId="77777777" w:rsidR="00BD1F5A" w:rsidRPr="00911385" w:rsidRDefault="00BD1F5A" w:rsidP="00BD1F5A">
            <w:pPr>
              <w:jc w:val="center"/>
              <w:rPr>
                <w:color w:val="000000"/>
                <w:sz w:val="22"/>
                <w:szCs w:val="22"/>
                <w:lang w:eastAsia="en-GB"/>
              </w:rPr>
            </w:pPr>
            <w:r w:rsidRPr="00911385">
              <w:rPr>
                <w:color w:val="000000"/>
                <w:sz w:val="22"/>
                <w:szCs w:val="22"/>
                <w:lang w:eastAsia="en-GB"/>
              </w:rPr>
              <w:t>497.39 (1532.79)</w:t>
            </w:r>
          </w:p>
        </w:tc>
        <w:tc>
          <w:tcPr>
            <w:tcW w:w="1098" w:type="dxa"/>
            <w:tcBorders>
              <w:top w:val="nil"/>
              <w:left w:val="nil"/>
              <w:bottom w:val="nil"/>
              <w:right w:val="nil"/>
            </w:tcBorders>
            <w:shd w:val="clear" w:color="auto" w:fill="auto"/>
            <w:noWrap/>
            <w:vAlign w:val="bottom"/>
            <w:hideMark/>
          </w:tcPr>
          <w:p w14:paraId="68A98A56" w14:textId="646417A2"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6F63D2E0"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1711B0CA" w14:textId="77777777" w:rsidR="00BD1F5A" w:rsidRPr="00911385" w:rsidRDefault="00BD1F5A" w:rsidP="00BD1F5A">
            <w:pPr>
              <w:rPr>
                <w:color w:val="000000"/>
                <w:sz w:val="22"/>
                <w:szCs w:val="22"/>
                <w:lang w:eastAsia="en-GB"/>
              </w:rPr>
            </w:pPr>
            <w:r w:rsidRPr="00911385">
              <w:rPr>
                <w:color w:val="000000"/>
                <w:sz w:val="22"/>
                <w:szCs w:val="22"/>
                <w:lang w:eastAsia="en-GB"/>
              </w:rPr>
              <w:t>Cortisol (random)</w:t>
            </w:r>
          </w:p>
        </w:tc>
        <w:tc>
          <w:tcPr>
            <w:tcW w:w="1996" w:type="dxa"/>
            <w:tcBorders>
              <w:top w:val="nil"/>
              <w:left w:val="nil"/>
              <w:bottom w:val="nil"/>
              <w:right w:val="nil"/>
            </w:tcBorders>
            <w:shd w:val="clear" w:color="auto" w:fill="auto"/>
            <w:noWrap/>
            <w:vAlign w:val="bottom"/>
            <w:hideMark/>
          </w:tcPr>
          <w:p w14:paraId="1CB7FC44" w14:textId="77777777" w:rsidR="00BD1F5A" w:rsidRPr="00911385" w:rsidRDefault="00BD1F5A" w:rsidP="00BD1F5A">
            <w:pPr>
              <w:jc w:val="center"/>
              <w:rPr>
                <w:color w:val="000000"/>
                <w:sz w:val="22"/>
                <w:szCs w:val="22"/>
                <w:lang w:eastAsia="en-GB"/>
              </w:rPr>
            </w:pPr>
            <w:r w:rsidRPr="00911385">
              <w:rPr>
                <w:color w:val="000000"/>
                <w:sz w:val="22"/>
                <w:szCs w:val="22"/>
                <w:lang w:eastAsia="en-GB"/>
              </w:rPr>
              <w:t>802.14 (572.51)</w:t>
            </w:r>
          </w:p>
        </w:tc>
        <w:tc>
          <w:tcPr>
            <w:tcW w:w="1997" w:type="dxa"/>
            <w:tcBorders>
              <w:top w:val="nil"/>
              <w:left w:val="nil"/>
              <w:bottom w:val="nil"/>
              <w:right w:val="nil"/>
            </w:tcBorders>
            <w:shd w:val="clear" w:color="auto" w:fill="auto"/>
            <w:noWrap/>
            <w:vAlign w:val="bottom"/>
            <w:hideMark/>
          </w:tcPr>
          <w:p w14:paraId="59559019" w14:textId="77777777" w:rsidR="00BD1F5A" w:rsidRPr="00911385" w:rsidRDefault="00BD1F5A" w:rsidP="00BD1F5A">
            <w:pPr>
              <w:jc w:val="center"/>
              <w:rPr>
                <w:color w:val="000000"/>
                <w:sz w:val="22"/>
                <w:szCs w:val="22"/>
                <w:lang w:eastAsia="en-GB"/>
              </w:rPr>
            </w:pPr>
            <w:r w:rsidRPr="00911385">
              <w:rPr>
                <w:color w:val="000000"/>
                <w:sz w:val="22"/>
                <w:szCs w:val="22"/>
                <w:lang w:eastAsia="en-GB"/>
              </w:rPr>
              <w:t>904 (544.45)</w:t>
            </w:r>
          </w:p>
        </w:tc>
        <w:tc>
          <w:tcPr>
            <w:tcW w:w="1997" w:type="dxa"/>
            <w:tcBorders>
              <w:top w:val="nil"/>
              <w:left w:val="nil"/>
              <w:bottom w:val="nil"/>
              <w:right w:val="nil"/>
            </w:tcBorders>
            <w:shd w:val="clear" w:color="auto" w:fill="auto"/>
            <w:noWrap/>
            <w:vAlign w:val="bottom"/>
            <w:hideMark/>
          </w:tcPr>
          <w:p w14:paraId="4285EF4A" w14:textId="77777777" w:rsidR="00BD1F5A" w:rsidRPr="00911385" w:rsidRDefault="00BD1F5A" w:rsidP="00BD1F5A">
            <w:pPr>
              <w:jc w:val="center"/>
              <w:rPr>
                <w:color w:val="000000"/>
                <w:sz w:val="22"/>
                <w:szCs w:val="22"/>
                <w:lang w:eastAsia="en-GB"/>
              </w:rPr>
            </w:pPr>
            <w:r w:rsidRPr="00911385">
              <w:rPr>
                <w:color w:val="000000"/>
                <w:sz w:val="22"/>
                <w:szCs w:val="22"/>
                <w:lang w:eastAsia="en-GB"/>
              </w:rPr>
              <w:t>719.29 (579.67)</w:t>
            </w:r>
          </w:p>
        </w:tc>
        <w:tc>
          <w:tcPr>
            <w:tcW w:w="1098" w:type="dxa"/>
            <w:tcBorders>
              <w:top w:val="nil"/>
              <w:left w:val="nil"/>
              <w:bottom w:val="nil"/>
              <w:right w:val="nil"/>
            </w:tcBorders>
            <w:shd w:val="clear" w:color="auto" w:fill="auto"/>
            <w:noWrap/>
            <w:vAlign w:val="bottom"/>
            <w:hideMark/>
          </w:tcPr>
          <w:p w14:paraId="2739CC6A" w14:textId="77777777" w:rsidR="00BD1F5A" w:rsidRPr="00911385" w:rsidRDefault="00BD1F5A" w:rsidP="00BD1F5A">
            <w:pPr>
              <w:jc w:val="center"/>
              <w:rPr>
                <w:color w:val="000000"/>
                <w:sz w:val="22"/>
                <w:szCs w:val="22"/>
                <w:lang w:eastAsia="en-GB"/>
              </w:rPr>
            </w:pPr>
            <w:r w:rsidRPr="00911385">
              <w:rPr>
                <w:color w:val="000000"/>
                <w:sz w:val="22"/>
                <w:szCs w:val="22"/>
                <w:lang w:eastAsia="en-GB"/>
              </w:rPr>
              <w:t>0.02</w:t>
            </w:r>
          </w:p>
        </w:tc>
      </w:tr>
      <w:tr w:rsidR="00BD1F5A" w:rsidRPr="00911385" w14:paraId="6C4E8507"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639DC971" w14:textId="77777777" w:rsidR="00BD1F5A" w:rsidRPr="00911385" w:rsidRDefault="00BD1F5A" w:rsidP="00BD1F5A">
            <w:pPr>
              <w:rPr>
                <w:color w:val="000000"/>
                <w:sz w:val="22"/>
                <w:szCs w:val="22"/>
                <w:lang w:eastAsia="en-GB"/>
              </w:rPr>
            </w:pPr>
            <w:r w:rsidRPr="00911385">
              <w:rPr>
                <w:color w:val="000000"/>
                <w:sz w:val="22"/>
                <w:szCs w:val="22"/>
                <w:lang w:eastAsia="en-GB"/>
              </w:rPr>
              <w:t>BNP</w:t>
            </w:r>
          </w:p>
        </w:tc>
        <w:tc>
          <w:tcPr>
            <w:tcW w:w="1996" w:type="dxa"/>
            <w:tcBorders>
              <w:top w:val="nil"/>
              <w:left w:val="nil"/>
              <w:bottom w:val="nil"/>
              <w:right w:val="nil"/>
            </w:tcBorders>
            <w:shd w:val="clear" w:color="auto" w:fill="auto"/>
            <w:noWrap/>
            <w:vAlign w:val="bottom"/>
            <w:hideMark/>
          </w:tcPr>
          <w:p w14:paraId="3745EDCF" w14:textId="77777777" w:rsidR="00BD1F5A" w:rsidRPr="00911385" w:rsidRDefault="00BD1F5A" w:rsidP="00BD1F5A">
            <w:pPr>
              <w:jc w:val="center"/>
              <w:rPr>
                <w:color w:val="000000"/>
                <w:sz w:val="22"/>
                <w:szCs w:val="22"/>
                <w:lang w:eastAsia="en-GB"/>
              </w:rPr>
            </w:pPr>
            <w:r w:rsidRPr="00911385">
              <w:rPr>
                <w:color w:val="000000"/>
                <w:sz w:val="22"/>
                <w:szCs w:val="22"/>
                <w:lang w:eastAsia="en-GB"/>
              </w:rPr>
              <w:t>37 (98)</w:t>
            </w:r>
          </w:p>
        </w:tc>
        <w:tc>
          <w:tcPr>
            <w:tcW w:w="1997" w:type="dxa"/>
            <w:tcBorders>
              <w:top w:val="nil"/>
              <w:left w:val="nil"/>
              <w:bottom w:val="nil"/>
              <w:right w:val="nil"/>
            </w:tcBorders>
            <w:shd w:val="clear" w:color="auto" w:fill="auto"/>
            <w:noWrap/>
            <w:vAlign w:val="bottom"/>
            <w:hideMark/>
          </w:tcPr>
          <w:p w14:paraId="10C0FE69" w14:textId="77777777" w:rsidR="00BD1F5A" w:rsidRPr="00911385" w:rsidRDefault="00BD1F5A" w:rsidP="00BD1F5A">
            <w:pPr>
              <w:jc w:val="center"/>
              <w:rPr>
                <w:color w:val="000000"/>
                <w:sz w:val="22"/>
                <w:szCs w:val="22"/>
                <w:lang w:eastAsia="en-GB"/>
              </w:rPr>
            </w:pPr>
            <w:r w:rsidRPr="00911385">
              <w:rPr>
                <w:color w:val="000000"/>
                <w:sz w:val="22"/>
                <w:szCs w:val="22"/>
                <w:lang w:eastAsia="en-GB"/>
              </w:rPr>
              <w:t>433.29 (1569.13)</w:t>
            </w:r>
          </w:p>
        </w:tc>
        <w:tc>
          <w:tcPr>
            <w:tcW w:w="1997" w:type="dxa"/>
            <w:tcBorders>
              <w:top w:val="nil"/>
              <w:left w:val="nil"/>
              <w:bottom w:val="nil"/>
              <w:right w:val="nil"/>
            </w:tcBorders>
            <w:shd w:val="clear" w:color="auto" w:fill="auto"/>
            <w:noWrap/>
            <w:vAlign w:val="bottom"/>
            <w:hideMark/>
          </w:tcPr>
          <w:p w14:paraId="56ECBE50"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105.9 (277.8)</w:t>
            </w:r>
          </w:p>
        </w:tc>
        <w:tc>
          <w:tcPr>
            <w:tcW w:w="1098" w:type="dxa"/>
            <w:tcBorders>
              <w:top w:val="nil"/>
              <w:left w:val="nil"/>
              <w:bottom w:val="nil"/>
              <w:right w:val="nil"/>
            </w:tcBorders>
            <w:shd w:val="clear" w:color="auto" w:fill="auto"/>
            <w:noWrap/>
            <w:vAlign w:val="bottom"/>
            <w:hideMark/>
          </w:tcPr>
          <w:p w14:paraId="534DD76E" w14:textId="483155ED" w:rsidR="00BD1F5A" w:rsidRPr="00911385" w:rsidRDefault="00BD1F5A" w:rsidP="00BD1F5A">
            <w:pPr>
              <w:jc w:val="center"/>
              <w:rPr>
                <w:color w:val="000000"/>
                <w:sz w:val="22"/>
                <w:szCs w:val="22"/>
                <w:lang w:eastAsia="en-GB"/>
              </w:rPr>
            </w:pPr>
            <w:r>
              <w:rPr>
                <w:color w:val="000000"/>
                <w:sz w:val="22"/>
                <w:szCs w:val="22"/>
                <w:lang w:eastAsia="en-GB"/>
              </w:rPr>
              <w:t>&lt;</w:t>
            </w:r>
            <w:r w:rsidRPr="00911385">
              <w:rPr>
                <w:color w:val="000000"/>
                <w:sz w:val="22"/>
                <w:szCs w:val="22"/>
                <w:lang w:eastAsia="en-GB"/>
              </w:rPr>
              <w:t>0.0</w:t>
            </w:r>
            <w:r>
              <w:rPr>
                <w:color w:val="000000"/>
                <w:sz w:val="22"/>
                <w:szCs w:val="22"/>
                <w:lang w:eastAsia="en-GB"/>
              </w:rPr>
              <w:t>1</w:t>
            </w:r>
          </w:p>
        </w:tc>
      </w:tr>
      <w:tr w:rsidR="00BD1F5A" w:rsidRPr="00911385" w14:paraId="418645F8" w14:textId="77777777" w:rsidTr="00BD1F5A">
        <w:trPr>
          <w:trHeight w:val="300"/>
          <w:jc w:val="center"/>
        </w:trPr>
        <w:tc>
          <w:tcPr>
            <w:tcW w:w="1843" w:type="dxa"/>
            <w:tcBorders>
              <w:top w:val="nil"/>
              <w:left w:val="nil"/>
              <w:bottom w:val="nil"/>
              <w:right w:val="nil"/>
            </w:tcBorders>
            <w:shd w:val="clear" w:color="auto" w:fill="auto"/>
            <w:noWrap/>
            <w:vAlign w:val="bottom"/>
            <w:hideMark/>
          </w:tcPr>
          <w:p w14:paraId="1B52573B" w14:textId="77777777" w:rsidR="00BD1F5A" w:rsidRPr="00911385" w:rsidRDefault="00BD1F5A" w:rsidP="00BD1F5A">
            <w:pPr>
              <w:rPr>
                <w:color w:val="000000"/>
                <w:sz w:val="22"/>
                <w:szCs w:val="22"/>
                <w:lang w:eastAsia="en-GB"/>
              </w:rPr>
            </w:pPr>
            <w:r w:rsidRPr="00911385">
              <w:rPr>
                <w:color w:val="000000"/>
                <w:sz w:val="22"/>
                <w:szCs w:val="22"/>
                <w:lang w:eastAsia="en-GB"/>
              </w:rPr>
              <w:t>Ferritin</w:t>
            </w:r>
          </w:p>
        </w:tc>
        <w:tc>
          <w:tcPr>
            <w:tcW w:w="1996" w:type="dxa"/>
            <w:tcBorders>
              <w:top w:val="nil"/>
              <w:left w:val="nil"/>
              <w:bottom w:val="nil"/>
              <w:right w:val="nil"/>
            </w:tcBorders>
            <w:shd w:val="clear" w:color="auto" w:fill="auto"/>
            <w:noWrap/>
            <w:vAlign w:val="bottom"/>
            <w:hideMark/>
          </w:tcPr>
          <w:p w14:paraId="40E9254F"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2010.93 (9717.62)</w:t>
            </w:r>
          </w:p>
        </w:tc>
        <w:tc>
          <w:tcPr>
            <w:tcW w:w="1997" w:type="dxa"/>
            <w:tcBorders>
              <w:top w:val="nil"/>
              <w:left w:val="nil"/>
              <w:bottom w:val="nil"/>
              <w:right w:val="nil"/>
            </w:tcBorders>
            <w:shd w:val="clear" w:color="auto" w:fill="auto"/>
            <w:noWrap/>
            <w:vAlign w:val="bottom"/>
            <w:hideMark/>
          </w:tcPr>
          <w:p w14:paraId="4B492E5A" w14:textId="77777777" w:rsidR="00BD1F5A" w:rsidRPr="00911385" w:rsidRDefault="00BD1F5A" w:rsidP="00BD1F5A">
            <w:pPr>
              <w:jc w:val="center"/>
              <w:rPr>
                <w:color w:val="000000"/>
                <w:sz w:val="22"/>
                <w:szCs w:val="22"/>
                <w:lang w:eastAsia="en-GB"/>
              </w:rPr>
            </w:pPr>
            <w:r w:rsidRPr="00911385">
              <w:rPr>
                <w:color w:val="000000"/>
                <w:sz w:val="22"/>
                <w:szCs w:val="22"/>
                <w:lang w:eastAsia="en-GB"/>
              </w:rPr>
              <w:t>1672.31 (2841.14)</w:t>
            </w:r>
          </w:p>
        </w:tc>
        <w:tc>
          <w:tcPr>
            <w:tcW w:w="1997" w:type="dxa"/>
            <w:tcBorders>
              <w:top w:val="nil"/>
              <w:left w:val="nil"/>
              <w:bottom w:val="nil"/>
              <w:right w:val="nil"/>
            </w:tcBorders>
            <w:shd w:val="clear" w:color="auto" w:fill="auto"/>
            <w:noWrap/>
            <w:vAlign w:val="bottom"/>
            <w:hideMark/>
          </w:tcPr>
          <w:p w14:paraId="518406B0" w14:textId="77777777" w:rsidR="00BD1F5A" w:rsidRPr="00911385" w:rsidRDefault="00BD1F5A" w:rsidP="00BD1F5A">
            <w:pPr>
              <w:jc w:val="center"/>
              <w:rPr>
                <w:color w:val="000000"/>
                <w:sz w:val="22"/>
                <w:szCs w:val="22"/>
                <w:lang w:eastAsia="en-GB"/>
              </w:rPr>
            </w:pPr>
            <w:r w:rsidRPr="00911385">
              <w:rPr>
                <w:color w:val="000000"/>
                <w:sz w:val="22"/>
                <w:szCs w:val="22"/>
                <w:lang w:eastAsia="en-GB"/>
              </w:rPr>
              <w:t>2236.05 (12487.42)</w:t>
            </w:r>
          </w:p>
        </w:tc>
        <w:tc>
          <w:tcPr>
            <w:tcW w:w="1098" w:type="dxa"/>
            <w:tcBorders>
              <w:top w:val="nil"/>
              <w:left w:val="nil"/>
              <w:bottom w:val="nil"/>
              <w:right w:val="nil"/>
            </w:tcBorders>
            <w:shd w:val="clear" w:color="auto" w:fill="auto"/>
            <w:noWrap/>
            <w:vAlign w:val="bottom"/>
            <w:hideMark/>
          </w:tcPr>
          <w:p w14:paraId="51017F87" w14:textId="77777777" w:rsidR="00BD1F5A" w:rsidRPr="00911385" w:rsidRDefault="00BD1F5A" w:rsidP="00BD1F5A">
            <w:pPr>
              <w:jc w:val="center"/>
              <w:rPr>
                <w:color w:val="000000"/>
                <w:sz w:val="22"/>
                <w:szCs w:val="22"/>
                <w:lang w:eastAsia="en-GB"/>
              </w:rPr>
            </w:pPr>
            <w:r w:rsidRPr="00911385">
              <w:rPr>
                <w:color w:val="000000"/>
                <w:sz w:val="22"/>
                <w:szCs w:val="22"/>
                <w:lang w:eastAsia="en-GB"/>
              </w:rPr>
              <w:t>0.50</w:t>
            </w:r>
          </w:p>
        </w:tc>
      </w:tr>
    </w:tbl>
    <w:p w14:paraId="49DB73EF" w14:textId="77777777" w:rsidR="00911385" w:rsidRPr="000864AC" w:rsidRDefault="00911385" w:rsidP="006D3944">
      <w:pPr>
        <w:rPr>
          <w:rStyle w:val="normaltextrun"/>
          <w:sz w:val="22"/>
          <w:szCs w:val="22"/>
          <w:lang w:val="en-US"/>
        </w:rPr>
      </w:pPr>
    </w:p>
    <w:p w14:paraId="551935B0" w14:textId="77777777" w:rsidR="00646CC1" w:rsidRDefault="00646CC1" w:rsidP="006D3944">
      <w:pPr>
        <w:rPr>
          <w:rStyle w:val="normaltextrun"/>
          <w:b/>
          <w:bCs/>
          <w:sz w:val="22"/>
          <w:szCs w:val="22"/>
          <w:lang w:val="en-US"/>
        </w:rPr>
        <w:sectPr w:rsidR="00646CC1" w:rsidSect="002037EC">
          <w:pgSz w:w="12240" w:h="15840"/>
          <w:pgMar w:top="720" w:right="720" w:bottom="720" w:left="720" w:header="720" w:footer="720" w:gutter="0"/>
          <w:cols w:space="720"/>
          <w:docGrid w:linePitch="360"/>
        </w:sectPr>
      </w:pPr>
    </w:p>
    <w:p w14:paraId="0D1E8C8C" w14:textId="64420DD3" w:rsidR="00646CC1" w:rsidRDefault="00646CC1" w:rsidP="006D3944">
      <w:pPr>
        <w:rPr>
          <w:rStyle w:val="normaltextrun"/>
          <w:b/>
          <w:bCs/>
          <w:sz w:val="22"/>
          <w:szCs w:val="22"/>
          <w:lang w:val="en-US"/>
        </w:rPr>
      </w:pPr>
    </w:p>
    <w:p w14:paraId="4BBC14F9" w14:textId="59F76C05" w:rsidR="006D3944" w:rsidRDefault="006D3944" w:rsidP="006D3944">
      <w:pPr>
        <w:rPr>
          <w:rStyle w:val="normaltextrun"/>
          <w:sz w:val="22"/>
          <w:szCs w:val="22"/>
          <w:lang w:val="en-US"/>
        </w:rPr>
      </w:pPr>
      <w:r w:rsidRPr="005C0E80">
        <w:rPr>
          <w:rStyle w:val="normaltextrun"/>
          <w:b/>
          <w:bCs/>
          <w:sz w:val="22"/>
          <w:szCs w:val="22"/>
          <w:lang w:val="en-US"/>
        </w:rPr>
        <w:t>Supplementary Table S</w:t>
      </w:r>
      <w:r w:rsidR="00BC24FA">
        <w:rPr>
          <w:rStyle w:val="normaltextrun"/>
          <w:b/>
          <w:bCs/>
          <w:sz w:val="22"/>
          <w:szCs w:val="22"/>
          <w:lang w:val="en-US"/>
        </w:rPr>
        <w:t>2</w:t>
      </w:r>
      <w:r w:rsidRPr="005C0E80">
        <w:rPr>
          <w:rStyle w:val="normaltextrun"/>
          <w:b/>
          <w:bCs/>
          <w:sz w:val="22"/>
          <w:szCs w:val="22"/>
          <w:lang w:val="en-US"/>
        </w:rPr>
        <w:t xml:space="preserve">: </w:t>
      </w:r>
      <w:r w:rsidRPr="005C0E80">
        <w:rPr>
          <w:rStyle w:val="normaltextrun"/>
          <w:sz w:val="22"/>
          <w:szCs w:val="22"/>
          <w:lang w:val="en-US"/>
        </w:rPr>
        <w:t xml:space="preserve">Comorbidities and outcomes by age </w:t>
      </w:r>
    </w:p>
    <w:p w14:paraId="097D8454" w14:textId="7050F56D" w:rsidR="006D3944" w:rsidRDefault="006D3944" w:rsidP="006D3944">
      <w:pPr>
        <w:rPr>
          <w:i/>
          <w:iCs/>
          <w:sz w:val="22"/>
          <w:szCs w:val="22"/>
          <w:lang w:val="en-US"/>
        </w:rPr>
      </w:pPr>
      <w:r w:rsidRPr="005C0E80">
        <w:rPr>
          <w:i/>
          <w:iCs/>
          <w:sz w:val="22"/>
          <w:szCs w:val="22"/>
          <w:lang w:val="en-US"/>
        </w:rPr>
        <w:t>Abbreviations: 95% CI, 95% confidence interval; COPD, chronic obstructive pulmonary disease; DVT/PE, deep vein thrombosis / pulmonary embolism; HIV/AIDS, human immunodeficiency virus / acquired immunodeficiency syndrome; HDU/ITU, high dependency unit / intensive treatment unit; OR, odds ratio</w:t>
      </w:r>
    </w:p>
    <w:p w14:paraId="6CE4573F" w14:textId="77777777" w:rsidR="00675494" w:rsidRPr="005C0E80" w:rsidRDefault="00675494" w:rsidP="006D3944">
      <w:pPr>
        <w:rPr>
          <w:i/>
          <w:iCs/>
          <w:sz w:val="22"/>
          <w:szCs w:val="22"/>
          <w:lang w:val="en-US"/>
        </w:rPr>
      </w:pPr>
    </w:p>
    <w:tbl>
      <w:tblPr>
        <w:tblW w:w="4479" w:type="pct"/>
        <w:tblLayout w:type="fixed"/>
        <w:tblLook w:val="04A0" w:firstRow="1" w:lastRow="0" w:firstColumn="1" w:lastColumn="0" w:noHBand="0" w:noVBand="1"/>
      </w:tblPr>
      <w:tblGrid>
        <w:gridCol w:w="2410"/>
        <w:gridCol w:w="1311"/>
        <w:gridCol w:w="1311"/>
        <w:gridCol w:w="1311"/>
        <w:gridCol w:w="1312"/>
        <w:gridCol w:w="1311"/>
        <w:gridCol w:w="1311"/>
        <w:gridCol w:w="1311"/>
        <w:gridCol w:w="1312"/>
      </w:tblGrid>
      <w:tr w:rsidR="00936371" w:rsidRPr="00675494" w14:paraId="7CF5BD40" w14:textId="77777777" w:rsidTr="000864AC">
        <w:trPr>
          <w:trHeight w:val="620"/>
        </w:trPr>
        <w:tc>
          <w:tcPr>
            <w:tcW w:w="2410" w:type="dxa"/>
            <w:tcBorders>
              <w:top w:val="single" w:sz="18" w:space="0" w:color="auto"/>
              <w:left w:val="nil"/>
              <w:bottom w:val="single" w:sz="18" w:space="0" w:color="auto"/>
              <w:right w:val="nil"/>
            </w:tcBorders>
            <w:shd w:val="clear" w:color="auto" w:fill="auto"/>
            <w:noWrap/>
            <w:vAlign w:val="bottom"/>
            <w:hideMark/>
          </w:tcPr>
          <w:p w14:paraId="73083455" w14:textId="77777777" w:rsidR="00936371" w:rsidRPr="0022374A" w:rsidRDefault="00936371" w:rsidP="00B82659">
            <w:pPr>
              <w:rPr>
                <w:sz w:val="18"/>
                <w:szCs w:val="18"/>
                <w:lang w:eastAsia="en-GB"/>
              </w:rPr>
            </w:pPr>
          </w:p>
        </w:tc>
        <w:tc>
          <w:tcPr>
            <w:tcW w:w="1311" w:type="dxa"/>
            <w:tcBorders>
              <w:top w:val="single" w:sz="18" w:space="0" w:color="auto"/>
              <w:left w:val="nil"/>
              <w:bottom w:val="single" w:sz="18" w:space="0" w:color="auto"/>
              <w:right w:val="nil"/>
            </w:tcBorders>
            <w:shd w:val="clear" w:color="auto" w:fill="auto"/>
            <w:vAlign w:val="bottom"/>
            <w:hideMark/>
          </w:tcPr>
          <w:p w14:paraId="1CCC8E20"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 xml:space="preserve">&lt;18 </w:t>
            </w:r>
          </w:p>
          <w:p w14:paraId="6E75352B"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(n = 4)</w:t>
            </w:r>
          </w:p>
        </w:tc>
        <w:tc>
          <w:tcPr>
            <w:tcW w:w="1311" w:type="dxa"/>
            <w:tcBorders>
              <w:top w:val="single" w:sz="18" w:space="0" w:color="auto"/>
              <w:left w:val="nil"/>
              <w:bottom w:val="single" w:sz="18" w:space="0" w:color="auto"/>
              <w:right w:val="nil"/>
            </w:tcBorders>
            <w:shd w:val="clear" w:color="auto" w:fill="auto"/>
            <w:vAlign w:val="bottom"/>
            <w:hideMark/>
          </w:tcPr>
          <w:p w14:paraId="2185A0C5"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 xml:space="preserve">18-29 </w:t>
            </w:r>
          </w:p>
          <w:p w14:paraId="1E7559A5"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(n = 9)</w:t>
            </w:r>
          </w:p>
        </w:tc>
        <w:tc>
          <w:tcPr>
            <w:tcW w:w="1311" w:type="dxa"/>
            <w:tcBorders>
              <w:top w:val="single" w:sz="18" w:space="0" w:color="auto"/>
              <w:left w:val="nil"/>
              <w:bottom w:val="single" w:sz="18" w:space="0" w:color="auto"/>
              <w:right w:val="nil"/>
            </w:tcBorders>
            <w:shd w:val="clear" w:color="auto" w:fill="auto"/>
            <w:vAlign w:val="bottom"/>
            <w:hideMark/>
          </w:tcPr>
          <w:p w14:paraId="16FCCBA3"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 xml:space="preserve">30-39 </w:t>
            </w:r>
          </w:p>
          <w:p w14:paraId="7B1CE4A2"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(n = 34)</w:t>
            </w:r>
          </w:p>
        </w:tc>
        <w:tc>
          <w:tcPr>
            <w:tcW w:w="1312" w:type="dxa"/>
            <w:tcBorders>
              <w:top w:val="single" w:sz="18" w:space="0" w:color="auto"/>
              <w:left w:val="nil"/>
              <w:bottom w:val="single" w:sz="18" w:space="0" w:color="auto"/>
              <w:right w:val="nil"/>
            </w:tcBorders>
            <w:shd w:val="clear" w:color="auto" w:fill="auto"/>
            <w:vAlign w:val="bottom"/>
            <w:hideMark/>
          </w:tcPr>
          <w:p w14:paraId="1E7C1271"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 xml:space="preserve">40-49 </w:t>
            </w:r>
          </w:p>
          <w:p w14:paraId="18DC28A2"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(n = 45)</w:t>
            </w:r>
          </w:p>
        </w:tc>
        <w:tc>
          <w:tcPr>
            <w:tcW w:w="1311" w:type="dxa"/>
            <w:tcBorders>
              <w:top w:val="single" w:sz="18" w:space="0" w:color="auto"/>
              <w:left w:val="nil"/>
              <w:bottom w:val="single" w:sz="18" w:space="0" w:color="auto"/>
              <w:right w:val="nil"/>
            </w:tcBorders>
            <w:shd w:val="clear" w:color="auto" w:fill="auto"/>
            <w:vAlign w:val="bottom"/>
            <w:hideMark/>
          </w:tcPr>
          <w:p w14:paraId="510F8F70"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 xml:space="preserve">50-59 </w:t>
            </w:r>
          </w:p>
          <w:p w14:paraId="5CFEAB8E"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(n = 120)</w:t>
            </w:r>
          </w:p>
        </w:tc>
        <w:tc>
          <w:tcPr>
            <w:tcW w:w="1311" w:type="dxa"/>
            <w:tcBorders>
              <w:top w:val="single" w:sz="18" w:space="0" w:color="auto"/>
              <w:left w:val="nil"/>
              <w:bottom w:val="single" w:sz="18" w:space="0" w:color="auto"/>
              <w:right w:val="nil"/>
            </w:tcBorders>
            <w:shd w:val="clear" w:color="auto" w:fill="auto"/>
            <w:vAlign w:val="bottom"/>
            <w:hideMark/>
          </w:tcPr>
          <w:p w14:paraId="310847B2"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 xml:space="preserve">60-69 </w:t>
            </w:r>
          </w:p>
          <w:p w14:paraId="25B33ABA"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(n = 93)</w:t>
            </w:r>
          </w:p>
        </w:tc>
        <w:tc>
          <w:tcPr>
            <w:tcW w:w="1311" w:type="dxa"/>
            <w:tcBorders>
              <w:top w:val="single" w:sz="18" w:space="0" w:color="auto"/>
              <w:left w:val="nil"/>
              <w:bottom w:val="single" w:sz="18" w:space="0" w:color="auto"/>
              <w:right w:val="nil"/>
            </w:tcBorders>
            <w:shd w:val="clear" w:color="auto" w:fill="auto"/>
            <w:vAlign w:val="bottom"/>
            <w:hideMark/>
          </w:tcPr>
          <w:p w14:paraId="67E0BAD9"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 xml:space="preserve">70-79 </w:t>
            </w:r>
          </w:p>
          <w:p w14:paraId="336D0966"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(n = 139)</w:t>
            </w:r>
          </w:p>
        </w:tc>
        <w:tc>
          <w:tcPr>
            <w:tcW w:w="1312" w:type="dxa"/>
            <w:tcBorders>
              <w:top w:val="single" w:sz="18" w:space="0" w:color="auto"/>
              <w:left w:val="nil"/>
              <w:bottom w:val="single" w:sz="18" w:space="0" w:color="auto"/>
              <w:right w:val="nil"/>
            </w:tcBorders>
            <w:shd w:val="clear" w:color="auto" w:fill="auto"/>
            <w:vAlign w:val="bottom"/>
            <w:hideMark/>
          </w:tcPr>
          <w:p w14:paraId="790E5D7A"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 xml:space="preserve">80+ </w:t>
            </w:r>
          </w:p>
          <w:p w14:paraId="3724FFD7" w14:textId="77777777" w:rsidR="00936371" w:rsidRPr="0022374A" w:rsidRDefault="00936371" w:rsidP="00B82659">
            <w:pPr>
              <w:jc w:val="center"/>
              <w:rPr>
                <w:b/>
                <w:bCs/>
                <w:color w:val="000000"/>
                <w:sz w:val="18"/>
                <w:szCs w:val="18"/>
                <w:lang w:eastAsia="en-GB"/>
              </w:rPr>
            </w:pPr>
            <w:r w:rsidRPr="0022374A">
              <w:rPr>
                <w:b/>
                <w:bCs/>
                <w:color w:val="000000"/>
                <w:sz w:val="18"/>
                <w:szCs w:val="18"/>
                <w:lang w:eastAsia="en-GB"/>
              </w:rPr>
              <w:t>(n = 171)</w:t>
            </w:r>
          </w:p>
        </w:tc>
      </w:tr>
      <w:tr w:rsidR="00936371" w:rsidRPr="00675494" w14:paraId="0FFD6B68" w14:textId="77777777" w:rsidTr="000864AC">
        <w:trPr>
          <w:trHeight w:val="300"/>
        </w:trPr>
        <w:tc>
          <w:tcPr>
            <w:tcW w:w="2410" w:type="dxa"/>
            <w:tcBorders>
              <w:top w:val="single" w:sz="18" w:space="0" w:color="auto"/>
              <w:left w:val="nil"/>
              <w:bottom w:val="single" w:sz="18" w:space="0" w:color="auto"/>
              <w:right w:val="nil"/>
            </w:tcBorders>
            <w:shd w:val="clear" w:color="auto" w:fill="auto"/>
            <w:noWrap/>
            <w:vAlign w:val="bottom"/>
            <w:hideMark/>
          </w:tcPr>
          <w:p w14:paraId="7A6A4C36" w14:textId="77777777" w:rsidR="00936371" w:rsidRPr="0022374A" w:rsidRDefault="00936371" w:rsidP="00B82659">
            <w:pPr>
              <w:rPr>
                <w:b/>
                <w:bCs/>
                <w:color w:val="000000"/>
                <w:sz w:val="18"/>
                <w:szCs w:val="18"/>
                <w:lang w:eastAsia="en-GB"/>
              </w:rPr>
            </w:pPr>
            <w:r w:rsidRPr="0022374A">
              <w:rPr>
                <w:b/>
                <w:bCs/>
                <w:color w:val="000000"/>
                <w:sz w:val="18"/>
                <w:szCs w:val="18"/>
                <w:lang w:eastAsia="en-GB"/>
              </w:rPr>
              <w:t>Comorbidities (%)</w:t>
            </w:r>
          </w:p>
        </w:tc>
        <w:tc>
          <w:tcPr>
            <w:tcW w:w="1311" w:type="dxa"/>
            <w:tcBorders>
              <w:top w:val="single" w:sz="18" w:space="0" w:color="auto"/>
              <w:left w:val="nil"/>
              <w:bottom w:val="single" w:sz="18" w:space="0" w:color="auto"/>
              <w:right w:val="nil"/>
            </w:tcBorders>
            <w:shd w:val="clear" w:color="auto" w:fill="auto"/>
            <w:vAlign w:val="bottom"/>
            <w:hideMark/>
          </w:tcPr>
          <w:p w14:paraId="5AFABF82" w14:textId="77777777" w:rsidR="00936371" w:rsidRPr="0022374A" w:rsidRDefault="00936371" w:rsidP="00B82659">
            <w:pPr>
              <w:rPr>
                <w:b/>
                <w:bCs/>
                <w:color w:val="000000"/>
                <w:sz w:val="18"/>
                <w:szCs w:val="18"/>
                <w:lang w:eastAsia="en-GB"/>
              </w:rPr>
            </w:pPr>
          </w:p>
        </w:tc>
        <w:tc>
          <w:tcPr>
            <w:tcW w:w="1311" w:type="dxa"/>
            <w:tcBorders>
              <w:top w:val="single" w:sz="18" w:space="0" w:color="auto"/>
              <w:left w:val="nil"/>
              <w:bottom w:val="single" w:sz="18" w:space="0" w:color="auto"/>
              <w:right w:val="nil"/>
            </w:tcBorders>
            <w:shd w:val="clear" w:color="auto" w:fill="auto"/>
            <w:vAlign w:val="bottom"/>
            <w:hideMark/>
          </w:tcPr>
          <w:p w14:paraId="6091BCDC" w14:textId="77777777" w:rsidR="00936371" w:rsidRPr="0022374A" w:rsidRDefault="00936371" w:rsidP="00B82659">
            <w:pPr>
              <w:jc w:val="center"/>
              <w:rPr>
                <w:sz w:val="18"/>
                <w:szCs w:val="18"/>
                <w:lang w:eastAsia="en-GB"/>
              </w:rPr>
            </w:pPr>
          </w:p>
        </w:tc>
        <w:tc>
          <w:tcPr>
            <w:tcW w:w="1311" w:type="dxa"/>
            <w:tcBorders>
              <w:top w:val="single" w:sz="18" w:space="0" w:color="auto"/>
              <w:left w:val="nil"/>
              <w:bottom w:val="single" w:sz="18" w:space="0" w:color="auto"/>
              <w:right w:val="nil"/>
            </w:tcBorders>
            <w:shd w:val="clear" w:color="auto" w:fill="auto"/>
            <w:vAlign w:val="bottom"/>
            <w:hideMark/>
          </w:tcPr>
          <w:p w14:paraId="52072D92" w14:textId="77777777" w:rsidR="00936371" w:rsidRPr="0022374A" w:rsidRDefault="00936371" w:rsidP="00B82659">
            <w:pPr>
              <w:jc w:val="center"/>
              <w:rPr>
                <w:sz w:val="18"/>
                <w:szCs w:val="18"/>
                <w:lang w:eastAsia="en-GB"/>
              </w:rPr>
            </w:pPr>
          </w:p>
        </w:tc>
        <w:tc>
          <w:tcPr>
            <w:tcW w:w="1312" w:type="dxa"/>
            <w:tcBorders>
              <w:top w:val="single" w:sz="18" w:space="0" w:color="auto"/>
              <w:left w:val="nil"/>
              <w:bottom w:val="single" w:sz="18" w:space="0" w:color="auto"/>
              <w:right w:val="nil"/>
            </w:tcBorders>
            <w:shd w:val="clear" w:color="auto" w:fill="auto"/>
            <w:vAlign w:val="bottom"/>
            <w:hideMark/>
          </w:tcPr>
          <w:p w14:paraId="786C1839" w14:textId="77777777" w:rsidR="00936371" w:rsidRPr="0022374A" w:rsidRDefault="00936371" w:rsidP="00B82659">
            <w:pPr>
              <w:jc w:val="center"/>
              <w:rPr>
                <w:sz w:val="18"/>
                <w:szCs w:val="18"/>
                <w:lang w:eastAsia="en-GB"/>
              </w:rPr>
            </w:pPr>
          </w:p>
        </w:tc>
        <w:tc>
          <w:tcPr>
            <w:tcW w:w="1311" w:type="dxa"/>
            <w:tcBorders>
              <w:top w:val="single" w:sz="18" w:space="0" w:color="auto"/>
              <w:left w:val="nil"/>
              <w:bottom w:val="single" w:sz="18" w:space="0" w:color="auto"/>
              <w:right w:val="nil"/>
            </w:tcBorders>
            <w:shd w:val="clear" w:color="auto" w:fill="auto"/>
            <w:vAlign w:val="bottom"/>
            <w:hideMark/>
          </w:tcPr>
          <w:p w14:paraId="65EA28E8" w14:textId="77777777" w:rsidR="00936371" w:rsidRPr="0022374A" w:rsidRDefault="00936371" w:rsidP="00B82659">
            <w:pPr>
              <w:jc w:val="center"/>
              <w:rPr>
                <w:sz w:val="18"/>
                <w:szCs w:val="18"/>
                <w:lang w:eastAsia="en-GB"/>
              </w:rPr>
            </w:pPr>
          </w:p>
        </w:tc>
        <w:tc>
          <w:tcPr>
            <w:tcW w:w="1311" w:type="dxa"/>
            <w:tcBorders>
              <w:top w:val="single" w:sz="18" w:space="0" w:color="auto"/>
              <w:left w:val="nil"/>
              <w:bottom w:val="single" w:sz="18" w:space="0" w:color="auto"/>
              <w:right w:val="nil"/>
            </w:tcBorders>
            <w:shd w:val="clear" w:color="auto" w:fill="auto"/>
            <w:vAlign w:val="bottom"/>
            <w:hideMark/>
          </w:tcPr>
          <w:p w14:paraId="63304331" w14:textId="77777777" w:rsidR="00936371" w:rsidRPr="0022374A" w:rsidRDefault="00936371" w:rsidP="00B82659">
            <w:pPr>
              <w:jc w:val="center"/>
              <w:rPr>
                <w:sz w:val="18"/>
                <w:szCs w:val="18"/>
                <w:lang w:eastAsia="en-GB"/>
              </w:rPr>
            </w:pPr>
          </w:p>
        </w:tc>
        <w:tc>
          <w:tcPr>
            <w:tcW w:w="1311" w:type="dxa"/>
            <w:tcBorders>
              <w:top w:val="single" w:sz="18" w:space="0" w:color="auto"/>
              <w:left w:val="nil"/>
              <w:bottom w:val="single" w:sz="18" w:space="0" w:color="auto"/>
              <w:right w:val="nil"/>
            </w:tcBorders>
            <w:shd w:val="clear" w:color="auto" w:fill="auto"/>
            <w:vAlign w:val="bottom"/>
            <w:hideMark/>
          </w:tcPr>
          <w:p w14:paraId="4D8E92C1" w14:textId="77777777" w:rsidR="00936371" w:rsidRPr="0022374A" w:rsidRDefault="00936371" w:rsidP="00B82659">
            <w:pPr>
              <w:jc w:val="center"/>
              <w:rPr>
                <w:sz w:val="18"/>
                <w:szCs w:val="18"/>
                <w:lang w:eastAsia="en-GB"/>
              </w:rPr>
            </w:pPr>
          </w:p>
        </w:tc>
        <w:tc>
          <w:tcPr>
            <w:tcW w:w="1312" w:type="dxa"/>
            <w:tcBorders>
              <w:top w:val="single" w:sz="18" w:space="0" w:color="auto"/>
              <w:left w:val="nil"/>
              <w:bottom w:val="single" w:sz="18" w:space="0" w:color="auto"/>
              <w:right w:val="nil"/>
            </w:tcBorders>
            <w:shd w:val="clear" w:color="auto" w:fill="auto"/>
            <w:vAlign w:val="bottom"/>
            <w:hideMark/>
          </w:tcPr>
          <w:p w14:paraId="71A0DBCA" w14:textId="77777777" w:rsidR="00936371" w:rsidRPr="0022374A" w:rsidRDefault="00936371" w:rsidP="00B82659">
            <w:pPr>
              <w:jc w:val="center"/>
              <w:rPr>
                <w:sz w:val="18"/>
                <w:szCs w:val="18"/>
                <w:lang w:eastAsia="en-GB"/>
              </w:rPr>
            </w:pPr>
          </w:p>
        </w:tc>
      </w:tr>
      <w:tr w:rsidR="00936371" w:rsidRPr="00675494" w14:paraId="6EAE97CA" w14:textId="77777777" w:rsidTr="000864AC">
        <w:trPr>
          <w:trHeight w:val="300"/>
        </w:trPr>
        <w:tc>
          <w:tcPr>
            <w:tcW w:w="2410" w:type="dxa"/>
            <w:tcBorders>
              <w:top w:val="single" w:sz="18" w:space="0" w:color="auto"/>
              <w:left w:val="nil"/>
              <w:bottom w:val="nil"/>
              <w:right w:val="nil"/>
            </w:tcBorders>
            <w:shd w:val="clear" w:color="auto" w:fill="auto"/>
            <w:noWrap/>
            <w:vAlign w:val="bottom"/>
            <w:hideMark/>
          </w:tcPr>
          <w:p w14:paraId="080E2D35" w14:textId="77777777" w:rsidR="00936371" w:rsidRPr="0022374A" w:rsidRDefault="00936371" w:rsidP="00B82659">
            <w:pPr>
              <w:rPr>
                <w:color w:val="000000"/>
                <w:sz w:val="18"/>
                <w:szCs w:val="18"/>
                <w:lang w:eastAsia="en-GB"/>
              </w:rPr>
            </w:pPr>
            <w:r w:rsidRPr="0022374A">
              <w:rPr>
                <w:color w:val="000000"/>
                <w:sz w:val="18"/>
                <w:szCs w:val="18"/>
                <w:lang w:eastAsia="en-GB"/>
              </w:rPr>
              <w:t>Any comorbidity</w:t>
            </w:r>
          </w:p>
        </w:tc>
        <w:tc>
          <w:tcPr>
            <w:tcW w:w="1311" w:type="dxa"/>
            <w:tcBorders>
              <w:top w:val="single" w:sz="18" w:space="0" w:color="auto"/>
              <w:left w:val="nil"/>
              <w:bottom w:val="nil"/>
              <w:right w:val="nil"/>
            </w:tcBorders>
            <w:shd w:val="clear" w:color="auto" w:fill="auto"/>
            <w:noWrap/>
            <w:vAlign w:val="bottom"/>
            <w:hideMark/>
          </w:tcPr>
          <w:p w14:paraId="22E8F51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single" w:sz="18" w:space="0" w:color="auto"/>
              <w:left w:val="nil"/>
              <w:bottom w:val="nil"/>
              <w:right w:val="nil"/>
            </w:tcBorders>
            <w:shd w:val="clear" w:color="auto" w:fill="auto"/>
            <w:noWrap/>
            <w:vAlign w:val="bottom"/>
            <w:hideMark/>
          </w:tcPr>
          <w:p w14:paraId="5E102F7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 (33.3%)</w:t>
            </w:r>
          </w:p>
        </w:tc>
        <w:tc>
          <w:tcPr>
            <w:tcW w:w="1311" w:type="dxa"/>
            <w:tcBorders>
              <w:top w:val="single" w:sz="18" w:space="0" w:color="auto"/>
              <w:left w:val="nil"/>
              <w:bottom w:val="nil"/>
              <w:right w:val="nil"/>
            </w:tcBorders>
            <w:shd w:val="clear" w:color="auto" w:fill="auto"/>
            <w:noWrap/>
            <w:vAlign w:val="bottom"/>
            <w:hideMark/>
          </w:tcPr>
          <w:p w14:paraId="2DFA4246"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11 (32.4%)</w:t>
            </w:r>
          </w:p>
        </w:tc>
        <w:tc>
          <w:tcPr>
            <w:tcW w:w="1312" w:type="dxa"/>
            <w:tcBorders>
              <w:top w:val="single" w:sz="18" w:space="0" w:color="auto"/>
              <w:left w:val="nil"/>
              <w:bottom w:val="nil"/>
              <w:right w:val="nil"/>
            </w:tcBorders>
            <w:shd w:val="clear" w:color="auto" w:fill="auto"/>
            <w:noWrap/>
            <w:vAlign w:val="bottom"/>
            <w:hideMark/>
          </w:tcPr>
          <w:p w14:paraId="74CD40E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18 (40%)</w:t>
            </w:r>
          </w:p>
        </w:tc>
        <w:tc>
          <w:tcPr>
            <w:tcW w:w="1311" w:type="dxa"/>
            <w:tcBorders>
              <w:top w:val="single" w:sz="18" w:space="0" w:color="auto"/>
              <w:left w:val="nil"/>
              <w:bottom w:val="nil"/>
              <w:right w:val="nil"/>
            </w:tcBorders>
            <w:shd w:val="clear" w:color="auto" w:fill="auto"/>
            <w:noWrap/>
            <w:vAlign w:val="bottom"/>
            <w:hideMark/>
          </w:tcPr>
          <w:p w14:paraId="0140F1E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70 (58.3%)</w:t>
            </w:r>
          </w:p>
        </w:tc>
        <w:tc>
          <w:tcPr>
            <w:tcW w:w="1311" w:type="dxa"/>
            <w:tcBorders>
              <w:top w:val="single" w:sz="18" w:space="0" w:color="auto"/>
              <w:left w:val="nil"/>
              <w:bottom w:val="nil"/>
              <w:right w:val="nil"/>
            </w:tcBorders>
            <w:shd w:val="clear" w:color="auto" w:fill="auto"/>
            <w:noWrap/>
            <w:vAlign w:val="bottom"/>
            <w:hideMark/>
          </w:tcPr>
          <w:p w14:paraId="338E20E3" w14:textId="77777777" w:rsidR="00936371" w:rsidRPr="0022374A" w:rsidRDefault="00936371" w:rsidP="00B82659">
            <w:pPr>
              <w:jc w:val="center"/>
              <w:rPr>
                <w:color w:val="000000"/>
                <w:sz w:val="18"/>
                <w:szCs w:val="18"/>
                <w:lang w:eastAsia="en-GB"/>
              </w:rPr>
            </w:pPr>
            <w:r w:rsidRPr="0022374A">
              <w:rPr>
                <w:color w:val="000000"/>
                <w:sz w:val="18"/>
                <w:szCs w:val="18"/>
                <w:lang w:eastAsia="en-GB"/>
              </w:rPr>
              <w:t>52 (55.9%)</w:t>
            </w:r>
          </w:p>
        </w:tc>
        <w:tc>
          <w:tcPr>
            <w:tcW w:w="1311" w:type="dxa"/>
            <w:tcBorders>
              <w:top w:val="single" w:sz="18" w:space="0" w:color="auto"/>
              <w:left w:val="nil"/>
              <w:bottom w:val="nil"/>
              <w:right w:val="nil"/>
            </w:tcBorders>
            <w:shd w:val="clear" w:color="auto" w:fill="auto"/>
            <w:noWrap/>
            <w:vAlign w:val="bottom"/>
            <w:hideMark/>
          </w:tcPr>
          <w:p w14:paraId="6E906DB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96 (69.1%)</w:t>
            </w:r>
          </w:p>
        </w:tc>
        <w:tc>
          <w:tcPr>
            <w:tcW w:w="1312" w:type="dxa"/>
            <w:tcBorders>
              <w:top w:val="single" w:sz="18" w:space="0" w:color="auto"/>
              <w:left w:val="nil"/>
              <w:bottom w:val="nil"/>
              <w:right w:val="nil"/>
            </w:tcBorders>
            <w:shd w:val="clear" w:color="auto" w:fill="auto"/>
            <w:noWrap/>
            <w:vAlign w:val="bottom"/>
            <w:hideMark/>
          </w:tcPr>
          <w:p w14:paraId="35CF101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133 (77.8%)</w:t>
            </w:r>
          </w:p>
        </w:tc>
      </w:tr>
      <w:tr w:rsidR="00936371" w:rsidRPr="00675494" w14:paraId="08DF4CA4" w14:textId="77777777" w:rsidTr="000864AC">
        <w:trPr>
          <w:trHeight w:val="300"/>
        </w:trPr>
        <w:tc>
          <w:tcPr>
            <w:tcW w:w="2410" w:type="dxa"/>
            <w:tcBorders>
              <w:top w:val="nil"/>
              <w:left w:val="nil"/>
              <w:bottom w:val="nil"/>
              <w:right w:val="nil"/>
            </w:tcBorders>
            <w:shd w:val="clear" w:color="auto" w:fill="auto"/>
            <w:noWrap/>
            <w:vAlign w:val="bottom"/>
            <w:hideMark/>
          </w:tcPr>
          <w:p w14:paraId="3B020456" w14:textId="77777777" w:rsidR="00936371" w:rsidRPr="0022374A" w:rsidRDefault="00936371" w:rsidP="00B82659">
            <w:pPr>
              <w:rPr>
                <w:color w:val="000000"/>
                <w:sz w:val="18"/>
                <w:szCs w:val="18"/>
                <w:lang w:eastAsia="en-GB"/>
              </w:rPr>
            </w:pPr>
            <w:r w:rsidRPr="0022374A">
              <w:rPr>
                <w:color w:val="000000"/>
                <w:sz w:val="18"/>
                <w:szCs w:val="18"/>
                <w:lang w:eastAsia="en-GB"/>
              </w:rPr>
              <w:t>Hypertension</w:t>
            </w:r>
          </w:p>
        </w:tc>
        <w:tc>
          <w:tcPr>
            <w:tcW w:w="1311" w:type="dxa"/>
            <w:tcBorders>
              <w:top w:val="nil"/>
              <w:left w:val="nil"/>
              <w:bottom w:val="nil"/>
              <w:right w:val="nil"/>
            </w:tcBorders>
            <w:shd w:val="clear" w:color="auto" w:fill="auto"/>
            <w:noWrap/>
            <w:vAlign w:val="bottom"/>
            <w:hideMark/>
          </w:tcPr>
          <w:p w14:paraId="576D3D1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14CCAF9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B79C5D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 (8.8%)</w:t>
            </w:r>
          </w:p>
        </w:tc>
        <w:tc>
          <w:tcPr>
            <w:tcW w:w="1312" w:type="dxa"/>
            <w:tcBorders>
              <w:top w:val="nil"/>
              <w:left w:val="nil"/>
              <w:bottom w:val="nil"/>
              <w:right w:val="nil"/>
            </w:tcBorders>
            <w:shd w:val="clear" w:color="auto" w:fill="auto"/>
            <w:noWrap/>
            <w:vAlign w:val="bottom"/>
            <w:hideMark/>
          </w:tcPr>
          <w:p w14:paraId="59A8B97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7 (15.6%)</w:t>
            </w:r>
          </w:p>
        </w:tc>
        <w:tc>
          <w:tcPr>
            <w:tcW w:w="1311" w:type="dxa"/>
            <w:tcBorders>
              <w:top w:val="nil"/>
              <w:left w:val="nil"/>
              <w:bottom w:val="nil"/>
              <w:right w:val="nil"/>
            </w:tcBorders>
            <w:shd w:val="clear" w:color="auto" w:fill="auto"/>
            <w:noWrap/>
            <w:vAlign w:val="bottom"/>
            <w:hideMark/>
          </w:tcPr>
          <w:p w14:paraId="38DF6EE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37 (30.8%)</w:t>
            </w:r>
          </w:p>
        </w:tc>
        <w:tc>
          <w:tcPr>
            <w:tcW w:w="1311" w:type="dxa"/>
            <w:tcBorders>
              <w:top w:val="nil"/>
              <w:left w:val="nil"/>
              <w:bottom w:val="nil"/>
              <w:right w:val="nil"/>
            </w:tcBorders>
            <w:shd w:val="clear" w:color="auto" w:fill="auto"/>
            <w:noWrap/>
            <w:vAlign w:val="bottom"/>
            <w:hideMark/>
          </w:tcPr>
          <w:p w14:paraId="6EADA279"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35 (37.6%)</w:t>
            </w:r>
          </w:p>
        </w:tc>
        <w:tc>
          <w:tcPr>
            <w:tcW w:w="1311" w:type="dxa"/>
            <w:tcBorders>
              <w:top w:val="nil"/>
              <w:left w:val="nil"/>
              <w:bottom w:val="nil"/>
              <w:right w:val="nil"/>
            </w:tcBorders>
            <w:shd w:val="clear" w:color="auto" w:fill="auto"/>
            <w:noWrap/>
            <w:vAlign w:val="bottom"/>
            <w:hideMark/>
          </w:tcPr>
          <w:p w14:paraId="163EFC03" w14:textId="77777777" w:rsidR="00936371" w:rsidRPr="0022374A" w:rsidRDefault="00936371" w:rsidP="00B82659">
            <w:pPr>
              <w:jc w:val="center"/>
              <w:rPr>
                <w:color w:val="000000"/>
                <w:sz w:val="18"/>
                <w:szCs w:val="18"/>
                <w:lang w:eastAsia="en-GB"/>
              </w:rPr>
            </w:pPr>
            <w:r w:rsidRPr="0022374A">
              <w:rPr>
                <w:color w:val="000000"/>
                <w:sz w:val="18"/>
                <w:szCs w:val="18"/>
                <w:lang w:eastAsia="en-GB"/>
              </w:rPr>
              <w:t>56 (40.3%)</w:t>
            </w:r>
          </w:p>
        </w:tc>
        <w:tc>
          <w:tcPr>
            <w:tcW w:w="1312" w:type="dxa"/>
            <w:tcBorders>
              <w:top w:val="nil"/>
              <w:left w:val="nil"/>
              <w:bottom w:val="nil"/>
              <w:right w:val="nil"/>
            </w:tcBorders>
            <w:shd w:val="clear" w:color="auto" w:fill="auto"/>
            <w:noWrap/>
            <w:vAlign w:val="bottom"/>
            <w:hideMark/>
          </w:tcPr>
          <w:p w14:paraId="0956C2E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89 (52%)</w:t>
            </w:r>
          </w:p>
        </w:tc>
      </w:tr>
      <w:tr w:rsidR="00936371" w:rsidRPr="00675494" w14:paraId="482FAED3" w14:textId="77777777" w:rsidTr="000864AC">
        <w:trPr>
          <w:trHeight w:val="300"/>
        </w:trPr>
        <w:tc>
          <w:tcPr>
            <w:tcW w:w="2410" w:type="dxa"/>
            <w:tcBorders>
              <w:top w:val="nil"/>
              <w:left w:val="nil"/>
              <w:bottom w:val="nil"/>
              <w:right w:val="nil"/>
            </w:tcBorders>
            <w:shd w:val="clear" w:color="auto" w:fill="auto"/>
            <w:noWrap/>
            <w:vAlign w:val="bottom"/>
            <w:hideMark/>
          </w:tcPr>
          <w:p w14:paraId="798BD484" w14:textId="77777777" w:rsidR="00936371" w:rsidRPr="0022374A" w:rsidRDefault="00936371" w:rsidP="00B82659">
            <w:pPr>
              <w:rPr>
                <w:color w:val="000000"/>
                <w:sz w:val="18"/>
                <w:szCs w:val="18"/>
                <w:lang w:eastAsia="en-GB"/>
              </w:rPr>
            </w:pPr>
            <w:r w:rsidRPr="0022374A">
              <w:rPr>
                <w:color w:val="000000"/>
                <w:sz w:val="18"/>
                <w:szCs w:val="18"/>
                <w:lang w:eastAsia="en-GB"/>
              </w:rPr>
              <w:t>Diabetes</w:t>
            </w:r>
          </w:p>
        </w:tc>
        <w:tc>
          <w:tcPr>
            <w:tcW w:w="1311" w:type="dxa"/>
            <w:tcBorders>
              <w:top w:val="nil"/>
              <w:left w:val="nil"/>
              <w:bottom w:val="nil"/>
              <w:right w:val="nil"/>
            </w:tcBorders>
            <w:shd w:val="clear" w:color="auto" w:fill="auto"/>
            <w:noWrap/>
            <w:vAlign w:val="bottom"/>
            <w:hideMark/>
          </w:tcPr>
          <w:p w14:paraId="0464BAD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2760EA1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4C00D389" w14:textId="77777777" w:rsidR="00936371" w:rsidRPr="0022374A" w:rsidRDefault="00936371" w:rsidP="00B82659">
            <w:pPr>
              <w:jc w:val="center"/>
              <w:rPr>
                <w:color w:val="000000"/>
                <w:sz w:val="18"/>
                <w:szCs w:val="18"/>
                <w:lang w:eastAsia="en-GB"/>
              </w:rPr>
            </w:pPr>
            <w:r w:rsidRPr="0022374A">
              <w:rPr>
                <w:color w:val="000000"/>
                <w:sz w:val="18"/>
                <w:szCs w:val="18"/>
                <w:lang w:eastAsia="en-GB"/>
              </w:rPr>
              <w:t>5 (14.7%)</w:t>
            </w:r>
          </w:p>
        </w:tc>
        <w:tc>
          <w:tcPr>
            <w:tcW w:w="1312" w:type="dxa"/>
            <w:tcBorders>
              <w:top w:val="nil"/>
              <w:left w:val="nil"/>
              <w:bottom w:val="nil"/>
              <w:right w:val="nil"/>
            </w:tcBorders>
            <w:shd w:val="clear" w:color="auto" w:fill="auto"/>
            <w:noWrap/>
            <w:vAlign w:val="bottom"/>
            <w:hideMark/>
          </w:tcPr>
          <w:p w14:paraId="56C0198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6 (13.3%)</w:t>
            </w:r>
          </w:p>
        </w:tc>
        <w:tc>
          <w:tcPr>
            <w:tcW w:w="1311" w:type="dxa"/>
            <w:tcBorders>
              <w:top w:val="nil"/>
              <w:left w:val="nil"/>
              <w:bottom w:val="nil"/>
              <w:right w:val="nil"/>
            </w:tcBorders>
            <w:shd w:val="clear" w:color="auto" w:fill="auto"/>
            <w:noWrap/>
            <w:vAlign w:val="bottom"/>
            <w:hideMark/>
          </w:tcPr>
          <w:p w14:paraId="22A0BD1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37 (30.8%)</w:t>
            </w:r>
          </w:p>
        </w:tc>
        <w:tc>
          <w:tcPr>
            <w:tcW w:w="1311" w:type="dxa"/>
            <w:tcBorders>
              <w:top w:val="nil"/>
              <w:left w:val="nil"/>
              <w:bottom w:val="nil"/>
              <w:right w:val="nil"/>
            </w:tcBorders>
            <w:shd w:val="clear" w:color="auto" w:fill="auto"/>
            <w:noWrap/>
            <w:vAlign w:val="bottom"/>
            <w:hideMark/>
          </w:tcPr>
          <w:p w14:paraId="0B83F6A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25 (26.9%)</w:t>
            </w:r>
          </w:p>
        </w:tc>
        <w:tc>
          <w:tcPr>
            <w:tcW w:w="1311" w:type="dxa"/>
            <w:tcBorders>
              <w:top w:val="nil"/>
              <w:left w:val="nil"/>
              <w:bottom w:val="nil"/>
              <w:right w:val="nil"/>
            </w:tcBorders>
            <w:shd w:val="clear" w:color="auto" w:fill="auto"/>
            <w:noWrap/>
            <w:vAlign w:val="bottom"/>
            <w:hideMark/>
          </w:tcPr>
          <w:p w14:paraId="609A1478" w14:textId="77777777" w:rsidR="00936371" w:rsidRPr="0022374A" w:rsidRDefault="00936371" w:rsidP="00B82659">
            <w:pPr>
              <w:jc w:val="center"/>
              <w:rPr>
                <w:color w:val="000000"/>
                <w:sz w:val="18"/>
                <w:szCs w:val="18"/>
                <w:lang w:eastAsia="en-GB"/>
              </w:rPr>
            </w:pPr>
            <w:r w:rsidRPr="0022374A">
              <w:rPr>
                <w:color w:val="000000"/>
                <w:sz w:val="18"/>
                <w:szCs w:val="18"/>
                <w:lang w:eastAsia="en-GB"/>
              </w:rPr>
              <w:t>47 (33.8%)</w:t>
            </w:r>
          </w:p>
        </w:tc>
        <w:tc>
          <w:tcPr>
            <w:tcW w:w="1312" w:type="dxa"/>
            <w:tcBorders>
              <w:top w:val="nil"/>
              <w:left w:val="nil"/>
              <w:bottom w:val="nil"/>
              <w:right w:val="nil"/>
            </w:tcBorders>
            <w:shd w:val="clear" w:color="auto" w:fill="auto"/>
            <w:noWrap/>
            <w:vAlign w:val="bottom"/>
            <w:hideMark/>
          </w:tcPr>
          <w:p w14:paraId="12103B7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50 (29.2%)</w:t>
            </w:r>
          </w:p>
        </w:tc>
      </w:tr>
      <w:tr w:rsidR="00936371" w:rsidRPr="00675494" w14:paraId="1C70CC52" w14:textId="77777777" w:rsidTr="000864AC">
        <w:trPr>
          <w:trHeight w:val="300"/>
        </w:trPr>
        <w:tc>
          <w:tcPr>
            <w:tcW w:w="2410" w:type="dxa"/>
            <w:tcBorders>
              <w:top w:val="nil"/>
              <w:left w:val="nil"/>
              <w:bottom w:val="nil"/>
              <w:right w:val="nil"/>
            </w:tcBorders>
            <w:shd w:val="clear" w:color="auto" w:fill="auto"/>
            <w:noWrap/>
            <w:vAlign w:val="bottom"/>
            <w:hideMark/>
          </w:tcPr>
          <w:p w14:paraId="6852ACD7" w14:textId="77777777" w:rsidR="00936371" w:rsidRPr="0022374A" w:rsidRDefault="00936371" w:rsidP="00B82659">
            <w:pPr>
              <w:rPr>
                <w:color w:val="000000"/>
                <w:sz w:val="18"/>
                <w:szCs w:val="18"/>
                <w:lang w:eastAsia="en-GB"/>
              </w:rPr>
            </w:pPr>
            <w:r w:rsidRPr="0022374A">
              <w:rPr>
                <w:color w:val="000000"/>
                <w:sz w:val="18"/>
                <w:szCs w:val="18"/>
                <w:lang w:eastAsia="en-GB"/>
              </w:rPr>
              <w:t>Ischaemic heart disease</w:t>
            </w:r>
          </w:p>
        </w:tc>
        <w:tc>
          <w:tcPr>
            <w:tcW w:w="1311" w:type="dxa"/>
            <w:tcBorders>
              <w:top w:val="nil"/>
              <w:left w:val="nil"/>
              <w:bottom w:val="nil"/>
              <w:right w:val="nil"/>
            </w:tcBorders>
            <w:shd w:val="clear" w:color="auto" w:fill="auto"/>
            <w:noWrap/>
            <w:vAlign w:val="bottom"/>
            <w:hideMark/>
          </w:tcPr>
          <w:p w14:paraId="46BDAC4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75877A35"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69682F99"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2" w:type="dxa"/>
            <w:tcBorders>
              <w:top w:val="nil"/>
              <w:left w:val="nil"/>
              <w:bottom w:val="nil"/>
              <w:right w:val="nil"/>
            </w:tcBorders>
            <w:shd w:val="clear" w:color="auto" w:fill="auto"/>
            <w:noWrap/>
            <w:vAlign w:val="bottom"/>
            <w:hideMark/>
          </w:tcPr>
          <w:p w14:paraId="5CF6F398"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8EC0775" w14:textId="77777777" w:rsidR="00936371" w:rsidRPr="0022374A" w:rsidRDefault="00936371" w:rsidP="00B82659">
            <w:pPr>
              <w:jc w:val="center"/>
              <w:rPr>
                <w:color w:val="000000"/>
                <w:sz w:val="18"/>
                <w:szCs w:val="18"/>
                <w:lang w:eastAsia="en-GB"/>
              </w:rPr>
            </w:pPr>
            <w:r w:rsidRPr="0022374A">
              <w:rPr>
                <w:color w:val="000000"/>
                <w:sz w:val="18"/>
                <w:szCs w:val="18"/>
                <w:lang w:eastAsia="en-GB"/>
              </w:rPr>
              <w:t>4 (3.3%)</w:t>
            </w:r>
          </w:p>
        </w:tc>
        <w:tc>
          <w:tcPr>
            <w:tcW w:w="1311" w:type="dxa"/>
            <w:tcBorders>
              <w:top w:val="nil"/>
              <w:left w:val="nil"/>
              <w:bottom w:val="nil"/>
              <w:right w:val="nil"/>
            </w:tcBorders>
            <w:shd w:val="clear" w:color="auto" w:fill="auto"/>
            <w:noWrap/>
            <w:vAlign w:val="bottom"/>
            <w:hideMark/>
          </w:tcPr>
          <w:p w14:paraId="61E6C2E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6 (6.5%)</w:t>
            </w:r>
          </w:p>
        </w:tc>
        <w:tc>
          <w:tcPr>
            <w:tcW w:w="1311" w:type="dxa"/>
            <w:tcBorders>
              <w:top w:val="nil"/>
              <w:left w:val="nil"/>
              <w:bottom w:val="nil"/>
              <w:right w:val="nil"/>
            </w:tcBorders>
            <w:shd w:val="clear" w:color="auto" w:fill="auto"/>
            <w:noWrap/>
            <w:vAlign w:val="bottom"/>
            <w:hideMark/>
          </w:tcPr>
          <w:p w14:paraId="6CD123D6"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22 (15.8%)</w:t>
            </w:r>
          </w:p>
        </w:tc>
        <w:tc>
          <w:tcPr>
            <w:tcW w:w="1312" w:type="dxa"/>
            <w:tcBorders>
              <w:top w:val="nil"/>
              <w:left w:val="nil"/>
              <w:bottom w:val="nil"/>
              <w:right w:val="nil"/>
            </w:tcBorders>
            <w:shd w:val="clear" w:color="auto" w:fill="auto"/>
            <w:noWrap/>
            <w:vAlign w:val="bottom"/>
            <w:hideMark/>
          </w:tcPr>
          <w:p w14:paraId="2E58C0D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29 (17%)</w:t>
            </w:r>
          </w:p>
        </w:tc>
      </w:tr>
      <w:tr w:rsidR="00936371" w:rsidRPr="00675494" w14:paraId="0A1E828E" w14:textId="77777777" w:rsidTr="000864AC">
        <w:trPr>
          <w:trHeight w:val="300"/>
        </w:trPr>
        <w:tc>
          <w:tcPr>
            <w:tcW w:w="2410" w:type="dxa"/>
            <w:tcBorders>
              <w:top w:val="nil"/>
              <w:left w:val="nil"/>
              <w:bottom w:val="nil"/>
              <w:right w:val="nil"/>
            </w:tcBorders>
            <w:shd w:val="clear" w:color="auto" w:fill="auto"/>
            <w:noWrap/>
            <w:vAlign w:val="bottom"/>
            <w:hideMark/>
          </w:tcPr>
          <w:p w14:paraId="2E5B2E9F" w14:textId="77777777" w:rsidR="00936371" w:rsidRPr="0022374A" w:rsidRDefault="00936371" w:rsidP="00B82659">
            <w:pPr>
              <w:rPr>
                <w:color w:val="000000"/>
                <w:sz w:val="18"/>
                <w:szCs w:val="18"/>
                <w:lang w:eastAsia="en-GB"/>
              </w:rPr>
            </w:pPr>
            <w:r w:rsidRPr="0022374A">
              <w:rPr>
                <w:color w:val="000000"/>
                <w:sz w:val="18"/>
                <w:szCs w:val="18"/>
                <w:lang w:eastAsia="en-GB"/>
              </w:rPr>
              <w:t>Chronic heart failure</w:t>
            </w:r>
          </w:p>
        </w:tc>
        <w:tc>
          <w:tcPr>
            <w:tcW w:w="1311" w:type="dxa"/>
            <w:tcBorders>
              <w:top w:val="nil"/>
              <w:left w:val="nil"/>
              <w:bottom w:val="nil"/>
              <w:right w:val="nil"/>
            </w:tcBorders>
            <w:shd w:val="clear" w:color="auto" w:fill="auto"/>
            <w:noWrap/>
            <w:vAlign w:val="bottom"/>
            <w:hideMark/>
          </w:tcPr>
          <w:p w14:paraId="7B18528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6F227A1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18B323D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2" w:type="dxa"/>
            <w:tcBorders>
              <w:top w:val="nil"/>
              <w:left w:val="nil"/>
              <w:bottom w:val="nil"/>
              <w:right w:val="nil"/>
            </w:tcBorders>
            <w:shd w:val="clear" w:color="auto" w:fill="auto"/>
            <w:noWrap/>
            <w:vAlign w:val="bottom"/>
            <w:hideMark/>
          </w:tcPr>
          <w:p w14:paraId="2B73CF3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(2.2%)</w:t>
            </w:r>
          </w:p>
        </w:tc>
        <w:tc>
          <w:tcPr>
            <w:tcW w:w="1311" w:type="dxa"/>
            <w:tcBorders>
              <w:top w:val="nil"/>
              <w:left w:val="nil"/>
              <w:bottom w:val="nil"/>
              <w:right w:val="nil"/>
            </w:tcBorders>
            <w:shd w:val="clear" w:color="auto" w:fill="auto"/>
            <w:noWrap/>
            <w:vAlign w:val="bottom"/>
            <w:hideMark/>
          </w:tcPr>
          <w:p w14:paraId="14E078F3"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28CB635" w14:textId="77777777" w:rsidR="00936371" w:rsidRPr="0022374A" w:rsidRDefault="00936371" w:rsidP="00B82659">
            <w:pPr>
              <w:jc w:val="center"/>
              <w:rPr>
                <w:color w:val="000000"/>
                <w:sz w:val="18"/>
                <w:szCs w:val="18"/>
                <w:lang w:eastAsia="en-GB"/>
              </w:rPr>
            </w:pPr>
            <w:r w:rsidRPr="0022374A">
              <w:rPr>
                <w:color w:val="000000"/>
                <w:sz w:val="18"/>
                <w:szCs w:val="18"/>
                <w:lang w:eastAsia="en-GB"/>
              </w:rPr>
              <w:t>5 (5.4%)</w:t>
            </w:r>
          </w:p>
        </w:tc>
        <w:tc>
          <w:tcPr>
            <w:tcW w:w="1311" w:type="dxa"/>
            <w:tcBorders>
              <w:top w:val="nil"/>
              <w:left w:val="nil"/>
              <w:bottom w:val="nil"/>
              <w:right w:val="nil"/>
            </w:tcBorders>
            <w:shd w:val="clear" w:color="auto" w:fill="auto"/>
            <w:noWrap/>
            <w:vAlign w:val="bottom"/>
            <w:hideMark/>
          </w:tcPr>
          <w:p w14:paraId="6B36BE0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7 (5%)</w:t>
            </w:r>
          </w:p>
        </w:tc>
        <w:tc>
          <w:tcPr>
            <w:tcW w:w="1312" w:type="dxa"/>
            <w:tcBorders>
              <w:top w:val="nil"/>
              <w:left w:val="nil"/>
              <w:bottom w:val="nil"/>
              <w:right w:val="nil"/>
            </w:tcBorders>
            <w:shd w:val="clear" w:color="auto" w:fill="auto"/>
            <w:noWrap/>
            <w:vAlign w:val="bottom"/>
            <w:hideMark/>
          </w:tcPr>
          <w:p w14:paraId="2E2439C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14 (8.2%)</w:t>
            </w:r>
          </w:p>
        </w:tc>
      </w:tr>
      <w:tr w:rsidR="00936371" w:rsidRPr="00675494" w14:paraId="4523DB09" w14:textId="77777777" w:rsidTr="000864AC">
        <w:trPr>
          <w:trHeight w:val="300"/>
        </w:trPr>
        <w:tc>
          <w:tcPr>
            <w:tcW w:w="2410" w:type="dxa"/>
            <w:tcBorders>
              <w:top w:val="nil"/>
              <w:left w:val="nil"/>
              <w:bottom w:val="nil"/>
              <w:right w:val="nil"/>
            </w:tcBorders>
            <w:shd w:val="clear" w:color="auto" w:fill="auto"/>
            <w:noWrap/>
            <w:vAlign w:val="bottom"/>
            <w:hideMark/>
          </w:tcPr>
          <w:p w14:paraId="4F834745" w14:textId="77777777" w:rsidR="00936371" w:rsidRPr="0022374A" w:rsidRDefault="00936371" w:rsidP="00B82659">
            <w:pPr>
              <w:rPr>
                <w:color w:val="000000"/>
                <w:sz w:val="18"/>
                <w:szCs w:val="18"/>
                <w:lang w:eastAsia="en-GB"/>
              </w:rPr>
            </w:pPr>
            <w:r w:rsidRPr="0022374A">
              <w:rPr>
                <w:color w:val="000000"/>
                <w:sz w:val="18"/>
                <w:szCs w:val="18"/>
                <w:lang w:eastAsia="en-GB"/>
              </w:rPr>
              <w:t>Stroke</w:t>
            </w:r>
          </w:p>
        </w:tc>
        <w:tc>
          <w:tcPr>
            <w:tcW w:w="1311" w:type="dxa"/>
            <w:tcBorders>
              <w:top w:val="nil"/>
              <w:left w:val="nil"/>
              <w:bottom w:val="nil"/>
              <w:right w:val="nil"/>
            </w:tcBorders>
            <w:shd w:val="clear" w:color="auto" w:fill="auto"/>
            <w:noWrap/>
            <w:vAlign w:val="bottom"/>
            <w:hideMark/>
          </w:tcPr>
          <w:p w14:paraId="7A51F90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35CC89D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2D1E630"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2" w:type="dxa"/>
            <w:tcBorders>
              <w:top w:val="nil"/>
              <w:left w:val="nil"/>
              <w:bottom w:val="nil"/>
              <w:right w:val="nil"/>
            </w:tcBorders>
            <w:shd w:val="clear" w:color="auto" w:fill="auto"/>
            <w:noWrap/>
            <w:vAlign w:val="bottom"/>
            <w:hideMark/>
          </w:tcPr>
          <w:p w14:paraId="49787F6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2EBD5716" w14:textId="77777777" w:rsidR="00936371" w:rsidRPr="0022374A" w:rsidRDefault="00936371" w:rsidP="00B82659">
            <w:pPr>
              <w:jc w:val="center"/>
              <w:rPr>
                <w:color w:val="000000"/>
                <w:sz w:val="18"/>
                <w:szCs w:val="18"/>
                <w:lang w:eastAsia="en-GB"/>
              </w:rPr>
            </w:pPr>
            <w:r w:rsidRPr="0022374A">
              <w:rPr>
                <w:color w:val="000000"/>
                <w:sz w:val="18"/>
                <w:szCs w:val="18"/>
                <w:lang w:eastAsia="en-GB"/>
              </w:rPr>
              <w:t>7 (5.8%)</w:t>
            </w:r>
          </w:p>
        </w:tc>
        <w:tc>
          <w:tcPr>
            <w:tcW w:w="1311" w:type="dxa"/>
            <w:tcBorders>
              <w:top w:val="nil"/>
              <w:left w:val="nil"/>
              <w:bottom w:val="nil"/>
              <w:right w:val="nil"/>
            </w:tcBorders>
            <w:shd w:val="clear" w:color="auto" w:fill="auto"/>
            <w:noWrap/>
            <w:vAlign w:val="bottom"/>
            <w:hideMark/>
          </w:tcPr>
          <w:p w14:paraId="30C2B358"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 (3.2%)</w:t>
            </w:r>
          </w:p>
        </w:tc>
        <w:tc>
          <w:tcPr>
            <w:tcW w:w="1311" w:type="dxa"/>
            <w:tcBorders>
              <w:top w:val="nil"/>
              <w:left w:val="nil"/>
              <w:bottom w:val="nil"/>
              <w:right w:val="nil"/>
            </w:tcBorders>
            <w:shd w:val="clear" w:color="auto" w:fill="auto"/>
            <w:noWrap/>
            <w:vAlign w:val="bottom"/>
            <w:hideMark/>
          </w:tcPr>
          <w:p w14:paraId="38671455"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12 (8.6%)</w:t>
            </w:r>
          </w:p>
        </w:tc>
        <w:tc>
          <w:tcPr>
            <w:tcW w:w="1312" w:type="dxa"/>
            <w:tcBorders>
              <w:top w:val="nil"/>
              <w:left w:val="nil"/>
              <w:bottom w:val="nil"/>
              <w:right w:val="nil"/>
            </w:tcBorders>
            <w:shd w:val="clear" w:color="auto" w:fill="auto"/>
            <w:noWrap/>
            <w:vAlign w:val="bottom"/>
            <w:hideMark/>
          </w:tcPr>
          <w:p w14:paraId="6583C0C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22 (12.9%)</w:t>
            </w:r>
          </w:p>
        </w:tc>
      </w:tr>
      <w:tr w:rsidR="00936371" w:rsidRPr="00675494" w14:paraId="5D78B6DA" w14:textId="77777777" w:rsidTr="000864AC">
        <w:trPr>
          <w:trHeight w:val="300"/>
        </w:trPr>
        <w:tc>
          <w:tcPr>
            <w:tcW w:w="2410" w:type="dxa"/>
            <w:tcBorders>
              <w:top w:val="nil"/>
              <w:left w:val="nil"/>
              <w:bottom w:val="nil"/>
              <w:right w:val="nil"/>
            </w:tcBorders>
            <w:shd w:val="clear" w:color="auto" w:fill="auto"/>
            <w:noWrap/>
            <w:vAlign w:val="bottom"/>
            <w:hideMark/>
          </w:tcPr>
          <w:p w14:paraId="0B96D13F" w14:textId="77777777" w:rsidR="00936371" w:rsidRPr="0022374A" w:rsidRDefault="00936371" w:rsidP="00B82659">
            <w:pPr>
              <w:rPr>
                <w:color w:val="000000"/>
                <w:sz w:val="18"/>
                <w:szCs w:val="18"/>
                <w:lang w:eastAsia="en-GB"/>
              </w:rPr>
            </w:pPr>
            <w:r w:rsidRPr="0022374A">
              <w:rPr>
                <w:color w:val="000000"/>
                <w:sz w:val="18"/>
                <w:szCs w:val="18"/>
                <w:lang w:eastAsia="en-GB"/>
              </w:rPr>
              <w:t>Chronic kidney disease</w:t>
            </w:r>
          </w:p>
        </w:tc>
        <w:tc>
          <w:tcPr>
            <w:tcW w:w="1311" w:type="dxa"/>
            <w:tcBorders>
              <w:top w:val="nil"/>
              <w:left w:val="nil"/>
              <w:bottom w:val="nil"/>
              <w:right w:val="nil"/>
            </w:tcBorders>
            <w:shd w:val="clear" w:color="auto" w:fill="auto"/>
            <w:noWrap/>
            <w:vAlign w:val="bottom"/>
            <w:hideMark/>
          </w:tcPr>
          <w:p w14:paraId="33E623B9"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1EF52EC6"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3F102F1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(5.9%)</w:t>
            </w:r>
          </w:p>
        </w:tc>
        <w:tc>
          <w:tcPr>
            <w:tcW w:w="1312" w:type="dxa"/>
            <w:tcBorders>
              <w:top w:val="nil"/>
              <w:left w:val="nil"/>
              <w:bottom w:val="nil"/>
              <w:right w:val="nil"/>
            </w:tcBorders>
            <w:shd w:val="clear" w:color="auto" w:fill="auto"/>
            <w:noWrap/>
            <w:vAlign w:val="bottom"/>
            <w:hideMark/>
          </w:tcPr>
          <w:p w14:paraId="6AEBFC18"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 (6.7%)</w:t>
            </w:r>
          </w:p>
        </w:tc>
        <w:tc>
          <w:tcPr>
            <w:tcW w:w="1311" w:type="dxa"/>
            <w:tcBorders>
              <w:top w:val="nil"/>
              <w:left w:val="nil"/>
              <w:bottom w:val="nil"/>
              <w:right w:val="nil"/>
            </w:tcBorders>
            <w:shd w:val="clear" w:color="auto" w:fill="auto"/>
            <w:noWrap/>
            <w:vAlign w:val="bottom"/>
            <w:hideMark/>
          </w:tcPr>
          <w:p w14:paraId="7A330406"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12 (10%)</w:t>
            </w:r>
          </w:p>
        </w:tc>
        <w:tc>
          <w:tcPr>
            <w:tcW w:w="1311" w:type="dxa"/>
            <w:tcBorders>
              <w:top w:val="nil"/>
              <w:left w:val="nil"/>
              <w:bottom w:val="nil"/>
              <w:right w:val="nil"/>
            </w:tcBorders>
            <w:shd w:val="clear" w:color="auto" w:fill="auto"/>
            <w:noWrap/>
            <w:vAlign w:val="bottom"/>
            <w:hideMark/>
          </w:tcPr>
          <w:p w14:paraId="122E5C2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5 (5.4%)</w:t>
            </w:r>
          </w:p>
        </w:tc>
        <w:tc>
          <w:tcPr>
            <w:tcW w:w="1311" w:type="dxa"/>
            <w:tcBorders>
              <w:top w:val="nil"/>
              <w:left w:val="nil"/>
              <w:bottom w:val="nil"/>
              <w:right w:val="nil"/>
            </w:tcBorders>
            <w:shd w:val="clear" w:color="auto" w:fill="auto"/>
            <w:noWrap/>
            <w:vAlign w:val="bottom"/>
            <w:hideMark/>
          </w:tcPr>
          <w:p w14:paraId="1793303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23 (16.5%)</w:t>
            </w:r>
          </w:p>
        </w:tc>
        <w:tc>
          <w:tcPr>
            <w:tcW w:w="1312" w:type="dxa"/>
            <w:tcBorders>
              <w:top w:val="nil"/>
              <w:left w:val="nil"/>
              <w:bottom w:val="nil"/>
              <w:right w:val="nil"/>
            </w:tcBorders>
            <w:shd w:val="clear" w:color="auto" w:fill="auto"/>
            <w:noWrap/>
            <w:vAlign w:val="bottom"/>
            <w:hideMark/>
          </w:tcPr>
          <w:p w14:paraId="04AEAB1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38 (22.2%)</w:t>
            </w:r>
          </w:p>
        </w:tc>
      </w:tr>
      <w:tr w:rsidR="00936371" w:rsidRPr="00675494" w14:paraId="07272144" w14:textId="77777777" w:rsidTr="000864AC">
        <w:trPr>
          <w:trHeight w:val="300"/>
        </w:trPr>
        <w:tc>
          <w:tcPr>
            <w:tcW w:w="2410" w:type="dxa"/>
            <w:tcBorders>
              <w:top w:val="nil"/>
              <w:left w:val="nil"/>
              <w:bottom w:val="nil"/>
              <w:right w:val="nil"/>
            </w:tcBorders>
            <w:shd w:val="clear" w:color="auto" w:fill="auto"/>
            <w:noWrap/>
            <w:vAlign w:val="bottom"/>
            <w:hideMark/>
          </w:tcPr>
          <w:p w14:paraId="7B0BC280" w14:textId="77777777" w:rsidR="00936371" w:rsidRPr="0022374A" w:rsidRDefault="00936371" w:rsidP="00B82659">
            <w:pPr>
              <w:rPr>
                <w:color w:val="000000"/>
                <w:sz w:val="18"/>
                <w:szCs w:val="18"/>
                <w:lang w:eastAsia="en-GB"/>
              </w:rPr>
            </w:pPr>
            <w:r w:rsidRPr="0022374A">
              <w:rPr>
                <w:color w:val="000000"/>
                <w:sz w:val="18"/>
                <w:szCs w:val="18"/>
                <w:lang w:eastAsia="en-GB"/>
              </w:rPr>
              <w:t>Dementia</w:t>
            </w:r>
          </w:p>
        </w:tc>
        <w:tc>
          <w:tcPr>
            <w:tcW w:w="1311" w:type="dxa"/>
            <w:tcBorders>
              <w:top w:val="nil"/>
              <w:left w:val="nil"/>
              <w:bottom w:val="nil"/>
              <w:right w:val="nil"/>
            </w:tcBorders>
            <w:shd w:val="clear" w:color="auto" w:fill="auto"/>
            <w:noWrap/>
            <w:vAlign w:val="bottom"/>
            <w:hideMark/>
          </w:tcPr>
          <w:p w14:paraId="0D31ABA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4591EE2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A6AC7A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2" w:type="dxa"/>
            <w:tcBorders>
              <w:top w:val="nil"/>
              <w:left w:val="nil"/>
              <w:bottom w:val="nil"/>
              <w:right w:val="nil"/>
            </w:tcBorders>
            <w:shd w:val="clear" w:color="auto" w:fill="auto"/>
            <w:noWrap/>
            <w:vAlign w:val="bottom"/>
            <w:hideMark/>
          </w:tcPr>
          <w:p w14:paraId="3D7B32C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3A58E573"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(0.8%)</w:t>
            </w:r>
          </w:p>
        </w:tc>
        <w:tc>
          <w:tcPr>
            <w:tcW w:w="1311" w:type="dxa"/>
            <w:tcBorders>
              <w:top w:val="nil"/>
              <w:left w:val="nil"/>
              <w:bottom w:val="nil"/>
              <w:right w:val="nil"/>
            </w:tcBorders>
            <w:shd w:val="clear" w:color="auto" w:fill="auto"/>
            <w:noWrap/>
            <w:vAlign w:val="bottom"/>
            <w:hideMark/>
          </w:tcPr>
          <w:p w14:paraId="7F6733B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(1.1%)</w:t>
            </w:r>
          </w:p>
        </w:tc>
        <w:tc>
          <w:tcPr>
            <w:tcW w:w="1311" w:type="dxa"/>
            <w:tcBorders>
              <w:top w:val="nil"/>
              <w:left w:val="nil"/>
              <w:bottom w:val="nil"/>
              <w:right w:val="nil"/>
            </w:tcBorders>
            <w:shd w:val="clear" w:color="auto" w:fill="auto"/>
            <w:noWrap/>
            <w:vAlign w:val="bottom"/>
            <w:hideMark/>
          </w:tcPr>
          <w:p w14:paraId="35388DA9"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11 (7.9%)</w:t>
            </w:r>
          </w:p>
        </w:tc>
        <w:tc>
          <w:tcPr>
            <w:tcW w:w="1312" w:type="dxa"/>
            <w:tcBorders>
              <w:top w:val="nil"/>
              <w:left w:val="nil"/>
              <w:bottom w:val="nil"/>
              <w:right w:val="nil"/>
            </w:tcBorders>
            <w:shd w:val="clear" w:color="auto" w:fill="auto"/>
            <w:noWrap/>
            <w:vAlign w:val="bottom"/>
            <w:hideMark/>
          </w:tcPr>
          <w:p w14:paraId="559F68A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38 (22.2%)</w:t>
            </w:r>
          </w:p>
        </w:tc>
      </w:tr>
      <w:tr w:rsidR="00936371" w:rsidRPr="00675494" w14:paraId="17FCEF71" w14:textId="77777777" w:rsidTr="000864AC">
        <w:trPr>
          <w:trHeight w:val="300"/>
        </w:trPr>
        <w:tc>
          <w:tcPr>
            <w:tcW w:w="2410" w:type="dxa"/>
            <w:tcBorders>
              <w:top w:val="nil"/>
              <w:left w:val="nil"/>
              <w:bottom w:val="nil"/>
              <w:right w:val="nil"/>
            </w:tcBorders>
            <w:shd w:val="clear" w:color="auto" w:fill="auto"/>
            <w:noWrap/>
            <w:vAlign w:val="bottom"/>
            <w:hideMark/>
          </w:tcPr>
          <w:p w14:paraId="0333D57E" w14:textId="77777777" w:rsidR="00936371" w:rsidRPr="0022374A" w:rsidRDefault="00936371" w:rsidP="00B82659">
            <w:pPr>
              <w:rPr>
                <w:color w:val="000000"/>
                <w:sz w:val="18"/>
                <w:szCs w:val="18"/>
                <w:lang w:eastAsia="en-GB"/>
              </w:rPr>
            </w:pPr>
            <w:r w:rsidRPr="0022374A">
              <w:rPr>
                <w:color w:val="000000"/>
                <w:sz w:val="18"/>
                <w:szCs w:val="18"/>
                <w:lang w:eastAsia="en-GB"/>
              </w:rPr>
              <w:t>DVT/PE (previous)</w:t>
            </w:r>
          </w:p>
        </w:tc>
        <w:tc>
          <w:tcPr>
            <w:tcW w:w="1311" w:type="dxa"/>
            <w:tcBorders>
              <w:top w:val="nil"/>
              <w:left w:val="nil"/>
              <w:bottom w:val="nil"/>
              <w:right w:val="nil"/>
            </w:tcBorders>
            <w:shd w:val="clear" w:color="auto" w:fill="auto"/>
            <w:noWrap/>
            <w:vAlign w:val="bottom"/>
            <w:hideMark/>
          </w:tcPr>
          <w:p w14:paraId="7692078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5B38C90C"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2C85C8D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2" w:type="dxa"/>
            <w:tcBorders>
              <w:top w:val="nil"/>
              <w:left w:val="nil"/>
              <w:bottom w:val="nil"/>
              <w:right w:val="nil"/>
            </w:tcBorders>
            <w:shd w:val="clear" w:color="auto" w:fill="auto"/>
            <w:noWrap/>
            <w:vAlign w:val="bottom"/>
            <w:hideMark/>
          </w:tcPr>
          <w:p w14:paraId="2377E1F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49256B9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(0.8%)</w:t>
            </w:r>
          </w:p>
        </w:tc>
        <w:tc>
          <w:tcPr>
            <w:tcW w:w="1311" w:type="dxa"/>
            <w:tcBorders>
              <w:top w:val="nil"/>
              <w:left w:val="nil"/>
              <w:bottom w:val="nil"/>
              <w:right w:val="nil"/>
            </w:tcBorders>
            <w:shd w:val="clear" w:color="auto" w:fill="auto"/>
            <w:noWrap/>
            <w:vAlign w:val="bottom"/>
            <w:hideMark/>
          </w:tcPr>
          <w:p w14:paraId="3B9E7BE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 (3.2%)</w:t>
            </w:r>
          </w:p>
        </w:tc>
        <w:tc>
          <w:tcPr>
            <w:tcW w:w="1311" w:type="dxa"/>
            <w:tcBorders>
              <w:top w:val="nil"/>
              <w:left w:val="nil"/>
              <w:bottom w:val="nil"/>
              <w:right w:val="nil"/>
            </w:tcBorders>
            <w:shd w:val="clear" w:color="auto" w:fill="auto"/>
            <w:noWrap/>
            <w:vAlign w:val="bottom"/>
            <w:hideMark/>
          </w:tcPr>
          <w:p w14:paraId="4A03BE75"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(0.7%)</w:t>
            </w:r>
          </w:p>
        </w:tc>
        <w:tc>
          <w:tcPr>
            <w:tcW w:w="1312" w:type="dxa"/>
            <w:tcBorders>
              <w:top w:val="nil"/>
              <w:left w:val="nil"/>
              <w:bottom w:val="nil"/>
              <w:right w:val="nil"/>
            </w:tcBorders>
            <w:shd w:val="clear" w:color="auto" w:fill="auto"/>
            <w:noWrap/>
            <w:vAlign w:val="bottom"/>
            <w:hideMark/>
          </w:tcPr>
          <w:p w14:paraId="0CAE662C"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(1.2%)</w:t>
            </w:r>
          </w:p>
        </w:tc>
      </w:tr>
      <w:tr w:rsidR="00936371" w:rsidRPr="00675494" w14:paraId="4F144B58" w14:textId="77777777" w:rsidTr="000864AC">
        <w:trPr>
          <w:trHeight w:val="300"/>
        </w:trPr>
        <w:tc>
          <w:tcPr>
            <w:tcW w:w="2410" w:type="dxa"/>
            <w:tcBorders>
              <w:top w:val="nil"/>
              <w:left w:val="nil"/>
              <w:bottom w:val="nil"/>
              <w:right w:val="nil"/>
            </w:tcBorders>
            <w:shd w:val="clear" w:color="auto" w:fill="auto"/>
            <w:noWrap/>
            <w:vAlign w:val="bottom"/>
            <w:hideMark/>
          </w:tcPr>
          <w:p w14:paraId="5D7A80D7" w14:textId="77777777" w:rsidR="00936371" w:rsidRPr="0022374A" w:rsidRDefault="00936371" w:rsidP="00B82659">
            <w:pPr>
              <w:rPr>
                <w:color w:val="000000"/>
                <w:sz w:val="18"/>
                <w:szCs w:val="18"/>
                <w:lang w:eastAsia="en-GB"/>
              </w:rPr>
            </w:pPr>
            <w:r w:rsidRPr="0022374A">
              <w:rPr>
                <w:color w:val="000000"/>
                <w:sz w:val="18"/>
                <w:szCs w:val="18"/>
                <w:lang w:eastAsia="en-GB"/>
              </w:rPr>
              <w:t>Atrial fibrillation</w:t>
            </w:r>
          </w:p>
        </w:tc>
        <w:tc>
          <w:tcPr>
            <w:tcW w:w="1311" w:type="dxa"/>
            <w:tcBorders>
              <w:top w:val="nil"/>
              <w:left w:val="nil"/>
              <w:bottom w:val="nil"/>
              <w:right w:val="nil"/>
            </w:tcBorders>
            <w:shd w:val="clear" w:color="auto" w:fill="auto"/>
            <w:noWrap/>
            <w:vAlign w:val="bottom"/>
            <w:hideMark/>
          </w:tcPr>
          <w:p w14:paraId="3FAD9A30"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200F45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79AB4DD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(2.9%)</w:t>
            </w:r>
          </w:p>
        </w:tc>
        <w:tc>
          <w:tcPr>
            <w:tcW w:w="1312" w:type="dxa"/>
            <w:tcBorders>
              <w:top w:val="nil"/>
              <w:left w:val="nil"/>
              <w:bottom w:val="nil"/>
              <w:right w:val="nil"/>
            </w:tcBorders>
            <w:shd w:val="clear" w:color="auto" w:fill="auto"/>
            <w:noWrap/>
            <w:vAlign w:val="bottom"/>
            <w:hideMark/>
          </w:tcPr>
          <w:p w14:paraId="3BD69BA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(4.4%)</w:t>
            </w:r>
          </w:p>
        </w:tc>
        <w:tc>
          <w:tcPr>
            <w:tcW w:w="1311" w:type="dxa"/>
            <w:tcBorders>
              <w:top w:val="nil"/>
              <w:left w:val="nil"/>
              <w:bottom w:val="nil"/>
              <w:right w:val="nil"/>
            </w:tcBorders>
            <w:shd w:val="clear" w:color="auto" w:fill="auto"/>
            <w:noWrap/>
            <w:vAlign w:val="bottom"/>
            <w:hideMark/>
          </w:tcPr>
          <w:p w14:paraId="331D74F0" w14:textId="77777777" w:rsidR="00936371" w:rsidRPr="0022374A" w:rsidRDefault="00936371" w:rsidP="00B82659">
            <w:pPr>
              <w:jc w:val="center"/>
              <w:rPr>
                <w:color w:val="000000"/>
                <w:sz w:val="18"/>
                <w:szCs w:val="18"/>
                <w:lang w:eastAsia="en-GB"/>
              </w:rPr>
            </w:pPr>
            <w:r w:rsidRPr="0022374A">
              <w:rPr>
                <w:color w:val="000000"/>
                <w:sz w:val="18"/>
                <w:szCs w:val="18"/>
                <w:lang w:eastAsia="en-GB"/>
              </w:rPr>
              <w:t>8 (6.7%)</w:t>
            </w:r>
          </w:p>
        </w:tc>
        <w:tc>
          <w:tcPr>
            <w:tcW w:w="1311" w:type="dxa"/>
            <w:tcBorders>
              <w:top w:val="nil"/>
              <w:left w:val="nil"/>
              <w:bottom w:val="nil"/>
              <w:right w:val="nil"/>
            </w:tcBorders>
            <w:shd w:val="clear" w:color="auto" w:fill="auto"/>
            <w:noWrap/>
            <w:vAlign w:val="bottom"/>
            <w:hideMark/>
          </w:tcPr>
          <w:p w14:paraId="0C1BE1EC"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11 (11.8%)</w:t>
            </w:r>
          </w:p>
        </w:tc>
        <w:tc>
          <w:tcPr>
            <w:tcW w:w="1311" w:type="dxa"/>
            <w:tcBorders>
              <w:top w:val="nil"/>
              <w:left w:val="nil"/>
              <w:bottom w:val="nil"/>
              <w:right w:val="nil"/>
            </w:tcBorders>
            <w:shd w:val="clear" w:color="auto" w:fill="auto"/>
            <w:noWrap/>
            <w:vAlign w:val="bottom"/>
            <w:hideMark/>
          </w:tcPr>
          <w:p w14:paraId="24B6E03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19 (13.7%)</w:t>
            </w:r>
          </w:p>
        </w:tc>
        <w:tc>
          <w:tcPr>
            <w:tcW w:w="1312" w:type="dxa"/>
            <w:tcBorders>
              <w:top w:val="nil"/>
              <w:left w:val="nil"/>
              <w:bottom w:val="nil"/>
              <w:right w:val="nil"/>
            </w:tcBorders>
            <w:shd w:val="clear" w:color="auto" w:fill="auto"/>
            <w:noWrap/>
            <w:vAlign w:val="bottom"/>
            <w:hideMark/>
          </w:tcPr>
          <w:p w14:paraId="16C3A04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30 (17.5%)</w:t>
            </w:r>
          </w:p>
        </w:tc>
      </w:tr>
      <w:tr w:rsidR="00936371" w:rsidRPr="00675494" w14:paraId="63FF9331" w14:textId="77777777" w:rsidTr="000864AC">
        <w:trPr>
          <w:trHeight w:val="300"/>
        </w:trPr>
        <w:tc>
          <w:tcPr>
            <w:tcW w:w="2410" w:type="dxa"/>
            <w:tcBorders>
              <w:top w:val="nil"/>
              <w:left w:val="nil"/>
              <w:bottom w:val="nil"/>
              <w:right w:val="nil"/>
            </w:tcBorders>
            <w:shd w:val="clear" w:color="auto" w:fill="auto"/>
            <w:noWrap/>
            <w:vAlign w:val="bottom"/>
            <w:hideMark/>
          </w:tcPr>
          <w:p w14:paraId="589B3E9E" w14:textId="77777777" w:rsidR="00936371" w:rsidRPr="0022374A" w:rsidRDefault="00936371" w:rsidP="00B82659">
            <w:pPr>
              <w:rPr>
                <w:color w:val="000000"/>
                <w:sz w:val="18"/>
                <w:szCs w:val="18"/>
                <w:lang w:eastAsia="en-GB"/>
              </w:rPr>
            </w:pPr>
            <w:r w:rsidRPr="0022374A">
              <w:rPr>
                <w:color w:val="000000"/>
                <w:sz w:val="18"/>
                <w:szCs w:val="18"/>
                <w:lang w:eastAsia="en-GB"/>
              </w:rPr>
              <w:t>COPD</w:t>
            </w:r>
          </w:p>
        </w:tc>
        <w:tc>
          <w:tcPr>
            <w:tcW w:w="1311" w:type="dxa"/>
            <w:tcBorders>
              <w:top w:val="nil"/>
              <w:left w:val="nil"/>
              <w:bottom w:val="nil"/>
              <w:right w:val="nil"/>
            </w:tcBorders>
            <w:shd w:val="clear" w:color="auto" w:fill="auto"/>
            <w:noWrap/>
            <w:vAlign w:val="bottom"/>
            <w:hideMark/>
          </w:tcPr>
          <w:p w14:paraId="56BE1075"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548A4945"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5829C41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2" w:type="dxa"/>
            <w:tcBorders>
              <w:top w:val="nil"/>
              <w:left w:val="nil"/>
              <w:bottom w:val="nil"/>
              <w:right w:val="nil"/>
            </w:tcBorders>
            <w:shd w:val="clear" w:color="auto" w:fill="auto"/>
            <w:noWrap/>
            <w:vAlign w:val="bottom"/>
            <w:hideMark/>
          </w:tcPr>
          <w:p w14:paraId="55539E8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(2.2%)</w:t>
            </w:r>
          </w:p>
        </w:tc>
        <w:tc>
          <w:tcPr>
            <w:tcW w:w="1311" w:type="dxa"/>
            <w:tcBorders>
              <w:top w:val="nil"/>
              <w:left w:val="nil"/>
              <w:bottom w:val="nil"/>
              <w:right w:val="nil"/>
            </w:tcBorders>
            <w:shd w:val="clear" w:color="auto" w:fill="auto"/>
            <w:noWrap/>
            <w:vAlign w:val="bottom"/>
            <w:hideMark/>
          </w:tcPr>
          <w:p w14:paraId="03F4D55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(1.7%)</w:t>
            </w:r>
          </w:p>
        </w:tc>
        <w:tc>
          <w:tcPr>
            <w:tcW w:w="1311" w:type="dxa"/>
            <w:tcBorders>
              <w:top w:val="nil"/>
              <w:left w:val="nil"/>
              <w:bottom w:val="nil"/>
              <w:right w:val="nil"/>
            </w:tcBorders>
            <w:shd w:val="clear" w:color="auto" w:fill="auto"/>
            <w:noWrap/>
            <w:vAlign w:val="bottom"/>
            <w:hideMark/>
          </w:tcPr>
          <w:p w14:paraId="62AA3F7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4 (4.3%)</w:t>
            </w:r>
          </w:p>
        </w:tc>
        <w:tc>
          <w:tcPr>
            <w:tcW w:w="1311" w:type="dxa"/>
            <w:tcBorders>
              <w:top w:val="nil"/>
              <w:left w:val="nil"/>
              <w:bottom w:val="nil"/>
              <w:right w:val="nil"/>
            </w:tcBorders>
            <w:shd w:val="clear" w:color="auto" w:fill="auto"/>
            <w:noWrap/>
            <w:vAlign w:val="bottom"/>
            <w:hideMark/>
          </w:tcPr>
          <w:p w14:paraId="385129D8" w14:textId="77777777" w:rsidR="00936371" w:rsidRPr="0022374A" w:rsidRDefault="00936371" w:rsidP="00B82659">
            <w:pPr>
              <w:jc w:val="center"/>
              <w:rPr>
                <w:color w:val="000000"/>
                <w:sz w:val="18"/>
                <w:szCs w:val="18"/>
                <w:lang w:eastAsia="en-GB"/>
              </w:rPr>
            </w:pPr>
            <w:r w:rsidRPr="0022374A">
              <w:rPr>
                <w:color w:val="000000"/>
                <w:sz w:val="18"/>
                <w:szCs w:val="18"/>
                <w:lang w:eastAsia="en-GB"/>
              </w:rPr>
              <w:t>9 (6.5%)</w:t>
            </w:r>
          </w:p>
        </w:tc>
        <w:tc>
          <w:tcPr>
            <w:tcW w:w="1312" w:type="dxa"/>
            <w:tcBorders>
              <w:top w:val="nil"/>
              <w:left w:val="nil"/>
              <w:bottom w:val="nil"/>
              <w:right w:val="nil"/>
            </w:tcBorders>
            <w:shd w:val="clear" w:color="auto" w:fill="auto"/>
            <w:noWrap/>
            <w:vAlign w:val="bottom"/>
            <w:hideMark/>
          </w:tcPr>
          <w:p w14:paraId="1CBF221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7 (4.1%)</w:t>
            </w:r>
          </w:p>
        </w:tc>
      </w:tr>
      <w:tr w:rsidR="00936371" w:rsidRPr="00675494" w14:paraId="7E756668" w14:textId="77777777" w:rsidTr="000864AC">
        <w:trPr>
          <w:trHeight w:val="300"/>
        </w:trPr>
        <w:tc>
          <w:tcPr>
            <w:tcW w:w="2410" w:type="dxa"/>
            <w:tcBorders>
              <w:top w:val="nil"/>
              <w:left w:val="nil"/>
              <w:bottom w:val="nil"/>
              <w:right w:val="nil"/>
            </w:tcBorders>
            <w:shd w:val="clear" w:color="auto" w:fill="auto"/>
            <w:noWrap/>
            <w:vAlign w:val="bottom"/>
            <w:hideMark/>
          </w:tcPr>
          <w:p w14:paraId="5EBEBCC1" w14:textId="77777777" w:rsidR="00936371" w:rsidRPr="0022374A" w:rsidRDefault="00936371" w:rsidP="00B82659">
            <w:pPr>
              <w:rPr>
                <w:color w:val="000000"/>
                <w:sz w:val="18"/>
                <w:szCs w:val="18"/>
                <w:lang w:eastAsia="en-GB"/>
              </w:rPr>
            </w:pPr>
            <w:r w:rsidRPr="0022374A">
              <w:rPr>
                <w:color w:val="000000"/>
                <w:sz w:val="18"/>
                <w:szCs w:val="18"/>
                <w:lang w:eastAsia="en-GB"/>
              </w:rPr>
              <w:t>Asthma</w:t>
            </w:r>
          </w:p>
        </w:tc>
        <w:tc>
          <w:tcPr>
            <w:tcW w:w="1311" w:type="dxa"/>
            <w:tcBorders>
              <w:top w:val="nil"/>
              <w:left w:val="nil"/>
              <w:bottom w:val="nil"/>
              <w:right w:val="nil"/>
            </w:tcBorders>
            <w:shd w:val="clear" w:color="auto" w:fill="auto"/>
            <w:noWrap/>
            <w:vAlign w:val="bottom"/>
            <w:hideMark/>
          </w:tcPr>
          <w:p w14:paraId="565C1EE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271AD8F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(22.2%)</w:t>
            </w:r>
          </w:p>
        </w:tc>
        <w:tc>
          <w:tcPr>
            <w:tcW w:w="1311" w:type="dxa"/>
            <w:tcBorders>
              <w:top w:val="nil"/>
              <w:left w:val="nil"/>
              <w:bottom w:val="nil"/>
              <w:right w:val="nil"/>
            </w:tcBorders>
            <w:shd w:val="clear" w:color="auto" w:fill="auto"/>
            <w:noWrap/>
            <w:vAlign w:val="bottom"/>
            <w:hideMark/>
          </w:tcPr>
          <w:p w14:paraId="4C015889"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(5.9%)</w:t>
            </w:r>
          </w:p>
        </w:tc>
        <w:tc>
          <w:tcPr>
            <w:tcW w:w="1312" w:type="dxa"/>
            <w:tcBorders>
              <w:top w:val="nil"/>
              <w:left w:val="nil"/>
              <w:bottom w:val="nil"/>
              <w:right w:val="nil"/>
            </w:tcBorders>
            <w:shd w:val="clear" w:color="auto" w:fill="auto"/>
            <w:noWrap/>
            <w:vAlign w:val="bottom"/>
            <w:hideMark/>
          </w:tcPr>
          <w:p w14:paraId="6AAE687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7 (15.6%)</w:t>
            </w:r>
          </w:p>
        </w:tc>
        <w:tc>
          <w:tcPr>
            <w:tcW w:w="1311" w:type="dxa"/>
            <w:tcBorders>
              <w:top w:val="nil"/>
              <w:left w:val="nil"/>
              <w:bottom w:val="nil"/>
              <w:right w:val="nil"/>
            </w:tcBorders>
            <w:shd w:val="clear" w:color="auto" w:fill="auto"/>
            <w:noWrap/>
            <w:vAlign w:val="bottom"/>
            <w:hideMark/>
          </w:tcPr>
          <w:p w14:paraId="3FE9ADB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9 (7.5%)</w:t>
            </w:r>
          </w:p>
        </w:tc>
        <w:tc>
          <w:tcPr>
            <w:tcW w:w="1311" w:type="dxa"/>
            <w:tcBorders>
              <w:top w:val="nil"/>
              <w:left w:val="nil"/>
              <w:bottom w:val="nil"/>
              <w:right w:val="nil"/>
            </w:tcBorders>
            <w:shd w:val="clear" w:color="auto" w:fill="auto"/>
            <w:noWrap/>
            <w:vAlign w:val="bottom"/>
            <w:hideMark/>
          </w:tcPr>
          <w:p w14:paraId="02BAFAB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5 (5.4%)</w:t>
            </w:r>
          </w:p>
        </w:tc>
        <w:tc>
          <w:tcPr>
            <w:tcW w:w="1311" w:type="dxa"/>
            <w:tcBorders>
              <w:top w:val="nil"/>
              <w:left w:val="nil"/>
              <w:bottom w:val="nil"/>
              <w:right w:val="nil"/>
            </w:tcBorders>
            <w:shd w:val="clear" w:color="auto" w:fill="auto"/>
            <w:noWrap/>
            <w:vAlign w:val="bottom"/>
            <w:hideMark/>
          </w:tcPr>
          <w:p w14:paraId="5A30E3C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8 (5.8%)</w:t>
            </w:r>
          </w:p>
        </w:tc>
        <w:tc>
          <w:tcPr>
            <w:tcW w:w="1312" w:type="dxa"/>
            <w:tcBorders>
              <w:top w:val="nil"/>
              <w:left w:val="nil"/>
              <w:bottom w:val="nil"/>
              <w:right w:val="nil"/>
            </w:tcBorders>
            <w:shd w:val="clear" w:color="auto" w:fill="auto"/>
            <w:noWrap/>
            <w:vAlign w:val="bottom"/>
            <w:hideMark/>
          </w:tcPr>
          <w:p w14:paraId="209FCE1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14 (8.2%)</w:t>
            </w:r>
          </w:p>
        </w:tc>
      </w:tr>
      <w:tr w:rsidR="00936371" w:rsidRPr="00675494" w14:paraId="429A1657" w14:textId="77777777" w:rsidTr="000864AC">
        <w:trPr>
          <w:trHeight w:val="300"/>
        </w:trPr>
        <w:tc>
          <w:tcPr>
            <w:tcW w:w="2410" w:type="dxa"/>
            <w:tcBorders>
              <w:top w:val="nil"/>
              <w:left w:val="nil"/>
              <w:bottom w:val="nil"/>
              <w:right w:val="nil"/>
            </w:tcBorders>
            <w:shd w:val="clear" w:color="auto" w:fill="auto"/>
            <w:noWrap/>
            <w:vAlign w:val="bottom"/>
            <w:hideMark/>
          </w:tcPr>
          <w:p w14:paraId="78E6A9C0" w14:textId="77777777" w:rsidR="00936371" w:rsidRPr="0022374A" w:rsidRDefault="00936371" w:rsidP="00B82659">
            <w:pPr>
              <w:rPr>
                <w:color w:val="000000"/>
                <w:sz w:val="18"/>
                <w:szCs w:val="18"/>
                <w:lang w:eastAsia="en-GB"/>
              </w:rPr>
            </w:pPr>
            <w:r w:rsidRPr="0022374A">
              <w:rPr>
                <w:color w:val="000000"/>
                <w:sz w:val="18"/>
                <w:szCs w:val="18"/>
                <w:lang w:eastAsia="en-GB"/>
              </w:rPr>
              <w:t>Liver disease (non-cirrhotic)</w:t>
            </w:r>
          </w:p>
        </w:tc>
        <w:tc>
          <w:tcPr>
            <w:tcW w:w="1311" w:type="dxa"/>
            <w:tcBorders>
              <w:top w:val="nil"/>
              <w:left w:val="nil"/>
              <w:bottom w:val="nil"/>
              <w:right w:val="nil"/>
            </w:tcBorders>
            <w:shd w:val="clear" w:color="auto" w:fill="auto"/>
            <w:noWrap/>
            <w:vAlign w:val="bottom"/>
            <w:hideMark/>
          </w:tcPr>
          <w:p w14:paraId="440B2243"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7A2E3363"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(11.1%)</w:t>
            </w:r>
          </w:p>
        </w:tc>
        <w:tc>
          <w:tcPr>
            <w:tcW w:w="1311" w:type="dxa"/>
            <w:tcBorders>
              <w:top w:val="nil"/>
              <w:left w:val="nil"/>
              <w:bottom w:val="nil"/>
              <w:right w:val="nil"/>
            </w:tcBorders>
            <w:shd w:val="clear" w:color="auto" w:fill="auto"/>
            <w:noWrap/>
            <w:vAlign w:val="bottom"/>
            <w:hideMark/>
          </w:tcPr>
          <w:p w14:paraId="59764F0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 (8.8%)</w:t>
            </w:r>
          </w:p>
        </w:tc>
        <w:tc>
          <w:tcPr>
            <w:tcW w:w="1312" w:type="dxa"/>
            <w:tcBorders>
              <w:top w:val="nil"/>
              <w:left w:val="nil"/>
              <w:bottom w:val="nil"/>
              <w:right w:val="nil"/>
            </w:tcBorders>
            <w:shd w:val="clear" w:color="auto" w:fill="auto"/>
            <w:noWrap/>
            <w:vAlign w:val="bottom"/>
            <w:hideMark/>
          </w:tcPr>
          <w:p w14:paraId="2AC1C4E3" w14:textId="77777777" w:rsidR="00936371" w:rsidRPr="0022374A" w:rsidRDefault="00936371" w:rsidP="00B82659">
            <w:pPr>
              <w:jc w:val="center"/>
              <w:rPr>
                <w:color w:val="000000"/>
                <w:sz w:val="18"/>
                <w:szCs w:val="18"/>
                <w:lang w:eastAsia="en-GB"/>
              </w:rPr>
            </w:pPr>
            <w:r w:rsidRPr="0022374A">
              <w:rPr>
                <w:color w:val="000000"/>
                <w:sz w:val="18"/>
                <w:szCs w:val="18"/>
                <w:lang w:eastAsia="en-GB"/>
              </w:rPr>
              <w:t>4 (8.9%)</w:t>
            </w:r>
          </w:p>
        </w:tc>
        <w:tc>
          <w:tcPr>
            <w:tcW w:w="1311" w:type="dxa"/>
            <w:tcBorders>
              <w:top w:val="nil"/>
              <w:left w:val="nil"/>
              <w:bottom w:val="nil"/>
              <w:right w:val="nil"/>
            </w:tcBorders>
            <w:shd w:val="clear" w:color="auto" w:fill="auto"/>
            <w:noWrap/>
            <w:vAlign w:val="bottom"/>
            <w:hideMark/>
          </w:tcPr>
          <w:p w14:paraId="66AB050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7 (5.8%)</w:t>
            </w:r>
          </w:p>
        </w:tc>
        <w:tc>
          <w:tcPr>
            <w:tcW w:w="1311" w:type="dxa"/>
            <w:tcBorders>
              <w:top w:val="nil"/>
              <w:left w:val="nil"/>
              <w:bottom w:val="nil"/>
              <w:right w:val="nil"/>
            </w:tcBorders>
            <w:shd w:val="clear" w:color="auto" w:fill="auto"/>
            <w:noWrap/>
            <w:vAlign w:val="bottom"/>
            <w:hideMark/>
          </w:tcPr>
          <w:p w14:paraId="49ED42E6"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11 (11.8%)</w:t>
            </w:r>
          </w:p>
        </w:tc>
        <w:tc>
          <w:tcPr>
            <w:tcW w:w="1311" w:type="dxa"/>
            <w:tcBorders>
              <w:top w:val="nil"/>
              <w:left w:val="nil"/>
              <w:bottom w:val="nil"/>
              <w:right w:val="nil"/>
            </w:tcBorders>
            <w:shd w:val="clear" w:color="auto" w:fill="auto"/>
            <w:noWrap/>
            <w:vAlign w:val="bottom"/>
            <w:hideMark/>
          </w:tcPr>
          <w:p w14:paraId="2E2C4B78"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10 (7.2%)</w:t>
            </w:r>
          </w:p>
        </w:tc>
        <w:tc>
          <w:tcPr>
            <w:tcW w:w="1312" w:type="dxa"/>
            <w:tcBorders>
              <w:top w:val="nil"/>
              <w:left w:val="nil"/>
              <w:bottom w:val="nil"/>
              <w:right w:val="nil"/>
            </w:tcBorders>
            <w:shd w:val="clear" w:color="auto" w:fill="auto"/>
            <w:noWrap/>
            <w:vAlign w:val="bottom"/>
            <w:hideMark/>
          </w:tcPr>
          <w:p w14:paraId="7458133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6 (3.5%)</w:t>
            </w:r>
          </w:p>
        </w:tc>
      </w:tr>
      <w:tr w:rsidR="00936371" w:rsidRPr="00675494" w14:paraId="458B28BE" w14:textId="77777777" w:rsidTr="000864AC">
        <w:trPr>
          <w:trHeight w:val="300"/>
        </w:trPr>
        <w:tc>
          <w:tcPr>
            <w:tcW w:w="2410" w:type="dxa"/>
            <w:tcBorders>
              <w:top w:val="nil"/>
              <w:left w:val="nil"/>
              <w:bottom w:val="nil"/>
              <w:right w:val="nil"/>
            </w:tcBorders>
            <w:shd w:val="clear" w:color="auto" w:fill="auto"/>
            <w:noWrap/>
            <w:vAlign w:val="bottom"/>
            <w:hideMark/>
          </w:tcPr>
          <w:p w14:paraId="2C57E412" w14:textId="77777777" w:rsidR="00936371" w:rsidRPr="0022374A" w:rsidRDefault="00936371" w:rsidP="00B82659">
            <w:pPr>
              <w:rPr>
                <w:color w:val="000000"/>
                <w:sz w:val="18"/>
                <w:szCs w:val="18"/>
                <w:lang w:eastAsia="en-GB"/>
              </w:rPr>
            </w:pPr>
            <w:r w:rsidRPr="0022374A">
              <w:rPr>
                <w:color w:val="000000"/>
                <w:sz w:val="18"/>
                <w:szCs w:val="18"/>
                <w:lang w:eastAsia="en-GB"/>
              </w:rPr>
              <w:t>Liver disease (cirrhotic)</w:t>
            </w:r>
          </w:p>
        </w:tc>
        <w:tc>
          <w:tcPr>
            <w:tcW w:w="1311" w:type="dxa"/>
            <w:tcBorders>
              <w:top w:val="nil"/>
              <w:left w:val="nil"/>
              <w:bottom w:val="nil"/>
              <w:right w:val="nil"/>
            </w:tcBorders>
            <w:shd w:val="clear" w:color="auto" w:fill="auto"/>
            <w:noWrap/>
            <w:vAlign w:val="bottom"/>
            <w:hideMark/>
          </w:tcPr>
          <w:p w14:paraId="42D53F8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9F4338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786AA9EC"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2" w:type="dxa"/>
            <w:tcBorders>
              <w:top w:val="nil"/>
              <w:left w:val="nil"/>
              <w:bottom w:val="nil"/>
              <w:right w:val="nil"/>
            </w:tcBorders>
            <w:shd w:val="clear" w:color="auto" w:fill="auto"/>
            <w:noWrap/>
            <w:vAlign w:val="bottom"/>
            <w:hideMark/>
          </w:tcPr>
          <w:p w14:paraId="2F05ACA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7BE896C" w14:textId="77777777" w:rsidR="00936371" w:rsidRPr="0022374A" w:rsidRDefault="00936371" w:rsidP="00B82659">
            <w:pPr>
              <w:jc w:val="center"/>
              <w:rPr>
                <w:color w:val="000000"/>
                <w:sz w:val="18"/>
                <w:szCs w:val="18"/>
                <w:lang w:eastAsia="en-GB"/>
              </w:rPr>
            </w:pPr>
            <w:r w:rsidRPr="0022374A">
              <w:rPr>
                <w:color w:val="000000"/>
                <w:sz w:val="18"/>
                <w:szCs w:val="18"/>
                <w:lang w:eastAsia="en-GB"/>
              </w:rPr>
              <w:t>5 (4.2%)</w:t>
            </w:r>
          </w:p>
        </w:tc>
        <w:tc>
          <w:tcPr>
            <w:tcW w:w="1311" w:type="dxa"/>
            <w:tcBorders>
              <w:top w:val="nil"/>
              <w:left w:val="nil"/>
              <w:bottom w:val="nil"/>
              <w:right w:val="nil"/>
            </w:tcBorders>
            <w:shd w:val="clear" w:color="auto" w:fill="auto"/>
            <w:noWrap/>
            <w:vAlign w:val="bottom"/>
            <w:hideMark/>
          </w:tcPr>
          <w:p w14:paraId="33AAB18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366951D9" w14:textId="77777777" w:rsidR="00936371" w:rsidRPr="0022374A" w:rsidRDefault="00936371" w:rsidP="00B82659">
            <w:pPr>
              <w:jc w:val="center"/>
              <w:rPr>
                <w:color w:val="000000"/>
                <w:sz w:val="18"/>
                <w:szCs w:val="18"/>
                <w:lang w:eastAsia="en-GB"/>
              </w:rPr>
            </w:pPr>
            <w:r w:rsidRPr="0022374A">
              <w:rPr>
                <w:color w:val="000000"/>
                <w:sz w:val="18"/>
                <w:szCs w:val="18"/>
                <w:lang w:eastAsia="en-GB"/>
              </w:rPr>
              <w:t>4 (2.9%)</w:t>
            </w:r>
          </w:p>
        </w:tc>
        <w:tc>
          <w:tcPr>
            <w:tcW w:w="1312" w:type="dxa"/>
            <w:tcBorders>
              <w:top w:val="nil"/>
              <w:left w:val="nil"/>
              <w:bottom w:val="nil"/>
              <w:right w:val="nil"/>
            </w:tcBorders>
            <w:shd w:val="clear" w:color="auto" w:fill="auto"/>
            <w:noWrap/>
            <w:vAlign w:val="bottom"/>
            <w:hideMark/>
          </w:tcPr>
          <w:p w14:paraId="0175C87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(1.2%)</w:t>
            </w:r>
          </w:p>
        </w:tc>
      </w:tr>
      <w:tr w:rsidR="00936371" w:rsidRPr="00675494" w14:paraId="41642323" w14:textId="77777777" w:rsidTr="000864AC">
        <w:trPr>
          <w:trHeight w:val="300"/>
        </w:trPr>
        <w:tc>
          <w:tcPr>
            <w:tcW w:w="2410" w:type="dxa"/>
            <w:tcBorders>
              <w:top w:val="nil"/>
              <w:left w:val="nil"/>
              <w:bottom w:val="nil"/>
              <w:right w:val="nil"/>
            </w:tcBorders>
            <w:shd w:val="clear" w:color="auto" w:fill="auto"/>
            <w:noWrap/>
            <w:vAlign w:val="bottom"/>
            <w:hideMark/>
          </w:tcPr>
          <w:p w14:paraId="06A6D971" w14:textId="77777777" w:rsidR="00936371" w:rsidRPr="0022374A" w:rsidRDefault="00936371" w:rsidP="00B82659">
            <w:pPr>
              <w:rPr>
                <w:color w:val="000000"/>
                <w:sz w:val="18"/>
                <w:szCs w:val="18"/>
                <w:lang w:eastAsia="en-GB"/>
              </w:rPr>
            </w:pPr>
            <w:r w:rsidRPr="0022374A">
              <w:rPr>
                <w:color w:val="000000"/>
                <w:sz w:val="18"/>
                <w:szCs w:val="18"/>
                <w:lang w:eastAsia="en-GB"/>
              </w:rPr>
              <w:t>Solid malignant tumour</w:t>
            </w:r>
          </w:p>
        </w:tc>
        <w:tc>
          <w:tcPr>
            <w:tcW w:w="1311" w:type="dxa"/>
            <w:tcBorders>
              <w:top w:val="nil"/>
              <w:left w:val="nil"/>
              <w:bottom w:val="nil"/>
              <w:right w:val="nil"/>
            </w:tcBorders>
            <w:shd w:val="clear" w:color="auto" w:fill="auto"/>
            <w:noWrap/>
            <w:vAlign w:val="bottom"/>
            <w:hideMark/>
          </w:tcPr>
          <w:p w14:paraId="49F0846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2B14B179"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53E93610"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2" w:type="dxa"/>
            <w:tcBorders>
              <w:top w:val="nil"/>
              <w:left w:val="nil"/>
              <w:bottom w:val="nil"/>
              <w:right w:val="nil"/>
            </w:tcBorders>
            <w:shd w:val="clear" w:color="auto" w:fill="auto"/>
            <w:noWrap/>
            <w:vAlign w:val="bottom"/>
            <w:hideMark/>
          </w:tcPr>
          <w:p w14:paraId="34CBEC1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E2DE86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(1.7%)</w:t>
            </w:r>
          </w:p>
        </w:tc>
        <w:tc>
          <w:tcPr>
            <w:tcW w:w="1311" w:type="dxa"/>
            <w:tcBorders>
              <w:top w:val="nil"/>
              <w:left w:val="nil"/>
              <w:bottom w:val="nil"/>
              <w:right w:val="nil"/>
            </w:tcBorders>
            <w:shd w:val="clear" w:color="auto" w:fill="auto"/>
            <w:noWrap/>
            <w:vAlign w:val="bottom"/>
            <w:hideMark/>
          </w:tcPr>
          <w:p w14:paraId="1238B4E5" w14:textId="77777777" w:rsidR="00936371" w:rsidRPr="0022374A" w:rsidRDefault="00936371" w:rsidP="00B82659">
            <w:pPr>
              <w:jc w:val="center"/>
              <w:rPr>
                <w:color w:val="000000"/>
                <w:sz w:val="18"/>
                <w:szCs w:val="18"/>
                <w:lang w:eastAsia="en-GB"/>
              </w:rPr>
            </w:pPr>
            <w:r w:rsidRPr="0022374A">
              <w:rPr>
                <w:color w:val="000000"/>
                <w:sz w:val="18"/>
                <w:szCs w:val="18"/>
                <w:lang w:eastAsia="en-GB"/>
              </w:rPr>
              <w:t>6 (6.5%)</w:t>
            </w:r>
          </w:p>
        </w:tc>
        <w:tc>
          <w:tcPr>
            <w:tcW w:w="1311" w:type="dxa"/>
            <w:tcBorders>
              <w:top w:val="nil"/>
              <w:left w:val="nil"/>
              <w:bottom w:val="nil"/>
              <w:right w:val="nil"/>
            </w:tcBorders>
            <w:shd w:val="clear" w:color="auto" w:fill="auto"/>
            <w:noWrap/>
            <w:vAlign w:val="bottom"/>
            <w:hideMark/>
          </w:tcPr>
          <w:p w14:paraId="24807EF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17 (12.2%)</w:t>
            </w:r>
          </w:p>
        </w:tc>
        <w:tc>
          <w:tcPr>
            <w:tcW w:w="1312" w:type="dxa"/>
            <w:tcBorders>
              <w:top w:val="nil"/>
              <w:left w:val="nil"/>
              <w:bottom w:val="nil"/>
              <w:right w:val="nil"/>
            </w:tcBorders>
            <w:shd w:val="clear" w:color="auto" w:fill="auto"/>
            <w:noWrap/>
            <w:vAlign w:val="bottom"/>
            <w:hideMark/>
          </w:tcPr>
          <w:p w14:paraId="7094D340"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21 (12.3%)</w:t>
            </w:r>
          </w:p>
        </w:tc>
      </w:tr>
      <w:tr w:rsidR="00936371" w:rsidRPr="00675494" w14:paraId="4E04AEB9" w14:textId="77777777" w:rsidTr="000864AC">
        <w:trPr>
          <w:trHeight w:val="300"/>
        </w:trPr>
        <w:tc>
          <w:tcPr>
            <w:tcW w:w="2410" w:type="dxa"/>
            <w:tcBorders>
              <w:top w:val="nil"/>
              <w:left w:val="nil"/>
              <w:bottom w:val="nil"/>
              <w:right w:val="nil"/>
            </w:tcBorders>
            <w:shd w:val="clear" w:color="auto" w:fill="auto"/>
            <w:noWrap/>
            <w:vAlign w:val="bottom"/>
            <w:hideMark/>
          </w:tcPr>
          <w:p w14:paraId="39A4BB79" w14:textId="77777777" w:rsidR="00936371" w:rsidRPr="0022374A" w:rsidRDefault="00936371" w:rsidP="00B82659">
            <w:pPr>
              <w:rPr>
                <w:color w:val="000000"/>
                <w:sz w:val="18"/>
                <w:szCs w:val="18"/>
                <w:lang w:eastAsia="en-GB"/>
              </w:rPr>
            </w:pPr>
            <w:r w:rsidRPr="0022374A">
              <w:rPr>
                <w:color w:val="000000"/>
                <w:sz w:val="18"/>
                <w:szCs w:val="18"/>
                <w:lang w:eastAsia="en-GB"/>
              </w:rPr>
              <w:t>Haematologic malignancy</w:t>
            </w:r>
          </w:p>
        </w:tc>
        <w:tc>
          <w:tcPr>
            <w:tcW w:w="1311" w:type="dxa"/>
            <w:tcBorders>
              <w:top w:val="nil"/>
              <w:left w:val="nil"/>
              <w:bottom w:val="nil"/>
              <w:right w:val="nil"/>
            </w:tcBorders>
            <w:shd w:val="clear" w:color="auto" w:fill="auto"/>
            <w:noWrap/>
            <w:vAlign w:val="bottom"/>
            <w:hideMark/>
          </w:tcPr>
          <w:p w14:paraId="7FB8EEE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74B27EA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7EB2431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2" w:type="dxa"/>
            <w:tcBorders>
              <w:top w:val="nil"/>
              <w:left w:val="nil"/>
              <w:bottom w:val="nil"/>
              <w:right w:val="nil"/>
            </w:tcBorders>
            <w:shd w:val="clear" w:color="auto" w:fill="auto"/>
            <w:noWrap/>
            <w:vAlign w:val="bottom"/>
            <w:hideMark/>
          </w:tcPr>
          <w:p w14:paraId="17C54CA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71BA26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4A311DA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(2.2%)</w:t>
            </w:r>
          </w:p>
        </w:tc>
        <w:tc>
          <w:tcPr>
            <w:tcW w:w="1311" w:type="dxa"/>
            <w:tcBorders>
              <w:top w:val="nil"/>
              <w:left w:val="nil"/>
              <w:bottom w:val="nil"/>
              <w:right w:val="nil"/>
            </w:tcBorders>
            <w:shd w:val="clear" w:color="auto" w:fill="auto"/>
            <w:noWrap/>
            <w:vAlign w:val="bottom"/>
            <w:hideMark/>
          </w:tcPr>
          <w:p w14:paraId="594C9020"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 (2.2%)</w:t>
            </w:r>
          </w:p>
        </w:tc>
        <w:tc>
          <w:tcPr>
            <w:tcW w:w="1312" w:type="dxa"/>
            <w:tcBorders>
              <w:top w:val="nil"/>
              <w:left w:val="nil"/>
              <w:bottom w:val="nil"/>
              <w:right w:val="nil"/>
            </w:tcBorders>
            <w:shd w:val="clear" w:color="auto" w:fill="auto"/>
            <w:noWrap/>
            <w:vAlign w:val="bottom"/>
            <w:hideMark/>
          </w:tcPr>
          <w:p w14:paraId="6941F563"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(0.6%)</w:t>
            </w:r>
          </w:p>
        </w:tc>
      </w:tr>
      <w:tr w:rsidR="00936371" w:rsidRPr="00675494" w14:paraId="10F33F43" w14:textId="77777777" w:rsidTr="000864AC">
        <w:trPr>
          <w:trHeight w:val="300"/>
        </w:trPr>
        <w:tc>
          <w:tcPr>
            <w:tcW w:w="2410" w:type="dxa"/>
            <w:tcBorders>
              <w:top w:val="nil"/>
              <w:left w:val="nil"/>
              <w:bottom w:val="single" w:sz="18" w:space="0" w:color="auto"/>
              <w:right w:val="nil"/>
            </w:tcBorders>
            <w:shd w:val="clear" w:color="auto" w:fill="auto"/>
            <w:noWrap/>
            <w:vAlign w:val="bottom"/>
            <w:hideMark/>
          </w:tcPr>
          <w:p w14:paraId="24AFBE7C" w14:textId="77777777" w:rsidR="00936371" w:rsidRPr="0022374A" w:rsidRDefault="00936371" w:rsidP="00B82659">
            <w:pPr>
              <w:rPr>
                <w:color w:val="000000"/>
                <w:sz w:val="18"/>
                <w:szCs w:val="18"/>
                <w:lang w:eastAsia="en-GB"/>
              </w:rPr>
            </w:pPr>
            <w:r w:rsidRPr="0022374A">
              <w:rPr>
                <w:color w:val="000000"/>
                <w:sz w:val="18"/>
                <w:szCs w:val="18"/>
                <w:lang w:eastAsia="en-GB"/>
              </w:rPr>
              <w:t>HIV/AIDS</w:t>
            </w:r>
          </w:p>
        </w:tc>
        <w:tc>
          <w:tcPr>
            <w:tcW w:w="1311" w:type="dxa"/>
            <w:tcBorders>
              <w:top w:val="nil"/>
              <w:left w:val="nil"/>
              <w:bottom w:val="single" w:sz="18" w:space="0" w:color="auto"/>
              <w:right w:val="nil"/>
            </w:tcBorders>
            <w:shd w:val="clear" w:color="auto" w:fill="auto"/>
            <w:noWrap/>
            <w:vAlign w:val="bottom"/>
            <w:hideMark/>
          </w:tcPr>
          <w:p w14:paraId="052B5545"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single" w:sz="18" w:space="0" w:color="auto"/>
              <w:right w:val="nil"/>
            </w:tcBorders>
            <w:shd w:val="clear" w:color="auto" w:fill="auto"/>
            <w:noWrap/>
            <w:vAlign w:val="bottom"/>
            <w:hideMark/>
          </w:tcPr>
          <w:p w14:paraId="6A72F0B6"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single" w:sz="18" w:space="0" w:color="auto"/>
              <w:right w:val="nil"/>
            </w:tcBorders>
            <w:shd w:val="clear" w:color="auto" w:fill="auto"/>
            <w:noWrap/>
            <w:vAlign w:val="bottom"/>
            <w:hideMark/>
          </w:tcPr>
          <w:p w14:paraId="56895C3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(2.9%)</w:t>
            </w:r>
          </w:p>
        </w:tc>
        <w:tc>
          <w:tcPr>
            <w:tcW w:w="1312" w:type="dxa"/>
            <w:tcBorders>
              <w:top w:val="nil"/>
              <w:left w:val="nil"/>
              <w:bottom w:val="single" w:sz="18" w:space="0" w:color="auto"/>
              <w:right w:val="nil"/>
            </w:tcBorders>
            <w:shd w:val="clear" w:color="auto" w:fill="auto"/>
            <w:noWrap/>
            <w:vAlign w:val="bottom"/>
            <w:hideMark/>
          </w:tcPr>
          <w:p w14:paraId="6EA4A67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(2.2%)</w:t>
            </w:r>
          </w:p>
        </w:tc>
        <w:tc>
          <w:tcPr>
            <w:tcW w:w="1311" w:type="dxa"/>
            <w:tcBorders>
              <w:top w:val="nil"/>
              <w:left w:val="nil"/>
              <w:bottom w:val="single" w:sz="18" w:space="0" w:color="auto"/>
              <w:right w:val="nil"/>
            </w:tcBorders>
            <w:shd w:val="clear" w:color="auto" w:fill="auto"/>
            <w:noWrap/>
            <w:vAlign w:val="bottom"/>
            <w:hideMark/>
          </w:tcPr>
          <w:p w14:paraId="3D930B4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(1.7%)</w:t>
            </w:r>
          </w:p>
        </w:tc>
        <w:tc>
          <w:tcPr>
            <w:tcW w:w="1311" w:type="dxa"/>
            <w:tcBorders>
              <w:top w:val="nil"/>
              <w:left w:val="nil"/>
              <w:bottom w:val="single" w:sz="18" w:space="0" w:color="auto"/>
              <w:right w:val="nil"/>
            </w:tcBorders>
            <w:shd w:val="clear" w:color="auto" w:fill="auto"/>
            <w:noWrap/>
            <w:vAlign w:val="bottom"/>
            <w:hideMark/>
          </w:tcPr>
          <w:p w14:paraId="4D2594B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(1.1%)</w:t>
            </w:r>
          </w:p>
        </w:tc>
        <w:tc>
          <w:tcPr>
            <w:tcW w:w="1311" w:type="dxa"/>
            <w:tcBorders>
              <w:top w:val="nil"/>
              <w:left w:val="nil"/>
              <w:bottom w:val="single" w:sz="18" w:space="0" w:color="auto"/>
              <w:right w:val="nil"/>
            </w:tcBorders>
            <w:shd w:val="clear" w:color="auto" w:fill="auto"/>
            <w:noWrap/>
            <w:vAlign w:val="bottom"/>
            <w:hideMark/>
          </w:tcPr>
          <w:p w14:paraId="35C7011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(1.4%)</w:t>
            </w:r>
          </w:p>
        </w:tc>
        <w:tc>
          <w:tcPr>
            <w:tcW w:w="1312" w:type="dxa"/>
            <w:tcBorders>
              <w:top w:val="nil"/>
              <w:left w:val="nil"/>
              <w:bottom w:val="single" w:sz="18" w:space="0" w:color="auto"/>
              <w:right w:val="nil"/>
            </w:tcBorders>
            <w:shd w:val="clear" w:color="auto" w:fill="auto"/>
            <w:noWrap/>
            <w:vAlign w:val="bottom"/>
            <w:hideMark/>
          </w:tcPr>
          <w:p w14:paraId="2E822D5F"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r>
      <w:tr w:rsidR="00936371" w:rsidRPr="00675494" w14:paraId="581C3904" w14:textId="77777777" w:rsidTr="000864AC">
        <w:trPr>
          <w:trHeight w:val="300"/>
        </w:trPr>
        <w:tc>
          <w:tcPr>
            <w:tcW w:w="2410" w:type="dxa"/>
            <w:tcBorders>
              <w:top w:val="single" w:sz="18" w:space="0" w:color="auto"/>
              <w:left w:val="nil"/>
              <w:bottom w:val="single" w:sz="18" w:space="0" w:color="auto"/>
              <w:right w:val="nil"/>
            </w:tcBorders>
            <w:shd w:val="clear" w:color="auto" w:fill="auto"/>
            <w:noWrap/>
            <w:vAlign w:val="bottom"/>
            <w:hideMark/>
          </w:tcPr>
          <w:p w14:paraId="5ECE956D" w14:textId="77777777" w:rsidR="00936371" w:rsidRPr="0022374A" w:rsidRDefault="00936371" w:rsidP="00B82659">
            <w:pPr>
              <w:rPr>
                <w:b/>
                <w:bCs/>
                <w:color w:val="000000"/>
                <w:sz w:val="18"/>
                <w:szCs w:val="18"/>
                <w:lang w:eastAsia="en-GB"/>
              </w:rPr>
            </w:pPr>
            <w:r w:rsidRPr="0022374A">
              <w:rPr>
                <w:b/>
                <w:bCs/>
                <w:color w:val="000000"/>
                <w:sz w:val="18"/>
                <w:szCs w:val="18"/>
                <w:lang w:eastAsia="en-GB"/>
              </w:rPr>
              <w:t>Outcomes (%)</w:t>
            </w:r>
          </w:p>
        </w:tc>
        <w:tc>
          <w:tcPr>
            <w:tcW w:w="1311" w:type="dxa"/>
            <w:tcBorders>
              <w:top w:val="single" w:sz="18" w:space="0" w:color="auto"/>
              <w:left w:val="nil"/>
              <w:bottom w:val="single" w:sz="18" w:space="0" w:color="auto"/>
              <w:right w:val="nil"/>
            </w:tcBorders>
            <w:shd w:val="clear" w:color="auto" w:fill="auto"/>
            <w:noWrap/>
            <w:vAlign w:val="bottom"/>
            <w:hideMark/>
          </w:tcPr>
          <w:p w14:paraId="36475742" w14:textId="77777777" w:rsidR="00936371" w:rsidRPr="0022374A" w:rsidRDefault="00936371" w:rsidP="00B82659">
            <w:pPr>
              <w:rPr>
                <w:b/>
                <w:bCs/>
                <w:color w:val="000000"/>
                <w:sz w:val="18"/>
                <w:szCs w:val="18"/>
                <w:lang w:eastAsia="en-GB"/>
              </w:rPr>
            </w:pPr>
          </w:p>
        </w:tc>
        <w:tc>
          <w:tcPr>
            <w:tcW w:w="1311" w:type="dxa"/>
            <w:tcBorders>
              <w:top w:val="single" w:sz="18" w:space="0" w:color="auto"/>
              <w:left w:val="nil"/>
              <w:bottom w:val="single" w:sz="18" w:space="0" w:color="auto"/>
              <w:right w:val="nil"/>
            </w:tcBorders>
            <w:shd w:val="clear" w:color="auto" w:fill="auto"/>
            <w:noWrap/>
            <w:vAlign w:val="bottom"/>
            <w:hideMark/>
          </w:tcPr>
          <w:p w14:paraId="69EB3E97" w14:textId="77777777" w:rsidR="00936371" w:rsidRPr="0022374A" w:rsidRDefault="00936371" w:rsidP="00B82659">
            <w:pPr>
              <w:jc w:val="center"/>
              <w:rPr>
                <w:sz w:val="18"/>
                <w:szCs w:val="18"/>
                <w:lang w:eastAsia="en-GB"/>
              </w:rPr>
            </w:pPr>
          </w:p>
        </w:tc>
        <w:tc>
          <w:tcPr>
            <w:tcW w:w="1311" w:type="dxa"/>
            <w:tcBorders>
              <w:top w:val="single" w:sz="18" w:space="0" w:color="auto"/>
              <w:left w:val="nil"/>
              <w:bottom w:val="single" w:sz="18" w:space="0" w:color="auto"/>
              <w:right w:val="nil"/>
            </w:tcBorders>
            <w:shd w:val="clear" w:color="auto" w:fill="auto"/>
            <w:noWrap/>
            <w:vAlign w:val="bottom"/>
            <w:hideMark/>
          </w:tcPr>
          <w:p w14:paraId="00CD08DE" w14:textId="77777777" w:rsidR="00936371" w:rsidRPr="0022374A" w:rsidRDefault="00936371" w:rsidP="00B82659">
            <w:pPr>
              <w:jc w:val="center"/>
              <w:rPr>
                <w:sz w:val="18"/>
                <w:szCs w:val="18"/>
                <w:lang w:eastAsia="en-GB"/>
              </w:rPr>
            </w:pPr>
          </w:p>
        </w:tc>
        <w:tc>
          <w:tcPr>
            <w:tcW w:w="1312" w:type="dxa"/>
            <w:tcBorders>
              <w:top w:val="single" w:sz="18" w:space="0" w:color="auto"/>
              <w:left w:val="nil"/>
              <w:bottom w:val="single" w:sz="18" w:space="0" w:color="auto"/>
              <w:right w:val="nil"/>
            </w:tcBorders>
            <w:shd w:val="clear" w:color="auto" w:fill="auto"/>
            <w:noWrap/>
            <w:vAlign w:val="bottom"/>
            <w:hideMark/>
          </w:tcPr>
          <w:p w14:paraId="54D9D03D" w14:textId="77777777" w:rsidR="00936371" w:rsidRPr="0022374A" w:rsidRDefault="00936371" w:rsidP="00B82659">
            <w:pPr>
              <w:jc w:val="center"/>
              <w:rPr>
                <w:sz w:val="18"/>
                <w:szCs w:val="18"/>
                <w:lang w:eastAsia="en-GB"/>
              </w:rPr>
            </w:pPr>
          </w:p>
        </w:tc>
        <w:tc>
          <w:tcPr>
            <w:tcW w:w="1311" w:type="dxa"/>
            <w:tcBorders>
              <w:top w:val="single" w:sz="18" w:space="0" w:color="auto"/>
              <w:left w:val="nil"/>
              <w:bottom w:val="single" w:sz="18" w:space="0" w:color="auto"/>
              <w:right w:val="nil"/>
            </w:tcBorders>
            <w:shd w:val="clear" w:color="auto" w:fill="auto"/>
            <w:noWrap/>
            <w:vAlign w:val="bottom"/>
            <w:hideMark/>
          </w:tcPr>
          <w:p w14:paraId="431698B7" w14:textId="77777777" w:rsidR="00936371" w:rsidRPr="0022374A" w:rsidRDefault="00936371" w:rsidP="00B82659">
            <w:pPr>
              <w:jc w:val="center"/>
              <w:rPr>
                <w:sz w:val="18"/>
                <w:szCs w:val="18"/>
                <w:lang w:eastAsia="en-GB"/>
              </w:rPr>
            </w:pPr>
          </w:p>
        </w:tc>
        <w:tc>
          <w:tcPr>
            <w:tcW w:w="1311" w:type="dxa"/>
            <w:tcBorders>
              <w:top w:val="single" w:sz="18" w:space="0" w:color="auto"/>
              <w:left w:val="nil"/>
              <w:bottom w:val="single" w:sz="18" w:space="0" w:color="auto"/>
              <w:right w:val="nil"/>
            </w:tcBorders>
            <w:shd w:val="clear" w:color="auto" w:fill="auto"/>
            <w:noWrap/>
            <w:vAlign w:val="bottom"/>
            <w:hideMark/>
          </w:tcPr>
          <w:p w14:paraId="54ED80A4" w14:textId="77777777" w:rsidR="00936371" w:rsidRPr="0022374A" w:rsidRDefault="00936371" w:rsidP="00B82659">
            <w:pPr>
              <w:jc w:val="center"/>
              <w:rPr>
                <w:sz w:val="18"/>
                <w:szCs w:val="18"/>
                <w:lang w:eastAsia="en-GB"/>
              </w:rPr>
            </w:pPr>
          </w:p>
        </w:tc>
        <w:tc>
          <w:tcPr>
            <w:tcW w:w="1311" w:type="dxa"/>
            <w:tcBorders>
              <w:top w:val="single" w:sz="18" w:space="0" w:color="auto"/>
              <w:left w:val="nil"/>
              <w:bottom w:val="single" w:sz="18" w:space="0" w:color="auto"/>
              <w:right w:val="nil"/>
            </w:tcBorders>
            <w:shd w:val="clear" w:color="auto" w:fill="auto"/>
            <w:noWrap/>
            <w:vAlign w:val="bottom"/>
            <w:hideMark/>
          </w:tcPr>
          <w:p w14:paraId="366CFD74" w14:textId="77777777" w:rsidR="00936371" w:rsidRPr="0022374A" w:rsidRDefault="00936371" w:rsidP="00B82659">
            <w:pPr>
              <w:jc w:val="center"/>
              <w:rPr>
                <w:sz w:val="18"/>
                <w:szCs w:val="18"/>
                <w:lang w:eastAsia="en-GB"/>
              </w:rPr>
            </w:pPr>
          </w:p>
        </w:tc>
        <w:tc>
          <w:tcPr>
            <w:tcW w:w="1312" w:type="dxa"/>
            <w:tcBorders>
              <w:top w:val="single" w:sz="18" w:space="0" w:color="auto"/>
              <w:left w:val="nil"/>
              <w:bottom w:val="single" w:sz="18" w:space="0" w:color="auto"/>
              <w:right w:val="nil"/>
            </w:tcBorders>
            <w:shd w:val="clear" w:color="auto" w:fill="auto"/>
            <w:noWrap/>
            <w:vAlign w:val="bottom"/>
            <w:hideMark/>
          </w:tcPr>
          <w:p w14:paraId="0E4417DF" w14:textId="77777777" w:rsidR="00936371" w:rsidRPr="0022374A" w:rsidRDefault="00936371" w:rsidP="00B82659">
            <w:pPr>
              <w:jc w:val="center"/>
              <w:rPr>
                <w:sz w:val="18"/>
                <w:szCs w:val="18"/>
                <w:lang w:eastAsia="en-GB"/>
              </w:rPr>
            </w:pPr>
          </w:p>
        </w:tc>
      </w:tr>
      <w:tr w:rsidR="00936371" w:rsidRPr="00675494" w14:paraId="1B87E2BA" w14:textId="77777777" w:rsidTr="000864AC">
        <w:trPr>
          <w:trHeight w:val="300"/>
        </w:trPr>
        <w:tc>
          <w:tcPr>
            <w:tcW w:w="2410" w:type="dxa"/>
            <w:tcBorders>
              <w:top w:val="single" w:sz="18" w:space="0" w:color="auto"/>
              <w:left w:val="nil"/>
              <w:bottom w:val="nil"/>
              <w:right w:val="nil"/>
            </w:tcBorders>
            <w:shd w:val="clear" w:color="auto" w:fill="auto"/>
            <w:noWrap/>
            <w:vAlign w:val="bottom"/>
            <w:hideMark/>
          </w:tcPr>
          <w:p w14:paraId="4DC4431E" w14:textId="77777777" w:rsidR="00936371" w:rsidRPr="0022374A" w:rsidRDefault="00936371" w:rsidP="00B82659">
            <w:pPr>
              <w:rPr>
                <w:color w:val="000000"/>
                <w:sz w:val="18"/>
                <w:szCs w:val="18"/>
                <w:lang w:eastAsia="en-GB"/>
              </w:rPr>
            </w:pPr>
            <w:r w:rsidRPr="0022374A">
              <w:rPr>
                <w:color w:val="000000"/>
                <w:sz w:val="18"/>
                <w:szCs w:val="18"/>
                <w:lang w:eastAsia="en-GB"/>
              </w:rPr>
              <w:t>Required FiO2 &gt; 0.6</w:t>
            </w:r>
          </w:p>
        </w:tc>
        <w:tc>
          <w:tcPr>
            <w:tcW w:w="1311" w:type="dxa"/>
            <w:tcBorders>
              <w:top w:val="single" w:sz="18" w:space="0" w:color="auto"/>
              <w:left w:val="nil"/>
              <w:bottom w:val="nil"/>
              <w:right w:val="nil"/>
            </w:tcBorders>
            <w:shd w:val="clear" w:color="auto" w:fill="auto"/>
            <w:noWrap/>
            <w:vAlign w:val="bottom"/>
            <w:hideMark/>
          </w:tcPr>
          <w:p w14:paraId="7D4FA89E" w14:textId="77777777" w:rsidR="00936371" w:rsidRPr="0022374A" w:rsidRDefault="00936371" w:rsidP="00B82659">
            <w:pPr>
              <w:jc w:val="center"/>
              <w:rPr>
                <w:color w:val="000000"/>
                <w:sz w:val="18"/>
                <w:szCs w:val="18"/>
              </w:rPr>
            </w:pPr>
            <w:r>
              <w:rPr>
                <w:color w:val="000000"/>
                <w:sz w:val="18"/>
                <w:szCs w:val="18"/>
              </w:rPr>
              <w:t>0 (0)</w:t>
            </w:r>
          </w:p>
        </w:tc>
        <w:tc>
          <w:tcPr>
            <w:tcW w:w="1311" w:type="dxa"/>
            <w:tcBorders>
              <w:top w:val="single" w:sz="18" w:space="0" w:color="auto"/>
              <w:left w:val="nil"/>
              <w:bottom w:val="nil"/>
              <w:right w:val="nil"/>
            </w:tcBorders>
            <w:shd w:val="clear" w:color="auto" w:fill="auto"/>
            <w:noWrap/>
            <w:vAlign w:val="bottom"/>
            <w:hideMark/>
          </w:tcPr>
          <w:p w14:paraId="7404A39D" w14:textId="77777777" w:rsidR="00936371" w:rsidRPr="0022374A" w:rsidRDefault="00936371" w:rsidP="00B82659">
            <w:pPr>
              <w:jc w:val="center"/>
              <w:rPr>
                <w:color w:val="000000"/>
                <w:sz w:val="18"/>
                <w:szCs w:val="18"/>
              </w:rPr>
            </w:pPr>
            <w:r>
              <w:rPr>
                <w:color w:val="000000"/>
                <w:sz w:val="18"/>
                <w:szCs w:val="18"/>
              </w:rPr>
              <w:t>1 (11.1%)</w:t>
            </w:r>
          </w:p>
        </w:tc>
        <w:tc>
          <w:tcPr>
            <w:tcW w:w="1311" w:type="dxa"/>
            <w:tcBorders>
              <w:top w:val="single" w:sz="18" w:space="0" w:color="auto"/>
              <w:left w:val="nil"/>
              <w:bottom w:val="nil"/>
              <w:right w:val="nil"/>
            </w:tcBorders>
            <w:shd w:val="clear" w:color="auto" w:fill="auto"/>
            <w:noWrap/>
            <w:vAlign w:val="bottom"/>
            <w:hideMark/>
          </w:tcPr>
          <w:p w14:paraId="7105C5BA" w14:textId="77777777" w:rsidR="00936371" w:rsidRPr="0022374A" w:rsidRDefault="00936371" w:rsidP="00B82659">
            <w:pPr>
              <w:jc w:val="center"/>
              <w:rPr>
                <w:color w:val="000000"/>
                <w:sz w:val="18"/>
                <w:szCs w:val="18"/>
              </w:rPr>
            </w:pPr>
            <w:r>
              <w:rPr>
                <w:color w:val="000000"/>
                <w:sz w:val="18"/>
                <w:szCs w:val="18"/>
              </w:rPr>
              <w:t>7 (20.6%)</w:t>
            </w:r>
          </w:p>
        </w:tc>
        <w:tc>
          <w:tcPr>
            <w:tcW w:w="1312" w:type="dxa"/>
            <w:tcBorders>
              <w:top w:val="single" w:sz="18" w:space="0" w:color="auto"/>
              <w:left w:val="nil"/>
              <w:bottom w:val="nil"/>
              <w:right w:val="nil"/>
            </w:tcBorders>
            <w:shd w:val="clear" w:color="auto" w:fill="auto"/>
            <w:noWrap/>
            <w:vAlign w:val="bottom"/>
            <w:hideMark/>
          </w:tcPr>
          <w:p w14:paraId="057F6EFA" w14:textId="77777777" w:rsidR="00936371" w:rsidRPr="0022374A" w:rsidRDefault="00936371" w:rsidP="00B82659">
            <w:pPr>
              <w:jc w:val="center"/>
              <w:rPr>
                <w:color w:val="000000"/>
                <w:sz w:val="18"/>
                <w:szCs w:val="18"/>
              </w:rPr>
            </w:pPr>
            <w:r>
              <w:rPr>
                <w:color w:val="000000"/>
                <w:sz w:val="18"/>
                <w:szCs w:val="18"/>
              </w:rPr>
              <w:t>21 (46.7%)</w:t>
            </w:r>
          </w:p>
        </w:tc>
        <w:tc>
          <w:tcPr>
            <w:tcW w:w="1311" w:type="dxa"/>
            <w:tcBorders>
              <w:top w:val="single" w:sz="18" w:space="0" w:color="auto"/>
              <w:left w:val="nil"/>
              <w:bottom w:val="nil"/>
              <w:right w:val="nil"/>
            </w:tcBorders>
            <w:shd w:val="clear" w:color="auto" w:fill="auto"/>
            <w:noWrap/>
            <w:vAlign w:val="bottom"/>
            <w:hideMark/>
          </w:tcPr>
          <w:p w14:paraId="04D130C9" w14:textId="77777777" w:rsidR="00936371" w:rsidRPr="0022374A" w:rsidRDefault="00936371" w:rsidP="00B82659">
            <w:pPr>
              <w:jc w:val="center"/>
              <w:rPr>
                <w:color w:val="000000"/>
                <w:sz w:val="18"/>
                <w:szCs w:val="18"/>
              </w:rPr>
            </w:pPr>
            <w:r>
              <w:rPr>
                <w:color w:val="000000"/>
                <w:sz w:val="18"/>
                <w:szCs w:val="18"/>
              </w:rPr>
              <w:t>61 (50.8%)</w:t>
            </w:r>
          </w:p>
        </w:tc>
        <w:tc>
          <w:tcPr>
            <w:tcW w:w="1311" w:type="dxa"/>
            <w:tcBorders>
              <w:top w:val="single" w:sz="18" w:space="0" w:color="auto"/>
              <w:left w:val="nil"/>
              <w:bottom w:val="nil"/>
              <w:right w:val="nil"/>
            </w:tcBorders>
            <w:shd w:val="clear" w:color="auto" w:fill="auto"/>
            <w:noWrap/>
            <w:vAlign w:val="bottom"/>
            <w:hideMark/>
          </w:tcPr>
          <w:p w14:paraId="684938D4" w14:textId="77777777" w:rsidR="00936371" w:rsidRPr="0022374A" w:rsidRDefault="00936371" w:rsidP="00B82659">
            <w:pPr>
              <w:jc w:val="center"/>
              <w:rPr>
                <w:color w:val="000000"/>
                <w:sz w:val="18"/>
                <w:szCs w:val="18"/>
              </w:rPr>
            </w:pPr>
            <w:r>
              <w:rPr>
                <w:color w:val="000000"/>
                <w:sz w:val="18"/>
                <w:szCs w:val="18"/>
              </w:rPr>
              <w:t>46 (49.5%)</w:t>
            </w:r>
          </w:p>
        </w:tc>
        <w:tc>
          <w:tcPr>
            <w:tcW w:w="1311" w:type="dxa"/>
            <w:tcBorders>
              <w:top w:val="single" w:sz="18" w:space="0" w:color="auto"/>
              <w:left w:val="nil"/>
              <w:bottom w:val="nil"/>
              <w:right w:val="nil"/>
            </w:tcBorders>
            <w:shd w:val="clear" w:color="auto" w:fill="auto"/>
            <w:noWrap/>
            <w:vAlign w:val="bottom"/>
            <w:hideMark/>
          </w:tcPr>
          <w:p w14:paraId="5C16047D" w14:textId="77777777" w:rsidR="00936371" w:rsidRPr="0022374A" w:rsidRDefault="00936371" w:rsidP="00B82659">
            <w:pPr>
              <w:jc w:val="center"/>
              <w:rPr>
                <w:color w:val="000000"/>
                <w:sz w:val="18"/>
                <w:szCs w:val="18"/>
              </w:rPr>
            </w:pPr>
            <w:r>
              <w:rPr>
                <w:color w:val="000000"/>
                <w:sz w:val="18"/>
                <w:szCs w:val="18"/>
              </w:rPr>
              <w:t>64 (46%)</w:t>
            </w:r>
          </w:p>
        </w:tc>
        <w:tc>
          <w:tcPr>
            <w:tcW w:w="1312" w:type="dxa"/>
            <w:tcBorders>
              <w:top w:val="single" w:sz="18" w:space="0" w:color="auto"/>
              <w:left w:val="nil"/>
              <w:bottom w:val="nil"/>
              <w:right w:val="nil"/>
            </w:tcBorders>
            <w:shd w:val="clear" w:color="auto" w:fill="auto"/>
            <w:noWrap/>
            <w:vAlign w:val="bottom"/>
            <w:hideMark/>
          </w:tcPr>
          <w:p w14:paraId="53B729B1" w14:textId="77777777" w:rsidR="00936371" w:rsidRPr="0022374A" w:rsidRDefault="00936371" w:rsidP="00B82659">
            <w:pPr>
              <w:jc w:val="center"/>
              <w:rPr>
                <w:color w:val="000000"/>
                <w:sz w:val="18"/>
                <w:szCs w:val="18"/>
              </w:rPr>
            </w:pPr>
            <w:r>
              <w:rPr>
                <w:color w:val="000000"/>
                <w:sz w:val="18"/>
                <w:szCs w:val="18"/>
              </w:rPr>
              <w:t>80 (46.8%)</w:t>
            </w:r>
          </w:p>
        </w:tc>
      </w:tr>
      <w:tr w:rsidR="00936371" w:rsidRPr="00675494" w14:paraId="3B00A68F" w14:textId="77777777" w:rsidTr="000864AC">
        <w:trPr>
          <w:trHeight w:val="300"/>
        </w:trPr>
        <w:tc>
          <w:tcPr>
            <w:tcW w:w="2410" w:type="dxa"/>
            <w:tcBorders>
              <w:top w:val="nil"/>
              <w:left w:val="nil"/>
              <w:bottom w:val="nil"/>
              <w:right w:val="nil"/>
            </w:tcBorders>
            <w:shd w:val="clear" w:color="auto" w:fill="auto"/>
            <w:noWrap/>
            <w:vAlign w:val="bottom"/>
            <w:hideMark/>
          </w:tcPr>
          <w:p w14:paraId="4711AFBE" w14:textId="77777777" w:rsidR="00936371" w:rsidRPr="0022374A" w:rsidRDefault="00936371" w:rsidP="00B82659">
            <w:pPr>
              <w:rPr>
                <w:color w:val="000000"/>
                <w:sz w:val="18"/>
                <w:szCs w:val="18"/>
                <w:lang w:eastAsia="en-GB"/>
              </w:rPr>
            </w:pPr>
            <w:r w:rsidRPr="0022374A">
              <w:rPr>
                <w:color w:val="000000"/>
                <w:sz w:val="18"/>
                <w:szCs w:val="18"/>
                <w:lang w:eastAsia="en-GB"/>
              </w:rPr>
              <w:t>Admitted to ITU</w:t>
            </w:r>
          </w:p>
        </w:tc>
        <w:tc>
          <w:tcPr>
            <w:tcW w:w="1311" w:type="dxa"/>
            <w:tcBorders>
              <w:top w:val="nil"/>
              <w:left w:val="nil"/>
              <w:bottom w:val="nil"/>
              <w:right w:val="nil"/>
            </w:tcBorders>
            <w:shd w:val="clear" w:color="auto" w:fill="auto"/>
            <w:noWrap/>
            <w:vAlign w:val="bottom"/>
            <w:hideMark/>
          </w:tcPr>
          <w:p w14:paraId="0C8FF26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9522B5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30564423" w14:textId="77777777" w:rsidR="00936371" w:rsidRPr="0022374A" w:rsidRDefault="00936371" w:rsidP="00B82659">
            <w:pPr>
              <w:jc w:val="center"/>
              <w:rPr>
                <w:color w:val="000000"/>
                <w:sz w:val="18"/>
                <w:szCs w:val="18"/>
                <w:lang w:eastAsia="en-GB"/>
              </w:rPr>
            </w:pPr>
            <w:r w:rsidRPr="0022374A">
              <w:rPr>
                <w:color w:val="000000"/>
                <w:sz w:val="18"/>
                <w:szCs w:val="18"/>
                <w:lang w:eastAsia="en-GB"/>
              </w:rPr>
              <w:t>6 (17.6%)</w:t>
            </w:r>
          </w:p>
        </w:tc>
        <w:tc>
          <w:tcPr>
            <w:tcW w:w="1312" w:type="dxa"/>
            <w:tcBorders>
              <w:top w:val="nil"/>
              <w:left w:val="nil"/>
              <w:bottom w:val="nil"/>
              <w:right w:val="nil"/>
            </w:tcBorders>
            <w:shd w:val="clear" w:color="auto" w:fill="auto"/>
            <w:noWrap/>
            <w:vAlign w:val="bottom"/>
            <w:hideMark/>
          </w:tcPr>
          <w:p w14:paraId="7880B2C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13 (28.9%)</w:t>
            </w:r>
          </w:p>
        </w:tc>
        <w:tc>
          <w:tcPr>
            <w:tcW w:w="1311" w:type="dxa"/>
            <w:tcBorders>
              <w:top w:val="nil"/>
              <w:left w:val="nil"/>
              <w:bottom w:val="nil"/>
              <w:right w:val="nil"/>
            </w:tcBorders>
            <w:shd w:val="clear" w:color="auto" w:fill="auto"/>
            <w:noWrap/>
            <w:vAlign w:val="bottom"/>
            <w:hideMark/>
          </w:tcPr>
          <w:p w14:paraId="7C5761BE"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30 (25%)</w:t>
            </w:r>
          </w:p>
        </w:tc>
        <w:tc>
          <w:tcPr>
            <w:tcW w:w="1311" w:type="dxa"/>
            <w:tcBorders>
              <w:top w:val="nil"/>
              <w:left w:val="nil"/>
              <w:bottom w:val="nil"/>
              <w:right w:val="nil"/>
            </w:tcBorders>
            <w:shd w:val="clear" w:color="auto" w:fill="auto"/>
            <w:noWrap/>
            <w:vAlign w:val="bottom"/>
            <w:hideMark/>
          </w:tcPr>
          <w:p w14:paraId="3F4DB42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25 (26.9%)</w:t>
            </w:r>
          </w:p>
        </w:tc>
        <w:tc>
          <w:tcPr>
            <w:tcW w:w="1311" w:type="dxa"/>
            <w:tcBorders>
              <w:top w:val="nil"/>
              <w:left w:val="nil"/>
              <w:bottom w:val="nil"/>
              <w:right w:val="nil"/>
            </w:tcBorders>
            <w:shd w:val="clear" w:color="auto" w:fill="auto"/>
            <w:noWrap/>
            <w:vAlign w:val="bottom"/>
            <w:hideMark/>
          </w:tcPr>
          <w:p w14:paraId="23042471"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10 (7.2%)</w:t>
            </w:r>
          </w:p>
        </w:tc>
        <w:tc>
          <w:tcPr>
            <w:tcW w:w="1312" w:type="dxa"/>
            <w:tcBorders>
              <w:top w:val="nil"/>
              <w:left w:val="nil"/>
              <w:bottom w:val="nil"/>
              <w:right w:val="nil"/>
            </w:tcBorders>
            <w:shd w:val="clear" w:color="auto" w:fill="auto"/>
            <w:noWrap/>
            <w:vAlign w:val="bottom"/>
            <w:hideMark/>
          </w:tcPr>
          <w:p w14:paraId="70F6BD58" w14:textId="77777777" w:rsidR="00936371" w:rsidRPr="0022374A" w:rsidRDefault="00936371" w:rsidP="00B82659">
            <w:pPr>
              <w:jc w:val="center"/>
              <w:rPr>
                <w:color w:val="000000"/>
                <w:sz w:val="18"/>
                <w:szCs w:val="18"/>
                <w:lang w:eastAsia="en-GB"/>
              </w:rPr>
            </w:pPr>
            <w:r w:rsidRPr="0022374A">
              <w:rPr>
                <w:color w:val="000000"/>
                <w:sz w:val="18"/>
                <w:szCs w:val="18"/>
                <w:lang w:eastAsia="en-GB"/>
              </w:rPr>
              <w:t>3 (1.8%)</w:t>
            </w:r>
          </w:p>
        </w:tc>
      </w:tr>
      <w:tr w:rsidR="00936371" w:rsidRPr="00675494" w14:paraId="2539CB78" w14:textId="77777777" w:rsidTr="000864AC">
        <w:trPr>
          <w:trHeight w:val="300"/>
        </w:trPr>
        <w:tc>
          <w:tcPr>
            <w:tcW w:w="2410" w:type="dxa"/>
            <w:tcBorders>
              <w:top w:val="nil"/>
              <w:left w:val="nil"/>
              <w:bottom w:val="nil"/>
              <w:right w:val="nil"/>
            </w:tcBorders>
            <w:shd w:val="clear" w:color="auto" w:fill="auto"/>
            <w:noWrap/>
            <w:vAlign w:val="bottom"/>
            <w:hideMark/>
          </w:tcPr>
          <w:p w14:paraId="23029C62" w14:textId="77777777" w:rsidR="00936371" w:rsidRPr="0022374A" w:rsidRDefault="00936371" w:rsidP="00B82659">
            <w:pPr>
              <w:rPr>
                <w:color w:val="000000"/>
                <w:sz w:val="18"/>
                <w:szCs w:val="18"/>
                <w:lang w:eastAsia="en-GB"/>
              </w:rPr>
            </w:pPr>
            <w:r w:rsidRPr="0022374A">
              <w:rPr>
                <w:color w:val="000000"/>
                <w:sz w:val="18"/>
                <w:szCs w:val="18"/>
                <w:lang w:eastAsia="en-GB"/>
              </w:rPr>
              <w:t>Received IVS</w:t>
            </w:r>
          </w:p>
        </w:tc>
        <w:tc>
          <w:tcPr>
            <w:tcW w:w="1311" w:type="dxa"/>
            <w:tcBorders>
              <w:top w:val="nil"/>
              <w:left w:val="nil"/>
              <w:bottom w:val="nil"/>
              <w:right w:val="nil"/>
            </w:tcBorders>
            <w:shd w:val="clear" w:color="auto" w:fill="auto"/>
            <w:noWrap/>
            <w:vAlign w:val="bottom"/>
            <w:hideMark/>
          </w:tcPr>
          <w:p w14:paraId="36362CA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575CB0D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19F98A6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6 (17.6%)</w:t>
            </w:r>
          </w:p>
        </w:tc>
        <w:tc>
          <w:tcPr>
            <w:tcW w:w="1312" w:type="dxa"/>
            <w:tcBorders>
              <w:top w:val="nil"/>
              <w:left w:val="nil"/>
              <w:bottom w:val="nil"/>
              <w:right w:val="nil"/>
            </w:tcBorders>
            <w:shd w:val="clear" w:color="auto" w:fill="auto"/>
            <w:noWrap/>
            <w:vAlign w:val="bottom"/>
            <w:hideMark/>
          </w:tcPr>
          <w:p w14:paraId="153EE716"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13 (28.9%)</w:t>
            </w:r>
          </w:p>
        </w:tc>
        <w:tc>
          <w:tcPr>
            <w:tcW w:w="1311" w:type="dxa"/>
            <w:tcBorders>
              <w:top w:val="nil"/>
              <w:left w:val="nil"/>
              <w:bottom w:val="nil"/>
              <w:right w:val="nil"/>
            </w:tcBorders>
            <w:shd w:val="clear" w:color="auto" w:fill="auto"/>
            <w:noWrap/>
            <w:vAlign w:val="bottom"/>
            <w:hideMark/>
          </w:tcPr>
          <w:p w14:paraId="2933F8C8"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27 (22.5%)</w:t>
            </w:r>
          </w:p>
        </w:tc>
        <w:tc>
          <w:tcPr>
            <w:tcW w:w="1311" w:type="dxa"/>
            <w:tcBorders>
              <w:top w:val="nil"/>
              <w:left w:val="nil"/>
              <w:bottom w:val="nil"/>
              <w:right w:val="nil"/>
            </w:tcBorders>
            <w:shd w:val="clear" w:color="auto" w:fill="auto"/>
            <w:noWrap/>
            <w:vAlign w:val="bottom"/>
            <w:hideMark/>
          </w:tcPr>
          <w:p w14:paraId="49DBD690"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24 (25.8%)</w:t>
            </w:r>
          </w:p>
        </w:tc>
        <w:tc>
          <w:tcPr>
            <w:tcW w:w="1311" w:type="dxa"/>
            <w:tcBorders>
              <w:top w:val="nil"/>
              <w:left w:val="nil"/>
              <w:bottom w:val="nil"/>
              <w:right w:val="nil"/>
            </w:tcBorders>
            <w:shd w:val="clear" w:color="auto" w:fill="auto"/>
            <w:noWrap/>
            <w:vAlign w:val="bottom"/>
            <w:hideMark/>
          </w:tcPr>
          <w:p w14:paraId="11C33E36" w14:textId="77777777" w:rsidR="00936371" w:rsidRPr="0022374A" w:rsidRDefault="00936371" w:rsidP="00B82659">
            <w:pPr>
              <w:jc w:val="center"/>
              <w:rPr>
                <w:color w:val="000000"/>
                <w:sz w:val="18"/>
                <w:szCs w:val="18"/>
                <w:lang w:eastAsia="en-GB"/>
              </w:rPr>
            </w:pPr>
            <w:r w:rsidRPr="0022374A">
              <w:rPr>
                <w:color w:val="000000"/>
                <w:sz w:val="18"/>
                <w:szCs w:val="18"/>
                <w:lang w:eastAsia="en-GB"/>
              </w:rPr>
              <w:t>8 (5.8%)</w:t>
            </w:r>
          </w:p>
        </w:tc>
        <w:tc>
          <w:tcPr>
            <w:tcW w:w="1312" w:type="dxa"/>
            <w:tcBorders>
              <w:top w:val="nil"/>
              <w:left w:val="nil"/>
              <w:bottom w:val="nil"/>
              <w:right w:val="nil"/>
            </w:tcBorders>
            <w:shd w:val="clear" w:color="auto" w:fill="auto"/>
            <w:noWrap/>
            <w:vAlign w:val="bottom"/>
            <w:hideMark/>
          </w:tcPr>
          <w:p w14:paraId="0A3666AD"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 (1.2%)</w:t>
            </w:r>
          </w:p>
        </w:tc>
      </w:tr>
      <w:tr w:rsidR="00936371" w:rsidRPr="00675494" w14:paraId="6B00B5AD" w14:textId="77777777" w:rsidTr="000864AC">
        <w:trPr>
          <w:trHeight w:val="300"/>
        </w:trPr>
        <w:tc>
          <w:tcPr>
            <w:tcW w:w="2410" w:type="dxa"/>
            <w:tcBorders>
              <w:top w:val="nil"/>
              <w:left w:val="nil"/>
              <w:bottom w:val="nil"/>
              <w:right w:val="nil"/>
            </w:tcBorders>
            <w:shd w:val="clear" w:color="auto" w:fill="auto"/>
            <w:noWrap/>
            <w:vAlign w:val="bottom"/>
            <w:hideMark/>
          </w:tcPr>
          <w:p w14:paraId="353F7590" w14:textId="77777777" w:rsidR="00936371" w:rsidRPr="0022374A" w:rsidRDefault="00936371" w:rsidP="00B82659">
            <w:pPr>
              <w:rPr>
                <w:color w:val="000000"/>
                <w:sz w:val="18"/>
                <w:szCs w:val="18"/>
                <w:lang w:eastAsia="en-GB"/>
              </w:rPr>
            </w:pPr>
            <w:r w:rsidRPr="0022374A">
              <w:rPr>
                <w:color w:val="000000"/>
                <w:sz w:val="18"/>
                <w:szCs w:val="18"/>
                <w:lang w:eastAsia="en-GB"/>
              </w:rPr>
              <w:t>Died in hospital</w:t>
            </w:r>
          </w:p>
        </w:tc>
        <w:tc>
          <w:tcPr>
            <w:tcW w:w="1311" w:type="dxa"/>
            <w:tcBorders>
              <w:top w:val="nil"/>
              <w:left w:val="nil"/>
              <w:bottom w:val="nil"/>
              <w:right w:val="nil"/>
            </w:tcBorders>
            <w:shd w:val="clear" w:color="auto" w:fill="auto"/>
            <w:noWrap/>
            <w:vAlign w:val="bottom"/>
            <w:hideMark/>
          </w:tcPr>
          <w:p w14:paraId="5E8DED4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0 (0%)</w:t>
            </w:r>
          </w:p>
        </w:tc>
        <w:tc>
          <w:tcPr>
            <w:tcW w:w="1311" w:type="dxa"/>
            <w:tcBorders>
              <w:top w:val="nil"/>
              <w:left w:val="nil"/>
              <w:bottom w:val="nil"/>
              <w:right w:val="nil"/>
            </w:tcBorders>
            <w:shd w:val="clear" w:color="auto" w:fill="auto"/>
            <w:noWrap/>
            <w:vAlign w:val="bottom"/>
            <w:hideMark/>
          </w:tcPr>
          <w:p w14:paraId="05D4A01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(11.1%)</w:t>
            </w:r>
          </w:p>
        </w:tc>
        <w:tc>
          <w:tcPr>
            <w:tcW w:w="1311" w:type="dxa"/>
            <w:tcBorders>
              <w:top w:val="nil"/>
              <w:left w:val="nil"/>
              <w:bottom w:val="nil"/>
              <w:right w:val="nil"/>
            </w:tcBorders>
            <w:shd w:val="clear" w:color="auto" w:fill="auto"/>
            <w:noWrap/>
            <w:vAlign w:val="bottom"/>
            <w:hideMark/>
          </w:tcPr>
          <w:p w14:paraId="490DC63A"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(2.9%)</w:t>
            </w:r>
          </w:p>
        </w:tc>
        <w:tc>
          <w:tcPr>
            <w:tcW w:w="1312" w:type="dxa"/>
            <w:tcBorders>
              <w:top w:val="nil"/>
              <w:left w:val="nil"/>
              <w:bottom w:val="nil"/>
              <w:right w:val="nil"/>
            </w:tcBorders>
            <w:shd w:val="clear" w:color="auto" w:fill="auto"/>
            <w:noWrap/>
            <w:vAlign w:val="bottom"/>
            <w:hideMark/>
          </w:tcPr>
          <w:p w14:paraId="307A8A4B" w14:textId="77777777" w:rsidR="00936371" w:rsidRPr="0022374A" w:rsidRDefault="00936371" w:rsidP="00B82659">
            <w:pPr>
              <w:jc w:val="center"/>
              <w:rPr>
                <w:color w:val="000000"/>
                <w:sz w:val="18"/>
                <w:szCs w:val="18"/>
                <w:lang w:eastAsia="en-GB"/>
              </w:rPr>
            </w:pPr>
            <w:r w:rsidRPr="0022374A">
              <w:rPr>
                <w:color w:val="000000"/>
                <w:sz w:val="18"/>
                <w:szCs w:val="18"/>
                <w:lang w:eastAsia="en-GB"/>
              </w:rPr>
              <w:t>1 (2.2%)</w:t>
            </w:r>
          </w:p>
        </w:tc>
        <w:tc>
          <w:tcPr>
            <w:tcW w:w="1311" w:type="dxa"/>
            <w:tcBorders>
              <w:top w:val="nil"/>
              <w:left w:val="nil"/>
              <w:bottom w:val="nil"/>
              <w:right w:val="nil"/>
            </w:tcBorders>
            <w:shd w:val="clear" w:color="auto" w:fill="auto"/>
            <w:noWrap/>
            <w:vAlign w:val="bottom"/>
            <w:hideMark/>
          </w:tcPr>
          <w:p w14:paraId="68183650"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22 (18.3%)</w:t>
            </w:r>
          </w:p>
        </w:tc>
        <w:tc>
          <w:tcPr>
            <w:tcW w:w="1311" w:type="dxa"/>
            <w:tcBorders>
              <w:top w:val="nil"/>
              <w:left w:val="nil"/>
              <w:bottom w:val="nil"/>
              <w:right w:val="nil"/>
            </w:tcBorders>
            <w:shd w:val="clear" w:color="auto" w:fill="auto"/>
            <w:noWrap/>
            <w:vAlign w:val="bottom"/>
            <w:hideMark/>
          </w:tcPr>
          <w:p w14:paraId="03E87774" w14:textId="77777777" w:rsidR="00936371" w:rsidRPr="0022374A" w:rsidRDefault="00936371" w:rsidP="00B82659">
            <w:pPr>
              <w:jc w:val="center"/>
              <w:rPr>
                <w:color w:val="000000"/>
                <w:sz w:val="18"/>
                <w:szCs w:val="18"/>
                <w:lang w:eastAsia="en-GB"/>
              </w:rPr>
            </w:pPr>
            <w:r w:rsidRPr="0022374A">
              <w:rPr>
                <w:color w:val="000000"/>
                <w:sz w:val="18"/>
                <w:szCs w:val="18"/>
                <w:lang w:eastAsia="en-GB"/>
              </w:rPr>
              <w:t>24 (25.8%)</w:t>
            </w:r>
          </w:p>
        </w:tc>
        <w:tc>
          <w:tcPr>
            <w:tcW w:w="1311" w:type="dxa"/>
            <w:tcBorders>
              <w:top w:val="nil"/>
              <w:left w:val="nil"/>
              <w:bottom w:val="nil"/>
              <w:right w:val="nil"/>
            </w:tcBorders>
            <w:shd w:val="clear" w:color="auto" w:fill="auto"/>
            <w:noWrap/>
            <w:vAlign w:val="bottom"/>
            <w:hideMark/>
          </w:tcPr>
          <w:p w14:paraId="083B4F32" w14:textId="77777777" w:rsidR="00936371" w:rsidRPr="0022374A" w:rsidRDefault="00936371" w:rsidP="00B82659">
            <w:pPr>
              <w:jc w:val="center"/>
              <w:rPr>
                <w:color w:val="000000"/>
                <w:sz w:val="18"/>
                <w:szCs w:val="18"/>
                <w:lang w:eastAsia="en-GB"/>
              </w:rPr>
            </w:pPr>
            <w:r w:rsidRPr="0022374A">
              <w:rPr>
                <w:color w:val="000000"/>
                <w:sz w:val="18"/>
                <w:szCs w:val="18"/>
                <w:lang w:eastAsia="en-GB"/>
              </w:rPr>
              <w:t>50 (36%)</w:t>
            </w:r>
          </w:p>
        </w:tc>
        <w:tc>
          <w:tcPr>
            <w:tcW w:w="1312" w:type="dxa"/>
            <w:tcBorders>
              <w:top w:val="nil"/>
              <w:left w:val="nil"/>
              <w:bottom w:val="nil"/>
              <w:right w:val="nil"/>
            </w:tcBorders>
            <w:shd w:val="clear" w:color="auto" w:fill="auto"/>
            <w:noWrap/>
            <w:vAlign w:val="bottom"/>
            <w:hideMark/>
          </w:tcPr>
          <w:p w14:paraId="6659F187" w14:textId="77777777" w:rsidR="00936371" w:rsidRPr="0022374A" w:rsidRDefault="00936371" w:rsidP="00B82659">
            <w:pPr>
              <w:jc w:val="center"/>
              <w:rPr>
                <w:color w:val="000000"/>
                <w:sz w:val="18"/>
                <w:szCs w:val="18"/>
                <w:lang w:eastAsia="en-GB"/>
              </w:rPr>
            </w:pPr>
            <w:r w:rsidRPr="0022374A">
              <w:rPr>
                <w:color w:val="000000"/>
                <w:sz w:val="18"/>
                <w:szCs w:val="18"/>
                <w:lang w:eastAsia="en-GB"/>
              </w:rPr>
              <w:t>80 (46.8%)</w:t>
            </w:r>
          </w:p>
        </w:tc>
      </w:tr>
    </w:tbl>
    <w:p w14:paraId="56FABC8A" w14:textId="77777777" w:rsidR="006D3944" w:rsidRPr="0022374A" w:rsidRDefault="006D3944" w:rsidP="006D3944">
      <w:pPr>
        <w:rPr>
          <w:rStyle w:val="normaltextrun"/>
          <w:b/>
          <w:bCs/>
          <w:sz w:val="20"/>
          <w:szCs w:val="20"/>
          <w:lang w:val="en-US"/>
        </w:rPr>
      </w:pPr>
    </w:p>
    <w:p w14:paraId="1C58C607" w14:textId="0CB41A3E" w:rsidR="006D3944" w:rsidRPr="005C0E80" w:rsidRDefault="006D3944" w:rsidP="006D3944">
      <w:pPr>
        <w:rPr>
          <w:b/>
          <w:bCs/>
          <w:sz w:val="22"/>
          <w:szCs w:val="22"/>
          <w:lang w:val="en-US"/>
        </w:rPr>
      </w:pPr>
    </w:p>
    <w:p w14:paraId="2E469744" w14:textId="77777777" w:rsidR="00646CC1" w:rsidRDefault="00646CC1" w:rsidP="006D3944">
      <w:pPr>
        <w:rPr>
          <w:rStyle w:val="normaltextrun"/>
          <w:b/>
          <w:bCs/>
          <w:sz w:val="22"/>
          <w:szCs w:val="22"/>
          <w:lang w:val="en-US"/>
        </w:rPr>
        <w:sectPr w:rsidR="00646CC1" w:rsidSect="00311603">
          <w:pgSz w:w="15840" w:h="12240" w:orient="landscape"/>
          <w:pgMar w:top="720" w:right="720" w:bottom="720" w:left="720" w:header="720" w:footer="720" w:gutter="0"/>
          <w:cols w:space="720"/>
          <w:docGrid w:linePitch="360"/>
        </w:sectPr>
      </w:pPr>
    </w:p>
    <w:p w14:paraId="1F79C61B" w14:textId="48353CAA" w:rsidR="006D3944" w:rsidRPr="005C0E80" w:rsidRDefault="006D3944" w:rsidP="006D3944">
      <w:pPr>
        <w:rPr>
          <w:rStyle w:val="normaltextrun"/>
          <w:b/>
          <w:bCs/>
          <w:sz w:val="22"/>
          <w:szCs w:val="22"/>
          <w:lang w:val="en-US"/>
        </w:rPr>
      </w:pPr>
      <w:r w:rsidRPr="005C0E80">
        <w:rPr>
          <w:rStyle w:val="normaltextrun"/>
          <w:b/>
          <w:bCs/>
          <w:sz w:val="22"/>
          <w:szCs w:val="22"/>
          <w:lang w:val="en-US"/>
        </w:rPr>
        <w:lastRenderedPageBreak/>
        <w:t>Supplementary Table S</w:t>
      </w:r>
      <w:r w:rsidR="00112878">
        <w:rPr>
          <w:rStyle w:val="normaltextrun"/>
          <w:b/>
          <w:bCs/>
          <w:sz w:val="22"/>
          <w:szCs w:val="22"/>
          <w:lang w:val="en-US"/>
        </w:rPr>
        <w:t>3</w:t>
      </w:r>
      <w:r w:rsidRPr="005C0E80">
        <w:rPr>
          <w:rStyle w:val="normaltextrun"/>
          <w:b/>
          <w:bCs/>
          <w:sz w:val="22"/>
          <w:szCs w:val="22"/>
          <w:lang w:val="en-US"/>
        </w:rPr>
        <w:t xml:space="preserve">: </w:t>
      </w:r>
      <w:r w:rsidRPr="005C0E80">
        <w:rPr>
          <w:rStyle w:val="normaltextrun"/>
          <w:sz w:val="22"/>
          <w:szCs w:val="22"/>
          <w:lang w:val="en-US"/>
        </w:rPr>
        <w:t>Ethnicity breakdown compared with previous emergency admissions at ICHNT</w:t>
      </w:r>
      <w:r w:rsidRPr="005C0E80">
        <w:rPr>
          <w:rStyle w:val="normaltextrun"/>
          <w:b/>
          <w:bCs/>
          <w:sz w:val="22"/>
          <w:szCs w:val="22"/>
          <w:lang w:val="en-US"/>
        </w:rPr>
        <w:t xml:space="preserve"> </w:t>
      </w:r>
    </w:p>
    <w:p w14:paraId="1DB1C14B" w14:textId="77777777" w:rsidR="006D3944" w:rsidRPr="005C0E80" w:rsidRDefault="006D3944" w:rsidP="006D3944">
      <w:pPr>
        <w:rPr>
          <w:rStyle w:val="normaltextrun"/>
          <w:b/>
          <w:bCs/>
          <w:sz w:val="22"/>
          <w:szCs w:val="22"/>
          <w:lang w:val="en-US"/>
        </w:rPr>
      </w:pPr>
    </w:p>
    <w:p w14:paraId="30EF3F0E" w14:textId="3D6526DE" w:rsidR="00D25ED4" w:rsidRPr="005C0E80" w:rsidRDefault="00D25ED4" w:rsidP="006D3944">
      <w:pPr>
        <w:rPr>
          <w:rStyle w:val="normaltextrun"/>
          <w:b/>
          <w:bCs/>
          <w:sz w:val="22"/>
          <w:szCs w:val="22"/>
          <w:lang w:val="en-US"/>
        </w:rPr>
      </w:pPr>
    </w:p>
    <w:tbl>
      <w:tblPr>
        <w:tblW w:w="5580" w:type="dxa"/>
        <w:tblLook w:val="04A0" w:firstRow="1" w:lastRow="0" w:firstColumn="1" w:lastColumn="0" w:noHBand="0" w:noVBand="1"/>
      </w:tblPr>
      <w:tblGrid>
        <w:gridCol w:w="1300"/>
        <w:gridCol w:w="2140"/>
        <w:gridCol w:w="2140"/>
      </w:tblGrid>
      <w:tr w:rsidR="007775BA" w:rsidRPr="007775BA" w14:paraId="252CD0A0" w14:textId="77777777" w:rsidTr="007775BA">
        <w:trPr>
          <w:trHeight w:val="300"/>
        </w:trPr>
        <w:tc>
          <w:tcPr>
            <w:tcW w:w="1300" w:type="dxa"/>
            <w:tcBorders>
              <w:top w:val="nil"/>
              <w:left w:val="nil"/>
              <w:bottom w:val="nil"/>
              <w:right w:val="nil"/>
            </w:tcBorders>
            <w:shd w:val="clear" w:color="auto" w:fill="auto"/>
            <w:noWrap/>
            <w:vAlign w:val="bottom"/>
            <w:hideMark/>
          </w:tcPr>
          <w:p w14:paraId="7AF84E16" w14:textId="77777777" w:rsidR="007775BA" w:rsidRPr="007775BA" w:rsidRDefault="007775BA" w:rsidP="007775BA">
            <w:pPr>
              <w:rPr>
                <w:b/>
                <w:bCs/>
                <w:color w:val="000000"/>
                <w:sz w:val="22"/>
                <w:szCs w:val="22"/>
                <w:lang w:eastAsia="en-GB"/>
              </w:rPr>
            </w:pPr>
            <w:r w:rsidRPr="007775BA">
              <w:rPr>
                <w:b/>
                <w:bCs/>
                <w:color w:val="000000"/>
                <w:sz w:val="22"/>
                <w:szCs w:val="22"/>
                <w:lang w:eastAsia="en-GB"/>
              </w:rPr>
              <w:t>Ethnicity</w:t>
            </w:r>
          </w:p>
        </w:tc>
        <w:tc>
          <w:tcPr>
            <w:tcW w:w="2140" w:type="dxa"/>
            <w:tcBorders>
              <w:top w:val="nil"/>
              <w:left w:val="nil"/>
              <w:bottom w:val="nil"/>
              <w:right w:val="nil"/>
            </w:tcBorders>
            <w:shd w:val="clear" w:color="auto" w:fill="auto"/>
            <w:noWrap/>
            <w:vAlign w:val="bottom"/>
            <w:hideMark/>
          </w:tcPr>
          <w:p w14:paraId="22D896CF" w14:textId="77777777" w:rsidR="007775BA" w:rsidRPr="007775BA" w:rsidRDefault="007775BA" w:rsidP="007775BA">
            <w:pPr>
              <w:jc w:val="center"/>
              <w:rPr>
                <w:b/>
                <w:bCs/>
                <w:color w:val="000000"/>
                <w:sz w:val="22"/>
                <w:szCs w:val="22"/>
                <w:lang w:eastAsia="en-GB"/>
              </w:rPr>
            </w:pPr>
            <w:r w:rsidRPr="007775BA">
              <w:rPr>
                <w:b/>
                <w:bCs/>
                <w:color w:val="000000"/>
                <w:sz w:val="22"/>
                <w:szCs w:val="22"/>
                <w:lang w:eastAsia="en-GB"/>
              </w:rPr>
              <w:t>ICHNT COVID-19 2020</w:t>
            </w:r>
          </w:p>
        </w:tc>
        <w:tc>
          <w:tcPr>
            <w:tcW w:w="2140" w:type="dxa"/>
            <w:tcBorders>
              <w:top w:val="nil"/>
              <w:left w:val="nil"/>
              <w:bottom w:val="nil"/>
              <w:right w:val="nil"/>
            </w:tcBorders>
            <w:shd w:val="clear" w:color="auto" w:fill="auto"/>
            <w:noWrap/>
            <w:vAlign w:val="bottom"/>
            <w:hideMark/>
          </w:tcPr>
          <w:p w14:paraId="6A1E3D91" w14:textId="4E3AB02E" w:rsidR="007775BA" w:rsidRPr="007775BA" w:rsidRDefault="007775BA" w:rsidP="007775BA">
            <w:pPr>
              <w:jc w:val="center"/>
              <w:rPr>
                <w:b/>
                <w:bCs/>
                <w:color w:val="000000"/>
                <w:sz w:val="22"/>
                <w:szCs w:val="22"/>
                <w:lang w:eastAsia="en-GB"/>
              </w:rPr>
            </w:pPr>
            <w:r w:rsidRPr="007775BA">
              <w:rPr>
                <w:b/>
                <w:bCs/>
                <w:color w:val="000000"/>
                <w:sz w:val="22"/>
                <w:szCs w:val="22"/>
                <w:lang w:eastAsia="en-GB"/>
              </w:rPr>
              <w:t>Emergency admissions of ≥</w:t>
            </w:r>
            <w:r w:rsidR="00D9013D" w:rsidRPr="007775BA">
              <w:rPr>
                <w:b/>
                <w:bCs/>
                <w:color w:val="000000"/>
                <w:sz w:val="22"/>
                <w:szCs w:val="22"/>
                <w:lang w:eastAsia="en-GB"/>
              </w:rPr>
              <w:t>18-year-olds</w:t>
            </w:r>
            <w:r w:rsidRPr="007775BA">
              <w:rPr>
                <w:b/>
                <w:bCs/>
                <w:color w:val="000000"/>
                <w:sz w:val="22"/>
                <w:szCs w:val="22"/>
                <w:lang w:eastAsia="en-GB"/>
              </w:rPr>
              <w:t xml:space="preserve"> ICHNT 2018/19</w:t>
            </w:r>
          </w:p>
        </w:tc>
      </w:tr>
      <w:tr w:rsidR="007775BA" w:rsidRPr="007775BA" w14:paraId="66D1AA8E" w14:textId="77777777" w:rsidTr="007775BA">
        <w:trPr>
          <w:trHeight w:val="300"/>
        </w:trPr>
        <w:tc>
          <w:tcPr>
            <w:tcW w:w="1300" w:type="dxa"/>
            <w:tcBorders>
              <w:top w:val="nil"/>
              <w:left w:val="nil"/>
              <w:bottom w:val="nil"/>
              <w:right w:val="nil"/>
            </w:tcBorders>
            <w:shd w:val="clear" w:color="auto" w:fill="auto"/>
            <w:noWrap/>
            <w:vAlign w:val="bottom"/>
            <w:hideMark/>
          </w:tcPr>
          <w:p w14:paraId="434C41A6" w14:textId="77777777" w:rsidR="007775BA" w:rsidRPr="007775BA" w:rsidRDefault="007775BA" w:rsidP="007775BA">
            <w:pPr>
              <w:rPr>
                <w:color w:val="000000"/>
                <w:sz w:val="22"/>
                <w:szCs w:val="22"/>
                <w:lang w:eastAsia="en-GB"/>
              </w:rPr>
            </w:pPr>
            <w:r w:rsidRPr="007775BA">
              <w:rPr>
                <w:color w:val="000000"/>
                <w:sz w:val="22"/>
                <w:szCs w:val="22"/>
                <w:lang w:eastAsia="en-GB"/>
              </w:rPr>
              <w:t>White</w:t>
            </w:r>
          </w:p>
        </w:tc>
        <w:tc>
          <w:tcPr>
            <w:tcW w:w="2140" w:type="dxa"/>
            <w:tcBorders>
              <w:top w:val="nil"/>
              <w:left w:val="nil"/>
              <w:bottom w:val="nil"/>
              <w:right w:val="nil"/>
            </w:tcBorders>
            <w:shd w:val="clear" w:color="auto" w:fill="auto"/>
            <w:noWrap/>
            <w:vAlign w:val="bottom"/>
            <w:hideMark/>
          </w:tcPr>
          <w:p w14:paraId="5F7F47A2" w14:textId="77777777" w:rsidR="007775BA" w:rsidRPr="007775BA" w:rsidRDefault="007775BA" w:rsidP="007775BA">
            <w:pPr>
              <w:jc w:val="center"/>
              <w:rPr>
                <w:color w:val="000000"/>
                <w:sz w:val="22"/>
                <w:szCs w:val="22"/>
                <w:lang w:eastAsia="en-GB"/>
              </w:rPr>
            </w:pPr>
            <w:r w:rsidRPr="007775BA">
              <w:rPr>
                <w:color w:val="000000"/>
                <w:sz w:val="22"/>
                <w:szCs w:val="22"/>
                <w:lang w:eastAsia="en-GB"/>
              </w:rPr>
              <w:t>235 (38%)</w:t>
            </w:r>
          </w:p>
        </w:tc>
        <w:tc>
          <w:tcPr>
            <w:tcW w:w="2140" w:type="dxa"/>
            <w:tcBorders>
              <w:top w:val="nil"/>
              <w:left w:val="nil"/>
              <w:bottom w:val="nil"/>
              <w:right w:val="nil"/>
            </w:tcBorders>
            <w:shd w:val="clear" w:color="auto" w:fill="auto"/>
            <w:noWrap/>
            <w:vAlign w:val="bottom"/>
            <w:hideMark/>
          </w:tcPr>
          <w:p w14:paraId="30EBF2E3" w14:textId="77777777" w:rsidR="007775BA" w:rsidRPr="007775BA" w:rsidRDefault="007775BA" w:rsidP="007775BA">
            <w:pPr>
              <w:jc w:val="center"/>
              <w:rPr>
                <w:color w:val="000000"/>
                <w:sz w:val="22"/>
                <w:szCs w:val="22"/>
                <w:lang w:eastAsia="en-GB"/>
              </w:rPr>
            </w:pPr>
            <w:r w:rsidRPr="007775BA">
              <w:rPr>
                <w:color w:val="000000"/>
                <w:sz w:val="22"/>
                <w:szCs w:val="22"/>
                <w:lang w:eastAsia="en-GB"/>
              </w:rPr>
              <w:t>21,236 (45%)</w:t>
            </w:r>
          </w:p>
        </w:tc>
      </w:tr>
      <w:tr w:rsidR="007775BA" w:rsidRPr="007775BA" w14:paraId="32823AE3" w14:textId="77777777" w:rsidTr="007775BA">
        <w:trPr>
          <w:trHeight w:val="300"/>
        </w:trPr>
        <w:tc>
          <w:tcPr>
            <w:tcW w:w="1300" w:type="dxa"/>
            <w:tcBorders>
              <w:top w:val="nil"/>
              <w:left w:val="nil"/>
              <w:bottom w:val="nil"/>
              <w:right w:val="nil"/>
            </w:tcBorders>
            <w:shd w:val="clear" w:color="auto" w:fill="auto"/>
            <w:noWrap/>
            <w:vAlign w:val="bottom"/>
            <w:hideMark/>
          </w:tcPr>
          <w:p w14:paraId="1488FD5A" w14:textId="77777777" w:rsidR="007775BA" w:rsidRPr="007775BA" w:rsidRDefault="007775BA" w:rsidP="007775BA">
            <w:pPr>
              <w:rPr>
                <w:color w:val="000000"/>
                <w:sz w:val="22"/>
                <w:szCs w:val="22"/>
                <w:lang w:eastAsia="en-GB"/>
              </w:rPr>
            </w:pPr>
            <w:r w:rsidRPr="007775BA">
              <w:rPr>
                <w:color w:val="000000"/>
                <w:sz w:val="22"/>
                <w:szCs w:val="22"/>
                <w:lang w:eastAsia="en-GB"/>
              </w:rPr>
              <w:t>Asian</w:t>
            </w:r>
          </w:p>
        </w:tc>
        <w:tc>
          <w:tcPr>
            <w:tcW w:w="2140" w:type="dxa"/>
            <w:tcBorders>
              <w:top w:val="nil"/>
              <w:left w:val="nil"/>
              <w:bottom w:val="nil"/>
              <w:right w:val="nil"/>
            </w:tcBorders>
            <w:shd w:val="clear" w:color="auto" w:fill="auto"/>
            <w:noWrap/>
            <w:vAlign w:val="bottom"/>
            <w:hideMark/>
          </w:tcPr>
          <w:p w14:paraId="666C3185" w14:textId="77777777" w:rsidR="007775BA" w:rsidRPr="007775BA" w:rsidRDefault="007775BA" w:rsidP="007775BA">
            <w:pPr>
              <w:jc w:val="center"/>
              <w:rPr>
                <w:color w:val="000000"/>
                <w:sz w:val="22"/>
                <w:szCs w:val="22"/>
                <w:lang w:eastAsia="en-GB"/>
              </w:rPr>
            </w:pPr>
            <w:r w:rsidRPr="007775BA">
              <w:rPr>
                <w:color w:val="000000"/>
                <w:sz w:val="22"/>
                <w:szCs w:val="22"/>
                <w:lang w:eastAsia="en-GB"/>
              </w:rPr>
              <w:t>133 (22%)</w:t>
            </w:r>
          </w:p>
        </w:tc>
        <w:tc>
          <w:tcPr>
            <w:tcW w:w="2140" w:type="dxa"/>
            <w:tcBorders>
              <w:top w:val="nil"/>
              <w:left w:val="nil"/>
              <w:bottom w:val="nil"/>
              <w:right w:val="nil"/>
            </w:tcBorders>
            <w:shd w:val="clear" w:color="auto" w:fill="auto"/>
            <w:noWrap/>
            <w:vAlign w:val="bottom"/>
            <w:hideMark/>
          </w:tcPr>
          <w:p w14:paraId="5FB4B4A0" w14:textId="77777777" w:rsidR="007775BA" w:rsidRPr="007775BA" w:rsidRDefault="007775BA" w:rsidP="007775BA">
            <w:pPr>
              <w:jc w:val="center"/>
              <w:rPr>
                <w:color w:val="000000"/>
                <w:sz w:val="22"/>
                <w:szCs w:val="22"/>
                <w:lang w:eastAsia="en-GB"/>
              </w:rPr>
            </w:pPr>
            <w:r w:rsidRPr="007775BA">
              <w:rPr>
                <w:color w:val="000000"/>
                <w:sz w:val="22"/>
                <w:szCs w:val="22"/>
                <w:lang w:eastAsia="en-GB"/>
              </w:rPr>
              <w:t>4,182 (9%)</w:t>
            </w:r>
          </w:p>
        </w:tc>
      </w:tr>
      <w:tr w:rsidR="007775BA" w:rsidRPr="007775BA" w14:paraId="66092FBE" w14:textId="77777777" w:rsidTr="007775BA">
        <w:trPr>
          <w:trHeight w:val="300"/>
        </w:trPr>
        <w:tc>
          <w:tcPr>
            <w:tcW w:w="1300" w:type="dxa"/>
            <w:tcBorders>
              <w:top w:val="nil"/>
              <w:left w:val="nil"/>
              <w:bottom w:val="nil"/>
              <w:right w:val="nil"/>
            </w:tcBorders>
            <w:shd w:val="clear" w:color="auto" w:fill="auto"/>
            <w:noWrap/>
            <w:vAlign w:val="bottom"/>
            <w:hideMark/>
          </w:tcPr>
          <w:p w14:paraId="4919EB5C" w14:textId="77777777" w:rsidR="007775BA" w:rsidRPr="007775BA" w:rsidRDefault="007775BA" w:rsidP="007775BA">
            <w:pPr>
              <w:rPr>
                <w:color w:val="000000"/>
                <w:sz w:val="22"/>
                <w:szCs w:val="22"/>
                <w:lang w:eastAsia="en-GB"/>
              </w:rPr>
            </w:pPr>
            <w:r w:rsidRPr="007775BA">
              <w:rPr>
                <w:color w:val="000000"/>
                <w:sz w:val="22"/>
                <w:szCs w:val="22"/>
                <w:lang w:eastAsia="en-GB"/>
              </w:rPr>
              <w:t>Black</w:t>
            </w:r>
          </w:p>
        </w:tc>
        <w:tc>
          <w:tcPr>
            <w:tcW w:w="2140" w:type="dxa"/>
            <w:tcBorders>
              <w:top w:val="nil"/>
              <w:left w:val="nil"/>
              <w:bottom w:val="nil"/>
              <w:right w:val="nil"/>
            </w:tcBorders>
            <w:shd w:val="clear" w:color="auto" w:fill="auto"/>
            <w:noWrap/>
            <w:vAlign w:val="bottom"/>
            <w:hideMark/>
          </w:tcPr>
          <w:p w14:paraId="0266FA8C" w14:textId="77777777" w:rsidR="007775BA" w:rsidRPr="007775BA" w:rsidRDefault="007775BA" w:rsidP="007775BA">
            <w:pPr>
              <w:jc w:val="center"/>
              <w:rPr>
                <w:color w:val="000000"/>
                <w:sz w:val="22"/>
                <w:szCs w:val="22"/>
                <w:lang w:eastAsia="en-GB"/>
              </w:rPr>
            </w:pPr>
            <w:r w:rsidRPr="007775BA">
              <w:rPr>
                <w:color w:val="000000"/>
                <w:sz w:val="22"/>
                <w:szCs w:val="22"/>
                <w:lang w:eastAsia="en-GB"/>
              </w:rPr>
              <w:t>94 (15%)</w:t>
            </w:r>
          </w:p>
        </w:tc>
        <w:tc>
          <w:tcPr>
            <w:tcW w:w="2140" w:type="dxa"/>
            <w:tcBorders>
              <w:top w:val="nil"/>
              <w:left w:val="nil"/>
              <w:bottom w:val="nil"/>
              <w:right w:val="nil"/>
            </w:tcBorders>
            <w:shd w:val="clear" w:color="auto" w:fill="auto"/>
            <w:noWrap/>
            <w:vAlign w:val="bottom"/>
            <w:hideMark/>
          </w:tcPr>
          <w:p w14:paraId="43A68355" w14:textId="77777777" w:rsidR="007775BA" w:rsidRPr="007775BA" w:rsidRDefault="007775BA" w:rsidP="007775BA">
            <w:pPr>
              <w:jc w:val="center"/>
              <w:rPr>
                <w:color w:val="000000"/>
                <w:sz w:val="22"/>
                <w:szCs w:val="22"/>
                <w:lang w:eastAsia="en-GB"/>
              </w:rPr>
            </w:pPr>
            <w:r w:rsidRPr="007775BA">
              <w:rPr>
                <w:color w:val="000000"/>
                <w:sz w:val="22"/>
                <w:szCs w:val="22"/>
                <w:lang w:eastAsia="en-GB"/>
              </w:rPr>
              <w:t>5,130 (11%)</w:t>
            </w:r>
          </w:p>
        </w:tc>
      </w:tr>
      <w:tr w:rsidR="007775BA" w:rsidRPr="007775BA" w14:paraId="19B28F22" w14:textId="77777777" w:rsidTr="007775BA">
        <w:trPr>
          <w:trHeight w:val="300"/>
        </w:trPr>
        <w:tc>
          <w:tcPr>
            <w:tcW w:w="1300" w:type="dxa"/>
            <w:tcBorders>
              <w:top w:val="nil"/>
              <w:left w:val="nil"/>
              <w:bottom w:val="nil"/>
              <w:right w:val="nil"/>
            </w:tcBorders>
            <w:shd w:val="clear" w:color="auto" w:fill="auto"/>
            <w:noWrap/>
            <w:vAlign w:val="bottom"/>
            <w:hideMark/>
          </w:tcPr>
          <w:p w14:paraId="09797108" w14:textId="77777777" w:rsidR="007775BA" w:rsidRPr="007775BA" w:rsidRDefault="007775BA" w:rsidP="007775BA">
            <w:pPr>
              <w:rPr>
                <w:color w:val="000000"/>
                <w:sz w:val="22"/>
                <w:szCs w:val="22"/>
                <w:lang w:eastAsia="en-GB"/>
              </w:rPr>
            </w:pPr>
            <w:r w:rsidRPr="007775BA">
              <w:rPr>
                <w:color w:val="000000"/>
                <w:sz w:val="22"/>
                <w:szCs w:val="22"/>
                <w:lang w:eastAsia="en-GB"/>
              </w:rPr>
              <w:t>Other</w:t>
            </w:r>
          </w:p>
        </w:tc>
        <w:tc>
          <w:tcPr>
            <w:tcW w:w="2140" w:type="dxa"/>
            <w:tcBorders>
              <w:top w:val="nil"/>
              <w:left w:val="nil"/>
              <w:bottom w:val="nil"/>
              <w:right w:val="nil"/>
            </w:tcBorders>
            <w:shd w:val="clear" w:color="auto" w:fill="auto"/>
            <w:noWrap/>
            <w:vAlign w:val="bottom"/>
            <w:hideMark/>
          </w:tcPr>
          <w:p w14:paraId="12F1EDB1" w14:textId="77777777" w:rsidR="007775BA" w:rsidRPr="007775BA" w:rsidRDefault="007775BA" w:rsidP="007775BA">
            <w:pPr>
              <w:jc w:val="center"/>
              <w:rPr>
                <w:color w:val="000000"/>
                <w:sz w:val="22"/>
                <w:szCs w:val="22"/>
                <w:lang w:eastAsia="en-GB"/>
              </w:rPr>
            </w:pPr>
            <w:r w:rsidRPr="007775BA">
              <w:rPr>
                <w:color w:val="000000"/>
                <w:sz w:val="22"/>
                <w:szCs w:val="22"/>
                <w:lang w:eastAsia="en-GB"/>
              </w:rPr>
              <w:t>17 (3%)</w:t>
            </w:r>
          </w:p>
        </w:tc>
        <w:tc>
          <w:tcPr>
            <w:tcW w:w="2140" w:type="dxa"/>
            <w:tcBorders>
              <w:top w:val="nil"/>
              <w:left w:val="nil"/>
              <w:bottom w:val="nil"/>
              <w:right w:val="nil"/>
            </w:tcBorders>
            <w:shd w:val="clear" w:color="auto" w:fill="auto"/>
            <w:noWrap/>
            <w:vAlign w:val="bottom"/>
            <w:hideMark/>
          </w:tcPr>
          <w:p w14:paraId="6638521A" w14:textId="77777777" w:rsidR="007775BA" w:rsidRPr="007775BA" w:rsidRDefault="007775BA" w:rsidP="007775BA">
            <w:pPr>
              <w:jc w:val="center"/>
              <w:rPr>
                <w:color w:val="000000"/>
                <w:sz w:val="22"/>
                <w:szCs w:val="22"/>
                <w:lang w:eastAsia="en-GB"/>
              </w:rPr>
            </w:pPr>
            <w:r w:rsidRPr="007775BA">
              <w:rPr>
                <w:color w:val="000000"/>
                <w:sz w:val="22"/>
                <w:szCs w:val="22"/>
                <w:lang w:eastAsia="en-GB"/>
              </w:rPr>
              <w:t>7,936 (17%)</w:t>
            </w:r>
          </w:p>
        </w:tc>
      </w:tr>
      <w:tr w:rsidR="007775BA" w:rsidRPr="007775BA" w14:paraId="1AF740F3" w14:textId="77777777" w:rsidTr="007775BA">
        <w:trPr>
          <w:trHeight w:val="300"/>
        </w:trPr>
        <w:tc>
          <w:tcPr>
            <w:tcW w:w="1300" w:type="dxa"/>
            <w:tcBorders>
              <w:top w:val="nil"/>
              <w:left w:val="nil"/>
              <w:bottom w:val="nil"/>
              <w:right w:val="nil"/>
            </w:tcBorders>
            <w:shd w:val="clear" w:color="auto" w:fill="auto"/>
            <w:noWrap/>
            <w:vAlign w:val="bottom"/>
            <w:hideMark/>
          </w:tcPr>
          <w:p w14:paraId="7229BD1A" w14:textId="77777777" w:rsidR="007775BA" w:rsidRPr="007775BA" w:rsidRDefault="007775BA" w:rsidP="007775BA">
            <w:pPr>
              <w:rPr>
                <w:color w:val="000000"/>
                <w:sz w:val="22"/>
                <w:szCs w:val="22"/>
                <w:lang w:eastAsia="en-GB"/>
              </w:rPr>
            </w:pPr>
            <w:r w:rsidRPr="007775BA">
              <w:rPr>
                <w:color w:val="000000"/>
                <w:sz w:val="22"/>
                <w:szCs w:val="22"/>
                <w:lang w:eastAsia="en-GB"/>
              </w:rPr>
              <w:t>Unknown</w:t>
            </w:r>
          </w:p>
        </w:tc>
        <w:tc>
          <w:tcPr>
            <w:tcW w:w="2140" w:type="dxa"/>
            <w:tcBorders>
              <w:top w:val="nil"/>
              <w:left w:val="nil"/>
              <w:bottom w:val="nil"/>
              <w:right w:val="nil"/>
            </w:tcBorders>
            <w:shd w:val="clear" w:color="auto" w:fill="auto"/>
            <w:noWrap/>
            <w:vAlign w:val="bottom"/>
            <w:hideMark/>
          </w:tcPr>
          <w:p w14:paraId="46487FA9" w14:textId="77777777" w:rsidR="007775BA" w:rsidRPr="007775BA" w:rsidRDefault="007775BA" w:rsidP="007775BA">
            <w:pPr>
              <w:jc w:val="center"/>
              <w:rPr>
                <w:color w:val="000000"/>
                <w:sz w:val="22"/>
                <w:szCs w:val="22"/>
                <w:lang w:eastAsia="en-GB"/>
              </w:rPr>
            </w:pPr>
            <w:r w:rsidRPr="007775BA">
              <w:rPr>
                <w:color w:val="000000"/>
                <w:sz w:val="22"/>
                <w:szCs w:val="22"/>
                <w:lang w:eastAsia="en-GB"/>
              </w:rPr>
              <w:t>135 (22%)</w:t>
            </w:r>
          </w:p>
        </w:tc>
        <w:tc>
          <w:tcPr>
            <w:tcW w:w="2140" w:type="dxa"/>
            <w:tcBorders>
              <w:top w:val="nil"/>
              <w:left w:val="nil"/>
              <w:bottom w:val="nil"/>
              <w:right w:val="nil"/>
            </w:tcBorders>
            <w:shd w:val="clear" w:color="auto" w:fill="auto"/>
            <w:noWrap/>
            <w:vAlign w:val="bottom"/>
            <w:hideMark/>
          </w:tcPr>
          <w:p w14:paraId="665661EA" w14:textId="77777777" w:rsidR="007775BA" w:rsidRPr="007775BA" w:rsidRDefault="007775BA" w:rsidP="007775BA">
            <w:pPr>
              <w:jc w:val="center"/>
              <w:rPr>
                <w:color w:val="000000"/>
                <w:sz w:val="22"/>
                <w:szCs w:val="22"/>
                <w:lang w:eastAsia="en-GB"/>
              </w:rPr>
            </w:pPr>
            <w:r w:rsidRPr="007775BA">
              <w:rPr>
                <w:color w:val="000000"/>
                <w:sz w:val="22"/>
                <w:szCs w:val="22"/>
                <w:lang w:eastAsia="en-GB"/>
              </w:rPr>
              <w:t>8,019 (18%)</w:t>
            </w:r>
          </w:p>
        </w:tc>
      </w:tr>
    </w:tbl>
    <w:p w14:paraId="475118A9" w14:textId="373CC21A" w:rsidR="006D3944" w:rsidRPr="005C0E80" w:rsidRDefault="006D3944" w:rsidP="006D3944">
      <w:pPr>
        <w:rPr>
          <w:rStyle w:val="normaltextrun"/>
          <w:b/>
          <w:bCs/>
          <w:sz w:val="22"/>
          <w:szCs w:val="22"/>
          <w:lang w:val="en-US"/>
        </w:rPr>
      </w:pPr>
    </w:p>
    <w:p w14:paraId="4DB83D5A" w14:textId="77777777" w:rsidR="006D3944" w:rsidRPr="005C0E80" w:rsidRDefault="006D3944" w:rsidP="006D3944">
      <w:pPr>
        <w:rPr>
          <w:rStyle w:val="normaltextrun"/>
          <w:b/>
          <w:bCs/>
          <w:sz w:val="22"/>
          <w:szCs w:val="22"/>
          <w:lang w:val="en-US"/>
        </w:rPr>
      </w:pPr>
    </w:p>
    <w:p w14:paraId="68898F10" w14:textId="77777777" w:rsidR="001B35AC" w:rsidRPr="005C0E80" w:rsidRDefault="001B35AC" w:rsidP="006D3944">
      <w:pPr>
        <w:rPr>
          <w:rStyle w:val="normaltextrun"/>
          <w:b/>
          <w:bCs/>
          <w:sz w:val="22"/>
          <w:szCs w:val="22"/>
          <w:lang w:val="en-US"/>
        </w:rPr>
      </w:pPr>
    </w:p>
    <w:p w14:paraId="27BF6910" w14:textId="6BB09745" w:rsidR="001B35AC" w:rsidRPr="005C0E80" w:rsidRDefault="002C2AC3" w:rsidP="006D3944">
      <w:pPr>
        <w:rPr>
          <w:sz w:val="22"/>
          <w:szCs w:val="22"/>
          <w:lang w:val="en-US"/>
        </w:rPr>
      </w:pPr>
      <w:r w:rsidRPr="005C0E80">
        <w:rPr>
          <w:b/>
          <w:bCs/>
          <w:sz w:val="22"/>
          <w:szCs w:val="22"/>
          <w:lang w:val="en-US"/>
        </w:rPr>
        <w:t xml:space="preserve">Figure S1: </w:t>
      </w:r>
      <w:r w:rsidRPr="005C0E80">
        <w:rPr>
          <w:sz w:val="22"/>
          <w:szCs w:val="22"/>
          <w:lang w:val="en-US"/>
        </w:rPr>
        <w:t>Daily new COVID-19 laboratory confirmed cases at ICHNT</w:t>
      </w:r>
    </w:p>
    <w:p w14:paraId="7D290819" w14:textId="625A92E0" w:rsidR="00B94307" w:rsidRPr="005C0E80" w:rsidRDefault="00B94307" w:rsidP="008E7FFD">
      <w:pPr>
        <w:jc w:val="center"/>
        <w:rPr>
          <w:sz w:val="22"/>
          <w:szCs w:val="22"/>
          <w:lang w:val="en-US"/>
        </w:rPr>
      </w:pPr>
      <w:r w:rsidRPr="005C0E80">
        <w:rPr>
          <w:noProof/>
          <w:sz w:val="22"/>
          <w:szCs w:val="22"/>
          <w:lang w:val="en-US"/>
        </w:rPr>
        <w:drawing>
          <wp:inline distT="0" distB="0" distL="0" distR="0" wp14:anchorId="7A0E0D6F" wp14:editId="7751C7B7">
            <wp:extent cx="4746662" cy="3164441"/>
            <wp:effectExtent l="0" t="0" r="3175" b="0"/>
            <wp:docPr id="3" name="Picture 1" descr="A close up of a device&#10;&#10;Description automatically generated">
              <a:extLst xmlns:a="http://schemas.openxmlformats.org/drawingml/2006/main">
                <a:ext uri="{FF2B5EF4-FFF2-40B4-BE49-F238E27FC236}">
                  <a16:creationId xmlns:a16="http://schemas.microsoft.com/office/drawing/2014/main" id="{EC2794CD-F384-6C49-A0E6-E5D7CB6CA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C2794CD-F384-6C49-A0E6-E5D7CB6CA687}"/>
                        </a:ext>
                      </a:extLst>
                    </pic:cNvPr>
                    <pic:cNvPicPr>
                      <a:picLocks noChangeAspect="1"/>
                    </pic:cNvPicPr>
                  </pic:nvPicPr>
                  <pic:blipFill>
                    <a:blip r:embed="rId5"/>
                    <a:stretch>
                      <a:fillRect/>
                    </a:stretch>
                  </pic:blipFill>
                  <pic:spPr>
                    <a:xfrm>
                      <a:off x="0" y="0"/>
                      <a:ext cx="4901204" cy="3267469"/>
                    </a:xfrm>
                    <a:prstGeom prst="rect">
                      <a:avLst/>
                    </a:prstGeom>
                  </pic:spPr>
                </pic:pic>
              </a:graphicData>
            </a:graphic>
          </wp:inline>
        </w:drawing>
      </w:r>
    </w:p>
    <w:p w14:paraId="47C175D0" w14:textId="63D18F9E" w:rsidR="008E7FFD" w:rsidRPr="005C0E80" w:rsidRDefault="008E7FFD" w:rsidP="008E7FFD">
      <w:pPr>
        <w:rPr>
          <w:sz w:val="22"/>
          <w:szCs w:val="22"/>
          <w:lang w:val="en-US"/>
        </w:rPr>
      </w:pPr>
    </w:p>
    <w:p w14:paraId="39F291F5" w14:textId="77777777" w:rsidR="00A61E7E" w:rsidRDefault="00A61E7E" w:rsidP="008E7FFD">
      <w:pPr>
        <w:rPr>
          <w:b/>
          <w:bCs/>
          <w:sz w:val="22"/>
          <w:szCs w:val="22"/>
          <w:lang w:val="en-US"/>
        </w:rPr>
        <w:sectPr w:rsidR="00A61E7E" w:rsidSect="002037EC">
          <w:pgSz w:w="12240" w:h="15840"/>
          <w:pgMar w:top="720" w:right="720" w:bottom="720" w:left="720" w:header="720" w:footer="720" w:gutter="0"/>
          <w:cols w:space="720"/>
          <w:docGrid w:linePitch="360"/>
        </w:sectPr>
      </w:pPr>
    </w:p>
    <w:p w14:paraId="0DB75159" w14:textId="2BE9EE19" w:rsidR="004F11A3" w:rsidRDefault="00770F1E">
      <w:pPr>
        <w:rPr>
          <w:sz w:val="22"/>
          <w:szCs w:val="22"/>
          <w:lang w:val="en-US"/>
        </w:rPr>
      </w:pPr>
      <w:r w:rsidRPr="005C0E80">
        <w:rPr>
          <w:b/>
          <w:bCs/>
          <w:sz w:val="22"/>
          <w:szCs w:val="22"/>
          <w:lang w:val="en-US"/>
        </w:rPr>
        <w:lastRenderedPageBreak/>
        <w:t>Figure S</w:t>
      </w:r>
      <w:r w:rsidR="0059159A" w:rsidRPr="005C0E80">
        <w:rPr>
          <w:b/>
          <w:bCs/>
          <w:sz w:val="22"/>
          <w:szCs w:val="22"/>
          <w:lang w:val="en-US"/>
        </w:rPr>
        <w:t>2</w:t>
      </w:r>
      <w:r w:rsidRPr="005C0E80">
        <w:rPr>
          <w:sz w:val="22"/>
          <w:szCs w:val="22"/>
          <w:lang w:val="en-US"/>
        </w:rPr>
        <w:t xml:space="preserve">: </w:t>
      </w:r>
      <w:r w:rsidR="00451DBB">
        <w:rPr>
          <w:sz w:val="22"/>
          <w:szCs w:val="22"/>
          <w:lang w:val="en-US"/>
        </w:rPr>
        <w:t>Kaplan-Meier curve</w:t>
      </w:r>
      <w:r w:rsidR="00E015D8">
        <w:rPr>
          <w:sz w:val="22"/>
          <w:szCs w:val="22"/>
          <w:lang w:val="en-US"/>
        </w:rPr>
        <w:t xml:space="preserve">s for </w:t>
      </w:r>
      <w:r w:rsidR="00713515">
        <w:rPr>
          <w:sz w:val="22"/>
          <w:szCs w:val="22"/>
          <w:lang w:val="en-US"/>
        </w:rPr>
        <w:t>length of hospital stay and time to clinical deterioration, defined as requiring FiO2 ≥60%</w:t>
      </w:r>
      <w:r w:rsidR="001165CD">
        <w:rPr>
          <w:sz w:val="22"/>
          <w:szCs w:val="22"/>
          <w:lang w:val="en-US"/>
        </w:rPr>
        <w:t xml:space="preserve">, </w:t>
      </w:r>
      <w:r w:rsidR="00713515">
        <w:rPr>
          <w:sz w:val="22"/>
          <w:szCs w:val="22"/>
          <w:lang w:val="en-US"/>
        </w:rPr>
        <w:t>receiving invasive venti</w:t>
      </w:r>
      <w:r w:rsidR="00713647">
        <w:rPr>
          <w:sz w:val="22"/>
          <w:szCs w:val="22"/>
          <w:lang w:val="en-US"/>
        </w:rPr>
        <w:t>l</w:t>
      </w:r>
      <w:r w:rsidR="00713515">
        <w:rPr>
          <w:sz w:val="22"/>
          <w:szCs w:val="22"/>
          <w:lang w:val="en-US"/>
        </w:rPr>
        <w:t>ation</w:t>
      </w:r>
      <w:r w:rsidR="00713647">
        <w:rPr>
          <w:sz w:val="22"/>
          <w:szCs w:val="22"/>
          <w:lang w:val="en-US"/>
        </w:rPr>
        <w:t xml:space="preserve"> </w:t>
      </w:r>
      <w:r w:rsidR="001165CD">
        <w:rPr>
          <w:sz w:val="22"/>
          <w:szCs w:val="22"/>
          <w:lang w:val="en-US"/>
        </w:rPr>
        <w:t>or being admitted to ICU</w:t>
      </w:r>
    </w:p>
    <w:p w14:paraId="2DB39A13" w14:textId="64313363" w:rsidR="00A61E7E" w:rsidRDefault="00BB7A90" w:rsidP="0073271B">
      <w:r>
        <w:rPr>
          <w:noProof/>
          <w:sz w:val="22"/>
          <w:szCs w:val="22"/>
          <w:lang w:val="en-US"/>
        </w:rPr>
        <w:drawing>
          <wp:inline distT="0" distB="0" distL="0" distR="0" wp14:anchorId="1DD41344" wp14:editId="12A04A91">
            <wp:extent cx="4208400" cy="3157200"/>
            <wp:effectExtent l="0" t="0" r="0" b="5715"/>
            <wp:docPr id="18" name="Picture 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_2A.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4208400" cy="3157200"/>
                    </a:xfrm>
                    <a:prstGeom prst="rect">
                      <a:avLst/>
                    </a:prstGeom>
                  </pic:spPr>
                </pic:pic>
              </a:graphicData>
            </a:graphic>
          </wp:inline>
        </w:drawing>
      </w:r>
      <w:r w:rsidR="0073271B">
        <w:rPr>
          <w:noProof/>
        </w:rPr>
        <w:drawing>
          <wp:inline distT="0" distB="0" distL="0" distR="0" wp14:anchorId="7D788E20" wp14:editId="0592837C">
            <wp:extent cx="4222131" cy="3166598"/>
            <wp:effectExtent l="0" t="0" r="0" b="0"/>
            <wp:docPr id="19" name="Picture 1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_2B.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48091" cy="3186068"/>
                    </a:xfrm>
                    <a:prstGeom prst="rect">
                      <a:avLst/>
                    </a:prstGeom>
                  </pic:spPr>
                </pic:pic>
              </a:graphicData>
            </a:graphic>
          </wp:inline>
        </w:drawing>
      </w:r>
    </w:p>
    <w:p w14:paraId="2474E4E8" w14:textId="77777777" w:rsidR="002B77AA" w:rsidRDefault="002B77AA" w:rsidP="0073271B"/>
    <w:p w14:paraId="1001D995" w14:textId="77777777" w:rsidR="002B77AA" w:rsidRDefault="002B77AA" w:rsidP="0073271B"/>
    <w:p w14:paraId="6F5ECC9A" w14:textId="77777777" w:rsidR="000E41DD" w:rsidRDefault="000E41DD">
      <w:pPr>
        <w:rPr>
          <w:b/>
          <w:bCs/>
        </w:rPr>
      </w:pPr>
      <w:r>
        <w:rPr>
          <w:b/>
          <w:bCs/>
        </w:rPr>
        <w:br w:type="page"/>
      </w:r>
    </w:p>
    <w:p w14:paraId="090570AD" w14:textId="7A5D7BAE" w:rsidR="002B77AA" w:rsidRDefault="002B77AA" w:rsidP="0073271B">
      <w:r w:rsidRPr="000864AC">
        <w:rPr>
          <w:b/>
          <w:bCs/>
        </w:rPr>
        <w:lastRenderedPageBreak/>
        <w:t>Figure S3</w:t>
      </w:r>
      <w:r>
        <w:t xml:space="preserve">: </w:t>
      </w:r>
      <w:r w:rsidRPr="000864AC">
        <w:t>Cum</w:t>
      </w:r>
      <w:r>
        <w:t xml:space="preserve">ulative incidence function of competing risks of </w:t>
      </w:r>
      <w:r w:rsidR="009B32B6">
        <w:t xml:space="preserve">hospitalisation outcomes, accounting for censoring, by </w:t>
      </w:r>
      <w:r w:rsidR="00A4486A">
        <w:t>age</w:t>
      </w:r>
    </w:p>
    <w:p w14:paraId="3213728D" w14:textId="3CE6DF2C" w:rsidR="00F8044E" w:rsidRPr="000864AC" w:rsidRDefault="00F8044E" w:rsidP="0073271B">
      <w:pPr>
        <w:rPr>
          <w:b/>
          <w:bCs/>
        </w:rPr>
      </w:pPr>
      <w:r>
        <w:rPr>
          <w:b/>
          <w:bCs/>
          <w:noProof/>
        </w:rPr>
        <w:drawing>
          <wp:inline distT="0" distB="0" distL="0" distR="0" wp14:anchorId="000C7E91" wp14:editId="27E8BA6B">
            <wp:extent cx="7582829" cy="5687124"/>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RR_age.pdf"/>
                    <pic:cNvPicPr/>
                  </pic:nvPicPr>
                  <pic:blipFill>
                    <a:blip r:embed="rId8">
                      <a:extLst>
                        <a:ext uri="{28A0092B-C50C-407E-A947-70E740481C1C}">
                          <a14:useLocalDpi xmlns:a14="http://schemas.microsoft.com/office/drawing/2010/main" val="0"/>
                        </a:ext>
                      </a:extLst>
                    </a:blip>
                    <a:stretch>
                      <a:fillRect/>
                    </a:stretch>
                  </pic:blipFill>
                  <pic:spPr>
                    <a:xfrm>
                      <a:off x="0" y="0"/>
                      <a:ext cx="7626271" cy="5719705"/>
                    </a:xfrm>
                    <a:prstGeom prst="rect">
                      <a:avLst/>
                    </a:prstGeom>
                  </pic:spPr>
                </pic:pic>
              </a:graphicData>
            </a:graphic>
          </wp:inline>
        </w:drawing>
      </w:r>
    </w:p>
    <w:p w14:paraId="1CA786C7" w14:textId="5BDB5980" w:rsidR="002B77AA" w:rsidRDefault="002B77AA" w:rsidP="000864AC">
      <w:pPr>
        <w:sectPr w:rsidR="002B77AA" w:rsidSect="000864AC">
          <w:pgSz w:w="15840" w:h="12240" w:orient="landscape"/>
          <w:pgMar w:top="720" w:right="720" w:bottom="720" w:left="720" w:header="720" w:footer="720" w:gutter="0"/>
          <w:cols w:space="720"/>
          <w:docGrid w:linePitch="360"/>
        </w:sectPr>
      </w:pPr>
    </w:p>
    <w:p w14:paraId="7CE9B239" w14:textId="77777777" w:rsidR="00640BDC" w:rsidRDefault="00640BDC" w:rsidP="00640BDC">
      <w:pPr>
        <w:rPr>
          <w:sz w:val="22"/>
          <w:szCs w:val="22"/>
          <w:lang w:val="en-US"/>
        </w:rPr>
      </w:pPr>
      <w:r>
        <w:rPr>
          <w:b/>
          <w:bCs/>
          <w:sz w:val="22"/>
          <w:szCs w:val="22"/>
          <w:lang w:val="en-US"/>
        </w:rPr>
        <w:lastRenderedPageBreak/>
        <w:t>Figure S4:</w:t>
      </w:r>
      <w:r>
        <w:rPr>
          <w:sz w:val="22"/>
          <w:szCs w:val="22"/>
          <w:lang w:val="en-US"/>
        </w:rPr>
        <w:t xml:space="preserve"> Age, NEWS-2 and Elixhauser score by ethnic groups</w:t>
      </w:r>
    </w:p>
    <w:p w14:paraId="2C67251A" w14:textId="77777777" w:rsidR="00640BDC" w:rsidRPr="009A2315" w:rsidRDefault="00640BDC" w:rsidP="00640BDC">
      <w:pPr>
        <w:rPr>
          <w:sz w:val="22"/>
          <w:szCs w:val="22"/>
          <w:lang w:val="en-US"/>
        </w:rPr>
      </w:pPr>
      <w:r>
        <w:rPr>
          <w:noProof/>
          <w:sz w:val="22"/>
          <w:szCs w:val="22"/>
          <w:lang w:val="en-US"/>
        </w:rPr>
        <w:drawing>
          <wp:inline distT="0" distB="0" distL="0" distR="0" wp14:anchorId="0C071B9C" wp14:editId="07BAD5E4">
            <wp:extent cx="9144000" cy="4572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_2.pdf"/>
                    <pic:cNvPicPr/>
                  </pic:nvPicPr>
                  <pic:blipFill>
                    <a:blip r:embed="rId9">
                      <a:extLst>
                        <a:ext uri="{28A0092B-C50C-407E-A947-70E740481C1C}">
                          <a14:useLocalDpi xmlns:a14="http://schemas.microsoft.com/office/drawing/2010/main" val="0"/>
                        </a:ext>
                      </a:extLst>
                    </a:blip>
                    <a:stretch>
                      <a:fillRect/>
                    </a:stretch>
                  </pic:blipFill>
                  <pic:spPr>
                    <a:xfrm>
                      <a:off x="0" y="0"/>
                      <a:ext cx="9144000" cy="4572000"/>
                    </a:xfrm>
                    <a:prstGeom prst="rect">
                      <a:avLst/>
                    </a:prstGeom>
                  </pic:spPr>
                </pic:pic>
              </a:graphicData>
            </a:graphic>
          </wp:inline>
        </w:drawing>
      </w:r>
    </w:p>
    <w:p w14:paraId="14758E88" w14:textId="77777777" w:rsidR="00640BDC" w:rsidRDefault="00640BDC" w:rsidP="006D3944">
      <w:pPr>
        <w:rPr>
          <w:b/>
          <w:bCs/>
        </w:rPr>
      </w:pPr>
    </w:p>
    <w:p w14:paraId="59EEBD10" w14:textId="77777777" w:rsidR="00640BDC" w:rsidRDefault="00640BDC" w:rsidP="006D3944">
      <w:pPr>
        <w:rPr>
          <w:b/>
          <w:bCs/>
        </w:rPr>
      </w:pPr>
    </w:p>
    <w:p w14:paraId="13D72269" w14:textId="77777777" w:rsidR="00640BDC" w:rsidRDefault="00640BDC">
      <w:pPr>
        <w:rPr>
          <w:b/>
          <w:bCs/>
        </w:rPr>
      </w:pPr>
      <w:r>
        <w:rPr>
          <w:b/>
          <w:bCs/>
        </w:rPr>
        <w:br w:type="page"/>
      </w:r>
    </w:p>
    <w:p w14:paraId="0DCD03E1" w14:textId="413B1741" w:rsidR="00793CFA" w:rsidRDefault="00526902" w:rsidP="006D3944">
      <w:pPr>
        <w:rPr>
          <w:sz w:val="22"/>
          <w:szCs w:val="22"/>
          <w:lang w:val="en-US"/>
        </w:rPr>
      </w:pPr>
      <w:r w:rsidRPr="000864AC">
        <w:rPr>
          <w:b/>
          <w:bCs/>
        </w:rPr>
        <w:lastRenderedPageBreak/>
        <w:t>Figure S</w:t>
      </w:r>
      <w:r w:rsidR="00C41702">
        <w:rPr>
          <w:b/>
          <w:bCs/>
        </w:rPr>
        <w:t>5</w:t>
      </w:r>
      <w:r w:rsidRPr="000864AC">
        <w:rPr>
          <w:b/>
          <w:bCs/>
        </w:rPr>
        <w:t>:</w:t>
      </w:r>
      <w:r>
        <w:t xml:space="preserve"> Cumulative </w:t>
      </w:r>
      <w:r w:rsidR="00785A05">
        <w:t>incidence</w:t>
      </w:r>
      <w:r>
        <w:t xml:space="preserve"> function for </w:t>
      </w:r>
      <w:r w:rsidR="00785A05">
        <w:t xml:space="preserve">hospitalization outcomes, accounting for censoring, by </w:t>
      </w:r>
      <w:r w:rsidR="00785A05">
        <w:rPr>
          <w:sz w:val="22"/>
          <w:szCs w:val="22"/>
          <w:lang w:val="en-US"/>
        </w:rPr>
        <w:t>ethnic groups</w:t>
      </w:r>
    </w:p>
    <w:p w14:paraId="697B5E3D" w14:textId="52DAB938" w:rsidR="00036D44" w:rsidRDefault="004D73C7" w:rsidP="006D3944">
      <w:pPr>
        <w:rPr>
          <w:sz w:val="22"/>
          <w:szCs w:val="22"/>
          <w:lang w:val="en-US"/>
        </w:rPr>
      </w:pPr>
      <w:r>
        <w:rPr>
          <w:noProof/>
          <w:sz w:val="22"/>
          <w:szCs w:val="22"/>
          <w:lang w:val="en-US"/>
        </w:rPr>
        <w:drawing>
          <wp:inline distT="0" distB="0" distL="0" distR="0" wp14:anchorId="54D66A5A" wp14:editId="71361730">
            <wp:extent cx="9144000" cy="4572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rr_bame_overall.pdf"/>
                    <pic:cNvPicPr/>
                  </pic:nvPicPr>
                  <pic:blipFill>
                    <a:blip r:embed="rId10">
                      <a:extLst>
                        <a:ext uri="{28A0092B-C50C-407E-A947-70E740481C1C}">
                          <a14:useLocalDpi xmlns:a14="http://schemas.microsoft.com/office/drawing/2010/main" val="0"/>
                        </a:ext>
                      </a:extLst>
                    </a:blip>
                    <a:stretch>
                      <a:fillRect/>
                    </a:stretch>
                  </pic:blipFill>
                  <pic:spPr>
                    <a:xfrm>
                      <a:off x="0" y="0"/>
                      <a:ext cx="9144000" cy="4572000"/>
                    </a:xfrm>
                    <a:prstGeom prst="rect">
                      <a:avLst/>
                    </a:prstGeom>
                  </pic:spPr>
                </pic:pic>
              </a:graphicData>
            </a:graphic>
          </wp:inline>
        </w:drawing>
      </w:r>
    </w:p>
    <w:p w14:paraId="01C36C3B" w14:textId="77777777" w:rsidR="00B07739" w:rsidRDefault="00B07739">
      <w:pPr>
        <w:rPr>
          <w:sz w:val="22"/>
          <w:szCs w:val="22"/>
          <w:lang w:val="en-US"/>
        </w:rPr>
      </w:pPr>
    </w:p>
    <w:p w14:paraId="637C555E" w14:textId="77777777" w:rsidR="00B07739" w:rsidRDefault="00B07739">
      <w:pPr>
        <w:rPr>
          <w:b/>
          <w:bCs/>
          <w:sz w:val="22"/>
          <w:szCs w:val="22"/>
          <w:lang w:val="en-US"/>
        </w:rPr>
        <w:sectPr w:rsidR="00B07739" w:rsidSect="00036D44">
          <w:pgSz w:w="15840" w:h="12240" w:orient="landscape"/>
          <w:pgMar w:top="720" w:right="720" w:bottom="720" w:left="720" w:header="720" w:footer="720" w:gutter="0"/>
          <w:cols w:space="720"/>
          <w:docGrid w:linePitch="360"/>
        </w:sectPr>
      </w:pPr>
    </w:p>
    <w:p w14:paraId="6C33F1E7" w14:textId="411BD30C" w:rsidR="000D198F" w:rsidRDefault="00863436">
      <w:pPr>
        <w:rPr>
          <w:sz w:val="22"/>
          <w:szCs w:val="22"/>
          <w:lang w:val="en-US"/>
        </w:rPr>
      </w:pPr>
      <w:r>
        <w:rPr>
          <w:b/>
          <w:bCs/>
          <w:sz w:val="22"/>
          <w:szCs w:val="22"/>
          <w:lang w:val="en-US"/>
        </w:rPr>
        <w:lastRenderedPageBreak/>
        <w:t xml:space="preserve">Figure S6: </w:t>
      </w:r>
      <w:r w:rsidR="000D198F" w:rsidRPr="000864AC">
        <w:rPr>
          <w:sz w:val="22"/>
          <w:szCs w:val="22"/>
          <w:lang w:val="en-US"/>
        </w:rPr>
        <w:t>Prevalence (n) of admission clinical and laboratory variables predictive of death by ethnic groups</w:t>
      </w:r>
      <w:r w:rsidR="000D198F" w:rsidRPr="000D198F">
        <w:rPr>
          <w:b/>
          <w:bCs/>
          <w:sz w:val="22"/>
          <w:szCs w:val="22"/>
          <w:lang w:val="en-US"/>
        </w:rPr>
        <w:t xml:space="preserve"> </w:t>
      </w:r>
    </w:p>
    <w:p w14:paraId="5FE8BF3D" w14:textId="77777777" w:rsidR="00BA1AE2" w:rsidRPr="00BA1AE2" w:rsidRDefault="00BA1AE2" w:rsidP="00BA1AE2">
      <w:pPr>
        <w:rPr>
          <w:sz w:val="22"/>
          <w:szCs w:val="22"/>
          <w:lang w:val="en-US"/>
        </w:rPr>
      </w:pPr>
      <w:r w:rsidRPr="00BA1AE2">
        <w:rPr>
          <w:sz w:val="22"/>
          <w:szCs w:val="22"/>
          <w:lang w:val="en-US"/>
        </w:rPr>
        <w:t>*Combined prevalence (n) of either having a SaO2 &lt;95% on FiO2 &lt; 60% or any SaO2 whilst on FiO2 ≥ 60%. Note that for clarity, we present the prevalence (n) of having platelets &lt; 130 x 109L and albumin &lt; 25g/L, albeit these were treated as numeric in logistic regression.</w:t>
      </w:r>
    </w:p>
    <w:p w14:paraId="37950EE5" w14:textId="77777777" w:rsidR="00BA1AE2" w:rsidRDefault="00BA1AE2" w:rsidP="00BA1AE2">
      <w:pPr>
        <w:rPr>
          <w:sz w:val="22"/>
          <w:szCs w:val="22"/>
          <w:lang w:val="en-US"/>
        </w:rPr>
      </w:pPr>
      <w:r w:rsidRPr="00BA1AE2">
        <w:rPr>
          <w:sz w:val="22"/>
          <w:szCs w:val="22"/>
          <w:lang w:val="en-US"/>
        </w:rPr>
        <w:t>Abbreviations: eGFR, estimated glomerular filtration rate; FiO2, oxygen inspiratory fraction; SaO2, oxygen saturation; WCC, white cell count.</w:t>
      </w:r>
    </w:p>
    <w:p w14:paraId="61B6C30C" w14:textId="5E8C0850" w:rsidR="00D645E0" w:rsidRDefault="005335A1" w:rsidP="00BA1AE2">
      <w:pPr>
        <w:rPr>
          <w:sz w:val="22"/>
          <w:szCs w:val="22"/>
          <w:lang w:val="en-US"/>
        </w:rPr>
      </w:pPr>
      <w:r>
        <w:rPr>
          <w:noProof/>
          <w:sz w:val="22"/>
          <w:szCs w:val="22"/>
          <w:lang w:val="en-US"/>
        </w:rPr>
        <w:drawing>
          <wp:inline distT="0" distB="0" distL="0" distR="0" wp14:anchorId="3D27C798" wp14:editId="27FEFB86">
            <wp:extent cx="6328229" cy="4746172"/>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3.eps"/>
                    <pic:cNvPicPr/>
                  </pic:nvPicPr>
                  <pic:blipFill>
                    <a:blip r:embed="rId11">
                      <a:extLst>
                        <a:ext uri="{28A0092B-C50C-407E-A947-70E740481C1C}">
                          <a14:useLocalDpi xmlns:a14="http://schemas.microsoft.com/office/drawing/2010/main" val="0"/>
                        </a:ext>
                      </a:extLst>
                    </a:blip>
                    <a:stretch>
                      <a:fillRect/>
                    </a:stretch>
                  </pic:blipFill>
                  <pic:spPr>
                    <a:xfrm>
                      <a:off x="0" y="0"/>
                      <a:ext cx="6332246" cy="4749185"/>
                    </a:xfrm>
                    <a:prstGeom prst="rect">
                      <a:avLst/>
                    </a:prstGeom>
                  </pic:spPr>
                </pic:pic>
              </a:graphicData>
            </a:graphic>
          </wp:inline>
        </w:drawing>
      </w:r>
    </w:p>
    <w:p w14:paraId="0D2BF100" w14:textId="7237A44D" w:rsidR="00793CFA" w:rsidRPr="005C0E80" w:rsidRDefault="009A2315" w:rsidP="006D3944">
      <w:pPr>
        <w:rPr>
          <w:rStyle w:val="normaltextrun"/>
          <w:sz w:val="22"/>
          <w:szCs w:val="22"/>
          <w:lang w:val="en-US"/>
        </w:rPr>
        <w:sectPr w:rsidR="00793CFA" w:rsidRPr="005C0E80" w:rsidSect="00B07739">
          <w:pgSz w:w="12240" w:h="15840"/>
          <w:pgMar w:top="720" w:right="720" w:bottom="720" w:left="720" w:header="720" w:footer="720" w:gutter="0"/>
          <w:cols w:space="720"/>
          <w:docGrid w:linePitch="360"/>
        </w:sectPr>
      </w:pPr>
      <w:r>
        <w:rPr>
          <w:sz w:val="22"/>
          <w:szCs w:val="22"/>
          <w:lang w:val="en-US"/>
        </w:rPr>
        <w:br w:type="page"/>
      </w:r>
    </w:p>
    <w:p w14:paraId="6A7BC5D1" w14:textId="50C36294" w:rsidR="006D3944" w:rsidRPr="005C0E80" w:rsidRDefault="006D3944" w:rsidP="006D3944">
      <w:pPr>
        <w:rPr>
          <w:b/>
          <w:bCs/>
          <w:sz w:val="22"/>
          <w:szCs w:val="22"/>
          <w:lang w:val="en-US"/>
        </w:rPr>
      </w:pPr>
      <w:r w:rsidRPr="005C0E80">
        <w:rPr>
          <w:rStyle w:val="normaltextrun"/>
          <w:b/>
          <w:bCs/>
          <w:sz w:val="22"/>
          <w:szCs w:val="22"/>
          <w:lang w:val="en-US"/>
        </w:rPr>
        <w:lastRenderedPageBreak/>
        <w:t>Supplementary Table S</w:t>
      </w:r>
      <w:r w:rsidR="00112878">
        <w:rPr>
          <w:rStyle w:val="normaltextrun"/>
          <w:b/>
          <w:bCs/>
          <w:sz w:val="22"/>
          <w:szCs w:val="22"/>
          <w:lang w:val="en-US"/>
        </w:rPr>
        <w:t>4</w:t>
      </w:r>
      <w:r w:rsidRPr="005C0E80">
        <w:rPr>
          <w:rStyle w:val="normaltextrun"/>
          <w:b/>
          <w:bCs/>
          <w:sz w:val="22"/>
          <w:szCs w:val="22"/>
          <w:lang w:val="en-US"/>
        </w:rPr>
        <w:t xml:space="preserve">: </w:t>
      </w:r>
      <w:r w:rsidRPr="005C0E80">
        <w:rPr>
          <w:rStyle w:val="normaltextrun"/>
          <w:sz w:val="22"/>
          <w:szCs w:val="22"/>
          <w:lang w:val="en-US"/>
        </w:rPr>
        <w:t xml:space="preserve">Adjusted model </w:t>
      </w:r>
      <w:r w:rsidR="00D30C84">
        <w:rPr>
          <w:rStyle w:val="normaltextrun"/>
          <w:sz w:val="22"/>
          <w:szCs w:val="22"/>
          <w:lang w:val="en-US"/>
        </w:rPr>
        <w:t xml:space="preserve">selection </w:t>
      </w:r>
      <w:r w:rsidRPr="005C0E80">
        <w:rPr>
          <w:rStyle w:val="normaltextrun"/>
          <w:sz w:val="22"/>
          <w:szCs w:val="22"/>
          <w:lang w:val="en-US"/>
        </w:rPr>
        <w:t>for odds of death by ethnicity</w:t>
      </w:r>
    </w:p>
    <w:p w14:paraId="2960C59C" w14:textId="77777777" w:rsidR="006D3944" w:rsidRPr="005C0E80" w:rsidRDefault="006D3944" w:rsidP="006D3944">
      <w:pPr>
        <w:rPr>
          <w:sz w:val="22"/>
          <w:szCs w:val="22"/>
          <w:lang w:val="en-US"/>
        </w:rPr>
      </w:pPr>
      <w:r w:rsidRPr="005C0E80">
        <w:rPr>
          <w:sz w:val="22"/>
          <w:szCs w:val="22"/>
          <w:lang w:val="en-US"/>
        </w:rPr>
        <w:t>*** p &lt; 0·001; ** p &lt; 0·01; * p &lt; 0·05</w:t>
      </w:r>
    </w:p>
    <w:p w14:paraId="0089AD9E" w14:textId="66E2B8C0" w:rsidR="006D3944" w:rsidRPr="005C0E80" w:rsidRDefault="006D3944" w:rsidP="006D3944">
      <w:pPr>
        <w:rPr>
          <w:i/>
          <w:iCs/>
          <w:sz w:val="22"/>
          <w:szCs w:val="22"/>
          <w:lang w:val="en-US"/>
        </w:rPr>
      </w:pPr>
      <w:r w:rsidRPr="005C0E80">
        <w:rPr>
          <w:i/>
          <w:iCs/>
          <w:sz w:val="22"/>
          <w:szCs w:val="22"/>
          <w:lang w:val="en-US"/>
        </w:rPr>
        <w:t xml:space="preserve">Abbreviations: AIC, Akaike information criterion; </w:t>
      </w:r>
      <w:r w:rsidR="005B728F">
        <w:rPr>
          <w:i/>
          <w:iCs/>
          <w:sz w:val="22"/>
          <w:szCs w:val="22"/>
          <w:lang w:val="en-US"/>
        </w:rPr>
        <w:t xml:space="preserve">AUROC, area under the receiver operating curve; </w:t>
      </w:r>
      <w:r w:rsidRPr="005C0E80">
        <w:rPr>
          <w:i/>
          <w:iCs/>
          <w:sz w:val="22"/>
          <w:szCs w:val="22"/>
          <w:lang w:val="en-US"/>
        </w:rPr>
        <w:t xml:space="preserve">BIC, Bayesian information criterion; CKD, chronic kidney disease; </w:t>
      </w:r>
      <w:r w:rsidR="00A44FB4">
        <w:rPr>
          <w:i/>
          <w:iCs/>
          <w:sz w:val="22"/>
          <w:szCs w:val="22"/>
          <w:lang w:val="en-US"/>
        </w:rPr>
        <w:t>N</w:t>
      </w:r>
      <w:r w:rsidRPr="005C0E80">
        <w:rPr>
          <w:i/>
          <w:iCs/>
          <w:sz w:val="22"/>
          <w:szCs w:val="22"/>
          <w:lang w:val="en-US"/>
        </w:rPr>
        <w:t>EWS</w:t>
      </w:r>
      <w:r w:rsidR="00A44FB4">
        <w:rPr>
          <w:i/>
          <w:iCs/>
          <w:sz w:val="22"/>
          <w:szCs w:val="22"/>
          <w:lang w:val="en-US"/>
        </w:rPr>
        <w:t>-2</w:t>
      </w:r>
      <w:r w:rsidRPr="005C0E80">
        <w:rPr>
          <w:i/>
          <w:iCs/>
          <w:sz w:val="22"/>
          <w:szCs w:val="22"/>
          <w:lang w:val="en-US"/>
        </w:rPr>
        <w:t xml:space="preserve">, </w:t>
      </w:r>
      <w:r w:rsidR="00A44FB4">
        <w:rPr>
          <w:i/>
          <w:iCs/>
          <w:sz w:val="22"/>
          <w:szCs w:val="22"/>
          <w:lang w:val="en-US"/>
        </w:rPr>
        <w:t>New E</w:t>
      </w:r>
      <w:r w:rsidRPr="005C0E80">
        <w:rPr>
          <w:i/>
          <w:iCs/>
          <w:sz w:val="22"/>
          <w:szCs w:val="22"/>
          <w:lang w:val="en-US"/>
        </w:rPr>
        <w:t xml:space="preserve">arly </w:t>
      </w:r>
      <w:r w:rsidR="00A44FB4">
        <w:rPr>
          <w:i/>
          <w:iCs/>
          <w:sz w:val="22"/>
          <w:szCs w:val="22"/>
          <w:lang w:val="en-US"/>
        </w:rPr>
        <w:t>W</w:t>
      </w:r>
      <w:r w:rsidRPr="005C0E80">
        <w:rPr>
          <w:i/>
          <w:iCs/>
          <w:sz w:val="22"/>
          <w:szCs w:val="22"/>
          <w:lang w:val="en-US"/>
        </w:rPr>
        <w:t xml:space="preserve">arning </w:t>
      </w:r>
      <w:r w:rsidR="00A44FB4">
        <w:rPr>
          <w:i/>
          <w:iCs/>
          <w:sz w:val="22"/>
          <w:szCs w:val="22"/>
          <w:lang w:val="en-US"/>
        </w:rPr>
        <w:t>S</w:t>
      </w:r>
      <w:r w:rsidRPr="005C0E80">
        <w:rPr>
          <w:i/>
          <w:iCs/>
          <w:sz w:val="22"/>
          <w:szCs w:val="22"/>
          <w:lang w:val="en-US"/>
        </w:rPr>
        <w:t>core</w:t>
      </w:r>
    </w:p>
    <w:p w14:paraId="3CD645DD" w14:textId="22D693FD" w:rsidR="006D3944" w:rsidRPr="005C0E80" w:rsidRDefault="006D3944" w:rsidP="000864AC">
      <w:pPr>
        <w:jc w:val="center"/>
        <w:rPr>
          <w:rStyle w:val="normaltextrun"/>
          <w:sz w:val="22"/>
          <w:szCs w:val="22"/>
          <w:lang w:val="en-US"/>
        </w:rPr>
      </w:pPr>
    </w:p>
    <w:p w14:paraId="60A1EECE" w14:textId="522F8105" w:rsidR="00D63F74" w:rsidRDefault="000F27C0" w:rsidP="000864AC">
      <w:pPr>
        <w:jc w:val="center"/>
        <w:rPr>
          <w:sz w:val="22"/>
          <w:szCs w:val="22"/>
          <w:lang w:val="en-US"/>
        </w:rPr>
      </w:pPr>
      <w:r w:rsidRPr="000F27C0">
        <w:rPr>
          <w:noProof/>
          <w:sz w:val="22"/>
          <w:szCs w:val="22"/>
          <w:lang w:val="en-US"/>
        </w:rPr>
        <w:drawing>
          <wp:inline distT="0" distB="0" distL="0" distR="0" wp14:anchorId="03757E61" wp14:editId="42A292E2">
            <wp:extent cx="6843562" cy="4409209"/>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64673" cy="4422810"/>
                    </a:xfrm>
                    <a:prstGeom prst="rect">
                      <a:avLst/>
                    </a:prstGeom>
                  </pic:spPr>
                </pic:pic>
              </a:graphicData>
            </a:graphic>
          </wp:inline>
        </w:drawing>
      </w:r>
    </w:p>
    <w:p w14:paraId="79BBC045" w14:textId="77777777" w:rsidR="00E97305" w:rsidRDefault="00E97305">
      <w:pPr>
        <w:rPr>
          <w:sz w:val="22"/>
          <w:szCs w:val="22"/>
          <w:lang w:val="en-US"/>
        </w:rPr>
      </w:pPr>
    </w:p>
    <w:p w14:paraId="6C85CA50" w14:textId="77777777" w:rsidR="00BF5AF4" w:rsidRPr="005C0E80" w:rsidRDefault="00BF5AF4" w:rsidP="00BF5AF4">
      <w:pPr>
        <w:rPr>
          <w:b/>
          <w:bCs/>
          <w:sz w:val="22"/>
          <w:szCs w:val="22"/>
          <w:lang w:val="en-US"/>
        </w:rPr>
      </w:pPr>
      <w:r w:rsidRPr="005C0E80">
        <w:rPr>
          <w:rStyle w:val="normaltextrun"/>
          <w:b/>
          <w:bCs/>
          <w:sz w:val="22"/>
          <w:szCs w:val="22"/>
          <w:lang w:val="en-US"/>
        </w:rPr>
        <w:t>Supplementary Table S</w:t>
      </w:r>
      <w:r>
        <w:rPr>
          <w:rStyle w:val="normaltextrun"/>
          <w:b/>
          <w:bCs/>
          <w:sz w:val="22"/>
          <w:szCs w:val="22"/>
          <w:lang w:val="en-US"/>
        </w:rPr>
        <w:t>5</w:t>
      </w:r>
      <w:r w:rsidRPr="005C0E80">
        <w:rPr>
          <w:rStyle w:val="normaltextrun"/>
          <w:b/>
          <w:bCs/>
          <w:sz w:val="22"/>
          <w:szCs w:val="22"/>
          <w:lang w:val="en-US"/>
        </w:rPr>
        <w:t xml:space="preserve">: </w:t>
      </w:r>
      <w:r w:rsidRPr="005C0E80">
        <w:rPr>
          <w:rStyle w:val="normaltextrun"/>
          <w:sz w:val="22"/>
          <w:szCs w:val="22"/>
          <w:lang w:val="en-US"/>
        </w:rPr>
        <w:t xml:space="preserve">Adjusted model selection for odds of death by </w:t>
      </w:r>
      <w:r>
        <w:rPr>
          <w:rStyle w:val="normaltextrun"/>
          <w:sz w:val="22"/>
          <w:szCs w:val="22"/>
          <w:lang w:val="en-US"/>
        </w:rPr>
        <w:t>clinical and laboratory observations on admission</w:t>
      </w:r>
    </w:p>
    <w:p w14:paraId="63AF50E0" w14:textId="77777777" w:rsidR="00BF5AF4" w:rsidRDefault="00BF5AF4" w:rsidP="00BF5AF4">
      <w:pPr>
        <w:rPr>
          <w:sz w:val="22"/>
          <w:szCs w:val="22"/>
          <w:lang w:val="en-US"/>
        </w:rPr>
      </w:pPr>
      <w:r w:rsidRPr="005C0E80">
        <w:rPr>
          <w:sz w:val="22"/>
          <w:szCs w:val="22"/>
          <w:lang w:val="en-US"/>
        </w:rPr>
        <w:t>*** p &lt; 0·001; ** p &lt; 0·01; * p &lt; 0·05</w:t>
      </w:r>
    </w:p>
    <w:p w14:paraId="57BE9E48" w14:textId="50E213E5" w:rsidR="00BF5AF4" w:rsidRPr="005C0E80" w:rsidRDefault="00BF5AF4" w:rsidP="00BF5AF4">
      <w:pPr>
        <w:rPr>
          <w:sz w:val="22"/>
          <w:szCs w:val="22"/>
          <w:lang w:val="en-US"/>
        </w:rPr>
      </w:pPr>
      <w:r>
        <w:rPr>
          <w:sz w:val="22"/>
          <w:szCs w:val="22"/>
          <w:lang w:val="en-US"/>
        </w:rPr>
        <w:t>† The mathematical inverse for these values is reported for main manuscript and Table 2, as the intercept for numeric variables was the lowest value in the cohort (</w:t>
      </w:r>
      <w:r w:rsidRPr="00026F78">
        <w:rPr>
          <w:sz w:val="22"/>
          <w:szCs w:val="22"/>
          <w:lang w:val="en-US"/>
        </w:rPr>
        <w:t xml:space="preserve">e.g. </w:t>
      </w:r>
      <w:proofErr w:type="spellStart"/>
      <w:r w:rsidRPr="00026F78">
        <w:rPr>
          <w:sz w:val="22"/>
          <w:szCs w:val="22"/>
          <w:lang w:val="en-US"/>
        </w:rPr>
        <w:t>aOR</w:t>
      </w:r>
      <w:proofErr w:type="spellEnd"/>
      <w:r w:rsidRPr="00026F78">
        <w:rPr>
          <w:sz w:val="22"/>
          <w:szCs w:val="22"/>
          <w:lang w:val="en-US"/>
        </w:rPr>
        <w:t xml:space="preserve"> for </w:t>
      </w:r>
      <w:r>
        <w:rPr>
          <w:sz w:val="22"/>
          <w:szCs w:val="22"/>
          <w:lang w:val="en-US"/>
        </w:rPr>
        <w:t>albumin the odds of death increase by 1/0.9</w:t>
      </w:r>
      <w:r w:rsidR="00156A51">
        <w:rPr>
          <w:sz w:val="22"/>
          <w:szCs w:val="22"/>
          <w:lang w:val="en-US"/>
        </w:rPr>
        <w:t>4</w:t>
      </w:r>
      <w:r>
        <w:rPr>
          <w:sz w:val="22"/>
          <w:szCs w:val="22"/>
          <w:lang w:val="en-US"/>
        </w:rPr>
        <w:t xml:space="preserve"> = 1.0</w:t>
      </w:r>
      <w:r w:rsidR="00156A51">
        <w:rPr>
          <w:sz w:val="22"/>
          <w:szCs w:val="22"/>
          <w:lang w:val="en-US"/>
        </w:rPr>
        <w:t>6</w:t>
      </w:r>
      <w:r>
        <w:rPr>
          <w:sz w:val="22"/>
          <w:szCs w:val="22"/>
          <w:lang w:val="en-US"/>
        </w:rPr>
        <w:t xml:space="preserve"> for every g decrease</w:t>
      </w:r>
      <w:r w:rsidR="00086215">
        <w:rPr>
          <w:sz w:val="22"/>
          <w:szCs w:val="22"/>
          <w:lang w:val="en-US"/>
        </w:rPr>
        <w:t xml:space="preserve"> from the maximum value in the cohort</w:t>
      </w:r>
      <w:r>
        <w:rPr>
          <w:sz w:val="22"/>
          <w:szCs w:val="22"/>
          <w:lang w:val="en-US"/>
        </w:rPr>
        <w:t>)</w:t>
      </w:r>
    </w:p>
    <w:p w14:paraId="46CB0221" w14:textId="02005529" w:rsidR="00BF5AF4" w:rsidRDefault="00BF5AF4" w:rsidP="00BF5AF4">
      <w:pPr>
        <w:rPr>
          <w:i/>
          <w:iCs/>
          <w:sz w:val="22"/>
          <w:szCs w:val="22"/>
          <w:lang w:val="en-US"/>
        </w:rPr>
      </w:pPr>
      <w:r w:rsidRPr="005C0E80">
        <w:rPr>
          <w:i/>
          <w:iCs/>
          <w:sz w:val="22"/>
          <w:szCs w:val="22"/>
          <w:lang w:val="en-US"/>
        </w:rPr>
        <w:t xml:space="preserve">Abbreviations: </w:t>
      </w:r>
      <w:r w:rsidR="00854E27">
        <w:rPr>
          <w:i/>
          <w:iCs/>
          <w:sz w:val="22"/>
          <w:szCs w:val="22"/>
          <w:lang w:val="en-US"/>
        </w:rPr>
        <w:t xml:space="preserve">ALP, alkaline phosphatase; </w:t>
      </w:r>
      <w:r w:rsidR="004D3F08">
        <w:rPr>
          <w:i/>
          <w:iCs/>
          <w:sz w:val="22"/>
          <w:szCs w:val="22"/>
          <w:lang w:val="en-US"/>
        </w:rPr>
        <w:t xml:space="preserve">AUROC, area under the receiver operating curve; </w:t>
      </w:r>
      <w:r w:rsidRPr="005C0E80">
        <w:rPr>
          <w:i/>
          <w:iCs/>
          <w:sz w:val="22"/>
          <w:szCs w:val="22"/>
          <w:lang w:val="en-US"/>
        </w:rPr>
        <w:t>AIC, Akaike information criterion; BIC, Bayesian information criterion</w:t>
      </w:r>
      <w:r w:rsidR="00CF0C2C">
        <w:rPr>
          <w:i/>
          <w:iCs/>
          <w:sz w:val="22"/>
          <w:szCs w:val="22"/>
          <w:lang w:val="en-US"/>
        </w:rPr>
        <w:t>;</w:t>
      </w:r>
      <w:r w:rsidR="000714B6">
        <w:rPr>
          <w:i/>
          <w:iCs/>
          <w:sz w:val="22"/>
          <w:szCs w:val="22"/>
          <w:lang w:val="en-US"/>
        </w:rPr>
        <w:t xml:space="preserve"> </w:t>
      </w:r>
      <w:r w:rsidR="00854E27">
        <w:rPr>
          <w:i/>
          <w:iCs/>
          <w:sz w:val="22"/>
          <w:szCs w:val="22"/>
          <w:lang w:val="en-US"/>
        </w:rPr>
        <w:t xml:space="preserve">CRP, C-reactive protein; </w:t>
      </w:r>
      <w:r w:rsidR="00363636">
        <w:rPr>
          <w:i/>
          <w:iCs/>
          <w:sz w:val="22"/>
          <w:szCs w:val="22"/>
          <w:lang w:val="en-US"/>
        </w:rPr>
        <w:t>CXR, chest X-ray;</w:t>
      </w:r>
      <w:r w:rsidR="00156A51">
        <w:rPr>
          <w:i/>
          <w:iCs/>
          <w:sz w:val="22"/>
          <w:szCs w:val="22"/>
          <w:lang w:val="en-US"/>
        </w:rPr>
        <w:t xml:space="preserve"> </w:t>
      </w:r>
      <w:r w:rsidR="000714B6">
        <w:rPr>
          <w:i/>
          <w:iCs/>
          <w:sz w:val="22"/>
          <w:szCs w:val="22"/>
          <w:lang w:val="en-US"/>
        </w:rPr>
        <w:t>FiO2, oxygen inspiratory fraction;</w:t>
      </w:r>
      <w:r w:rsidR="00CF0C2C">
        <w:rPr>
          <w:i/>
          <w:iCs/>
          <w:sz w:val="22"/>
          <w:szCs w:val="22"/>
          <w:lang w:val="en-US"/>
        </w:rPr>
        <w:t xml:space="preserve"> </w:t>
      </w:r>
      <w:r w:rsidR="00854E27">
        <w:rPr>
          <w:i/>
          <w:iCs/>
          <w:sz w:val="22"/>
          <w:szCs w:val="22"/>
          <w:lang w:val="en-US"/>
        </w:rPr>
        <w:t xml:space="preserve">GFR, glomerular filtration rate; Hb, hemoglobin; </w:t>
      </w:r>
      <w:r w:rsidR="00CF0C2C">
        <w:rPr>
          <w:i/>
          <w:iCs/>
          <w:sz w:val="22"/>
          <w:szCs w:val="22"/>
          <w:lang w:val="en-US"/>
        </w:rPr>
        <w:t>MAP, mean arterial pressure; SaO2, oxygen saturation; WCC, white cell count.</w:t>
      </w:r>
      <w:r w:rsidRPr="005C0E80">
        <w:rPr>
          <w:i/>
          <w:iCs/>
          <w:sz w:val="22"/>
          <w:szCs w:val="22"/>
          <w:lang w:val="en-US"/>
        </w:rPr>
        <w:t xml:space="preserve"> </w:t>
      </w:r>
    </w:p>
    <w:p w14:paraId="74E73C92" w14:textId="66E79662" w:rsidR="00EC3415" w:rsidRDefault="00EC3415">
      <w:pPr>
        <w:rPr>
          <w:rStyle w:val="normaltextrun"/>
          <w:b/>
          <w:bCs/>
          <w:sz w:val="22"/>
          <w:szCs w:val="22"/>
          <w:lang w:val="en-US"/>
        </w:rPr>
      </w:pPr>
    </w:p>
    <w:p w14:paraId="2A93749B" w14:textId="3F7EC225" w:rsidR="00EC3415" w:rsidRDefault="00A74943" w:rsidP="000864AC">
      <w:pPr>
        <w:jc w:val="center"/>
        <w:rPr>
          <w:rStyle w:val="normaltextrun"/>
          <w:b/>
          <w:bCs/>
          <w:sz w:val="22"/>
          <w:szCs w:val="22"/>
          <w:lang w:val="en-US"/>
        </w:rPr>
      </w:pPr>
      <w:r w:rsidRPr="00A74943">
        <w:rPr>
          <w:rStyle w:val="normaltextrun"/>
          <w:b/>
          <w:bCs/>
          <w:noProof/>
          <w:sz w:val="22"/>
          <w:szCs w:val="22"/>
          <w:lang w:val="en-US"/>
        </w:rPr>
        <w:lastRenderedPageBreak/>
        <w:drawing>
          <wp:inline distT="0" distB="0" distL="0" distR="0" wp14:anchorId="7CEADAB5" wp14:editId="62EBA6E9">
            <wp:extent cx="7998593" cy="6857824"/>
            <wp:effectExtent l="0" t="0" r="254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012048" cy="6869360"/>
                    </a:xfrm>
                    <a:prstGeom prst="rect">
                      <a:avLst/>
                    </a:prstGeom>
                  </pic:spPr>
                </pic:pic>
              </a:graphicData>
            </a:graphic>
          </wp:inline>
        </w:drawing>
      </w:r>
      <w:r w:rsidR="00EC3415">
        <w:rPr>
          <w:rStyle w:val="normaltextrun"/>
          <w:b/>
          <w:bCs/>
          <w:sz w:val="22"/>
          <w:szCs w:val="22"/>
          <w:lang w:val="en-US"/>
        </w:rPr>
        <w:br w:type="page"/>
      </w:r>
    </w:p>
    <w:p w14:paraId="17F96A53" w14:textId="77777777" w:rsidR="00E87FDA" w:rsidRDefault="00E87FDA" w:rsidP="00742D5F">
      <w:pPr>
        <w:rPr>
          <w:rStyle w:val="normaltextrun"/>
          <w:b/>
          <w:bCs/>
          <w:sz w:val="22"/>
          <w:szCs w:val="22"/>
          <w:lang w:val="en-US"/>
        </w:rPr>
        <w:sectPr w:rsidR="00E87FDA" w:rsidSect="00BF4529">
          <w:pgSz w:w="15840" w:h="12240" w:orient="landscape"/>
          <w:pgMar w:top="720" w:right="720" w:bottom="720" w:left="720" w:header="720" w:footer="720" w:gutter="0"/>
          <w:cols w:space="720"/>
          <w:docGrid w:linePitch="360"/>
        </w:sectPr>
      </w:pPr>
    </w:p>
    <w:p w14:paraId="2DDEC515" w14:textId="0ABC6355" w:rsidR="00D63F74" w:rsidRPr="005C0E80" w:rsidRDefault="004B6F25" w:rsidP="00D63F74">
      <w:pPr>
        <w:rPr>
          <w:sz w:val="22"/>
          <w:szCs w:val="22"/>
          <w:lang w:val="en-US"/>
        </w:rPr>
      </w:pPr>
      <w:r w:rsidRPr="004B6F25">
        <w:rPr>
          <w:b/>
          <w:bCs/>
          <w:sz w:val="22"/>
          <w:szCs w:val="22"/>
          <w:lang w:val="en-US"/>
        </w:rPr>
        <w:lastRenderedPageBreak/>
        <w:t>Supplementary Table S</w:t>
      </w:r>
      <w:r w:rsidR="00112878">
        <w:rPr>
          <w:b/>
          <w:bCs/>
          <w:sz w:val="22"/>
          <w:szCs w:val="22"/>
          <w:lang w:val="en-US"/>
        </w:rPr>
        <w:t>6</w:t>
      </w:r>
      <w:r w:rsidRPr="004B6F25">
        <w:rPr>
          <w:b/>
          <w:bCs/>
          <w:sz w:val="22"/>
          <w:szCs w:val="22"/>
          <w:lang w:val="en-US"/>
        </w:rPr>
        <w:t>:</w:t>
      </w:r>
      <w:r>
        <w:rPr>
          <w:sz w:val="22"/>
          <w:szCs w:val="22"/>
          <w:lang w:val="en-US"/>
        </w:rPr>
        <w:t xml:space="preserve"> </w:t>
      </w:r>
      <w:r w:rsidR="00D63F74" w:rsidRPr="005C0E80">
        <w:rPr>
          <w:sz w:val="22"/>
          <w:szCs w:val="22"/>
          <w:lang w:val="en-US"/>
        </w:rPr>
        <w:t>STROBE Checklist</w:t>
      </w:r>
      <w:r w:rsidR="002E0396">
        <w:rPr>
          <w:sz w:val="22"/>
          <w:szCs w:val="22"/>
          <w:lang w:val="en-US"/>
        </w:rPr>
        <w:t>.</w:t>
      </w:r>
      <w:r w:rsidR="00F1759E">
        <w:rPr>
          <w:sz w:val="22"/>
          <w:szCs w:val="22"/>
          <w:lang w:val="en-US"/>
        </w:rPr>
        <w:t xml:space="preserve"> </w:t>
      </w:r>
      <w:r w:rsidR="00E6567F">
        <w:rPr>
          <w:sz w:val="22"/>
          <w:szCs w:val="22"/>
          <w:lang w:val="en-US"/>
        </w:rPr>
        <w:fldChar w:fldCharType="begin"/>
      </w:r>
      <w:r w:rsidR="002A5EDE">
        <w:rPr>
          <w:sz w:val="22"/>
          <w:szCs w:val="22"/>
          <w:lang w:val="en-US"/>
        </w:rPr>
        <w:instrText xml:space="preserve"> ADDIN ZOTERO_ITEM CSL_CITATION {"citationID":"5tJ1u0pk","properties":{"formattedCitation":"[2]","plainCitation":"[2]","noteIndex":0},"citationItems":[{"id":1252,"uris":["http://zotero.org/users/5874418/items/QMCBPGAT"],"uri":["http://zotero.org/users/5874418/items/QMCBPGAT"],"itemData":{"id":1252,"type":"article-journal","container-title":"Lancet (London, England)","issue":"370","page":"1453–57","title":"The Strengthening the Reporting of Observational Studies in Epidemiology (STROBE) statement: guidelines for reporting observational studies","author":[{"family":"Elm","given":"Erik","dropping-particle":"von"},{"family":"Altman","given":"Douglas G."},{"family":"Egger","given":"Mathias"},{"family":"Pocock","given":"Stuart J"},{"family":"Gøtzsche","given":"Peter C"},{"family":"Vandenbroucke","given":"Jan P"}],"issued":{"date-parts":[["2007"]]}}}],"schema":"https://github.com/citation-style-language/schema/raw/master/csl-citation.json"} </w:instrText>
      </w:r>
      <w:r w:rsidR="00E6567F">
        <w:rPr>
          <w:sz w:val="22"/>
          <w:szCs w:val="22"/>
          <w:lang w:val="en-US"/>
        </w:rPr>
        <w:fldChar w:fldCharType="separate"/>
      </w:r>
      <w:r w:rsidR="002A5EDE">
        <w:rPr>
          <w:sz w:val="22"/>
        </w:rPr>
        <w:t>[2]</w:t>
      </w:r>
      <w:r w:rsidR="00E6567F">
        <w:rPr>
          <w:sz w:val="22"/>
          <w:szCs w:val="22"/>
          <w:lang w:val="en-US"/>
        </w:rPr>
        <w:fldChar w:fldCharType="end"/>
      </w:r>
    </w:p>
    <w:tbl>
      <w:tblPr>
        <w:tblStyle w:val="GridTable1Light-Accent3"/>
        <w:tblW w:w="0" w:type="auto"/>
        <w:tblLook w:val="04A0" w:firstRow="1" w:lastRow="0" w:firstColumn="1" w:lastColumn="0" w:noHBand="0" w:noVBand="1"/>
      </w:tblPr>
      <w:tblGrid>
        <w:gridCol w:w="2263"/>
        <w:gridCol w:w="6747"/>
      </w:tblGrid>
      <w:tr w:rsidR="00D63F74" w:rsidRPr="005C0E80" w14:paraId="0C171569" w14:textId="77777777" w:rsidTr="001644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63B945D" w14:textId="77777777" w:rsidR="00D63F74" w:rsidRPr="005C0E80" w:rsidRDefault="00D63F74" w:rsidP="00D63F74">
            <w:pPr>
              <w:rPr>
                <w:sz w:val="22"/>
                <w:szCs w:val="22"/>
                <w:lang w:val="en-US"/>
              </w:rPr>
            </w:pPr>
            <w:r w:rsidRPr="005C0E80">
              <w:rPr>
                <w:sz w:val="22"/>
                <w:szCs w:val="22"/>
                <w:lang w:val="en-US"/>
              </w:rPr>
              <w:t xml:space="preserve">Item </w:t>
            </w:r>
          </w:p>
        </w:tc>
        <w:tc>
          <w:tcPr>
            <w:tcW w:w="6747" w:type="dxa"/>
          </w:tcPr>
          <w:p w14:paraId="46B7968A" w14:textId="77777777" w:rsidR="00D63F74" w:rsidRPr="005C0E80" w:rsidRDefault="00D63F74" w:rsidP="00D63F74">
            <w:pPr>
              <w:cnfStyle w:val="100000000000" w:firstRow="1"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Comment</w:t>
            </w:r>
          </w:p>
        </w:tc>
      </w:tr>
      <w:tr w:rsidR="00D63F74" w:rsidRPr="005C0E80" w14:paraId="4EEE6B4F"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6C9D187C" w14:textId="77777777" w:rsidR="00D63F74" w:rsidRPr="005C0E80" w:rsidRDefault="00D63F74" w:rsidP="00D63F74">
            <w:pPr>
              <w:rPr>
                <w:sz w:val="22"/>
                <w:szCs w:val="22"/>
                <w:lang w:val="en-US"/>
              </w:rPr>
            </w:pPr>
            <w:r w:rsidRPr="005C0E80">
              <w:rPr>
                <w:sz w:val="22"/>
                <w:szCs w:val="22"/>
                <w:lang w:val="en-US"/>
              </w:rPr>
              <w:t>1. Title and abstract</w:t>
            </w:r>
          </w:p>
        </w:tc>
        <w:tc>
          <w:tcPr>
            <w:tcW w:w="6747" w:type="dxa"/>
          </w:tcPr>
          <w:p w14:paraId="61C147DA"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We have indicated the study as a retrospective cohort in the title. The abstract clarifies the corresponding methods followed.</w:t>
            </w:r>
          </w:p>
        </w:tc>
      </w:tr>
      <w:tr w:rsidR="00D63F74" w:rsidRPr="005C0E80" w14:paraId="2348DD96"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2B978BDE" w14:textId="77777777" w:rsidR="00D63F74" w:rsidRPr="005C0E80" w:rsidRDefault="00D63F74" w:rsidP="00D63F74">
            <w:pPr>
              <w:rPr>
                <w:sz w:val="22"/>
                <w:szCs w:val="22"/>
                <w:lang w:val="en-US"/>
              </w:rPr>
            </w:pPr>
            <w:r w:rsidRPr="005C0E80">
              <w:rPr>
                <w:sz w:val="22"/>
                <w:szCs w:val="22"/>
                <w:lang w:val="en-US"/>
              </w:rPr>
              <w:t>2. Background and rationale</w:t>
            </w:r>
          </w:p>
        </w:tc>
        <w:tc>
          <w:tcPr>
            <w:tcW w:w="6747" w:type="dxa"/>
          </w:tcPr>
          <w:p w14:paraId="6FDD9924" w14:textId="364896DD"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This is the first study from the UK on the clinical</w:t>
            </w:r>
            <w:r w:rsidR="00D55AC1" w:rsidRPr="005C0E80">
              <w:rPr>
                <w:sz w:val="22"/>
                <w:szCs w:val="22"/>
                <w:lang w:val="en-US"/>
              </w:rPr>
              <w:t xml:space="preserve">, laboratory and ethnic </w:t>
            </w:r>
            <w:r w:rsidRPr="005C0E80">
              <w:rPr>
                <w:sz w:val="22"/>
                <w:szCs w:val="22"/>
                <w:lang w:val="en-US"/>
              </w:rPr>
              <w:t xml:space="preserve">characteristics of </w:t>
            </w:r>
            <w:r w:rsidR="008928AB" w:rsidRPr="005C0E80">
              <w:rPr>
                <w:sz w:val="22"/>
                <w:szCs w:val="22"/>
                <w:lang w:val="en-US"/>
              </w:rPr>
              <w:t>hospitalization</w:t>
            </w:r>
            <w:r w:rsidR="00D55AC1" w:rsidRPr="005C0E80">
              <w:rPr>
                <w:sz w:val="22"/>
                <w:szCs w:val="22"/>
                <w:lang w:val="en-US"/>
              </w:rPr>
              <w:t xml:space="preserve"> outcomes of </w:t>
            </w:r>
            <w:r w:rsidRPr="005C0E80">
              <w:rPr>
                <w:sz w:val="22"/>
                <w:szCs w:val="22"/>
                <w:lang w:val="en-US"/>
              </w:rPr>
              <w:t xml:space="preserve">patients </w:t>
            </w:r>
            <w:r w:rsidR="00D55AC1" w:rsidRPr="005C0E80">
              <w:rPr>
                <w:sz w:val="22"/>
                <w:szCs w:val="22"/>
                <w:lang w:val="en-US"/>
              </w:rPr>
              <w:t>with COVID-19</w:t>
            </w:r>
            <w:r w:rsidRPr="005C0E80">
              <w:rPr>
                <w:sz w:val="22"/>
                <w:szCs w:val="22"/>
                <w:lang w:val="en-US"/>
              </w:rPr>
              <w:t xml:space="preserve">. </w:t>
            </w:r>
          </w:p>
        </w:tc>
      </w:tr>
      <w:tr w:rsidR="00D63F74" w:rsidRPr="005C0E80" w14:paraId="33AA707F"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3D697F5C" w14:textId="77777777" w:rsidR="00D63F74" w:rsidRPr="005C0E80" w:rsidRDefault="00D63F74" w:rsidP="00D63F74">
            <w:pPr>
              <w:rPr>
                <w:sz w:val="22"/>
                <w:szCs w:val="22"/>
                <w:lang w:val="en-US"/>
              </w:rPr>
            </w:pPr>
            <w:r w:rsidRPr="005C0E80">
              <w:rPr>
                <w:sz w:val="22"/>
                <w:szCs w:val="22"/>
                <w:lang w:val="en-US"/>
              </w:rPr>
              <w:t>3. Objectives</w:t>
            </w:r>
          </w:p>
        </w:tc>
        <w:tc>
          <w:tcPr>
            <w:tcW w:w="6747" w:type="dxa"/>
          </w:tcPr>
          <w:p w14:paraId="1347CB49" w14:textId="6628EF11" w:rsidR="00D63F74" w:rsidRPr="005C0E80" w:rsidRDefault="00D63F74" w:rsidP="00D63F74">
            <w:pPr>
              <w:numPr>
                <w:ilvl w:val="0"/>
                <w:numId w:val="1"/>
              </w:num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Describe baseline characteristics and outcomes for patients </w:t>
            </w:r>
            <w:r w:rsidR="0055290A" w:rsidRPr="005C0E80">
              <w:rPr>
                <w:sz w:val="22"/>
                <w:szCs w:val="22"/>
                <w:lang w:val="en-US"/>
              </w:rPr>
              <w:t>hospitalized</w:t>
            </w:r>
            <w:r w:rsidRPr="005C0E80">
              <w:rPr>
                <w:sz w:val="22"/>
                <w:szCs w:val="22"/>
                <w:lang w:val="en-US"/>
              </w:rPr>
              <w:t xml:space="preserve"> with laboratory-confirmed SARS-CoV-2 infection in a large London hospital trust since the start of the pandemic,</w:t>
            </w:r>
          </w:p>
          <w:p w14:paraId="444E6159" w14:textId="77777777" w:rsidR="00D63F74" w:rsidRPr="005C0E80" w:rsidRDefault="00D63F74" w:rsidP="00D63F74">
            <w:pPr>
              <w:numPr>
                <w:ilvl w:val="0"/>
                <w:numId w:val="1"/>
              </w:num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Evaluate demographic and clinical factors associated with outcomes through logistic regression, and </w:t>
            </w:r>
          </w:p>
          <w:p w14:paraId="0DF96528" w14:textId="7CD54CC7" w:rsidR="00D63F74" w:rsidRPr="005C0E80" w:rsidRDefault="00D63F74" w:rsidP="00D63F74">
            <w:pPr>
              <w:numPr>
                <w:ilvl w:val="0"/>
                <w:numId w:val="1"/>
              </w:num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Evaluate the proportion of patients </w:t>
            </w:r>
            <w:r w:rsidR="0055290A" w:rsidRPr="005C0E80">
              <w:rPr>
                <w:sz w:val="22"/>
                <w:szCs w:val="22"/>
                <w:lang w:val="en-US"/>
              </w:rPr>
              <w:t>hospitalized</w:t>
            </w:r>
            <w:r w:rsidRPr="005C0E80">
              <w:rPr>
                <w:sz w:val="22"/>
                <w:szCs w:val="22"/>
                <w:lang w:val="en-US"/>
              </w:rPr>
              <w:t xml:space="preserve"> at ICHNT for COVID-19 who are from BAME groups and evaluate whether ethnicity is associated with poorer outcomes</w:t>
            </w:r>
          </w:p>
        </w:tc>
      </w:tr>
      <w:tr w:rsidR="00D63F74" w:rsidRPr="005C0E80" w14:paraId="7A291F22"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2CAA7E1F" w14:textId="77777777" w:rsidR="00D63F74" w:rsidRPr="005C0E80" w:rsidRDefault="00D63F74" w:rsidP="00D63F74">
            <w:pPr>
              <w:rPr>
                <w:sz w:val="22"/>
                <w:szCs w:val="22"/>
                <w:lang w:val="en-US"/>
              </w:rPr>
            </w:pPr>
            <w:r w:rsidRPr="005C0E80">
              <w:rPr>
                <w:sz w:val="22"/>
                <w:szCs w:val="22"/>
                <w:lang w:val="en-US"/>
              </w:rPr>
              <w:t>4. Study design</w:t>
            </w:r>
          </w:p>
        </w:tc>
        <w:tc>
          <w:tcPr>
            <w:tcW w:w="6747" w:type="dxa"/>
          </w:tcPr>
          <w:p w14:paraId="23B537C4"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The retrospective cohort nature is highlighted in the title, abstract and first sentence of the methods section</w:t>
            </w:r>
          </w:p>
        </w:tc>
      </w:tr>
      <w:tr w:rsidR="00D63F74" w:rsidRPr="005C0E80" w14:paraId="3A8C4F1D"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169C5FC1" w14:textId="77777777" w:rsidR="00D63F74" w:rsidRPr="005C0E80" w:rsidRDefault="00D63F74" w:rsidP="00D63F74">
            <w:pPr>
              <w:rPr>
                <w:sz w:val="22"/>
                <w:szCs w:val="22"/>
                <w:lang w:val="en-US"/>
              </w:rPr>
            </w:pPr>
            <w:r w:rsidRPr="005C0E80">
              <w:rPr>
                <w:sz w:val="22"/>
                <w:szCs w:val="22"/>
                <w:lang w:val="en-US"/>
              </w:rPr>
              <w:t>5. Setting</w:t>
            </w:r>
          </w:p>
        </w:tc>
        <w:tc>
          <w:tcPr>
            <w:tcW w:w="6747" w:type="dxa"/>
          </w:tcPr>
          <w:p w14:paraId="08122118" w14:textId="2F4622B6"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Imperial College Healthcare NHS Trust, comprised of three large hospitals in London (St Mary’s, Hammersmith and Charing Cross)</w:t>
            </w:r>
            <w:r w:rsidR="00144562" w:rsidRPr="005C0E80">
              <w:rPr>
                <w:sz w:val="22"/>
                <w:szCs w:val="22"/>
                <w:lang w:val="en-US"/>
              </w:rPr>
              <w:t xml:space="preserve">, </w:t>
            </w:r>
            <w:r w:rsidRPr="005C0E80">
              <w:rPr>
                <w:sz w:val="22"/>
                <w:szCs w:val="22"/>
                <w:lang w:val="en-US"/>
              </w:rPr>
              <w:t xml:space="preserve">from February 25 to April 5, 2020, and outcomes as of April 19, 2020. </w:t>
            </w:r>
          </w:p>
        </w:tc>
      </w:tr>
      <w:tr w:rsidR="00D63F74" w:rsidRPr="005C0E80" w14:paraId="44DC7998"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33C3EA9F" w14:textId="77777777" w:rsidR="00D63F74" w:rsidRPr="005C0E80" w:rsidRDefault="00D63F74" w:rsidP="00D63F74">
            <w:pPr>
              <w:rPr>
                <w:sz w:val="22"/>
                <w:szCs w:val="22"/>
                <w:lang w:val="en-US"/>
              </w:rPr>
            </w:pPr>
            <w:r w:rsidRPr="005C0E80">
              <w:rPr>
                <w:sz w:val="22"/>
                <w:szCs w:val="22"/>
                <w:lang w:val="en-US"/>
              </w:rPr>
              <w:t>6. Participants</w:t>
            </w:r>
          </w:p>
        </w:tc>
        <w:tc>
          <w:tcPr>
            <w:tcW w:w="6747" w:type="dxa"/>
          </w:tcPr>
          <w:p w14:paraId="7E0C9C7E" w14:textId="0E11048D"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All consecutive patients with RT-PCR-confirmed COVID-19 disease requiring </w:t>
            </w:r>
            <w:r w:rsidR="0055290A" w:rsidRPr="005C0E80">
              <w:rPr>
                <w:sz w:val="22"/>
                <w:szCs w:val="22"/>
                <w:lang w:val="en-US"/>
              </w:rPr>
              <w:t>hospitalization</w:t>
            </w:r>
            <w:r w:rsidRPr="005C0E80">
              <w:rPr>
                <w:sz w:val="22"/>
                <w:szCs w:val="22"/>
                <w:lang w:val="en-US"/>
              </w:rPr>
              <w:t xml:space="preserve">. We excluded patients without COVID-19 symptoms on admission, patients with clinical suspicion of COVID-19 but with a negative RT-PCR, those who did not require </w:t>
            </w:r>
            <w:r w:rsidR="0055290A" w:rsidRPr="005C0E80">
              <w:rPr>
                <w:sz w:val="22"/>
                <w:szCs w:val="22"/>
                <w:lang w:val="en-US"/>
              </w:rPr>
              <w:t>hospitalization</w:t>
            </w:r>
            <w:r w:rsidRPr="005C0E80">
              <w:rPr>
                <w:sz w:val="22"/>
                <w:szCs w:val="22"/>
                <w:lang w:val="en-US"/>
              </w:rPr>
              <w:t xml:space="preserve">, transfers from other NHS Trusts and non-index (i.e. not the first positive </w:t>
            </w:r>
            <w:r w:rsidR="0055290A" w:rsidRPr="005C0E80">
              <w:rPr>
                <w:sz w:val="22"/>
                <w:szCs w:val="22"/>
                <w:lang w:val="en-US"/>
              </w:rPr>
              <w:t>hospitalization</w:t>
            </w:r>
            <w:r w:rsidRPr="005C0E80">
              <w:rPr>
                <w:sz w:val="22"/>
                <w:szCs w:val="22"/>
                <w:lang w:val="en-US"/>
              </w:rPr>
              <w:t xml:space="preserve"> with a positive RT-PCR) </w:t>
            </w:r>
            <w:r w:rsidR="0055290A" w:rsidRPr="005C0E80">
              <w:rPr>
                <w:sz w:val="22"/>
                <w:szCs w:val="22"/>
                <w:lang w:val="en-US"/>
              </w:rPr>
              <w:t>hospitalization</w:t>
            </w:r>
            <w:r w:rsidRPr="005C0E80">
              <w:rPr>
                <w:sz w:val="22"/>
                <w:szCs w:val="22"/>
                <w:lang w:val="en-US"/>
              </w:rPr>
              <w:t xml:space="preserve"> episodes.</w:t>
            </w:r>
          </w:p>
        </w:tc>
      </w:tr>
      <w:tr w:rsidR="00D63F74" w:rsidRPr="005C0E80" w14:paraId="27A68439"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5931A4BE" w14:textId="77777777" w:rsidR="00D63F74" w:rsidRPr="005C0E80" w:rsidRDefault="00D63F74" w:rsidP="00D63F74">
            <w:pPr>
              <w:rPr>
                <w:sz w:val="22"/>
                <w:szCs w:val="22"/>
                <w:lang w:val="en-US"/>
              </w:rPr>
            </w:pPr>
            <w:r w:rsidRPr="005C0E80">
              <w:rPr>
                <w:sz w:val="22"/>
                <w:szCs w:val="22"/>
                <w:lang w:val="en-US"/>
              </w:rPr>
              <w:t>7. Variables</w:t>
            </w:r>
          </w:p>
        </w:tc>
        <w:tc>
          <w:tcPr>
            <w:tcW w:w="6747" w:type="dxa"/>
          </w:tcPr>
          <w:p w14:paraId="6089F5C6"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Outcomes of interest are clearly identified as whether the patient was discharged alive or died in hospital and clinical deterioration, defined as either requiring a 60% or greater concentration of supplementary oxygen to maintain oxygen saturation (SaO2) &gt; 94%, invasive ventilation or admission to ITU. Variables used as explanatory are clearly documented (including units of measurement) in Table 1.</w:t>
            </w:r>
          </w:p>
        </w:tc>
      </w:tr>
      <w:tr w:rsidR="00D63F74" w:rsidRPr="005C0E80" w14:paraId="15F41E8E"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3A2B49A3" w14:textId="77777777" w:rsidR="00D63F74" w:rsidRPr="005C0E80" w:rsidRDefault="00D63F74" w:rsidP="00D63F74">
            <w:pPr>
              <w:rPr>
                <w:sz w:val="22"/>
                <w:szCs w:val="22"/>
                <w:lang w:val="en-US"/>
              </w:rPr>
            </w:pPr>
            <w:r w:rsidRPr="005C0E80">
              <w:rPr>
                <w:sz w:val="22"/>
                <w:szCs w:val="22"/>
                <w:lang w:val="en-US"/>
              </w:rPr>
              <w:t>8. Data sources</w:t>
            </w:r>
          </w:p>
        </w:tc>
        <w:tc>
          <w:tcPr>
            <w:tcW w:w="6747" w:type="dxa"/>
          </w:tcPr>
          <w:p w14:paraId="29B4BE45"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Individual patient electronic medical records (Cerner Hospital and Healthcare Systems and ICU computer records systems) were used to extract data. </w:t>
            </w:r>
          </w:p>
        </w:tc>
      </w:tr>
      <w:tr w:rsidR="00D63F74" w:rsidRPr="005C0E80" w14:paraId="002DBC3D"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5144FDFC" w14:textId="77777777" w:rsidR="00D63F74" w:rsidRPr="005C0E80" w:rsidRDefault="00D63F74" w:rsidP="00D63F74">
            <w:pPr>
              <w:rPr>
                <w:sz w:val="22"/>
                <w:szCs w:val="22"/>
                <w:lang w:val="en-US"/>
              </w:rPr>
            </w:pPr>
            <w:r w:rsidRPr="005C0E80">
              <w:rPr>
                <w:sz w:val="22"/>
                <w:szCs w:val="22"/>
                <w:lang w:val="en-US"/>
              </w:rPr>
              <w:t>9. Bias</w:t>
            </w:r>
          </w:p>
        </w:tc>
        <w:tc>
          <w:tcPr>
            <w:tcW w:w="6747" w:type="dxa"/>
          </w:tcPr>
          <w:p w14:paraId="5ED08290"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For completeness, ethnicity data for those with a record of ‘other ethnic background’ was checked against London Ambulance Service records, previous clinic letters and GP referral letters and reclassified as appropriate. To correctly identify variables as those present at the time of patient admission, serum creatinine, urea, glucose and lactate were only included if the blood test was performed within 4 hours of admission. All other blood tests and chest radiography were included if performed within 24 hours of admission.</w:t>
            </w:r>
          </w:p>
        </w:tc>
      </w:tr>
      <w:tr w:rsidR="00D63F74" w:rsidRPr="005C0E80" w14:paraId="6279012A"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759B0F2D" w14:textId="77777777" w:rsidR="00D63F74" w:rsidRPr="005C0E80" w:rsidRDefault="00D63F74" w:rsidP="00D63F74">
            <w:pPr>
              <w:rPr>
                <w:sz w:val="22"/>
                <w:szCs w:val="22"/>
                <w:lang w:val="en-US"/>
              </w:rPr>
            </w:pPr>
            <w:r w:rsidRPr="005C0E80">
              <w:rPr>
                <w:sz w:val="22"/>
                <w:szCs w:val="22"/>
                <w:lang w:val="en-US"/>
              </w:rPr>
              <w:t>10. Study size</w:t>
            </w:r>
          </w:p>
        </w:tc>
        <w:tc>
          <w:tcPr>
            <w:tcW w:w="6747" w:type="dxa"/>
          </w:tcPr>
          <w:p w14:paraId="58A23931"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A description of the study size is provided in the methods and results sections, as well as in Figure 1. </w:t>
            </w:r>
          </w:p>
        </w:tc>
      </w:tr>
      <w:tr w:rsidR="00D63F74" w:rsidRPr="005C0E80" w14:paraId="0F6CC496"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572E8578" w14:textId="77777777" w:rsidR="00D63F74" w:rsidRPr="005C0E80" w:rsidRDefault="00D63F74" w:rsidP="00D63F74">
            <w:pPr>
              <w:rPr>
                <w:sz w:val="22"/>
                <w:szCs w:val="22"/>
                <w:lang w:val="en-US"/>
              </w:rPr>
            </w:pPr>
            <w:r w:rsidRPr="005C0E80">
              <w:rPr>
                <w:sz w:val="22"/>
                <w:szCs w:val="22"/>
                <w:lang w:val="en-US"/>
              </w:rPr>
              <w:t>11. Quantitative variables</w:t>
            </w:r>
          </w:p>
        </w:tc>
        <w:tc>
          <w:tcPr>
            <w:tcW w:w="6747" w:type="dxa"/>
          </w:tcPr>
          <w:p w14:paraId="2EC324F0" w14:textId="129833C4"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Numeric variables (e.g. age, </w:t>
            </w:r>
            <w:r w:rsidR="005A61C3" w:rsidRPr="005C0E80">
              <w:rPr>
                <w:sz w:val="22"/>
                <w:szCs w:val="22"/>
                <w:lang w:val="en-US"/>
              </w:rPr>
              <w:t>hemoglobin</w:t>
            </w:r>
            <w:r w:rsidRPr="005C0E80">
              <w:rPr>
                <w:sz w:val="22"/>
                <w:szCs w:val="22"/>
                <w:lang w:val="en-US"/>
              </w:rPr>
              <w:t xml:space="preserve">, creatinine, etc.) were treated as continuous if their density distribution plot showed a normal distributed in either the natural or logarithmic scale, else they were coded into categorical. </w:t>
            </w:r>
          </w:p>
        </w:tc>
      </w:tr>
      <w:tr w:rsidR="00D63F74" w:rsidRPr="005C0E80" w14:paraId="3AEC84F1"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5ABE6736" w14:textId="77777777" w:rsidR="00D63F74" w:rsidRPr="005C0E80" w:rsidRDefault="00D63F74" w:rsidP="00D63F74">
            <w:pPr>
              <w:rPr>
                <w:sz w:val="22"/>
                <w:szCs w:val="22"/>
                <w:lang w:val="en-US"/>
              </w:rPr>
            </w:pPr>
            <w:r w:rsidRPr="005C0E80">
              <w:rPr>
                <w:sz w:val="22"/>
                <w:szCs w:val="22"/>
                <w:lang w:val="en-US"/>
              </w:rPr>
              <w:t>12. Statistical methods</w:t>
            </w:r>
          </w:p>
        </w:tc>
        <w:tc>
          <w:tcPr>
            <w:tcW w:w="6747" w:type="dxa"/>
          </w:tcPr>
          <w:p w14:paraId="558A6FB6"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We used standard </w:t>
            </w:r>
            <w:r w:rsidRPr="005C0E80">
              <w:rPr>
                <w:i/>
                <w:iCs/>
                <w:sz w:val="22"/>
                <w:szCs w:val="22"/>
                <w:lang w:val="en-US"/>
              </w:rPr>
              <w:sym w:font="Symbol" w:char="F063"/>
            </w:r>
            <w:r w:rsidRPr="005C0E80">
              <w:rPr>
                <w:i/>
                <w:iCs/>
                <w:sz w:val="22"/>
                <w:szCs w:val="22"/>
                <w:vertAlign w:val="superscript"/>
                <w:lang w:val="en-US"/>
              </w:rPr>
              <w:t>2</w:t>
            </w:r>
            <w:r w:rsidRPr="005C0E80">
              <w:rPr>
                <w:sz w:val="22"/>
                <w:szCs w:val="22"/>
                <w:lang w:val="en-US"/>
              </w:rPr>
              <w:t xml:space="preserve">, t-student or Wilcoxon rank sum tests, as appropriate, to identify differences in the prevalence of covariates at admission among patients with a completed outcome. Variables with a </w:t>
            </w:r>
            <w:r w:rsidRPr="005C0E80">
              <w:rPr>
                <w:i/>
                <w:iCs/>
                <w:sz w:val="22"/>
                <w:szCs w:val="22"/>
                <w:lang w:val="en-US"/>
              </w:rPr>
              <w:t>p-</w:t>
            </w:r>
            <w:r w:rsidRPr="005C0E80">
              <w:rPr>
                <w:sz w:val="22"/>
                <w:szCs w:val="22"/>
                <w:lang w:val="en-US"/>
              </w:rPr>
              <w:t xml:space="preserve">value below 0·157 in univariate analysis were selected for multivariate analysis. In the multivariate models, variables were considered statistically significant with a </w:t>
            </w:r>
            <w:r w:rsidRPr="005C0E80">
              <w:rPr>
                <w:i/>
                <w:iCs/>
                <w:sz w:val="22"/>
                <w:szCs w:val="22"/>
                <w:lang w:val="en-US"/>
              </w:rPr>
              <w:t>p</w:t>
            </w:r>
            <w:r w:rsidRPr="005C0E80">
              <w:rPr>
                <w:sz w:val="22"/>
                <w:szCs w:val="22"/>
                <w:lang w:val="en-US"/>
              </w:rPr>
              <w:t xml:space="preserve">-value &lt; 0·05 and thus kept as final </w:t>
            </w:r>
            <w:r w:rsidRPr="005C0E80">
              <w:rPr>
                <w:sz w:val="22"/>
                <w:szCs w:val="22"/>
                <w:lang w:val="en-US"/>
              </w:rPr>
              <w:lastRenderedPageBreak/>
              <w:t xml:space="preserve">candidates in the prediction model. Variables with more than 20% missing values were excluded from regression analysis. We evaluated time from hospital admission to clinical deterioration and final outcome outcomes accounting for competing risks and right-censored using the Nelson-Aelen and Kaplan-Meier estimators, respectively. The effect of selected covariates on the hazard of the clinical deterioration and final outcome (e.g. age) was assessed using Cox Proportional-Hazard models. The proportional hazards assumptions were evaluated using Schoenfeld’s residuals. </w:t>
            </w:r>
          </w:p>
        </w:tc>
      </w:tr>
      <w:tr w:rsidR="00D63F74" w:rsidRPr="005C0E80" w14:paraId="0A15130E"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1EB4D3A4" w14:textId="77777777" w:rsidR="00D63F74" w:rsidRPr="005C0E80" w:rsidRDefault="00D63F74" w:rsidP="00D63F74">
            <w:pPr>
              <w:rPr>
                <w:sz w:val="22"/>
                <w:szCs w:val="22"/>
                <w:lang w:val="en-US"/>
              </w:rPr>
            </w:pPr>
            <w:r w:rsidRPr="005C0E80">
              <w:rPr>
                <w:sz w:val="22"/>
                <w:szCs w:val="22"/>
                <w:lang w:val="en-US"/>
              </w:rPr>
              <w:lastRenderedPageBreak/>
              <w:t>13. Participants</w:t>
            </w:r>
          </w:p>
        </w:tc>
        <w:tc>
          <w:tcPr>
            <w:tcW w:w="6747" w:type="dxa"/>
          </w:tcPr>
          <w:p w14:paraId="1A27F600"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We provide a diagram of patient participation in Figure 1. </w:t>
            </w:r>
          </w:p>
        </w:tc>
      </w:tr>
      <w:tr w:rsidR="00D63F74" w:rsidRPr="005C0E80" w14:paraId="630E773D"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6588A446" w14:textId="77777777" w:rsidR="00D63F74" w:rsidRPr="005C0E80" w:rsidRDefault="00D63F74" w:rsidP="00D63F74">
            <w:pPr>
              <w:rPr>
                <w:sz w:val="22"/>
                <w:szCs w:val="22"/>
                <w:lang w:val="en-US"/>
              </w:rPr>
            </w:pPr>
            <w:r w:rsidRPr="005C0E80">
              <w:rPr>
                <w:sz w:val="22"/>
                <w:szCs w:val="22"/>
                <w:lang w:val="en-US"/>
              </w:rPr>
              <w:t>14. Descriptive data</w:t>
            </w:r>
          </w:p>
        </w:tc>
        <w:tc>
          <w:tcPr>
            <w:tcW w:w="6747" w:type="dxa"/>
          </w:tcPr>
          <w:p w14:paraId="4613075E" w14:textId="542D15D5"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The study population’s characteristics are </w:t>
            </w:r>
            <w:r w:rsidR="00782299" w:rsidRPr="005C0E80">
              <w:rPr>
                <w:sz w:val="22"/>
                <w:szCs w:val="22"/>
                <w:lang w:val="en-US"/>
              </w:rPr>
              <w:t>summarized</w:t>
            </w:r>
            <w:r w:rsidRPr="005C0E80">
              <w:rPr>
                <w:sz w:val="22"/>
                <w:szCs w:val="22"/>
                <w:lang w:val="en-US"/>
              </w:rPr>
              <w:t xml:space="preserve"> in the first section of the results section and in Tables 1 and 2. Missing data levels above 20% are identified in Table 2B (*). Cohort follow-up is </w:t>
            </w:r>
            <w:r w:rsidR="00782299" w:rsidRPr="005C0E80">
              <w:rPr>
                <w:sz w:val="22"/>
                <w:szCs w:val="22"/>
                <w:lang w:val="en-US"/>
              </w:rPr>
              <w:t>summarized</w:t>
            </w:r>
            <w:r w:rsidRPr="005C0E80">
              <w:rPr>
                <w:sz w:val="22"/>
                <w:szCs w:val="22"/>
                <w:lang w:val="en-US"/>
              </w:rPr>
              <w:t xml:space="preserve"> in Figure 2A, including number of patients under observation and censored at each time step. </w:t>
            </w:r>
          </w:p>
        </w:tc>
      </w:tr>
      <w:tr w:rsidR="00D63F74" w:rsidRPr="005C0E80" w14:paraId="2B2AA068"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3D01540C" w14:textId="77777777" w:rsidR="00D63F74" w:rsidRPr="005C0E80" w:rsidRDefault="00D63F74" w:rsidP="00D63F74">
            <w:pPr>
              <w:rPr>
                <w:sz w:val="22"/>
                <w:szCs w:val="22"/>
                <w:lang w:val="en-US"/>
              </w:rPr>
            </w:pPr>
            <w:r w:rsidRPr="005C0E80">
              <w:rPr>
                <w:sz w:val="22"/>
                <w:szCs w:val="22"/>
                <w:lang w:val="en-US"/>
              </w:rPr>
              <w:t>15. Outcome data</w:t>
            </w:r>
          </w:p>
        </w:tc>
        <w:tc>
          <w:tcPr>
            <w:tcW w:w="6747" w:type="dxa"/>
          </w:tcPr>
          <w:p w14:paraId="770237FB"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We report probability of discharge and cumulative probability of outcomes in Figures 2A, 2B and 3B. Time-dependent outcomes are further commented on in the results section of the manuscript, as appropriate. </w:t>
            </w:r>
          </w:p>
        </w:tc>
      </w:tr>
      <w:tr w:rsidR="00D63F74" w:rsidRPr="005C0E80" w14:paraId="701AE702"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1D5871F3" w14:textId="77777777" w:rsidR="00D63F74" w:rsidRPr="005C0E80" w:rsidRDefault="00D63F74" w:rsidP="00D63F74">
            <w:pPr>
              <w:rPr>
                <w:sz w:val="22"/>
                <w:szCs w:val="22"/>
                <w:lang w:val="en-US"/>
              </w:rPr>
            </w:pPr>
            <w:r w:rsidRPr="005C0E80">
              <w:rPr>
                <w:sz w:val="22"/>
                <w:szCs w:val="22"/>
                <w:lang w:val="en-US"/>
              </w:rPr>
              <w:t>16. Main results</w:t>
            </w:r>
          </w:p>
        </w:tc>
        <w:tc>
          <w:tcPr>
            <w:tcW w:w="6747" w:type="dxa"/>
          </w:tcPr>
          <w:p w14:paraId="65184BA5" w14:textId="29918E9F"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Unadjusted and adjusted estimates are clearly </w:t>
            </w:r>
            <w:r w:rsidR="00782299" w:rsidRPr="005C0E80">
              <w:rPr>
                <w:sz w:val="22"/>
                <w:szCs w:val="22"/>
                <w:lang w:val="en-US"/>
              </w:rPr>
              <w:t>summarized</w:t>
            </w:r>
            <w:r w:rsidRPr="005C0E80">
              <w:rPr>
                <w:sz w:val="22"/>
                <w:szCs w:val="22"/>
                <w:lang w:val="en-US"/>
              </w:rPr>
              <w:t xml:space="preserve"> in Tables 3 and 5</w:t>
            </w:r>
          </w:p>
        </w:tc>
      </w:tr>
      <w:tr w:rsidR="00D63F74" w:rsidRPr="005C0E80" w14:paraId="10B43042"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531D3169" w14:textId="77777777" w:rsidR="00D63F74" w:rsidRPr="005C0E80" w:rsidRDefault="00D63F74" w:rsidP="00D63F74">
            <w:pPr>
              <w:rPr>
                <w:sz w:val="22"/>
                <w:szCs w:val="22"/>
                <w:lang w:val="en-US"/>
              </w:rPr>
            </w:pPr>
            <w:r w:rsidRPr="005C0E80">
              <w:rPr>
                <w:sz w:val="22"/>
                <w:szCs w:val="22"/>
                <w:lang w:val="en-US"/>
              </w:rPr>
              <w:t>17. Other analyses</w:t>
            </w:r>
          </w:p>
        </w:tc>
        <w:tc>
          <w:tcPr>
            <w:tcW w:w="6747" w:type="dxa"/>
          </w:tcPr>
          <w:p w14:paraId="21FD6263" w14:textId="73184A10"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Subgroup analyses, by age and ethnicity, are </w:t>
            </w:r>
            <w:r w:rsidR="00782299" w:rsidRPr="005C0E80">
              <w:rPr>
                <w:sz w:val="22"/>
                <w:szCs w:val="22"/>
                <w:lang w:val="en-US"/>
              </w:rPr>
              <w:t>summarized</w:t>
            </w:r>
            <w:r w:rsidRPr="005C0E80">
              <w:rPr>
                <w:sz w:val="22"/>
                <w:szCs w:val="22"/>
                <w:lang w:val="en-US"/>
              </w:rPr>
              <w:t xml:space="preserve"> in Table 5 and Figures 2B and 3B</w:t>
            </w:r>
          </w:p>
        </w:tc>
      </w:tr>
      <w:tr w:rsidR="00D63F74" w:rsidRPr="005C0E80" w14:paraId="1B7EC77C"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6BAC019B" w14:textId="77777777" w:rsidR="00D63F74" w:rsidRPr="005C0E80" w:rsidRDefault="00D63F74" w:rsidP="00D63F74">
            <w:pPr>
              <w:rPr>
                <w:sz w:val="22"/>
                <w:szCs w:val="22"/>
                <w:lang w:val="en-US"/>
              </w:rPr>
            </w:pPr>
            <w:r w:rsidRPr="005C0E80">
              <w:rPr>
                <w:sz w:val="22"/>
                <w:szCs w:val="22"/>
                <w:lang w:val="en-US"/>
              </w:rPr>
              <w:t>18. Key results</w:t>
            </w:r>
          </w:p>
        </w:tc>
        <w:tc>
          <w:tcPr>
            <w:tcW w:w="6747" w:type="dxa"/>
          </w:tcPr>
          <w:p w14:paraId="40C688E6" w14:textId="2E12D6EC"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In our study population, the admission characteristics associated with increased odds of hospital mortality on multivariate regression included severe hypoxia, low platelet count, elevated bilirubin and reduced eGFR. Our results suggest BAME groups are over-represented amongst those </w:t>
            </w:r>
            <w:r w:rsidR="00782299" w:rsidRPr="005C0E80">
              <w:rPr>
                <w:sz w:val="22"/>
                <w:szCs w:val="22"/>
                <w:lang w:val="en-US"/>
              </w:rPr>
              <w:t>hospitalized</w:t>
            </w:r>
            <w:r w:rsidRPr="005C0E80">
              <w:rPr>
                <w:sz w:val="22"/>
                <w:szCs w:val="22"/>
                <w:lang w:val="en-US"/>
              </w:rPr>
              <w:t xml:space="preserve"> at ICHNT for COVID-19, particularly black and Asian populations, when compared to historic emergency admissions across ICHNT in 2018-2019. When adjusted for age, Elixhauser comorbidity score and severity of disease on admission, higher odds of death for those from black ethnic background compared to whites were observed. </w:t>
            </w:r>
          </w:p>
        </w:tc>
      </w:tr>
      <w:tr w:rsidR="00D63F74" w:rsidRPr="005C0E80" w14:paraId="028B5027"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69B7910C" w14:textId="77777777" w:rsidR="00D63F74" w:rsidRPr="005C0E80" w:rsidRDefault="00D63F74" w:rsidP="00D63F74">
            <w:pPr>
              <w:rPr>
                <w:sz w:val="22"/>
                <w:szCs w:val="22"/>
                <w:lang w:val="en-US"/>
              </w:rPr>
            </w:pPr>
            <w:r w:rsidRPr="005C0E80">
              <w:rPr>
                <w:sz w:val="22"/>
                <w:szCs w:val="22"/>
                <w:lang w:val="en-US"/>
              </w:rPr>
              <w:t>19. Limitations</w:t>
            </w:r>
          </w:p>
        </w:tc>
        <w:tc>
          <w:tcPr>
            <w:tcW w:w="6747" w:type="dxa"/>
          </w:tcPr>
          <w:p w14:paraId="4244719F" w14:textId="5F18026C" w:rsidR="00D63F74" w:rsidRPr="005C0E80" w:rsidRDefault="00D63F74" w:rsidP="00D63F74">
            <w:pPr>
              <w:numPr>
                <w:ilvl w:val="0"/>
                <w:numId w:val="2"/>
              </w:num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14% of our cohort were still </w:t>
            </w:r>
            <w:r w:rsidR="00782299" w:rsidRPr="005C0E80">
              <w:rPr>
                <w:sz w:val="22"/>
                <w:szCs w:val="22"/>
                <w:lang w:val="en-US"/>
              </w:rPr>
              <w:t>hospitalized</w:t>
            </w:r>
            <w:r w:rsidRPr="005C0E80">
              <w:rPr>
                <w:sz w:val="22"/>
                <w:szCs w:val="22"/>
                <w:lang w:val="en-US"/>
              </w:rPr>
              <w:t xml:space="preserve"> at the end of the reporting period, the most uncertain outcomes are likely to be amongst those who are currently still requiring mechanical ventilation</w:t>
            </w:r>
          </w:p>
          <w:p w14:paraId="56C7A8B1" w14:textId="77777777" w:rsidR="00D63F74" w:rsidRPr="005C0E80" w:rsidRDefault="00D63F74" w:rsidP="00D63F74">
            <w:pPr>
              <w:numPr>
                <w:ilvl w:val="0"/>
                <w:numId w:val="2"/>
              </w:num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There are missing data for certain variables including ethnicity, BMI and novel laboratory biomarkers now systematically collected for patients with COVID-19, including D-dimer, BNP, troponin, ferritin and cortisol, which were excluded from regression analysis</w:t>
            </w:r>
          </w:p>
          <w:p w14:paraId="449F7687" w14:textId="77777777" w:rsidR="00D63F74" w:rsidRPr="005C0E80" w:rsidRDefault="00D63F74" w:rsidP="00D63F74">
            <w:pPr>
              <w:numPr>
                <w:ilvl w:val="0"/>
                <w:numId w:val="2"/>
              </w:num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We excluded patients who were SARS-CoV-2 RT-PCR-negative, those who might have had hospital-acquired SARS-CoV-2 infection</w:t>
            </w:r>
          </w:p>
          <w:p w14:paraId="3492E5EC" w14:textId="13D8EF76" w:rsidR="00D63F74" w:rsidRPr="005C0E80" w:rsidRDefault="00D63F74" w:rsidP="00D63F74">
            <w:pPr>
              <w:numPr>
                <w:ilvl w:val="0"/>
                <w:numId w:val="2"/>
              </w:num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We did not quantify the impact of changes in clinical </w:t>
            </w:r>
            <w:r w:rsidR="007F49CE" w:rsidRPr="005C0E80">
              <w:rPr>
                <w:sz w:val="22"/>
                <w:szCs w:val="22"/>
                <w:lang w:val="en-US"/>
              </w:rPr>
              <w:t>practice</w:t>
            </w:r>
            <w:r w:rsidRPr="005C0E80">
              <w:rPr>
                <w:sz w:val="22"/>
                <w:szCs w:val="22"/>
                <w:lang w:val="en-US"/>
              </w:rPr>
              <w:t xml:space="preserve"> and experience over the time of our study</w:t>
            </w:r>
          </w:p>
        </w:tc>
      </w:tr>
      <w:tr w:rsidR="00D63F74" w:rsidRPr="005C0E80" w14:paraId="2E941360"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358E8B3C" w14:textId="77777777" w:rsidR="00D63F74" w:rsidRPr="005C0E80" w:rsidRDefault="00D63F74" w:rsidP="00D63F74">
            <w:pPr>
              <w:rPr>
                <w:sz w:val="22"/>
                <w:szCs w:val="22"/>
                <w:lang w:val="en-US"/>
              </w:rPr>
            </w:pPr>
            <w:r w:rsidRPr="005C0E80">
              <w:rPr>
                <w:sz w:val="22"/>
                <w:szCs w:val="22"/>
                <w:lang w:val="en-US"/>
              </w:rPr>
              <w:t>20. Interpretation</w:t>
            </w:r>
          </w:p>
        </w:tc>
        <w:tc>
          <w:tcPr>
            <w:tcW w:w="6747" w:type="dxa"/>
          </w:tcPr>
          <w:p w14:paraId="388056F0"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The admission characteristics with the strongest association with increased odds of death were severe hypoxia, low platelet count, elevated bilirubin and a reduced eGFR. BAME groups were overrepresented in our study population, compared to historic data from ICHNT. After accounting for age, comorbidity profile and COVID-19 disease severity on admission, patients of black ethnic background appear to have increased odds of hospital mortality compared to those of white ethnicity</w:t>
            </w:r>
          </w:p>
        </w:tc>
      </w:tr>
      <w:tr w:rsidR="00D63F74" w:rsidRPr="005C0E80" w14:paraId="60DE2A7F"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01B809B8" w14:textId="72E2ACB0" w:rsidR="00D63F74" w:rsidRPr="005C0E80" w:rsidRDefault="00D63F74" w:rsidP="00D63F74">
            <w:pPr>
              <w:rPr>
                <w:sz w:val="22"/>
                <w:szCs w:val="22"/>
                <w:lang w:val="en-US"/>
              </w:rPr>
            </w:pPr>
            <w:r w:rsidRPr="005C0E80">
              <w:rPr>
                <w:sz w:val="22"/>
                <w:szCs w:val="22"/>
                <w:lang w:val="en-US"/>
              </w:rPr>
              <w:lastRenderedPageBreak/>
              <w:t xml:space="preserve">21. </w:t>
            </w:r>
            <w:r w:rsidR="00183402" w:rsidRPr="005C0E80">
              <w:rPr>
                <w:sz w:val="22"/>
                <w:szCs w:val="22"/>
                <w:lang w:val="en-US"/>
              </w:rPr>
              <w:t>Generalizability</w:t>
            </w:r>
          </w:p>
        </w:tc>
        <w:tc>
          <w:tcPr>
            <w:tcW w:w="6747" w:type="dxa"/>
          </w:tcPr>
          <w:p w14:paraId="0C598208" w14:textId="2F75DB58"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Further work is needed to understand whether patterns observed in our study cohort are present on a national level and, if so, the sociodemographic and biologic factors underpinning it. Continuous monitoring of clinical data such as the one </w:t>
            </w:r>
            <w:r w:rsidR="00183402" w:rsidRPr="005C0E80">
              <w:rPr>
                <w:sz w:val="22"/>
                <w:szCs w:val="22"/>
                <w:lang w:val="en-US"/>
              </w:rPr>
              <w:t>summarized</w:t>
            </w:r>
            <w:r w:rsidRPr="005C0E80">
              <w:rPr>
                <w:sz w:val="22"/>
                <w:szCs w:val="22"/>
                <w:lang w:val="en-US"/>
              </w:rPr>
              <w:t xml:space="preserve"> in this study is paramount. Analyses are ongoing to test the out-of-sample validity of the clinical observations and investigations found to be significant in our study in predicting death outcomes from COVID-19 and whether other proposed biomarkers, such as D-Dimer and CRP are also useful predictors.</w:t>
            </w:r>
          </w:p>
        </w:tc>
      </w:tr>
      <w:tr w:rsidR="00D63F74" w:rsidRPr="005C0E80" w14:paraId="4BF45C94" w14:textId="77777777" w:rsidTr="001644D4">
        <w:tc>
          <w:tcPr>
            <w:cnfStyle w:val="001000000000" w:firstRow="0" w:lastRow="0" w:firstColumn="1" w:lastColumn="0" w:oddVBand="0" w:evenVBand="0" w:oddHBand="0" w:evenHBand="0" w:firstRowFirstColumn="0" w:firstRowLastColumn="0" w:lastRowFirstColumn="0" w:lastRowLastColumn="0"/>
            <w:tcW w:w="2263" w:type="dxa"/>
          </w:tcPr>
          <w:p w14:paraId="461146CF" w14:textId="77777777" w:rsidR="00D63F74" w:rsidRPr="005C0E80" w:rsidRDefault="00D63F74" w:rsidP="00D63F74">
            <w:pPr>
              <w:rPr>
                <w:sz w:val="22"/>
                <w:szCs w:val="22"/>
                <w:lang w:val="en-US"/>
              </w:rPr>
            </w:pPr>
            <w:r w:rsidRPr="005C0E80">
              <w:rPr>
                <w:sz w:val="22"/>
                <w:szCs w:val="22"/>
                <w:lang w:val="en-US"/>
              </w:rPr>
              <w:t>22. Funding</w:t>
            </w:r>
          </w:p>
        </w:tc>
        <w:tc>
          <w:tcPr>
            <w:tcW w:w="6747" w:type="dxa"/>
          </w:tcPr>
          <w:p w14:paraId="1FD64759"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MRC Centre for Global Infectious Disease Analysis</w:t>
            </w:r>
          </w:p>
          <w:p w14:paraId="7A7BD421"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Abdul Latif Jameel Institute for Disease and Emergency Analytics</w:t>
            </w:r>
          </w:p>
          <w:p w14:paraId="7B85FC08"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 xml:space="preserve">UK Medical Research Council </w:t>
            </w:r>
          </w:p>
          <w:p w14:paraId="5E22BD75"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UK Department for International Development</w:t>
            </w:r>
          </w:p>
          <w:p w14:paraId="75CB29C3"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p>
          <w:p w14:paraId="0E0E0C23" w14:textId="77777777" w:rsidR="00D63F74" w:rsidRPr="005C0E80" w:rsidRDefault="00D63F74" w:rsidP="00D63F74">
            <w:pPr>
              <w:cnfStyle w:val="000000000000" w:firstRow="0" w:lastRow="0" w:firstColumn="0" w:lastColumn="0" w:oddVBand="0" w:evenVBand="0" w:oddHBand="0" w:evenHBand="0" w:firstRowFirstColumn="0" w:firstRowLastColumn="0" w:lastRowFirstColumn="0" w:lastRowLastColumn="0"/>
              <w:rPr>
                <w:sz w:val="22"/>
                <w:szCs w:val="22"/>
                <w:lang w:val="en-US"/>
              </w:rPr>
            </w:pPr>
            <w:r w:rsidRPr="005C0E80">
              <w:rPr>
                <w:sz w:val="22"/>
                <w:szCs w:val="22"/>
                <w:lang w:val="en-US"/>
              </w:rPr>
              <w:t>The funders of this study had no role in study design, data collection, analysis, or interpretation, or writing of the report. The corresponding author had full access to all the data in the study and the final responsibility to submit for publication</w:t>
            </w:r>
          </w:p>
        </w:tc>
      </w:tr>
    </w:tbl>
    <w:p w14:paraId="789066A4" w14:textId="77777777" w:rsidR="00D63F74" w:rsidRPr="005C0E80" w:rsidRDefault="00D63F74" w:rsidP="00D63F74">
      <w:pPr>
        <w:rPr>
          <w:sz w:val="22"/>
          <w:szCs w:val="22"/>
          <w:lang w:val="en-US"/>
        </w:rPr>
      </w:pPr>
    </w:p>
    <w:p w14:paraId="0343035C" w14:textId="272E4ECE" w:rsidR="00743D6B" w:rsidRDefault="00743D6B">
      <w:pPr>
        <w:rPr>
          <w:sz w:val="22"/>
          <w:szCs w:val="22"/>
          <w:lang w:val="en-US"/>
        </w:rPr>
      </w:pPr>
    </w:p>
    <w:p w14:paraId="36920130" w14:textId="6F42CC52" w:rsidR="002E0396" w:rsidRDefault="002E0396">
      <w:pPr>
        <w:rPr>
          <w:sz w:val="22"/>
          <w:szCs w:val="22"/>
          <w:lang w:val="en-US"/>
        </w:rPr>
      </w:pPr>
      <w:r>
        <w:rPr>
          <w:b/>
          <w:bCs/>
          <w:sz w:val="22"/>
          <w:szCs w:val="22"/>
          <w:lang w:val="en-US"/>
        </w:rPr>
        <w:t>References</w:t>
      </w:r>
    </w:p>
    <w:p w14:paraId="15D0E98B" w14:textId="77777777" w:rsidR="002A5EDE" w:rsidRPr="002A5EDE" w:rsidRDefault="002E0396" w:rsidP="002A5EDE">
      <w:pPr>
        <w:pStyle w:val="Bibliography"/>
        <w:rPr>
          <w:sz w:val="22"/>
        </w:rPr>
      </w:pPr>
      <w:r>
        <w:rPr>
          <w:sz w:val="22"/>
          <w:szCs w:val="22"/>
          <w:lang w:val="en-US"/>
        </w:rPr>
        <w:fldChar w:fldCharType="begin"/>
      </w:r>
      <w:r w:rsidR="002A5EDE">
        <w:rPr>
          <w:sz w:val="22"/>
          <w:szCs w:val="22"/>
          <w:lang w:val="en-US"/>
        </w:rPr>
        <w:instrText xml:space="preserve"> ADDIN ZOTERO_BIBL {"uncited":[],"omitted":[],"custom":[]} CSL_BIBLIOGRAPHY </w:instrText>
      </w:r>
      <w:r>
        <w:rPr>
          <w:sz w:val="22"/>
          <w:szCs w:val="22"/>
          <w:lang w:val="en-US"/>
        </w:rPr>
        <w:fldChar w:fldCharType="separate"/>
      </w:r>
      <w:r w:rsidR="002A5EDE" w:rsidRPr="002A5EDE">
        <w:rPr>
          <w:sz w:val="22"/>
        </w:rPr>
        <w:t xml:space="preserve">1. </w:t>
      </w:r>
      <w:r w:rsidR="002A5EDE" w:rsidRPr="002A5EDE">
        <w:rPr>
          <w:sz w:val="22"/>
        </w:rPr>
        <w:tab/>
        <w:t xml:space="preserve">British Society of Thoracic Imaging. Thoracic Imaging in COVID-19 Infection. 2020: 28. </w:t>
      </w:r>
    </w:p>
    <w:p w14:paraId="0A9C3FEF" w14:textId="77777777" w:rsidR="002A5EDE" w:rsidRPr="002A5EDE" w:rsidRDefault="002A5EDE" w:rsidP="002A5EDE">
      <w:pPr>
        <w:pStyle w:val="Bibliography"/>
        <w:rPr>
          <w:sz w:val="22"/>
        </w:rPr>
      </w:pPr>
      <w:r w:rsidRPr="002A5EDE">
        <w:rPr>
          <w:sz w:val="22"/>
        </w:rPr>
        <w:t xml:space="preserve">2. </w:t>
      </w:r>
      <w:r w:rsidRPr="002A5EDE">
        <w:rPr>
          <w:sz w:val="22"/>
        </w:rPr>
        <w:tab/>
        <w:t xml:space="preserve">Elm E von, Altman DG, Egger M, Pocock SJ, Gøtzsche PC, Vandenbroucke JP. The Strengthening the Reporting of Observational Studies in Epidemiology (STROBE) statement: guidelines for reporting observational studies. Lancet (London, England) </w:t>
      </w:r>
      <w:r w:rsidRPr="002A5EDE">
        <w:rPr>
          <w:b/>
          <w:bCs/>
          <w:sz w:val="22"/>
        </w:rPr>
        <w:t>2007</w:t>
      </w:r>
      <w:r w:rsidRPr="002A5EDE">
        <w:rPr>
          <w:sz w:val="22"/>
        </w:rPr>
        <w:t xml:space="preserve">; :1453–57. </w:t>
      </w:r>
    </w:p>
    <w:p w14:paraId="70A54864" w14:textId="067CA3A5" w:rsidR="002E0396" w:rsidRPr="002E0396" w:rsidRDefault="002E0396">
      <w:pPr>
        <w:rPr>
          <w:sz w:val="22"/>
          <w:szCs w:val="22"/>
          <w:lang w:val="en-US"/>
        </w:rPr>
      </w:pPr>
      <w:r>
        <w:rPr>
          <w:sz w:val="22"/>
          <w:szCs w:val="22"/>
          <w:lang w:val="en-US"/>
        </w:rPr>
        <w:fldChar w:fldCharType="end"/>
      </w:r>
    </w:p>
    <w:sectPr w:rsidR="002E0396" w:rsidRPr="002E0396" w:rsidSect="007103E2">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6D26FF1"/>
    <w:multiLevelType w:val="hybridMultilevel"/>
    <w:tmpl w:val="9A0436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7F83999"/>
    <w:multiLevelType w:val="hybridMultilevel"/>
    <w:tmpl w:val="D2E08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944"/>
    <w:rsid w:val="00015EF9"/>
    <w:rsid w:val="00026F78"/>
    <w:rsid w:val="00027423"/>
    <w:rsid w:val="00031A7D"/>
    <w:rsid w:val="00036D44"/>
    <w:rsid w:val="000714B6"/>
    <w:rsid w:val="00082E8F"/>
    <w:rsid w:val="00086215"/>
    <w:rsid w:val="000864AC"/>
    <w:rsid w:val="000B094C"/>
    <w:rsid w:val="000D0864"/>
    <w:rsid w:val="000D198F"/>
    <w:rsid w:val="000E01BE"/>
    <w:rsid w:val="000E41DD"/>
    <w:rsid w:val="000F27C0"/>
    <w:rsid w:val="000F6A7C"/>
    <w:rsid w:val="00112878"/>
    <w:rsid w:val="001165CD"/>
    <w:rsid w:val="00127264"/>
    <w:rsid w:val="001347E1"/>
    <w:rsid w:val="00144562"/>
    <w:rsid w:val="00156A51"/>
    <w:rsid w:val="00160158"/>
    <w:rsid w:val="00175030"/>
    <w:rsid w:val="0017777A"/>
    <w:rsid w:val="00183402"/>
    <w:rsid w:val="00186C34"/>
    <w:rsid w:val="0019117E"/>
    <w:rsid w:val="00196A45"/>
    <w:rsid w:val="001A36C3"/>
    <w:rsid w:val="001B35AC"/>
    <w:rsid w:val="001B3D7C"/>
    <w:rsid w:val="001B4E8B"/>
    <w:rsid w:val="001F34BA"/>
    <w:rsid w:val="0020288A"/>
    <w:rsid w:val="0022374A"/>
    <w:rsid w:val="002400DA"/>
    <w:rsid w:val="00253B91"/>
    <w:rsid w:val="00261224"/>
    <w:rsid w:val="002729FC"/>
    <w:rsid w:val="00284E03"/>
    <w:rsid w:val="002A5C65"/>
    <w:rsid w:val="002A5EDE"/>
    <w:rsid w:val="002B77AA"/>
    <w:rsid w:val="002C2AC3"/>
    <w:rsid w:val="002E0396"/>
    <w:rsid w:val="002E672C"/>
    <w:rsid w:val="00311603"/>
    <w:rsid w:val="0031441E"/>
    <w:rsid w:val="0036019D"/>
    <w:rsid w:val="00361DD1"/>
    <w:rsid w:val="00363636"/>
    <w:rsid w:val="00386E54"/>
    <w:rsid w:val="00396465"/>
    <w:rsid w:val="003A5A53"/>
    <w:rsid w:val="003D137A"/>
    <w:rsid w:val="00411078"/>
    <w:rsid w:val="00446FA3"/>
    <w:rsid w:val="00451DBB"/>
    <w:rsid w:val="00452635"/>
    <w:rsid w:val="00474EAB"/>
    <w:rsid w:val="00485A53"/>
    <w:rsid w:val="00495883"/>
    <w:rsid w:val="004963B4"/>
    <w:rsid w:val="004B1CA6"/>
    <w:rsid w:val="004B6F25"/>
    <w:rsid w:val="004D3F08"/>
    <w:rsid w:val="004D73C7"/>
    <w:rsid w:val="004F11A3"/>
    <w:rsid w:val="004F21CB"/>
    <w:rsid w:val="004F2C2F"/>
    <w:rsid w:val="005243C1"/>
    <w:rsid w:val="00526902"/>
    <w:rsid w:val="005335A1"/>
    <w:rsid w:val="00535CAB"/>
    <w:rsid w:val="00544827"/>
    <w:rsid w:val="00545174"/>
    <w:rsid w:val="0055290A"/>
    <w:rsid w:val="00557B71"/>
    <w:rsid w:val="00561B98"/>
    <w:rsid w:val="0059159A"/>
    <w:rsid w:val="005A35DA"/>
    <w:rsid w:val="005A573B"/>
    <w:rsid w:val="005A61C3"/>
    <w:rsid w:val="005B728F"/>
    <w:rsid w:val="005C0E80"/>
    <w:rsid w:val="005E262E"/>
    <w:rsid w:val="0061131B"/>
    <w:rsid w:val="00625C7C"/>
    <w:rsid w:val="0063539A"/>
    <w:rsid w:val="00640BDC"/>
    <w:rsid w:val="00646CC1"/>
    <w:rsid w:val="0064797F"/>
    <w:rsid w:val="00675494"/>
    <w:rsid w:val="00684F3C"/>
    <w:rsid w:val="00690471"/>
    <w:rsid w:val="00697C85"/>
    <w:rsid w:val="006D3277"/>
    <w:rsid w:val="006D3944"/>
    <w:rsid w:val="007103E2"/>
    <w:rsid w:val="00713515"/>
    <w:rsid w:val="00713647"/>
    <w:rsid w:val="00726210"/>
    <w:rsid w:val="00726503"/>
    <w:rsid w:val="0073271B"/>
    <w:rsid w:val="00742D5F"/>
    <w:rsid w:val="00742F6D"/>
    <w:rsid w:val="00743D6B"/>
    <w:rsid w:val="00767E52"/>
    <w:rsid w:val="00767EE4"/>
    <w:rsid w:val="00770F1E"/>
    <w:rsid w:val="00774B67"/>
    <w:rsid w:val="007775BA"/>
    <w:rsid w:val="00782299"/>
    <w:rsid w:val="00785A05"/>
    <w:rsid w:val="00793CFA"/>
    <w:rsid w:val="00797937"/>
    <w:rsid w:val="007B41FB"/>
    <w:rsid w:val="007C59C2"/>
    <w:rsid w:val="007E0D17"/>
    <w:rsid w:val="007F49CE"/>
    <w:rsid w:val="007F7264"/>
    <w:rsid w:val="007F743C"/>
    <w:rsid w:val="00800643"/>
    <w:rsid w:val="008255FF"/>
    <w:rsid w:val="00854E27"/>
    <w:rsid w:val="008608AA"/>
    <w:rsid w:val="00863436"/>
    <w:rsid w:val="008928AB"/>
    <w:rsid w:val="008A0A6C"/>
    <w:rsid w:val="008C6818"/>
    <w:rsid w:val="008D2FE0"/>
    <w:rsid w:val="008E7FFD"/>
    <w:rsid w:val="00911385"/>
    <w:rsid w:val="00936371"/>
    <w:rsid w:val="00961770"/>
    <w:rsid w:val="00972BED"/>
    <w:rsid w:val="00985B15"/>
    <w:rsid w:val="00996D1E"/>
    <w:rsid w:val="009A2315"/>
    <w:rsid w:val="009B32B6"/>
    <w:rsid w:val="009C588A"/>
    <w:rsid w:val="009F01B3"/>
    <w:rsid w:val="009F4974"/>
    <w:rsid w:val="009F5434"/>
    <w:rsid w:val="009F730E"/>
    <w:rsid w:val="00A03254"/>
    <w:rsid w:val="00A4486A"/>
    <w:rsid w:val="00A44FB4"/>
    <w:rsid w:val="00A61E7E"/>
    <w:rsid w:val="00A74943"/>
    <w:rsid w:val="00A74F76"/>
    <w:rsid w:val="00A82F3B"/>
    <w:rsid w:val="00A95966"/>
    <w:rsid w:val="00AA5450"/>
    <w:rsid w:val="00AC49DF"/>
    <w:rsid w:val="00AD26C3"/>
    <w:rsid w:val="00B0096D"/>
    <w:rsid w:val="00B07739"/>
    <w:rsid w:val="00B30F76"/>
    <w:rsid w:val="00B47A17"/>
    <w:rsid w:val="00B65B4C"/>
    <w:rsid w:val="00B8447E"/>
    <w:rsid w:val="00B94307"/>
    <w:rsid w:val="00BA1AE2"/>
    <w:rsid w:val="00BA215F"/>
    <w:rsid w:val="00BB7A90"/>
    <w:rsid w:val="00BC24FA"/>
    <w:rsid w:val="00BD1F5A"/>
    <w:rsid w:val="00BD292E"/>
    <w:rsid w:val="00BD4734"/>
    <w:rsid w:val="00BF5AF4"/>
    <w:rsid w:val="00C1372A"/>
    <w:rsid w:val="00C413C0"/>
    <w:rsid w:val="00C41702"/>
    <w:rsid w:val="00C51AC1"/>
    <w:rsid w:val="00C54B79"/>
    <w:rsid w:val="00C67740"/>
    <w:rsid w:val="00C7334A"/>
    <w:rsid w:val="00C844A4"/>
    <w:rsid w:val="00CA4082"/>
    <w:rsid w:val="00CC4740"/>
    <w:rsid w:val="00CF0C2C"/>
    <w:rsid w:val="00D0752B"/>
    <w:rsid w:val="00D25ED4"/>
    <w:rsid w:val="00D30C84"/>
    <w:rsid w:val="00D406ED"/>
    <w:rsid w:val="00D46D74"/>
    <w:rsid w:val="00D529E2"/>
    <w:rsid w:val="00D55AC1"/>
    <w:rsid w:val="00D631D6"/>
    <w:rsid w:val="00D63F74"/>
    <w:rsid w:val="00D645E0"/>
    <w:rsid w:val="00D9013D"/>
    <w:rsid w:val="00D9100D"/>
    <w:rsid w:val="00D92094"/>
    <w:rsid w:val="00D92E64"/>
    <w:rsid w:val="00E015D8"/>
    <w:rsid w:val="00E25EFC"/>
    <w:rsid w:val="00E37978"/>
    <w:rsid w:val="00E568B7"/>
    <w:rsid w:val="00E633D2"/>
    <w:rsid w:val="00E6567F"/>
    <w:rsid w:val="00E770BF"/>
    <w:rsid w:val="00E87FDA"/>
    <w:rsid w:val="00E97305"/>
    <w:rsid w:val="00E97CBE"/>
    <w:rsid w:val="00EA4BC4"/>
    <w:rsid w:val="00EC2EA6"/>
    <w:rsid w:val="00EC3415"/>
    <w:rsid w:val="00ED320E"/>
    <w:rsid w:val="00EE4374"/>
    <w:rsid w:val="00EF7417"/>
    <w:rsid w:val="00F044D3"/>
    <w:rsid w:val="00F130D9"/>
    <w:rsid w:val="00F1680F"/>
    <w:rsid w:val="00F1759E"/>
    <w:rsid w:val="00F24C46"/>
    <w:rsid w:val="00F41A44"/>
    <w:rsid w:val="00F5302A"/>
    <w:rsid w:val="00F54D40"/>
    <w:rsid w:val="00F7306E"/>
    <w:rsid w:val="00F750A1"/>
    <w:rsid w:val="00F8044E"/>
    <w:rsid w:val="00F85ECE"/>
    <w:rsid w:val="00FB15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6B79FF"/>
  <w15:chartTrackingRefBased/>
  <w15:docId w15:val="{BE9E43F2-1CC6-BC4A-8B07-03044C9275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394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D3944"/>
    <w:rPr>
      <w:rFonts w:eastAsiaTheme="minorHAnsi"/>
      <w:sz w:val="18"/>
      <w:szCs w:val="18"/>
    </w:rPr>
  </w:style>
  <w:style w:type="character" w:customStyle="1" w:styleId="BalloonTextChar">
    <w:name w:val="Balloon Text Char"/>
    <w:basedOn w:val="DefaultParagraphFont"/>
    <w:link w:val="BalloonText"/>
    <w:uiPriority w:val="99"/>
    <w:semiHidden/>
    <w:rsid w:val="006D3944"/>
    <w:rPr>
      <w:rFonts w:ascii="Times New Roman" w:hAnsi="Times New Roman" w:cs="Times New Roman"/>
      <w:sz w:val="18"/>
      <w:szCs w:val="18"/>
    </w:rPr>
  </w:style>
  <w:style w:type="paragraph" w:customStyle="1" w:styleId="paragraph">
    <w:name w:val="paragraph"/>
    <w:basedOn w:val="Normal"/>
    <w:rsid w:val="006D3944"/>
    <w:pPr>
      <w:spacing w:before="100" w:beforeAutospacing="1" w:after="100" w:afterAutospacing="1"/>
    </w:pPr>
    <w:rPr>
      <w:lang w:eastAsia="en-GB"/>
    </w:rPr>
  </w:style>
  <w:style w:type="character" w:customStyle="1" w:styleId="normaltextrun">
    <w:name w:val="normaltextrun"/>
    <w:basedOn w:val="DefaultParagraphFont"/>
    <w:rsid w:val="006D3944"/>
  </w:style>
  <w:style w:type="paragraph" w:styleId="Caption">
    <w:name w:val="caption"/>
    <w:basedOn w:val="Normal"/>
    <w:next w:val="Normal"/>
    <w:uiPriority w:val="35"/>
    <w:unhideWhenUsed/>
    <w:qFormat/>
    <w:rsid w:val="006D3944"/>
    <w:pPr>
      <w:spacing w:after="200"/>
    </w:pPr>
    <w:rPr>
      <w:rFonts w:asciiTheme="minorHAnsi" w:eastAsiaTheme="minorHAnsi" w:hAnsiTheme="minorHAnsi" w:cstheme="minorBidi"/>
      <w:i/>
      <w:iCs/>
      <w:color w:val="44546A" w:themeColor="text2"/>
      <w:sz w:val="18"/>
      <w:szCs w:val="18"/>
      <w:lang w:val="en-US"/>
    </w:rPr>
  </w:style>
  <w:style w:type="character" w:styleId="CommentReference">
    <w:name w:val="annotation reference"/>
    <w:basedOn w:val="DefaultParagraphFont"/>
    <w:uiPriority w:val="99"/>
    <w:semiHidden/>
    <w:unhideWhenUsed/>
    <w:rsid w:val="006D3944"/>
    <w:rPr>
      <w:sz w:val="16"/>
      <w:szCs w:val="16"/>
    </w:rPr>
  </w:style>
  <w:style w:type="paragraph" w:styleId="CommentText">
    <w:name w:val="annotation text"/>
    <w:basedOn w:val="Normal"/>
    <w:link w:val="CommentTextChar"/>
    <w:uiPriority w:val="99"/>
    <w:semiHidden/>
    <w:unhideWhenUsed/>
    <w:rsid w:val="006D3944"/>
    <w:rPr>
      <w:sz w:val="20"/>
      <w:szCs w:val="20"/>
      <w:lang w:eastAsia="en-GB"/>
    </w:rPr>
  </w:style>
  <w:style w:type="character" w:customStyle="1" w:styleId="CommentTextChar">
    <w:name w:val="Comment Text Char"/>
    <w:basedOn w:val="DefaultParagraphFont"/>
    <w:link w:val="CommentText"/>
    <w:uiPriority w:val="99"/>
    <w:semiHidden/>
    <w:rsid w:val="006D3944"/>
    <w:rPr>
      <w:rFonts w:ascii="Times New Roman" w:eastAsia="Times New Roman" w:hAnsi="Times New Roman" w:cs="Times New Roman"/>
      <w:sz w:val="20"/>
      <w:szCs w:val="20"/>
      <w:lang w:eastAsia="en-GB"/>
    </w:rPr>
  </w:style>
  <w:style w:type="table" w:styleId="GridTable1Light-Accent3">
    <w:name w:val="Grid Table 1 Light Accent 3"/>
    <w:basedOn w:val="TableNormal"/>
    <w:uiPriority w:val="46"/>
    <w:rsid w:val="00D63F74"/>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Bibliography">
    <w:name w:val="Bibliography"/>
    <w:basedOn w:val="Normal"/>
    <w:next w:val="Normal"/>
    <w:uiPriority w:val="37"/>
    <w:unhideWhenUsed/>
    <w:rsid w:val="002E0396"/>
    <w:pPr>
      <w:tabs>
        <w:tab w:val="left" w:pos="140"/>
        <w:tab w:val="left" w:pos="380"/>
      </w:tabs>
      <w:spacing w:after="240"/>
      <w:ind w:left="384" w:hanging="384"/>
    </w:pPr>
  </w:style>
  <w:style w:type="paragraph" w:styleId="Revision">
    <w:name w:val="Revision"/>
    <w:hidden/>
    <w:uiPriority w:val="99"/>
    <w:semiHidden/>
    <w:rsid w:val="00561B98"/>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502490">
      <w:bodyDiv w:val="1"/>
      <w:marLeft w:val="0"/>
      <w:marRight w:val="0"/>
      <w:marTop w:val="0"/>
      <w:marBottom w:val="0"/>
      <w:divBdr>
        <w:top w:val="none" w:sz="0" w:space="0" w:color="auto"/>
        <w:left w:val="none" w:sz="0" w:space="0" w:color="auto"/>
        <w:bottom w:val="none" w:sz="0" w:space="0" w:color="auto"/>
        <w:right w:val="none" w:sz="0" w:space="0" w:color="auto"/>
      </w:divBdr>
    </w:div>
    <w:div w:id="143552264">
      <w:bodyDiv w:val="1"/>
      <w:marLeft w:val="0"/>
      <w:marRight w:val="0"/>
      <w:marTop w:val="0"/>
      <w:marBottom w:val="0"/>
      <w:divBdr>
        <w:top w:val="none" w:sz="0" w:space="0" w:color="auto"/>
        <w:left w:val="none" w:sz="0" w:space="0" w:color="auto"/>
        <w:bottom w:val="none" w:sz="0" w:space="0" w:color="auto"/>
        <w:right w:val="none" w:sz="0" w:space="0" w:color="auto"/>
      </w:divBdr>
    </w:div>
    <w:div w:id="199123693">
      <w:bodyDiv w:val="1"/>
      <w:marLeft w:val="0"/>
      <w:marRight w:val="0"/>
      <w:marTop w:val="0"/>
      <w:marBottom w:val="0"/>
      <w:divBdr>
        <w:top w:val="none" w:sz="0" w:space="0" w:color="auto"/>
        <w:left w:val="none" w:sz="0" w:space="0" w:color="auto"/>
        <w:bottom w:val="none" w:sz="0" w:space="0" w:color="auto"/>
        <w:right w:val="none" w:sz="0" w:space="0" w:color="auto"/>
      </w:divBdr>
    </w:div>
    <w:div w:id="268853471">
      <w:bodyDiv w:val="1"/>
      <w:marLeft w:val="0"/>
      <w:marRight w:val="0"/>
      <w:marTop w:val="0"/>
      <w:marBottom w:val="0"/>
      <w:divBdr>
        <w:top w:val="none" w:sz="0" w:space="0" w:color="auto"/>
        <w:left w:val="none" w:sz="0" w:space="0" w:color="auto"/>
        <w:bottom w:val="none" w:sz="0" w:space="0" w:color="auto"/>
        <w:right w:val="none" w:sz="0" w:space="0" w:color="auto"/>
      </w:divBdr>
    </w:div>
    <w:div w:id="314796208">
      <w:bodyDiv w:val="1"/>
      <w:marLeft w:val="0"/>
      <w:marRight w:val="0"/>
      <w:marTop w:val="0"/>
      <w:marBottom w:val="0"/>
      <w:divBdr>
        <w:top w:val="none" w:sz="0" w:space="0" w:color="auto"/>
        <w:left w:val="none" w:sz="0" w:space="0" w:color="auto"/>
        <w:bottom w:val="none" w:sz="0" w:space="0" w:color="auto"/>
        <w:right w:val="none" w:sz="0" w:space="0" w:color="auto"/>
      </w:divBdr>
    </w:div>
    <w:div w:id="317618790">
      <w:bodyDiv w:val="1"/>
      <w:marLeft w:val="0"/>
      <w:marRight w:val="0"/>
      <w:marTop w:val="0"/>
      <w:marBottom w:val="0"/>
      <w:divBdr>
        <w:top w:val="none" w:sz="0" w:space="0" w:color="auto"/>
        <w:left w:val="none" w:sz="0" w:space="0" w:color="auto"/>
        <w:bottom w:val="none" w:sz="0" w:space="0" w:color="auto"/>
        <w:right w:val="none" w:sz="0" w:space="0" w:color="auto"/>
      </w:divBdr>
    </w:div>
    <w:div w:id="391193903">
      <w:bodyDiv w:val="1"/>
      <w:marLeft w:val="0"/>
      <w:marRight w:val="0"/>
      <w:marTop w:val="0"/>
      <w:marBottom w:val="0"/>
      <w:divBdr>
        <w:top w:val="none" w:sz="0" w:space="0" w:color="auto"/>
        <w:left w:val="none" w:sz="0" w:space="0" w:color="auto"/>
        <w:bottom w:val="none" w:sz="0" w:space="0" w:color="auto"/>
        <w:right w:val="none" w:sz="0" w:space="0" w:color="auto"/>
      </w:divBdr>
    </w:div>
    <w:div w:id="575820542">
      <w:bodyDiv w:val="1"/>
      <w:marLeft w:val="0"/>
      <w:marRight w:val="0"/>
      <w:marTop w:val="0"/>
      <w:marBottom w:val="0"/>
      <w:divBdr>
        <w:top w:val="none" w:sz="0" w:space="0" w:color="auto"/>
        <w:left w:val="none" w:sz="0" w:space="0" w:color="auto"/>
        <w:bottom w:val="none" w:sz="0" w:space="0" w:color="auto"/>
        <w:right w:val="none" w:sz="0" w:space="0" w:color="auto"/>
      </w:divBdr>
    </w:div>
    <w:div w:id="782383659">
      <w:bodyDiv w:val="1"/>
      <w:marLeft w:val="0"/>
      <w:marRight w:val="0"/>
      <w:marTop w:val="0"/>
      <w:marBottom w:val="0"/>
      <w:divBdr>
        <w:top w:val="none" w:sz="0" w:space="0" w:color="auto"/>
        <w:left w:val="none" w:sz="0" w:space="0" w:color="auto"/>
        <w:bottom w:val="none" w:sz="0" w:space="0" w:color="auto"/>
        <w:right w:val="none" w:sz="0" w:space="0" w:color="auto"/>
      </w:divBdr>
    </w:div>
    <w:div w:id="826552151">
      <w:bodyDiv w:val="1"/>
      <w:marLeft w:val="0"/>
      <w:marRight w:val="0"/>
      <w:marTop w:val="0"/>
      <w:marBottom w:val="0"/>
      <w:divBdr>
        <w:top w:val="none" w:sz="0" w:space="0" w:color="auto"/>
        <w:left w:val="none" w:sz="0" w:space="0" w:color="auto"/>
        <w:bottom w:val="none" w:sz="0" w:space="0" w:color="auto"/>
        <w:right w:val="none" w:sz="0" w:space="0" w:color="auto"/>
      </w:divBdr>
    </w:div>
    <w:div w:id="834613380">
      <w:bodyDiv w:val="1"/>
      <w:marLeft w:val="0"/>
      <w:marRight w:val="0"/>
      <w:marTop w:val="0"/>
      <w:marBottom w:val="0"/>
      <w:divBdr>
        <w:top w:val="none" w:sz="0" w:space="0" w:color="auto"/>
        <w:left w:val="none" w:sz="0" w:space="0" w:color="auto"/>
        <w:bottom w:val="none" w:sz="0" w:space="0" w:color="auto"/>
        <w:right w:val="none" w:sz="0" w:space="0" w:color="auto"/>
      </w:divBdr>
    </w:div>
    <w:div w:id="892547715">
      <w:bodyDiv w:val="1"/>
      <w:marLeft w:val="0"/>
      <w:marRight w:val="0"/>
      <w:marTop w:val="0"/>
      <w:marBottom w:val="0"/>
      <w:divBdr>
        <w:top w:val="none" w:sz="0" w:space="0" w:color="auto"/>
        <w:left w:val="none" w:sz="0" w:space="0" w:color="auto"/>
        <w:bottom w:val="none" w:sz="0" w:space="0" w:color="auto"/>
        <w:right w:val="none" w:sz="0" w:space="0" w:color="auto"/>
      </w:divBdr>
    </w:div>
    <w:div w:id="1013646647">
      <w:bodyDiv w:val="1"/>
      <w:marLeft w:val="0"/>
      <w:marRight w:val="0"/>
      <w:marTop w:val="0"/>
      <w:marBottom w:val="0"/>
      <w:divBdr>
        <w:top w:val="none" w:sz="0" w:space="0" w:color="auto"/>
        <w:left w:val="none" w:sz="0" w:space="0" w:color="auto"/>
        <w:bottom w:val="none" w:sz="0" w:space="0" w:color="auto"/>
        <w:right w:val="none" w:sz="0" w:space="0" w:color="auto"/>
      </w:divBdr>
    </w:div>
    <w:div w:id="1039354651">
      <w:bodyDiv w:val="1"/>
      <w:marLeft w:val="0"/>
      <w:marRight w:val="0"/>
      <w:marTop w:val="0"/>
      <w:marBottom w:val="0"/>
      <w:divBdr>
        <w:top w:val="none" w:sz="0" w:space="0" w:color="auto"/>
        <w:left w:val="none" w:sz="0" w:space="0" w:color="auto"/>
        <w:bottom w:val="none" w:sz="0" w:space="0" w:color="auto"/>
        <w:right w:val="none" w:sz="0" w:space="0" w:color="auto"/>
      </w:divBdr>
    </w:div>
    <w:div w:id="1067263456">
      <w:bodyDiv w:val="1"/>
      <w:marLeft w:val="0"/>
      <w:marRight w:val="0"/>
      <w:marTop w:val="0"/>
      <w:marBottom w:val="0"/>
      <w:divBdr>
        <w:top w:val="none" w:sz="0" w:space="0" w:color="auto"/>
        <w:left w:val="none" w:sz="0" w:space="0" w:color="auto"/>
        <w:bottom w:val="none" w:sz="0" w:space="0" w:color="auto"/>
        <w:right w:val="none" w:sz="0" w:space="0" w:color="auto"/>
      </w:divBdr>
    </w:div>
    <w:div w:id="1159463858">
      <w:bodyDiv w:val="1"/>
      <w:marLeft w:val="0"/>
      <w:marRight w:val="0"/>
      <w:marTop w:val="0"/>
      <w:marBottom w:val="0"/>
      <w:divBdr>
        <w:top w:val="none" w:sz="0" w:space="0" w:color="auto"/>
        <w:left w:val="none" w:sz="0" w:space="0" w:color="auto"/>
        <w:bottom w:val="none" w:sz="0" w:space="0" w:color="auto"/>
        <w:right w:val="none" w:sz="0" w:space="0" w:color="auto"/>
      </w:divBdr>
    </w:div>
    <w:div w:id="1244535141">
      <w:bodyDiv w:val="1"/>
      <w:marLeft w:val="0"/>
      <w:marRight w:val="0"/>
      <w:marTop w:val="0"/>
      <w:marBottom w:val="0"/>
      <w:divBdr>
        <w:top w:val="none" w:sz="0" w:space="0" w:color="auto"/>
        <w:left w:val="none" w:sz="0" w:space="0" w:color="auto"/>
        <w:bottom w:val="none" w:sz="0" w:space="0" w:color="auto"/>
        <w:right w:val="none" w:sz="0" w:space="0" w:color="auto"/>
      </w:divBdr>
    </w:div>
    <w:div w:id="1343627096">
      <w:bodyDiv w:val="1"/>
      <w:marLeft w:val="0"/>
      <w:marRight w:val="0"/>
      <w:marTop w:val="0"/>
      <w:marBottom w:val="0"/>
      <w:divBdr>
        <w:top w:val="none" w:sz="0" w:space="0" w:color="auto"/>
        <w:left w:val="none" w:sz="0" w:space="0" w:color="auto"/>
        <w:bottom w:val="none" w:sz="0" w:space="0" w:color="auto"/>
        <w:right w:val="none" w:sz="0" w:space="0" w:color="auto"/>
      </w:divBdr>
    </w:div>
    <w:div w:id="1355616359">
      <w:bodyDiv w:val="1"/>
      <w:marLeft w:val="0"/>
      <w:marRight w:val="0"/>
      <w:marTop w:val="0"/>
      <w:marBottom w:val="0"/>
      <w:divBdr>
        <w:top w:val="none" w:sz="0" w:space="0" w:color="auto"/>
        <w:left w:val="none" w:sz="0" w:space="0" w:color="auto"/>
        <w:bottom w:val="none" w:sz="0" w:space="0" w:color="auto"/>
        <w:right w:val="none" w:sz="0" w:space="0" w:color="auto"/>
      </w:divBdr>
    </w:div>
    <w:div w:id="1509714910">
      <w:bodyDiv w:val="1"/>
      <w:marLeft w:val="0"/>
      <w:marRight w:val="0"/>
      <w:marTop w:val="0"/>
      <w:marBottom w:val="0"/>
      <w:divBdr>
        <w:top w:val="none" w:sz="0" w:space="0" w:color="auto"/>
        <w:left w:val="none" w:sz="0" w:space="0" w:color="auto"/>
        <w:bottom w:val="none" w:sz="0" w:space="0" w:color="auto"/>
        <w:right w:val="none" w:sz="0" w:space="0" w:color="auto"/>
      </w:divBdr>
    </w:div>
    <w:div w:id="1579168460">
      <w:bodyDiv w:val="1"/>
      <w:marLeft w:val="0"/>
      <w:marRight w:val="0"/>
      <w:marTop w:val="0"/>
      <w:marBottom w:val="0"/>
      <w:divBdr>
        <w:top w:val="none" w:sz="0" w:space="0" w:color="auto"/>
        <w:left w:val="none" w:sz="0" w:space="0" w:color="auto"/>
        <w:bottom w:val="none" w:sz="0" w:space="0" w:color="auto"/>
        <w:right w:val="none" w:sz="0" w:space="0" w:color="auto"/>
      </w:divBdr>
    </w:div>
    <w:div w:id="1602102472">
      <w:bodyDiv w:val="1"/>
      <w:marLeft w:val="0"/>
      <w:marRight w:val="0"/>
      <w:marTop w:val="0"/>
      <w:marBottom w:val="0"/>
      <w:divBdr>
        <w:top w:val="none" w:sz="0" w:space="0" w:color="auto"/>
        <w:left w:val="none" w:sz="0" w:space="0" w:color="auto"/>
        <w:bottom w:val="none" w:sz="0" w:space="0" w:color="auto"/>
        <w:right w:val="none" w:sz="0" w:space="0" w:color="auto"/>
      </w:divBdr>
    </w:div>
    <w:div w:id="1783526205">
      <w:bodyDiv w:val="1"/>
      <w:marLeft w:val="0"/>
      <w:marRight w:val="0"/>
      <w:marTop w:val="0"/>
      <w:marBottom w:val="0"/>
      <w:divBdr>
        <w:top w:val="none" w:sz="0" w:space="0" w:color="auto"/>
        <w:left w:val="none" w:sz="0" w:space="0" w:color="auto"/>
        <w:bottom w:val="none" w:sz="0" w:space="0" w:color="auto"/>
        <w:right w:val="none" w:sz="0" w:space="0" w:color="auto"/>
      </w:divBdr>
    </w:div>
    <w:div w:id="1907259795">
      <w:bodyDiv w:val="1"/>
      <w:marLeft w:val="0"/>
      <w:marRight w:val="0"/>
      <w:marTop w:val="0"/>
      <w:marBottom w:val="0"/>
      <w:divBdr>
        <w:top w:val="none" w:sz="0" w:space="0" w:color="auto"/>
        <w:left w:val="none" w:sz="0" w:space="0" w:color="auto"/>
        <w:bottom w:val="none" w:sz="0" w:space="0" w:color="auto"/>
        <w:right w:val="none" w:sz="0" w:space="0" w:color="auto"/>
      </w:divBdr>
    </w:div>
    <w:div w:id="1933316389">
      <w:bodyDiv w:val="1"/>
      <w:marLeft w:val="0"/>
      <w:marRight w:val="0"/>
      <w:marTop w:val="0"/>
      <w:marBottom w:val="0"/>
      <w:divBdr>
        <w:top w:val="none" w:sz="0" w:space="0" w:color="auto"/>
        <w:left w:val="none" w:sz="0" w:space="0" w:color="auto"/>
        <w:bottom w:val="none" w:sz="0" w:space="0" w:color="auto"/>
        <w:right w:val="none" w:sz="0" w:space="0" w:color="auto"/>
      </w:divBdr>
    </w:div>
    <w:div w:id="2010207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emf"/><Relationship Id="rId5" Type="http://schemas.openxmlformats.org/officeDocument/2006/relationships/image" Target="media/image1.tif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162</TotalTime>
  <Pages>14</Pages>
  <Words>2665</Words>
  <Characters>15192</Characters>
  <Application>Microsoft Office Word</Application>
  <DocSecurity>0</DocSecurity>
  <Lines>126</Lines>
  <Paragraphs>35</Paragraphs>
  <ScaleCrop>false</ScaleCrop>
  <Company/>
  <LinksUpToDate>false</LinksUpToDate>
  <CharactersWithSpaces>17822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Perez Guzman, Pablo Noel</dc:creator>
  <cp:keywords/>
  <dc:description/>
  <cp:lastModifiedBy>Perez Guzman, Pablo Noel</cp:lastModifiedBy>
  <cp:revision>229</cp:revision>
  <dcterms:created xsi:type="dcterms:W3CDTF">2020-04-28T17:23:00Z</dcterms:created>
  <dcterms:modified xsi:type="dcterms:W3CDTF">2020-06-26T16:55:00Z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zotero-version="5.0.85"&gt;&lt;session id="x7i9pQjh"/&gt;&lt;style id="http://www.zotero.org/styles/clinical-infectious-diseases" hasBibliography="1" bibliographyStyleHasBeenSet="1"/&gt;&lt;prefs&gt;&lt;pref name="fieldType" value="Field"/&gt;&lt;/prefs&gt;&lt;/data&gt;</vt:lpwstr>
  </property>
</Properties>
</file>