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C735" w14:textId="4CBD3688" w:rsidR="00A25BDD" w:rsidRPr="006B266B" w:rsidRDefault="0011202C" w:rsidP="00E5653D">
      <w:pPr>
        <w:spacing w:line="360" w:lineRule="auto"/>
        <w:rPr>
          <w:rFonts w:cstheme="minorHAnsi"/>
          <w:b/>
          <w:bCs/>
        </w:rPr>
      </w:pPr>
      <w:r w:rsidRPr="006B266B">
        <w:rPr>
          <w:rFonts w:cstheme="minorHAnsi"/>
          <w:b/>
          <w:bCs/>
        </w:rPr>
        <w:t xml:space="preserve">Healthcare provision </w:t>
      </w:r>
      <w:r w:rsidR="00617E79" w:rsidRPr="006B266B">
        <w:rPr>
          <w:rFonts w:cstheme="minorHAnsi"/>
          <w:b/>
          <w:bCs/>
        </w:rPr>
        <w:t>for</w:t>
      </w:r>
      <w:r w:rsidRPr="006B266B">
        <w:rPr>
          <w:rFonts w:cstheme="minorHAnsi"/>
          <w:b/>
          <w:bCs/>
        </w:rPr>
        <w:t xml:space="preserve"> </w:t>
      </w:r>
      <w:r w:rsidR="00601146" w:rsidRPr="006B266B">
        <w:rPr>
          <w:rFonts w:cstheme="minorHAnsi"/>
          <w:b/>
          <w:bCs/>
        </w:rPr>
        <w:t>displaced populations arriving from</w:t>
      </w:r>
      <w:r w:rsidR="00BC609A" w:rsidRPr="006B266B">
        <w:rPr>
          <w:rFonts w:cstheme="minorHAnsi"/>
          <w:b/>
          <w:bCs/>
        </w:rPr>
        <w:t xml:space="preserve"> </w:t>
      </w:r>
      <w:r w:rsidRPr="006B266B">
        <w:rPr>
          <w:rFonts w:cstheme="minorHAnsi"/>
          <w:b/>
          <w:bCs/>
        </w:rPr>
        <w:t>Ukrain</w:t>
      </w:r>
      <w:r w:rsidR="00BC609A" w:rsidRPr="006B266B">
        <w:rPr>
          <w:rFonts w:cstheme="minorHAnsi"/>
          <w:b/>
          <w:bCs/>
        </w:rPr>
        <w:t xml:space="preserve">e </w:t>
      </w:r>
    </w:p>
    <w:p w14:paraId="21A7281C" w14:textId="70D89711" w:rsidR="005A3297" w:rsidRPr="00E5653D" w:rsidRDefault="005A3297" w:rsidP="00E5653D">
      <w:pPr>
        <w:pStyle w:val="Body"/>
        <w:spacing w:before="100" w:after="100" w:line="360" w:lineRule="auto"/>
        <w:rPr>
          <w:rFonts w:asciiTheme="minorHAnsi" w:hAnsiTheme="minorHAnsi" w:cstheme="minorHAnsi"/>
          <w:lang w:val="en-US"/>
        </w:rPr>
      </w:pPr>
      <w:r w:rsidRPr="00E5653D">
        <w:rPr>
          <w:rFonts w:asciiTheme="minorHAnsi" w:hAnsiTheme="minorHAnsi" w:cstheme="minorHAnsi"/>
        </w:rPr>
        <w:t>Alena Kamenshchikova</w:t>
      </w:r>
      <w:r w:rsidRPr="00E5653D">
        <w:rPr>
          <w:rFonts w:cstheme="minorHAnsi"/>
          <w:vertAlign w:val="superscript"/>
        </w:rPr>
        <w:t xml:space="preserve"> 1,2</w:t>
      </w:r>
      <w:r w:rsidRPr="00E5653D">
        <w:rPr>
          <w:rFonts w:asciiTheme="minorHAnsi" w:hAnsiTheme="minorHAnsi" w:cstheme="minorHAnsi"/>
        </w:rPr>
        <w:t>, Ioana Margineau</w:t>
      </w:r>
      <w:r w:rsidRPr="00E5653D">
        <w:rPr>
          <w:rFonts w:cstheme="minorHAnsi"/>
          <w:vertAlign w:val="superscript"/>
        </w:rPr>
        <w:t>3</w:t>
      </w:r>
      <w:r w:rsidRPr="00E5653D">
        <w:rPr>
          <w:rFonts w:asciiTheme="minorHAnsi" w:hAnsiTheme="minorHAnsi" w:cstheme="minorHAnsi"/>
        </w:rPr>
        <w:t>, Shazia Munir</w:t>
      </w:r>
      <w:r w:rsidR="00617E79" w:rsidRPr="00E5653D">
        <w:rPr>
          <w:rFonts w:cstheme="minorHAnsi"/>
          <w:vertAlign w:val="superscript"/>
        </w:rPr>
        <w:t>4</w:t>
      </w:r>
      <w:r w:rsidRPr="00E5653D">
        <w:rPr>
          <w:rFonts w:asciiTheme="minorHAnsi" w:hAnsiTheme="minorHAnsi" w:cstheme="minorHAnsi"/>
        </w:rPr>
        <w:t>, Felicity Knights</w:t>
      </w:r>
      <w:r w:rsidRPr="00E5653D">
        <w:rPr>
          <w:rFonts w:asciiTheme="minorHAnsi" w:hAnsiTheme="minorHAnsi" w:cstheme="minorHAnsi"/>
          <w:vertAlign w:val="superscript"/>
        </w:rPr>
        <w:t>5</w:t>
      </w:r>
      <w:r w:rsidRPr="00E5653D">
        <w:rPr>
          <w:rFonts w:asciiTheme="minorHAnsi" w:hAnsiTheme="minorHAnsi" w:cstheme="minorHAnsi"/>
        </w:rPr>
        <w:t xml:space="preserve">, </w:t>
      </w:r>
      <w:r w:rsidR="00BA40B1">
        <w:rPr>
          <w:rFonts w:asciiTheme="minorHAnsi" w:hAnsiTheme="minorHAnsi" w:cstheme="minorHAnsi"/>
        </w:rPr>
        <w:t>Jessica Carter</w:t>
      </w:r>
      <w:r w:rsidR="00BA40B1" w:rsidRPr="00E5653D">
        <w:rPr>
          <w:rFonts w:asciiTheme="minorHAnsi" w:hAnsiTheme="minorHAnsi" w:cstheme="minorHAnsi"/>
          <w:vertAlign w:val="superscript"/>
        </w:rPr>
        <w:t>5</w:t>
      </w:r>
      <w:r w:rsidR="00BA40B1">
        <w:rPr>
          <w:rFonts w:asciiTheme="minorHAnsi" w:hAnsiTheme="minorHAnsi" w:cstheme="minorHAnsi"/>
        </w:rPr>
        <w:t xml:space="preserve">, </w:t>
      </w:r>
      <w:r w:rsidR="00630F77" w:rsidRPr="00E5653D">
        <w:rPr>
          <w:rFonts w:asciiTheme="minorHAnsi" w:hAnsiTheme="minorHAnsi" w:cstheme="minorHAnsi"/>
        </w:rPr>
        <w:t>Ana Requena</w:t>
      </w:r>
      <w:r w:rsidR="00214CDF">
        <w:rPr>
          <w:rFonts w:cstheme="minorHAnsi"/>
          <w:vertAlign w:val="superscript"/>
        </w:rPr>
        <w:t>6</w:t>
      </w:r>
      <w:r w:rsidR="00630F77" w:rsidRPr="00E5653D">
        <w:rPr>
          <w:rFonts w:asciiTheme="minorHAnsi" w:hAnsiTheme="minorHAnsi" w:cstheme="minorHAnsi"/>
        </w:rPr>
        <w:t xml:space="preserve">, </w:t>
      </w:r>
      <w:r w:rsidR="00687A0B">
        <w:rPr>
          <w:rFonts w:asciiTheme="minorHAnsi" w:hAnsiTheme="minorHAnsi" w:cstheme="minorHAnsi"/>
        </w:rPr>
        <w:t>Yusuf Ciftci</w:t>
      </w:r>
      <w:r w:rsidR="00687A0B">
        <w:rPr>
          <w:rFonts w:cstheme="minorHAnsi"/>
          <w:vertAlign w:val="superscript"/>
        </w:rPr>
        <w:t xml:space="preserve">7, </w:t>
      </w:r>
      <w:r w:rsidR="00630F77" w:rsidRPr="00E5653D">
        <w:rPr>
          <w:rFonts w:asciiTheme="minorHAnsi" w:hAnsiTheme="minorHAnsi" w:cstheme="minorHAnsi"/>
        </w:rPr>
        <w:t>Ros</w:t>
      </w:r>
      <w:r w:rsidR="00056634" w:rsidRPr="00E5653D">
        <w:rPr>
          <w:rFonts w:asciiTheme="minorHAnsi" w:hAnsiTheme="minorHAnsi" w:cstheme="minorHAnsi"/>
        </w:rPr>
        <w:t xml:space="preserve">emary A </w:t>
      </w:r>
      <w:r w:rsidR="00630F77" w:rsidRPr="00E5653D">
        <w:rPr>
          <w:rFonts w:asciiTheme="minorHAnsi" w:hAnsiTheme="minorHAnsi" w:cstheme="minorHAnsi"/>
        </w:rPr>
        <w:t>James</w:t>
      </w:r>
      <w:r w:rsidR="00687A0B">
        <w:rPr>
          <w:rFonts w:cstheme="minorHAnsi"/>
          <w:vertAlign w:val="superscript"/>
        </w:rPr>
        <w:t>8</w:t>
      </w:r>
      <w:r w:rsidR="00630F77" w:rsidRPr="00E5653D">
        <w:rPr>
          <w:rFonts w:asciiTheme="minorHAnsi" w:hAnsiTheme="minorHAnsi" w:cstheme="minorHAnsi"/>
        </w:rPr>
        <w:t xml:space="preserve">, </w:t>
      </w:r>
      <w:r w:rsidR="00056634" w:rsidRPr="00E5653D">
        <w:rPr>
          <w:rFonts w:asciiTheme="minorHAnsi" w:hAnsiTheme="minorHAnsi" w:cstheme="minorHAnsi"/>
        </w:rPr>
        <w:t>Miriam Orcutt</w:t>
      </w:r>
      <w:r w:rsidR="00687A0B">
        <w:rPr>
          <w:rFonts w:cstheme="minorHAnsi"/>
          <w:vertAlign w:val="superscript"/>
        </w:rPr>
        <w:t>9</w:t>
      </w:r>
      <w:r w:rsidR="00056634" w:rsidRPr="00E5653D">
        <w:rPr>
          <w:rFonts w:asciiTheme="minorHAnsi" w:hAnsiTheme="minorHAnsi" w:cstheme="minorHAnsi"/>
        </w:rPr>
        <w:t xml:space="preserve">, </w:t>
      </w:r>
      <w:r w:rsidR="00630F77" w:rsidRPr="00E5653D">
        <w:rPr>
          <w:rFonts w:asciiTheme="minorHAnsi" w:hAnsiTheme="minorHAnsi" w:cstheme="minorHAnsi"/>
        </w:rPr>
        <w:t>Karl Blanchet</w:t>
      </w:r>
      <w:r w:rsidR="00687A0B">
        <w:rPr>
          <w:rFonts w:cstheme="minorHAnsi"/>
          <w:vertAlign w:val="superscript"/>
        </w:rPr>
        <w:t>8</w:t>
      </w:r>
      <w:r w:rsidR="00630F77" w:rsidRPr="00E5653D">
        <w:rPr>
          <w:rFonts w:asciiTheme="minorHAnsi" w:hAnsiTheme="minorHAnsi" w:cstheme="minorHAnsi"/>
        </w:rPr>
        <w:t>,</w:t>
      </w:r>
      <w:r w:rsidR="00BF26C2" w:rsidRPr="00E5653D">
        <w:rPr>
          <w:rFonts w:asciiTheme="minorHAnsi" w:hAnsiTheme="minorHAnsi" w:cstheme="minorHAnsi"/>
        </w:rPr>
        <w:t xml:space="preserve"> Apo</w:t>
      </w:r>
      <w:r w:rsidR="00C10143" w:rsidRPr="00E5653D">
        <w:rPr>
          <w:rFonts w:asciiTheme="minorHAnsi" w:hAnsiTheme="minorHAnsi" w:cstheme="minorHAnsi"/>
        </w:rPr>
        <w:t xml:space="preserve">stolos </w:t>
      </w:r>
      <w:r w:rsidR="00BF26C2" w:rsidRPr="00E5653D">
        <w:rPr>
          <w:rFonts w:asciiTheme="minorHAnsi" w:hAnsiTheme="minorHAnsi" w:cstheme="minorHAnsi"/>
        </w:rPr>
        <w:t>Veizis</w:t>
      </w:r>
      <w:r w:rsidR="00687A0B">
        <w:rPr>
          <w:rFonts w:cstheme="minorHAnsi"/>
          <w:vertAlign w:val="superscript"/>
        </w:rPr>
        <w:t>10</w:t>
      </w:r>
      <w:r w:rsidR="00BF26C2" w:rsidRPr="00E5653D">
        <w:rPr>
          <w:rFonts w:asciiTheme="minorHAnsi" w:hAnsiTheme="minorHAnsi" w:cstheme="minorHAnsi"/>
        </w:rPr>
        <w:t xml:space="preserve">, </w:t>
      </w:r>
      <w:r w:rsidR="00630F77" w:rsidRPr="00E5653D">
        <w:rPr>
          <w:rFonts w:cstheme="minorHAnsi"/>
        </w:rPr>
        <w:t>Bernadette Kumar,</w:t>
      </w:r>
      <w:r w:rsidR="00630F77" w:rsidRPr="00E5653D">
        <w:rPr>
          <w:rFonts w:asciiTheme="minorHAnsi" w:hAnsiTheme="minorHAnsi" w:cstheme="minorHAnsi"/>
          <w:vertAlign w:val="superscript"/>
        </w:rPr>
        <w:t>1</w:t>
      </w:r>
      <w:r w:rsidR="00687A0B">
        <w:rPr>
          <w:rFonts w:asciiTheme="minorHAnsi" w:hAnsiTheme="minorHAnsi" w:cstheme="minorHAnsi"/>
          <w:vertAlign w:val="superscript"/>
        </w:rPr>
        <w:t>1</w:t>
      </w:r>
      <w:r w:rsidR="00630F77" w:rsidRPr="00E5653D">
        <w:rPr>
          <w:rFonts w:cstheme="minorHAnsi"/>
        </w:rPr>
        <w:t xml:space="preserve"> </w:t>
      </w:r>
      <w:r w:rsidR="00617E79" w:rsidRPr="00E5653D">
        <w:rPr>
          <w:rFonts w:asciiTheme="minorHAnsi" w:hAnsiTheme="minorHAnsi" w:cstheme="minorHAnsi"/>
        </w:rPr>
        <w:t>Teymur Noori</w:t>
      </w:r>
      <w:r w:rsidR="00617E79" w:rsidRPr="00E5653D">
        <w:rPr>
          <w:rFonts w:cstheme="minorHAnsi"/>
          <w:vertAlign w:val="superscript"/>
        </w:rPr>
        <w:t>1</w:t>
      </w:r>
      <w:r w:rsidR="00687A0B">
        <w:rPr>
          <w:rFonts w:cstheme="minorHAnsi"/>
          <w:vertAlign w:val="superscript"/>
        </w:rPr>
        <w:t>2</w:t>
      </w:r>
      <w:r w:rsidR="00617E79" w:rsidRPr="00E5653D">
        <w:rPr>
          <w:rFonts w:asciiTheme="minorHAnsi" w:hAnsiTheme="minorHAnsi" w:cstheme="minorHAnsi"/>
        </w:rPr>
        <w:t xml:space="preserve">, </w:t>
      </w:r>
      <w:r w:rsidRPr="00E5653D">
        <w:rPr>
          <w:rFonts w:asciiTheme="minorHAnsi" w:hAnsiTheme="minorHAnsi" w:cstheme="minorHAnsi"/>
        </w:rPr>
        <w:t>Sally Hargreaves</w:t>
      </w:r>
      <w:r w:rsidR="00EF6285" w:rsidRPr="00E5653D">
        <w:rPr>
          <w:rFonts w:cstheme="minorHAnsi"/>
          <w:vertAlign w:val="superscript"/>
        </w:rPr>
        <w:t>5</w:t>
      </w:r>
      <w:r w:rsidR="00D65FA6">
        <w:rPr>
          <w:rFonts w:asciiTheme="minorHAnsi" w:hAnsiTheme="minorHAnsi" w:cstheme="minorHAnsi"/>
        </w:rPr>
        <w:t>.</w:t>
      </w:r>
      <w:r w:rsidRPr="00E5653D">
        <w:rPr>
          <w:rFonts w:asciiTheme="minorHAnsi" w:hAnsiTheme="minorHAnsi" w:cstheme="minorHAnsi"/>
        </w:rPr>
        <w:t xml:space="preserve"> </w:t>
      </w:r>
    </w:p>
    <w:p w14:paraId="24BA7717" w14:textId="77777777" w:rsidR="005A3297" w:rsidRPr="00E5653D" w:rsidRDefault="005A3297" w:rsidP="00E5653D">
      <w:pPr>
        <w:spacing w:line="360" w:lineRule="auto"/>
        <w:rPr>
          <w:rFonts w:cstheme="minorHAnsi"/>
        </w:rPr>
      </w:pPr>
    </w:p>
    <w:p w14:paraId="22AA506F" w14:textId="77777777" w:rsidR="005A3297" w:rsidRPr="00E5653D" w:rsidRDefault="005A3297" w:rsidP="00E5653D">
      <w:pPr>
        <w:spacing w:line="360" w:lineRule="auto"/>
        <w:rPr>
          <w:rFonts w:cstheme="minorHAnsi"/>
        </w:rPr>
      </w:pPr>
      <w:r w:rsidRPr="00E5653D">
        <w:rPr>
          <w:rFonts w:cstheme="minorHAnsi"/>
          <w:vertAlign w:val="superscript"/>
        </w:rPr>
        <w:t>1</w:t>
      </w:r>
      <w:r w:rsidRPr="00E5653D">
        <w:rPr>
          <w:rFonts w:cstheme="minorHAnsi"/>
        </w:rPr>
        <w:t>Department of Health, Ethics and Society, School of Public Health and Primary Care, Maastricht University, The Netherlands</w:t>
      </w:r>
    </w:p>
    <w:p w14:paraId="7ADC8963" w14:textId="58197BE8" w:rsidR="005A3297" w:rsidRPr="00E5653D" w:rsidRDefault="005A3297" w:rsidP="00E5653D">
      <w:pPr>
        <w:spacing w:line="360" w:lineRule="auto"/>
        <w:rPr>
          <w:rFonts w:cstheme="minorHAnsi"/>
        </w:rPr>
      </w:pPr>
      <w:r w:rsidRPr="00E5653D">
        <w:rPr>
          <w:rFonts w:cstheme="minorHAnsi"/>
          <w:vertAlign w:val="superscript"/>
        </w:rPr>
        <w:t>2</w:t>
      </w:r>
      <w:r w:rsidRPr="00E5653D">
        <w:rPr>
          <w:rFonts w:cstheme="minorHAnsi"/>
        </w:rPr>
        <w:t>Department of Global Health, London School of Hygi</w:t>
      </w:r>
      <w:r w:rsidR="00214CDF">
        <w:rPr>
          <w:rFonts w:cstheme="minorHAnsi"/>
        </w:rPr>
        <w:t>e</w:t>
      </w:r>
      <w:r w:rsidRPr="00E5653D">
        <w:rPr>
          <w:rFonts w:cstheme="minorHAnsi"/>
        </w:rPr>
        <w:t>ne and Tropical Medicine, UK</w:t>
      </w:r>
    </w:p>
    <w:p w14:paraId="656ECAB6" w14:textId="78ED1912" w:rsidR="00EF6285" w:rsidRPr="00E5653D" w:rsidRDefault="005A3297" w:rsidP="00E5653D">
      <w:pPr>
        <w:spacing w:line="360" w:lineRule="auto"/>
        <w:rPr>
          <w:rFonts w:eastAsia="Times New Roman" w:cstheme="minorHAnsi"/>
          <w:color w:val="000000"/>
          <w:lang w:eastAsia="en-GB"/>
        </w:rPr>
      </w:pPr>
      <w:r w:rsidRPr="00E5653D">
        <w:rPr>
          <w:rFonts w:cstheme="minorHAnsi"/>
          <w:vertAlign w:val="superscript"/>
        </w:rPr>
        <w:t>3</w:t>
      </w:r>
      <w:r w:rsidRPr="00E5653D">
        <w:rPr>
          <w:rFonts w:cstheme="minorHAnsi"/>
          <w:color w:val="000000"/>
        </w:rPr>
        <w:t xml:space="preserve"> </w:t>
      </w:r>
      <w:r w:rsidRPr="00E5653D">
        <w:rPr>
          <w:rFonts w:eastAsia="Times New Roman" w:cstheme="minorHAnsi"/>
          <w:color w:val="000000"/>
          <w:lang w:eastAsia="en-GB"/>
        </w:rPr>
        <w:t>Rijksuniversiteit Groningen, University Medical Centrum Groningen, Department of Pharmacy and Clinical Pharmacology</w:t>
      </w:r>
      <w:r w:rsidR="00056634" w:rsidRPr="00E5653D">
        <w:rPr>
          <w:rFonts w:eastAsia="Times New Roman" w:cstheme="minorHAnsi"/>
          <w:color w:val="000000"/>
          <w:lang w:eastAsia="en-GB"/>
        </w:rPr>
        <w:t>, Netherlands</w:t>
      </w:r>
    </w:p>
    <w:p w14:paraId="0E9610DE" w14:textId="5089E93D" w:rsidR="005A3297" w:rsidRPr="00E5653D" w:rsidRDefault="005A3297" w:rsidP="00E5653D">
      <w:pPr>
        <w:spacing w:line="360" w:lineRule="auto"/>
        <w:rPr>
          <w:rFonts w:cstheme="minorHAnsi"/>
        </w:rPr>
      </w:pPr>
      <w:r w:rsidRPr="00E5653D">
        <w:rPr>
          <w:rFonts w:cstheme="minorHAnsi"/>
          <w:vertAlign w:val="superscript"/>
        </w:rPr>
        <w:t>4</w:t>
      </w:r>
      <w:r w:rsidR="00617E79" w:rsidRPr="00E5653D">
        <w:rPr>
          <w:rFonts w:cstheme="minorHAnsi"/>
        </w:rPr>
        <w:t xml:space="preserve"> Refugee </w:t>
      </w:r>
      <w:r w:rsidR="008A4C1D">
        <w:rPr>
          <w:rFonts w:cstheme="minorHAnsi"/>
        </w:rPr>
        <w:t xml:space="preserve">and Asylum Seeker </w:t>
      </w:r>
      <w:r w:rsidR="00617E79" w:rsidRPr="00E5653D">
        <w:rPr>
          <w:rFonts w:cstheme="minorHAnsi"/>
        </w:rPr>
        <w:t>Services, Health Inclusion Team, Guy’s &amp; St Thomas’ NHS Foundation Trust</w:t>
      </w:r>
    </w:p>
    <w:p w14:paraId="2E11CC19" w14:textId="4C8937B6" w:rsidR="005A3297" w:rsidRPr="00E5653D" w:rsidRDefault="005A3297" w:rsidP="00E5653D">
      <w:pPr>
        <w:spacing w:line="360" w:lineRule="auto"/>
        <w:rPr>
          <w:rFonts w:cstheme="minorHAnsi"/>
          <w:color w:val="000000" w:themeColor="text1"/>
          <w:lang w:val="en-US"/>
        </w:rPr>
      </w:pPr>
      <w:r w:rsidRPr="00E5653D">
        <w:rPr>
          <w:rFonts w:cstheme="minorHAnsi"/>
          <w:vertAlign w:val="superscript"/>
        </w:rPr>
        <w:t>5</w:t>
      </w:r>
      <w:r w:rsidRPr="00E5653D">
        <w:rPr>
          <w:rFonts w:cstheme="minorHAnsi"/>
          <w:lang w:val="en-US"/>
        </w:rPr>
        <w:t xml:space="preserve">The Migrant Health Research Group, Institute for Infection and Immunity, St George’s, </w:t>
      </w:r>
      <w:r w:rsidRPr="00E5653D">
        <w:rPr>
          <w:rFonts w:cstheme="minorHAnsi"/>
          <w:color w:val="000000" w:themeColor="text1"/>
          <w:lang w:val="en-US"/>
        </w:rPr>
        <w:t>University of London</w:t>
      </w:r>
      <w:r w:rsidR="00BB4EBB">
        <w:rPr>
          <w:rFonts w:cstheme="minorHAnsi"/>
          <w:color w:val="000000" w:themeColor="text1"/>
          <w:lang w:val="en-US"/>
        </w:rPr>
        <w:t>; The Lancet Migration European Regional Hub</w:t>
      </w:r>
    </w:p>
    <w:p w14:paraId="66FE3A34" w14:textId="34700FC4" w:rsidR="005A3297" w:rsidRDefault="00214CDF" w:rsidP="00E5653D">
      <w:pPr>
        <w:spacing w:line="360" w:lineRule="auto"/>
        <w:textAlignment w:val="top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6</w:t>
      </w:r>
      <w:r w:rsidR="00617E79" w:rsidRPr="00E5653D">
        <w:rPr>
          <w:rFonts w:cstheme="minorHAnsi"/>
          <w:color w:val="000000" w:themeColor="text1"/>
        </w:rPr>
        <w:t>Barcelona Institute for Global Health (ISGlobal, Hospital Clínic-University of Barcelona)</w:t>
      </w:r>
      <w:r w:rsidR="00E5653D" w:rsidRPr="00E5653D">
        <w:rPr>
          <w:rFonts w:cstheme="minorHAnsi"/>
          <w:color w:val="000000" w:themeColor="text1"/>
        </w:rPr>
        <w:t xml:space="preserve">, Barcelona, Spain; </w:t>
      </w:r>
      <w:r w:rsidR="00E5653D" w:rsidRPr="00E5653D">
        <w:rPr>
          <w:rFonts w:eastAsia="Times New Roman" w:cstheme="minorHAnsi"/>
          <w:color w:val="000000" w:themeColor="text1"/>
        </w:rPr>
        <w:t>Department of Medicine Solna, Karolinska Institutet, Stockholm, Sweden; Department of Infectious Diseases, Karolinska University Hospital, Stockholm, Sweden</w:t>
      </w:r>
    </w:p>
    <w:p w14:paraId="4A19A2E7" w14:textId="15C8F715" w:rsidR="00687A0B" w:rsidRPr="00E5653D" w:rsidRDefault="00687A0B" w:rsidP="00E5653D">
      <w:pPr>
        <w:spacing w:line="360" w:lineRule="auto"/>
        <w:textAlignment w:val="top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7</w:t>
      </w:r>
      <w:r w:rsidRPr="00E5653D">
        <w:rPr>
          <w:rFonts w:cstheme="minorHAnsi"/>
          <w:color w:val="000000" w:themeColor="text1"/>
          <w:lang w:val="en-US"/>
        </w:rPr>
        <w:t>Doctors of the World UK (Medecins du Monde network), London, UK</w:t>
      </w:r>
    </w:p>
    <w:p w14:paraId="513B626D" w14:textId="0B3C2C59" w:rsidR="00056634" w:rsidRPr="00E5653D" w:rsidRDefault="00687A0B" w:rsidP="00E5653D">
      <w:pPr>
        <w:pStyle w:val="Body"/>
        <w:spacing w:before="100" w:after="100" w:line="360" w:lineRule="auto"/>
        <w:rPr>
          <w:rFonts w:asciiTheme="minorHAnsi" w:hAnsiTheme="minorHAnsi" w:cstheme="minorHAnsi"/>
          <w:color w:val="000000" w:themeColor="text1"/>
          <w:vertAlign w:val="superscript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8</w:t>
      </w:r>
      <w:r w:rsidR="00214CDF">
        <w:rPr>
          <w:rFonts w:asciiTheme="minorHAnsi" w:hAnsiTheme="minorHAnsi" w:cstheme="minorHAnsi"/>
          <w:color w:val="000000" w:themeColor="text1"/>
        </w:rPr>
        <w:t>The L</w:t>
      </w:r>
      <w:r w:rsidR="00056634" w:rsidRPr="00E5653D">
        <w:rPr>
          <w:rFonts w:asciiTheme="minorHAnsi" w:hAnsiTheme="minorHAnsi" w:cstheme="minorHAnsi"/>
          <w:color w:val="000000" w:themeColor="text1"/>
        </w:rPr>
        <w:t>ancet Migration European Regional Hub</w:t>
      </w:r>
      <w:r w:rsidR="00475A34">
        <w:rPr>
          <w:rFonts w:asciiTheme="minorHAnsi" w:hAnsiTheme="minorHAnsi" w:cstheme="minorHAnsi"/>
          <w:color w:val="000000" w:themeColor="text1"/>
        </w:rPr>
        <w:t>;</w:t>
      </w:r>
      <w:r w:rsidR="00056634" w:rsidRPr="00E5653D">
        <w:rPr>
          <w:rFonts w:asciiTheme="minorHAnsi" w:hAnsiTheme="minorHAnsi" w:cstheme="minorHAnsi"/>
          <w:color w:val="000000" w:themeColor="text1"/>
        </w:rPr>
        <w:t xml:space="preserve"> Geneva Centre of Humanitarian Studies, Geneva, Switzerland </w:t>
      </w:r>
    </w:p>
    <w:p w14:paraId="12426875" w14:textId="63C2E718" w:rsidR="005A3297" w:rsidRPr="00E5653D" w:rsidRDefault="00687A0B" w:rsidP="00E5653D">
      <w:pPr>
        <w:pStyle w:val="Body"/>
        <w:spacing w:before="100" w:after="10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9</w:t>
      </w:r>
      <w:r w:rsidR="005F06A2" w:rsidRPr="00E5653D">
        <w:rPr>
          <w:rFonts w:asciiTheme="minorHAnsi" w:hAnsiTheme="minorHAnsi" w:cstheme="minorHAnsi"/>
          <w:color w:val="000000" w:themeColor="text1"/>
        </w:rPr>
        <w:t>Institute for Global Health, University College London</w:t>
      </w:r>
    </w:p>
    <w:p w14:paraId="0A9707A0" w14:textId="6AB261E8" w:rsidR="005F06A2" w:rsidRPr="00E5653D" w:rsidRDefault="00687A0B" w:rsidP="00E5653D">
      <w:pPr>
        <w:pStyle w:val="Body"/>
        <w:spacing w:before="100" w:after="1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10</w:t>
      </w:r>
      <w:r w:rsidR="005F06A2" w:rsidRPr="00E5653D">
        <w:rPr>
          <w:rFonts w:asciiTheme="minorHAnsi" w:hAnsiTheme="minorHAnsi" w:cstheme="minorHAnsi"/>
        </w:rPr>
        <w:t>INTERSOS Hellas, Thessaloniki</w:t>
      </w:r>
      <w:r w:rsidR="00C10143" w:rsidRPr="00E5653D">
        <w:rPr>
          <w:rFonts w:asciiTheme="minorHAnsi" w:hAnsiTheme="minorHAnsi" w:cstheme="minorHAnsi"/>
        </w:rPr>
        <w:t xml:space="preserve">, </w:t>
      </w:r>
      <w:r w:rsidR="005F06A2" w:rsidRPr="00E5653D">
        <w:rPr>
          <w:rFonts w:asciiTheme="minorHAnsi" w:hAnsiTheme="minorHAnsi" w:cstheme="minorHAnsi"/>
        </w:rPr>
        <w:t>Greece</w:t>
      </w:r>
    </w:p>
    <w:p w14:paraId="5502C854" w14:textId="65E42A41" w:rsidR="00056634" w:rsidRPr="00E5653D" w:rsidRDefault="00056634" w:rsidP="00E5653D">
      <w:pPr>
        <w:pStyle w:val="Body"/>
        <w:spacing w:before="100" w:after="100" w:line="360" w:lineRule="auto"/>
        <w:rPr>
          <w:rFonts w:asciiTheme="minorHAnsi" w:hAnsiTheme="minorHAnsi" w:cstheme="minorHAnsi"/>
          <w:vertAlign w:val="superscript"/>
        </w:rPr>
      </w:pPr>
      <w:r w:rsidRPr="00E5653D">
        <w:rPr>
          <w:rFonts w:asciiTheme="minorHAnsi" w:hAnsiTheme="minorHAnsi" w:cstheme="minorHAnsi"/>
          <w:vertAlign w:val="superscript"/>
        </w:rPr>
        <w:t>1</w:t>
      </w:r>
      <w:r w:rsidR="00687A0B">
        <w:rPr>
          <w:rFonts w:asciiTheme="minorHAnsi" w:hAnsiTheme="minorHAnsi" w:cstheme="minorHAnsi"/>
          <w:vertAlign w:val="superscript"/>
        </w:rPr>
        <w:t>1</w:t>
      </w:r>
      <w:r w:rsidRPr="00E5653D">
        <w:rPr>
          <w:rFonts w:asciiTheme="minorHAnsi" w:hAnsiTheme="minorHAnsi" w:cstheme="minorHAnsi"/>
          <w:vertAlign w:val="superscript"/>
        </w:rPr>
        <w:t xml:space="preserve"> </w:t>
      </w:r>
      <w:r w:rsidR="00475A34" w:rsidRPr="00E5653D">
        <w:rPr>
          <w:rFonts w:asciiTheme="minorHAnsi" w:hAnsiTheme="minorHAnsi" w:cstheme="minorHAnsi"/>
        </w:rPr>
        <w:t>The Lancet Migration European Regional Hub</w:t>
      </w:r>
      <w:r w:rsidR="00475A34">
        <w:rPr>
          <w:rFonts w:asciiTheme="minorHAnsi" w:hAnsiTheme="minorHAnsi" w:cstheme="minorHAnsi"/>
        </w:rPr>
        <w:t xml:space="preserve">; </w:t>
      </w:r>
      <w:r w:rsidRPr="00E5653D">
        <w:rPr>
          <w:rFonts w:asciiTheme="minorHAnsi" w:hAnsiTheme="minorHAnsi" w:cstheme="minorHAnsi"/>
        </w:rPr>
        <w:t xml:space="preserve">Norwegian Institute of Public Health, Folkehelseinstituttet, Oslo, Norway </w:t>
      </w:r>
    </w:p>
    <w:p w14:paraId="18ADFBF7" w14:textId="1BA3C69A" w:rsidR="005A3297" w:rsidRPr="00E5653D" w:rsidRDefault="005A3297" w:rsidP="00E5653D">
      <w:pPr>
        <w:pStyle w:val="Body"/>
        <w:spacing w:before="100" w:after="100" w:line="360" w:lineRule="auto"/>
        <w:rPr>
          <w:rFonts w:asciiTheme="minorHAnsi" w:hAnsiTheme="minorHAnsi" w:cstheme="minorHAnsi"/>
        </w:rPr>
      </w:pPr>
      <w:r w:rsidRPr="00E5653D">
        <w:rPr>
          <w:rFonts w:asciiTheme="minorHAnsi" w:hAnsiTheme="minorHAnsi" w:cstheme="minorHAnsi"/>
          <w:vertAlign w:val="superscript"/>
        </w:rPr>
        <w:t>1</w:t>
      </w:r>
      <w:r w:rsidR="00687A0B">
        <w:rPr>
          <w:rFonts w:asciiTheme="minorHAnsi" w:hAnsiTheme="minorHAnsi" w:cstheme="minorHAnsi"/>
          <w:vertAlign w:val="superscript"/>
        </w:rPr>
        <w:t>2</w:t>
      </w:r>
      <w:r w:rsidR="00617E79" w:rsidRPr="00E5653D">
        <w:rPr>
          <w:rFonts w:asciiTheme="minorHAnsi" w:hAnsiTheme="minorHAnsi" w:cstheme="minorHAnsi"/>
        </w:rPr>
        <w:t>European Centre for Disease Prevention and Control (ECDC)</w:t>
      </w:r>
    </w:p>
    <w:p w14:paraId="78022552" w14:textId="77777777" w:rsidR="00EF6285" w:rsidRPr="00E5653D" w:rsidRDefault="00EF6285" w:rsidP="00E5653D">
      <w:pPr>
        <w:spacing w:line="360" w:lineRule="auto"/>
        <w:rPr>
          <w:rFonts w:cstheme="minorHAnsi"/>
        </w:rPr>
      </w:pPr>
    </w:p>
    <w:p w14:paraId="65A7F3B1" w14:textId="2786C361" w:rsidR="005A3297" w:rsidRPr="00E5653D" w:rsidRDefault="005A3297" w:rsidP="00E5653D">
      <w:pPr>
        <w:spacing w:line="360" w:lineRule="auto"/>
        <w:rPr>
          <w:rFonts w:cstheme="minorHAnsi"/>
        </w:rPr>
      </w:pPr>
      <w:r w:rsidRPr="00E5653D">
        <w:rPr>
          <w:rFonts w:cstheme="minorHAnsi"/>
        </w:rPr>
        <w:t xml:space="preserve">Correspondence to: Dr Sally Hargreaves </w:t>
      </w:r>
      <w:hyperlink r:id="rId8" w:history="1">
        <w:r w:rsidRPr="00E5653D">
          <w:rPr>
            <w:rStyle w:val="Hyperlink"/>
            <w:rFonts w:cstheme="minorHAnsi"/>
          </w:rPr>
          <w:t>s.hargreaves@sgul.ac.uk</w:t>
        </w:r>
      </w:hyperlink>
    </w:p>
    <w:p w14:paraId="2481C674" w14:textId="77777777" w:rsidR="005A3297" w:rsidRPr="00D76B47" w:rsidRDefault="005A3297" w:rsidP="00D76B47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5D48360" w14:textId="77777777" w:rsidR="0011202C" w:rsidRPr="00D76B47" w:rsidRDefault="0011202C" w:rsidP="00D76B47">
      <w:pPr>
        <w:spacing w:line="360" w:lineRule="auto"/>
        <w:jc w:val="both"/>
        <w:rPr>
          <w:rFonts w:cstheme="minorHAnsi"/>
        </w:rPr>
      </w:pPr>
    </w:p>
    <w:p w14:paraId="08E03037" w14:textId="4FEC4ADA" w:rsidR="00EC5495" w:rsidRPr="00D76B47" w:rsidRDefault="0046498F" w:rsidP="0000675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Over</w:t>
      </w:r>
      <w:r w:rsidR="0061492B" w:rsidRPr="00D76B47">
        <w:rPr>
          <w:rFonts w:cstheme="minorHAnsi"/>
        </w:rPr>
        <w:t xml:space="preserve"> </w:t>
      </w:r>
      <w:r w:rsidR="0086113D">
        <w:rPr>
          <w:rFonts w:cstheme="minorHAnsi"/>
        </w:rPr>
        <w:t>3</w:t>
      </w:r>
      <w:r w:rsidR="00D9284D">
        <w:rPr>
          <w:rFonts w:cstheme="minorHAnsi"/>
        </w:rPr>
        <w:t>.</w:t>
      </w:r>
      <w:r w:rsidR="00D74834">
        <w:rPr>
          <w:rFonts w:cstheme="minorHAnsi"/>
        </w:rPr>
        <w:t>6</w:t>
      </w:r>
      <w:r w:rsidR="00474F0A" w:rsidRPr="00D76B47">
        <w:rPr>
          <w:rFonts w:cstheme="minorHAnsi"/>
        </w:rPr>
        <w:t xml:space="preserve"> million people</w:t>
      </w:r>
      <w:r w:rsidR="007B6656" w:rsidRPr="00D76B47">
        <w:rPr>
          <w:rFonts w:cstheme="minorHAnsi"/>
        </w:rPr>
        <w:t>, including 1</w:t>
      </w:r>
      <w:r>
        <w:rPr>
          <w:rFonts w:cstheme="minorHAnsi"/>
        </w:rPr>
        <w:t>95</w:t>
      </w:r>
      <w:r w:rsidR="007B6656" w:rsidRPr="00D76B47">
        <w:rPr>
          <w:rFonts w:cstheme="minorHAnsi"/>
        </w:rPr>
        <w:t xml:space="preserve">,000 </w:t>
      </w:r>
      <w:r w:rsidR="0061492B" w:rsidRPr="00D76B47">
        <w:rPr>
          <w:rFonts w:cstheme="minorHAnsi"/>
        </w:rPr>
        <w:t>non-Ukrainians</w:t>
      </w:r>
      <w:r w:rsidR="007B6656" w:rsidRPr="00D76B47">
        <w:rPr>
          <w:rFonts w:cstheme="minorHAnsi"/>
        </w:rPr>
        <w:t>,</w:t>
      </w:r>
      <w:r w:rsidR="0061492B" w:rsidRPr="00D76B47">
        <w:rPr>
          <w:rFonts w:cstheme="minorHAnsi"/>
        </w:rPr>
        <w:t xml:space="preserve"> have</w:t>
      </w:r>
      <w:r w:rsidR="00474F0A" w:rsidRPr="00D76B47">
        <w:rPr>
          <w:rFonts w:cstheme="minorHAnsi"/>
        </w:rPr>
        <w:t xml:space="preserve"> fled Ukraine</w:t>
      </w:r>
      <w:r w:rsidR="00577326">
        <w:rPr>
          <w:rFonts w:cstheme="minorHAnsi"/>
        </w:rPr>
        <w:t xml:space="preserve"> to other European countries</w:t>
      </w:r>
      <w:r w:rsidR="00BE349C">
        <w:rPr>
          <w:rFonts w:cstheme="minorHAnsi"/>
        </w:rPr>
        <w:t xml:space="preserve"> </w:t>
      </w:r>
      <w:r w:rsidR="0061492B" w:rsidRPr="00D76B47">
        <w:rPr>
          <w:rFonts w:cstheme="minorHAnsi"/>
        </w:rPr>
        <w:t>in recent weeks</w:t>
      </w:r>
      <w:r w:rsidR="00457C0C" w:rsidRPr="00D76B47">
        <w:rPr>
          <w:rFonts w:cstheme="minorHAnsi"/>
        </w:rPr>
        <w:t xml:space="preserve"> [1]</w:t>
      </w:r>
      <w:r w:rsidR="00B267B2">
        <w:rPr>
          <w:rFonts w:cstheme="minorHAnsi"/>
        </w:rPr>
        <w:t xml:space="preserve">, with the majority of </w:t>
      </w:r>
      <w:r w:rsidR="0044285E">
        <w:rPr>
          <w:rFonts w:cstheme="minorHAnsi"/>
        </w:rPr>
        <w:t>people</w:t>
      </w:r>
      <w:r w:rsidR="00B267B2">
        <w:rPr>
          <w:rFonts w:cstheme="minorHAnsi"/>
        </w:rPr>
        <w:t xml:space="preserve"> being women, children and elderly [2]. </w:t>
      </w:r>
      <w:r w:rsidR="007B6656" w:rsidRPr="00D76B47">
        <w:rPr>
          <w:rFonts w:cstheme="minorHAnsi"/>
        </w:rPr>
        <w:t>T</w:t>
      </w:r>
      <w:r w:rsidR="00462638" w:rsidRPr="00D76B47">
        <w:rPr>
          <w:rFonts w:cstheme="minorHAnsi"/>
        </w:rPr>
        <w:t xml:space="preserve">he crucial </w:t>
      </w:r>
      <w:r w:rsidR="00DC5497" w:rsidRPr="00D76B47">
        <w:rPr>
          <w:rFonts w:cstheme="minorHAnsi"/>
        </w:rPr>
        <w:t xml:space="preserve">objectives </w:t>
      </w:r>
      <w:r w:rsidR="00462638" w:rsidRPr="00D76B47">
        <w:rPr>
          <w:rFonts w:cstheme="minorHAnsi"/>
        </w:rPr>
        <w:t xml:space="preserve">at the </w:t>
      </w:r>
      <w:r w:rsidR="00B267B2">
        <w:rPr>
          <w:rFonts w:cstheme="minorHAnsi"/>
        </w:rPr>
        <w:t>moment</w:t>
      </w:r>
      <w:r w:rsidR="00B267B2" w:rsidRPr="00D76B47">
        <w:rPr>
          <w:rFonts w:cstheme="minorHAnsi"/>
        </w:rPr>
        <w:t xml:space="preserve"> </w:t>
      </w:r>
      <w:r w:rsidR="00DC5497" w:rsidRPr="00D76B47">
        <w:rPr>
          <w:rFonts w:cstheme="minorHAnsi"/>
        </w:rPr>
        <w:t>are</w:t>
      </w:r>
      <w:r w:rsidR="00462638" w:rsidRPr="00D76B47">
        <w:rPr>
          <w:rFonts w:cstheme="minorHAnsi"/>
        </w:rPr>
        <w:t xml:space="preserve"> to </w:t>
      </w:r>
      <w:r w:rsidR="00DC5497" w:rsidRPr="00D76B47">
        <w:rPr>
          <w:rFonts w:cstheme="minorHAnsi"/>
        </w:rPr>
        <w:t xml:space="preserve">ensure </w:t>
      </w:r>
      <w:r w:rsidR="00462638" w:rsidRPr="00D76B47">
        <w:rPr>
          <w:rFonts w:cstheme="minorHAnsi"/>
        </w:rPr>
        <w:t xml:space="preserve">that people can safely leave the </w:t>
      </w:r>
      <w:r w:rsidR="00DC5497" w:rsidRPr="00D76B47">
        <w:rPr>
          <w:rFonts w:cstheme="minorHAnsi"/>
        </w:rPr>
        <w:t xml:space="preserve">conflict </w:t>
      </w:r>
      <w:r w:rsidR="00462638" w:rsidRPr="00D76B47">
        <w:rPr>
          <w:rFonts w:cstheme="minorHAnsi"/>
        </w:rPr>
        <w:t>zone</w:t>
      </w:r>
      <w:r w:rsidR="00577326">
        <w:rPr>
          <w:rFonts w:cstheme="minorHAnsi"/>
        </w:rPr>
        <w:t xml:space="preserve"> and</w:t>
      </w:r>
      <w:r w:rsidR="00DC5497" w:rsidRPr="00D76B47">
        <w:rPr>
          <w:rFonts w:cstheme="minorHAnsi"/>
        </w:rPr>
        <w:t xml:space="preserve"> </w:t>
      </w:r>
      <w:r w:rsidR="00772FA0">
        <w:rPr>
          <w:rFonts w:cstheme="minorHAnsi"/>
        </w:rPr>
        <w:t>access</w:t>
      </w:r>
      <w:r w:rsidR="00C113DC" w:rsidRPr="00D76B47">
        <w:rPr>
          <w:rFonts w:cstheme="minorHAnsi"/>
        </w:rPr>
        <w:t xml:space="preserve"> </w:t>
      </w:r>
      <w:r w:rsidR="007C0E2F" w:rsidRPr="00D76B47">
        <w:rPr>
          <w:rFonts w:cstheme="minorHAnsi"/>
        </w:rPr>
        <w:t xml:space="preserve">basic </w:t>
      </w:r>
      <w:r w:rsidR="00E47657">
        <w:rPr>
          <w:rFonts w:cstheme="minorHAnsi"/>
        </w:rPr>
        <w:t>services</w:t>
      </w:r>
      <w:r w:rsidR="007C0E2F" w:rsidRPr="00D76B47">
        <w:rPr>
          <w:rFonts w:cstheme="minorHAnsi"/>
        </w:rPr>
        <w:t xml:space="preserve">, such as housing, food, water, sanitation, </w:t>
      </w:r>
      <w:r w:rsidR="00CA01A9">
        <w:rPr>
          <w:rFonts w:cstheme="minorHAnsi"/>
        </w:rPr>
        <w:t>and</w:t>
      </w:r>
      <w:r w:rsidR="007C0E2F" w:rsidRPr="00D76B47">
        <w:rPr>
          <w:rFonts w:cstheme="minorHAnsi"/>
        </w:rPr>
        <w:t xml:space="preserve"> </w:t>
      </w:r>
      <w:r w:rsidR="00C113DC" w:rsidRPr="00D76B47">
        <w:rPr>
          <w:rFonts w:cstheme="minorHAnsi"/>
        </w:rPr>
        <w:t>emergency care</w:t>
      </w:r>
      <w:r w:rsidR="00577326">
        <w:rPr>
          <w:rFonts w:cstheme="minorHAnsi"/>
        </w:rPr>
        <w:t xml:space="preserve">. </w:t>
      </w:r>
      <w:r w:rsidR="007B6656" w:rsidRPr="00D76B47">
        <w:rPr>
          <w:rFonts w:cstheme="minorHAnsi"/>
        </w:rPr>
        <w:t>However,</w:t>
      </w:r>
      <w:r w:rsidR="00462638" w:rsidRPr="00D76B47">
        <w:rPr>
          <w:rFonts w:cstheme="minorHAnsi"/>
        </w:rPr>
        <w:t xml:space="preserve"> </w:t>
      </w:r>
      <w:r w:rsidR="002D325B" w:rsidRPr="00D76B47">
        <w:rPr>
          <w:rFonts w:cstheme="minorHAnsi"/>
        </w:rPr>
        <w:t>going forward</w:t>
      </w:r>
      <w:r w:rsidR="00457C0C" w:rsidRPr="00D76B47">
        <w:rPr>
          <w:rFonts w:cstheme="minorHAnsi"/>
        </w:rPr>
        <w:t>,</w:t>
      </w:r>
      <w:r w:rsidR="002D325B" w:rsidRPr="00D76B47">
        <w:rPr>
          <w:rFonts w:cstheme="minorHAnsi"/>
        </w:rPr>
        <w:t xml:space="preserve"> </w:t>
      </w:r>
      <w:r w:rsidR="00462638" w:rsidRPr="00D76B47">
        <w:rPr>
          <w:rFonts w:cstheme="minorHAnsi"/>
        </w:rPr>
        <w:t>i</w:t>
      </w:r>
      <w:r w:rsidR="002D325B" w:rsidRPr="00D76B47">
        <w:rPr>
          <w:rFonts w:cstheme="minorHAnsi"/>
        </w:rPr>
        <w:t xml:space="preserve">t </w:t>
      </w:r>
      <w:r w:rsidR="0044285E">
        <w:rPr>
          <w:rFonts w:cstheme="minorHAnsi"/>
        </w:rPr>
        <w:t>is</w:t>
      </w:r>
      <w:r w:rsidR="00462638" w:rsidRPr="00D76B47">
        <w:rPr>
          <w:rFonts w:cstheme="minorHAnsi"/>
        </w:rPr>
        <w:t xml:space="preserve"> important for </w:t>
      </w:r>
      <w:r w:rsidR="00013E25" w:rsidRPr="00D76B47">
        <w:rPr>
          <w:rFonts w:cstheme="minorHAnsi"/>
        </w:rPr>
        <w:t>the</w:t>
      </w:r>
      <w:r w:rsidR="00462638" w:rsidRPr="00D76B47">
        <w:rPr>
          <w:rFonts w:cstheme="minorHAnsi"/>
        </w:rPr>
        <w:t xml:space="preserve"> governments </w:t>
      </w:r>
      <w:r w:rsidR="00013E25" w:rsidRPr="00D76B47">
        <w:rPr>
          <w:rFonts w:cstheme="minorHAnsi"/>
        </w:rPr>
        <w:t>of receiving countries</w:t>
      </w:r>
      <w:r w:rsidR="00D9284D">
        <w:rPr>
          <w:rFonts w:cstheme="minorHAnsi"/>
        </w:rPr>
        <w:t xml:space="preserve"> and transit countries</w:t>
      </w:r>
      <w:r w:rsidR="00013E25" w:rsidRPr="00D76B47">
        <w:rPr>
          <w:rFonts w:cstheme="minorHAnsi"/>
        </w:rPr>
        <w:t xml:space="preserve"> </w:t>
      </w:r>
      <w:r w:rsidR="00462638" w:rsidRPr="00D76B47">
        <w:rPr>
          <w:rFonts w:cstheme="minorHAnsi"/>
        </w:rPr>
        <w:t xml:space="preserve">to develop clear </w:t>
      </w:r>
      <w:r w:rsidR="007B6656" w:rsidRPr="00D76B47">
        <w:rPr>
          <w:rFonts w:cstheme="minorHAnsi"/>
        </w:rPr>
        <w:t xml:space="preserve">short and </w:t>
      </w:r>
      <w:r w:rsidR="00DC5497" w:rsidRPr="00D76B47">
        <w:rPr>
          <w:rFonts w:cstheme="minorHAnsi"/>
        </w:rPr>
        <w:t>long-term</w:t>
      </w:r>
      <w:r w:rsidR="007B6656" w:rsidRPr="00D76B47">
        <w:rPr>
          <w:rFonts w:cstheme="minorHAnsi"/>
        </w:rPr>
        <w:t xml:space="preserve"> </w:t>
      </w:r>
      <w:r w:rsidR="00CA4266" w:rsidRPr="00D76B47">
        <w:rPr>
          <w:rFonts w:cstheme="minorHAnsi"/>
        </w:rPr>
        <w:t>strategies</w:t>
      </w:r>
      <w:r w:rsidR="00462638" w:rsidRPr="00D76B47">
        <w:rPr>
          <w:rFonts w:cstheme="minorHAnsi"/>
        </w:rPr>
        <w:t xml:space="preserve"> for </w:t>
      </w:r>
      <w:r w:rsidR="00013E25" w:rsidRPr="00D76B47">
        <w:rPr>
          <w:rFonts w:cstheme="minorHAnsi"/>
        </w:rPr>
        <w:t xml:space="preserve">the </w:t>
      </w:r>
      <w:r w:rsidR="00593317" w:rsidRPr="00D76B47">
        <w:rPr>
          <w:rFonts w:cstheme="minorHAnsi"/>
        </w:rPr>
        <w:t xml:space="preserve">provision </w:t>
      </w:r>
      <w:r w:rsidR="000E7C1F" w:rsidRPr="00D76B47">
        <w:rPr>
          <w:rFonts w:cstheme="minorHAnsi"/>
        </w:rPr>
        <w:t>of</w:t>
      </w:r>
      <w:r w:rsidR="00593317" w:rsidRPr="00D76B47">
        <w:rPr>
          <w:rFonts w:cstheme="minorHAnsi"/>
        </w:rPr>
        <w:t xml:space="preserve"> </w:t>
      </w:r>
      <w:r w:rsidR="0044285E">
        <w:rPr>
          <w:rFonts w:cstheme="minorHAnsi"/>
        </w:rPr>
        <w:t>health</w:t>
      </w:r>
      <w:r w:rsidR="000F00DB">
        <w:rPr>
          <w:rFonts w:cstheme="minorHAnsi"/>
        </w:rPr>
        <w:t xml:space="preserve"> services</w:t>
      </w:r>
      <w:r w:rsidR="0044285E">
        <w:rPr>
          <w:rFonts w:cstheme="minorHAnsi"/>
        </w:rPr>
        <w:t xml:space="preserve"> </w:t>
      </w:r>
      <w:r w:rsidR="00C1753A">
        <w:rPr>
          <w:rFonts w:cstheme="minorHAnsi"/>
        </w:rPr>
        <w:t>[3]</w:t>
      </w:r>
      <w:r w:rsidR="00013E25" w:rsidRPr="00D76B47">
        <w:rPr>
          <w:rFonts w:cstheme="minorHAnsi"/>
        </w:rPr>
        <w:t>. This</w:t>
      </w:r>
      <w:r w:rsidR="00593317" w:rsidRPr="00D76B47">
        <w:rPr>
          <w:rFonts w:cstheme="minorHAnsi"/>
        </w:rPr>
        <w:t xml:space="preserve"> includ</w:t>
      </w:r>
      <w:r w:rsidR="00013E25" w:rsidRPr="00D76B47">
        <w:rPr>
          <w:rFonts w:cstheme="minorHAnsi"/>
        </w:rPr>
        <w:t>es</w:t>
      </w:r>
      <w:r w:rsidR="00593317" w:rsidRPr="00D76B47">
        <w:rPr>
          <w:rFonts w:cstheme="minorHAnsi"/>
        </w:rPr>
        <w:t xml:space="preserve"> access to vaccination, maternal </w:t>
      </w:r>
      <w:r w:rsidR="00BC609A">
        <w:rPr>
          <w:rFonts w:cstheme="minorHAnsi"/>
        </w:rPr>
        <w:t>and child</w:t>
      </w:r>
      <w:r w:rsidR="00FF772F">
        <w:rPr>
          <w:rFonts w:cstheme="minorHAnsi"/>
        </w:rPr>
        <w:t xml:space="preserve"> care</w:t>
      </w:r>
      <w:r w:rsidR="00B267B2">
        <w:rPr>
          <w:rFonts w:cstheme="minorHAnsi"/>
        </w:rPr>
        <w:t xml:space="preserve">, </w:t>
      </w:r>
      <w:r w:rsidR="007B0A72" w:rsidRPr="00AD451B">
        <w:rPr>
          <w:rFonts w:cstheme="minorHAnsi"/>
        </w:rPr>
        <w:t>screening programmes</w:t>
      </w:r>
      <w:r w:rsidR="001E4954">
        <w:rPr>
          <w:rFonts w:cstheme="minorHAnsi"/>
        </w:rPr>
        <w:t xml:space="preserve">, </w:t>
      </w:r>
      <w:r w:rsidR="0044285E">
        <w:rPr>
          <w:rFonts w:cstheme="minorHAnsi"/>
        </w:rPr>
        <w:t xml:space="preserve">and </w:t>
      </w:r>
      <w:r w:rsidR="007A37CC">
        <w:rPr>
          <w:rFonts w:cstheme="minorHAnsi"/>
        </w:rPr>
        <w:t>care for chronic conditions</w:t>
      </w:r>
      <w:r w:rsidR="0044285E">
        <w:rPr>
          <w:rFonts w:cstheme="minorHAnsi"/>
        </w:rPr>
        <w:t xml:space="preserve"> </w:t>
      </w:r>
      <w:r w:rsidR="00593317" w:rsidRPr="00D76B47">
        <w:rPr>
          <w:rFonts w:cstheme="minorHAnsi"/>
        </w:rPr>
        <w:t xml:space="preserve">and mental health. </w:t>
      </w:r>
    </w:p>
    <w:p w14:paraId="6A3659FC" w14:textId="4DBD156F" w:rsidR="0072306E" w:rsidRPr="00D76B47" w:rsidRDefault="00475A34" w:rsidP="00D76B47">
      <w:pPr>
        <w:spacing w:line="36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M</w:t>
      </w:r>
      <w:r w:rsidR="00110BB0" w:rsidRPr="00D76B47">
        <w:rPr>
          <w:rFonts w:cstheme="minorHAnsi"/>
        </w:rPr>
        <w:t xml:space="preserve">any </w:t>
      </w:r>
      <w:r w:rsidR="008A0FD0">
        <w:rPr>
          <w:rFonts w:cstheme="minorHAnsi"/>
        </w:rPr>
        <w:t>EU/EEA</w:t>
      </w:r>
      <w:r w:rsidR="00110BB0" w:rsidRPr="00D76B47">
        <w:rPr>
          <w:rFonts w:cstheme="minorHAnsi"/>
        </w:rPr>
        <w:t xml:space="preserve"> countries have long since been grappling with question</w:t>
      </w:r>
      <w:r w:rsidR="00E77314" w:rsidRPr="00D76B47">
        <w:rPr>
          <w:rFonts w:cstheme="minorHAnsi"/>
        </w:rPr>
        <w:t>s</w:t>
      </w:r>
      <w:r w:rsidR="00110BB0" w:rsidRPr="00D76B47">
        <w:rPr>
          <w:rFonts w:cstheme="minorHAnsi"/>
        </w:rPr>
        <w:t xml:space="preserve"> around what </w:t>
      </w:r>
      <w:r w:rsidR="0086113D">
        <w:rPr>
          <w:rFonts w:cstheme="minorHAnsi"/>
        </w:rPr>
        <w:t xml:space="preserve">level of </w:t>
      </w:r>
      <w:r w:rsidR="00B93912">
        <w:rPr>
          <w:rFonts w:cstheme="minorHAnsi"/>
        </w:rPr>
        <w:t>health</w:t>
      </w:r>
      <w:r w:rsidR="0086113D">
        <w:rPr>
          <w:rFonts w:cstheme="minorHAnsi"/>
        </w:rPr>
        <w:t>care</w:t>
      </w:r>
      <w:r w:rsidR="00980EBF">
        <w:rPr>
          <w:rFonts w:cstheme="minorHAnsi"/>
        </w:rPr>
        <w:t xml:space="preserve"> </w:t>
      </w:r>
      <w:r w:rsidR="00110BB0" w:rsidRPr="00D76B47">
        <w:rPr>
          <w:rFonts w:cstheme="minorHAnsi"/>
        </w:rPr>
        <w:t xml:space="preserve">should be offered to </w:t>
      </w:r>
      <w:r w:rsidR="00D9284D">
        <w:rPr>
          <w:rFonts w:cstheme="minorHAnsi"/>
        </w:rPr>
        <w:t xml:space="preserve">forcibly displaced migrants and a diverse range of other </w:t>
      </w:r>
      <w:r w:rsidR="000F00DB">
        <w:rPr>
          <w:rFonts w:cstheme="minorHAnsi"/>
        </w:rPr>
        <w:t>migrant groups</w:t>
      </w:r>
      <w:r w:rsidR="00646D30">
        <w:rPr>
          <w:rFonts w:cstheme="minorHAnsi"/>
        </w:rPr>
        <w:t xml:space="preserve"> on arrival</w:t>
      </w:r>
      <w:r w:rsidR="00110BB0" w:rsidRPr="00D76B47">
        <w:rPr>
          <w:rFonts w:cstheme="minorHAnsi"/>
        </w:rPr>
        <w:t>, when</w:t>
      </w:r>
      <w:r w:rsidR="000F00DB">
        <w:rPr>
          <w:rFonts w:cstheme="minorHAnsi"/>
        </w:rPr>
        <w:t xml:space="preserve"> and where</w:t>
      </w:r>
      <w:r w:rsidR="0072306E" w:rsidRPr="00D76B47">
        <w:rPr>
          <w:rFonts w:cstheme="minorHAnsi"/>
        </w:rPr>
        <w:t xml:space="preserve"> </w:t>
      </w:r>
      <w:r w:rsidR="00110BB0" w:rsidRPr="00D76B47">
        <w:rPr>
          <w:rFonts w:cstheme="minorHAnsi"/>
        </w:rPr>
        <w:t xml:space="preserve">in the migration </w:t>
      </w:r>
      <w:r w:rsidR="00E67D60" w:rsidRPr="00D76B47">
        <w:rPr>
          <w:rFonts w:cstheme="minorHAnsi"/>
        </w:rPr>
        <w:t xml:space="preserve">trajectory </w:t>
      </w:r>
      <w:r w:rsidR="0072306E" w:rsidRPr="00D76B47">
        <w:rPr>
          <w:rFonts w:cstheme="minorHAnsi"/>
        </w:rPr>
        <w:t>should provision be made</w:t>
      </w:r>
      <w:r w:rsidR="00890016">
        <w:rPr>
          <w:rFonts w:cstheme="minorHAnsi"/>
        </w:rPr>
        <w:t xml:space="preserve"> </w:t>
      </w:r>
      <w:r w:rsidR="000F00DB">
        <w:rPr>
          <w:rFonts w:cstheme="minorHAnsi"/>
        </w:rPr>
        <w:t xml:space="preserve">(at borders, </w:t>
      </w:r>
      <w:r w:rsidR="007F00B8">
        <w:rPr>
          <w:rFonts w:cstheme="minorHAnsi"/>
        </w:rPr>
        <w:t xml:space="preserve">reception centres, </w:t>
      </w:r>
      <w:r w:rsidR="000F00DB">
        <w:rPr>
          <w:rFonts w:cstheme="minorHAnsi"/>
        </w:rPr>
        <w:t>once settled</w:t>
      </w:r>
      <w:r w:rsidR="00030D50">
        <w:rPr>
          <w:rFonts w:cstheme="minorHAnsi"/>
        </w:rPr>
        <w:t>?</w:t>
      </w:r>
      <w:r w:rsidR="007F00B8">
        <w:rPr>
          <w:rFonts w:cstheme="minorHAnsi"/>
        </w:rPr>
        <w:t xml:space="preserve"> via</w:t>
      </w:r>
      <w:r w:rsidR="000F00DB">
        <w:rPr>
          <w:rFonts w:cstheme="minorHAnsi"/>
        </w:rPr>
        <w:t xml:space="preserve"> specialist </w:t>
      </w:r>
      <w:r w:rsidR="007F00B8">
        <w:rPr>
          <w:rFonts w:cstheme="minorHAnsi"/>
        </w:rPr>
        <w:t xml:space="preserve">or routine </w:t>
      </w:r>
      <w:r w:rsidR="000F00DB">
        <w:rPr>
          <w:rFonts w:cstheme="minorHAnsi"/>
        </w:rPr>
        <w:t>services</w:t>
      </w:r>
      <w:r w:rsidR="007F00B8">
        <w:rPr>
          <w:rFonts w:cstheme="minorHAnsi"/>
        </w:rPr>
        <w:t xml:space="preserve"> or </w:t>
      </w:r>
      <w:r w:rsidR="00DC478A">
        <w:rPr>
          <w:rFonts w:cstheme="minorHAnsi"/>
        </w:rPr>
        <w:t xml:space="preserve">leave it to </w:t>
      </w:r>
      <w:r w:rsidR="007F00B8">
        <w:rPr>
          <w:rFonts w:cstheme="minorHAnsi"/>
        </w:rPr>
        <w:t xml:space="preserve">NGOs?), </w:t>
      </w:r>
      <w:r w:rsidR="00110BB0" w:rsidRPr="00D76B47">
        <w:rPr>
          <w:rFonts w:cstheme="minorHAnsi"/>
        </w:rPr>
        <w:t xml:space="preserve">and what their </w:t>
      </w:r>
      <w:r w:rsidR="00DD2FC7" w:rsidRPr="00D76B47">
        <w:rPr>
          <w:rFonts w:cstheme="minorHAnsi"/>
        </w:rPr>
        <w:t xml:space="preserve">subsequent </w:t>
      </w:r>
      <w:r w:rsidR="00110BB0" w:rsidRPr="00D76B47">
        <w:rPr>
          <w:rFonts w:cstheme="minorHAnsi"/>
        </w:rPr>
        <w:t xml:space="preserve">level of </w:t>
      </w:r>
      <w:r w:rsidR="00980EBF">
        <w:rPr>
          <w:rFonts w:cstheme="minorHAnsi"/>
        </w:rPr>
        <w:t xml:space="preserve">right to </w:t>
      </w:r>
      <w:r w:rsidR="00110BB0" w:rsidRPr="00D76B47">
        <w:rPr>
          <w:rFonts w:cstheme="minorHAnsi"/>
        </w:rPr>
        <w:t xml:space="preserve">access the host health system should be. </w:t>
      </w:r>
      <w:r w:rsidR="0044285E">
        <w:rPr>
          <w:rFonts w:cstheme="minorHAnsi"/>
        </w:rPr>
        <w:t>Overall</w:t>
      </w:r>
      <w:r w:rsidR="00DD2FC7" w:rsidRPr="00D76B47">
        <w:rPr>
          <w:rFonts w:cstheme="minorHAnsi"/>
        </w:rPr>
        <w:t xml:space="preserve">, </w:t>
      </w:r>
      <w:r w:rsidR="00E67D60" w:rsidRPr="00D76B47">
        <w:rPr>
          <w:rFonts w:cstheme="minorHAnsi"/>
        </w:rPr>
        <w:t>European countries</w:t>
      </w:r>
      <w:r w:rsidR="00DD2FC7" w:rsidRPr="00D76B47">
        <w:rPr>
          <w:rFonts w:cstheme="minorHAnsi"/>
        </w:rPr>
        <w:t xml:space="preserve"> </w:t>
      </w:r>
      <w:r w:rsidR="00601146">
        <w:rPr>
          <w:rFonts w:cstheme="minorHAnsi"/>
        </w:rPr>
        <w:t>do not have a uniform approach to the provision of healthcare</w:t>
      </w:r>
      <w:r>
        <w:rPr>
          <w:rFonts w:cstheme="minorHAnsi"/>
        </w:rPr>
        <w:t xml:space="preserve"> </w:t>
      </w:r>
      <w:r w:rsidR="00B93912">
        <w:rPr>
          <w:rFonts w:cstheme="minorHAnsi"/>
        </w:rPr>
        <w:t xml:space="preserve">to </w:t>
      </w:r>
      <w:r w:rsidR="00D9284D">
        <w:rPr>
          <w:rFonts w:cstheme="minorHAnsi"/>
        </w:rPr>
        <w:t xml:space="preserve">these </w:t>
      </w:r>
      <w:r w:rsidR="00B93912">
        <w:rPr>
          <w:rFonts w:cstheme="minorHAnsi"/>
        </w:rPr>
        <w:t>populations</w:t>
      </w:r>
      <w:r w:rsidR="00D83AD6">
        <w:rPr>
          <w:rFonts w:cstheme="minorHAnsi"/>
        </w:rPr>
        <w:t xml:space="preserve">, with some countries </w:t>
      </w:r>
      <w:r w:rsidR="00265BE2">
        <w:rPr>
          <w:rFonts w:cstheme="minorHAnsi"/>
        </w:rPr>
        <w:t>more inclusive</w:t>
      </w:r>
      <w:r w:rsidR="00D83AD6">
        <w:rPr>
          <w:rFonts w:cstheme="minorHAnsi"/>
        </w:rPr>
        <w:t xml:space="preserve"> than others</w:t>
      </w:r>
      <w:r w:rsidR="0052343B">
        <w:rPr>
          <w:rFonts w:cstheme="minorHAnsi"/>
        </w:rPr>
        <w:t>,</w:t>
      </w:r>
      <w:r w:rsidR="00D83AD6">
        <w:rPr>
          <w:rFonts w:cstheme="minorHAnsi"/>
        </w:rPr>
        <w:t xml:space="preserve"> and </w:t>
      </w:r>
      <w:r w:rsidR="00B93912">
        <w:rPr>
          <w:rFonts w:cstheme="minorHAnsi"/>
        </w:rPr>
        <w:t xml:space="preserve">wide </w:t>
      </w:r>
      <w:r w:rsidR="00D83AD6">
        <w:rPr>
          <w:rFonts w:cstheme="minorHAnsi"/>
        </w:rPr>
        <w:t xml:space="preserve">discrepancies between policy and practice (see </w:t>
      </w:r>
      <w:hyperlink r:id="rId9" w:history="1">
        <w:r w:rsidR="00D83AD6" w:rsidRPr="006948EE">
          <w:rPr>
            <w:rStyle w:val="Hyperlink"/>
          </w:rPr>
          <w:t>https://www.mipex.eu/</w:t>
        </w:r>
      </w:hyperlink>
      <w:r w:rsidR="00D83AD6">
        <w:rPr>
          <w:rStyle w:val="Hyperlink"/>
        </w:rPr>
        <w:t>)</w:t>
      </w:r>
      <w:r w:rsidR="00206F28">
        <w:rPr>
          <w:rStyle w:val="Hyperlink"/>
        </w:rPr>
        <w:t>.</w:t>
      </w:r>
      <w:r w:rsidR="00646D30" w:rsidRPr="00BE349C">
        <w:rPr>
          <w:rFonts w:cstheme="minorHAnsi"/>
          <w:color w:val="000000" w:themeColor="text1"/>
        </w:rPr>
        <w:t xml:space="preserve"> </w:t>
      </w:r>
      <w:r w:rsidR="00120B3F" w:rsidRPr="00D76B47">
        <w:rPr>
          <w:rFonts w:cstheme="minorHAnsi"/>
        </w:rPr>
        <w:t>In a</w:t>
      </w:r>
      <w:r w:rsidR="00253B40" w:rsidRPr="00D76B47">
        <w:rPr>
          <w:rFonts w:cstheme="minorHAnsi"/>
        </w:rPr>
        <w:t xml:space="preserve"> </w:t>
      </w:r>
      <w:r w:rsidR="00D9284D">
        <w:rPr>
          <w:rFonts w:cstheme="minorHAnsi"/>
        </w:rPr>
        <w:t>recent</w:t>
      </w:r>
      <w:r w:rsidR="00120B3F" w:rsidRPr="00D76B47">
        <w:rPr>
          <w:rFonts w:cstheme="minorHAnsi"/>
        </w:rPr>
        <w:t xml:space="preserve"> </w:t>
      </w:r>
      <w:r w:rsidR="001A1BB5">
        <w:rPr>
          <w:rFonts w:cstheme="minorHAnsi"/>
        </w:rPr>
        <w:t>survey</w:t>
      </w:r>
      <w:r w:rsidR="00253B40" w:rsidRPr="00D76B47">
        <w:rPr>
          <w:rFonts w:cstheme="minorHAnsi"/>
        </w:rPr>
        <w:t xml:space="preserve"> of 25,</w:t>
      </w:r>
      <w:r w:rsidR="00F54DCE">
        <w:rPr>
          <w:rFonts w:cstheme="minorHAnsi"/>
        </w:rPr>
        <w:t>355</w:t>
      </w:r>
      <w:r w:rsidR="00253B40" w:rsidRPr="00D76B47">
        <w:rPr>
          <w:rFonts w:cstheme="minorHAnsi"/>
        </w:rPr>
        <w:t xml:space="preserve"> mostly non-EU/EEA migrants in European cities</w:t>
      </w:r>
      <w:r w:rsidR="00120B3F" w:rsidRPr="00D76B47">
        <w:rPr>
          <w:rFonts w:cstheme="minorHAnsi"/>
        </w:rPr>
        <w:t xml:space="preserve"> [</w:t>
      </w:r>
      <w:r w:rsidR="00A66FEA">
        <w:rPr>
          <w:rFonts w:cstheme="minorHAnsi"/>
        </w:rPr>
        <w:t>4</w:t>
      </w:r>
      <w:r w:rsidR="00120B3F" w:rsidRPr="00D76B47">
        <w:rPr>
          <w:rFonts w:cstheme="minorHAnsi"/>
        </w:rPr>
        <w:t>]</w:t>
      </w:r>
      <w:r w:rsidR="00253B40" w:rsidRPr="00D76B47">
        <w:rPr>
          <w:rFonts w:cstheme="minorHAnsi"/>
        </w:rPr>
        <w:t xml:space="preserve">, 78% had no </w:t>
      </w:r>
      <w:r w:rsidR="0023685D">
        <w:rPr>
          <w:rFonts w:cstheme="minorHAnsi"/>
        </w:rPr>
        <w:t>entitlement</w:t>
      </w:r>
      <w:r w:rsidR="00DD2FC7" w:rsidRPr="00D76B47">
        <w:rPr>
          <w:rFonts w:cstheme="minorHAnsi"/>
        </w:rPr>
        <w:t xml:space="preserve"> to access health services</w:t>
      </w:r>
      <w:r w:rsidR="008A0FD0">
        <w:rPr>
          <w:rFonts w:cstheme="minorHAnsi"/>
        </w:rPr>
        <w:t xml:space="preserve"> (most pregnant women hadn’t accessed antenatal services)</w:t>
      </w:r>
      <w:r w:rsidR="00646D30">
        <w:rPr>
          <w:rFonts w:cstheme="minorHAnsi"/>
        </w:rPr>
        <w:t>, with</w:t>
      </w:r>
      <w:r w:rsidR="00475026" w:rsidRPr="00D76B47">
        <w:rPr>
          <w:rFonts w:cstheme="minorHAnsi"/>
        </w:rPr>
        <w:t xml:space="preserve"> </w:t>
      </w:r>
      <w:r w:rsidR="00253B40" w:rsidRPr="00D76B47">
        <w:rPr>
          <w:rFonts w:cstheme="minorHAnsi"/>
        </w:rPr>
        <w:t xml:space="preserve">91% </w:t>
      </w:r>
      <w:r w:rsidR="00980EBF">
        <w:rPr>
          <w:rFonts w:cstheme="minorHAnsi"/>
        </w:rPr>
        <w:t xml:space="preserve">of </w:t>
      </w:r>
      <w:r w:rsidR="00506FA4">
        <w:rPr>
          <w:rFonts w:cstheme="minorHAnsi"/>
        </w:rPr>
        <w:t xml:space="preserve">the </w:t>
      </w:r>
      <w:r w:rsidR="00980EBF">
        <w:rPr>
          <w:rFonts w:cstheme="minorHAnsi"/>
        </w:rPr>
        <w:t xml:space="preserve">migrant population </w:t>
      </w:r>
      <w:r w:rsidR="00253B40" w:rsidRPr="00D76B47">
        <w:rPr>
          <w:rFonts w:cstheme="minorHAnsi"/>
        </w:rPr>
        <w:t>liv</w:t>
      </w:r>
      <w:r w:rsidR="00646D30">
        <w:rPr>
          <w:rFonts w:cstheme="minorHAnsi"/>
        </w:rPr>
        <w:t>ing</w:t>
      </w:r>
      <w:r w:rsidR="00253B40" w:rsidRPr="00D76B47">
        <w:rPr>
          <w:rFonts w:cstheme="minorHAnsi"/>
        </w:rPr>
        <w:t xml:space="preserve"> below the poverty line</w:t>
      </w:r>
      <w:r w:rsidR="000F00DB">
        <w:rPr>
          <w:rFonts w:cstheme="minorHAnsi"/>
        </w:rPr>
        <w:t xml:space="preserve">, highlighting that thousands of migrants in Europe are excluded from accessing basic </w:t>
      </w:r>
      <w:r w:rsidR="007F00B8">
        <w:rPr>
          <w:rFonts w:cstheme="minorHAnsi"/>
        </w:rPr>
        <w:t xml:space="preserve">primary </w:t>
      </w:r>
      <w:r w:rsidR="000F00DB">
        <w:rPr>
          <w:rFonts w:cstheme="minorHAnsi"/>
        </w:rPr>
        <w:t>health care</w:t>
      </w:r>
      <w:r w:rsidR="007F00B8">
        <w:rPr>
          <w:rFonts w:cstheme="minorHAnsi"/>
        </w:rPr>
        <w:t xml:space="preserve"> at the current time</w:t>
      </w:r>
      <w:r w:rsidR="000F00DB">
        <w:rPr>
          <w:rFonts w:cstheme="minorHAnsi"/>
        </w:rPr>
        <w:t>.</w:t>
      </w:r>
      <w:r w:rsidR="00DC478A">
        <w:rPr>
          <w:rFonts w:cstheme="minorHAnsi"/>
        </w:rPr>
        <w:t xml:space="preserve"> </w:t>
      </w:r>
      <w:r w:rsidR="00DC478A" w:rsidRPr="00262547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Migrants are often overlooked in health programmes, with high levels of drop-out and poor linkage to care</w:t>
      </w:r>
      <w:r w:rsidR="00DC478A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.</w:t>
      </w:r>
    </w:p>
    <w:p w14:paraId="6EE2AAF5" w14:textId="5AB42E28" w:rsidR="00DA5F22" w:rsidRPr="00D35614" w:rsidRDefault="00B267B2" w:rsidP="009A5DBF">
      <w:pPr>
        <w:spacing w:line="360" w:lineRule="auto"/>
        <w:ind w:firstLine="426"/>
        <w:jc w:val="both"/>
        <w:rPr>
          <w:rFonts w:cstheme="minorHAnsi"/>
        </w:rPr>
      </w:pPr>
      <w:r w:rsidRPr="00D76B47">
        <w:rPr>
          <w:rFonts w:cstheme="minorHAnsi"/>
        </w:rPr>
        <w:t>The ECDC has</w:t>
      </w:r>
      <w:r>
        <w:rPr>
          <w:rFonts w:cstheme="minorHAnsi"/>
        </w:rPr>
        <w:t xml:space="preserve"> recently </w:t>
      </w:r>
      <w:r w:rsidRPr="00D76B47">
        <w:rPr>
          <w:rFonts w:cstheme="minorHAnsi"/>
        </w:rPr>
        <w:t>published a technical report specifically focusing on infectious disease vulnerabilities</w:t>
      </w:r>
      <w:r>
        <w:rPr>
          <w:rFonts w:cstheme="minorHAnsi"/>
        </w:rPr>
        <w:t xml:space="preserve"> among displaced populations from Ukraine</w:t>
      </w:r>
      <w:r w:rsidR="007B5C7E">
        <w:rPr>
          <w:rFonts w:cstheme="minorHAnsi"/>
        </w:rPr>
        <w:t xml:space="preserve">, summarising </w:t>
      </w:r>
      <w:r w:rsidR="007B5C7E" w:rsidRPr="00D76B47">
        <w:rPr>
          <w:rFonts w:cstheme="minorHAnsi"/>
        </w:rPr>
        <w:t>key infectious diseases</w:t>
      </w:r>
      <w:r w:rsidR="007B5C7E">
        <w:rPr>
          <w:rFonts w:cstheme="minorHAnsi"/>
        </w:rPr>
        <w:t xml:space="preserve"> </w:t>
      </w:r>
      <w:r w:rsidR="007B5C7E" w:rsidRPr="00D76B47">
        <w:rPr>
          <w:rFonts w:cstheme="minorHAnsi"/>
        </w:rPr>
        <w:t>that may be particularly relevant</w:t>
      </w:r>
      <w:r w:rsidR="007B5C7E">
        <w:rPr>
          <w:rFonts w:cstheme="minorHAnsi"/>
        </w:rPr>
        <w:t xml:space="preserve"> for this group</w:t>
      </w:r>
      <w:r w:rsidRPr="00D76B47">
        <w:rPr>
          <w:rFonts w:cstheme="minorHAnsi"/>
        </w:rPr>
        <w:t xml:space="preserve"> [</w:t>
      </w:r>
      <w:r w:rsidR="00C1753A">
        <w:rPr>
          <w:rFonts w:cstheme="minorHAnsi"/>
        </w:rPr>
        <w:t>5</w:t>
      </w:r>
      <w:r w:rsidRPr="00D76B47">
        <w:rPr>
          <w:rFonts w:cstheme="minorHAnsi"/>
        </w:rPr>
        <w:t>]</w:t>
      </w:r>
      <w:r>
        <w:rPr>
          <w:rFonts w:cstheme="minorHAnsi"/>
        </w:rPr>
        <w:t xml:space="preserve">. </w:t>
      </w:r>
      <w:r w:rsidR="00110BB0" w:rsidRPr="00D76B47">
        <w:rPr>
          <w:rFonts w:cstheme="minorHAnsi"/>
        </w:rPr>
        <w:t xml:space="preserve">In the case of </w:t>
      </w:r>
      <w:r w:rsidR="00601146">
        <w:rPr>
          <w:rFonts w:cstheme="minorHAnsi"/>
        </w:rPr>
        <w:t xml:space="preserve">displaced people from </w:t>
      </w:r>
      <w:r w:rsidR="00110BB0" w:rsidRPr="00D76B47">
        <w:rPr>
          <w:rFonts w:cstheme="minorHAnsi"/>
        </w:rPr>
        <w:t>Ukrain</w:t>
      </w:r>
      <w:r w:rsidR="00265BE2">
        <w:rPr>
          <w:rFonts w:cstheme="minorHAnsi"/>
        </w:rPr>
        <w:t>e</w:t>
      </w:r>
      <w:r w:rsidR="007B5C7E">
        <w:rPr>
          <w:rFonts w:cstheme="minorHAnsi"/>
        </w:rPr>
        <w:t>, as well as</w:t>
      </w:r>
      <w:r w:rsidR="00DD2FC7" w:rsidRPr="00D76B47">
        <w:rPr>
          <w:rFonts w:cstheme="minorHAnsi"/>
        </w:rPr>
        <w:t xml:space="preserve"> newly arrived migrants in general [</w:t>
      </w:r>
      <w:r w:rsidR="00C1753A">
        <w:rPr>
          <w:rFonts w:cstheme="minorHAnsi"/>
        </w:rPr>
        <w:t>6</w:t>
      </w:r>
      <w:r w:rsidR="00DD2FC7" w:rsidRPr="00D76B47">
        <w:rPr>
          <w:rFonts w:cstheme="minorHAnsi"/>
        </w:rPr>
        <w:t>]</w:t>
      </w:r>
      <w:r w:rsidR="00A04E30">
        <w:rPr>
          <w:rFonts w:cstheme="minorHAnsi"/>
        </w:rPr>
        <w:t>,</w:t>
      </w:r>
      <w:r w:rsidR="00110BB0" w:rsidRPr="00D76B47">
        <w:rPr>
          <w:rFonts w:cstheme="minorHAnsi"/>
        </w:rPr>
        <w:t xml:space="preserve"> </w:t>
      </w:r>
      <w:r w:rsidR="0044285E">
        <w:rPr>
          <w:rFonts w:cstheme="minorHAnsi"/>
        </w:rPr>
        <w:t xml:space="preserve">the </w:t>
      </w:r>
      <w:r w:rsidR="00413CF0" w:rsidRPr="00D76B47">
        <w:rPr>
          <w:rFonts w:cstheme="minorHAnsi"/>
        </w:rPr>
        <w:t xml:space="preserve">ECDC </w:t>
      </w:r>
      <w:r w:rsidR="007B5C7E">
        <w:rPr>
          <w:rFonts w:cstheme="minorHAnsi"/>
        </w:rPr>
        <w:t xml:space="preserve">report </w:t>
      </w:r>
      <w:r w:rsidR="00413CF0" w:rsidRPr="00D76B47">
        <w:rPr>
          <w:rFonts w:cstheme="minorHAnsi"/>
        </w:rPr>
        <w:t xml:space="preserve">highlights the importance of </w:t>
      </w:r>
      <w:r w:rsidR="00D0784E" w:rsidRPr="00D76B47">
        <w:rPr>
          <w:rFonts w:cstheme="minorHAnsi"/>
        </w:rPr>
        <w:t xml:space="preserve">a </w:t>
      </w:r>
      <w:r w:rsidR="00413CF0" w:rsidRPr="00D76B47">
        <w:rPr>
          <w:rFonts w:cstheme="minorHAnsi"/>
        </w:rPr>
        <w:t xml:space="preserve">holistic approach in providing </w:t>
      </w:r>
      <w:r w:rsidR="00C1753A">
        <w:rPr>
          <w:rFonts w:cstheme="minorHAnsi"/>
        </w:rPr>
        <w:t>healthcare</w:t>
      </w:r>
      <w:r w:rsidR="00110BB0" w:rsidRPr="00D76B47">
        <w:rPr>
          <w:rFonts w:cstheme="minorHAnsi"/>
        </w:rPr>
        <w:t xml:space="preserve">, echoing previous </w:t>
      </w:r>
      <w:r w:rsidR="00A04E30">
        <w:rPr>
          <w:rFonts w:cstheme="minorHAnsi"/>
        </w:rPr>
        <w:t xml:space="preserve">evidence </w:t>
      </w:r>
      <w:r w:rsidR="00120B3F" w:rsidRPr="00D76B47">
        <w:rPr>
          <w:rFonts w:cstheme="minorHAnsi"/>
        </w:rPr>
        <w:t>[</w:t>
      </w:r>
      <w:r w:rsidR="00C1753A">
        <w:rPr>
          <w:rFonts w:cstheme="minorHAnsi"/>
        </w:rPr>
        <w:t>7</w:t>
      </w:r>
      <w:r w:rsidR="00A66FEA">
        <w:rPr>
          <w:rFonts w:cstheme="minorHAnsi"/>
        </w:rPr>
        <w:t>,</w:t>
      </w:r>
      <w:r w:rsidR="00C1753A">
        <w:rPr>
          <w:rFonts w:cstheme="minorHAnsi"/>
        </w:rPr>
        <w:t>8</w:t>
      </w:r>
      <w:r w:rsidR="00120B3F" w:rsidRPr="00D76B47">
        <w:rPr>
          <w:rFonts w:cstheme="minorHAnsi"/>
        </w:rPr>
        <w:t xml:space="preserve">]. </w:t>
      </w:r>
      <w:r w:rsidR="00413CF0" w:rsidRPr="00D76B47">
        <w:rPr>
          <w:rFonts w:cstheme="minorHAnsi"/>
        </w:rPr>
        <w:t xml:space="preserve">Such </w:t>
      </w:r>
      <w:r w:rsidR="00D0784E" w:rsidRPr="00D76B47">
        <w:rPr>
          <w:rFonts w:cstheme="minorHAnsi"/>
        </w:rPr>
        <w:t xml:space="preserve">an </w:t>
      </w:r>
      <w:r w:rsidR="00413CF0" w:rsidRPr="00D76B47">
        <w:rPr>
          <w:rFonts w:cstheme="minorHAnsi"/>
        </w:rPr>
        <w:t xml:space="preserve">approach </w:t>
      </w:r>
      <w:r w:rsidR="00265BE2">
        <w:rPr>
          <w:rFonts w:cstheme="minorHAnsi"/>
        </w:rPr>
        <w:t>requires</w:t>
      </w:r>
      <w:r w:rsidR="00413CF0" w:rsidRPr="00D76B47">
        <w:rPr>
          <w:rFonts w:cstheme="minorHAnsi"/>
        </w:rPr>
        <w:t xml:space="preserve"> that </w:t>
      </w:r>
      <w:r w:rsidR="003F0AAB" w:rsidRPr="00D76B47">
        <w:rPr>
          <w:rFonts w:cstheme="minorHAnsi"/>
        </w:rPr>
        <w:t>all migrants</w:t>
      </w:r>
      <w:r w:rsidR="00413CF0" w:rsidRPr="00D76B47">
        <w:rPr>
          <w:rFonts w:cstheme="minorHAnsi"/>
        </w:rPr>
        <w:t xml:space="preserve"> should benefit from the same level of healthcare access as host populations</w:t>
      </w:r>
      <w:r w:rsidR="003F0AAB" w:rsidRPr="00D76B47">
        <w:rPr>
          <w:rFonts w:cstheme="minorHAnsi"/>
        </w:rPr>
        <w:t xml:space="preserve"> to align with </w:t>
      </w:r>
      <w:r w:rsidR="00594334" w:rsidRPr="00D76B47">
        <w:rPr>
          <w:rFonts w:cstheme="minorHAnsi"/>
        </w:rPr>
        <w:t>principles</w:t>
      </w:r>
      <w:r w:rsidR="003F0AAB" w:rsidRPr="00D76B47">
        <w:rPr>
          <w:rFonts w:cstheme="minorHAnsi"/>
        </w:rPr>
        <w:t xml:space="preserve"> of Universal Health Coverage</w:t>
      </w:r>
      <w:r w:rsidR="00F9786B">
        <w:rPr>
          <w:rFonts w:cstheme="minorHAnsi"/>
        </w:rPr>
        <w:t xml:space="preserve"> and </w:t>
      </w:r>
      <w:r w:rsidR="00E01127">
        <w:rPr>
          <w:rFonts w:cstheme="minorHAnsi"/>
        </w:rPr>
        <w:t xml:space="preserve">the </w:t>
      </w:r>
      <w:r w:rsidR="00F9786B">
        <w:rPr>
          <w:rFonts w:cstheme="minorHAnsi"/>
        </w:rPr>
        <w:t>Right to Health</w:t>
      </w:r>
      <w:r w:rsidR="00DD2FC7" w:rsidRPr="00D76B47">
        <w:rPr>
          <w:rFonts w:cstheme="minorHAnsi"/>
        </w:rPr>
        <w:t>.</w:t>
      </w:r>
      <w:r w:rsidR="00A66FEA" w:rsidRPr="00A66FEA">
        <w:rPr>
          <w:rFonts w:cstheme="minorHAnsi"/>
        </w:rPr>
        <w:t xml:space="preserve"> </w:t>
      </w:r>
      <w:r w:rsidR="009A5DBF">
        <w:rPr>
          <w:rFonts w:cstheme="minorHAnsi"/>
        </w:rPr>
        <w:t>K</w:t>
      </w:r>
      <w:r w:rsidR="00A66FEA">
        <w:rPr>
          <w:rFonts w:cstheme="minorHAnsi"/>
        </w:rPr>
        <w:t xml:space="preserve">ey health risks in the </w:t>
      </w:r>
      <w:r w:rsidR="005E7EB5">
        <w:rPr>
          <w:rFonts w:cstheme="minorHAnsi"/>
        </w:rPr>
        <w:t>next 3 months in those displaced from Ukrain</w:t>
      </w:r>
      <w:r w:rsidR="00206F28">
        <w:rPr>
          <w:rFonts w:cstheme="minorHAnsi"/>
        </w:rPr>
        <w:t>e</w:t>
      </w:r>
      <w:r w:rsidR="005E7EB5">
        <w:rPr>
          <w:rFonts w:cstheme="minorHAnsi"/>
        </w:rPr>
        <w:t xml:space="preserve"> as </w:t>
      </w:r>
      <w:r w:rsidR="00840AD3">
        <w:rPr>
          <w:rFonts w:cstheme="minorHAnsi"/>
        </w:rPr>
        <w:t xml:space="preserve">morbidity and mortality from </w:t>
      </w:r>
      <w:r w:rsidR="00E82163" w:rsidRPr="00D76B47">
        <w:rPr>
          <w:rFonts w:cstheme="minorHAnsi"/>
        </w:rPr>
        <w:t xml:space="preserve">cardiovascular disease (heart attack, stroke), chronic respiratory diseases, diabetes, </w:t>
      </w:r>
      <w:r w:rsidR="00D959CD">
        <w:rPr>
          <w:rFonts w:cstheme="minorHAnsi"/>
        </w:rPr>
        <w:t xml:space="preserve">mental health and </w:t>
      </w:r>
      <w:r w:rsidR="00E77314" w:rsidRPr="00D76B47">
        <w:rPr>
          <w:rFonts w:cstheme="minorHAnsi"/>
        </w:rPr>
        <w:t>chronic infectious diseases (</w:t>
      </w:r>
      <w:r w:rsidR="00C307D6">
        <w:rPr>
          <w:rFonts w:cstheme="minorHAnsi"/>
        </w:rPr>
        <w:t>TB</w:t>
      </w:r>
      <w:r w:rsidR="00E77314" w:rsidRPr="00D76B47">
        <w:rPr>
          <w:rFonts w:cstheme="minorHAnsi"/>
        </w:rPr>
        <w:t xml:space="preserve">, HIV, </w:t>
      </w:r>
      <w:r w:rsidR="00E77314" w:rsidRPr="00D76B47">
        <w:rPr>
          <w:rFonts w:cstheme="minorHAnsi"/>
        </w:rPr>
        <w:lastRenderedPageBreak/>
        <w:t>H</w:t>
      </w:r>
      <w:r w:rsidR="00506FA4">
        <w:rPr>
          <w:rFonts w:cstheme="minorHAnsi"/>
        </w:rPr>
        <w:t>epatitis B and C</w:t>
      </w:r>
      <w:r w:rsidR="00E77314" w:rsidRPr="00D76B47">
        <w:rPr>
          <w:rFonts w:cstheme="minorHAnsi"/>
        </w:rPr>
        <w:t xml:space="preserve">), </w:t>
      </w:r>
      <w:r w:rsidR="00E82163" w:rsidRPr="00D76B47">
        <w:rPr>
          <w:rFonts w:cstheme="minorHAnsi"/>
        </w:rPr>
        <w:t>due to</w:t>
      </w:r>
      <w:r w:rsidR="005E7EB5" w:rsidRPr="005E7EB5">
        <w:rPr>
          <w:rFonts w:cstheme="minorHAnsi"/>
        </w:rPr>
        <w:t xml:space="preserve"> </w:t>
      </w:r>
      <w:r w:rsidR="005E7EB5">
        <w:rPr>
          <w:rFonts w:cstheme="minorHAnsi"/>
        </w:rPr>
        <w:t>i</w:t>
      </w:r>
      <w:r w:rsidR="005E7EB5" w:rsidRPr="00D76B47">
        <w:rPr>
          <w:rFonts w:cstheme="minorHAnsi"/>
        </w:rPr>
        <w:t>nterruption in supply of medicines</w:t>
      </w:r>
      <w:r w:rsidR="005E7EB5">
        <w:rPr>
          <w:rFonts w:cstheme="minorHAnsi"/>
        </w:rPr>
        <w:t xml:space="preserve"> and </w:t>
      </w:r>
      <w:r w:rsidR="005E7EB5" w:rsidRPr="00D76B47">
        <w:rPr>
          <w:rFonts w:cstheme="minorHAnsi"/>
        </w:rPr>
        <w:t>limited access to healthcare</w:t>
      </w:r>
      <w:r w:rsidR="005E7EB5">
        <w:rPr>
          <w:rFonts w:cstheme="minorHAnsi"/>
        </w:rPr>
        <w:t xml:space="preserve"> professionals</w:t>
      </w:r>
      <w:r w:rsidR="00E82163" w:rsidRPr="00D76B47">
        <w:rPr>
          <w:rFonts w:cstheme="minorHAnsi"/>
        </w:rPr>
        <w:t xml:space="preserve"> [</w:t>
      </w:r>
      <w:r w:rsidR="00C1753A">
        <w:rPr>
          <w:rFonts w:cstheme="minorHAnsi"/>
        </w:rPr>
        <w:t>9</w:t>
      </w:r>
      <w:r w:rsidR="00E82163" w:rsidRPr="00D76B47">
        <w:rPr>
          <w:rFonts w:cstheme="minorHAnsi"/>
        </w:rPr>
        <w:t>].</w:t>
      </w:r>
      <w:r w:rsidR="009A5DBF">
        <w:rPr>
          <w:rFonts w:cstheme="minorHAnsi"/>
        </w:rPr>
        <w:t xml:space="preserve"> </w:t>
      </w:r>
      <w:r w:rsidR="00DA5F22" w:rsidRPr="008F2280">
        <w:rPr>
          <w:rFonts w:cstheme="minorHAnsi"/>
        </w:rPr>
        <w:t xml:space="preserve">Ukraine reported the second-highest number of TB cases in the WHO European </w:t>
      </w:r>
      <w:r w:rsidR="00DA5F22" w:rsidRPr="0044285E">
        <w:rPr>
          <w:rFonts w:cstheme="minorHAnsi"/>
        </w:rPr>
        <w:t>Region, with 27.2% of new cases being multi-drug-resistant (Ukraine is one of the top 10 countries glob</w:t>
      </w:r>
      <w:r w:rsidR="00DA5F22" w:rsidRPr="00463363">
        <w:rPr>
          <w:rFonts w:cstheme="minorHAnsi"/>
        </w:rPr>
        <w:t>ally</w:t>
      </w:r>
      <w:r w:rsidR="00463363" w:rsidRPr="00463363">
        <w:rPr>
          <w:rFonts w:cstheme="minorHAnsi"/>
        </w:rPr>
        <w:t>; levels of TB, however, are lower in women and children</w:t>
      </w:r>
      <w:r w:rsidR="00463363" w:rsidRPr="005B468A">
        <w:rPr>
          <w:rFonts w:cstheme="minorHAnsi"/>
        </w:rPr>
        <w:t>, 29% and 2% respectively</w:t>
      </w:r>
      <w:r w:rsidR="00463363">
        <w:rPr>
          <w:rFonts w:cstheme="minorHAnsi"/>
        </w:rPr>
        <w:t>, compared to men</w:t>
      </w:r>
      <w:r w:rsidR="00DA5F22" w:rsidRPr="00463363">
        <w:rPr>
          <w:rFonts w:cstheme="minorHAnsi"/>
        </w:rPr>
        <w:t xml:space="preserve">) </w:t>
      </w:r>
      <w:r w:rsidR="00DA5F22" w:rsidRPr="0044285E">
        <w:rPr>
          <w:rFonts w:cstheme="minorHAnsi"/>
        </w:rPr>
        <w:t>[</w:t>
      </w:r>
      <w:r w:rsidR="00C1753A">
        <w:rPr>
          <w:rFonts w:cstheme="minorHAnsi"/>
        </w:rPr>
        <w:t>10</w:t>
      </w:r>
      <w:r w:rsidR="00DA5F22" w:rsidRPr="0044285E">
        <w:rPr>
          <w:rFonts w:cstheme="minorHAnsi"/>
        </w:rPr>
        <w:t>], making TB a critical concern</w:t>
      </w:r>
      <w:r w:rsidR="00787FD7" w:rsidRPr="0044285E">
        <w:rPr>
          <w:rFonts w:cstheme="minorHAnsi"/>
        </w:rPr>
        <w:t xml:space="preserve">, </w:t>
      </w:r>
      <w:r w:rsidR="00DA5F22" w:rsidRPr="0044285E">
        <w:rPr>
          <w:rFonts w:cstheme="minorHAnsi"/>
        </w:rPr>
        <w:t>as observed during other humanitarian crises</w:t>
      </w:r>
      <w:r w:rsidR="009644B2">
        <w:rPr>
          <w:rFonts w:cstheme="minorHAnsi"/>
        </w:rPr>
        <w:t>, in crowded settings with populations who have limited access to health services</w:t>
      </w:r>
      <w:r w:rsidR="00FD4EC2" w:rsidRPr="0044285E">
        <w:rPr>
          <w:rFonts w:cstheme="minorHAnsi"/>
        </w:rPr>
        <w:t>.</w:t>
      </w:r>
      <w:r w:rsidR="008F2280" w:rsidRPr="005B468A">
        <w:rPr>
          <w:rFonts w:cstheme="minorHAnsi"/>
        </w:rPr>
        <w:t xml:space="preserve"> Cases of </w:t>
      </w:r>
      <w:r w:rsidR="009644B2">
        <w:rPr>
          <w:rFonts w:cstheme="minorHAnsi"/>
        </w:rPr>
        <w:t xml:space="preserve">TB/HIV </w:t>
      </w:r>
      <w:r w:rsidR="008F2280" w:rsidRPr="005B468A">
        <w:rPr>
          <w:rFonts w:cstheme="minorHAnsi"/>
        </w:rPr>
        <w:t xml:space="preserve">coinfection in Ukraine </w:t>
      </w:r>
      <w:r w:rsidR="009644B2">
        <w:rPr>
          <w:rFonts w:cstheme="minorHAnsi"/>
        </w:rPr>
        <w:t>are</w:t>
      </w:r>
      <w:r w:rsidR="008F2280" w:rsidRPr="005B468A">
        <w:rPr>
          <w:rFonts w:cstheme="minorHAnsi"/>
        </w:rPr>
        <w:t xml:space="preserve"> among the highest in Europe (23% of coinfection</w:t>
      </w:r>
      <w:r w:rsidR="00DE7A1F">
        <w:rPr>
          <w:rFonts w:cstheme="minorHAnsi"/>
        </w:rPr>
        <w:t>s are</w:t>
      </w:r>
      <w:r w:rsidR="008F2280" w:rsidRPr="005B468A">
        <w:rPr>
          <w:rFonts w:cstheme="minorHAnsi"/>
        </w:rPr>
        <w:t xml:space="preserve"> among new and relapse</w:t>
      </w:r>
      <w:r w:rsidR="00DE7A1F">
        <w:rPr>
          <w:rFonts w:cstheme="minorHAnsi"/>
        </w:rPr>
        <w:t>d</w:t>
      </w:r>
      <w:r w:rsidR="008F2280" w:rsidRPr="005B468A">
        <w:rPr>
          <w:rFonts w:cstheme="minorHAnsi"/>
        </w:rPr>
        <w:t xml:space="preserve"> TB cases)</w:t>
      </w:r>
      <w:r w:rsidR="008F2280">
        <w:rPr>
          <w:rFonts w:cstheme="minorHAnsi"/>
        </w:rPr>
        <w:t>, which should be considered by healthcare providers</w:t>
      </w:r>
      <w:r w:rsidR="00DE7A1F">
        <w:rPr>
          <w:rFonts w:cstheme="minorHAnsi"/>
        </w:rPr>
        <w:t xml:space="preserve">. </w:t>
      </w:r>
      <w:r w:rsidR="00DA5F22" w:rsidRPr="00D35614">
        <w:rPr>
          <w:rFonts w:cstheme="minorHAnsi"/>
        </w:rPr>
        <w:t xml:space="preserve">Careful consideration should be given to </w:t>
      </w:r>
      <w:r w:rsidR="00265BE2" w:rsidRPr="00D35614">
        <w:rPr>
          <w:rFonts w:cstheme="minorHAnsi"/>
        </w:rPr>
        <w:t>mental distress</w:t>
      </w:r>
      <w:r w:rsidR="00DA5F22" w:rsidRPr="00D35614">
        <w:rPr>
          <w:rFonts w:cstheme="minorHAnsi"/>
        </w:rPr>
        <w:t xml:space="preserve"> and trauma, combined with the uncertainties of a life as a refugee</w:t>
      </w:r>
      <w:r w:rsidR="00050C3F" w:rsidRPr="0044285E">
        <w:rPr>
          <w:rFonts w:cstheme="minorHAnsi"/>
        </w:rPr>
        <w:t xml:space="preserve"> and long stays in camp and transit conditions</w:t>
      </w:r>
      <w:r w:rsidR="00DA5F22" w:rsidRPr="0044285E">
        <w:rPr>
          <w:rFonts w:cstheme="minorHAnsi"/>
        </w:rPr>
        <w:t xml:space="preserve"> [</w:t>
      </w:r>
      <w:r w:rsidR="00FD4EC2" w:rsidRPr="0044285E">
        <w:rPr>
          <w:rFonts w:cstheme="minorHAnsi"/>
        </w:rPr>
        <w:t>1</w:t>
      </w:r>
      <w:r w:rsidR="00C1753A">
        <w:rPr>
          <w:rFonts w:cstheme="minorHAnsi"/>
        </w:rPr>
        <w:t>1</w:t>
      </w:r>
      <w:r w:rsidR="00DA5F22" w:rsidRPr="0044285E">
        <w:rPr>
          <w:rFonts w:cstheme="minorHAnsi"/>
        </w:rPr>
        <w:t>].</w:t>
      </w:r>
    </w:p>
    <w:p w14:paraId="62D610C6" w14:textId="7468422A" w:rsidR="007A7BF4" w:rsidRPr="00D76B47" w:rsidRDefault="001E4954" w:rsidP="00D76B47">
      <w:pPr>
        <w:spacing w:line="36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Addressing v</w:t>
      </w:r>
      <w:r w:rsidR="0044212A" w:rsidRPr="00D76B47">
        <w:rPr>
          <w:rFonts w:cstheme="minorHAnsi"/>
        </w:rPr>
        <w:t xml:space="preserve">accine-preventable </w:t>
      </w:r>
      <w:r w:rsidR="006E1A4F" w:rsidRPr="00D76B47">
        <w:rPr>
          <w:rFonts w:cstheme="minorHAnsi"/>
        </w:rPr>
        <w:t>infectious diseases</w:t>
      </w:r>
      <w:r w:rsidR="0044212A" w:rsidRPr="00D76B47">
        <w:rPr>
          <w:rFonts w:cstheme="minorHAnsi"/>
        </w:rPr>
        <w:t>, such</w:t>
      </w:r>
      <w:r w:rsidR="00206F28">
        <w:rPr>
          <w:rFonts w:cstheme="minorHAnsi"/>
        </w:rPr>
        <w:t xml:space="preserve"> as </w:t>
      </w:r>
      <w:r w:rsidR="0044212A" w:rsidRPr="00D76B47">
        <w:rPr>
          <w:rFonts w:cstheme="minorHAnsi"/>
        </w:rPr>
        <w:t>poliomyelitis</w:t>
      </w:r>
      <w:r w:rsidR="00206F28">
        <w:rPr>
          <w:rFonts w:cstheme="minorHAnsi"/>
        </w:rPr>
        <w:t xml:space="preserve">, </w:t>
      </w:r>
      <w:r w:rsidR="0044212A" w:rsidRPr="00D76B47">
        <w:rPr>
          <w:rFonts w:cstheme="minorHAnsi"/>
        </w:rPr>
        <w:t>measles</w:t>
      </w:r>
      <w:r w:rsidR="00206F28">
        <w:rPr>
          <w:rFonts w:cstheme="minorHAnsi"/>
        </w:rPr>
        <w:t xml:space="preserve">, </w:t>
      </w:r>
      <w:r w:rsidR="00EF4296">
        <w:rPr>
          <w:rFonts w:cstheme="minorHAnsi"/>
        </w:rPr>
        <w:t>and COVID-19</w:t>
      </w:r>
      <w:r w:rsidR="00E01127">
        <w:rPr>
          <w:rFonts w:cstheme="minorHAnsi"/>
        </w:rPr>
        <w:t>,</w:t>
      </w:r>
      <w:r w:rsidR="00D5001F" w:rsidRPr="00D76B47">
        <w:rPr>
          <w:rFonts w:cstheme="minorHAnsi"/>
        </w:rPr>
        <w:t xml:space="preserve"> </w:t>
      </w:r>
      <w:r>
        <w:rPr>
          <w:rFonts w:cstheme="minorHAnsi"/>
        </w:rPr>
        <w:t>will be</w:t>
      </w:r>
      <w:r w:rsidR="00DA5F22">
        <w:rPr>
          <w:rFonts w:cstheme="minorHAnsi"/>
        </w:rPr>
        <w:t xml:space="preserve"> an</w:t>
      </w:r>
      <w:r w:rsidR="00D8555F">
        <w:rPr>
          <w:rFonts w:cstheme="minorHAnsi"/>
        </w:rPr>
        <w:t xml:space="preserve"> important priorit</w:t>
      </w:r>
      <w:r w:rsidR="00DA5F22">
        <w:rPr>
          <w:rFonts w:cstheme="minorHAnsi"/>
        </w:rPr>
        <w:t>y</w:t>
      </w:r>
      <w:r w:rsidR="00841D84">
        <w:rPr>
          <w:rFonts w:cstheme="minorHAnsi"/>
        </w:rPr>
        <w:t xml:space="preserve"> </w:t>
      </w:r>
      <w:r w:rsidR="00841D84" w:rsidRPr="00AD451B">
        <w:rPr>
          <w:rFonts w:cstheme="minorHAnsi"/>
        </w:rPr>
        <w:t>[</w:t>
      </w:r>
      <w:r w:rsidR="00C1753A">
        <w:rPr>
          <w:rFonts w:cstheme="minorHAnsi"/>
        </w:rPr>
        <w:t>5</w:t>
      </w:r>
      <w:r w:rsidR="00841D84">
        <w:rPr>
          <w:rFonts w:cstheme="minorHAnsi"/>
        </w:rPr>
        <w:t>,</w:t>
      </w:r>
      <w:r w:rsidR="00C1753A">
        <w:rPr>
          <w:rFonts w:cstheme="minorHAnsi"/>
        </w:rPr>
        <w:t>9</w:t>
      </w:r>
      <w:r w:rsidR="00E01127">
        <w:rPr>
          <w:rFonts w:cstheme="minorHAnsi"/>
        </w:rPr>
        <w:t>]</w:t>
      </w:r>
      <w:r w:rsidR="00624469">
        <w:rPr>
          <w:rFonts w:cstheme="minorHAnsi"/>
        </w:rPr>
        <w:t>.</w:t>
      </w:r>
      <w:r w:rsidR="00206F28">
        <w:rPr>
          <w:rFonts w:cstheme="minorHAnsi"/>
        </w:rPr>
        <w:t xml:space="preserve"> An outbreak of polio was reported in Ukraine in 2021, with the country reporting the second-highest number of measles cases in Europe in the same year. </w:t>
      </w:r>
      <w:r w:rsidR="00624469">
        <w:rPr>
          <w:rFonts w:cstheme="minorHAnsi"/>
        </w:rPr>
        <w:t>C</w:t>
      </w:r>
      <w:r w:rsidR="006F2878" w:rsidRPr="00D76B47">
        <w:rPr>
          <w:rFonts w:cstheme="minorHAnsi"/>
        </w:rPr>
        <w:t xml:space="preserve">hildhood vaccination coverage in Ukraine </w:t>
      </w:r>
      <w:r w:rsidR="00353F3C">
        <w:rPr>
          <w:rFonts w:cstheme="minorHAnsi"/>
        </w:rPr>
        <w:t xml:space="preserve">is </w:t>
      </w:r>
      <w:r w:rsidR="006F2878" w:rsidRPr="00D76B47">
        <w:rPr>
          <w:rFonts w:cstheme="minorHAnsi"/>
        </w:rPr>
        <w:t xml:space="preserve">among the lowest </w:t>
      </w:r>
      <w:r w:rsidR="00C6319D" w:rsidRPr="00D76B47">
        <w:rPr>
          <w:rFonts w:cstheme="minorHAnsi"/>
        </w:rPr>
        <w:t>in</w:t>
      </w:r>
      <w:r w:rsidR="006F2878" w:rsidRPr="00D76B47">
        <w:rPr>
          <w:rFonts w:cstheme="minorHAnsi"/>
        </w:rPr>
        <w:t xml:space="preserve"> the W</w:t>
      </w:r>
      <w:r w:rsidR="00C6319D" w:rsidRPr="00D76B47">
        <w:rPr>
          <w:rFonts w:cstheme="minorHAnsi"/>
        </w:rPr>
        <w:t>HO</w:t>
      </w:r>
      <w:r w:rsidR="006F2878" w:rsidRPr="00D76B47">
        <w:rPr>
          <w:rFonts w:cstheme="minorHAnsi"/>
        </w:rPr>
        <w:t xml:space="preserve"> European Region</w:t>
      </w:r>
      <w:r w:rsidR="00C6319D" w:rsidRPr="00D76B47">
        <w:rPr>
          <w:rFonts w:cstheme="minorHAnsi"/>
        </w:rPr>
        <w:t xml:space="preserve"> [</w:t>
      </w:r>
      <w:r w:rsidR="00C1753A">
        <w:rPr>
          <w:rFonts w:cstheme="minorHAnsi"/>
        </w:rPr>
        <w:t>5</w:t>
      </w:r>
      <w:r w:rsidR="00CA01A9">
        <w:rPr>
          <w:rFonts w:cstheme="minorHAnsi"/>
        </w:rPr>
        <w:t>,</w:t>
      </w:r>
      <w:r w:rsidR="00C1753A">
        <w:rPr>
          <w:rFonts w:cstheme="minorHAnsi"/>
        </w:rPr>
        <w:t>9</w:t>
      </w:r>
      <w:r w:rsidR="00C6319D" w:rsidRPr="00D76B47">
        <w:rPr>
          <w:rFonts w:cstheme="minorHAnsi"/>
        </w:rPr>
        <w:t>]</w:t>
      </w:r>
      <w:r w:rsidR="00EC18D3">
        <w:rPr>
          <w:rFonts w:cstheme="minorHAnsi"/>
        </w:rPr>
        <w:t xml:space="preserve">, which </w:t>
      </w:r>
      <w:r w:rsidR="00C6319D" w:rsidRPr="00D76B47">
        <w:rPr>
          <w:rFonts w:cstheme="minorHAnsi"/>
        </w:rPr>
        <w:t>may mean that</w:t>
      </w:r>
      <w:r w:rsidR="00393C1B" w:rsidRPr="00D76B47">
        <w:rPr>
          <w:rFonts w:cstheme="minorHAnsi"/>
        </w:rPr>
        <w:t xml:space="preserve"> catch-up vaccination for </w:t>
      </w:r>
      <w:r w:rsidR="00487227">
        <w:rPr>
          <w:rFonts w:cstheme="minorHAnsi"/>
        </w:rPr>
        <w:t>older age</w:t>
      </w:r>
      <w:r w:rsidR="00206F28">
        <w:rPr>
          <w:rFonts w:cstheme="minorHAnsi"/>
        </w:rPr>
        <w:t>-</w:t>
      </w:r>
      <w:r w:rsidR="00487227">
        <w:rPr>
          <w:rFonts w:cstheme="minorHAnsi"/>
        </w:rPr>
        <w:t>groups</w:t>
      </w:r>
      <w:r w:rsidR="00393C1B" w:rsidRPr="00D76B47">
        <w:rPr>
          <w:rFonts w:cstheme="minorHAnsi"/>
        </w:rPr>
        <w:t xml:space="preserve"> may be warranted</w:t>
      </w:r>
      <w:r w:rsidR="00145A8E">
        <w:rPr>
          <w:rFonts w:cstheme="minorHAnsi"/>
        </w:rPr>
        <w:t xml:space="preserve">, with a focus on </w:t>
      </w:r>
      <w:r w:rsidR="00145A8E" w:rsidRPr="00D76B47">
        <w:rPr>
          <w:rFonts w:cstheme="minorHAnsi"/>
        </w:rPr>
        <w:t>measles, mumps, rubella</w:t>
      </w:r>
      <w:r w:rsidR="00145A8E">
        <w:rPr>
          <w:rFonts w:cstheme="minorHAnsi"/>
        </w:rPr>
        <w:t xml:space="preserve">, </w:t>
      </w:r>
      <w:r w:rsidR="00145A8E" w:rsidRPr="00D76B47">
        <w:rPr>
          <w:rFonts w:cstheme="minorHAnsi"/>
        </w:rPr>
        <w:t xml:space="preserve">tetanus, diphtheria, </w:t>
      </w:r>
      <w:r w:rsidR="00145A8E">
        <w:rPr>
          <w:rFonts w:cstheme="minorHAnsi"/>
        </w:rPr>
        <w:t xml:space="preserve">and </w:t>
      </w:r>
      <w:r w:rsidR="00145A8E" w:rsidRPr="00D76B47">
        <w:rPr>
          <w:rFonts w:cstheme="minorHAnsi"/>
        </w:rPr>
        <w:t>polio</w:t>
      </w:r>
      <w:r w:rsidR="00D8555F">
        <w:rPr>
          <w:rFonts w:cstheme="minorHAnsi"/>
        </w:rPr>
        <w:t xml:space="preserve"> </w:t>
      </w:r>
      <w:r w:rsidR="00EC18D3">
        <w:rPr>
          <w:rFonts w:cstheme="minorHAnsi"/>
        </w:rPr>
        <w:t>[</w:t>
      </w:r>
      <w:r w:rsidR="00C1753A">
        <w:rPr>
          <w:rFonts w:cstheme="minorHAnsi"/>
        </w:rPr>
        <w:t>6</w:t>
      </w:r>
      <w:r w:rsidR="00EC18D3">
        <w:rPr>
          <w:rFonts w:cstheme="minorHAnsi"/>
        </w:rPr>
        <w:t>]. T</w:t>
      </w:r>
      <w:r w:rsidR="00353F3C" w:rsidRPr="00AD451B">
        <w:rPr>
          <w:rFonts w:cstheme="minorHAnsi"/>
        </w:rPr>
        <w:t xml:space="preserve">emporary </w:t>
      </w:r>
      <w:r w:rsidR="00EF4296">
        <w:rPr>
          <w:rFonts w:cstheme="minorHAnsi"/>
        </w:rPr>
        <w:t>reception centres</w:t>
      </w:r>
      <w:r w:rsidR="00353F3C" w:rsidRPr="00AD451B">
        <w:rPr>
          <w:rFonts w:cstheme="minorHAnsi"/>
        </w:rPr>
        <w:t xml:space="preserve"> across Europe </w:t>
      </w:r>
      <w:r w:rsidR="00353F3C">
        <w:rPr>
          <w:rFonts w:cstheme="minorHAnsi"/>
        </w:rPr>
        <w:t>a</w:t>
      </w:r>
      <w:r w:rsidR="00D8555F">
        <w:rPr>
          <w:rFonts w:cstheme="minorHAnsi"/>
        </w:rPr>
        <w:t xml:space="preserve">re known to have </w:t>
      </w:r>
      <w:r w:rsidR="00BE56B5">
        <w:rPr>
          <w:rFonts w:cstheme="minorHAnsi"/>
        </w:rPr>
        <w:t>had</w:t>
      </w:r>
      <w:r w:rsidR="00731D43">
        <w:rPr>
          <w:rFonts w:cstheme="minorHAnsi"/>
        </w:rPr>
        <w:t xml:space="preserve"> </w:t>
      </w:r>
      <w:r w:rsidR="002D6BDD" w:rsidRPr="00D76B47">
        <w:rPr>
          <w:rFonts w:cstheme="minorHAnsi"/>
        </w:rPr>
        <w:t xml:space="preserve">outbreaks </w:t>
      </w:r>
      <w:r w:rsidR="00EC18D3">
        <w:rPr>
          <w:rFonts w:cstheme="minorHAnsi"/>
        </w:rPr>
        <w:t>involving</w:t>
      </w:r>
      <w:r w:rsidR="00EF4296">
        <w:rPr>
          <w:rFonts w:cstheme="minorHAnsi"/>
        </w:rPr>
        <w:t xml:space="preserve"> adult</w:t>
      </w:r>
      <w:r w:rsidR="00E01127">
        <w:rPr>
          <w:rFonts w:cstheme="minorHAnsi"/>
        </w:rPr>
        <w:t xml:space="preserve">s </w:t>
      </w:r>
      <w:r w:rsidR="00EC18D3">
        <w:rPr>
          <w:rFonts w:cstheme="minorHAnsi"/>
        </w:rPr>
        <w:t>who missed vaccinations</w:t>
      </w:r>
      <w:r w:rsidR="00B053FB">
        <w:rPr>
          <w:rFonts w:cstheme="minorHAnsi"/>
        </w:rPr>
        <w:t>, doses, and boosters</w:t>
      </w:r>
      <w:r w:rsidR="00EC18D3">
        <w:rPr>
          <w:rFonts w:cstheme="minorHAnsi"/>
        </w:rPr>
        <w:t xml:space="preserve"> in their home countries as children </w:t>
      </w:r>
      <w:r w:rsidR="002D6BDD" w:rsidRPr="00D76B47">
        <w:rPr>
          <w:rFonts w:cstheme="minorHAnsi"/>
        </w:rPr>
        <w:t>[1</w:t>
      </w:r>
      <w:r w:rsidR="00A3423C">
        <w:rPr>
          <w:rFonts w:cstheme="minorHAnsi"/>
        </w:rPr>
        <w:t>2</w:t>
      </w:r>
      <w:r w:rsidR="002D6BDD" w:rsidRPr="00D76B47">
        <w:rPr>
          <w:rFonts w:cstheme="minorHAnsi"/>
        </w:rPr>
        <w:t>]</w:t>
      </w:r>
      <w:r w:rsidR="0096434B">
        <w:rPr>
          <w:rFonts w:cstheme="minorHAnsi"/>
        </w:rPr>
        <w:t xml:space="preserve">. </w:t>
      </w:r>
      <w:r w:rsidR="00145A8E" w:rsidRPr="00AD451B">
        <w:rPr>
          <w:rFonts w:cstheme="minorHAnsi"/>
        </w:rPr>
        <w:t xml:space="preserve">For individuals who express uncertainty about vaccines they have had, ECDC </w:t>
      </w:r>
      <w:r w:rsidR="00145A8E" w:rsidRPr="00145812">
        <w:rPr>
          <w:rFonts w:cstheme="minorHAnsi"/>
        </w:rPr>
        <w:t>recommends considering them as unvaccinated and offering a new course of routine vaccines [</w:t>
      </w:r>
      <w:r w:rsidR="00145A8E">
        <w:rPr>
          <w:rFonts w:cstheme="minorHAnsi"/>
        </w:rPr>
        <w:t>5,6</w:t>
      </w:r>
      <w:r w:rsidR="00145A8E" w:rsidRPr="00145812">
        <w:rPr>
          <w:rFonts w:cstheme="minorHAnsi"/>
        </w:rPr>
        <w:t>]</w:t>
      </w:r>
      <w:r w:rsidR="00145A8E">
        <w:rPr>
          <w:rFonts w:cstheme="minorHAnsi"/>
        </w:rPr>
        <w:t xml:space="preserve">. </w:t>
      </w:r>
      <w:r w:rsidR="00B306B6">
        <w:rPr>
          <w:rFonts w:cstheme="minorHAnsi"/>
        </w:rPr>
        <w:t>As</w:t>
      </w:r>
      <w:r w:rsidR="00674FF8" w:rsidRPr="00D76B47">
        <w:rPr>
          <w:rFonts w:cstheme="minorHAnsi"/>
        </w:rPr>
        <w:t xml:space="preserve"> COVID-19 vaccine uptake in Ukraine has </w:t>
      </w:r>
      <w:r w:rsidR="0072306E" w:rsidRPr="00D76B47">
        <w:rPr>
          <w:rFonts w:cstheme="minorHAnsi"/>
        </w:rPr>
        <w:t xml:space="preserve">to date </w:t>
      </w:r>
      <w:r w:rsidR="00674FF8" w:rsidRPr="00D76B47">
        <w:rPr>
          <w:rFonts w:cstheme="minorHAnsi"/>
        </w:rPr>
        <w:t>been low</w:t>
      </w:r>
      <w:r w:rsidR="00841D84" w:rsidRPr="00145812">
        <w:rPr>
          <w:rFonts w:cstheme="minorHAnsi"/>
        </w:rPr>
        <w:t xml:space="preserve">, with only </w:t>
      </w:r>
      <w:r w:rsidR="00674FF8" w:rsidRPr="00D76B47">
        <w:rPr>
          <w:rFonts w:cstheme="minorHAnsi"/>
        </w:rPr>
        <w:t xml:space="preserve">34% </w:t>
      </w:r>
      <w:r w:rsidR="00841D84" w:rsidRPr="00145812">
        <w:rPr>
          <w:rFonts w:cstheme="minorHAnsi"/>
        </w:rPr>
        <w:t xml:space="preserve">population </w:t>
      </w:r>
      <w:r w:rsidR="00674FF8" w:rsidRPr="00D76B47">
        <w:rPr>
          <w:rFonts w:cstheme="minorHAnsi"/>
        </w:rPr>
        <w:t>coverage with 2 doses</w:t>
      </w:r>
      <w:r w:rsidR="00841D84" w:rsidRPr="00145812">
        <w:rPr>
          <w:rFonts w:cstheme="minorHAnsi"/>
        </w:rPr>
        <w:t xml:space="preserve"> </w:t>
      </w:r>
      <w:r w:rsidR="00E01127">
        <w:rPr>
          <w:rFonts w:cstheme="minorHAnsi"/>
        </w:rPr>
        <w:t>(</w:t>
      </w:r>
      <w:r w:rsidR="00841D84" w:rsidRPr="00145812">
        <w:rPr>
          <w:rFonts w:cstheme="minorHAnsi"/>
        </w:rPr>
        <w:t>and</w:t>
      </w:r>
      <w:r w:rsidR="00674FF8" w:rsidRPr="00D76B47">
        <w:rPr>
          <w:rFonts w:cstheme="minorHAnsi"/>
        </w:rPr>
        <w:t xml:space="preserve"> 2% coverage with the booster dose</w:t>
      </w:r>
      <w:r w:rsidR="00E01127">
        <w:rPr>
          <w:rFonts w:cstheme="minorHAnsi"/>
        </w:rPr>
        <w:t>)</w:t>
      </w:r>
      <w:r w:rsidR="00342152" w:rsidRPr="00145812">
        <w:rPr>
          <w:rFonts w:cstheme="minorHAnsi"/>
        </w:rPr>
        <w:t xml:space="preserve">, </w:t>
      </w:r>
      <w:r w:rsidR="00EF4296">
        <w:rPr>
          <w:rFonts w:cstheme="minorHAnsi"/>
        </w:rPr>
        <w:t xml:space="preserve">and </w:t>
      </w:r>
      <w:r w:rsidR="00342152" w:rsidRPr="00145812">
        <w:rPr>
          <w:rFonts w:cstheme="minorHAnsi"/>
        </w:rPr>
        <w:t xml:space="preserve">with </w:t>
      </w:r>
      <w:r w:rsidR="005866D0">
        <w:rPr>
          <w:rFonts w:cstheme="minorHAnsi"/>
        </w:rPr>
        <w:t>high level</w:t>
      </w:r>
      <w:r w:rsidR="00B93912">
        <w:rPr>
          <w:rFonts w:cstheme="minorHAnsi"/>
        </w:rPr>
        <w:t>s</w:t>
      </w:r>
      <w:r w:rsidR="005866D0">
        <w:rPr>
          <w:rFonts w:cstheme="minorHAnsi"/>
        </w:rPr>
        <w:t xml:space="preserve"> of </w:t>
      </w:r>
      <w:r w:rsidR="00342152" w:rsidRPr="00145812">
        <w:rPr>
          <w:rFonts w:cstheme="minorHAnsi"/>
        </w:rPr>
        <w:t>vaccine hesitancy</w:t>
      </w:r>
      <w:r w:rsidR="00B306B6">
        <w:rPr>
          <w:rFonts w:cstheme="minorHAnsi"/>
        </w:rPr>
        <w:t xml:space="preserve">, host countries </w:t>
      </w:r>
      <w:r w:rsidR="00787FD7">
        <w:rPr>
          <w:rFonts w:cstheme="minorHAnsi"/>
        </w:rPr>
        <w:t>will need to devise strategies to</w:t>
      </w:r>
      <w:r w:rsidR="00B306B6">
        <w:rPr>
          <w:rFonts w:cstheme="minorHAnsi"/>
        </w:rPr>
        <w:t xml:space="preserve"> ensure access to COVID-19 vaccines</w:t>
      </w:r>
      <w:r w:rsidR="00D35614">
        <w:rPr>
          <w:rFonts w:cstheme="minorHAnsi"/>
        </w:rPr>
        <w:t xml:space="preserve"> </w:t>
      </w:r>
      <w:r w:rsidR="00674FF8" w:rsidRPr="00D76B47">
        <w:rPr>
          <w:rFonts w:cstheme="minorHAnsi"/>
        </w:rPr>
        <w:t>[</w:t>
      </w:r>
      <w:r w:rsidR="00145A8E">
        <w:rPr>
          <w:rFonts w:cstheme="minorHAnsi"/>
        </w:rPr>
        <w:t>9</w:t>
      </w:r>
      <w:r w:rsidR="00F31439">
        <w:rPr>
          <w:rFonts w:cstheme="minorHAnsi"/>
        </w:rPr>
        <w:t>, 13</w:t>
      </w:r>
      <w:r w:rsidR="00674FF8" w:rsidRPr="00D76B47">
        <w:rPr>
          <w:rFonts w:cstheme="minorHAnsi"/>
        </w:rPr>
        <w:t>].</w:t>
      </w:r>
      <w:r w:rsidR="0096783B" w:rsidRPr="00D76B47">
        <w:rPr>
          <w:rFonts w:cstheme="minorHAnsi"/>
        </w:rPr>
        <w:t xml:space="preserve"> </w:t>
      </w:r>
    </w:p>
    <w:p w14:paraId="271AB7E0" w14:textId="7A5F8B38" w:rsidR="006F4257" w:rsidRDefault="00EF4296" w:rsidP="00006AD8">
      <w:pPr>
        <w:spacing w:line="36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A</w:t>
      </w:r>
      <w:r w:rsidR="006B76C5" w:rsidRPr="00D76B47">
        <w:rPr>
          <w:rFonts w:cstheme="minorHAnsi"/>
        </w:rPr>
        <w:t xml:space="preserve"> </w:t>
      </w:r>
      <w:r w:rsidR="00247670" w:rsidRPr="00D76B47">
        <w:rPr>
          <w:rFonts w:cstheme="minorHAnsi"/>
        </w:rPr>
        <w:t xml:space="preserve">holistic </w:t>
      </w:r>
      <w:r w:rsidR="001D6A99">
        <w:rPr>
          <w:rFonts w:cstheme="minorHAnsi"/>
        </w:rPr>
        <w:t xml:space="preserve">and patient-centred </w:t>
      </w:r>
      <w:r w:rsidR="00247670" w:rsidRPr="00D76B47">
        <w:rPr>
          <w:rFonts w:cstheme="minorHAnsi"/>
        </w:rPr>
        <w:t xml:space="preserve">approach to health </w:t>
      </w:r>
      <w:r w:rsidR="00384CBD">
        <w:rPr>
          <w:rFonts w:cstheme="minorHAnsi"/>
        </w:rPr>
        <w:t>is vital</w:t>
      </w:r>
      <w:r w:rsidR="00CD65DE">
        <w:rPr>
          <w:rFonts w:cstheme="minorHAnsi"/>
        </w:rPr>
        <w:t>, with</w:t>
      </w:r>
      <w:r w:rsidR="00247670" w:rsidRPr="00D76B47">
        <w:rPr>
          <w:rFonts w:cstheme="minorHAnsi"/>
        </w:rPr>
        <w:t xml:space="preserve"> </w:t>
      </w:r>
      <w:r w:rsidR="00CD65DE">
        <w:rPr>
          <w:rFonts w:cstheme="minorHAnsi"/>
        </w:rPr>
        <w:t>s</w:t>
      </w:r>
      <w:r w:rsidR="00247670" w:rsidRPr="00D76B47">
        <w:rPr>
          <w:rFonts w:cstheme="minorHAnsi"/>
        </w:rPr>
        <w:t>everal countries</w:t>
      </w:r>
      <w:r w:rsidR="00CD65DE">
        <w:rPr>
          <w:rFonts w:cstheme="minorHAnsi"/>
        </w:rPr>
        <w:t xml:space="preserve"> –</w:t>
      </w:r>
      <w:r w:rsidR="005C0665" w:rsidRPr="00D76B47">
        <w:rPr>
          <w:rFonts w:cstheme="minorHAnsi"/>
        </w:rPr>
        <w:t xml:space="preserve">including </w:t>
      </w:r>
      <w:r w:rsidR="00A04E30">
        <w:rPr>
          <w:rFonts w:cstheme="minorHAnsi"/>
        </w:rPr>
        <w:t>Ireland</w:t>
      </w:r>
      <w:r w:rsidR="00D35614">
        <w:rPr>
          <w:rFonts w:cstheme="minorHAnsi"/>
        </w:rPr>
        <w:t xml:space="preserve"> and</w:t>
      </w:r>
      <w:r w:rsidR="00A04E30">
        <w:rPr>
          <w:rFonts w:cstheme="minorHAnsi"/>
        </w:rPr>
        <w:t xml:space="preserve"> </w:t>
      </w:r>
      <w:r w:rsidR="00F43665">
        <w:rPr>
          <w:rFonts w:cstheme="minorHAnsi"/>
        </w:rPr>
        <w:t>Poland</w:t>
      </w:r>
      <w:r w:rsidR="00D35614">
        <w:rPr>
          <w:rFonts w:cstheme="minorHAnsi"/>
        </w:rPr>
        <w:t xml:space="preserve"> </w:t>
      </w:r>
      <w:r w:rsidR="00CD65DE">
        <w:rPr>
          <w:rFonts w:cstheme="minorHAnsi"/>
        </w:rPr>
        <w:softHyphen/>
        <w:t xml:space="preserve">– </w:t>
      </w:r>
      <w:r w:rsidR="00247670" w:rsidRPr="00D76B47">
        <w:rPr>
          <w:rFonts w:cstheme="minorHAnsi"/>
        </w:rPr>
        <w:t>promising</w:t>
      </w:r>
      <w:r w:rsidR="00C113DC" w:rsidRPr="00D76B47">
        <w:rPr>
          <w:rFonts w:cstheme="minorHAnsi"/>
        </w:rPr>
        <w:t xml:space="preserve"> </w:t>
      </w:r>
      <w:r w:rsidR="00F31439">
        <w:rPr>
          <w:rFonts w:cstheme="minorHAnsi"/>
        </w:rPr>
        <w:t xml:space="preserve">free </w:t>
      </w:r>
      <w:r w:rsidR="00C113DC" w:rsidRPr="00D76B47">
        <w:rPr>
          <w:rFonts w:cstheme="minorHAnsi"/>
        </w:rPr>
        <w:t>access to health</w:t>
      </w:r>
      <w:r w:rsidR="005E6697">
        <w:rPr>
          <w:rFonts w:cstheme="minorHAnsi"/>
        </w:rPr>
        <w:t xml:space="preserve"> s</w:t>
      </w:r>
      <w:r w:rsidR="00CD65DE">
        <w:rPr>
          <w:rFonts w:cstheme="minorHAnsi"/>
        </w:rPr>
        <w:t>ervices for arriving Ukrainians</w:t>
      </w:r>
      <w:r w:rsidR="00384CBD">
        <w:rPr>
          <w:rFonts w:cstheme="minorHAnsi"/>
        </w:rPr>
        <w:t xml:space="preserve">. </w:t>
      </w:r>
      <w:r w:rsidR="00890016" w:rsidRPr="00D76B47">
        <w:rPr>
          <w:rFonts w:cstheme="minorHAnsi"/>
        </w:rPr>
        <w:t xml:space="preserve">When organising healthcare access, healthcare professionals </w:t>
      </w:r>
      <w:r w:rsidR="00890016">
        <w:rPr>
          <w:rFonts w:cstheme="minorHAnsi"/>
        </w:rPr>
        <w:t>will need to</w:t>
      </w:r>
      <w:r w:rsidR="00890016" w:rsidRPr="00D76B47">
        <w:rPr>
          <w:rFonts w:cstheme="minorHAnsi"/>
        </w:rPr>
        <w:t xml:space="preserve"> invest time and effort into trust-building with displaced communities.</w:t>
      </w:r>
      <w:r w:rsidR="00890016">
        <w:rPr>
          <w:rFonts w:cstheme="minorHAnsi"/>
        </w:rPr>
        <w:t xml:space="preserve"> </w:t>
      </w:r>
      <w:r w:rsidR="00787FD7" w:rsidRPr="00D76B47">
        <w:rPr>
          <w:rFonts w:cstheme="minorHAnsi"/>
        </w:rPr>
        <w:t xml:space="preserve">The </w:t>
      </w:r>
      <w:r w:rsidR="00787FD7">
        <w:rPr>
          <w:rFonts w:cstheme="minorHAnsi"/>
        </w:rPr>
        <w:t>EU’s</w:t>
      </w:r>
      <w:r w:rsidR="00787FD7" w:rsidRPr="00D76B47">
        <w:rPr>
          <w:rFonts w:cstheme="minorHAnsi"/>
        </w:rPr>
        <w:t xml:space="preserve"> decision to offer </w:t>
      </w:r>
      <w:r w:rsidR="00D35614">
        <w:rPr>
          <w:rFonts w:cstheme="minorHAnsi"/>
        </w:rPr>
        <w:t xml:space="preserve">temporary </w:t>
      </w:r>
      <w:r w:rsidR="00787FD7" w:rsidRPr="00D76B47">
        <w:rPr>
          <w:rFonts w:cstheme="minorHAnsi"/>
        </w:rPr>
        <w:t xml:space="preserve">protection </w:t>
      </w:r>
      <w:r w:rsidR="0044285E" w:rsidRPr="005B468A">
        <w:rPr>
          <w:rFonts w:cstheme="minorHAnsi"/>
        </w:rPr>
        <w:t>for one year</w:t>
      </w:r>
      <w:r w:rsidR="00787FD7">
        <w:rPr>
          <w:rFonts w:cstheme="minorHAnsi"/>
        </w:rPr>
        <w:t xml:space="preserve"> </w:t>
      </w:r>
      <w:r w:rsidR="00787FD7" w:rsidRPr="00D76B47">
        <w:rPr>
          <w:rFonts w:cstheme="minorHAnsi"/>
        </w:rPr>
        <w:t>for people fleeing Ukraine</w:t>
      </w:r>
      <w:r w:rsidR="0044285E">
        <w:rPr>
          <w:rFonts w:cstheme="minorHAnsi"/>
        </w:rPr>
        <w:t xml:space="preserve">, which implies the right to residence, </w:t>
      </w:r>
      <w:r w:rsidR="00F31439">
        <w:rPr>
          <w:rFonts w:cstheme="minorHAnsi"/>
        </w:rPr>
        <w:t>to work,</w:t>
      </w:r>
      <w:r w:rsidR="0044285E">
        <w:rPr>
          <w:rFonts w:cstheme="minorHAnsi"/>
        </w:rPr>
        <w:t xml:space="preserve"> and</w:t>
      </w:r>
      <w:r w:rsidR="00F31439">
        <w:rPr>
          <w:rFonts w:cstheme="minorHAnsi"/>
        </w:rPr>
        <w:t xml:space="preserve"> to free</w:t>
      </w:r>
      <w:r w:rsidR="0044285E">
        <w:rPr>
          <w:rFonts w:cstheme="minorHAnsi"/>
        </w:rPr>
        <w:t xml:space="preserve"> </w:t>
      </w:r>
      <w:r w:rsidR="00F31439">
        <w:rPr>
          <w:rFonts w:cstheme="minorHAnsi"/>
        </w:rPr>
        <w:t>health care</w:t>
      </w:r>
      <w:r w:rsidR="00787FD7" w:rsidRPr="00D76B47">
        <w:rPr>
          <w:rFonts w:cstheme="minorHAnsi"/>
        </w:rPr>
        <w:t xml:space="preserve">, are essential </w:t>
      </w:r>
      <w:r w:rsidR="00787FD7">
        <w:rPr>
          <w:rFonts w:cstheme="minorHAnsi"/>
        </w:rPr>
        <w:t>[1</w:t>
      </w:r>
      <w:r w:rsidR="00F31439">
        <w:rPr>
          <w:rFonts w:cstheme="minorHAnsi"/>
        </w:rPr>
        <w:t>4</w:t>
      </w:r>
      <w:r w:rsidR="00787FD7">
        <w:rPr>
          <w:rFonts w:cstheme="minorHAnsi"/>
        </w:rPr>
        <w:t>]</w:t>
      </w:r>
      <w:r w:rsidR="00F31439">
        <w:rPr>
          <w:rFonts w:cstheme="minorHAnsi"/>
        </w:rPr>
        <w:t xml:space="preserve">, yet raises many </w:t>
      </w:r>
      <w:r w:rsidR="003E30AC">
        <w:rPr>
          <w:rFonts w:cstheme="minorHAnsi"/>
        </w:rPr>
        <w:t xml:space="preserve">unanswered </w:t>
      </w:r>
      <w:r w:rsidR="00F31439">
        <w:rPr>
          <w:rFonts w:cstheme="minorHAnsi"/>
        </w:rPr>
        <w:t xml:space="preserve">questions around </w:t>
      </w:r>
      <w:r w:rsidR="00F23105">
        <w:rPr>
          <w:rFonts w:cstheme="minorHAnsi"/>
        </w:rPr>
        <w:t xml:space="preserve">levels of provision currently afforded to the thousands of other forcibly displaced </w:t>
      </w:r>
      <w:r w:rsidR="00F23105">
        <w:rPr>
          <w:rFonts w:cstheme="minorHAnsi"/>
        </w:rPr>
        <w:lastRenderedPageBreak/>
        <w:t>migrants who are already here.</w:t>
      </w:r>
      <w:r w:rsidR="00463363">
        <w:rPr>
          <w:rFonts w:cstheme="minorHAnsi"/>
        </w:rPr>
        <w:t xml:space="preserve"> </w:t>
      </w:r>
      <w:r w:rsidR="00384CBD">
        <w:rPr>
          <w:rFonts w:cstheme="minorHAnsi"/>
        </w:rPr>
        <w:t>O</w:t>
      </w:r>
      <w:r w:rsidR="006B76C5" w:rsidRPr="00D76B47">
        <w:rPr>
          <w:rFonts w:cstheme="minorHAnsi"/>
        </w:rPr>
        <w:t xml:space="preserve">pening national borders and providing refuge to </w:t>
      </w:r>
      <w:r w:rsidR="00E71B7B" w:rsidRPr="00D76B47">
        <w:rPr>
          <w:rFonts w:cstheme="minorHAnsi"/>
        </w:rPr>
        <w:t>Ukrain</w:t>
      </w:r>
      <w:r w:rsidR="004E5184">
        <w:rPr>
          <w:rFonts w:cstheme="minorHAnsi"/>
        </w:rPr>
        <w:t>ians</w:t>
      </w:r>
      <w:r w:rsidR="006B76C5" w:rsidRPr="00D76B47">
        <w:rPr>
          <w:rFonts w:cstheme="minorHAnsi"/>
        </w:rPr>
        <w:t xml:space="preserve"> must go</w:t>
      </w:r>
      <w:r w:rsidR="00D0784E" w:rsidRPr="00D76B47">
        <w:rPr>
          <w:rFonts w:cstheme="minorHAnsi"/>
        </w:rPr>
        <w:t xml:space="preserve"> hand</w:t>
      </w:r>
      <w:r w:rsidR="006F4257" w:rsidRPr="00D76B47">
        <w:rPr>
          <w:rFonts w:cstheme="minorHAnsi"/>
        </w:rPr>
        <w:t xml:space="preserve"> in hand with building </w:t>
      </w:r>
      <w:r w:rsidR="00D0784E" w:rsidRPr="00D76B47">
        <w:rPr>
          <w:rFonts w:cstheme="minorHAnsi"/>
        </w:rPr>
        <w:t xml:space="preserve">sustainable and long-term </w:t>
      </w:r>
      <w:r w:rsidR="006F4257" w:rsidRPr="00D76B47">
        <w:rPr>
          <w:rFonts w:cstheme="minorHAnsi"/>
        </w:rPr>
        <w:t>access to healthcare, informing</w:t>
      </w:r>
      <w:r w:rsidR="0022405C">
        <w:rPr>
          <w:rFonts w:cstheme="minorHAnsi"/>
        </w:rPr>
        <w:t xml:space="preserve"> and </w:t>
      </w:r>
      <w:r w:rsidR="00463363">
        <w:rPr>
          <w:rFonts w:cstheme="minorHAnsi"/>
        </w:rPr>
        <w:t>training</w:t>
      </w:r>
      <w:r w:rsidR="00463363" w:rsidRPr="00D76B47">
        <w:rPr>
          <w:rFonts w:cstheme="minorHAnsi"/>
        </w:rPr>
        <w:t xml:space="preserve"> </w:t>
      </w:r>
      <w:r w:rsidR="006F4257" w:rsidRPr="00D76B47">
        <w:rPr>
          <w:rFonts w:cstheme="minorHAnsi"/>
        </w:rPr>
        <w:t xml:space="preserve">healthcare </w:t>
      </w:r>
      <w:r w:rsidR="005312B9">
        <w:rPr>
          <w:rFonts w:cstheme="minorHAnsi"/>
        </w:rPr>
        <w:t>professionals</w:t>
      </w:r>
      <w:r w:rsidR="005312B9" w:rsidRPr="00D76B47">
        <w:rPr>
          <w:rFonts w:cstheme="minorHAnsi"/>
        </w:rPr>
        <w:t xml:space="preserve"> </w:t>
      </w:r>
      <w:r w:rsidR="006F4257" w:rsidRPr="00D76B47">
        <w:rPr>
          <w:rFonts w:cstheme="minorHAnsi"/>
        </w:rPr>
        <w:t>, and ensuring that displaced population</w:t>
      </w:r>
      <w:r w:rsidR="001A2B46" w:rsidRPr="00D76B47">
        <w:rPr>
          <w:rFonts w:cstheme="minorHAnsi"/>
        </w:rPr>
        <w:t>s</w:t>
      </w:r>
      <w:r w:rsidR="006F4257" w:rsidRPr="00D76B47">
        <w:rPr>
          <w:rFonts w:cstheme="minorHAnsi"/>
        </w:rPr>
        <w:t xml:space="preserve"> </w:t>
      </w:r>
      <w:r w:rsidR="001A2B46" w:rsidRPr="00D76B47">
        <w:rPr>
          <w:rFonts w:cstheme="minorHAnsi"/>
        </w:rPr>
        <w:t>are</w:t>
      </w:r>
      <w:r w:rsidR="006F4257" w:rsidRPr="00D76B47">
        <w:rPr>
          <w:rFonts w:cstheme="minorHAnsi"/>
        </w:rPr>
        <w:t xml:space="preserve"> aware of their rights and routes to receive care. </w:t>
      </w:r>
    </w:p>
    <w:p w14:paraId="76A84787" w14:textId="30CCF859" w:rsidR="00C64B47" w:rsidRDefault="00C64B47" w:rsidP="00D76B47">
      <w:pPr>
        <w:spacing w:line="360" w:lineRule="auto"/>
        <w:ind w:firstLine="426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62C3" w14:paraId="5BDF067D" w14:textId="77777777" w:rsidTr="000362C3">
        <w:tc>
          <w:tcPr>
            <w:tcW w:w="9010" w:type="dxa"/>
          </w:tcPr>
          <w:p w14:paraId="0AC28C64" w14:textId="6EF28F0E" w:rsidR="000362C3" w:rsidRPr="006B266B" w:rsidRDefault="00463363" w:rsidP="000362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k</w:t>
            </w:r>
            <w:r w:rsidR="000362C3" w:rsidRPr="006B266B">
              <w:rPr>
                <w:rFonts w:asciiTheme="minorHAnsi" w:hAnsiTheme="minorHAnsi" w:cstheme="minorHAnsi"/>
                <w:b/>
                <w:bCs/>
              </w:rPr>
              <w:t xml:space="preserve">ey considerations for </w:t>
            </w:r>
            <w:r w:rsidR="008B0B36" w:rsidRPr="006B266B">
              <w:rPr>
                <w:rFonts w:asciiTheme="minorHAnsi" w:hAnsiTheme="minorHAnsi" w:cstheme="minorHAnsi"/>
                <w:b/>
                <w:bCs/>
              </w:rPr>
              <w:t>health systems</w:t>
            </w:r>
            <w:r w:rsidR="00527085" w:rsidRPr="006B266B">
              <w:rPr>
                <w:rFonts w:asciiTheme="minorHAnsi" w:hAnsiTheme="minorHAnsi" w:cstheme="minorHAnsi"/>
                <w:b/>
                <w:bCs/>
              </w:rPr>
              <w:t xml:space="preserve"> in host countries</w:t>
            </w:r>
          </w:p>
          <w:p w14:paraId="1643B003" w14:textId="77777777" w:rsidR="000362C3" w:rsidRPr="006B266B" w:rsidRDefault="000362C3" w:rsidP="000362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1AE9339" w14:textId="5591ABEE" w:rsidR="00487227" w:rsidRPr="00487227" w:rsidRDefault="00487227" w:rsidP="00487227">
            <w:pPr>
              <w:pStyle w:val="NormalWeb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66B">
              <w:rPr>
                <w:rFonts w:asciiTheme="minorHAnsi" w:hAnsiTheme="minorHAnsi" w:cstheme="minorHAnsi"/>
              </w:rPr>
              <w:t>Universal access to health systems in hosting countries is paramount.</w:t>
            </w:r>
          </w:p>
          <w:p w14:paraId="47DC43AB" w14:textId="75FB352A" w:rsidR="000362C3" w:rsidRPr="006B266B" w:rsidRDefault="00487227" w:rsidP="000362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714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6B266B">
              <w:rPr>
                <w:rFonts w:asciiTheme="minorHAnsi" w:hAnsiTheme="minorHAnsi" w:cstheme="minorHAnsi"/>
              </w:rPr>
              <w:t>acilitate access to healthcare professionals</w:t>
            </w:r>
            <w:r>
              <w:rPr>
                <w:rFonts w:asciiTheme="minorHAnsi" w:hAnsiTheme="minorHAnsi" w:cstheme="minorHAnsi"/>
              </w:rPr>
              <w:t xml:space="preserve"> immediately</w:t>
            </w:r>
            <w:r w:rsidR="00155825">
              <w:rPr>
                <w:rFonts w:asciiTheme="minorHAnsi" w:hAnsiTheme="minorHAnsi" w:cstheme="minorHAnsi"/>
              </w:rPr>
              <w:t xml:space="preserve"> on arrival, to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="000362C3" w:rsidRPr="006B266B">
              <w:rPr>
                <w:rFonts w:asciiTheme="minorHAnsi" w:hAnsiTheme="minorHAnsi" w:cstheme="minorHAnsi"/>
              </w:rPr>
              <w:t xml:space="preserve">ddress interruptions in supply of medicines and  to avoid </w:t>
            </w:r>
            <w:r w:rsidR="008B0B36" w:rsidRPr="006B266B">
              <w:rPr>
                <w:rFonts w:asciiTheme="minorHAnsi" w:hAnsiTheme="minorHAnsi" w:cstheme="minorHAnsi"/>
              </w:rPr>
              <w:t xml:space="preserve">excess </w:t>
            </w:r>
            <w:r w:rsidR="000362C3" w:rsidRPr="006B266B">
              <w:rPr>
                <w:rFonts w:asciiTheme="minorHAnsi" w:hAnsiTheme="minorHAnsi" w:cstheme="minorHAnsi"/>
              </w:rPr>
              <w:t>morbidity and mortality from cardiovascular disease (heart attack, stroke), chronic respiratory diseases, diabetes, mental health</w:t>
            </w:r>
            <w:r w:rsidR="00155825">
              <w:rPr>
                <w:rFonts w:asciiTheme="minorHAnsi" w:hAnsiTheme="minorHAnsi" w:cstheme="minorHAnsi"/>
              </w:rPr>
              <w:t>,</w:t>
            </w:r>
            <w:r w:rsidR="000362C3" w:rsidRPr="006B266B">
              <w:rPr>
                <w:rFonts w:asciiTheme="minorHAnsi" w:hAnsiTheme="minorHAnsi" w:cstheme="minorHAnsi"/>
              </w:rPr>
              <w:t xml:space="preserve"> and chronic infectious diseases (TB, HIV, Hepatitis B and C)</w:t>
            </w:r>
            <w:r w:rsidR="00732CEE" w:rsidRPr="006B266B">
              <w:rPr>
                <w:rFonts w:asciiTheme="minorHAnsi" w:hAnsiTheme="minorHAnsi" w:cstheme="minorHAnsi"/>
              </w:rPr>
              <w:t>.</w:t>
            </w:r>
          </w:p>
          <w:p w14:paraId="64908EA6" w14:textId="413370E3" w:rsidR="000362C3" w:rsidRPr="006B266B" w:rsidRDefault="007F6F0C" w:rsidP="007F6F0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714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B266B">
              <w:rPr>
                <w:rFonts w:asciiTheme="minorHAnsi" w:hAnsiTheme="minorHAnsi" w:cstheme="minorHAnsi"/>
                <w:color w:val="000000"/>
              </w:rPr>
              <w:t>Ensur</w:t>
            </w:r>
            <w:r w:rsidR="008B0B36" w:rsidRPr="006B266B">
              <w:rPr>
                <w:rFonts w:asciiTheme="minorHAnsi" w:hAnsiTheme="minorHAnsi" w:cstheme="minorHAnsi"/>
                <w:color w:val="000000"/>
              </w:rPr>
              <w:t>e full</w:t>
            </w:r>
            <w:r w:rsidRPr="006B266B">
              <w:rPr>
                <w:rFonts w:asciiTheme="minorHAnsi" w:hAnsiTheme="minorHAnsi" w:cstheme="minorHAnsi"/>
                <w:color w:val="000000"/>
              </w:rPr>
              <w:t xml:space="preserve"> access to vaccination systems in host countries</w:t>
            </w:r>
            <w:r w:rsidR="008B0B36" w:rsidRPr="006B266B">
              <w:rPr>
                <w:rFonts w:asciiTheme="minorHAnsi" w:hAnsiTheme="minorHAnsi" w:cstheme="minorHAnsi"/>
                <w:color w:val="000000"/>
              </w:rPr>
              <w:t xml:space="preserve"> as</w:t>
            </w:r>
            <w:r w:rsidRPr="006B266B">
              <w:rPr>
                <w:rFonts w:asciiTheme="minorHAnsi" w:hAnsiTheme="minorHAnsi" w:cstheme="minorHAnsi"/>
                <w:color w:val="000000"/>
              </w:rPr>
              <w:t xml:space="preserve"> a key priority. Ukraine has historic</w:t>
            </w:r>
            <w:r w:rsidR="008B0B36" w:rsidRPr="006B266B">
              <w:rPr>
                <w:rFonts w:asciiTheme="minorHAnsi" w:hAnsiTheme="minorHAnsi" w:cstheme="minorHAnsi"/>
                <w:color w:val="000000"/>
              </w:rPr>
              <w:t xml:space="preserve"> and current </w:t>
            </w:r>
            <w:r w:rsidRPr="006B266B">
              <w:rPr>
                <w:rFonts w:asciiTheme="minorHAnsi" w:hAnsiTheme="minorHAnsi" w:cstheme="minorHAnsi"/>
                <w:color w:val="000000"/>
              </w:rPr>
              <w:t>low childhood vaccination coverage</w:t>
            </w:r>
            <w:r w:rsidR="00E30EAA">
              <w:rPr>
                <w:rFonts w:asciiTheme="minorHAnsi" w:hAnsiTheme="minorHAnsi" w:cstheme="minorHAnsi"/>
                <w:color w:val="000000"/>
              </w:rPr>
              <w:t xml:space="preserve"> so c</w:t>
            </w:r>
            <w:r w:rsidR="000362C3" w:rsidRPr="006B266B">
              <w:rPr>
                <w:rFonts w:asciiTheme="minorHAnsi" w:hAnsiTheme="minorHAnsi" w:cstheme="minorHAnsi"/>
                <w:color w:val="000000"/>
              </w:rPr>
              <w:t xml:space="preserve">onsider </w:t>
            </w:r>
            <w:r w:rsidR="008B0B36" w:rsidRPr="006B266B">
              <w:rPr>
                <w:rFonts w:asciiTheme="minorHAnsi" w:hAnsiTheme="minorHAnsi" w:cstheme="minorHAnsi"/>
                <w:color w:val="000000"/>
              </w:rPr>
              <w:t xml:space="preserve">offering </w:t>
            </w:r>
            <w:r w:rsidR="000362C3" w:rsidRPr="006B266B">
              <w:rPr>
                <w:rFonts w:asciiTheme="minorHAnsi" w:hAnsiTheme="minorHAnsi" w:cstheme="minorHAnsi"/>
                <w:color w:val="000000"/>
              </w:rPr>
              <w:t>routine and catch-up vaccinations</w:t>
            </w:r>
            <w:r w:rsidR="007F51B4" w:rsidRPr="006B266B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7F51B4" w:rsidRPr="006B266B">
              <w:rPr>
                <w:rFonts w:asciiTheme="minorHAnsi" w:hAnsiTheme="minorHAnsi" w:cstheme="minorHAnsi"/>
              </w:rPr>
              <w:t>with a focus on measles, mumps, rubella, and tetanus, diphtheria, polio</w:t>
            </w:r>
            <w:r w:rsidR="008B0B36" w:rsidRPr="006B266B">
              <w:rPr>
                <w:rFonts w:asciiTheme="minorHAnsi" w:hAnsiTheme="minorHAnsi" w:cstheme="minorHAnsi"/>
              </w:rPr>
              <w:t xml:space="preserve">) </w:t>
            </w:r>
            <w:r w:rsidR="000362C3" w:rsidRPr="006B266B">
              <w:rPr>
                <w:rFonts w:asciiTheme="minorHAnsi" w:hAnsiTheme="minorHAnsi" w:cstheme="minorHAnsi"/>
                <w:color w:val="000000"/>
              </w:rPr>
              <w:t>for all new arrivals</w:t>
            </w:r>
            <w:r w:rsidR="007F51B4" w:rsidRPr="006B266B">
              <w:rPr>
                <w:rFonts w:asciiTheme="minorHAnsi" w:hAnsiTheme="minorHAnsi" w:cstheme="minorHAnsi"/>
                <w:color w:val="000000"/>
              </w:rPr>
              <w:t xml:space="preserve"> – c</w:t>
            </w:r>
            <w:r w:rsidR="000362C3" w:rsidRPr="006B266B">
              <w:rPr>
                <w:rFonts w:asciiTheme="minorHAnsi" w:hAnsiTheme="minorHAnsi" w:cstheme="minorHAnsi"/>
                <w:color w:val="000000"/>
              </w:rPr>
              <w:t>hildren, adolescents, and adults</w:t>
            </w:r>
            <w:r w:rsidRPr="006B266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CB92019" w14:textId="5176228A" w:rsidR="0052343B" w:rsidRPr="00487227" w:rsidRDefault="00BD08E3" w:rsidP="000362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714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B266B">
              <w:rPr>
                <w:rFonts w:asciiTheme="minorHAnsi" w:hAnsiTheme="minorHAnsi" w:cstheme="minorHAnsi"/>
              </w:rPr>
              <w:t>Ensure access to COVID-19 vaccines</w:t>
            </w:r>
            <w:r w:rsidR="00131F96" w:rsidRPr="006B266B">
              <w:rPr>
                <w:rFonts w:asciiTheme="minorHAnsi" w:hAnsiTheme="minorHAnsi" w:cstheme="minorHAnsi"/>
              </w:rPr>
              <w:t>, amid current low coverage in Ukraine</w:t>
            </w:r>
            <w:r w:rsidR="00732CEE" w:rsidRPr="006B266B">
              <w:rPr>
                <w:rFonts w:asciiTheme="minorHAnsi" w:hAnsiTheme="minorHAnsi" w:cstheme="minorHAnsi"/>
              </w:rPr>
              <w:t>.</w:t>
            </w:r>
          </w:p>
          <w:p w14:paraId="3C17DE13" w14:textId="24BBE119" w:rsidR="00487227" w:rsidRPr="006B266B" w:rsidRDefault="00487227" w:rsidP="000362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714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The majority of those displaced will be women and children. Ensure access to appropriate services, such as antenatal care, health visitors</w:t>
            </w:r>
            <w:r w:rsidR="00384CB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384CBD">
              <w:rPr>
                <w:rFonts w:asciiTheme="minorHAnsi" w:hAnsiTheme="minorHAnsi" w:cstheme="minorHAnsi"/>
              </w:rPr>
              <w:t>vaccination.</w:t>
            </w:r>
          </w:p>
          <w:p w14:paraId="73C3EFDB" w14:textId="3D4D6134" w:rsidR="008B0B36" w:rsidRPr="006B266B" w:rsidRDefault="008B0B36" w:rsidP="008B0B36">
            <w:pPr>
              <w:pStyle w:val="NormalWeb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66B">
              <w:rPr>
                <w:rFonts w:asciiTheme="minorHAnsi" w:hAnsiTheme="minorHAnsi" w:cstheme="minorHAnsi"/>
              </w:rPr>
              <w:t xml:space="preserve">Careful consideration should be given to mental </w:t>
            </w:r>
            <w:r w:rsidR="004E0A1C">
              <w:rPr>
                <w:rFonts w:asciiTheme="minorHAnsi" w:hAnsiTheme="minorHAnsi" w:cstheme="minorHAnsi"/>
              </w:rPr>
              <w:t>distress</w:t>
            </w:r>
            <w:r w:rsidRPr="006B266B">
              <w:rPr>
                <w:rFonts w:asciiTheme="minorHAnsi" w:hAnsiTheme="minorHAnsi" w:cstheme="minorHAnsi"/>
              </w:rPr>
              <w:t xml:space="preserve"> and trauma that are common in humanitarian crises</w:t>
            </w:r>
            <w:r w:rsidR="004E0A1C">
              <w:rPr>
                <w:rFonts w:asciiTheme="minorHAnsi" w:hAnsiTheme="minorHAnsi" w:cstheme="minorHAnsi"/>
              </w:rPr>
              <w:t>, and the impact of the migration process on their wider health</w:t>
            </w:r>
          </w:p>
          <w:p w14:paraId="41726023" w14:textId="5FC04953" w:rsidR="000362C3" w:rsidRPr="001D1977" w:rsidRDefault="00835859" w:rsidP="001D1977">
            <w:pPr>
              <w:pStyle w:val="NormalWeb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textAlignment w:val="baseline"/>
              <w:rPr>
                <w:b/>
                <w:bCs/>
                <w:color w:val="000000"/>
              </w:rPr>
            </w:pPr>
            <w:r w:rsidRPr="006B266B">
              <w:rPr>
                <w:rFonts w:asciiTheme="minorHAnsi" w:hAnsiTheme="minorHAnsi" w:cstheme="minorHAnsi"/>
              </w:rPr>
              <w:t>Healthcare professionals will need to invest time and effort into trust-building with displaced communities</w:t>
            </w:r>
            <w:r w:rsidR="00732CEE" w:rsidRPr="006B266B">
              <w:rPr>
                <w:rFonts w:asciiTheme="minorHAnsi" w:hAnsiTheme="minorHAnsi" w:cstheme="minorHAnsi"/>
              </w:rPr>
              <w:t xml:space="preserve">, </w:t>
            </w:r>
            <w:r w:rsidRPr="006B266B">
              <w:rPr>
                <w:rFonts w:asciiTheme="minorHAnsi" w:hAnsiTheme="minorHAnsi" w:cstheme="minorHAnsi"/>
              </w:rPr>
              <w:t xml:space="preserve">to design and deliver health </w:t>
            </w:r>
            <w:r w:rsidR="00E30EAA">
              <w:rPr>
                <w:rFonts w:asciiTheme="minorHAnsi" w:hAnsiTheme="minorHAnsi" w:cstheme="minorHAnsi"/>
              </w:rPr>
              <w:t xml:space="preserve">and vaccine </w:t>
            </w:r>
            <w:r w:rsidRPr="006B266B">
              <w:rPr>
                <w:rFonts w:asciiTheme="minorHAnsi" w:hAnsiTheme="minorHAnsi" w:cstheme="minorHAnsi"/>
              </w:rPr>
              <w:t>services</w:t>
            </w:r>
            <w:r w:rsidR="00384CBD">
              <w:rPr>
                <w:rFonts w:asciiTheme="minorHAnsi" w:hAnsiTheme="minorHAnsi" w:cstheme="minorHAnsi"/>
              </w:rPr>
              <w:t>.</w:t>
            </w:r>
          </w:p>
        </w:tc>
      </w:tr>
    </w:tbl>
    <w:p w14:paraId="42603896" w14:textId="77777777" w:rsidR="00C64B47" w:rsidRPr="00D76B47" w:rsidRDefault="00C64B47" w:rsidP="00C64B47">
      <w:pPr>
        <w:spacing w:line="360" w:lineRule="auto"/>
        <w:jc w:val="both"/>
        <w:rPr>
          <w:rFonts w:cstheme="minorHAnsi"/>
        </w:rPr>
      </w:pPr>
    </w:p>
    <w:p w14:paraId="45C491C0" w14:textId="77777777" w:rsidR="00AD6C5E" w:rsidRPr="00D76B47" w:rsidRDefault="00AD6C5E" w:rsidP="00D76B47">
      <w:pPr>
        <w:spacing w:line="360" w:lineRule="auto"/>
        <w:jc w:val="both"/>
        <w:rPr>
          <w:rFonts w:cstheme="minorHAnsi"/>
        </w:rPr>
      </w:pPr>
    </w:p>
    <w:p w14:paraId="72838A19" w14:textId="12C2768E" w:rsidR="00474F0A" w:rsidRPr="001D1977" w:rsidRDefault="00731D43" w:rsidP="0028301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1D1977">
        <w:rPr>
          <w:rFonts w:asciiTheme="minorHAnsi" w:hAnsiTheme="minorHAnsi" w:cstheme="minorHAnsi"/>
          <w:b/>
          <w:bCs/>
          <w:lang w:val="en-GB"/>
        </w:rPr>
        <w:t>Conflicts of interest</w:t>
      </w:r>
    </w:p>
    <w:p w14:paraId="494AE8B9" w14:textId="2DDDC641" w:rsidR="00731D43" w:rsidRDefault="00731D43" w:rsidP="0028301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All authors report nothing to declare.</w:t>
      </w:r>
    </w:p>
    <w:p w14:paraId="300B830E" w14:textId="6B20B674" w:rsidR="00731D43" w:rsidRDefault="00731D43" w:rsidP="0028301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1047D92" w14:textId="0C03C008" w:rsidR="00731D43" w:rsidRPr="001D1977" w:rsidRDefault="00025547" w:rsidP="0028301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1D1977">
        <w:rPr>
          <w:rFonts w:asciiTheme="minorHAnsi" w:hAnsiTheme="minorHAnsi" w:cstheme="minorHAnsi"/>
          <w:b/>
          <w:bCs/>
          <w:lang w:val="en-GB"/>
        </w:rPr>
        <w:t>Funding</w:t>
      </w:r>
    </w:p>
    <w:p w14:paraId="06EAA590" w14:textId="539D23D3" w:rsidR="00025547" w:rsidRDefault="000255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D6A99">
        <w:rPr>
          <w:rFonts w:asciiTheme="minorHAnsi" w:hAnsiTheme="minorHAnsi" w:cstheme="minorHAnsi"/>
          <w:lang w:val="en-GB"/>
        </w:rPr>
        <w:lastRenderedPageBreak/>
        <w:t xml:space="preserve">AK is funded by </w:t>
      </w:r>
      <w:r w:rsidR="00ED253C">
        <w:rPr>
          <w:rFonts w:asciiTheme="minorHAnsi" w:hAnsiTheme="minorHAnsi" w:cstheme="minorHAnsi"/>
          <w:lang w:val="en-GB"/>
        </w:rPr>
        <w:t>the Niels Stensen Fellowship</w:t>
      </w:r>
      <w:r w:rsidRPr="001D6A99">
        <w:rPr>
          <w:rFonts w:asciiTheme="minorHAnsi" w:hAnsiTheme="minorHAnsi" w:cstheme="minorHAnsi"/>
          <w:lang w:val="en-GB"/>
        </w:rPr>
        <w:t xml:space="preserve">; </w:t>
      </w:r>
      <w:r w:rsidR="00404A68" w:rsidRPr="00D76B47">
        <w:rPr>
          <w:rFonts w:asciiTheme="minorHAnsi" w:hAnsiTheme="minorHAnsi" w:cstheme="minorHAnsi"/>
        </w:rPr>
        <w:t xml:space="preserve">SH acknowledges funding from the National Institute for Health Research (NIHR Advanced Fellowship NIHR300072), the Academy of Medical Sciences (SBF005\1111), </w:t>
      </w:r>
      <w:r w:rsidR="00404A68" w:rsidRPr="001D6A99">
        <w:rPr>
          <w:rFonts w:asciiTheme="minorHAnsi" w:hAnsiTheme="minorHAnsi" w:cstheme="minorHAnsi"/>
        </w:rPr>
        <w:t>the Novo Nordisk Foundation (Mobility</w:t>
      </w:r>
      <w:r w:rsidR="00E30EAA">
        <w:rPr>
          <w:rFonts w:asciiTheme="minorHAnsi" w:hAnsiTheme="minorHAnsi" w:cstheme="minorHAnsi"/>
        </w:rPr>
        <w:t xml:space="preserve"> </w:t>
      </w:r>
      <w:r w:rsidR="00404A68" w:rsidRPr="001D6A99">
        <w:rPr>
          <w:rFonts w:asciiTheme="minorHAnsi" w:hAnsiTheme="minorHAnsi" w:cstheme="minorHAnsi"/>
        </w:rPr>
        <w:t xml:space="preserve">– Global Medicine and Health Research grant) and the World Health Organization. </w:t>
      </w:r>
      <w:r w:rsidR="00404A68" w:rsidRPr="00D76B47">
        <w:rPr>
          <w:rFonts w:asciiTheme="minorHAnsi" w:hAnsiTheme="minorHAnsi" w:cstheme="minorHAnsi"/>
        </w:rPr>
        <w:t xml:space="preserve"> FK is supported by a Health Education England/National Institute for Health Research (NIHR) Academic Clinical Fellowship. </w:t>
      </w:r>
      <w:r w:rsidR="00E5653D">
        <w:rPr>
          <w:rFonts w:asciiTheme="minorHAnsi" w:hAnsiTheme="minorHAnsi" w:cstheme="minorHAnsi"/>
        </w:rPr>
        <w:t>ARM</w:t>
      </w:r>
      <w:r w:rsidR="00E5653D" w:rsidRPr="001B3D45">
        <w:rPr>
          <w:rFonts w:asciiTheme="minorHAnsi" w:hAnsiTheme="minorHAnsi" w:cstheme="minorHAnsi"/>
        </w:rPr>
        <w:t xml:space="preserve"> is funded by </w:t>
      </w:r>
      <w:r w:rsidR="00E5653D">
        <w:rPr>
          <w:rFonts w:asciiTheme="minorHAnsi" w:hAnsiTheme="minorHAnsi" w:cstheme="minorHAnsi"/>
        </w:rPr>
        <w:t xml:space="preserve">the </w:t>
      </w:r>
      <w:r w:rsidR="00E5653D" w:rsidRPr="001B3D45">
        <w:rPr>
          <w:rFonts w:asciiTheme="minorHAnsi" w:hAnsiTheme="minorHAnsi" w:cstheme="minorHAnsi"/>
        </w:rPr>
        <w:t xml:space="preserve">Strategic Research Program in Epidemiology at </w:t>
      </w:r>
      <w:r w:rsidR="00E5653D">
        <w:rPr>
          <w:rFonts w:asciiTheme="minorHAnsi" w:hAnsiTheme="minorHAnsi" w:cstheme="minorHAnsi"/>
        </w:rPr>
        <w:t xml:space="preserve">the </w:t>
      </w:r>
      <w:r w:rsidR="00E5653D" w:rsidRPr="001B3D45">
        <w:rPr>
          <w:rFonts w:asciiTheme="minorHAnsi" w:hAnsiTheme="minorHAnsi" w:cstheme="minorHAnsi"/>
        </w:rPr>
        <w:t>Karolinska Institutet.</w:t>
      </w:r>
    </w:p>
    <w:p w14:paraId="3CF0E3C6" w14:textId="5943A6E0" w:rsidR="00AD6C5E" w:rsidRDefault="00AD6C5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365BCBD" w14:textId="0BD7B10B" w:rsidR="00AD6C5E" w:rsidRPr="001D1977" w:rsidRDefault="00AD6C5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D1977">
        <w:rPr>
          <w:rFonts w:asciiTheme="minorHAnsi" w:hAnsiTheme="minorHAnsi" w:cstheme="minorHAnsi"/>
          <w:b/>
          <w:bCs/>
        </w:rPr>
        <w:t>References</w:t>
      </w:r>
    </w:p>
    <w:p w14:paraId="7D419F0D" w14:textId="23E64E71" w:rsidR="004B605E" w:rsidRPr="005B468A" w:rsidRDefault="0046498F" w:rsidP="00A342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5B468A">
        <w:rPr>
          <w:rFonts w:ascii="Calibri" w:hAnsi="Calibri" w:cs="Calibri"/>
          <w:color w:val="000000"/>
        </w:rPr>
        <w:t>Migration Data Portal. (2022, March 24). </w:t>
      </w:r>
      <w:r w:rsidRPr="005B468A">
        <w:rPr>
          <w:rFonts w:ascii="Calibri" w:hAnsi="Calibri" w:cs="Calibri"/>
          <w:i/>
          <w:iCs/>
          <w:color w:val="000000"/>
        </w:rPr>
        <w:t>Refugees and Asylum Seekers</w:t>
      </w:r>
      <w:r w:rsidRPr="005B468A">
        <w:rPr>
          <w:rFonts w:ascii="Calibri" w:hAnsi="Calibri" w:cs="Calibri"/>
          <w:color w:val="000000"/>
        </w:rPr>
        <w:t xml:space="preserve">. Retrieved March 24, 2022, from </w:t>
      </w:r>
      <w:hyperlink r:id="rId10" w:history="1">
        <w:r w:rsidR="00B267B2" w:rsidRPr="005B468A">
          <w:rPr>
            <w:rStyle w:val="Hyperlink"/>
            <w:rFonts w:ascii="Calibri" w:hAnsi="Calibri" w:cs="Calibri"/>
          </w:rPr>
          <w:t>https://www.migrationdataportal.org/ukraine/crisis-movements</w:t>
        </w:r>
      </w:hyperlink>
    </w:p>
    <w:p w14:paraId="643CB6FB" w14:textId="66C80BE1" w:rsidR="00B267B2" w:rsidRPr="005B468A" w:rsidRDefault="00B267B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lang w:val="en-US"/>
        </w:rPr>
      </w:pPr>
      <w:r w:rsidRPr="005B468A">
        <w:rPr>
          <w:rFonts w:ascii="Calibri" w:eastAsia="Times New Roman" w:hAnsi="Calibri" w:cs="Calibri"/>
          <w:color w:val="000000"/>
          <w:lang w:val="en-US"/>
        </w:rPr>
        <w:t>United Nations High Commissioner for Refugees. (2022b, March 18). </w:t>
      </w:r>
      <w:r w:rsidRPr="005B468A">
        <w:rPr>
          <w:rFonts w:ascii="Calibri" w:eastAsia="Times New Roman" w:hAnsi="Calibri" w:cs="Calibri"/>
          <w:i/>
          <w:iCs/>
          <w:color w:val="000000"/>
          <w:lang w:val="en-US"/>
        </w:rPr>
        <w:t>UNHCR warns of rising needs in Ukraine and neighbouring countries, calls for cessation of hostilities</w:t>
      </w:r>
      <w:r w:rsidRPr="005B468A">
        <w:rPr>
          <w:rFonts w:ascii="Calibri" w:eastAsia="Times New Roman" w:hAnsi="Calibri" w:cs="Calibri"/>
          <w:color w:val="000000"/>
          <w:lang w:val="en-US"/>
        </w:rPr>
        <w:t xml:space="preserve">. UNHCR. Retrieved March 24, 2022, from </w:t>
      </w:r>
      <w:hyperlink r:id="rId11" w:history="1">
        <w:r w:rsidR="00A3423C" w:rsidRPr="005B468A">
          <w:rPr>
            <w:rStyle w:val="Hyperlink"/>
            <w:rFonts w:ascii="Calibri" w:hAnsi="Calibri" w:cs="Calibri"/>
          </w:rPr>
          <w:t>https://www.unhcr.org/uk/news/briefing/2022/3/623453f14/unhcr-warns-rising-needs-ukraine-neighbouring-countries-calls-cessation.html</w:t>
        </w:r>
      </w:hyperlink>
    </w:p>
    <w:p w14:paraId="7131417A" w14:textId="7F61114D" w:rsidR="00A3423C" w:rsidRPr="005B468A" w:rsidRDefault="00A3423C" w:rsidP="005B468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B468A">
        <w:rPr>
          <w:rFonts w:ascii="Calibri" w:hAnsi="Calibri" w:cs="Calibri"/>
          <w:color w:val="000000"/>
        </w:rPr>
        <w:t>World Health Organization. (2022, March 18). </w:t>
      </w:r>
      <w:r w:rsidRPr="005B468A">
        <w:rPr>
          <w:rFonts w:ascii="Calibri" w:hAnsi="Calibri" w:cs="Calibri"/>
          <w:i/>
          <w:iCs/>
          <w:color w:val="000000"/>
        </w:rPr>
        <w:t>Prioritizing the health of refugees and migrants: an urgent, necessary plan of action for countries and regions in our interconnected world</w:t>
      </w:r>
      <w:r w:rsidRPr="005B468A">
        <w:rPr>
          <w:rFonts w:ascii="Calibri" w:hAnsi="Calibri" w:cs="Calibri"/>
          <w:color w:val="000000"/>
        </w:rPr>
        <w:t>. WHO. Retrieved March 24, 2022, from https://www.euro.who.int/en/media-centre/sections/press-releases/2022/prioritizing-the-health-of-refugees-and-migrants-an-urgent,-necessary-plan-of-action-for-countries-and-regions-in-our-interconnected-world</w:t>
      </w:r>
    </w:p>
    <w:p w14:paraId="53689BDB" w14:textId="137D1CC0" w:rsidR="004B605E" w:rsidRPr="005B468A" w:rsidRDefault="004B605E">
      <w:pPr>
        <w:pStyle w:val="FootnoteText"/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5B468A">
        <w:rPr>
          <w:rFonts w:ascii="Calibri" w:hAnsi="Calibri" w:cs="Calibri"/>
          <w:color w:val="000000" w:themeColor="text1"/>
          <w:sz w:val="24"/>
          <w:szCs w:val="24"/>
        </w:rPr>
        <w:t xml:space="preserve">Medecins du Monde/UCL. 2021 Observatory report. Unheard, unseen, and untreated: health inequalities in Europe today. </w:t>
      </w:r>
      <w:r w:rsidR="00E30EAA">
        <w:rPr>
          <w:rFonts w:ascii="Calibri" w:hAnsi="Calibri" w:cs="Calibri"/>
          <w:color w:val="000000" w:themeColor="text1"/>
          <w:sz w:val="24"/>
          <w:szCs w:val="24"/>
        </w:rPr>
        <w:t xml:space="preserve">Brussels: MduM, </w:t>
      </w:r>
      <w:r w:rsidRPr="005B468A">
        <w:rPr>
          <w:rFonts w:ascii="Calibri" w:hAnsi="Calibri" w:cs="Calibri"/>
          <w:color w:val="000000" w:themeColor="text1"/>
          <w:sz w:val="24"/>
          <w:szCs w:val="24"/>
        </w:rPr>
        <w:t xml:space="preserve">2021. </w:t>
      </w:r>
    </w:p>
    <w:p w14:paraId="0B12880F" w14:textId="2EAD5B8D" w:rsidR="00A3423C" w:rsidRPr="005B468A" w:rsidRDefault="00A3423C">
      <w:pPr>
        <w:pStyle w:val="FootnoteText"/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5B468A">
        <w:rPr>
          <w:rFonts w:ascii="Calibri" w:hAnsi="Calibri" w:cs="Calibri"/>
          <w:color w:val="000000" w:themeColor="text1"/>
        </w:rPr>
        <w:t>ECDC. (2022). Operational public health considerations for the prevention and control of infectious diseases in the context of Russia’s aggression towards Ukraine. 8 March 2022. Stockholm: ECDC.</w:t>
      </w:r>
    </w:p>
    <w:p w14:paraId="6F300542" w14:textId="3B74D250" w:rsidR="004B605E" w:rsidRPr="005B468A" w:rsidRDefault="00B223F5">
      <w:pPr>
        <w:pStyle w:val="FootnoteText"/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5B468A">
        <w:rPr>
          <w:rFonts w:ascii="Calibri" w:hAnsi="Calibri" w:cs="Calibri"/>
          <w:color w:val="000000" w:themeColor="text1"/>
          <w:sz w:val="24"/>
          <w:szCs w:val="24"/>
        </w:rPr>
        <w:t xml:space="preserve">ECDC. </w:t>
      </w:r>
      <w:r w:rsidR="004B605E" w:rsidRPr="005B468A">
        <w:rPr>
          <w:rFonts w:ascii="Calibri" w:hAnsi="Calibri" w:cs="Calibri"/>
          <w:color w:val="000000" w:themeColor="text1"/>
          <w:sz w:val="24"/>
          <w:szCs w:val="24"/>
        </w:rPr>
        <w:t xml:space="preserve">Public health guidance on screening and vaccination for infectious diseases in newly arrived migrant within the EU/EEA. Stockholm: ECDC; Nov 2018. </w:t>
      </w:r>
    </w:p>
    <w:p w14:paraId="2046B9FA" w14:textId="40B34079" w:rsidR="004B605E" w:rsidRPr="005B468A" w:rsidRDefault="004B605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>Noori T</w:t>
      </w:r>
      <w:r w:rsidR="00CE5F50" w:rsidRPr="005B468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>, et al</w:t>
      </w:r>
      <w:r w:rsidRPr="005B468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>. (2021). Strengthening screening for infectious diseases and vaccination among migrants in Europe: What is needed to close the implementation gaps?. </w:t>
      </w:r>
      <w:r w:rsidRPr="005B468A">
        <w:rPr>
          <w:rFonts w:ascii="Calibri" w:eastAsia="Times New Roman" w:hAnsi="Calibri" w:cs="Calibri"/>
          <w:i/>
          <w:iCs/>
          <w:color w:val="000000" w:themeColor="text1"/>
          <w:lang w:val="en-US"/>
        </w:rPr>
        <w:t>Travel medicine and infectious disease</w:t>
      </w:r>
      <w:r w:rsidRPr="005B468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> </w:t>
      </w:r>
      <w:r w:rsidR="00CE5F50" w:rsidRPr="005B468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 xml:space="preserve">2021; </w:t>
      </w:r>
      <w:r w:rsidRPr="005B468A">
        <w:rPr>
          <w:rFonts w:ascii="Calibri" w:eastAsia="Times New Roman" w:hAnsi="Calibri" w:cs="Calibri"/>
          <w:i/>
          <w:iCs/>
          <w:color w:val="000000" w:themeColor="text1"/>
          <w:lang w:val="en-US"/>
        </w:rPr>
        <w:t>39</w:t>
      </w:r>
      <w:r w:rsidRPr="005B468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>, 101715.</w:t>
      </w:r>
    </w:p>
    <w:p w14:paraId="54596F2E" w14:textId="77777777" w:rsidR="004B605E" w:rsidRPr="005B468A" w:rsidRDefault="004B605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hAnsi="Calibri" w:cs="Calibri"/>
          <w:color w:val="000000" w:themeColor="text1"/>
        </w:rPr>
        <w:t xml:space="preserve">Knights F, Munir S, et al. Assessing newly arrived Afghan refugees and asylum seekers. BMJ 2022. </w:t>
      </w:r>
    </w:p>
    <w:p w14:paraId="060B1CDE" w14:textId="07C08675" w:rsidR="004B605E" w:rsidRPr="005B468A" w:rsidRDefault="0079336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hAnsi="Calibri" w:cs="Calibri"/>
          <w:color w:val="000000" w:themeColor="text1"/>
        </w:rPr>
        <w:t xml:space="preserve">Health Cluster Ukraine. Public Health Situation Analysis – short form, 3 March 2022. </w:t>
      </w:r>
      <w:r w:rsidR="004B605E" w:rsidRPr="005B468A">
        <w:rPr>
          <w:rFonts w:ascii="Calibri" w:hAnsi="Calibri" w:cs="Calibri"/>
          <w:color w:val="000000" w:themeColor="text1"/>
        </w:rPr>
        <w:t>ttps://reliefweb.int/sites/reliefweb.int/files/resources/ukraine-phsa-shortform-030322.pdf</w:t>
      </w:r>
    </w:p>
    <w:p w14:paraId="7FF2F285" w14:textId="0A8E113C" w:rsidR="00FD4EC2" w:rsidRPr="005B468A" w:rsidRDefault="00FD4EC2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hAnsi="Calibri" w:cs="Calibri"/>
          <w:color w:val="000000" w:themeColor="text1"/>
        </w:rPr>
        <w:t>WHO. (2022).</w:t>
      </w:r>
      <w:r w:rsidRPr="005B468A">
        <w:rPr>
          <w:rStyle w:val="apple-converted-space"/>
          <w:rFonts w:ascii="Calibri" w:hAnsi="Calibri" w:cs="Calibri"/>
          <w:color w:val="000000" w:themeColor="text1"/>
        </w:rPr>
        <w:t> </w:t>
      </w:r>
      <w:r w:rsidRPr="005B468A">
        <w:rPr>
          <w:rFonts w:ascii="Calibri" w:hAnsi="Calibri" w:cs="Calibri"/>
          <w:i/>
          <w:iCs/>
          <w:color w:val="000000" w:themeColor="text1"/>
        </w:rPr>
        <w:t>TB profile, Ukraine</w:t>
      </w:r>
      <w:r w:rsidRPr="005B468A">
        <w:rPr>
          <w:rFonts w:ascii="Calibri" w:hAnsi="Calibri" w:cs="Calibri"/>
          <w:color w:val="000000" w:themeColor="text1"/>
        </w:rPr>
        <w:t xml:space="preserve">. Retrieved March 9, 2022, from </w:t>
      </w:r>
      <w:hyperlink r:id="rId12" w:history="1">
        <w:r w:rsidRPr="005B468A">
          <w:rPr>
            <w:rStyle w:val="Hyperlink"/>
            <w:rFonts w:ascii="Calibri" w:hAnsi="Calibri" w:cs="Calibri"/>
            <w:color w:val="000000" w:themeColor="text1"/>
            <w:u w:val="none"/>
          </w:rPr>
          <w:t>https://worldhealthorg.shinyapps.io/tb_profiles/?_inputs_&amp;entity_type=%22country%22&amp;lan=%22EN%22&amp;iso2=%22UA%22</w:t>
        </w:r>
      </w:hyperlink>
    </w:p>
    <w:p w14:paraId="519D7BE7" w14:textId="30C437CC" w:rsidR="00CE767D" w:rsidRPr="005B468A" w:rsidRDefault="00CE767D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hAnsi="Calibri" w:cs="Calibri"/>
          <w:color w:val="000000" w:themeColor="text1"/>
        </w:rPr>
        <w:t>Bjertrup PJ, et al. A life in waiting: refugees’ mental health a</w:t>
      </w:r>
      <w:r w:rsidR="00B223F5" w:rsidRPr="005B468A">
        <w:rPr>
          <w:rFonts w:ascii="Calibri" w:hAnsi="Calibri" w:cs="Calibri"/>
          <w:color w:val="000000" w:themeColor="text1"/>
        </w:rPr>
        <w:t>n</w:t>
      </w:r>
      <w:r w:rsidRPr="005B468A">
        <w:rPr>
          <w:rFonts w:ascii="Calibri" w:hAnsi="Calibri" w:cs="Calibri"/>
          <w:color w:val="000000" w:themeColor="text1"/>
        </w:rPr>
        <w:t>d narratives of social suffering after European Union border cl</w:t>
      </w:r>
      <w:r w:rsidR="00B223F5" w:rsidRPr="005B468A">
        <w:rPr>
          <w:rFonts w:ascii="Calibri" w:hAnsi="Calibri" w:cs="Calibri"/>
          <w:color w:val="000000" w:themeColor="text1"/>
        </w:rPr>
        <w:t>o</w:t>
      </w:r>
      <w:r w:rsidRPr="005B468A">
        <w:rPr>
          <w:rFonts w:ascii="Calibri" w:hAnsi="Calibri" w:cs="Calibri"/>
          <w:color w:val="000000" w:themeColor="text1"/>
        </w:rPr>
        <w:t xml:space="preserve">sures in March 2016. Soc Sci Med 2018; 215: 53-60 </w:t>
      </w:r>
      <w:hyperlink r:id="rId13" w:history="1">
        <w:r w:rsidRPr="005B468A">
          <w:rPr>
            <w:rStyle w:val="Hyperlink"/>
            <w:rFonts w:ascii="Calibri" w:hAnsi="Calibri" w:cs="Calibri"/>
          </w:rPr>
          <w:t>https://pubmed.ncbi.nlm.nih.gov/30205279/</w:t>
        </w:r>
      </w:hyperlink>
    </w:p>
    <w:p w14:paraId="1F5509F9" w14:textId="5FD11713" w:rsidR="004B605E" w:rsidRPr="005B468A" w:rsidRDefault="004B605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hAnsi="Calibri" w:cs="Calibri"/>
          <w:color w:val="000000" w:themeColor="text1"/>
        </w:rPr>
        <w:lastRenderedPageBreak/>
        <w:t>Deal A, Halliday R, Crawshaw AF, Hayward SE, et al.</w:t>
      </w:r>
      <w:r w:rsidRPr="005B468A">
        <w:rPr>
          <w:rStyle w:val="apple-converted-space"/>
          <w:rFonts w:ascii="Calibri" w:hAnsi="Calibri" w:cs="Calibri"/>
          <w:color w:val="000000" w:themeColor="text1"/>
        </w:rPr>
        <w:t> </w:t>
      </w:r>
      <w:r w:rsidRPr="005B468A">
        <w:rPr>
          <w:rFonts w:ascii="Calibri" w:hAnsi="Calibri" w:cs="Calibri"/>
          <w:color w:val="000000" w:themeColor="text1"/>
        </w:rPr>
        <w:t>Migration and outbreaks of vaccine-preventable diseases in Europe.</w:t>
      </w:r>
      <w:r w:rsidRPr="005B468A">
        <w:rPr>
          <w:rStyle w:val="apple-converted-space"/>
          <w:rFonts w:ascii="Calibri" w:hAnsi="Calibri" w:cs="Calibri"/>
          <w:color w:val="000000" w:themeColor="text1"/>
        </w:rPr>
        <w:t> </w:t>
      </w:r>
      <w:r w:rsidRPr="005B468A">
        <w:rPr>
          <w:rFonts w:ascii="Calibri" w:hAnsi="Calibri" w:cs="Calibri"/>
          <w:color w:val="000000" w:themeColor="text1"/>
        </w:rPr>
        <w:t>Lancet Infect Dis</w:t>
      </w:r>
      <w:r w:rsidRPr="005B468A">
        <w:rPr>
          <w:rStyle w:val="apple-converted-space"/>
          <w:rFonts w:ascii="Calibri" w:hAnsi="Calibri" w:cs="Calibri"/>
          <w:color w:val="000000" w:themeColor="text1"/>
        </w:rPr>
        <w:t> </w:t>
      </w:r>
      <w:r w:rsidRPr="005B468A">
        <w:rPr>
          <w:rFonts w:ascii="Calibri" w:hAnsi="Calibri" w:cs="Calibri"/>
          <w:color w:val="000000" w:themeColor="text1"/>
        </w:rPr>
        <w:t>2021; </w:t>
      </w:r>
      <w:hyperlink r:id="rId14" w:history="1">
        <w:r w:rsidRPr="005B468A">
          <w:rPr>
            <w:rStyle w:val="Hyperlink"/>
            <w:rFonts w:ascii="Calibri" w:hAnsi="Calibri" w:cs="Calibri"/>
            <w:color w:val="000000" w:themeColor="text1"/>
          </w:rPr>
          <w:t>https://doi.org/10.1016/</w:t>
        </w:r>
      </w:hyperlink>
      <w:r w:rsidRPr="005B468A">
        <w:rPr>
          <w:rStyle w:val="apple-converted-space"/>
          <w:rFonts w:ascii="Calibri" w:hAnsi="Calibri" w:cs="Calibri"/>
          <w:color w:val="000000" w:themeColor="text1"/>
        </w:rPr>
        <w:t> </w:t>
      </w:r>
      <w:r w:rsidRPr="005B468A">
        <w:rPr>
          <w:rFonts w:ascii="Calibri" w:hAnsi="Calibri" w:cs="Calibri"/>
          <w:color w:val="000000" w:themeColor="text1"/>
        </w:rPr>
        <w:t>S1473-3099(21)00193-6</w:t>
      </w:r>
    </w:p>
    <w:p w14:paraId="736F2A23" w14:textId="412686D8" w:rsidR="00A3423C" w:rsidRPr="005B468A" w:rsidRDefault="00A3423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lang w:val="en-US"/>
        </w:rPr>
      </w:pPr>
      <w:r w:rsidRPr="005B468A">
        <w:rPr>
          <w:rFonts w:ascii="Calibri" w:eastAsia="Times New Roman" w:hAnsi="Calibri" w:cs="Calibri"/>
          <w:color w:val="000000"/>
          <w:lang w:val="en-US"/>
        </w:rPr>
        <w:t>European Centre for Disease Prevention and Control. (2022, March 18). </w:t>
      </w:r>
      <w:r w:rsidRPr="005B468A">
        <w:rPr>
          <w:rFonts w:ascii="Calibri" w:eastAsia="Times New Roman" w:hAnsi="Calibri" w:cs="Calibri"/>
          <w:i/>
          <w:iCs/>
          <w:color w:val="000000"/>
          <w:lang w:val="en-US"/>
        </w:rPr>
        <w:t>Guidance for the prevention and control of COVID-19 in temporary reception centres in the context of the large numbers of people fleeing Ukraine</w:t>
      </w:r>
      <w:r w:rsidRPr="005B468A">
        <w:rPr>
          <w:rFonts w:ascii="Calibri" w:eastAsia="Times New Roman" w:hAnsi="Calibri" w:cs="Calibri"/>
          <w:color w:val="000000"/>
          <w:lang w:val="en-US"/>
        </w:rPr>
        <w:t>. Retrieved March 24, 2022, from https://www.ecdc.europa.eu/en/publications-data/guidance-prevention-control-covid-19-temporary-reception-centres-people-fleeing-ukraine</w:t>
      </w:r>
    </w:p>
    <w:p w14:paraId="0DDD065F" w14:textId="77777777" w:rsidR="00787FD7" w:rsidRPr="005B468A" w:rsidRDefault="00787FD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5B468A">
        <w:rPr>
          <w:rFonts w:ascii="Calibri" w:hAnsi="Calibri" w:cs="Calibri"/>
          <w:color w:val="000000" w:themeColor="text1"/>
        </w:rPr>
        <w:t>European Council. (2022, March 4).</w:t>
      </w:r>
      <w:r w:rsidRPr="005B468A">
        <w:rPr>
          <w:rStyle w:val="apple-converted-space"/>
          <w:rFonts w:ascii="Calibri" w:hAnsi="Calibri" w:cs="Calibri"/>
          <w:color w:val="000000" w:themeColor="text1"/>
        </w:rPr>
        <w:t> </w:t>
      </w:r>
      <w:r w:rsidRPr="005B468A">
        <w:rPr>
          <w:rFonts w:ascii="Calibri" w:hAnsi="Calibri" w:cs="Calibri"/>
          <w:i/>
          <w:iCs/>
          <w:color w:val="000000" w:themeColor="text1"/>
        </w:rPr>
        <w:t>Ukraine: Council unanimously introduces temporary protection for persons fleeing the war</w:t>
      </w:r>
      <w:r w:rsidRPr="005B468A">
        <w:rPr>
          <w:rFonts w:ascii="Calibri" w:hAnsi="Calibri" w:cs="Calibri"/>
          <w:color w:val="000000" w:themeColor="text1"/>
        </w:rPr>
        <w:t>. Retrieved March 10, 2022, from https://www.consilium.europa.eu/en/press/press-releases/2022/03/04/ukraine-council-introduces-temporary-protection-for-persons-fleeing-the-war/</w:t>
      </w:r>
    </w:p>
    <w:p w14:paraId="6CAFAB6A" w14:textId="77777777" w:rsidR="00AD6C5E" w:rsidRPr="00FD4EC2" w:rsidRDefault="00AD6C5E" w:rsidP="00FD4EC2">
      <w:pPr>
        <w:pStyle w:val="ListParagraph"/>
        <w:rPr>
          <w:rFonts w:cstheme="minorHAnsi"/>
          <w:color w:val="000000" w:themeColor="text1"/>
          <w:lang w:val="de-CH"/>
        </w:rPr>
      </w:pPr>
    </w:p>
    <w:p w14:paraId="6E621AA7" w14:textId="77777777" w:rsidR="00474F0A" w:rsidRPr="00D76B47" w:rsidRDefault="00474F0A" w:rsidP="00D76B47">
      <w:pPr>
        <w:spacing w:line="360" w:lineRule="auto"/>
        <w:jc w:val="both"/>
        <w:rPr>
          <w:rFonts w:cstheme="minorHAnsi"/>
        </w:rPr>
      </w:pPr>
    </w:p>
    <w:p w14:paraId="6DED920C" w14:textId="07E4DB19" w:rsidR="00462638" w:rsidRPr="00D76B47" w:rsidRDefault="00462638" w:rsidP="00D76B47">
      <w:pPr>
        <w:pStyle w:val="ListParagraph"/>
        <w:spacing w:line="360" w:lineRule="auto"/>
        <w:jc w:val="both"/>
        <w:rPr>
          <w:rFonts w:cstheme="minorHAnsi"/>
        </w:rPr>
      </w:pPr>
    </w:p>
    <w:sectPr w:rsidR="00462638" w:rsidRPr="00D76B47" w:rsidSect="007272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5263" w14:textId="77777777" w:rsidR="00760954" w:rsidRDefault="00760954" w:rsidP="008838D2">
      <w:r>
        <w:separator/>
      </w:r>
    </w:p>
  </w:endnote>
  <w:endnote w:type="continuationSeparator" w:id="0">
    <w:p w14:paraId="2276E4D9" w14:textId="77777777" w:rsidR="00760954" w:rsidRDefault="00760954" w:rsidP="008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9163" w14:textId="77777777" w:rsidR="00760954" w:rsidRDefault="00760954" w:rsidP="008838D2">
      <w:r>
        <w:separator/>
      </w:r>
    </w:p>
  </w:footnote>
  <w:footnote w:type="continuationSeparator" w:id="0">
    <w:p w14:paraId="7AFDA11B" w14:textId="77777777" w:rsidR="00760954" w:rsidRDefault="00760954" w:rsidP="008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09E6"/>
    <w:multiLevelType w:val="hybridMultilevel"/>
    <w:tmpl w:val="862E37F2"/>
    <w:lvl w:ilvl="0" w:tplc="503678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4D10"/>
    <w:multiLevelType w:val="hybridMultilevel"/>
    <w:tmpl w:val="9D8200BA"/>
    <w:lvl w:ilvl="0" w:tplc="FBBE6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2F1"/>
    <w:multiLevelType w:val="multilevel"/>
    <w:tmpl w:val="CE4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83BC8"/>
    <w:multiLevelType w:val="multilevel"/>
    <w:tmpl w:val="481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91FB1"/>
    <w:multiLevelType w:val="hybridMultilevel"/>
    <w:tmpl w:val="511C2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6C33"/>
    <w:multiLevelType w:val="hybridMultilevel"/>
    <w:tmpl w:val="BF1624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570F7"/>
    <w:multiLevelType w:val="hybridMultilevel"/>
    <w:tmpl w:val="DC2A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5882"/>
    <w:multiLevelType w:val="multilevel"/>
    <w:tmpl w:val="68AC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6174E"/>
    <w:multiLevelType w:val="hybridMultilevel"/>
    <w:tmpl w:val="9B3E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7GwNDIwNbI0MTRV0lEKTi0uzszPAykwrAUAVbaXuCwAAAA="/>
  </w:docVars>
  <w:rsids>
    <w:rsidRoot w:val="00D53A7A"/>
    <w:rsid w:val="0000675F"/>
    <w:rsid w:val="00006896"/>
    <w:rsid w:val="00006AD8"/>
    <w:rsid w:val="00012F60"/>
    <w:rsid w:val="00013E25"/>
    <w:rsid w:val="00025547"/>
    <w:rsid w:val="00030D50"/>
    <w:rsid w:val="00033802"/>
    <w:rsid w:val="00035257"/>
    <w:rsid w:val="000362C3"/>
    <w:rsid w:val="00050C3F"/>
    <w:rsid w:val="0005540C"/>
    <w:rsid w:val="00056634"/>
    <w:rsid w:val="00062E07"/>
    <w:rsid w:val="00065B55"/>
    <w:rsid w:val="000A40CF"/>
    <w:rsid w:val="000E7C1F"/>
    <w:rsid w:val="000F00DB"/>
    <w:rsid w:val="000F5079"/>
    <w:rsid w:val="000F5460"/>
    <w:rsid w:val="001030B2"/>
    <w:rsid w:val="00110BB0"/>
    <w:rsid w:val="0011202C"/>
    <w:rsid w:val="00120B3F"/>
    <w:rsid w:val="0012246F"/>
    <w:rsid w:val="00131F96"/>
    <w:rsid w:val="00136E96"/>
    <w:rsid w:val="00141B0F"/>
    <w:rsid w:val="00143F1F"/>
    <w:rsid w:val="00144814"/>
    <w:rsid w:val="00145812"/>
    <w:rsid w:val="00145A8E"/>
    <w:rsid w:val="00155825"/>
    <w:rsid w:val="001A1BB5"/>
    <w:rsid w:val="001A2B46"/>
    <w:rsid w:val="001B2987"/>
    <w:rsid w:val="001D1977"/>
    <w:rsid w:val="001D4A66"/>
    <w:rsid w:val="001D6A99"/>
    <w:rsid w:val="001E06B5"/>
    <w:rsid w:val="001E4954"/>
    <w:rsid w:val="00203427"/>
    <w:rsid w:val="00206F28"/>
    <w:rsid w:val="00214CDF"/>
    <w:rsid w:val="0022405C"/>
    <w:rsid w:val="00226923"/>
    <w:rsid w:val="0023685D"/>
    <w:rsid w:val="00247670"/>
    <w:rsid w:val="0025221E"/>
    <w:rsid w:val="00253B40"/>
    <w:rsid w:val="00262722"/>
    <w:rsid w:val="00265BE2"/>
    <w:rsid w:val="00283010"/>
    <w:rsid w:val="00284300"/>
    <w:rsid w:val="00291807"/>
    <w:rsid w:val="002B73EC"/>
    <w:rsid w:val="002C0C00"/>
    <w:rsid w:val="002C60DF"/>
    <w:rsid w:val="002D325B"/>
    <w:rsid w:val="002D6BDD"/>
    <w:rsid w:val="002E388C"/>
    <w:rsid w:val="002E5802"/>
    <w:rsid w:val="002F1855"/>
    <w:rsid w:val="002F1E58"/>
    <w:rsid w:val="002F31DA"/>
    <w:rsid w:val="00305CBC"/>
    <w:rsid w:val="00314B05"/>
    <w:rsid w:val="00326438"/>
    <w:rsid w:val="00331AFD"/>
    <w:rsid w:val="00342152"/>
    <w:rsid w:val="00347EEC"/>
    <w:rsid w:val="003534B2"/>
    <w:rsid w:val="00353F3C"/>
    <w:rsid w:val="00372AFD"/>
    <w:rsid w:val="00384CBD"/>
    <w:rsid w:val="00393C1B"/>
    <w:rsid w:val="003D5E8F"/>
    <w:rsid w:val="003E30AC"/>
    <w:rsid w:val="003F0AAB"/>
    <w:rsid w:val="003F67F7"/>
    <w:rsid w:val="004005A3"/>
    <w:rsid w:val="00404A68"/>
    <w:rsid w:val="00413CF0"/>
    <w:rsid w:val="00414889"/>
    <w:rsid w:val="00431682"/>
    <w:rsid w:val="00437161"/>
    <w:rsid w:val="0044212A"/>
    <w:rsid w:val="0044285E"/>
    <w:rsid w:val="0045454B"/>
    <w:rsid w:val="004574CE"/>
    <w:rsid w:val="00457C0C"/>
    <w:rsid w:val="00461A89"/>
    <w:rsid w:val="00462638"/>
    <w:rsid w:val="00463363"/>
    <w:rsid w:val="0046498F"/>
    <w:rsid w:val="00474F0A"/>
    <w:rsid w:val="00475026"/>
    <w:rsid w:val="00475A34"/>
    <w:rsid w:val="00481BDF"/>
    <w:rsid w:val="00487227"/>
    <w:rsid w:val="00491EA6"/>
    <w:rsid w:val="004B605E"/>
    <w:rsid w:val="004B713D"/>
    <w:rsid w:val="004E0A1C"/>
    <w:rsid w:val="004E5184"/>
    <w:rsid w:val="004F07BB"/>
    <w:rsid w:val="00506FA4"/>
    <w:rsid w:val="00507572"/>
    <w:rsid w:val="005200FA"/>
    <w:rsid w:val="0052343B"/>
    <w:rsid w:val="00527085"/>
    <w:rsid w:val="005312B9"/>
    <w:rsid w:val="00536556"/>
    <w:rsid w:val="0054198E"/>
    <w:rsid w:val="00577326"/>
    <w:rsid w:val="005859DA"/>
    <w:rsid w:val="005866D0"/>
    <w:rsid w:val="0059295B"/>
    <w:rsid w:val="00593317"/>
    <w:rsid w:val="00594334"/>
    <w:rsid w:val="005A3297"/>
    <w:rsid w:val="005B39FC"/>
    <w:rsid w:val="005B468A"/>
    <w:rsid w:val="005C0665"/>
    <w:rsid w:val="005C2C3F"/>
    <w:rsid w:val="005E3A75"/>
    <w:rsid w:val="005E6697"/>
    <w:rsid w:val="005E7EB5"/>
    <w:rsid w:val="005F06A2"/>
    <w:rsid w:val="005F78A6"/>
    <w:rsid w:val="00601146"/>
    <w:rsid w:val="00605360"/>
    <w:rsid w:val="0061492B"/>
    <w:rsid w:val="006179E6"/>
    <w:rsid w:val="00617E79"/>
    <w:rsid w:val="00624469"/>
    <w:rsid w:val="00625059"/>
    <w:rsid w:val="00630F77"/>
    <w:rsid w:val="00646D30"/>
    <w:rsid w:val="00674FF8"/>
    <w:rsid w:val="00687A0B"/>
    <w:rsid w:val="006A7EB8"/>
    <w:rsid w:val="006B266B"/>
    <w:rsid w:val="006B76C5"/>
    <w:rsid w:val="006C4037"/>
    <w:rsid w:val="006E1A4F"/>
    <w:rsid w:val="006F0FC3"/>
    <w:rsid w:val="006F2878"/>
    <w:rsid w:val="006F4257"/>
    <w:rsid w:val="006F646B"/>
    <w:rsid w:val="00707764"/>
    <w:rsid w:val="0071446D"/>
    <w:rsid w:val="00722979"/>
    <w:rsid w:val="0072306E"/>
    <w:rsid w:val="00727269"/>
    <w:rsid w:val="00731D43"/>
    <w:rsid w:val="00732CEE"/>
    <w:rsid w:val="00741E3D"/>
    <w:rsid w:val="0075789A"/>
    <w:rsid w:val="0076069F"/>
    <w:rsid w:val="00760954"/>
    <w:rsid w:val="007660E0"/>
    <w:rsid w:val="00767B3A"/>
    <w:rsid w:val="00772FA0"/>
    <w:rsid w:val="00775006"/>
    <w:rsid w:val="00787FD7"/>
    <w:rsid w:val="0079336B"/>
    <w:rsid w:val="007A37CC"/>
    <w:rsid w:val="007A7BF4"/>
    <w:rsid w:val="007B0A72"/>
    <w:rsid w:val="007B5C7E"/>
    <w:rsid w:val="007B6656"/>
    <w:rsid w:val="007C0E2F"/>
    <w:rsid w:val="007D0A49"/>
    <w:rsid w:val="007D4C64"/>
    <w:rsid w:val="007F00B8"/>
    <w:rsid w:val="007F446F"/>
    <w:rsid w:val="007F51B4"/>
    <w:rsid w:val="007F6F0C"/>
    <w:rsid w:val="008169FD"/>
    <w:rsid w:val="00816C91"/>
    <w:rsid w:val="008309A3"/>
    <w:rsid w:val="00835859"/>
    <w:rsid w:val="00840AD3"/>
    <w:rsid w:val="00841D84"/>
    <w:rsid w:val="008447E6"/>
    <w:rsid w:val="0086113D"/>
    <w:rsid w:val="008838D2"/>
    <w:rsid w:val="00884C65"/>
    <w:rsid w:val="00890016"/>
    <w:rsid w:val="00890A2A"/>
    <w:rsid w:val="008A0FD0"/>
    <w:rsid w:val="008A4C1D"/>
    <w:rsid w:val="008B0B36"/>
    <w:rsid w:val="008B667A"/>
    <w:rsid w:val="008D343D"/>
    <w:rsid w:val="008F2280"/>
    <w:rsid w:val="008F7C6D"/>
    <w:rsid w:val="009377DD"/>
    <w:rsid w:val="0096434B"/>
    <w:rsid w:val="009644B2"/>
    <w:rsid w:val="0096783B"/>
    <w:rsid w:val="00980EBF"/>
    <w:rsid w:val="0099414B"/>
    <w:rsid w:val="0099653B"/>
    <w:rsid w:val="009A5DBF"/>
    <w:rsid w:val="009B24FE"/>
    <w:rsid w:val="009C1C3D"/>
    <w:rsid w:val="009C3735"/>
    <w:rsid w:val="009F1C58"/>
    <w:rsid w:val="009F6B30"/>
    <w:rsid w:val="00A04E30"/>
    <w:rsid w:val="00A17043"/>
    <w:rsid w:val="00A205B1"/>
    <w:rsid w:val="00A25BDD"/>
    <w:rsid w:val="00A3423C"/>
    <w:rsid w:val="00A4057A"/>
    <w:rsid w:val="00A46866"/>
    <w:rsid w:val="00A62295"/>
    <w:rsid w:val="00A66FEA"/>
    <w:rsid w:val="00A96E0E"/>
    <w:rsid w:val="00AA6E21"/>
    <w:rsid w:val="00AB1D00"/>
    <w:rsid w:val="00AC4DF1"/>
    <w:rsid w:val="00AD6C5E"/>
    <w:rsid w:val="00AE5EE4"/>
    <w:rsid w:val="00B053FB"/>
    <w:rsid w:val="00B223F5"/>
    <w:rsid w:val="00B267B2"/>
    <w:rsid w:val="00B27919"/>
    <w:rsid w:val="00B306B6"/>
    <w:rsid w:val="00B33111"/>
    <w:rsid w:val="00B3607D"/>
    <w:rsid w:val="00B605F4"/>
    <w:rsid w:val="00B63B1E"/>
    <w:rsid w:val="00B72020"/>
    <w:rsid w:val="00B83A8A"/>
    <w:rsid w:val="00B93912"/>
    <w:rsid w:val="00B962BF"/>
    <w:rsid w:val="00BA40B1"/>
    <w:rsid w:val="00BB4EBB"/>
    <w:rsid w:val="00BC10AB"/>
    <w:rsid w:val="00BC148C"/>
    <w:rsid w:val="00BC3B87"/>
    <w:rsid w:val="00BC3B9B"/>
    <w:rsid w:val="00BC609A"/>
    <w:rsid w:val="00BD08E3"/>
    <w:rsid w:val="00BD31C7"/>
    <w:rsid w:val="00BE349C"/>
    <w:rsid w:val="00BE56B5"/>
    <w:rsid w:val="00BE6D08"/>
    <w:rsid w:val="00BF26C2"/>
    <w:rsid w:val="00C10143"/>
    <w:rsid w:val="00C113DC"/>
    <w:rsid w:val="00C1753A"/>
    <w:rsid w:val="00C218B9"/>
    <w:rsid w:val="00C307D6"/>
    <w:rsid w:val="00C30DE9"/>
    <w:rsid w:val="00C45499"/>
    <w:rsid w:val="00C45E78"/>
    <w:rsid w:val="00C476F3"/>
    <w:rsid w:val="00C5786D"/>
    <w:rsid w:val="00C6319D"/>
    <w:rsid w:val="00C64B47"/>
    <w:rsid w:val="00C80E23"/>
    <w:rsid w:val="00C908C8"/>
    <w:rsid w:val="00CA01A9"/>
    <w:rsid w:val="00CA4266"/>
    <w:rsid w:val="00CB16B9"/>
    <w:rsid w:val="00CD65DE"/>
    <w:rsid w:val="00CE5348"/>
    <w:rsid w:val="00CE5F50"/>
    <w:rsid w:val="00CE767D"/>
    <w:rsid w:val="00D006BA"/>
    <w:rsid w:val="00D0275D"/>
    <w:rsid w:val="00D0784E"/>
    <w:rsid w:val="00D35614"/>
    <w:rsid w:val="00D449F3"/>
    <w:rsid w:val="00D5001F"/>
    <w:rsid w:val="00D53A7A"/>
    <w:rsid w:val="00D65FA6"/>
    <w:rsid w:val="00D74834"/>
    <w:rsid w:val="00D76B47"/>
    <w:rsid w:val="00D83AD6"/>
    <w:rsid w:val="00D84364"/>
    <w:rsid w:val="00D8555F"/>
    <w:rsid w:val="00D86699"/>
    <w:rsid w:val="00D86763"/>
    <w:rsid w:val="00D9284D"/>
    <w:rsid w:val="00D959CD"/>
    <w:rsid w:val="00DA5F22"/>
    <w:rsid w:val="00DB6A11"/>
    <w:rsid w:val="00DB6BEE"/>
    <w:rsid w:val="00DB7AD0"/>
    <w:rsid w:val="00DC478A"/>
    <w:rsid w:val="00DC5497"/>
    <w:rsid w:val="00DD20C9"/>
    <w:rsid w:val="00DD2FC7"/>
    <w:rsid w:val="00DD55CA"/>
    <w:rsid w:val="00DE000F"/>
    <w:rsid w:val="00DE01ED"/>
    <w:rsid w:val="00DE7A1F"/>
    <w:rsid w:val="00E01127"/>
    <w:rsid w:val="00E144BF"/>
    <w:rsid w:val="00E30EAA"/>
    <w:rsid w:val="00E36BFD"/>
    <w:rsid w:val="00E41441"/>
    <w:rsid w:val="00E47657"/>
    <w:rsid w:val="00E5653D"/>
    <w:rsid w:val="00E60638"/>
    <w:rsid w:val="00E626F0"/>
    <w:rsid w:val="00E67D60"/>
    <w:rsid w:val="00E71B7B"/>
    <w:rsid w:val="00E76EB4"/>
    <w:rsid w:val="00E77314"/>
    <w:rsid w:val="00E80F20"/>
    <w:rsid w:val="00E82163"/>
    <w:rsid w:val="00E85FC1"/>
    <w:rsid w:val="00E96C4A"/>
    <w:rsid w:val="00EB723E"/>
    <w:rsid w:val="00EC18D3"/>
    <w:rsid w:val="00EC5495"/>
    <w:rsid w:val="00EC7260"/>
    <w:rsid w:val="00ED1D2E"/>
    <w:rsid w:val="00ED253C"/>
    <w:rsid w:val="00ED3DB0"/>
    <w:rsid w:val="00EE171B"/>
    <w:rsid w:val="00EE6424"/>
    <w:rsid w:val="00EF2FFD"/>
    <w:rsid w:val="00EF4296"/>
    <w:rsid w:val="00EF6285"/>
    <w:rsid w:val="00EF78E8"/>
    <w:rsid w:val="00EF7A10"/>
    <w:rsid w:val="00EF7C0F"/>
    <w:rsid w:val="00F11FB7"/>
    <w:rsid w:val="00F23105"/>
    <w:rsid w:val="00F31439"/>
    <w:rsid w:val="00F43665"/>
    <w:rsid w:val="00F54DCE"/>
    <w:rsid w:val="00F8312C"/>
    <w:rsid w:val="00F918F0"/>
    <w:rsid w:val="00F9786B"/>
    <w:rsid w:val="00FA258D"/>
    <w:rsid w:val="00FC7D20"/>
    <w:rsid w:val="00FD1314"/>
    <w:rsid w:val="00FD4EC2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FBAB"/>
  <w15:chartTrackingRefBased/>
  <w15:docId w15:val="{94F6CB82-CF1B-5F4E-BFF1-B8AD3A9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E00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F0A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38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38D2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838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26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6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62638"/>
  </w:style>
  <w:style w:type="paragraph" w:styleId="FootnoteText">
    <w:name w:val="footnote text"/>
    <w:basedOn w:val="Normal"/>
    <w:link w:val="FootnoteTextChar"/>
    <w:uiPriority w:val="99"/>
    <w:semiHidden/>
    <w:unhideWhenUsed/>
    <w:rsid w:val="009B24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4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2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24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4FE"/>
    <w:rPr>
      <w:color w:val="605E5C"/>
      <w:shd w:val="clear" w:color="auto" w:fill="E1DFDD"/>
    </w:rPr>
  </w:style>
  <w:style w:type="character" w:customStyle="1" w:styleId="A2">
    <w:name w:val="A2"/>
    <w:uiPriority w:val="99"/>
    <w:rsid w:val="00414889"/>
    <w:rPr>
      <w:rFonts w:cs="Fira Sans Light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72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9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97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202C"/>
    <w:rPr>
      <w:lang w:val="en-GB"/>
    </w:rPr>
  </w:style>
  <w:style w:type="paragraph" w:customStyle="1" w:styleId="Body">
    <w:name w:val="Body"/>
    <w:link w:val="BodyChar"/>
    <w:rsid w:val="008309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8309A3"/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309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000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39"/>
    <w:rsid w:val="0003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rgreaves@sgul.ac.uk" TargetMode="External"/><Relationship Id="rId13" Type="http://schemas.openxmlformats.org/officeDocument/2006/relationships/hyperlink" Target="https://pubmed.ncbi.nlm.nih.gov/302052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ldhealthorg.shinyapps.io/tb_profiles/?_inputs_&amp;entity_type=%22country%22&amp;lan=%22EN%22&amp;iso2=%22UA%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hcr.org/uk/news/briefing/2022/3/623453f14/unhcr-warns-rising-needs-ukraine-neighbouring-countries-calls-cess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grationdataportal.org/ukraine/crisis-mov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pex.eu/" TargetMode="External"/><Relationship Id="rId14" Type="http://schemas.openxmlformats.org/officeDocument/2006/relationships/hyperlink" Target="https://doi.org/10.1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F2E1BB-7F49-0347-8435-BC4BBDAC7E25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5C129-28A3-EB48-9917-8F60E01A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Kamenshchikova</dc:creator>
  <cp:keywords/>
  <dc:description/>
  <cp:lastModifiedBy>Hargreaves, Sally</cp:lastModifiedBy>
  <cp:revision>3</cp:revision>
  <dcterms:created xsi:type="dcterms:W3CDTF">2022-03-24T17:53:00Z</dcterms:created>
  <dcterms:modified xsi:type="dcterms:W3CDTF">2022-03-24T17:53:00Z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documentId_8773</vt:lpwstr>
  </property>
  <property fmtid="{D5CDD505-2E9C-101B-9397-08002B2CF9AE}" pid="3" name="grammarly_documentContext">
    <vt:lpwstr>{"goals":[],"domain":"general","emotions":[],"dialect":"british"}</vt:lpwstr>
  </property>
</Properties>
</file>