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F8FE" w14:textId="77777777" w:rsidR="00182A7F" w:rsidRDefault="00182A7F" w:rsidP="00182A7F">
      <w:pPr>
        <w:spacing w:after="0" w:line="360" w:lineRule="auto"/>
        <w:contextualSpacing/>
        <w:rPr>
          <w:b/>
          <w:bCs/>
          <w:i/>
          <w:iCs/>
          <w:noProof/>
        </w:rPr>
      </w:pPr>
      <w:r w:rsidRPr="0090600C">
        <w:rPr>
          <w:b/>
          <w:bCs/>
          <w:i/>
          <w:iCs/>
          <w:noProof/>
        </w:rPr>
        <w:t>Supplemental Material</w:t>
      </w:r>
    </w:p>
    <w:p w14:paraId="3C5104F6" w14:textId="77777777" w:rsidR="00182A7F" w:rsidRDefault="00182A7F" w:rsidP="00182A7F">
      <w:pPr>
        <w:spacing w:after="0" w:line="360" w:lineRule="auto"/>
        <w:contextualSpacing/>
        <w:rPr>
          <w:b/>
          <w:bCs/>
          <w:i/>
          <w:iCs/>
          <w:noProof/>
        </w:rPr>
      </w:pPr>
      <w:r w:rsidRPr="006C0F5A">
        <w:rPr>
          <w:b/>
          <w:bCs/>
        </w:rPr>
        <w:t xml:space="preserve">Dronedarone </w:t>
      </w:r>
      <w:r>
        <w:rPr>
          <w:b/>
          <w:bCs/>
        </w:rPr>
        <w:t>for the Treatment of</w:t>
      </w:r>
      <w:r w:rsidRPr="006C0F5A">
        <w:rPr>
          <w:b/>
          <w:bCs/>
        </w:rPr>
        <w:t xml:space="preserve"> Atrial Fibrillation </w:t>
      </w:r>
      <w:r>
        <w:rPr>
          <w:b/>
          <w:bCs/>
        </w:rPr>
        <w:t>with Concomitant</w:t>
      </w:r>
      <w:r w:rsidRPr="006C0F5A">
        <w:rPr>
          <w:b/>
          <w:bCs/>
        </w:rPr>
        <w:t xml:space="preserve"> Heart Failure with </w:t>
      </w:r>
      <w:r>
        <w:rPr>
          <w:b/>
          <w:bCs/>
        </w:rPr>
        <w:t>Preserved and Mildly Reduced</w:t>
      </w:r>
      <w:r w:rsidRPr="006C0F5A">
        <w:rPr>
          <w:b/>
          <w:bCs/>
        </w:rPr>
        <w:t xml:space="preserve"> Ejection Fraction: </w:t>
      </w:r>
      <w:r w:rsidRPr="00773FA5">
        <w:rPr>
          <w:b/>
          <w:bCs/>
          <w:i/>
          <w:iCs/>
        </w:rPr>
        <w:t xml:space="preserve">Post-Hoc </w:t>
      </w:r>
      <w:r w:rsidRPr="006C0F5A">
        <w:rPr>
          <w:b/>
          <w:bCs/>
        </w:rPr>
        <w:t>Analysis of the ATHENA Trial</w:t>
      </w:r>
    </w:p>
    <w:p w14:paraId="0B381F4C" w14:textId="77777777" w:rsidR="00182A7F" w:rsidRPr="00E222E9" w:rsidRDefault="00182A7F" w:rsidP="00182A7F">
      <w:pPr>
        <w:spacing w:after="0" w:line="360" w:lineRule="auto"/>
        <w:contextualSpacing/>
        <w:rPr>
          <w:b/>
          <w:bCs/>
          <w:i/>
          <w:iCs/>
          <w:noProof/>
        </w:rPr>
      </w:pPr>
      <w:r w:rsidRPr="006C0F5A">
        <w:t>Muthiah Vaduganathan, MD MPH</w:t>
      </w:r>
      <w:r w:rsidRPr="006C0F5A">
        <w:rPr>
          <w:vertAlign w:val="superscript"/>
        </w:rPr>
        <w:t>1</w:t>
      </w:r>
      <w:r w:rsidRPr="006C0F5A">
        <w:t>; Jonathan P. Piccini, MD, MHS</w:t>
      </w:r>
      <w:r w:rsidRPr="006C0F5A">
        <w:rPr>
          <w:vertAlign w:val="superscript"/>
        </w:rPr>
        <w:t>2</w:t>
      </w:r>
      <w:r w:rsidRPr="006C0F5A">
        <w:t>; A. John Camm, MD</w:t>
      </w:r>
      <w:r w:rsidRPr="006C0F5A">
        <w:rPr>
          <w:vertAlign w:val="superscript"/>
        </w:rPr>
        <w:t>3</w:t>
      </w:r>
      <w:r w:rsidRPr="006C0F5A">
        <w:t>; Harry J.G.M. Crijns, MD PhD</w:t>
      </w:r>
      <w:r w:rsidRPr="006C0F5A">
        <w:rPr>
          <w:vertAlign w:val="superscript"/>
        </w:rPr>
        <w:t>4</w:t>
      </w:r>
      <w:r w:rsidRPr="006C0F5A">
        <w:t>; Stefan D. Anker, MD PhD</w:t>
      </w:r>
      <w:r w:rsidRPr="006C0F5A">
        <w:rPr>
          <w:vertAlign w:val="superscript"/>
        </w:rPr>
        <w:t>5</w:t>
      </w:r>
      <w:r w:rsidRPr="006C0F5A">
        <w:t>; Javed Butler, MD MPH MBA</w:t>
      </w:r>
      <w:r w:rsidRPr="006C0F5A">
        <w:rPr>
          <w:vertAlign w:val="superscript"/>
        </w:rPr>
        <w:t>6</w:t>
      </w:r>
      <w:r w:rsidRPr="006C0F5A">
        <w:t>; John Stewart, MSc</w:t>
      </w:r>
      <w:r w:rsidRPr="006C0F5A">
        <w:rPr>
          <w:vertAlign w:val="superscript"/>
        </w:rPr>
        <w:t>7</w:t>
      </w:r>
      <w:r w:rsidRPr="006C0F5A">
        <w:t>; Rogelio Braceras, MD</w:t>
      </w:r>
      <w:r w:rsidRPr="006C0F5A">
        <w:rPr>
          <w:vertAlign w:val="superscript"/>
        </w:rPr>
        <w:t>8</w:t>
      </w:r>
      <w:r w:rsidRPr="006C0F5A">
        <w:t>; Alessandro P</w:t>
      </w:r>
      <w:r>
        <w:t>.-A. Albuquerque</w:t>
      </w:r>
      <w:r w:rsidRPr="006C0F5A">
        <w:t>, MD MSc PhD</w:t>
      </w:r>
      <w:r w:rsidRPr="006C0F5A">
        <w:rPr>
          <w:vertAlign w:val="superscript"/>
        </w:rPr>
        <w:t>8</w:t>
      </w:r>
      <w:r w:rsidRPr="006C0F5A">
        <w:t xml:space="preserve">; </w:t>
      </w:r>
    </w:p>
    <w:p w14:paraId="0315567E" w14:textId="77777777" w:rsidR="00182A7F" w:rsidRPr="006C0F5A" w:rsidRDefault="00182A7F" w:rsidP="00182A7F">
      <w:pPr>
        <w:spacing w:after="0" w:line="360" w:lineRule="auto"/>
        <w:contextualSpacing/>
      </w:pPr>
      <w:r w:rsidRPr="006C0F5A">
        <w:t>Mattias Wieloch, MD PhD</w:t>
      </w:r>
      <w:r w:rsidRPr="006C0F5A">
        <w:rPr>
          <w:vertAlign w:val="superscript"/>
        </w:rPr>
        <w:t>9</w:t>
      </w:r>
      <w:r>
        <w:rPr>
          <w:vertAlign w:val="superscript"/>
        </w:rPr>
        <w:t>,10</w:t>
      </w:r>
      <w:r w:rsidRPr="006C0F5A">
        <w:t>; Stefan H. Hohnloser, MD</w:t>
      </w:r>
      <w:r w:rsidRPr="006C0F5A">
        <w:rPr>
          <w:vertAlign w:val="superscript"/>
        </w:rPr>
        <w:t>1</w:t>
      </w:r>
      <w:r>
        <w:rPr>
          <w:vertAlign w:val="superscript"/>
        </w:rPr>
        <w:t>1</w:t>
      </w:r>
    </w:p>
    <w:p w14:paraId="64A3D5DF" w14:textId="77777777" w:rsidR="00182A7F" w:rsidRPr="006C0F5A" w:rsidRDefault="00182A7F" w:rsidP="00182A7F">
      <w:pPr>
        <w:spacing w:after="0" w:line="480" w:lineRule="auto"/>
        <w:contextualSpacing/>
      </w:pPr>
    </w:p>
    <w:p w14:paraId="7C50AB65" w14:textId="77777777" w:rsidR="00182A7F" w:rsidRDefault="00182A7F" w:rsidP="00182A7F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0FA35DE8" w14:textId="5D2BF0F9" w:rsidR="001F2EEF" w:rsidRDefault="001F2EEF" w:rsidP="001F2EEF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7D636F">
        <w:rPr>
          <w:b/>
          <w:bCs/>
        </w:rPr>
        <w:t>Figure 1. Kaplan Meier Analysis for Death or Cardiovascular (CV) Hospitalization in Placebo-Treated Patients in ATHENA</w:t>
      </w:r>
    </w:p>
    <w:p w14:paraId="09564076" w14:textId="77777777" w:rsidR="001F2EEF" w:rsidRPr="007D636F" w:rsidRDefault="001F2EEF" w:rsidP="001F2EEF">
      <w:pPr>
        <w:spacing w:line="480" w:lineRule="auto"/>
      </w:pPr>
      <w:r>
        <w:t xml:space="preserve">Abbreviations: HF = heart failure; HFmrEF = heart failure with mildly reduced ejection fraction; </w:t>
      </w:r>
      <w:r w:rsidRPr="002E12E6">
        <w:t xml:space="preserve"> </w:t>
      </w:r>
      <w:r>
        <w:t>HFpEF = heart failure with preserved ejection fraction; HFrEF / LVD = heart failure with reduced ejection fraction or left ventricular dysfunction</w:t>
      </w:r>
    </w:p>
    <w:p w14:paraId="4CF3A4AA" w14:textId="77777777" w:rsidR="001F2EEF" w:rsidRPr="007D636F" w:rsidRDefault="001F2EEF" w:rsidP="001F2EEF">
      <w:pPr>
        <w:spacing w:line="480" w:lineRule="auto"/>
        <w:rPr>
          <w:b/>
          <w:bCs/>
        </w:rPr>
      </w:pPr>
      <w:r w:rsidRPr="0090600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228CE94" wp14:editId="0289DD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631565"/>
            <wp:effectExtent l="0" t="0" r="0" b="6985"/>
            <wp:wrapNone/>
            <wp:docPr id="7" name="Picture 4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88FAA36-14F1-4546-A144-F4AED98E00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288FAA36-14F1-4546-A144-F4AED98E00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0F7A2" w14:textId="77777777" w:rsidR="001F2EEF" w:rsidRDefault="001F2EEF" w:rsidP="001F2EEF">
      <w:pPr>
        <w:spacing w:line="480" w:lineRule="auto"/>
      </w:pPr>
    </w:p>
    <w:p w14:paraId="32520555" w14:textId="77777777" w:rsidR="001F2EEF" w:rsidRDefault="001F2EEF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3DCC3B4D" w14:textId="18AF8B17" w:rsidR="00182A7F" w:rsidRDefault="00182A7F" w:rsidP="00182A7F">
      <w:pPr>
        <w:spacing w:after="0" w:line="480" w:lineRule="auto"/>
        <w:contextualSpacing/>
        <w:rPr>
          <w:b/>
          <w:bCs/>
          <w:noProof/>
        </w:rPr>
      </w:pPr>
      <w:r w:rsidRPr="00EE68A1">
        <w:rPr>
          <w:b/>
          <w:bCs/>
          <w:noProof/>
        </w:rPr>
        <w:lastRenderedPageBreak/>
        <w:t xml:space="preserve">Supplemental Figure </w:t>
      </w:r>
      <w:r w:rsidR="001F2EEF">
        <w:rPr>
          <w:b/>
          <w:bCs/>
          <w:noProof/>
        </w:rPr>
        <w:t>2</w:t>
      </w:r>
      <w:r w:rsidRPr="00EE68A1">
        <w:rPr>
          <w:b/>
          <w:bCs/>
          <w:noProof/>
        </w:rPr>
        <w:t>.</w:t>
      </w:r>
      <w:r>
        <w:rPr>
          <w:b/>
          <w:bCs/>
          <w:noProof/>
        </w:rPr>
        <w:t xml:space="preserve"> Sensitivity Analysis with Less Stringent Criteria to Define Heart Failure with Preserved and Mildly Reduced Ejection Fraction (HFpEF/HFmrEF)</w:t>
      </w:r>
    </w:p>
    <w:p w14:paraId="5F0BCB51" w14:textId="77777777" w:rsidR="00182A7F" w:rsidRDefault="00182A7F" w:rsidP="00182A7F">
      <w:pPr>
        <w:spacing w:after="0" w:line="480" w:lineRule="auto"/>
        <w:contextualSpacing/>
        <w:rPr>
          <w:b/>
          <w:bCs/>
          <w:noProof/>
        </w:rPr>
      </w:pPr>
      <w:r>
        <w:rPr>
          <w:noProof/>
        </w:rPr>
        <w:t>This sensitivity analysis evaluated the 2,353 individuals who met less stringent criteria for HFpEF/HFmrEF by removing requirement for structural heart disease.</w:t>
      </w:r>
    </w:p>
    <w:p w14:paraId="6283D42A" w14:textId="77777777" w:rsidR="00182A7F" w:rsidRDefault="00182A7F" w:rsidP="00182A7F">
      <w:pPr>
        <w:spacing w:after="0" w:line="480" w:lineRule="auto"/>
        <w:contextualSpacing/>
        <w:rPr>
          <w:b/>
          <w:bCs/>
          <w:noProof/>
        </w:rPr>
      </w:pPr>
    </w:p>
    <w:p w14:paraId="766F451E" w14:textId="77777777" w:rsidR="00182A7F" w:rsidRPr="00EE68A1" w:rsidRDefault="00182A7F" w:rsidP="00182A7F">
      <w:pPr>
        <w:spacing w:after="0" w:line="480" w:lineRule="auto"/>
        <w:contextualSpacing/>
        <w:rPr>
          <w:b/>
          <w:bCs/>
          <w:noProof/>
        </w:rPr>
      </w:pPr>
      <w:r w:rsidRPr="0015359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F19E962" wp14:editId="201B5B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230880"/>
            <wp:effectExtent l="0" t="0" r="0" b="7620"/>
            <wp:wrapNone/>
            <wp:docPr id="2" name="Picture 1" descr="Chart, box and whisk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2F4358-E397-42BD-AED9-FE65C302E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art, box and whisker chart&#10;&#10;Description automatically generated">
                      <a:extLst>
                        <a:ext uri="{FF2B5EF4-FFF2-40B4-BE49-F238E27FC236}">
                          <a16:creationId xmlns:a16="http://schemas.microsoft.com/office/drawing/2014/main" id="{1F2F4358-E397-42BD-AED9-FE65C302E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B8563" w14:textId="77777777" w:rsidR="00182A7F" w:rsidRDefault="00182A7F" w:rsidP="00182A7F">
      <w:pPr>
        <w:spacing w:after="0" w:line="480" w:lineRule="auto"/>
        <w:contextualSpacing/>
        <w:rPr>
          <w:noProof/>
        </w:rPr>
      </w:pPr>
    </w:p>
    <w:p w14:paraId="25F8F99D" w14:textId="77777777" w:rsidR="00182A7F" w:rsidRDefault="00182A7F" w:rsidP="00182A7F">
      <w:pPr>
        <w:spacing w:after="0" w:line="480" w:lineRule="auto"/>
        <w:contextualSpacing/>
        <w:rPr>
          <w:noProof/>
        </w:rPr>
      </w:pPr>
    </w:p>
    <w:p w14:paraId="5B8CBCEC" w14:textId="77777777" w:rsidR="00182A7F" w:rsidRDefault="00182A7F" w:rsidP="00182A7F">
      <w:pPr>
        <w:spacing w:after="0" w:line="480" w:lineRule="auto"/>
        <w:contextualSpacing/>
        <w:rPr>
          <w:noProof/>
        </w:rPr>
      </w:pPr>
    </w:p>
    <w:p w14:paraId="41388F1D" w14:textId="77777777" w:rsidR="00182A7F" w:rsidRDefault="00182A7F" w:rsidP="00182A7F">
      <w:pPr>
        <w:spacing w:after="0" w:line="480" w:lineRule="auto"/>
        <w:contextualSpacing/>
        <w:rPr>
          <w:noProof/>
        </w:rPr>
      </w:pPr>
    </w:p>
    <w:p w14:paraId="31D71C29" w14:textId="77777777" w:rsidR="00182A7F" w:rsidRDefault="00182A7F" w:rsidP="00182A7F">
      <w:pPr>
        <w:spacing w:after="0" w:line="480" w:lineRule="auto"/>
        <w:contextualSpacing/>
        <w:rPr>
          <w:noProof/>
        </w:rPr>
      </w:pPr>
    </w:p>
    <w:p w14:paraId="24601575" w14:textId="77777777" w:rsidR="00182A7F" w:rsidRDefault="00182A7F" w:rsidP="00182A7F">
      <w:pPr>
        <w:spacing w:after="0" w:line="480" w:lineRule="auto"/>
        <w:contextualSpacing/>
        <w:rPr>
          <w:noProof/>
        </w:rPr>
      </w:pPr>
    </w:p>
    <w:p w14:paraId="1523E4B3" w14:textId="77777777" w:rsidR="00182A7F" w:rsidRDefault="00182A7F" w:rsidP="00182A7F">
      <w:pPr>
        <w:spacing w:after="0" w:line="480" w:lineRule="auto"/>
        <w:contextualSpacing/>
        <w:rPr>
          <w:noProof/>
        </w:rPr>
      </w:pPr>
    </w:p>
    <w:p w14:paraId="1D096D8A" w14:textId="77777777" w:rsidR="00182A7F" w:rsidRDefault="00182A7F" w:rsidP="00182A7F">
      <w:pPr>
        <w:spacing w:after="0" w:line="480" w:lineRule="auto"/>
        <w:contextualSpacing/>
        <w:rPr>
          <w:noProof/>
        </w:rPr>
      </w:pPr>
    </w:p>
    <w:p w14:paraId="0DBBF7B1" w14:textId="77777777" w:rsidR="00182A7F" w:rsidRPr="002E2EAF" w:rsidRDefault="00182A7F" w:rsidP="00182A7F">
      <w:pPr>
        <w:spacing w:after="0" w:line="240" w:lineRule="auto"/>
      </w:pPr>
    </w:p>
    <w:p w14:paraId="7EB31484" w14:textId="77777777" w:rsidR="009E093E" w:rsidRPr="00182A7F" w:rsidRDefault="00EA01B1" w:rsidP="00182A7F"/>
    <w:sectPr w:rsidR="009E093E" w:rsidRPr="0018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7F"/>
    <w:rsid w:val="00182A7F"/>
    <w:rsid w:val="001F2EEF"/>
    <w:rsid w:val="0033171E"/>
    <w:rsid w:val="005F3698"/>
    <w:rsid w:val="00773FA5"/>
    <w:rsid w:val="00AF799C"/>
    <w:rsid w:val="00E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E1B0"/>
  <w15:chartTrackingRefBased/>
  <w15:docId w15:val="{99B6B90C-8394-4A38-9DBC-30BF320F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Vaduganathan, Muthiah,M.D.</dc:creator>
  <cp:keywords/>
  <dc:description/>
  <cp:lastModifiedBy>Vaduganathan, Muthiah,M.D.</cp:lastModifiedBy>
  <cp:revision>2</cp:revision>
  <dcterms:created xsi:type="dcterms:W3CDTF">2022-02-10T22:16:00Z</dcterms:created>
  <dcterms:modified xsi:type="dcterms:W3CDTF">2022-02-10T22:16:00Z</dcterms:modified>
</cp:coreProperties>
</file>