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E9BF" w14:textId="77777777" w:rsidR="00FD585A" w:rsidRPr="00C27062" w:rsidRDefault="00FD585A" w:rsidP="00FD585A">
      <w:pPr>
        <w:keepNext/>
        <w:keepLines/>
        <w:spacing w:before="240" w:after="0"/>
        <w:outlineLvl w:val="0"/>
        <w:rPr>
          <w:rFonts w:eastAsiaTheme="majorEastAsia"/>
          <w:b/>
          <w:bCs w:val="0"/>
        </w:rPr>
      </w:pPr>
      <w:r w:rsidRPr="00C27062">
        <w:rPr>
          <w:rFonts w:eastAsiaTheme="majorEastAsia"/>
          <w:b/>
          <w:bCs w:val="0"/>
        </w:rPr>
        <w:t>Web Appendices</w:t>
      </w:r>
    </w:p>
    <w:p w14:paraId="1F2E280B" w14:textId="77777777" w:rsidR="00FD585A" w:rsidRPr="00C27062" w:rsidRDefault="00FD585A" w:rsidP="00FD585A">
      <w:pPr>
        <w:tabs>
          <w:tab w:val="left" w:pos="2028"/>
        </w:tabs>
        <w:spacing w:after="0"/>
        <w:outlineLvl w:val="1"/>
        <w:rPr>
          <w:bCs w:val="0"/>
          <w:i/>
          <w:iCs/>
        </w:rPr>
      </w:pPr>
      <w:r w:rsidRPr="00C27062">
        <w:rPr>
          <w:bCs w:val="0"/>
          <w:i/>
          <w:iCs/>
        </w:rPr>
        <w:t>Feasibility assessment</w:t>
      </w:r>
    </w:p>
    <w:p w14:paraId="48C2F7CD" w14:textId="77777777" w:rsidR="00FD585A" w:rsidRPr="00C27062" w:rsidRDefault="00FD585A" w:rsidP="00FD585A">
      <w:r w:rsidRPr="00C27062">
        <w:t xml:space="preserve">For both studies, a feasibility assessment was undertaken for patients in the whole patient cohort and for the intracranial </w:t>
      </w:r>
      <w:proofErr w:type="spellStart"/>
      <w:r w:rsidRPr="00C27062">
        <w:t>hemorrhage</w:t>
      </w:r>
      <w:proofErr w:type="spellEnd"/>
      <w:r w:rsidRPr="00C27062">
        <w:t xml:space="preserve"> (ICH), gastrointestinal (GI) bleed, and other major bleeds subgroups to determine whether the “overlap” and “</w:t>
      </w:r>
      <w:proofErr w:type="spellStart"/>
      <w:r w:rsidRPr="00C27062">
        <w:t>ignorability</w:t>
      </w:r>
      <w:proofErr w:type="spellEnd"/>
      <w:r w:rsidRPr="00C27062">
        <w:t xml:space="preserve"> of treatment” assumptions were satisfied so propensity score matching (PSM) would generate robust results. PSM methods were informed using the UK National Institute for Health and Care Excellence Decision Support Unit technical support document 17</w:t>
      </w:r>
      <w:r w:rsidRPr="00484773">
        <w:rPr>
          <w:szCs w:val="24"/>
          <w:vertAlign w:val="superscript"/>
        </w:rPr>
        <w:t>2</w:t>
      </w:r>
      <w:r w:rsidRPr="00C27062">
        <w:t xml:space="preserve"> and by Caliendo and Kopeinig.</w:t>
      </w:r>
      <w:r w:rsidRPr="00484773">
        <w:rPr>
          <w:szCs w:val="24"/>
          <w:vertAlign w:val="superscript"/>
        </w:rPr>
        <w:t>3</w:t>
      </w:r>
    </w:p>
    <w:p w14:paraId="7AA94A16" w14:textId="77777777" w:rsidR="00FD585A" w:rsidRPr="00C27062" w:rsidRDefault="00FD585A" w:rsidP="00FD585A">
      <w:r w:rsidRPr="00C27062">
        <w:t xml:space="preserve">In the feasibility assessment, 2 potential sources of bias were identified: (1) differences in study design due to different eligibility criteria used to </w:t>
      </w:r>
      <w:proofErr w:type="spellStart"/>
      <w:r w:rsidRPr="00C27062">
        <w:t>enroll</w:t>
      </w:r>
      <w:proofErr w:type="spellEnd"/>
      <w:r w:rsidRPr="00C27062">
        <w:t xml:space="preserve"> patients in each study and (2) differences in the variables measured and how they were observed. The former caused some uncertainty around the comparability of study populations. The latter meant that certain desired covariates could not be included in the propensity score regression model. </w:t>
      </w:r>
    </w:p>
    <w:p w14:paraId="4B8C2D4C" w14:textId="77777777" w:rsidR="00FD585A" w:rsidRPr="00C27062" w:rsidRDefault="00FD585A" w:rsidP="00FD585A">
      <w:r w:rsidRPr="00C27062">
        <w:t xml:space="preserve">Age was the only continuous variable measured, so quantile-quantile plots were used to assess whether the distribution of age became more similar between the treated and control groups after matching, as shown by a smaller deviation from the 45-degree line. </w:t>
      </w:r>
      <w:r w:rsidRPr="00C27062">
        <w:rPr>
          <w:b/>
          <w:bCs w:val="0"/>
        </w:rPr>
        <w:t>Web Appendices Figure 1</w:t>
      </w:r>
      <w:r w:rsidRPr="00C27062">
        <w:t xml:space="preserve"> shows quantile-quantile plots which indicate an improved balance between the age distributions in the </w:t>
      </w:r>
      <w:proofErr w:type="spellStart"/>
      <w:r w:rsidRPr="00C27062">
        <w:t>andexanet</w:t>
      </w:r>
      <w:proofErr w:type="spellEnd"/>
      <w:r w:rsidRPr="00C27062">
        <w:t xml:space="preserve"> alfa and PCC populations in the whole cohort, and in ICH and GI bleed subgroups, though not in the other major bleeds cohort. </w:t>
      </w:r>
    </w:p>
    <w:p w14:paraId="5BB28776" w14:textId="77777777" w:rsidR="00FD585A" w:rsidRPr="00C27062" w:rsidRDefault="00FD585A" w:rsidP="00FD585A">
      <w:r w:rsidRPr="00C27062">
        <w:t>Jitter plots (</w:t>
      </w:r>
      <w:r w:rsidRPr="00C27062">
        <w:rPr>
          <w:b/>
          <w:bCs w:val="0"/>
        </w:rPr>
        <w:t>Web Appendices Figure 2</w:t>
      </w:r>
      <w:r w:rsidRPr="00C27062">
        <w:t>)</w:t>
      </w:r>
      <w:r w:rsidRPr="00C27062">
        <w:rPr>
          <w:b/>
          <w:bCs w:val="0"/>
        </w:rPr>
        <w:t xml:space="preserve"> </w:t>
      </w:r>
      <w:r w:rsidRPr="00C27062">
        <w:t xml:space="preserve">were used to present the distribution of propensity scores in the matched and unmatched subsets of each of the treated and untreated individuals in the whole cohort and in the ICH, GI bleed, and other major bleeds subgroups. Jitter plots were used to assess what proportion of patients were matched in each group and whether matched and unmatched patients differed visibly in the distribution of propensity scores. </w:t>
      </w:r>
    </w:p>
    <w:p w14:paraId="6B03A550" w14:textId="77777777" w:rsidR="00FD585A" w:rsidRPr="00C27062" w:rsidRDefault="00FD585A" w:rsidP="00FD585A">
      <w:r w:rsidRPr="00C27062">
        <w:lastRenderedPageBreak/>
        <w:t>Histograms (</w:t>
      </w:r>
      <w:r w:rsidRPr="00C27062">
        <w:rPr>
          <w:b/>
          <w:bCs w:val="0"/>
        </w:rPr>
        <w:t>Web Appendices Figure 3</w:t>
      </w:r>
      <w:r w:rsidRPr="00C27062">
        <w:t xml:space="preserve">) were used to visually assess the improvement in overlap between the treated and control groups on propensity score following matching. Web </w:t>
      </w:r>
      <w:r w:rsidRPr="00C27062">
        <w:rPr>
          <w:b/>
          <w:bCs w:val="0"/>
        </w:rPr>
        <w:t>Appendices Figure 3</w:t>
      </w:r>
      <w:r w:rsidRPr="00C27062">
        <w:t xml:space="preserve"> shows the density of propensity scores in each range and indicated improved overlap between the treated and control groups after matching, relative to before matching.</w:t>
      </w:r>
    </w:p>
    <w:p w14:paraId="05E9DA0A" w14:textId="77777777" w:rsidR="00FD585A" w:rsidRPr="00C27062" w:rsidRDefault="00FD585A" w:rsidP="00FD585A">
      <w:pPr>
        <w:spacing w:after="160" w:line="259" w:lineRule="auto"/>
        <w:ind w:firstLine="0"/>
        <w:rPr>
          <w:b/>
          <w:iCs/>
          <w:sz w:val="20"/>
          <w:szCs w:val="18"/>
        </w:rPr>
      </w:pPr>
      <w:r w:rsidRPr="00C27062">
        <w:br w:type="page"/>
      </w:r>
    </w:p>
    <w:p w14:paraId="775E5B5D" w14:textId="77777777" w:rsidR="00FD585A" w:rsidRPr="00C27062" w:rsidRDefault="00FD585A" w:rsidP="00FD585A">
      <w:pPr>
        <w:spacing w:before="360" w:after="0"/>
        <w:rPr>
          <w:b/>
          <w:iCs/>
        </w:rPr>
      </w:pPr>
      <w:bookmarkStart w:id="0" w:name="_Hlk21092824"/>
      <w:r w:rsidRPr="00C27062">
        <w:rPr>
          <w:b/>
          <w:iCs/>
        </w:rPr>
        <w:lastRenderedPageBreak/>
        <w:t xml:space="preserve">Web Appendices Figure 1. </w:t>
      </w:r>
      <w:r w:rsidRPr="00C27062">
        <w:rPr>
          <w:bCs w:val="0"/>
          <w:iCs/>
        </w:rPr>
        <w:t xml:space="preserve">Quantile-quantile plots comparing the probability distributions of the </w:t>
      </w:r>
      <w:proofErr w:type="spellStart"/>
      <w:r w:rsidRPr="00C27062">
        <w:rPr>
          <w:bCs w:val="0"/>
          <w:iCs/>
        </w:rPr>
        <w:t>andexanet</w:t>
      </w:r>
      <w:proofErr w:type="spellEnd"/>
      <w:r w:rsidRPr="00C27062">
        <w:rPr>
          <w:bCs w:val="0"/>
          <w:iCs/>
        </w:rPr>
        <w:t xml:space="preserve"> alfa and PCC populations before and after matching.</w:t>
      </w:r>
    </w:p>
    <w:p w14:paraId="79E405A7" w14:textId="77777777" w:rsidR="00FD585A" w:rsidRPr="00C27062" w:rsidRDefault="00FD585A" w:rsidP="00FD585A">
      <w:pPr>
        <w:spacing w:before="240" w:after="120"/>
        <w:jc w:val="both"/>
        <w:rPr>
          <w:szCs w:val="24"/>
        </w:rPr>
      </w:pPr>
      <w:r w:rsidRPr="00C27062">
        <w:rPr>
          <w:noProof/>
          <w:szCs w:val="24"/>
        </w:rPr>
        <w:drawing>
          <wp:inline distT="0" distB="0" distL="0" distR="0" wp14:anchorId="1E991920" wp14:editId="7265A927">
            <wp:extent cx="3590925" cy="6780327"/>
            <wp:effectExtent l="0" t="0" r="0" b="0"/>
            <wp:docPr id="19" name="Picture 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6750" cy="6791326"/>
                    </a:xfrm>
                    <a:prstGeom prst="rect">
                      <a:avLst/>
                    </a:prstGeom>
                    <a:noFill/>
                  </pic:spPr>
                </pic:pic>
              </a:graphicData>
            </a:graphic>
          </wp:inline>
        </w:drawing>
      </w:r>
    </w:p>
    <w:p w14:paraId="3BB9D613" w14:textId="77777777" w:rsidR="00FD585A" w:rsidRPr="00C27062" w:rsidRDefault="00FD585A" w:rsidP="00FD585A">
      <w:pPr>
        <w:spacing w:before="120" w:after="120"/>
        <w:rPr>
          <w:rFonts w:eastAsia="Times New Roman"/>
          <w:szCs w:val="24"/>
        </w:rPr>
      </w:pPr>
      <w:r w:rsidRPr="00C27062">
        <w:rPr>
          <w:rFonts w:eastAsia="Times New Roman"/>
          <w:szCs w:val="24"/>
        </w:rPr>
        <w:t xml:space="preserve">Abbreviations: GI, gastrointestinal; ICH, intracranial </w:t>
      </w:r>
      <w:proofErr w:type="spellStart"/>
      <w:r w:rsidRPr="00C27062">
        <w:rPr>
          <w:rFonts w:eastAsia="Times New Roman"/>
          <w:szCs w:val="24"/>
        </w:rPr>
        <w:t>hemorrhage</w:t>
      </w:r>
      <w:proofErr w:type="spellEnd"/>
      <w:r w:rsidRPr="00C27062">
        <w:rPr>
          <w:rFonts w:eastAsia="Times New Roman"/>
          <w:szCs w:val="24"/>
        </w:rPr>
        <w:t>; PCC, prothrombin complex concentrate.</w:t>
      </w:r>
    </w:p>
    <w:p w14:paraId="63565ADC" w14:textId="77777777" w:rsidR="00FD585A" w:rsidRPr="00C27062" w:rsidRDefault="00FD585A" w:rsidP="00FD585A">
      <w:pPr>
        <w:spacing w:after="160" w:line="259" w:lineRule="auto"/>
        <w:ind w:firstLine="0"/>
        <w:rPr>
          <w:rFonts w:eastAsia="Times New Roman"/>
          <w:szCs w:val="24"/>
        </w:rPr>
      </w:pPr>
      <w:r w:rsidRPr="00C27062">
        <w:br w:type="page"/>
      </w:r>
    </w:p>
    <w:p w14:paraId="02E8A076" w14:textId="77777777" w:rsidR="00FD585A" w:rsidRPr="00C27062" w:rsidRDefault="00FD585A" w:rsidP="00FD585A">
      <w:pPr>
        <w:spacing w:before="360" w:after="0"/>
        <w:rPr>
          <w:b/>
          <w:iCs/>
        </w:rPr>
      </w:pPr>
      <w:bookmarkStart w:id="1" w:name="_Ref31013089"/>
      <w:bookmarkStart w:id="2" w:name="_Ref34392894"/>
      <w:bookmarkEnd w:id="0"/>
      <w:r w:rsidRPr="00C27062">
        <w:rPr>
          <w:b/>
          <w:iCs/>
        </w:rPr>
        <w:lastRenderedPageBreak/>
        <w:t>Web Appendices Figure 2</w:t>
      </w:r>
      <w:bookmarkEnd w:id="1"/>
      <w:bookmarkEnd w:id="2"/>
      <w:r w:rsidRPr="00C27062">
        <w:rPr>
          <w:b/>
          <w:iCs/>
        </w:rPr>
        <w:t>.</w:t>
      </w:r>
      <w:r w:rsidRPr="00C27062">
        <w:rPr>
          <w:bCs w:val="0"/>
          <w:iCs/>
        </w:rPr>
        <w:t xml:space="preserve"> Jitter plots showing the distribution of propensity scores for </w:t>
      </w:r>
      <w:proofErr w:type="spellStart"/>
      <w:r w:rsidRPr="00C27062">
        <w:rPr>
          <w:bCs w:val="0"/>
          <w:iCs/>
        </w:rPr>
        <w:t>andexanet</w:t>
      </w:r>
      <w:proofErr w:type="spellEnd"/>
      <w:r w:rsidRPr="00C27062">
        <w:rPr>
          <w:bCs w:val="0"/>
          <w:iCs/>
        </w:rPr>
        <w:t xml:space="preserve"> alfa and PCC, matched and unmatched.</w:t>
      </w:r>
    </w:p>
    <w:p w14:paraId="31608FFB" w14:textId="77777777" w:rsidR="00FD585A" w:rsidRPr="00C27062" w:rsidRDefault="00FD585A" w:rsidP="00FD585A">
      <w:pPr>
        <w:spacing w:before="360" w:after="0" w:line="240" w:lineRule="auto"/>
        <w:rPr>
          <w:b/>
          <w:iCs/>
          <w:sz w:val="20"/>
          <w:szCs w:val="18"/>
        </w:rPr>
      </w:pPr>
      <w:r w:rsidRPr="00C27062">
        <w:rPr>
          <w:b/>
          <w:iCs/>
          <w:noProof/>
          <w:sz w:val="20"/>
          <w:szCs w:val="18"/>
        </w:rPr>
        <w:drawing>
          <wp:inline distT="0" distB="0" distL="0" distR="0" wp14:anchorId="4117446A" wp14:editId="34A86B1A">
            <wp:extent cx="5648098" cy="5413169"/>
            <wp:effectExtent l="0" t="0" r="0" b="0"/>
            <wp:docPr id="18" name="Picture 1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2839" cy="5436881"/>
                    </a:xfrm>
                    <a:prstGeom prst="rect">
                      <a:avLst/>
                    </a:prstGeom>
                    <a:noFill/>
                  </pic:spPr>
                </pic:pic>
              </a:graphicData>
            </a:graphic>
          </wp:inline>
        </w:drawing>
      </w:r>
      <w:r w:rsidRPr="00C27062">
        <w:rPr>
          <w:b/>
          <w:iCs/>
          <w:sz w:val="20"/>
          <w:szCs w:val="18"/>
        </w:rPr>
        <w:t xml:space="preserve"> </w:t>
      </w:r>
    </w:p>
    <w:p w14:paraId="6080641B" w14:textId="77777777" w:rsidR="00FD585A" w:rsidRPr="00C27062" w:rsidRDefault="00FD585A" w:rsidP="00FD585A">
      <w:pPr>
        <w:spacing w:before="120" w:after="120"/>
        <w:rPr>
          <w:rFonts w:eastAsia="Times New Roman"/>
          <w:szCs w:val="24"/>
        </w:rPr>
      </w:pPr>
      <w:r w:rsidRPr="00C27062">
        <w:rPr>
          <w:rFonts w:eastAsia="Times New Roman"/>
          <w:szCs w:val="24"/>
        </w:rPr>
        <w:t xml:space="preserve">Abbreviations: GI, gastrointestinal; ICH, intracranial </w:t>
      </w:r>
      <w:proofErr w:type="spellStart"/>
      <w:r w:rsidRPr="00C27062">
        <w:rPr>
          <w:rFonts w:eastAsia="Times New Roman"/>
          <w:szCs w:val="24"/>
        </w:rPr>
        <w:t>hemorrhage</w:t>
      </w:r>
      <w:proofErr w:type="spellEnd"/>
      <w:r w:rsidRPr="00C27062">
        <w:rPr>
          <w:rFonts w:eastAsia="Times New Roman"/>
          <w:szCs w:val="24"/>
        </w:rPr>
        <w:t>; PCC, prothrombin complex concentrate.</w:t>
      </w:r>
    </w:p>
    <w:p w14:paraId="388D3B12" w14:textId="77777777" w:rsidR="00FD585A" w:rsidRPr="00C27062" w:rsidRDefault="00FD585A" w:rsidP="00FD585A">
      <w:pPr>
        <w:spacing w:before="120" w:after="120" w:line="300" w:lineRule="auto"/>
        <w:jc w:val="both"/>
        <w:rPr>
          <w:rFonts w:eastAsia="Times New Roman"/>
          <w:szCs w:val="24"/>
        </w:rPr>
      </w:pPr>
    </w:p>
    <w:p w14:paraId="1D200486" w14:textId="77777777" w:rsidR="00FD585A" w:rsidRPr="00C27062" w:rsidRDefault="00FD585A" w:rsidP="00FD585A">
      <w:pPr>
        <w:spacing w:before="360" w:after="0"/>
        <w:ind w:firstLine="0"/>
        <w:rPr>
          <w:b/>
          <w:iCs/>
        </w:rPr>
      </w:pPr>
      <w:r w:rsidRPr="00C27062">
        <w:rPr>
          <w:rFonts w:ascii="Verdana" w:hAnsi="Verdana"/>
          <w:b/>
          <w:iCs/>
          <w:sz w:val="20"/>
          <w:szCs w:val="18"/>
        </w:rPr>
        <w:br w:type="page"/>
      </w:r>
      <w:r w:rsidRPr="00C27062">
        <w:rPr>
          <w:rFonts w:ascii="Verdana" w:hAnsi="Verdana"/>
          <w:b/>
          <w:iCs/>
          <w:sz w:val="20"/>
          <w:szCs w:val="18"/>
        </w:rPr>
        <w:lastRenderedPageBreak/>
        <w:tab/>
      </w:r>
      <w:r w:rsidRPr="00C27062">
        <w:rPr>
          <w:b/>
          <w:iCs/>
        </w:rPr>
        <w:t xml:space="preserve">Web Appendices Figure 3. </w:t>
      </w:r>
      <w:r w:rsidRPr="00C27062">
        <w:rPr>
          <w:bCs w:val="0"/>
          <w:iCs/>
        </w:rPr>
        <w:t xml:space="preserve">Histograms showing the density of propensity score distribution in the </w:t>
      </w:r>
      <w:proofErr w:type="spellStart"/>
      <w:r w:rsidRPr="00C27062">
        <w:rPr>
          <w:bCs w:val="0"/>
          <w:iCs/>
        </w:rPr>
        <w:t>andexanet</w:t>
      </w:r>
      <w:proofErr w:type="spellEnd"/>
      <w:r w:rsidRPr="00C27062">
        <w:rPr>
          <w:bCs w:val="0"/>
          <w:iCs/>
        </w:rPr>
        <w:t xml:space="preserve"> alfa (treated) and PCC (control) whole cohorts, before and after matching.</w:t>
      </w:r>
    </w:p>
    <w:p w14:paraId="705A3A21" w14:textId="77777777" w:rsidR="00FD585A" w:rsidRPr="00C27062" w:rsidRDefault="00FD585A" w:rsidP="00FD585A">
      <w:r w:rsidRPr="00C27062">
        <w:rPr>
          <w:noProof/>
          <w:lang w:val="en-US"/>
        </w:rPr>
        <w:drawing>
          <wp:inline distT="0" distB="0" distL="0" distR="0" wp14:anchorId="3C21A10F" wp14:editId="712C8367">
            <wp:extent cx="3575520" cy="3593805"/>
            <wp:effectExtent l="0" t="0" r="6350" b="6985"/>
            <wp:docPr id="61" name="Picture 6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Chart, histo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92595" cy="3610968"/>
                    </a:xfrm>
                    <a:prstGeom prst="rect">
                      <a:avLst/>
                    </a:prstGeom>
                  </pic:spPr>
                </pic:pic>
              </a:graphicData>
            </a:graphic>
          </wp:inline>
        </w:drawing>
      </w:r>
    </w:p>
    <w:p w14:paraId="5074FFB2" w14:textId="77777777" w:rsidR="00FD585A" w:rsidRPr="00C27062" w:rsidRDefault="00FD585A" w:rsidP="00FD585A">
      <w:pPr>
        <w:spacing w:before="120" w:after="120"/>
        <w:rPr>
          <w:rFonts w:eastAsia="Times New Roman"/>
          <w:szCs w:val="24"/>
        </w:rPr>
      </w:pPr>
      <w:bookmarkStart w:id="3" w:name="_Ref30777890"/>
      <w:r w:rsidRPr="00C27062">
        <w:rPr>
          <w:rFonts w:eastAsia="Times New Roman"/>
          <w:szCs w:val="24"/>
        </w:rPr>
        <w:t>Abbreviation: PCC, prothrombin complex concentrate.</w:t>
      </w:r>
    </w:p>
    <w:p w14:paraId="3382254F" w14:textId="77777777" w:rsidR="00FD585A" w:rsidRPr="00C27062" w:rsidRDefault="00FD585A" w:rsidP="00FD585A">
      <w:pPr>
        <w:sectPr w:rsidR="00FD585A" w:rsidRPr="00C27062" w:rsidSect="00461452">
          <w:footerReference w:type="default" r:id="rId7"/>
          <w:pgSz w:w="11907" w:h="16840" w:code="9"/>
          <w:pgMar w:top="1418" w:right="1418" w:bottom="1418" w:left="1418" w:header="907" w:footer="907" w:gutter="0"/>
          <w:cols w:space="708"/>
          <w:docGrid w:linePitch="360"/>
        </w:sectPr>
      </w:pPr>
    </w:p>
    <w:p w14:paraId="22DE12C8" w14:textId="77777777" w:rsidR="00FD585A" w:rsidRPr="00C27062" w:rsidRDefault="00FD585A" w:rsidP="00FD585A">
      <w:pPr>
        <w:tabs>
          <w:tab w:val="left" w:pos="2028"/>
        </w:tabs>
        <w:spacing w:after="0"/>
        <w:outlineLvl w:val="1"/>
        <w:rPr>
          <w:bCs w:val="0"/>
        </w:rPr>
      </w:pPr>
      <w:r w:rsidRPr="00C27062">
        <w:rPr>
          <w:b/>
          <w:bCs w:val="0"/>
        </w:rPr>
        <w:lastRenderedPageBreak/>
        <w:t>Web Appendices Table 1.</w:t>
      </w:r>
      <w:r w:rsidRPr="00C27062">
        <w:rPr>
          <w:bCs w:val="0"/>
        </w:rPr>
        <w:t xml:space="preserve"> Baseline characteristics for whole cohort, before and after matching (sensitivity analysis).</w:t>
      </w:r>
    </w:p>
    <w:tbl>
      <w:tblPr>
        <w:tblStyle w:val="TableGridLight"/>
        <w:tblW w:w="4404" w:type="pct"/>
        <w:tblLayout w:type="fixed"/>
        <w:tblLook w:val="04A0" w:firstRow="1" w:lastRow="0" w:firstColumn="1" w:lastColumn="0" w:noHBand="0" w:noVBand="1"/>
      </w:tblPr>
      <w:tblGrid>
        <w:gridCol w:w="2691"/>
        <w:gridCol w:w="1381"/>
        <w:gridCol w:w="1122"/>
        <w:gridCol w:w="954"/>
        <w:gridCol w:w="2140"/>
        <w:gridCol w:w="1321"/>
        <w:gridCol w:w="1048"/>
        <w:gridCol w:w="858"/>
        <w:gridCol w:w="811"/>
      </w:tblGrid>
      <w:tr w:rsidR="00FD585A" w:rsidRPr="00C27062" w14:paraId="3C7E904B" w14:textId="77777777" w:rsidTr="0067335E">
        <w:trPr>
          <w:trHeight w:val="20"/>
        </w:trPr>
        <w:tc>
          <w:tcPr>
            <w:tcW w:w="1092" w:type="pct"/>
            <w:vMerge w:val="restart"/>
            <w:vAlign w:val="bottom"/>
          </w:tcPr>
          <w:p w14:paraId="3C833648" w14:textId="77777777" w:rsidR="00FD585A" w:rsidRPr="00C27062" w:rsidRDefault="00FD585A" w:rsidP="0067335E">
            <w:pPr>
              <w:spacing w:before="40" w:after="40" w:line="288" w:lineRule="auto"/>
              <w:ind w:firstLine="0"/>
              <w:rPr>
                <w:sz w:val="20"/>
              </w:rPr>
            </w:pPr>
            <w:r w:rsidRPr="00C27062">
              <w:rPr>
                <w:sz w:val="20"/>
              </w:rPr>
              <w:t>Characteristic</w:t>
            </w:r>
          </w:p>
        </w:tc>
        <w:tc>
          <w:tcPr>
            <w:tcW w:w="1402" w:type="pct"/>
            <w:gridSpan w:val="3"/>
          </w:tcPr>
          <w:p w14:paraId="10C647C5" w14:textId="77777777" w:rsidR="00FD585A" w:rsidRPr="00C27062" w:rsidRDefault="00FD585A" w:rsidP="0067335E">
            <w:pPr>
              <w:spacing w:before="40" w:after="40" w:line="288" w:lineRule="auto"/>
              <w:ind w:firstLine="0"/>
              <w:jc w:val="center"/>
              <w:rPr>
                <w:sz w:val="20"/>
              </w:rPr>
            </w:pPr>
            <w:r w:rsidRPr="00C27062">
              <w:rPr>
                <w:sz w:val="20"/>
              </w:rPr>
              <w:t>Before matching</w:t>
            </w:r>
          </w:p>
        </w:tc>
        <w:tc>
          <w:tcPr>
            <w:tcW w:w="868" w:type="pct"/>
          </w:tcPr>
          <w:p w14:paraId="21BBFB5A" w14:textId="77777777" w:rsidR="00FD585A" w:rsidRPr="00C27062" w:rsidRDefault="00FD585A" w:rsidP="0067335E">
            <w:pPr>
              <w:spacing w:before="40" w:after="40" w:line="288" w:lineRule="auto"/>
              <w:ind w:firstLine="0"/>
              <w:jc w:val="center"/>
              <w:rPr>
                <w:sz w:val="20"/>
              </w:rPr>
            </w:pPr>
          </w:p>
        </w:tc>
        <w:tc>
          <w:tcPr>
            <w:tcW w:w="1309" w:type="pct"/>
            <w:gridSpan w:val="3"/>
          </w:tcPr>
          <w:p w14:paraId="43A67AAB" w14:textId="77777777" w:rsidR="00FD585A" w:rsidRPr="00C27062" w:rsidRDefault="00FD585A" w:rsidP="0067335E">
            <w:pPr>
              <w:spacing w:before="40" w:after="40" w:line="288" w:lineRule="auto"/>
              <w:ind w:firstLine="0"/>
              <w:jc w:val="center"/>
              <w:rPr>
                <w:sz w:val="20"/>
              </w:rPr>
            </w:pPr>
            <w:r w:rsidRPr="00C27062">
              <w:rPr>
                <w:sz w:val="20"/>
              </w:rPr>
              <w:t>After matching</w:t>
            </w:r>
          </w:p>
        </w:tc>
        <w:tc>
          <w:tcPr>
            <w:tcW w:w="329" w:type="pct"/>
          </w:tcPr>
          <w:p w14:paraId="64BCDD31" w14:textId="77777777" w:rsidR="00FD585A" w:rsidRPr="00C27062" w:rsidRDefault="00FD585A" w:rsidP="0067335E">
            <w:pPr>
              <w:spacing w:before="40" w:after="40" w:line="288" w:lineRule="auto"/>
              <w:ind w:firstLine="0"/>
              <w:jc w:val="center"/>
              <w:rPr>
                <w:sz w:val="20"/>
              </w:rPr>
            </w:pPr>
          </w:p>
        </w:tc>
      </w:tr>
      <w:tr w:rsidR="00FD585A" w:rsidRPr="00C27062" w14:paraId="0FDD5F49" w14:textId="77777777" w:rsidTr="0067335E">
        <w:trPr>
          <w:trHeight w:val="20"/>
        </w:trPr>
        <w:tc>
          <w:tcPr>
            <w:tcW w:w="1092" w:type="pct"/>
            <w:vMerge/>
          </w:tcPr>
          <w:p w14:paraId="5E7271E0" w14:textId="77777777" w:rsidR="00FD585A" w:rsidRPr="00C27062" w:rsidRDefault="00FD585A" w:rsidP="0067335E">
            <w:pPr>
              <w:spacing w:before="40" w:after="40" w:line="288" w:lineRule="auto"/>
              <w:rPr>
                <w:sz w:val="20"/>
              </w:rPr>
            </w:pPr>
          </w:p>
        </w:tc>
        <w:tc>
          <w:tcPr>
            <w:tcW w:w="560" w:type="pct"/>
          </w:tcPr>
          <w:p w14:paraId="6787760A" w14:textId="77777777" w:rsidR="00FD585A" w:rsidRPr="00C27062" w:rsidRDefault="00FD585A" w:rsidP="0067335E">
            <w:pPr>
              <w:spacing w:before="40" w:after="40" w:line="288" w:lineRule="auto"/>
              <w:ind w:firstLine="0"/>
              <w:jc w:val="center"/>
              <w:rPr>
                <w:sz w:val="20"/>
              </w:rPr>
            </w:pPr>
            <w:r w:rsidRPr="00C27062">
              <w:rPr>
                <w:sz w:val="20"/>
              </w:rPr>
              <w:t>Andexanet alfa</w:t>
            </w:r>
          </w:p>
        </w:tc>
        <w:tc>
          <w:tcPr>
            <w:tcW w:w="455" w:type="pct"/>
          </w:tcPr>
          <w:p w14:paraId="52C84B67" w14:textId="77777777" w:rsidR="00FD585A" w:rsidRPr="00C27062" w:rsidRDefault="00FD585A" w:rsidP="0067335E">
            <w:pPr>
              <w:spacing w:before="40" w:after="40" w:line="288" w:lineRule="auto"/>
              <w:ind w:firstLine="0"/>
              <w:jc w:val="center"/>
              <w:rPr>
                <w:sz w:val="20"/>
              </w:rPr>
            </w:pPr>
            <w:r w:rsidRPr="00C27062">
              <w:rPr>
                <w:sz w:val="20"/>
              </w:rPr>
              <w:t>PCC</w:t>
            </w:r>
          </w:p>
        </w:tc>
        <w:tc>
          <w:tcPr>
            <w:tcW w:w="386" w:type="pct"/>
          </w:tcPr>
          <w:p w14:paraId="69018C3A" w14:textId="77777777" w:rsidR="00FD585A" w:rsidRPr="00C27062" w:rsidRDefault="00FD585A" w:rsidP="0067335E">
            <w:pPr>
              <w:spacing w:before="40" w:after="40" w:line="288" w:lineRule="auto"/>
              <w:ind w:firstLine="0"/>
              <w:jc w:val="center"/>
              <w:rPr>
                <w:sz w:val="20"/>
              </w:rPr>
            </w:pPr>
            <w:r w:rsidRPr="00C27062">
              <w:rPr>
                <w:sz w:val="20"/>
              </w:rPr>
              <w:t xml:space="preserve">Abs </w:t>
            </w:r>
            <w:proofErr w:type="spellStart"/>
            <w:r w:rsidRPr="00C27062">
              <w:rPr>
                <w:sz w:val="20"/>
              </w:rPr>
              <w:t>dif</w:t>
            </w:r>
            <w:proofErr w:type="spellEnd"/>
          </w:p>
        </w:tc>
        <w:tc>
          <w:tcPr>
            <w:tcW w:w="868" w:type="pct"/>
          </w:tcPr>
          <w:p w14:paraId="7B6D76CA" w14:textId="77777777" w:rsidR="00FD585A" w:rsidRPr="00C27062" w:rsidRDefault="00FD585A" w:rsidP="0067335E">
            <w:pPr>
              <w:spacing w:before="40" w:after="40" w:line="288" w:lineRule="auto"/>
              <w:ind w:firstLine="0"/>
              <w:jc w:val="center"/>
              <w:rPr>
                <w:sz w:val="20"/>
              </w:rPr>
            </w:pPr>
            <w:r w:rsidRPr="00C27062">
              <w:rPr>
                <w:sz w:val="20"/>
              </w:rPr>
              <w:t>P value</w:t>
            </w:r>
          </w:p>
        </w:tc>
        <w:tc>
          <w:tcPr>
            <w:tcW w:w="536" w:type="pct"/>
          </w:tcPr>
          <w:p w14:paraId="31732EE7" w14:textId="77777777" w:rsidR="00FD585A" w:rsidRPr="00C27062" w:rsidRDefault="00FD585A" w:rsidP="0067335E">
            <w:pPr>
              <w:spacing w:before="40" w:after="40" w:line="288" w:lineRule="auto"/>
              <w:ind w:firstLine="0"/>
              <w:jc w:val="center"/>
              <w:rPr>
                <w:sz w:val="20"/>
              </w:rPr>
            </w:pPr>
            <w:r w:rsidRPr="00C27062">
              <w:rPr>
                <w:sz w:val="20"/>
              </w:rPr>
              <w:t>Andexanet alfa</w:t>
            </w:r>
          </w:p>
        </w:tc>
        <w:tc>
          <w:tcPr>
            <w:tcW w:w="425" w:type="pct"/>
          </w:tcPr>
          <w:p w14:paraId="2ADB0FCA" w14:textId="77777777" w:rsidR="00FD585A" w:rsidRPr="00C27062" w:rsidRDefault="00FD585A" w:rsidP="0067335E">
            <w:pPr>
              <w:spacing w:before="40" w:after="40" w:line="288" w:lineRule="auto"/>
              <w:ind w:firstLine="0"/>
              <w:jc w:val="center"/>
              <w:rPr>
                <w:sz w:val="20"/>
              </w:rPr>
            </w:pPr>
            <w:r w:rsidRPr="00C27062">
              <w:rPr>
                <w:sz w:val="20"/>
              </w:rPr>
              <w:t>PCC</w:t>
            </w:r>
          </w:p>
        </w:tc>
        <w:tc>
          <w:tcPr>
            <w:tcW w:w="348" w:type="pct"/>
          </w:tcPr>
          <w:p w14:paraId="30F970E1" w14:textId="77777777" w:rsidR="00FD585A" w:rsidRPr="00C27062" w:rsidRDefault="00FD585A" w:rsidP="0067335E">
            <w:pPr>
              <w:spacing w:before="40" w:after="40" w:line="288" w:lineRule="auto"/>
              <w:ind w:firstLine="0"/>
              <w:jc w:val="center"/>
              <w:rPr>
                <w:sz w:val="20"/>
              </w:rPr>
            </w:pPr>
            <w:r w:rsidRPr="00C27062">
              <w:rPr>
                <w:sz w:val="20"/>
              </w:rPr>
              <w:t xml:space="preserve">Abs </w:t>
            </w:r>
            <w:proofErr w:type="spellStart"/>
            <w:r w:rsidRPr="00C27062">
              <w:rPr>
                <w:sz w:val="20"/>
              </w:rPr>
              <w:t>dif</w:t>
            </w:r>
            <w:proofErr w:type="spellEnd"/>
          </w:p>
        </w:tc>
        <w:tc>
          <w:tcPr>
            <w:tcW w:w="329" w:type="pct"/>
          </w:tcPr>
          <w:p w14:paraId="6C6C3FED" w14:textId="77777777" w:rsidR="00FD585A" w:rsidRPr="00C27062" w:rsidRDefault="00FD585A" w:rsidP="0067335E">
            <w:pPr>
              <w:spacing w:before="40" w:after="40" w:line="288" w:lineRule="auto"/>
              <w:ind w:firstLine="0"/>
              <w:jc w:val="center"/>
              <w:rPr>
                <w:sz w:val="20"/>
              </w:rPr>
            </w:pPr>
            <w:r w:rsidRPr="00C27062">
              <w:rPr>
                <w:sz w:val="20"/>
              </w:rPr>
              <w:t>P value</w:t>
            </w:r>
          </w:p>
        </w:tc>
      </w:tr>
      <w:tr w:rsidR="00FD585A" w:rsidRPr="00C27062" w14:paraId="05C28CC4" w14:textId="77777777" w:rsidTr="0067335E">
        <w:trPr>
          <w:trHeight w:val="20"/>
        </w:trPr>
        <w:tc>
          <w:tcPr>
            <w:tcW w:w="1092" w:type="pct"/>
          </w:tcPr>
          <w:p w14:paraId="3A9D347C" w14:textId="77777777" w:rsidR="00FD585A" w:rsidRPr="00C27062" w:rsidRDefault="00FD585A" w:rsidP="0067335E">
            <w:pPr>
              <w:spacing w:before="40" w:after="40" w:line="288" w:lineRule="auto"/>
              <w:ind w:firstLine="0"/>
              <w:rPr>
                <w:sz w:val="20"/>
              </w:rPr>
            </w:pPr>
            <w:r w:rsidRPr="00C27062">
              <w:rPr>
                <w:sz w:val="20"/>
              </w:rPr>
              <w:t>Total (N)</w:t>
            </w:r>
          </w:p>
        </w:tc>
        <w:tc>
          <w:tcPr>
            <w:tcW w:w="560" w:type="pct"/>
          </w:tcPr>
          <w:p w14:paraId="3BF33F08" w14:textId="77777777" w:rsidR="00FD585A" w:rsidRPr="00C27062" w:rsidRDefault="00FD585A" w:rsidP="0067335E">
            <w:pPr>
              <w:spacing w:before="40" w:after="40" w:line="288" w:lineRule="auto"/>
              <w:ind w:firstLine="0"/>
              <w:jc w:val="center"/>
              <w:rPr>
                <w:sz w:val="20"/>
              </w:rPr>
            </w:pPr>
            <w:r w:rsidRPr="00C27062">
              <w:rPr>
                <w:sz w:val="20"/>
              </w:rPr>
              <w:t>322</w:t>
            </w:r>
          </w:p>
        </w:tc>
        <w:tc>
          <w:tcPr>
            <w:tcW w:w="455" w:type="pct"/>
          </w:tcPr>
          <w:p w14:paraId="7DC5E268" w14:textId="77777777" w:rsidR="00FD585A" w:rsidRPr="00C27062" w:rsidRDefault="00FD585A" w:rsidP="0067335E">
            <w:pPr>
              <w:spacing w:before="40" w:after="40" w:line="288" w:lineRule="auto"/>
              <w:ind w:firstLine="0"/>
              <w:jc w:val="center"/>
              <w:rPr>
                <w:sz w:val="20"/>
              </w:rPr>
            </w:pPr>
            <w:r w:rsidRPr="00C27062">
              <w:rPr>
                <w:sz w:val="20"/>
              </w:rPr>
              <w:t>145</w:t>
            </w:r>
          </w:p>
        </w:tc>
        <w:tc>
          <w:tcPr>
            <w:tcW w:w="386" w:type="pct"/>
          </w:tcPr>
          <w:p w14:paraId="2B8B9B15" w14:textId="77777777" w:rsidR="00FD585A" w:rsidRPr="00C27062" w:rsidRDefault="00FD585A" w:rsidP="0067335E">
            <w:pPr>
              <w:spacing w:before="40" w:after="40" w:line="288" w:lineRule="auto"/>
              <w:ind w:firstLine="0"/>
              <w:jc w:val="center"/>
              <w:rPr>
                <w:sz w:val="20"/>
              </w:rPr>
            </w:pPr>
            <w:r w:rsidRPr="00C27062">
              <w:rPr>
                <w:sz w:val="20"/>
              </w:rPr>
              <w:t>–</w:t>
            </w:r>
          </w:p>
        </w:tc>
        <w:tc>
          <w:tcPr>
            <w:tcW w:w="868" w:type="pct"/>
          </w:tcPr>
          <w:p w14:paraId="25C92C4D" w14:textId="77777777" w:rsidR="00FD585A" w:rsidRPr="00C27062" w:rsidRDefault="00FD585A" w:rsidP="0067335E">
            <w:pPr>
              <w:spacing w:before="40" w:after="40" w:line="288" w:lineRule="auto"/>
              <w:ind w:firstLine="0"/>
              <w:jc w:val="center"/>
              <w:rPr>
                <w:sz w:val="20"/>
              </w:rPr>
            </w:pPr>
            <w:r w:rsidRPr="00C27062">
              <w:rPr>
                <w:sz w:val="20"/>
              </w:rPr>
              <w:t>–</w:t>
            </w:r>
          </w:p>
        </w:tc>
        <w:tc>
          <w:tcPr>
            <w:tcW w:w="536" w:type="pct"/>
          </w:tcPr>
          <w:p w14:paraId="31B55E3D" w14:textId="77777777" w:rsidR="00FD585A" w:rsidRPr="00C27062" w:rsidRDefault="00FD585A" w:rsidP="0067335E">
            <w:pPr>
              <w:spacing w:before="40" w:after="40" w:line="288" w:lineRule="auto"/>
              <w:ind w:firstLine="0"/>
              <w:jc w:val="center"/>
              <w:rPr>
                <w:sz w:val="20"/>
              </w:rPr>
            </w:pPr>
            <w:r w:rsidRPr="00C27062">
              <w:rPr>
                <w:sz w:val="20"/>
              </w:rPr>
              <w:t>322</w:t>
            </w:r>
          </w:p>
        </w:tc>
        <w:tc>
          <w:tcPr>
            <w:tcW w:w="425" w:type="pct"/>
          </w:tcPr>
          <w:p w14:paraId="15ED22F4" w14:textId="77777777" w:rsidR="00FD585A" w:rsidRPr="00C27062" w:rsidRDefault="00FD585A" w:rsidP="0067335E">
            <w:pPr>
              <w:spacing w:before="40" w:after="40" w:line="288" w:lineRule="auto"/>
              <w:ind w:firstLine="0"/>
              <w:jc w:val="center"/>
              <w:rPr>
                <w:sz w:val="20"/>
              </w:rPr>
            </w:pPr>
            <w:r w:rsidRPr="00C27062">
              <w:rPr>
                <w:sz w:val="20"/>
              </w:rPr>
              <w:t>81</w:t>
            </w:r>
          </w:p>
        </w:tc>
        <w:tc>
          <w:tcPr>
            <w:tcW w:w="348" w:type="pct"/>
          </w:tcPr>
          <w:p w14:paraId="4562A77B" w14:textId="77777777" w:rsidR="00FD585A" w:rsidRPr="00C27062" w:rsidRDefault="00FD585A" w:rsidP="0067335E">
            <w:pPr>
              <w:spacing w:before="40" w:after="40" w:line="288" w:lineRule="auto"/>
              <w:ind w:firstLine="0"/>
              <w:jc w:val="center"/>
              <w:rPr>
                <w:sz w:val="20"/>
              </w:rPr>
            </w:pPr>
            <w:r w:rsidRPr="00C27062">
              <w:rPr>
                <w:sz w:val="20"/>
              </w:rPr>
              <w:t>–</w:t>
            </w:r>
          </w:p>
        </w:tc>
        <w:tc>
          <w:tcPr>
            <w:tcW w:w="329" w:type="pct"/>
          </w:tcPr>
          <w:p w14:paraId="74C00667" w14:textId="77777777" w:rsidR="00FD585A" w:rsidRPr="00C27062" w:rsidRDefault="00FD585A" w:rsidP="0067335E">
            <w:pPr>
              <w:spacing w:before="40" w:after="40" w:line="288" w:lineRule="auto"/>
              <w:ind w:firstLine="0"/>
              <w:jc w:val="center"/>
              <w:rPr>
                <w:sz w:val="20"/>
              </w:rPr>
            </w:pPr>
            <w:r w:rsidRPr="00C27062">
              <w:rPr>
                <w:sz w:val="20"/>
              </w:rPr>
              <w:t>–</w:t>
            </w:r>
          </w:p>
        </w:tc>
      </w:tr>
      <w:tr w:rsidR="00FD585A" w:rsidRPr="00C27062" w14:paraId="08123CB3" w14:textId="77777777" w:rsidTr="0067335E">
        <w:trPr>
          <w:trHeight w:val="20"/>
        </w:trPr>
        <w:tc>
          <w:tcPr>
            <w:tcW w:w="1092" w:type="pct"/>
          </w:tcPr>
          <w:p w14:paraId="139EEBAF" w14:textId="77777777" w:rsidR="00FD585A" w:rsidRPr="00C27062" w:rsidRDefault="00FD585A" w:rsidP="0067335E">
            <w:pPr>
              <w:tabs>
                <w:tab w:val="left" w:pos="337"/>
              </w:tabs>
              <w:spacing w:before="40" w:after="40" w:line="288" w:lineRule="auto"/>
              <w:ind w:firstLine="0"/>
              <w:rPr>
                <w:sz w:val="20"/>
              </w:rPr>
            </w:pPr>
            <w:r w:rsidRPr="00C27062">
              <w:rPr>
                <w:sz w:val="20"/>
              </w:rPr>
              <w:t>Age (years), mean ± SD</w:t>
            </w:r>
          </w:p>
        </w:tc>
        <w:tc>
          <w:tcPr>
            <w:tcW w:w="560" w:type="pct"/>
          </w:tcPr>
          <w:p w14:paraId="52C4600E" w14:textId="77777777" w:rsidR="00FD585A" w:rsidRPr="00C27062" w:rsidRDefault="00FD585A" w:rsidP="0067335E">
            <w:pPr>
              <w:spacing w:before="40" w:after="40" w:line="288" w:lineRule="auto"/>
              <w:ind w:firstLine="0"/>
              <w:jc w:val="center"/>
              <w:rPr>
                <w:sz w:val="20"/>
              </w:rPr>
            </w:pPr>
            <w:r w:rsidRPr="00C27062">
              <w:rPr>
                <w:sz w:val="20"/>
              </w:rPr>
              <w:t>77.7 ± 10.8</w:t>
            </w:r>
          </w:p>
        </w:tc>
        <w:tc>
          <w:tcPr>
            <w:tcW w:w="455" w:type="pct"/>
          </w:tcPr>
          <w:p w14:paraId="52A5DDDD" w14:textId="77777777" w:rsidR="00FD585A" w:rsidRPr="00C27062" w:rsidRDefault="00FD585A" w:rsidP="0067335E">
            <w:pPr>
              <w:spacing w:before="40" w:after="40" w:line="288" w:lineRule="auto"/>
              <w:ind w:firstLine="0"/>
              <w:jc w:val="center"/>
              <w:rPr>
                <w:sz w:val="20"/>
              </w:rPr>
            </w:pPr>
            <w:r w:rsidRPr="00C27062">
              <w:rPr>
                <w:sz w:val="20"/>
              </w:rPr>
              <w:t>81.0 ± 9.5</w:t>
            </w:r>
          </w:p>
        </w:tc>
        <w:tc>
          <w:tcPr>
            <w:tcW w:w="386" w:type="pct"/>
          </w:tcPr>
          <w:p w14:paraId="403D4CE3" w14:textId="77777777" w:rsidR="00FD585A" w:rsidRPr="00C27062" w:rsidRDefault="00FD585A" w:rsidP="0067335E">
            <w:pPr>
              <w:spacing w:before="40" w:after="40" w:line="288" w:lineRule="auto"/>
              <w:ind w:firstLine="0"/>
              <w:jc w:val="center"/>
              <w:rPr>
                <w:sz w:val="20"/>
              </w:rPr>
            </w:pPr>
            <w:r w:rsidRPr="00C27062">
              <w:rPr>
                <w:sz w:val="20"/>
              </w:rPr>
              <w:t>–3.29</w:t>
            </w:r>
          </w:p>
        </w:tc>
        <w:tc>
          <w:tcPr>
            <w:tcW w:w="868" w:type="pct"/>
          </w:tcPr>
          <w:p w14:paraId="0ABB85FF" w14:textId="77777777" w:rsidR="00FD585A" w:rsidRPr="00C27062" w:rsidRDefault="00FD585A" w:rsidP="0067335E">
            <w:pPr>
              <w:spacing w:before="40" w:after="40" w:line="288" w:lineRule="auto"/>
              <w:ind w:firstLine="0"/>
              <w:jc w:val="center"/>
              <w:rPr>
                <w:sz w:val="20"/>
              </w:rPr>
            </w:pPr>
            <w:r w:rsidRPr="00C27062">
              <w:rPr>
                <w:sz w:val="20"/>
              </w:rPr>
              <w:t>0.001</w:t>
            </w:r>
          </w:p>
        </w:tc>
        <w:tc>
          <w:tcPr>
            <w:tcW w:w="536" w:type="pct"/>
          </w:tcPr>
          <w:p w14:paraId="57103FD5" w14:textId="77777777" w:rsidR="00FD585A" w:rsidRPr="00C27062" w:rsidRDefault="00FD585A" w:rsidP="0067335E">
            <w:pPr>
              <w:spacing w:before="40" w:after="40" w:line="288" w:lineRule="auto"/>
              <w:ind w:firstLine="0"/>
              <w:jc w:val="center"/>
              <w:rPr>
                <w:sz w:val="20"/>
              </w:rPr>
            </w:pPr>
            <w:r w:rsidRPr="00C27062">
              <w:rPr>
                <w:sz w:val="20"/>
              </w:rPr>
              <w:t>77.7 ± 10.8</w:t>
            </w:r>
          </w:p>
        </w:tc>
        <w:tc>
          <w:tcPr>
            <w:tcW w:w="425" w:type="pct"/>
          </w:tcPr>
          <w:p w14:paraId="256DB110" w14:textId="77777777" w:rsidR="00FD585A" w:rsidRPr="00C27062" w:rsidRDefault="00FD585A" w:rsidP="0067335E">
            <w:pPr>
              <w:spacing w:before="40" w:after="40" w:line="288" w:lineRule="auto"/>
              <w:ind w:firstLine="0"/>
              <w:jc w:val="center"/>
              <w:rPr>
                <w:sz w:val="20"/>
              </w:rPr>
            </w:pPr>
            <w:r w:rsidRPr="00C27062">
              <w:rPr>
                <w:sz w:val="20"/>
              </w:rPr>
              <w:t>73.3 ± 9.8</w:t>
            </w:r>
          </w:p>
        </w:tc>
        <w:tc>
          <w:tcPr>
            <w:tcW w:w="348" w:type="pct"/>
          </w:tcPr>
          <w:p w14:paraId="7C2E6EC0" w14:textId="77777777" w:rsidR="00FD585A" w:rsidRPr="00C27062" w:rsidRDefault="00FD585A" w:rsidP="0067335E">
            <w:pPr>
              <w:spacing w:before="40" w:after="40" w:line="288" w:lineRule="auto"/>
              <w:ind w:firstLine="0"/>
              <w:jc w:val="center"/>
              <w:rPr>
                <w:sz w:val="20"/>
              </w:rPr>
            </w:pPr>
            <w:r w:rsidRPr="00C27062">
              <w:rPr>
                <w:sz w:val="20"/>
              </w:rPr>
              <w:t>4.45</w:t>
            </w:r>
          </w:p>
        </w:tc>
        <w:tc>
          <w:tcPr>
            <w:tcW w:w="329" w:type="pct"/>
          </w:tcPr>
          <w:p w14:paraId="1C5BC7F1" w14:textId="77777777" w:rsidR="00FD585A" w:rsidRPr="00C27062" w:rsidRDefault="00FD585A" w:rsidP="0067335E">
            <w:pPr>
              <w:spacing w:before="40" w:after="40" w:line="288" w:lineRule="auto"/>
              <w:ind w:firstLine="0"/>
              <w:jc w:val="center"/>
              <w:rPr>
                <w:sz w:val="20"/>
              </w:rPr>
            </w:pPr>
            <w:r w:rsidRPr="00C27062">
              <w:rPr>
                <w:sz w:val="20"/>
              </w:rPr>
              <w:t>0.641</w:t>
            </w:r>
          </w:p>
        </w:tc>
      </w:tr>
      <w:tr w:rsidR="00FD585A" w:rsidRPr="00C27062" w14:paraId="2F1587E8" w14:textId="77777777" w:rsidTr="0067335E">
        <w:trPr>
          <w:trHeight w:val="20"/>
        </w:trPr>
        <w:tc>
          <w:tcPr>
            <w:tcW w:w="1092" w:type="pct"/>
          </w:tcPr>
          <w:p w14:paraId="3EAF51D4" w14:textId="77777777" w:rsidR="00FD585A" w:rsidRPr="00C27062" w:rsidRDefault="00FD585A" w:rsidP="0067335E">
            <w:pPr>
              <w:tabs>
                <w:tab w:val="left" w:pos="350"/>
              </w:tabs>
              <w:spacing w:before="40" w:after="40" w:line="288" w:lineRule="auto"/>
              <w:ind w:firstLine="0"/>
              <w:rPr>
                <w:sz w:val="20"/>
              </w:rPr>
            </w:pPr>
            <w:r w:rsidRPr="00C27062">
              <w:rPr>
                <w:sz w:val="20"/>
              </w:rPr>
              <w:t>Type of bleed, %</w:t>
            </w:r>
          </w:p>
        </w:tc>
        <w:tc>
          <w:tcPr>
            <w:tcW w:w="560" w:type="pct"/>
          </w:tcPr>
          <w:p w14:paraId="66E311B2" w14:textId="77777777" w:rsidR="00FD585A" w:rsidRPr="00C27062" w:rsidRDefault="00FD585A" w:rsidP="0067335E">
            <w:pPr>
              <w:spacing w:before="40" w:after="40" w:line="288" w:lineRule="auto"/>
              <w:jc w:val="center"/>
              <w:rPr>
                <w:sz w:val="20"/>
              </w:rPr>
            </w:pPr>
          </w:p>
        </w:tc>
        <w:tc>
          <w:tcPr>
            <w:tcW w:w="455" w:type="pct"/>
          </w:tcPr>
          <w:p w14:paraId="302AD825" w14:textId="77777777" w:rsidR="00FD585A" w:rsidRPr="00C27062" w:rsidRDefault="00FD585A" w:rsidP="0067335E">
            <w:pPr>
              <w:spacing w:before="40" w:after="40" w:line="288" w:lineRule="auto"/>
              <w:ind w:firstLine="0"/>
              <w:jc w:val="center"/>
              <w:rPr>
                <w:sz w:val="20"/>
              </w:rPr>
            </w:pPr>
          </w:p>
        </w:tc>
        <w:tc>
          <w:tcPr>
            <w:tcW w:w="386" w:type="pct"/>
          </w:tcPr>
          <w:p w14:paraId="76B2CE4B" w14:textId="77777777" w:rsidR="00FD585A" w:rsidRPr="00C27062" w:rsidRDefault="00FD585A" w:rsidP="0067335E">
            <w:pPr>
              <w:spacing w:before="40" w:after="40" w:line="288" w:lineRule="auto"/>
              <w:jc w:val="center"/>
              <w:rPr>
                <w:sz w:val="20"/>
              </w:rPr>
            </w:pPr>
          </w:p>
        </w:tc>
        <w:tc>
          <w:tcPr>
            <w:tcW w:w="868" w:type="pct"/>
          </w:tcPr>
          <w:p w14:paraId="44A0FEB1" w14:textId="77777777" w:rsidR="00FD585A" w:rsidRPr="00C27062" w:rsidRDefault="00FD585A" w:rsidP="0067335E">
            <w:pPr>
              <w:spacing w:before="40" w:after="40" w:line="288" w:lineRule="auto"/>
              <w:jc w:val="center"/>
              <w:rPr>
                <w:sz w:val="20"/>
              </w:rPr>
            </w:pPr>
          </w:p>
        </w:tc>
        <w:tc>
          <w:tcPr>
            <w:tcW w:w="536" w:type="pct"/>
          </w:tcPr>
          <w:p w14:paraId="6F57B86B" w14:textId="77777777" w:rsidR="00FD585A" w:rsidRPr="00C27062" w:rsidRDefault="00FD585A" w:rsidP="0067335E">
            <w:pPr>
              <w:spacing w:before="40" w:after="40" w:line="288" w:lineRule="auto"/>
              <w:jc w:val="center"/>
              <w:rPr>
                <w:sz w:val="20"/>
              </w:rPr>
            </w:pPr>
          </w:p>
        </w:tc>
        <w:tc>
          <w:tcPr>
            <w:tcW w:w="425" w:type="pct"/>
          </w:tcPr>
          <w:p w14:paraId="134AE533" w14:textId="77777777" w:rsidR="00FD585A" w:rsidRPr="00C27062" w:rsidRDefault="00FD585A" w:rsidP="0067335E">
            <w:pPr>
              <w:spacing w:before="40" w:after="40" w:line="288" w:lineRule="auto"/>
              <w:ind w:firstLine="0"/>
              <w:jc w:val="center"/>
              <w:rPr>
                <w:sz w:val="20"/>
              </w:rPr>
            </w:pPr>
          </w:p>
        </w:tc>
        <w:tc>
          <w:tcPr>
            <w:tcW w:w="348" w:type="pct"/>
          </w:tcPr>
          <w:p w14:paraId="3B47809D" w14:textId="77777777" w:rsidR="00FD585A" w:rsidRPr="00C27062" w:rsidRDefault="00FD585A" w:rsidP="0067335E">
            <w:pPr>
              <w:spacing w:before="40" w:after="40" w:line="288" w:lineRule="auto"/>
              <w:ind w:firstLine="0"/>
              <w:jc w:val="center"/>
              <w:rPr>
                <w:sz w:val="20"/>
              </w:rPr>
            </w:pPr>
          </w:p>
        </w:tc>
        <w:tc>
          <w:tcPr>
            <w:tcW w:w="329" w:type="pct"/>
          </w:tcPr>
          <w:p w14:paraId="411DCB85" w14:textId="77777777" w:rsidR="00FD585A" w:rsidRPr="00C27062" w:rsidRDefault="00FD585A" w:rsidP="0067335E">
            <w:pPr>
              <w:spacing w:before="40" w:after="40" w:line="288" w:lineRule="auto"/>
              <w:ind w:firstLine="0"/>
              <w:jc w:val="center"/>
              <w:rPr>
                <w:sz w:val="20"/>
              </w:rPr>
            </w:pPr>
          </w:p>
        </w:tc>
      </w:tr>
      <w:tr w:rsidR="00FD585A" w:rsidRPr="00C27062" w14:paraId="43EA6F36" w14:textId="77777777" w:rsidTr="0067335E">
        <w:trPr>
          <w:trHeight w:val="20"/>
        </w:trPr>
        <w:tc>
          <w:tcPr>
            <w:tcW w:w="1092" w:type="pct"/>
          </w:tcPr>
          <w:p w14:paraId="680B99E8" w14:textId="77777777" w:rsidR="00FD585A" w:rsidRPr="00C27062" w:rsidRDefault="00FD585A" w:rsidP="0067335E">
            <w:pPr>
              <w:tabs>
                <w:tab w:val="left" w:pos="350"/>
              </w:tabs>
              <w:spacing w:before="40" w:after="40" w:line="288" w:lineRule="auto"/>
              <w:ind w:firstLine="0"/>
              <w:rPr>
                <w:sz w:val="20"/>
              </w:rPr>
            </w:pPr>
            <w:r w:rsidRPr="00C27062">
              <w:rPr>
                <w:sz w:val="20"/>
              </w:rPr>
              <w:tab/>
              <w:t xml:space="preserve">Intracerebral </w:t>
            </w:r>
            <w:proofErr w:type="spellStart"/>
            <w:r w:rsidRPr="00C27062">
              <w:rPr>
                <w:sz w:val="20"/>
              </w:rPr>
              <w:t>hemorrhage</w:t>
            </w:r>
            <w:proofErr w:type="spellEnd"/>
            <w:r w:rsidRPr="00C27062">
              <w:rPr>
                <w:sz w:val="20"/>
              </w:rPr>
              <w:t xml:space="preserve"> </w:t>
            </w:r>
          </w:p>
        </w:tc>
        <w:tc>
          <w:tcPr>
            <w:tcW w:w="560" w:type="pct"/>
            <w:vAlign w:val="bottom"/>
          </w:tcPr>
          <w:p w14:paraId="201C5630"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37.9%</w:t>
            </w:r>
          </w:p>
        </w:tc>
        <w:tc>
          <w:tcPr>
            <w:tcW w:w="455" w:type="pct"/>
            <w:vAlign w:val="center"/>
          </w:tcPr>
          <w:p w14:paraId="7A234168"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31.0%</w:t>
            </w:r>
          </w:p>
        </w:tc>
        <w:tc>
          <w:tcPr>
            <w:tcW w:w="386" w:type="pct"/>
          </w:tcPr>
          <w:p w14:paraId="3591280C" w14:textId="77777777" w:rsidR="00FD585A" w:rsidRPr="00C27062" w:rsidRDefault="00FD585A" w:rsidP="0067335E">
            <w:pPr>
              <w:spacing w:before="40" w:after="40" w:line="288" w:lineRule="auto"/>
              <w:ind w:firstLine="0"/>
              <w:jc w:val="center"/>
              <w:rPr>
                <w:sz w:val="20"/>
              </w:rPr>
            </w:pPr>
            <w:r w:rsidRPr="00C27062">
              <w:rPr>
                <w:sz w:val="20"/>
              </w:rPr>
              <w:t>6.90%</w:t>
            </w:r>
          </w:p>
        </w:tc>
        <w:tc>
          <w:tcPr>
            <w:tcW w:w="868" w:type="pct"/>
          </w:tcPr>
          <w:p w14:paraId="1CBA122D"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w:t>
            </w:r>
          </w:p>
        </w:tc>
        <w:tc>
          <w:tcPr>
            <w:tcW w:w="536" w:type="pct"/>
            <w:vAlign w:val="center"/>
          </w:tcPr>
          <w:p w14:paraId="29581C92"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37.9%</w:t>
            </w:r>
          </w:p>
        </w:tc>
        <w:tc>
          <w:tcPr>
            <w:tcW w:w="425" w:type="pct"/>
            <w:vAlign w:val="center"/>
          </w:tcPr>
          <w:p w14:paraId="344CC6CF"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28.9%</w:t>
            </w:r>
          </w:p>
        </w:tc>
        <w:tc>
          <w:tcPr>
            <w:tcW w:w="348" w:type="pct"/>
          </w:tcPr>
          <w:p w14:paraId="0073CEC4" w14:textId="77777777" w:rsidR="00FD585A" w:rsidRPr="00C27062" w:rsidRDefault="00FD585A" w:rsidP="0067335E">
            <w:pPr>
              <w:spacing w:before="40" w:after="40" w:line="288" w:lineRule="auto"/>
              <w:ind w:firstLine="0"/>
              <w:jc w:val="center"/>
              <w:rPr>
                <w:sz w:val="20"/>
              </w:rPr>
            </w:pPr>
            <w:r w:rsidRPr="00C27062">
              <w:rPr>
                <w:sz w:val="20"/>
              </w:rPr>
              <w:t>9.01%</w:t>
            </w:r>
          </w:p>
        </w:tc>
        <w:tc>
          <w:tcPr>
            <w:tcW w:w="329" w:type="pct"/>
          </w:tcPr>
          <w:p w14:paraId="75CFE754" w14:textId="77777777" w:rsidR="00FD585A" w:rsidRPr="00C27062" w:rsidRDefault="00FD585A" w:rsidP="0067335E">
            <w:pPr>
              <w:spacing w:before="40" w:after="40" w:line="288" w:lineRule="auto"/>
              <w:ind w:firstLine="0"/>
              <w:jc w:val="center"/>
              <w:rPr>
                <w:sz w:val="20"/>
              </w:rPr>
            </w:pPr>
            <w:r w:rsidRPr="00C27062">
              <w:rPr>
                <w:sz w:val="20"/>
              </w:rPr>
              <w:t>–</w:t>
            </w:r>
          </w:p>
        </w:tc>
      </w:tr>
      <w:tr w:rsidR="00FD585A" w:rsidRPr="00C27062" w14:paraId="1DE24801" w14:textId="77777777" w:rsidTr="0067335E">
        <w:trPr>
          <w:trHeight w:val="20"/>
        </w:trPr>
        <w:tc>
          <w:tcPr>
            <w:tcW w:w="1092" w:type="pct"/>
          </w:tcPr>
          <w:p w14:paraId="13B94D00" w14:textId="77777777" w:rsidR="00FD585A" w:rsidRPr="00C27062" w:rsidRDefault="00FD585A" w:rsidP="0067335E">
            <w:pPr>
              <w:tabs>
                <w:tab w:val="left" w:pos="350"/>
              </w:tabs>
              <w:spacing w:before="40" w:after="40" w:line="288" w:lineRule="auto"/>
              <w:ind w:firstLine="0"/>
              <w:rPr>
                <w:sz w:val="20"/>
              </w:rPr>
            </w:pPr>
            <w:r w:rsidRPr="00C27062">
              <w:rPr>
                <w:sz w:val="20"/>
              </w:rPr>
              <w:tab/>
              <w:t xml:space="preserve">Subarachnoid </w:t>
            </w:r>
            <w:proofErr w:type="spellStart"/>
            <w:r w:rsidRPr="00C27062">
              <w:rPr>
                <w:sz w:val="20"/>
              </w:rPr>
              <w:t>hemorrhage</w:t>
            </w:r>
            <w:proofErr w:type="spellEnd"/>
          </w:p>
        </w:tc>
        <w:tc>
          <w:tcPr>
            <w:tcW w:w="560" w:type="pct"/>
            <w:vAlign w:val="bottom"/>
          </w:tcPr>
          <w:p w14:paraId="46CBBF6F"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8.4%</w:t>
            </w:r>
          </w:p>
        </w:tc>
        <w:tc>
          <w:tcPr>
            <w:tcW w:w="455" w:type="pct"/>
            <w:vAlign w:val="center"/>
          </w:tcPr>
          <w:p w14:paraId="117BD547"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2.8%</w:t>
            </w:r>
          </w:p>
        </w:tc>
        <w:tc>
          <w:tcPr>
            <w:tcW w:w="386" w:type="pct"/>
          </w:tcPr>
          <w:p w14:paraId="56B1B100" w14:textId="77777777" w:rsidR="00FD585A" w:rsidRPr="00C27062" w:rsidRDefault="00FD585A" w:rsidP="0067335E">
            <w:pPr>
              <w:spacing w:before="40" w:after="40" w:line="288" w:lineRule="auto"/>
              <w:ind w:firstLine="0"/>
              <w:jc w:val="center"/>
              <w:rPr>
                <w:sz w:val="20"/>
              </w:rPr>
            </w:pPr>
            <w:r w:rsidRPr="00C27062">
              <w:rPr>
                <w:sz w:val="20"/>
              </w:rPr>
              <w:t>5.63%</w:t>
            </w:r>
          </w:p>
        </w:tc>
        <w:tc>
          <w:tcPr>
            <w:tcW w:w="868" w:type="pct"/>
          </w:tcPr>
          <w:p w14:paraId="79E02D48"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w:t>
            </w:r>
          </w:p>
        </w:tc>
        <w:tc>
          <w:tcPr>
            <w:tcW w:w="536" w:type="pct"/>
            <w:vAlign w:val="center"/>
          </w:tcPr>
          <w:p w14:paraId="28360CA8"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8.4%</w:t>
            </w:r>
          </w:p>
        </w:tc>
        <w:tc>
          <w:tcPr>
            <w:tcW w:w="425" w:type="pct"/>
            <w:vAlign w:val="center"/>
          </w:tcPr>
          <w:p w14:paraId="3C905948"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11.8%</w:t>
            </w:r>
          </w:p>
        </w:tc>
        <w:tc>
          <w:tcPr>
            <w:tcW w:w="348" w:type="pct"/>
          </w:tcPr>
          <w:p w14:paraId="08BDE73E" w14:textId="77777777" w:rsidR="00FD585A" w:rsidRPr="00C27062" w:rsidRDefault="00FD585A" w:rsidP="0067335E">
            <w:pPr>
              <w:spacing w:before="40" w:after="40" w:line="288" w:lineRule="auto"/>
              <w:ind w:firstLine="0"/>
              <w:jc w:val="center"/>
              <w:rPr>
                <w:sz w:val="20"/>
              </w:rPr>
            </w:pPr>
            <w:r w:rsidRPr="00C27062">
              <w:rPr>
                <w:sz w:val="20"/>
              </w:rPr>
              <w:t>–3.42%</w:t>
            </w:r>
          </w:p>
        </w:tc>
        <w:tc>
          <w:tcPr>
            <w:tcW w:w="329" w:type="pct"/>
          </w:tcPr>
          <w:p w14:paraId="785CDEF5" w14:textId="77777777" w:rsidR="00FD585A" w:rsidRPr="00C27062" w:rsidRDefault="00FD585A" w:rsidP="0067335E">
            <w:pPr>
              <w:spacing w:before="40" w:after="40" w:line="288" w:lineRule="auto"/>
              <w:ind w:firstLine="0"/>
              <w:jc w:val="center"/>
              <w:rPr>
                <w:sz w:val="20"/>
              </w:rPr>
            </w:pPr>
            <w:r w:rsidRPr="00C27062">
              <w:rPr>
                <w:sz w:val="20"/>
              </w:rPr>
              <w:t>–</w:t>
            </w:r>
          </w:p>
        </w:tc>
      </w:tr>
      <w:tr w:rsidR="00FD585A" w:rsidRPr="00C27062" w14:paraId="684A4734" w14:textId="77777777" w:rsidTr="0067335E">
        <w:trPr>
          <w:trHeight w:val="20"/>
        </w:trPr>
        <w:tc>
          <w:tcPr>
            <w:tcW w:w="1092" w:type="pct"/>
          </w:tcPr>
          <w:p w14:paraId="0CF11087" w14:textId="77777777" w:rsidR="00FD585A" w:rsidRPr="00C27062" w:rsidRDefault="00FD585A" w:rsidP="0067335E">
            <w:pPr>
              <w:tabs>
                <w:tab w:val="left" w:pos="350"/>
              </w:tabs>
              <w:spacing w:before="40" w:after="40" w:line="288" w:lineRule="auto"/>
              <w:ind w:firstLine="0"/>
              <w:rPr>
                <w:sz w:val="20"/>
              </w:rPr>
            </w:pPr>
            <w:r w:rsidRPr="00C27062">
              <w:rPr>
                <w:sz w:val="20"/>
              </w:rPr>
              <w:tab/>
              <w:t xml:space="preserve">Subdural/epidural </w:t>
            </w:r>
            <w:proofErr w:type="spellStart"/>
            <w:r w:rsidRPr="00C27062">
              <w:rPr>
                <w:sz w:val="20"/>
              </w:rPr>
              <w:t>hemorrhage</w:t>
            </w:r>
            <w:proofErr w:type="spellEnd"/>
          </w:p>
        </w:tc>
        <w:tc>
          <w:tcPr>
            <w:tcW w:w="560" w:type="pct"/>
            <w:vAlign w:val="center"/>
          </w:tcPr>
          <w:p w14:paraId="1713CD6F"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18.6%</w:t>
            </w:r>
          </w:p>
        </w:tc>
        <w:tc>
          <w:tcPr>
            <w:tcW w:w="455" w:type="pct"/>
            <w:vAlign w:val="center"/>
          </w:tcPr>
          <w:p w14:paraId="6DBCCC40"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16.6%</w:t>
            </w:r>
          </w:p>
        </w:tc>
        <w:tc>
          <w:tcPr>
            <w:tcW w:w="386" w:type="pct"/>
            <w:vAlign w:val="center"/>
          </w:tcPr>
          <w:p w14:paraId="7EF4A48A" w14:textId="77777777" w:rsidR="00FD585A" w:rsidRPr="00C27062" w:rsidRDefault="00FD585A" w:rsidP="0067335E">
            <w:pPr>
              <w:spacing w:before="40" w:after="40" w:line="288" w:lineRule="auto"/>
              <w:ind w:firstLine="0"/>
              <w:jc w:val="center"/>
              <w:rPr>
                <w:sz w:val="20"/>
              </w:rPr>
            </w:pPr>
            <w:r w:rsidRPr="00C27062">
              <w:rPr>
                <w:sz w:val="20"/>
              </w:rPr>
              <w:t>2.08%</w:t>
            </w:r>
          </w:p>
        </w:tc>
        <w:tc>
          <w:tcPr>
            <w:tcW w:w="868" w:type="pct"/>
            <w:vAlign w:val="center"/>
          </w:tcPr>
          <w:p w14:paraId="0A59348D"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w:t>
            </w:r>
          </w:p>
        </w:tc>
        <w:tc>
          <w:tcPr>
            <w:tcW w:w="536" w:type="pct"/>
            <w:vAlign w:val="center"/>
          </w:tcPr>
          <w:p w14:paraId="1B41C6CA"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18.6%</w:t>
            </w:r>
          </w:p>
        </w:tc>
        <w:tc>
          <w:tcPr>
            <w:tcW w:w="425" w:type="pct"/>
            <w:vAlign w:val="center"/>
          </w:tcPr>
          <w:p w14:paraId="4573E463"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21.7%</w:t>
            </w:r>
          </w:p>
        </w:tc>
        <w:tc>
          <w:tcPr>
            <w:tcW w:w="348" w:type="pct"/>
            <w:vAlign w:val="center"/>
          </w:tcPr>
          <w:p w14:paraId="0A0D7BDD" w14:textId="77777777" w:rsidR="00FD585A" w:rsidRPr="00C27062" w:rsidRDefault="00FD585A" w:rsidP="0067335E">
            <w:pPr>
              <w:spacing w:before="40" w:after="40" w:line="288" w:lineRule="auto"/>
              <w:ind w:firstLine="0"/>
              <w:jc w:val="center"/>
              <w:rPr>
                <w:sz w:val="20"/>
              </w:rPr>
            </w:pPr>
            <w:r w:rsidRPr="00C27062">
              <w:rPr>
                <w:sz w:val="20"/>
              </w:rPr>
              <w:t>–3.11%</w:t>
            </w:r>
          </w:p>
        </w:tc>
        <w:tc>
          <w:tcPr>
            <w:tcW w:w="329" w:type="pct"/>
            <w:vAlign w:val="center"/>
          </w:tcPr>
          <w:p w14:paraId="42559537" w14:textId="77777777" w:rsidR="00FD585A" w:rsidRPr="00C27062" w:rsidRDefault="00FD585A" w:rsidP="0067335E">
            <w:pPr>
              <w:spacing w:before="40" w:after="40" w:line="288" w:lineRule="auto"/>
              <w:ind w:firstLine="0"/>
              <w:jc w:val="center"/>
              <w:rPr>
                <w:sz w:val="20"/>
              </w:rPr>
            </w:pPr>
            <w:r w:rsidRPr="00C27062">
              <w:rPr>
                <w:sz w:val="20"/>
              </w:rPr>
              <w:t>–</w:t>
            </w:r>
          </w:p>
        </w:tc>
      </w:tr>
      <w:tr w:rsidR="00FD585A" w:rsidRPr="00C27062" w14:paraId="4B18F66E" w14:textId="77777777" w:rsidTr="0067335E">
        <w:trPr>
          <w:trHeight w:val="20"/>
        </w:trPr>
        <w:tc>
          <w:tcPr>
            <w:tcW w:w="1092" w:type="pct"/>
          </w:tcPr>
          <w:p w14:paraId="049A8922" w14:textId="77777777" w:rsidR="00FD585A" w:rsidRPr="00C27062" w:rsidRDefault="00FD585A" w:rsidP="0067335E">
            <w:pPr>
              <w:tabs>
                <w:tab w:val="left" w:pos="337"/>
              </w:tabs>
              <w:spacing w:before="40" w:after="40" w:line="288" w:lineRule="auto"/>
              <w:ind w:firstLine="0"/>
              <w:rPr>
                <w:sz w:val="20"/>
              </w:rPr>
            </w:pPr>
            <w:r w:rsidRPr="00C27062">
              <w:rPr>
                <w:sz w:val="20"/>
              </w:rPr>
              <w:tab/>
              <w:t>GI bleed</w:t>
            </w:r>
          </w:p>
        </w:tc>
        <w:tc>
          <w:tcPr>
            <w:tcW w:w="560" w:type="pct"/>
            <w:vAlign w:val="bottom"/>
          </w:tcPr>
          <w:p w14:paraId="378B9EC4"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25.5%</w:t>
            </w:r>
          </w:p>
        </w:tc>
        <w:tc>
          <w:tcPr>
            <w:tcW w:w="455" w:type="pct"/>
            <w:vAlign w:val="center"/>
          </w:tcPr>
          <w:p w14:paraId="02568EA3"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37.9%</w:t>
            </w:r>
          </w:p>
        </w:tc>
        <w:tc>
          <w:tcPr>
            <w:tcW w:w="386" w:type="pct"/>
          </w:tcPr>
          <w:p w14:paraId="4DAAB6FD" w14:textId="77777777" w:rsidR="00FD585A" w:rsidRPr="00C27062" w:rsidRDefault="00FD585A" w:rsidP="0067335E">
            <w:pPr>
              <w:spacing w:before="40" w:after="40" w:line="288" w:lineRule="auto"/>
              <w:ind w:firstLine="0"/>
              <w:jc w:val="center"/>
              <w:rPr>
                <w:sz w:val="20"/>
              </w:rPr>
            </w:pPr>
            <w:r w:rsidRPr="00C27062">
              <w:rPr>
                <w:sz w:val="20"/>
              </w:rPr>
              <w:t>–12.47%</w:t>
            </w:r>
          </w:p>
        </w:tc>
        <w:tc>
          <w:tcPr>
            <w:tcW w:w="868" w:type="pct"/>
          </w:tcPr>
          <w:p w14:paraId="293AF576" w14:textId="77777777" w:rsidR="00FD585A" w:rsidRPr="00C27062" w:rsidRDefault="00FD585A" w:rsidP="0067335E">
            <w:pPr>
              <w:tabs>
                <w:tab w:val="left" w:pos="240"/>
                <w:tab w:val="center" w:pos="342"/>
              </w:tabs>
              <w:spacing w:before="40" w:after="40" w:line="288" w:lineRule="auto"/>
              <w:ind w:firstLine="0"/>
              <w:jc w:val="center"/>
              <w:rPr>
                <w:rFonts w:eastAsia="Times New Roman"/>
                <w:color w:val="000000"/>
                <w:sz w:val="20"/>
                <w:szCs w:val="20"/>
              </w:rPr>
            </w:pPr>
            <w:r w:rsidRPr="00C27062">
              <w:rPr>
                <w:sz w:val="20"/>
              </w:rPr>
              <w:t>–</w:t>
            </w:r>
          </w:p>
        </w:tc>
        <w:tc>
          <w:tcPr>
            <w:tcW w:w="536" w:type="pct"/>
            <w:vAlign w:val="center"/>
          </w:tcPr>
          <w:p w14:paraId="55E76969"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25.5%</w:t>
            </w:r>
          </w:p>
        </w:tc>
        <w:tc>
          <w:tcPr>
            <w:tcW w:w="425" w:type="pct"/>
            <w:vAlign w:val="center"/>
          </w:tcPr>
          <w:p w14:paraId="29C3CE2B"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31.1%</w:t>
            </w:r>
          </w:p>
        </w:tc>
        <w:tc>
          <w:tcPr>
            <w:tcW w:w="348" w:type="pct"/>
          </w:tcPr>
          <w:p w14:paraId="57C9061C" w14:textId="77777777" w:rsidR="00FD585A" w:rsidRPr="00C27062" w:rsidRDefault="00FD585A" w:rsidP="0067335E">
            <w:pPr>
              <w:spacing w:before="40" w:after="40" w:line="288" w:lineRule="auto"/>
              <w:ind w:firstLine="0"/>
              <w:jc w:val="center"/>
              <w:rPr>
                <w:sz w:val="20"/>
              </w:rPr>
            </w:pPr>
            <w:r w:rsidRPr="00C27062">
              <w:rPr>
                <w:sz w:val="20"/>
              </w:rPr>
              <w:t>–5.59%</w:t>
            </w:r>
          </w:p>
        </w:tc>
        <w:tc>
          <w:tcPr>
            <w:tcW w:w="329" w:type="pct"/>
          </w:tcPr>
          <w:p w14:paraId="55FC4CBE" w14:textId="77777777" w:rsidR="00FD585A" w:rsidRPr="00C27062" w:rsidRDefault="00FD585A" w:rsidP="0067335E">
            <w:pPr>
              <w:spacing w:before="40" w:after="40" w:line="288" w:lineRule="auto"/>
              <w:ind w:firstLine="0"/>
              <w:jc w:val="center"/>
              <w:rPr>
                <w:sz w:val="20"/>
              </w:rPr>
            </w:pPr>
            <w:r w:rsidRPr="00C27062">
              <w:rPr>
                <w:sz w:val="20"/>
              </w:rPr>
              <w:t>–</w:t>
            </w:r>
          </w:p>
        </w:tc>
      </w:tr>
      <w:tr w:rsidR="00FD585A" w:rsidRPr="00C27062" w14:paraId="1A13281B" w14:textId="77777777" w:rsidTr="0067335E">
        <w:trPr>
          <w:trHeight w:val="20"/>
        </w:trPr>
        <w:tc>
          <w:tcPr>
            <w:tcW w:w="1092" w:type="pct"/>
          </w:tcPr>
          <w:p w14:paraId="17B2B8E6" w14:textId="77777777" w:rsidR="00FD585A" w:rsidRPr="00C27062" w:rsidRDefault="00FD585A" w:rsidP="0067335E">
            <w:pPr>
              <w:tabs>
                <w:tab w:val="left" w:pos="338"/>
              </w:tabs>
              <w:spacing w:before="40" w:after="40" w:line="288" w:lineRule="auto"/>
              <w:ind w:firstLine="0"/>
              <w:rPr>
                <w:sz w:val="20"/>
              </w:rPr>
            </w:pPr>
            <w:r w:rsidRPr="00C27062">
              <w:rPr>
                <w:sz w:val="20"/>
              </w:rPr>
              <w:tab/>
            </w:r>
            <w:proofErr w:type="gramStart"/>
            <w:r w:rsidRPr="00C27062">
              <w:rPr>
                <w:sz w:val="20"/>
              </w:rPr>
              <w:t>Other</w:t>
            </w:r>
            <w:proofErr w:type="gramEnd"/>
            <w:r w:rsidRPr="00C27062">
              <w:rPr>
                <w:sz w:val="20"/>
              </w:rPr>
              <w:t xml:space="preserve"> </w:t>
            </w:r>
            <w:r w:rsidRPr="00C27062">
              <w:rPr>
                <w:sz w:val="20"/>
                <w:lang w:val="en-US"/>
              </w:rPr>
              <w:t>major bleed</w:t>
            </w:r>
            <w:r w:rsidRPr="00C27062">
              <w:rPr>
                <w:sz w:val="20"/>
                <w:vertAlign w:val="superscript"/>
                <w:lang w:val="en-US"/>
              </w:rPr>
              <w:t>*</w:t>
            </w:r>
          </w:p>
        </w:tc>
        <w:tc>
          <w:tcPr>
            <w:tcW w:w="560" w:type="pct"/>
            <w:vAlign w:val="bottom"/>
          </w:tcPr>
          <w:p w14:paraId="3E6C085A"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9.6%</w:t>
            </w:r>
          </w:p>
        </w:tc>
        <w:tc>
          <w:tcPr>
            <w:tcW w:w="455" w:type="pct"/>
            <w:vAlign w:val="center"/>
          </w:tcPr>
          <w:p w14:paraId="51893265"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11.7%</w:t>
            </w:r>
          </w:p>
        </w:tc>
        <w:tc>
          <w:tcPr>
            <w:tcW w:w="386" w:type="pct"/>
          </w:tcPr>
          <w:p w14:paraId="175F3465" w14:textId="77777777" w:rsidR="00FD585A" w:rsidRPr="00C27062" w:rsidRDefault="00FD585A" w:rsidP="0067335E">
            <w:pPr>
              <w:spacing w:before="40" w:after="40" w:line="288" w:lineRule="auto"/>
              <w:ind w:firstLine="0"/>
              <w:jc w:val="center"/>
              <w:rPr>
                <w:sz w:val="20"/>
              </w:rPr>
            </w:pPr>
            <w:r w:rsidRPr="00C27062">
              <w:rPr>
                <w:sz w:val="20"/>
              </w:rPr>
              <w:t>–2.10%</w:t>
            </w:r>
          </w:p>
        </w:tc>
        <w:tc>
          <w:tcPr>
            <w:tcW w:w="868" w:type="pct"/>
          </w:tcPr>
          <w:p w14:paraId="3A69C927"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w:t>
            </w:r>
          </w:p>
        </w:tc>
        <w:tc>
          <w:tcPr>
            <w:tcW w:w="536" w:type="pct"/>
            <w:vAlign w:val="center"/>
          </w:tcPr>
          <w:p w14:paraId="0756BB6E"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9.6%</w:t>
            </w:r>
          </w:p>
        </w:tc>
        <w:tc>
          <w:tcPr>
            <w:tcW w:w="425" w:type="pct"/>
            <w:vAlign w:val="center"/>
          </w:tcPr>
          <w:p w14:paraId="256131C5"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6.5%</w:t>
            </w:r>
          </w:p>
        </w:tc>
        <w:tc>
          <w:tcPr>
            <w:tcW w:w="348" w:type="pct"/>
          </w:tcPr>
          <w:p w14:paraId="1CBF1EFF" w14:textId="77777777" w:rsidR="00FD585A" w:rsidRPr="00C27062" w:rsidRDefault="00FD585A" w:rsidP="0067335E">
            <w:pPr>
              <w:spacing w:before="40" w:after="40" w:line="288" w:lineRule="auto"/>
              <w:ind w:firstLine="0"/>
              <w:jc w:val="center"/>
              <w:rPr>
                <w:sz w:val="20"/>
              </w:rPr>
            </w:pPr>
            <w:r w:rsidRPr="00C27062">
              <w:rPr>
                <w:sz w:val="20"/>
              </w:rPr>
              <w:t>3.11%</w:t>
            </w:r>
          </w:p>
        </w:tc>
        <w:tc>
          <w:tcPr>
            <w:tcW w:w="329" w:type="pct"/>
          </w:tcPr>
          <w:p w14:paraId="6B14DA9A" w14:textId="77777777" w:rsidR="00FD585A" w:rsidRPr="00C27062" w:rsidRDefault="00FD585A" w:rsidP="0067335E">
            <w:pPr>
              <w:spacing w:before="40" w:after="40" w:line="288" w:lineRule="auto"/>
              <w:ind w:firstLine="0"/>
              <w:jc w:val="center"/>
              <w:rPr>
                <w:sz w:val="20"/>
              </w:rPr>
            </w:pPr>
            <w:r w:rsidRPr="00C27062">
              <w:rPr>
                <w:sz w:val="20"/>
              </w:rPr>
              <w:t>–</w:t>
            </w:r>
          </w:p>
        </w:tc>
      </w:tr>
      <w:tr w:rsidR="00FD585A" w:rsidRPr="00C27062" w14:paraId="2119A9C2" w14:textId="77777777" w:rsidTr="0067335E">
        <w:trPr>
          <w:trHeight w:val="20"/>
        </w:trPr>
        <w:tc>
          <w:tcPr>
            <w:tcW w:w="1092" w:type="pct"/>
          </w:tcPr>
          <w:p w14:paraId="6BF6457C" w14:textId="77777777" w:rsidR="00FD585A" w:rsidRPr="00C27062" w:rsidRDefault="00FD585A" w:rsidP="0067335E">
            <w:pPr>
              <w:spacing w:before="40" w:after="40" w:line="288" w:lineRule="auto"/>
              <w:ind w:firstLine="0"/>
              <w:rPr>
                <w:sz w:val="20"/>
              </w:rPr>
            </w:pPr>
            <w:r w:rsidRPr="00C27062">
              <w:rPr>
                <w:sz w:val="20"/>
              </w:rPr>
              <w:t>Medical history, %</w:t>
            </w:r>
          </w:p>
        </w:tc>
        <w:tc>
          <w:tcPr>
            <w:tcW w:w="560" w:type="pct"/>
          </w:tcPr>
          <w:p w14:paraId="61D4904B" w14:textId="77777777" w:rsidR="00FD585A" w:rsidRPr="00C27062" w:rsidRDefault="00FD585A" w:rsidP="0067335E">
            <w:pPr>
              <w:spacing w:before="40" w:after="40" w:line="288" w:lineRule="auto"/>
              <w:jc w:val="center"/>
              <w:rPr>
                <w:sz w:val="20"/>
              </w:rPr>
            </w:pPr>
          </w:p>
        </w:tc>
        <w:tc>
          <w:tcPr>
            <w:tcW w:w="455" w:type="pct"/>
          </w:tcPr>
          <w:p w14:paraId="32B07CF7" w14:textId="77777777" w:rsidR="00FD585A" w:rsidRPr="00C27062" w:rsidRDefault="00FD585A" w:rsidP="0067335E">
            <w:pPr>
              <w:spacing w:before="40" w:after="40" w:line="288" w:lineRule="auto"/>
              <w:jc w:val="center"/>
              <w:rPr>
                <w:sz w:val="20"/>
              </w:rPr>
            </w:pPr>
          </w:p>
        </w:tc>
        <w:tc>
          <w:tcPr>
            <w:tcW w:w="386" w:type="pct"/>
          </w:tcPr>
          <w:p w14:paraId="37B6E2E7" w14:textId="77777777" w:rsidR="00FD585A" w:rsidRPr="00C27062" w:rsidRDefault="00FD585A" w:rsidP="0067335E">
            <w:pPr>
              <w:spacing w:before="40" w:after="40" w:line="288" w:lineRule="auto"/>
              <w:jc w:val="center"/>
              <w:rPr>
                <w:sz w:val="20"/>
              </w:rPr>
            </w:pPr>
          </w:p>
        </w:tc>
        <w:tc>
          <w:tcPr>
            <w:tcW w:w="868" w:type="pct"/>
          </w:tcPr>
          <w:p w14:paraId="7E2B8338" w14:textId="77777777" w:rsidR="00FD585A" w:rsidRPr="00C27062" w:rsidRDefault="00FD585A" w:rsidP="0067335E">
            <w:pPr>
              <w:spacing w:before="40" w:after="40" w:line="288" w:lineRule="auto"/>
              <w:jc w:val="center"/>
              <w:rPr>
                <w:sz w:val="20"/>
              </w:rPr>
            </w:pPr>
          </w:p>
        </w:tc>
        <w:tc>
          <w:tcPr>
            <w:tcW w:w="536" w:type="pct"/>
          </w:tcPr>
          <w:p w14:paraId="6655EA3C" w14:textId="77777777" w:rsidR="00FD585A" w:rsidRPr="00C27062" w:rsidRDefault="00FD585A" w:rsidP="0067335E">
            <w:pPr>
              <w:spacing w:before="40" w:after="40" w:line="288" w:lineRule="auto"/>
              <w:jc w:val="center"/>
              <w:rPr>
                <w:sz w:val="20"/>
              </w:rPr>
            </w:pPr>
          </w:p>
        </w:tc>
        <w:tc>
          <w:tcPr>
            <w:tcW w:w="425" w:type="pct"/>
          </w:tcPr>
          <w:p w14:paraId="0907F969" w14:textId="77777777" w:rsidR="00FD585A" w:rsidRPr="00C27062" w:rsidRDefault="00FD585A" w:rsidP="0067335E">
            <w:pPr>
              <w:spacing w:before="40" w:after="40" w:line="288" w:lineRule="auto"/>
              <w:ind w:firstLine="0"/>
              <w:jc w:val="center"/>
              <w:rPr>
                <w:sz w:val="20"/>
              </w:rPr>
            </w:pPr>
          </w:p>
        </w:tc>
        <w:tc>
          <w:tcPr>
            <w:tcW w:w="348" w:type="pct"/>
          </w:tcPr>
          <w:p w14:paraId="11F7DD0E" w14:textId="77777777" w:rsidR="00FD585A" w:rsidRPr="00C27062" w:rsidRDefault="00FD585A" w:rsidP="0067335E">
            <w:pPr>
              <w:spacing w:before="40" w:after="40" w:line="288" w:lineRule="auto"/>
              <w:jc w:val="center"/>
              <w:rPr>
                <w:sz w:val="20"/>
              </w:rPr>
            </w:pPr>
          </w:p>
        </w:tc>
        <w:tc>
          <w:tcPr>
            <w:tcW w:w="329" w:type="pct"/>
          </w:tcPr>
          <w:p w14:paraId="6CE8267E" w14:textId="77777777" w:rsidR="00FD585A" w:rsidRPr="00C27062" w:rsidRDefault="00FD585A" w:rsidP="0067335E">
            <w:pPr>
              <w:spacing w:before="40" w:after="40" w:line="288" w:lineRule="auto"/>
              <w:jc w:val="center"/>
              <w:rPr>
                <w:sz w:val="20"/>
              </w:rPr>
            </w:pPr>
          </w:p>
        </w:tc>
      </w:tr>
      <w:tr w:rsidR="00FD585A" w:rsidRPr="00C27062" w14:paraId="652044B6" w14:textId="77777777" w:rsidTr="0067335E">
        <w:trPr>
          <w:trHeight w:val="20"/>
        </w:trPr>
        <w:tc>
          <w:tcPr>
            <w:tcW w:w="1092" w:type="pct"/>
          </w:tcPr>
          <w:p w14:paraId="70924639" w14:textId="77777777" w:rsidR="00FD585A" w:rsidRPr="00C27062" w:rsidRDefault="00FD585A" w:rsidP="0067335E">
            <w:pPr>
              <w:tabs>
                <w:tab w:val="left" w:pos="338"/>
              </w:tabs>
              <w:spacing w:before="40" w:after="40" w:line="288" w:lineRule="auto"/>
              <w:ind w:firstLine="0"/>
              <w:rPr>
                <w:sz w:val="20"/>
              </w:rPr>
            </w:pPr>
            <w:r w:rsidRPr="00C27062">
              <w:rPr>
                <w:sz w:val="20"/>
              </w:rPr>
              <w:tab/>
              <w:t>Atrial fibrillation</w:t>
            </w:r>
          </w:p>
        </w:tc>
        <w:tc>
          <w:tcPr>
            <w:tcW w:w="560" w:type="pct"/>
            <w:vAlign w:val="bottom"/>
          </w:tcPr>
          <w:p w14:paraId="369CF53D"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83.9%</w:t>
            </w:r>
          </w:p>
        </w:tc>
        <w:tc>
          <w:tcPr>
            <w:tcW w:w="455" w:type="pct"/>
            <w:vAlign w:val="center"/>
          </w:tcPr>
          <w:p w14:paraId="3E78FACE"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77.9%</w:t>
            </w:r>
          </w:p>
        </w:tc>
        <w:tc>
          <w:tcPr>
            <w:tcW w:w="386" w:type="pct"/>
          </w:tcPr>
          <w:p w14:paraId="423A7BEA" w14:textId="77777777" w:rsidR="00FD585A" w:rsidRPr="00C27062" w:rsidRDefault="00FD585A" w:rsidP="0067335E">
            <w:pPr>
              <w:spacing w:before="40" w:after="40" w:line="288" w:lineRule="auto"/>
              <w:ind w:firstLine="0"/>
              <w:jc w:val="center"/>
              <w:rPr>
                <w:sz w:val="20"/>
              </w:rPr>
            </w:pPr>
            <w:r w:rsidRPr="00C27062">
              <w:rPr>
                <w:sz w:val="20"/>
              </w:rPr>
              <w:t>5.92%</w:t>
            </w:r>
          </w:p>
        </w:tc>
        <w:tc>
          <w:tcPr>
            <w:tcW w:w="868" w:type="pct"/>
          </w:tcPr>
          <w:p w14:paraId="58B099FF"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0.158</w:t>
            </w:r>
          </w:p>
        </w:tc>
        <w:tc>
          <w:tcPr>
            <w:tcW w:w="536" w:type="pct"/>
            <w:vAlign w:val="center"/>
          </w:tcPr>
          <w:p w14:paraId="0A10AB40"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83.9%</w:t>
            </w:r>
          </w:p>
        </w:tc>
        <w:tc>
          <w:tcPr>
            <w:tcW w:w="425" w:type="pct"/>
            <w:vAlign w:val="center"/>
          </w:tcPr>
          <w:p w14:paraId="3C866109"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81.4%</w:t>
            </w:r>
          </w:p>
        </w:tc>
        <w:tc>
          <w:tcPr>
            <w:tcW w:w="348" w:type="pct"/>
          </w:tcPr>
          <w:p w14:paraId="0A45653F" w14:textId="77777777" w:rsidR="00FD585A" w:rsidRPr="00C27062" w:rsidRDefault="00FD585A" w:rsidP="0067335E">
            <w:pPr>
              <w:spacing w:before="40" w:after="40" w:line="288" w:lineRule="auto"/>
              <w:ind w:firstLine="0"/>
              <w:jc w:val="center"/>
              <w:rPr>
                <w:sz w:val="20"/>
              </w:rPr>
            </w:pPr>
            <w:r w:rsidRPr="00C27062">
              <w:rPr>
                <w:sz w:val="20"/>
              </w:rPr>
              <w:t>2.48%</w:t>
            </w:r>
          </w:p>
        </w:tc>
        <w:tc>
          <w:tcPr>
            <w:tcW w:w="329" w:type="pct"/>
          </w:tcPr>
          <w:p w14:paraId="2349E699" w14:textId="77777777" w:rsidR="00FD585A" w:rsidRPr="00C27062" w:rsidRDefault="00FD585A" w:rsidP="0067335E">
            <w:pPr>
              <w:spacing w:before="40" w:after="40" w:line="288" w:lineRule="auto"/>
              <w:ind w:firstLine="0"/>
              <w:jc w:val="center"/>
              <w:rPr>
                <w:sz w:val="20"/>
              </w:rPr>
            </w:pPr>
            <w:r w:rsidRPr="00C27062">
              <w:rPr>
                <w:sz w:val="20"/>
              </w:rPr>
              <w:t>&gt;0.999</w:t>
            </w:r>
          </w:p>
        </w:tc>
      </w:tr>
      <w:tr w:rsidR="00FD585A" w:rsidRPr="00C27062" w14:paraId="55022722" w14:textId="77777777" w:rsidTr="0067335E">
        <w:trPr>
          <w:trHeight w:val="20"/>
        </w:trPr>
        <w:tc>
          <w:tcPr>
            <w:tcW w:w="1092" w:type="pct"/>
          </w:tcPr>
          <w:p w14:paraId="21F8DEBF" w14:textId="77777777" w:rsidR="00FD585A" w:rsidRPr="00C27062" w:rsidRDefault="00FD585A" w:rsidP="0067335E">
            <w:pPr>
              <w:tabs>
                <w:tab w:val="left" w:pos="337"/>
              </w:tabs>
              <w:spacing w:before="40" w:after="40" w:line="288" w:lineRule="auto"/>
              <w:ind w:firstLine="0"/>
              <w:rPr>
                <w:sz w:val="20"/>
              </w:rPr>
            </w:pPr>
            <w:r w:rsidRPr="00C27062">
              <w:rPr>
                <w:sz w:val="20"/>
              </w:rPr>
              <w:tab/>
              <w:t>Hypertension</w:t>
            </w:r>
          </w:p>
        </w:tc>
        <w:tc>
          <w:tcPr>
            <w:tcW w:w="560" w:type="pct"/>
            <w:vAlign w:val="bottom"/>
          </w:tcPr>
          <w:p w14:paraId="63861D0D"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78.3%</w:t>
            </w:r>
          </w:p>
        </w:tc>
        <w:tc>
          <w:tcPr>
            <w:tcW w:w="455" w:type="pct"/>
            <w:vAlign w:val="center"/>
          </w:tcPr>
          <w:p w14:paraId="2B15697F"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55.9%</w:t>
            </w:r>
          </w:p>
        </w:tc>
        <w:tc>
          <w:tcPr>
            <w:tcW w:w="386" w:type="pct"/>
          </w:tcPr>
          <w:p w14:paraId="6F7CE495" w14:textId="77777777" w:rsidR="00FD585A" w:rsidRPr="00C27062" w:rsidRDefault="00FD585A" w:rsidP="0067335E">
            <w:pPr>
              <w:spacing w:before="40" w:after="40" w:line="288" w:lineRule="auto"/>
              <w:ind w:firstLine="0"/>
              <w:jc w:val="center"/>
              <w:rPr>
                <w:sz w:val="20"/>
              </w:rPr>
            </w:pPr>
            <w:r w:rsidRPr="00C27062">
              <w:rPr>
                <w:sz w:val="20"/>
              </w:rPr>
              <w:t>22.40%</w:t>
            </w:r>
          </w:p>
        </w:tc>
        <w:tc>
          <w:tcPr>
            <w:tcW w:w="868" w:type="pct"/>
          </w:tcPr>
          <w:p w14:paraId="255A11DB"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&lt;0.001</w:t>
            </w:r>
          </w:p>
        </w:tc>
        <w:tc>
          <w:tcPr>
            <w:tcW w:w="536" w:type="pct"/>
            <w:vAlign w:val="center"/>
          </w:tcPr>
          <w:p w14:paraId="0B6BBD6D"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78.3%</w:t>
            </w:r>
          </w:p>
        </w:tc>
        <w:tc>
          <w:tcPr>
            <w:tcW w:w="425" w:type="pct"/>
            <w:vAlign w:val="center"/>
          </w:tcPr>
          <w:p w14:paraId="3F4EC149"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74.8%</w:t>
            </w:r>
          </w:p>
        </w:tc>
        <w:tc>
          <w:tcPr>
            <w:tcW w:w="348" w:type="pct"/>
          </w:tcPr>
          <w:p w14:paraId="4B59DA52" w14:textId="77777777" w:rsidR="00FD585A" w:rsidRPr="00C27062" w:rsidRDefault="00FD585A" w:rsidP="0067335E">
            <w:pPr>
              <w:spacing w:before="40" w:after="40" w:line="288" w:lineRule="auto"/>
              <w:ind w:firstLine="0"/>
              <w:jc w:val="center"/>
              <w:rPr>
                <w:sz w:val="20"/>
              </w:rPr>
            </w:pPr>
            <w:r w:rsidRPr="00C27062">
              <w:rPr>
                <w:sz w:val="20"/>
              </w:rPr>
              <w:t>3.42%</w:t>
            </w:r>
          </w:p>
        </w:tc>
        <w:tc>
          <w:tcPr>
            <w:tcW w:w="329" w:type="pct"/>
          </w:tcPr>
          <w:p w14:paraId="51195C98" w14:textId="77777777" w:rsidR="00FD585A" w:rsidRPr="00C27062" w:rsidRDefault="00FD585A" w:rsidP="0067335E">
            <w:pPr>
              <w:spacing w:before="40" w:after="40" w:line="288" w:lineRule="auto"/>
              <w:ind w:firstLine="0"/>
              <w:jc w:val="center"/>
              <w:rPr>
                <w:sz w:val="20"/>
              </w:rPr>
            </w:pPr>
            <w:r w:rsidRPr="00C27062">
              <w:rPr>
                <w:sz w:val="20"/>
              </w:rPr>
              <w:t>0.007</w:t>
            </w:r>
          </w:p>
        </w:tc>
      </w:tr>
      <w:tr w:rsidR="00FD585A" w:rsidRPr="00C27062" w14:paraId="7DD96FCE" w14:textId="77777777" w:rsidTr="0067335E">
        <w:trPr>
          <w:trHeight w:val="20"/>
        </w:trPr>
        <w:tc>
          <w:tcPr>
            <w:tcW w:w="1092" w:type="pct"/>
            <w:vAlign w:val="center"/>
          </w:tcPr>
          <w:p w14:paraId="4EA41D1D" w14:textId="77777777" w:rsidR="00FD585A" w:rsidRPr="00C27062" w:rsidRDefault="00FD585A" w:rsidP="0067335E">
            <w:pPr>
              <w:tabs>
                <w:tab w:val="left" w:pos="350"/>
              </w:tabs>
              <w:spacing w:before="40" w:after="40" w:line="288" w:lineRule="auto"/>
              <w:ind w:firstLine="333"/>
              <w:rPr>
                <w:sz w:val="20"/>
              </w:rPr>
            </w:pPr>
            <w:r w:rsidRPr="00C27062">
              <w:rPr>
                <w:sz w:val="20"/>
              </w:rPr>
              <w:t>Diabetes</w:t>
            </w:r>
          </w:p>
        </w:tc>
        <w:tc>
          <w:tcPr>
            <w:tcW w:w="560" w:type="pct"/>
            <w:vAlign w:val="center"/>
          </w:tcPr>
          <w:p w14:paraId="08FDD29B"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30.4%</w:t>
            </w:r>
          </w:p>
        </w:tc>
        <w:tc>
          <w:tcPr>
            <w:tcW w:w="455" w:type="pct"/>
            <w:vAlign w:val="center"/>
          </w:tcPr>
          <w:p w14:paraId="0C853B76"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22.1%</w:t>
            </w:r>
          </w:p>
        </w:tc>
        <w:tc>
          <w:tcPr>
            <w:tcW w:w="386" w:type="pct"/>
            <w:vAlign w:val="center"/>
          </w:tcPr>
          <w:p w14:paraId="6E46C55A" w14:textId="77777777" w:rsidR="00FD585A" w:rsidRPr="00C27062" w:rsidRDefault="00FD585A" w:rsidP="0067335E">
            <w:pPr>
              <w:spacing w:before="40" w:after="40" w:line="288" w:lineRule="auto"/>
              <w:ind w:firstLine="0"/>
              <w:jc w:val="center"/>
              <w:rPr>
                <w:sz w:val="20"/>
              </w:rPr>
            </w:pPr>
            <w:r w:rsidRPr="00C27062">
              <w:rPr>
                <w:sz w:val="20"/>
              </w:rPr>
              <w:t>8.36%</w:t>
            </w:r>
          </w:p>
        </w:tc>
        <w:tc>
          <w:tcPr>
            <w:tcW w:w="868" w:type="pct"/>
            <w:vAlign w:val="center"/>
          </w:tcPr>
          <w:p w14:paraId="2C0E0356"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0.079</w:t>
            </w:r>
          </w:p>
        </w:tc>
        <w:tc>
          <w:tcPr>
            <w:tcW w:w="536" w:type="pct"/>
            <w:vAlign w:val="center"/>
          </w:tcPr>
          <w:p w14:paraId="30A2B49D"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30.4%</w:t>
            </w:r>
          </w:p>
        </w:tc>
        <w:tc>
          <w:tcPr>
            <w:tcW w:w="425" w:type="pct"/>
            <w:vAlign w:val="center"/>
          </w:tcPr>
          <w:p w14:paraId="6CF7B19D"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38.2%</w:t>
            </w:r>
          </w:p>
        </w:tc>
        <w:tc>
          <w:tcPr>
            <w:tcW w:w="348" w:type="pct"/>
            <w:vAlign w:val="center"/>
          </w:tcPr>
          <w:p w14:paraId="7565D848" w14:textId="77777777" w:rsidR="00FD585A" w:rsidRPr="00C27062" w:rsidRDefault="00FD585A" w:rsidP="0067335E">
            <w:pPr>
              <w:spacing w:before="40" w:after="40" w:line="288" w:lineRule="auto"/>
              <w:ind w:firstLine="0"/>
              <w:jc w:val="center"/>
              <w:rPr>
                <w:sz w:val="20"/>
              </w:rPr>
            </w:pPr>
            <w:r w:rsidRPr="00C27062">
              <w:rPr>
                <w:sz w:val="20"/>
              </w:rPr>
              <w:t>–7.76%</w:t>
            </w:r>
          </w:p>
        </w:tc>
        <w:tc>
          <w:tcPr>
            <w:tcW w:w="329" w:type="pct"/>
            <w:vAlign w:val="center"/>
          </w:tcPr>
          <w:p w14:paraId="5F2732EC" w14:textId="77777777" w:rsidR="00FD585A" w:rsidRPr="00C27062" w:rsidRDefault="00FD585A" w:rsidP="0067335E">
            <w:pPr>
              <w:spacing w:before="40" w:after="40" w:line="288" w:lineRule="auto"/>
              <w:ind w:firstLine="0"/>
              <w:jc w:val="center"/>
              <w:rPr>
                <w:sz w:val="20"/>
              </w:rPr>
            </w:pPr>
            <w:r w:rsidRPr="00C27062">
              <w:rPr>
                <w:sz w:val="20"/>
              </w:rPr>
              <w:t>&gt;0.999</w:t>
            </w:r>
          </w:p>
        </w:tc>
      </w:tr>
      <w:tr w:rsidR="00FD585A" w:rsidRPr="00C27062" w14:paraId="6ECEE84B" w14:textId="77777777" w:rsidTr="0067335E">
        <w:trPr>
          <w:trHeight w:val="20"/>
        </w:trPr>
        <w:tc>
          <w:tcPr>
            <w:tcW w:w="1092" w:type="pct"/>
          </w:tcPr>
          <w:p w14:paraId="19A33D81" w14:textId="77777777" w:rsidR="00FD585A" w:rsidRPr="00C27062" w:rsidRDefault="00FD585A" w:rsidP="0067335E">
            <w:pPr>
              <w:tabs>
                <w:tab w:val="left" w:pos="338"/>
              </w:tabs>
              <w:spacing w:before="40" w:after="40" w:line="288" w:lineRule="auto"/>
              <w:ind w:firstLine="0"/>
              <w:rPr>
                <w:sz w:val="20"/>
              </w:rPr>
            </w:pPr>
            <w:r w:rsidRPr="00C27062">
              <w:rPr>
                <w:sz w:val="20"/>
              </w:rPr>
              <w:tab/>
              <w:t>Cancer</w:t>
            </w:r>
          </w:p>
        </w:tc>
        <w:tc>
          <w:tcPr>
            <w:tcW w:w="560" w:type="pct"/>
            <w:vAlign w:val="bottom"/>
          </w:tcPr>
          <w:p w14:paraId="267B4785"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26.7%</w:t>
            </w:r>
          </w:p>
        </w:tc>
        <w:tc>
          <w:tcPr>
            <w:tcW w:w="455" w:type="pct"/>
            <w:vAlign w:val="center"/>
          </w:tcPr>
          <w:p w14:paraId="627381FF"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16.6%</w:t>
            </w:r>
          </w:p>
        </w:tc>
        <w:tc>
          <w:tcPr>
            <w:tcW w:w="386" w:type="pct"/>
          </w:tcPr>
          <w:p w14:paraId="044EF4D3" w14:textId="77777777" w:rsidR="00FD585A" w:rsidRPr="00C27062" w:rsidRDefault="00FD585A" w:rsidP="0067335E">
            <w:pPr>
              <w:spacing w:before="40" w:after="40" w:line="288" w:lineRule="auto"/>
              <w:ind w:firstLine="0"/>
              <w:jc w:val="center"/>
              <w:rPr>
                <w:sz w:val="20"/>
              </w:rPr>
            </w:pPr>
            <w:r w:rsidRPr="00C27062">
              <w:rPr>
                <w:sz w:val="20"/>
              </w:rPr>
              <w:t>10.16%</w:t>
            </w:r>
          </w:p>
        </w:tc>
        <w:tc>
          <w:tcPr>
            <w:tcW w:w="868" w:type="pct"/>
          </w:tcPr>
          <w:p w14:paraId="6412E651"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0.023</w:t>
            </w:r>
          </w:p>
        </w:tc>
        <w:tc>
          <w:tcPr>
            <w:tcW w:w="536" w:type="pct"/>
            <w:vAlign w:val="center"/>
          </w:tcPr>
          <w:p w14:paraId="441A9CF3"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26.7%</w:t>
            </w:r>
          </w:p>
        </w:tc>
        <w:tc>
          <w:tcPr>
            <w:tcW w:w="425" w:type="pct"/>
            <w:vAlign w:val="center"/>
          </w:tcPr>
          <w:p w14:paraId="4C03E2DB"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22.4%</w:t>
            </w:r>
          </w:p>
        </w:tc>
        <w:tc>
          <w:tcPr>
            <w:tcW w:w="348" w:type="pct"/>
          </w:tcPr>
          <w:p w14:paraId="4C22B776" w14:textId="77777777" w:rsidR="00FD585A" w:rsidRPr="00C27062" w:rsidRDefault="00FD585A" w:rsidP="0067335E">
            <w:pPr>
              <w:spacing w:before="40" w:after="40" w:line="288" w:lineRule="auto"/>
              <w:ind w:firstLine="0"/>
              <w:jc w:val="center"/>
              <w:rPr>
                <w:sz w:val="20"/>
              </w:rPr>
            </w:pPr>
            <w:r w:rsidRPr="00C27062">
              <w:rPr>
                <w:sz w:val="20"/>
              </w:rPr>
              <w:t>4.35%</w:t>
            </w:r>
          </w:p>
        </w:tc>
        <w:tc>
          <w:tcPr>
            <w:tcW w:w="329" w:type="pct"/>
          </w:tcPr>
          <w:p w14:paraId="6AE503C7" w14:textId="77777777" w:rsidR="00FD585A" w:rsidRPr="00C27062" w:rsidRDefault="00FD585A" w:rsidP="0067335E">
            <w:pPr>
              <w:spacing w:before="40" w:after="40" w:line="288" w:lineRule="auto"/>
              <w:ind w:firstLine="0"/>
              <w:jc w:val="center"/>
              <w:rPr>
                <w:sz w:val="20"/>
              </w:rPr>
            </w:pPr>
            <w:r w:rsidRPr="00C27062">
              <w:rPr>
                <w:sz w:val="20"/>
              </w:rPr>
              <w:t>0.362</w:t>
            </w:r>
          </w:p>
        </w:tc>
      </w:tr>
      <w:tr w:rsidR="00FD585A" w:rsidRPr="00C27062" w14:paraId="6C929EF9" w14:textId="77777777" w:rsidTr="0067335E">
        <w:trPr>
          <w:trHeight w:val="20"/>
        </w:trPr>
        <w:tc>
          <w:tcPr>
            <w:tcW w:w="1092" w:type="pct"/>
          </w:tcPr>
          <w:p w14:paraId="12B280F5" w14:textId="77777777" w:rsidR="00FD585A" w:rsidRPr="00C27062" w:rsidRDefault="00FD585A" w:rsidP="0067335E">
            <w:pPr>
              <w:tabs>
                <w:tab w:val="left" w:pos="363"/>
              </w:tabs>
              <w:spacing w:before="40" w:after="40" w:line="288" w:lineRule="auto"/>
              <w:ind w:firstLine="0"/>
              <w:rPr>
                <w:sz w:val="20"/>
              </w:rPr>
            </w:pPr>
            <w:r w:rsidRPr="00C27062">
              <w:rPr>
                <w:sz w:val="20"/>
              </w:rPr>
              <w:tab/>
              <w:t>Renal dysfunction</w:t>
            </w:r>
          </w:p>
        </w:tc>
        <w:tc>
          <w:tcPr>
            <w:tcW w:w="560" w:type="pct"/>
            <w:vAlign w:val="bottom"/>
          </w:tcPr>
          <w:p w14:paraId="6509E648"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23.3%</w:t>
            </w:r>
          </w:p>
        </w:tc>
        <w:tc>
          <w:tcPr>
            <w:tcW w:w="455" w:type="pct"/>
            <w:vAlign w:val="center"/>
          </w:tcPr>
          <w:p w14:paraId="47D44999"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15.2%</w:t>
            </w:r>
          </w:p>
        </w:tc>
        <w:tc>
          <w:tcPr>
            <w:tcW w:w="386" w:type="pct"/>
          </w:tcPr>
          <w:p w14:paraId="36184C92" w14:textId="77777777" w:rsidR="00FD585A" w:rsidRPr="00C27062" w:rsidRDefault="00FD585A" w:rsidP="0067335E">
            <w:pPr>
              <w:spacing w:before="40" w:after="40" w:line="288" w:lineRule="auto"/>
              <w:ind w:firstLine="0"/>
              <w:jc w:val="center"/>
              <w:rPr>
                <w:sz w:val="20"/>
              </w:rPr>
            </w:pPr>
            <w:r w:rsidRPr="00C27062">
              <w:rPr>
                <w:sz w:val="20"/>
              </w:rPr>
              <w:t>8.12%</w:t>
            </w:r>
          </w:p>
        </w:tc>
        <w:tc>
          <w:tcPr>
            <w:tcW w:w="868" w:type="pct"/>
          </w:tcPr>
          <w:p w14:paraId="5D3E5CA5"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0.060</w:t>
            </w:r>
          </w:p>
        </w:tc>
        <w:tc>
          <w:tcPr>
            <w:tcW w:w="536" w:type="pct"/>
            <w:vAlign w:val="center"/>
          </w:tcPr>
          <w:p w14:paraId="3C751D74"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23.3%</w:t>
            </w:r>
          </w:p>
        </w:tc>
        <w:tc>
          <w:tcPr>
            <w:tcW w:w="425" w:type="pct"/>
            <w:vAlign w:val="center"/>
          </w:tcPr>
          <w:p w14:paraId="73F7BA1D"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18.6%</w:t>
            </w:r>
          </w:p>
        </w:tc>
        <w:tc>
          <w:tcPr>
            <w:tcW w:w="348" w:type="pct"/>
          </w:tcPr>
          <w:p w14:paraId="01ABD59D" w14:textId="77777777" w:rsidR="00FD585A" w:rsidRPr="00C27062" w:rsidRDefault="00FD585A" w:rsidP="0067335E">
            <w:pPr>
              <w:spacing w:before="40" w:after="40" w:line="288" w:lineRule="auto"/>
              <w:ind w:firstLine="0"/>
              <w:jc w:val="center"/>
              <w:rPr>
                <w:sz w:val="20"/>
              </w:rPr>
            </w:pPr>
            <w:r w:rsidRPr="00C27062">
              <w:rPr>
                <w:sz w:val="20"/>
              </w:rPr>
              <w:t>4.66%</w:t>
            </w:r>
          </w:p>
        </w:tc>
        <w:tc>
          <w:tcPr>
            <w:tcW w:w="329" w:type="pct"/>
          </w:tcPr>
          <w:p w14:paraId="382E8AE1" w14:textId="77777777" w:rsidR="00FD585A" w:rsidRPr="00C27062" w:rsidRDefault="00FD585A" w:rsidP="0067335E">
            <w:pPr>
              <w:spacing w:before="40" w:after="40" w:line="288" w:lineRule="auto"/>
              <w:ind w:firstLine="0"/>
              <w:jc w:val="center"/>
              <w:rPr>
                <w:sz w:val="20"/>
              </w:rPr>
            </w:pPr>
            <w:r w:rsidRPr="00C27062">
              <w:rPr>
                <w:sz w:val="20"/>
              </w:rPr>
              <w:t>0.595</w:t>
            </w:r>
          </w:p>
        </w:tc>
      </w:tr>
      <w:tr w:rsidR="00FD585A" w:rsidRPr="00C27062" w14:paraId="2998239A" w14:textId="77777777" w:rsidTr="0067335E">
        <w:trPr>
          <w:trHeight w:val="20"/>
        </w:trPr>
        <w:tc>
          <w:tcPr>
            <w:tcW w:w="1092" w:type="pct"/>
          </w:tcPr>
          <w:p w14:paraId="4FE9A101" w14:textId="77777777" w:rsidR="00FD585A" w:rsidRPr="00C27062" w:rsidRDefault="00FD585A" w:rsidP="0067335E">
            <w:pPr>
              <w:tabs>
                <w:tab w:val="left" w:pos="375"/>
              </w:tabs>
              <w:spacing w:before="40" w:after="40" w:line="288" w:lineRule="auto"/>
              <w:ind w:firstLine="0"/>
              <w:rPr>
                <w:sz w:val="20"/>
              </w:rPr>
            </w:pPr>
            <w:r w:rsidRPr="00C27062">
              <w:rPr>
                <w:sz w:val="20"/>
              </w:rPr>
              <w:tab/>
              <w:t>Stroke</w:t>
            </w:r>
          </w:p>
        </w:tc>
        <w:tc>
          <w:tcPr>
            <w:tcW w:w="560" w:type="pct"/>
            <w:vAlign w:val="bottom"/>
          </w:tcPr>
          <w:p w14:paraId="50D28897"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18.9%</w:t>
            </w:r>
          </w:p>
        </w:tc>
        <w:tc>
          <w:tcPr>
            <w:tcW w:w="455" w:type="pct"/>
            <w:vAlign w:val="center"/>
          </w:tcPr>
          <w:p w14:paraId="37CEF1E8"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6.2%</w:t>
            </w:r>
          </w:p>
        </w:tc>
        <w:tc>
          <w:tcPr>
            <w:tcW w:w="386" w:type="pct"/>
          </w:tcPr>
          <w:p w14:paraId="19231E16" w14:textId="77777777" w:rsidR="00FD585A" w:rsidRPr="00C27062" w:rsidRDefault="00FD585A" w:rsidP="0067335E">
            <w:pPr>
              <w:spacing w:before="40" w:after="40" w:line="288" w:lineRule="auto"/>
              <w:ind w:firstLine="0"/>
              <w:jc w:val="center"/>
              <w:rPr>
                <w:sz w:val="20"/>
              </w:rPr>
            </w:pPr>
            <w:r w:rsidRPr="00C27062">
              <w:rPr>
                <w:sz w:val="20"/>
              </w:rPr>
              <w:t>12.74%</w:t>
            </w:r>
          </w:p>
        </w:tc>
        <w:tc>
          <w:tcPr>
            <w:tcW w:w="868" w:type="pct"/>
          </w:tcPr>
          <w:p w14:paraId="7345EC6F"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0.001</w:t>
            </w:r>
          </w:p>
        </w:tc>
        <w:tc>
          <w:tcPr>
            <w:tcW w:w="536" w:type="pct"/>
            <w:vAlign w:val="center"/>
          </w:tcPr>
          <w:p w14:paraId="5C8C523D"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18.9%</w:t>
            </w:r>
          </w:p>
        </w:tc>
        <w:tc>
          <w:tcPr>
            <w:tcW w:w="425" w:type="pct"/>
            <w:vAlign w:val="center"/>
          </w:tcPr>
          <w:p w14:paraId="0E3BC801"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10.3%</w:t>
            </w:r>
          </w:p>
        </w:tc>
        <w:tc>
          <w:tcPr>
            <w:tcW w:w="348" w:type="pct"/>
          </w:tcPr>
          <w:p w14:paraId="267479AC" w14:textId="77777777" w:rsidR="00FD585A" w:rsidRPr="00C27062" w:rsidRDefault="00FD585A" w:rsidP="0067335E">
            <w:pPr>
              <w:spacing w:before="40" w:after="40" w:line="288" w:lineRule="auto"/>
              <w:ind w:firstLine="0"/>
              <w:jc w:val="center"/>
              <w:rPr>
                <w:sz w:val="20"/>
              </w:rPr>
            </w:pPr>
            <w:r w:rsidRPr="00C27062">
              <w:rPr>
                <w:sz w:val="20"/>
              </w:rPr>
              <w:t>8.70%</w:t>
            </w:r>
          </w:p>
        </w:tc>
        <w:tc>
          <w:tcPr>
            <w:tcW w:w="329" w:type="pct"/>
          </w:tcPr>
          <w:p w14:paraId="5D6C94DF" w14:textId="77777777" w:rsidR="00FD585A" w:rsidRPr="00C27062" w:rsidRDefault="00FD585A" w:rsidP="0067335E">
            <w:pPr>
              <w:spacing w:before="40" w:after="40" w:line="288" w:lineRule="auto"/>
              <w:ind w:firstLine="0"/>
              <w:jc w:val="center"/>
              <w:rPr>
                <w:sz w:val="20"/>
              </w:rPr>
            </w:pPr>
            <w:r w:rsidRPr="00C27062">
              <w:rPr>
                <w:sz w:val="20"/>
              </w:rPr>
              <w:t>0.009</w:t>
            </w:r>
          </w:p>
        </w:tc>
      </w:tr>
      <w:tr w:rsidR="00FD585A" w:rsidRPr="00C27062" w14:paraId="0511D0D1" w14:textId="77777777" w:rsidTr="0067335E">
        <w:trPr>
          <w:trHeight w:val="20"/>
        </w:trPr>
        <w:tc>
          <w:tcPr>
            <w:tcW w:w="1092" w:type="pct"/>
          </w:tcPr>
          <w:p w14:paraId="4C9A96B3" w14:textId="77777777" w:rsidR="00FD585A" w:rsidRPr="00C27062" w:rsidRDefault="00FD585A" w:rsidP="0067335E">
            <w:pPr>
              <w:tabs>
                <w:tab w:val="left" w:pos="338"/>
              </w:tabs>
              <w:spacing w:before="40" w:after="40" w:line="288" w:lineRule="auto"/>
              <w:ind w:firstLine="0"/>
              <w:rPr>
                <w:sz w:val="20"/>
              </w:rPr>
            </w:pPr>
            <w:r w:rsidRPr="00C27062">
              <w:rPr>
                <w:sz w:val="20"/>
              </w:rPr>
              <w:tab/>
              <w:t>CAD</w:t>
            </w:r>
          </w:p>
        </w:tc>
        <w:tc>
          <w:tcPr>
            <w:tcW w:w="560" w:type="pct"/>
            <w:vAlign w:val="bottom"/>
          </w:tcPr>
          <w:p w14:paraId="61941D01"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13.0%</w:t>
            </w:r>
          </w:p>
        </w:tc>
        <w:tc>
          <w:tcPr>
            <w:tcW w:w="455" w:type="pct"/>
            <w:vAlign w:val="center"/>
          </w:tcPr>
          <w:p w14:paraId="0A299040"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22.8%</w:t>
            </w:r>
          </w:p>
        </w:tc>
        <w:tc>
          <w:tcPr>
            <w:tcW w:w="386" w:type="pct"/>
          </w:tcPr>
          <w:p w14:paraId="778F9567" w14:textId="77777777" w:rsidR="00FD585A" w:rsidRPr="00C27062" w:rsidRDefault="00FD585A" w:rsidP="0067335E">
            <w:pPr>
              <w:spacing w:before="40" w:after="40" w:line="288" w:lineRule="auto"/>
              <w:ind w:firstLine="0"/>
              <w:jc w:val="center"/>
              <w:rPr>
                <w:sz w:val="20"/>
              </w:rPr>
            </w:pPr>
            <w:r w:rsidRPr="00C27062">
              <w:rPr>
                <w:sz w:val="20"/>
              </w:rPr>
              <w:t>–9.72%</w:t>
            </w:r>
          </w:p>
        </w:tc>
        <w:tc>
          <w:tcPr>
            <w:tcW w:w="868" w:type="pct"/>
          </w:tcPr>
          <w:p w14:paraId="5A638C6C"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0.012</w:t>
            </w:r>
          </w:p>
        </w:tc>
        <w:tc>
          <w:tcPr>
            <w:tcW w:w="536" w:type="pct"/>
            <w:vAlign w:val="center"/>
          </w:tcPr>
          <w:p w14:paraId="380EFCC0"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13.0%</w:t>
            </w:r>
          </w:p>
        </w:tc>
        <w:tc>
          <w:tcPr>
            <w:tcW w:w="425" w:type="pct"/>
            <w:vAlign w:val="center"/>
          </w:tcPr>
          <w:p w14:paraId="320332B5"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10.6%</w:t>
            </w:r>
          </w:p>
        </w:tc>
        <w:tc>
          <w:tcPr>
            <w:tcW w:w="348" w:type="pct"/>
          </w:tcPr>
          <w:p w14:paraId="3FBD253E" w14:textId="77777777" w:rsidR="00FD585A" w:rsidRPr="00C27062" w:rsidRDefault="00FD585A" w:rsidP="0067335E">
            <w:pPr>
              <w:spacing w:before="40" w:after="40" w:line="288" w:lineRule="auto"/>
              <w:ind w:firstLine="0"/>
              <w:jc w:val="center"/>
              <w:rPr>
                <w:sz w:val="20"/>
              </w:rPr>
            </w:pPr>
            <w:r w:rsidRPr="00C27062">
              <w:rPr>
                <w:sz w:val="20"/>
              </w:rPr>
              <w:t>2.48%</w:t>
            </w:r>
          </w:p>
        </w:tc>
        <w:tc>
          <w:tcPr>
            <w:tcW w:w="329" w:type="pct"/>
          </w:tcPr>
          <w:p w14:paraId="564A8D0B" w14:textId="77777777" w:rsidR="00FD585A" w:rsidRPr="00C27062" w:rsidRDefault="00FD585A" w:rsidP="0067335E">
            <w:pPr>
              <w:spacing w:before="40" w:after="40" w:line="288" w:lineRule="auto"/>
              <w:ind w:firstLine="0"/>
              <w:jc w:val="center"/>
              <w:rPr>
                <w:sz w:val="20"/>
              </w:rPr>
            </w:pPr>
            <w:r w:rsidRPr="00C27062">
              <w:rPr>
                <w:sz w:val="20"/>
              </w:rPr>
              <w:t>0.057</w:t>
            </w:r>
          </w:p>
        </w:tc>
      </w:tr>
      <w:tr w:rsidR="00FD585A" w:rsidRPr="00C27062" w14:paraId="7C9A7E92" w14:textId="77777777" w:rsidTr="0067335E">
        <w:trPr>
          <w:trHeight w:val="20"/>
        </w:trPr>
        <w:tc>
          <w:tcPr>
            <w:tcW w:w="1092" w:type="pct"/>
            <w:tcBorders>
              <w:bottom w:val="single" w:sz="4" w:space="0" w:color="auto"/>
            </w:tcBorders>
          </w:tcPr>
          <w:p w14:paraId="17849208" w14:textId="77777777" w:rsidR="00FD585A" w:rsidRPr="00C27062" w:rsidRDefault="00FD585A" w:rsidP="0067335E">
            <w:pPr>
              <w:tabs>
                <w:tab w:val="left" w:pos="363"/>
              </w:tabs>
              <w:spacing w:before="40" w:after="40" w:line="288" w:lineRule="auto"/>
              <w:ind w:firstLine="0"/>
              <w:rPr>
                <w:sz w:val="20"/>
              </w:rPr>
            </w:pPr>
            <w:r w:rsidRPr="00C27062">
              <w:rPr>
                <w:sz w:val="20"/>
              </w:rPr>
              <w:tab/>
              <w:t>TIA</w:t>
            </w:r>
          </w:p>
        </w:tc>
        <w:tc>
          <w:tcPr>
            <w:tcW w:w="560" w:type="pct"/>
            <w:tcBorders>
              <w:bottom w:val="single" w:sz="4" w:space="0" w:color="auto"/>
            </w:tcBorders>
            <w:vAlign w:val="bottom"/>
          </w:tcPr>
          <w:p w14:paraId="53E307E9"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7.5%</w:t>
            </w:r>
          </w:p>
        </w:tc>
        <w:tc>
          <w:tcPr>
            <w:tcW w:w="455" w:type="pct"/>
            <w:tcBorders>
              <w:bottom w:val="single" w:sz="4" w:space="0" w:color="auto"/>
            </w:tcBorders>
            <w:vAlign w:val="center"/>
          </w:tcPr>
          <w:p w14:paraId="47B348AA"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24.1%</w:t>
            </w:r>
          </w:p>
        </w:tc>
        <w:tc>
          <w:tcPr>
            <w:tcW w:w="386" w:type="pct"/>
            <w:tcBorders>
              <w:bottom w:val="single" w:sz="4" w:space="0" w:color="auto"/>
            </w:tcBorders>
          </w:tcPr>
          <w:p w14:paraId="43F7857D" w14:textId="77777777" w:rsidR="00FD585A" w:rsidRPr="00C27062" w:rsidRDefault="00FD585A" w:rsidP="0067335E">
            <w:pPr>
              <w:spacing w:before="40" w:after="40" w:line="288" w:lineRule="auto"/>
              <w:ind w:firstLine="0"/>
              <w:jc w:val="center"/>
              <w:rPr>
                <w:sz w:val="20"/>
              </w:rPr>
            </w:pPr>
            <w:r w:rsidRPr="00C27062">
              <w:rPr>
                <w:sz w:val="20"/>
              </w:rPr>
              <w:t>–16.69%</w:t>
            </w:r>
          </w:p>
        </w:tc>
        <w:tc>
          <w:tcPr>
            <w:tcW w:w="868" w:type="pct"/>
            <w:tcBorders>
              <w:bottom w:val="single" w:sz="4" w:space="0" w:color="auto"/>
            </w:tcBorders>
          </w:tcPr>
          <w:p w14:paraId="09C8DD30" w14:textId="77777777" w:rsidR="00FD585A" w:rsidRPr="00C27062" w:rsidRDefault="00FD585A" w:rsidP="0067335E">
            <w:pPr>
              <w:spacing w:before="40" w:after="40" w:line="288" w:lineRule="auto"/>
              <w:ind w:firstLine="0"/>
              <w:jc w:val="center"/>
              <w:rPr>
                <w:rFonts w:eastAsia="Times New Roman"/>
                <w:color w:val="000000"/>
                <w:sz w:val="20"/>
                <w:szCs w:val="20"/>
              </w:rPr>
            </w:pPr>
            <w:r w:rsidRPr="00C27062">
              <w:rPr>
                <w:sz w:val="20"/>
              </w:rPr>
              <w:t>&lt;0.001</w:t>
            </w:r>
          </w:p>
        </w:tc>
        <w:tc>
          <w:tcPr>
            <w:tcW w:w="536" w:type="pct"/>
            <w:tcBorders>
              <w:bottom w:val="single" w:sz="4" w:space="0" w:color="auto"/>
            </w:tcBorders>
            <w:vAlign w:val="center"/>
          </w:tcPr>
          <w:p w14:paraId="79DA2691"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7.5%</w:t>
            </w:r>
          </w:p>
        </w:tc>
        <w:tc>
          <w:tcPr>
            <w:tcW w:w="425" w:type="pct"/>
            <w:tcBorders>
              <w:bottom w:val="single" w:sz="4" w:space="0" w:color="auto"/>
            </w:tcBorders>
            <w:vAlign w:val="center"/>
          </w:tcPr>
          <w:p w14:paraId="4106885B" w14:textId="77777777" w:rsidR="00FD585A" w:rsidRPr="00C27062" w:rsidRDefault="00FD585A" w:rsidP="0067335E">
            <w:pPr>
              <w:spacing w:before="40" w:after="40" w:line="288" w:lineRule="auto"/>
              <w:ind w:firstLine="0"/>
              <w:jc w:val="center"/>
              <w:rPr>
                <w:sz w:val="20"/>
              </w:rPr>
            </w:pPr>
            <w:r w:rsidRPr="00C27062">
              <w:rPr>
                <w:rFonts w:eastAsia="Times New Roman"/>
                <w:color w:val="000000"/>
                <w:sz w:val="20"/>
                <w:szCs w:val="20"/>
              </w:rPr>
              <w:t>7.8%</w:t>
            </w:r>
          </w:p>
        </w:tc>
        <w:tc>
          <w:tcPr>
            <w:tcW w:w="348" w:type="pct"/>
            <w:tcBorders>
              <w:bottom w:val="single" w:sz="4" w:space="0" w:color="auto"/>
            </w:tcBorders>
          </w:tcPr>
          <w:p w14:paraId="32A9D251" w14:textId="77777777" w:rsidR="00FD585A" w:rsidRPr="00C27062" w:rsidRDefault="00FD585A" w:rsidP="0067335E">
            <w:pPr>
              <w:spacing w:before="40" w:after="40" w:line="288" w:lineRule="auto"/>
              <w:ind w:firstLine="0"/>
              <w:jc w:val="center"/>
              <w:rPr>
                <w:sz w:val="20"/>
              </w:rPr>
            </w:pPr>
            <w:r w:rsidRPr="00C27062">
              <w:rPr>
                <w:sz w:val="20"/>
              </w:rPr>
              <w:t>–0.31%</w:t>
            </w:r>
          </w:p>
        </w:tc>
        <w:tc>
          <w:tcPr>
            <w:tcW w:w="329" w:type="pct"/>
            <w:tcBorders>
              <w:bottom w:val="single" w:sz="4" w:space="0" w:color="auto"/>
            </w:tcBorders>
          </w:tcPr>
          <w:p w14:paraId="37F63D4D" w14:textId="77777777" w:rsidR="00FD585A" w:rsidRPr="00C27062" w:rsidRDefault="00FD585A" w:rsidP="0067335E">
            <w:pPr>
              <w:spacing w:before="40" w:after="40" w:line="288" w:lineRule="auto"/>
              <w:ind w:firstLine="0"/>
              <w:jc w:val="center"/>
              <w:rPr>
                <w:sz w:val="20"/>
              </w:rPr>
            </w:pPr>
            <w:r w:rsidRPr="00C27062">
              <w:rPr>
                <w:sz w:val="20"/>
              </w:rPr>
              <w:t>0.029</w:t>
            </w:r>
          </w:p>
        </w:tc>
      </w:tr>
    </w:tbl>
    <w:p w14:paraId="4DF6B1CE" w14:textId="77777777" w:rsidR="00FD585A" w:rsidRPr="00C27062" w:rsidRDefault="00FD585A" w:rsidP="00FD585A">
      <w:pPr>
        <w:spacing w:before="120" w:after="120"/>
        <w:ind w:firstLine="0"/>
        <w:rPr>
          <w:rFonts w:eastAsia="Times New Roman"/>
          <w:szCs w:val="24"/>
        </w:rPr>
        <w:sectPr w:rsidR="00FD585A" w:rsidRPr="00C27062" w:rsidSect="00461452">
          <w:headerReference w:type="default" r:id="rId8"/>
          <w:pgSz w:w="16840" w:h="11907" w:orient="landscape" w:code="9"/>
          <w:pgMar w:top="1418" w:right="1418" w:bottom="1418" w:left="1418" w:header="907" w:footer="907" w:gutter="0"/>
          <w:cols w:space="708"/>
          <w:docGrid w:linePitch="360"/>
        </w:sectPr>
      </w:pPr>
      <w:r w:rsidRPr="00C27062">
        <w:rPr>
          <w:rFonts w:eastAsia="Times New Roman"/>
          <w:szCs w:val="24"/>
          <w:lang w:val="en-US"/>
        </w:rPr>
        <w:lastRenderedPageBreak/>
        <w:t>*</w:t>
      </w:r>
      <w:r w:rsidRPr="00C27062">
        <w:rPr>
          <w:rFonts w:eastAsia="Times New Roman"/>
          <w:szCs w:val="20"/>
          <w:lang w:val="en-US"/>
        </w:rPr>
        <w:t>non-ICH/GI</w:t>
      </w:r>
      <w:r w:rsidRPr="00C27062">
        <w:rPr>
          <w:rFonts w:eastAsia="Times New Roman"/>
          <w:szCs w:val="24"/>
        </w:rPr>
        <w:t xml:space="preserve">. Abbreviations: abs </w:t>
      </w:r>
      <w:proofErr w:type="spellStart"/>
      <w:r w:rsidRPr="00C27062">
        <w:rPr>
          <w:rFonts w:eastAsia="Times New Roman"/>
          <w:szCs w:val="24"/>
        </w:rPr>
        <w:t>dif</w:t>
      </w:r>
      <w:proofErr w:type="spellEnd"/>
      <w:r w:rsidRPr="00C27062">
        <w:rPr>
          <w:rFonts w:eastAsia="Times New Roman"/>
          <w:szCs w:val="24"/>
        </w:rPr>
        <w:t>, absolute difference; CAD, coronary artery disease; GI, gastrointestinal; PCC, prothrombin complex concentrate; SD, standard deviation; TIA, transient ischemic attack.</w:t>
      </w:r>
      <w:r w:rsidRPr="00C27062">
        <w:rPr>
          <w:rFonts w:eastAsia="Times New Roman"/>
          <w:szCs w:val="24"/>
          <w:lang w:val="en-US"/>
        </w:rPr>
        <w:t xml:space="preserve"> Individual data were extracted from the ANNEXA-4 study for the </w:t>
      </w:r>
      <w:proofErr w:type="spellStart"/>
      <w:r w:rsidRPr="00C27062">
        <w:rPr>
          <w:rFonts w:eastAsia="Times New Roman"/>
          <w:szCs w:val="24"/>
          <w:lang w:val="en-US"/>
        </w:rPr>
        <w:t>andexanet</w:t>
      </w:r>
      <w:proofErr w:type="spellEnd"/>
      <w:r w:rsidRPr="00C27062">
        <w:rPr>
          <w:rFonts w:eastAsia="Times New Roman"/>
          <w:szCs w:val="24"/>
          <w:lang w:val="en-US"/>
        </w:rPr>
        <w:t xml:space="preserve"> alfa–treated group and from the ORANGE study for the PCC-treated group.</w:t>
      </w:r>
      <w:r w:rsidRPr="00C27062">
        <w:rPr>
          <w:rFonts w:eastAsia="Times New Roman"/>
          <w:szCs w:val="24"/>
        </w:rPr>
        <w:t xml:space="preserve"> </w:t>
      </w:r>
    </w:p>
    <w:p w14:paraId="0C1014F7" w14:textId="77777777" w:rsidR="00FD585A" w:rsidRPr="00C27062" w:rsidRDefault="00FD585A" w:rsidP="00FD585A">
      <w:pPr>
        <w:tabs>
          <w:tab w:val="left" w:pos="2028"/>
        </w:tabs>
        <w:spacing w:after="0"/>
        <w:outlineLvl w:val="1"/>
        <w:rPr>
          <w:bCs w:val="0"/>
        </w:rPr>
      </w:pPr>
      <w:bookmarkStart w:id="4" w:name="_Hlk56499326"/>
      <w:r w:rsidRPr="00C27062">
        <w:rPr>
          <w:b/>
          <w:bCs w:val="0"/>
        </w:rPr>
        <w:lastRenderedPageBreak/>
        <w:t xml:space="preserve">Web Appendices Table </w:t>
      </w:r>
      <w:bookmarkEnd w:id="3"/>
      <w:r w:rsidRPr="00C27062">
        <w:rPr>
          <w:b/>
          <w:bCs w:val="0"/>
        </w:rPr>
        <w:t>2.</w:t>
      </w:r>
      <w:r w:rsidRPr="00C27062">
        <w:rPr>
          <w:bCs w:val="0"/>
        </w:rPr>
        <w:t xml:space="preserve"> Sensitivity analysis including matching by ICH subcategories (intracerebral, subarachnoid, and subdural/epidural </w:t>
      </w:r>
      <w:proofErr w:type="spellStart"/>
      <w:r w:rsidRPr="00C27062">
        <w:rPr>
          <w:bCs w:val="0"/>
        </w:rPr>
        <w:t>hemorrhage</w:t>
      </w:r>
      <w:proofErr w:type="spellEnd"/>
      <w:r w:rsidRPr="00C27062">
        <w:rPr>
          <w:bCs w:val="0"/>
        </w:rPr>
        <w:t>)</w:t>
      </w:r>
      <w:bookmarkEnd w:id="4"/>
      <w:r w:rsidRPr="00C27062">
        <w:rPr>
          <w:bCs w:val="0"/>
        </w:rPr>
        <w:t xml:space="preserve">, adjusted (after matching) all-cause 30-day mortality for </w:t>
      </w:r>
      <w:proofErr w:type="spellStart"/>
      <w:r w:rsidRPr="00C27062">
        <w:rPr>
          <w:bCs w:val="0"/>
        </w:rPr>
        <w:t>andexanet</w:t>
      </w:r>
      <w:proofErr w:type="spellEnd"/>
      <w:r w:rsidRPr="00C27062">
        <w:rPr>
          <w:bCs w:val="0"/>
        </w:rPr>
        <w:t xml:space="preserve"> alfa and PCC. </w:t>
      </w:r>
    </w:p>
    <w:tbl>
      <w:tblPr>
        <w:tblStyle w:val="TableGridLight"/>
        <w:tblW w:w="5000" w:type="pct"/>
        <w:tblLook w:val="04A0" w:firstRow="1" w:lastRow="0" w:firstColumn="1" w:lastColumn="0" w:noHBand="0" w:noVBand="1"/>
      </w:tblPr>
      <w:tblGrid>
        <w:gridCol w:w="1543"/>
        <w:gridCol w:w="2274"/>
        <w:gridCol w:w="1751"/>
        <w:gridCol w:w="1751"/>
        <w:gridCol w:w="1742"/>
      </w:tblGrid>
      <w:tr w:rsidR="00FD585A" w:rsidRPr="00C27062" w14:paraId="416A5130" w14:textId="77777777" w:rsidTr="0067335E">
        <w:trPr>
          <w:trHeight w:val="20"/>
        </w:trPr>
        <w:tc>
          <w:tcPr>
            <w:tcW w:w="851" w:type="pct"/>
            <w:vAlign w:val="center"/>
          </w:tcPr>
          <w:p w14:paraId="6000F523" w14:textId="77777777" w:rsidR="00FD585A" w:rsidRPr="00C27062" w:rsidRDefault="00FD585A" w:rsidP="0067335E">
            <w:pPr>
              <w:spacing w:before="40" w:after="40" w:line="288" w:lineRule="auto"/>
              <w:ind w:firstLine="0"/>
              <w:rPr>
                <w:sz w:val="20"/>
                <w:lang w:val="en-US"/>
              </w:rPr>
            </w:pPr>
            <w:r w:rsidRPr="00C27062">
              <w:rPr>
                <w:sz w:val="20"/>
                <w:lang w:val="en-US"/>
              </w:rPr>
              <w:t>Population</w:t>
            </w:r>
          </w:p>
        </w:tc>
        <w:tc>
          <w:tcPr>
            <w:tcW w:w="1255" w:type="pct"/>
            <w:vAlign w:val="center"/>
          </w:tcPr>
          <w:p w14:paraId="1FC91C67" w14:textId="77777777" w:rsidR="00FD585A" w:rsidRPr="00C27062" w:rsidRDefault="00FD585A" w:rsidP="0067335E">
            <w:pPr>
              <w:spacing w:before="40" w:after="40" w:line="288" w:lineRule="auto"/>
              <w:ind w:firstLine="0"/>
              <w:rPr>
                <w:sz w:val="20"/>
                <w:vertAlign w:val="superscript"/>
                <w:lang w:val="en-US"/>
              </w:rPr>
            </w:pPr>
            <w:r w:rsidRPr="00C27062">
              <w:rPr>
                <w:sz w:val="20"/>
                <w:lang w:val="en-US"/>
              </w:rPr>
              <w:t>Number of matches*</w:t>
            </w:r>
          </w:p>
        </w:tc>
        <w:tc>
          <w:tcPr>
            <w:tcW w:w="966" w:type="pct"/>
          </w:tcPr>
          <w:p w14:paraId="01536959" w14:textId="77777777" w:rsidR="00FD585A" w:rsidRPr="00C27062" w:rsidRDefault="00FD585A" w:rsidP="0067335E">
            <w:pPr>
              <w:spacing w:before="40" w:after="40" w:line="288" w:lineRule="auto"/>
              <w:ind w:firstLine="0"/>
              <w:jc w:val="center"/>
              <w:rPr>
                <w:sz w:val="20"/>
                <w:lang w:val="en-US"/>
              </w:rPr>
            </w:pPr>
            <w:r w:rsidRPr="00C27062">
              <w:rPr>
                <w:sz w:val="20"/>
                <w:lang w:val="en-US"/>
              </w:rPr>
              <w:t xml:space="preserve">30-day mortality for </w:t>
            </w:r>
            <w:proofErr w:type="spellStart"/>
            <w:r w:rsidRPr="00C27062">
              <w:rPr>
                <w:sz w:val="20"/>
                <w:lang w:val="en-US"/>
              </w:rPr>
              <w:t>andexanet</w:t>
            </w:r>
            <w:proofErr w:type="spellEnd"/>
            <w:r w:rsidRPr="00C27062">
              <w:rPr>
                <w:sz w:val="20"/>
                <w:lang w:val="en-US"/>
              </w:rPr>
              <w:t xml:space="preserve"> alfa (%)</w:t>
            </w:r>
          </w:p>
        </w:tc>
        <w:tc>
          <w:tcPr>
            <w:tcW w:w="966" w:type="pct"/>
            <w:vAlign w:val="center"/>
          </w:tcPr>
          <w:p w14:paraId="77FD2B35" w14:textId="77777777" w:rsidR="00FD585A" w:rsidRPr="00C27062" w:rsidRDefault="00FD585A" w:rsidP="0067335E">
            <w:pPr>
              <w:spacing w:before="40" w:after="40" w:line="288" w:lineRule="auto"/>
              <w:ind w:firstLine="0"/>
              <w:jc w:val="center"/>
              <w:rPr>
                <w:sz w:val="20"/>
                <w:lang w:val="en-US"/>
              </w:rPr>
            </w:pPr>
            <w:r w:rsidRPr="00C27062">
              <w:rPr>
                <w:sz w:val="20"/>
                <w:lang w:val="en-US"/>
              </w:rPr>
              <w:t>30-day mortality for PCC (%)</w:t>
            </w:r>
          </w:p>
        </w:tc>
        <w:tc>
          <w:tcPr>
            <w:tcW w:w="961" w:type="pct"/>
            <w:vAlign w:val="center"/>
          </w:tcPr>
          <w:p w14:paraId="466F9314" w14:textId="77777777" w:rsidR="00FD585A" w:rsidRPr="00C27062" w:rsidRDefault="00FD585A" w:rsidP="0067335E">
            <w:pPr>
              <w:spacing w:before="40" w:after="40" w:line="288" w:lineRule="auto"/>
              <w:ind w:firstLine="0"/>
              <w:jc w:val="center"/>
              <w:rPr>
                <w:sz w:val="20"/>
                <w:lang w:val="en-US"/>
              </w:rPr>
            </w:pPr>
            <w:r w:rsidRPr="00C27062">
              <w:rPr>
                <w:sz w:val="20"/>
                <w:lang w:val="en-US"/>
              </w:rPr>
              <w:t>Relative reduction (%)</w:t>
            </w:r>
          </w:p>
        </w:tc>
      </w:tr>
      <w:tr w:rsidR="00FD585A" w:rsidRPr="00C27062" w14:paraId="3BE5C717" w14:textId="77777777" w:rsidTr="0067335E">
        <w:trPr>
          <w:trHeight w:val="20"/>
        </w:trPr>
        <w:tc>
          <w:tcPr>
            <w:tcW w:w="851" w:type="pct"/>
            <w:vAlign w:val="center"/>
          </w:tcPr>
          <w:p w14:paraId="26B97FFF" w14:textId="77777777" w:rsidR="00FD585A" w:rsidRPr="00C27062" w:rsidRDefault="00FD585A" w:rsidP="0067335E">
            <w:pPr>
              <w:spacing w:after="0" w:line="240" w:lineRule="auto"/>
              <w:ind w:firstLine="0"/>
              <w:rPr>
                <w:rFonts w:eastAsia="Calibri"/>
                <w:sz w:val="20"/>
                <w:szCs w:val="20"/>
                <w:lang w:val="en-US"/>
              </w:rPr>
            </w:pPr>
            <w:r w:rsidRPr="00C27062">
              <w:rPr>
                <w:rFonts w:eastAsia="Calibri"/>
                <w:sz w:val="20"/>
                <w:szCs w:val="20"/>
                <w:lang w:val="en-US"/>
              </w:rPr>
              <w:t xml:space="preserve">Whole cohort  </w:t>
            </w:r>
          </w:p>
        </w:tc>
        <w:tc>
          <w:tcPr>
            <w:tcW w:w="1255" w:type="pct"/>
          </w:tcPr>
          <w:p w14:paraId="35702025" w14:textId="77777777" w:rsidR="00FD585A" w:rsidRPr="00C27062" w:rsidRDefault="00FD585A" w:rsidP="0067335E">
            <w:pPr>
              <w:spacing w:before="40" w:after="40" w:line="288" w:lineRule="auto"/>
              <w:ind w:firstLine="0"/>
              <w:rPr>
                <w:sz w:val="20"/>
                <w:lang w:val="en-US"/>
              </w:rPr>
            </w:pPr>
            <w:r w:rsidRPr="00C27062">
              <w:rPr>
                <w:sz w:val="20"/>
                <w:lang w:val="en-US"/>
              </w:rPr>
              <w:t>Andexanet alfa=322</w:t>
            </w:r>
          </w:p>
          <w:p w14:paraId="298E025C" w14:textId="77777777" w:rsidR="00FD585A" w:rsidRPr="00C27062" w:rsidRDefault="00FD585A" w:rsidP="0067335E">
            <w:pPr>
              <w:spacing w:before="40" w:after="40" w:line="288" w:lineRule="auto"/>
              <w:ind w:firstLine="0"/>
              <w:rPr>
                <w:sz w:val="20"/>
                <w:lang w:val="en-US"/>
              </w:rPr>
            </w:pPr>
            <w:r w:rsidRPr="00C27062">
              <w:rPr>
                <w:sz w:val="20"/>
                <w:lang w:val="en-US"/>
              </w:rPr>
              <w:t>PCC=81</w:t>
            </w:r>
          </w:p>
        </w:tc>
        <w:tc>
          <w:tcPr>
            <w:tcW w:w="966" w:type="pct"/>
            <w:vAlign w:val="center"/>
          </w:tcPr>
          <w:p w14:paraId="47FD51DF" w14:textId="77777777" w:rsidR="00FD585A" w:rsidRPr="00C27062" w:rsidRDefault="00FD585A" w:rsidP="0067335E">
            <w:pPr>
              <w:spacing w:before="40" w:after="40" w:line="288" w:lineRule="auto"/>
              <w:ind w:firstLine="0"/>
              <w:jc w:val="center"/>
              <w:rPr>
                <w:sz w:val="20"/>
                <w:lang w:eastAsia="en-GB"/>
              </w:rPr>
            </w:pPr>
            <w:r w:rsidRPr="00C27062">
              <w:rPr>
                <w:sz w:val="20"/>
                <w:lang w:val="en-US"/>
              </w:rPr>
              <w:t>14.60</w:t>
            </w:r>
          </w:p>
        </w:tc>
        <w:tc>
          <w:tcPr>
            <w:tcW w:w="966" w:type="pct"/>
            <w:vAlign w:val="center"/>
          </w:tcPr>
          <w:p w14:paraId="5C3AB8AB" w14:textId="77777777" w:rsidR="00FD585A" w:rsidRPr="00C27062" w:rsidRDefault="00FD585A" w:rsidP="0067335E">
            <w:pPr>
              <w:spacing w:before="40" w:after="40" w:line="288" w:lineRule="auto"/>
              <w:ind w:firstLine="0"/>
              <w:jc w:val="center"/>
              <w:rPr>
                <w:sz w:val="20"/>
                <w:lang w:val="en-US"/>
              </w:rPr>
            </w:pPr>
            <w:r w:rsidRPr="00C27062">
              <w:rPr>
                <w:sz w:val="20"/>
                <w:lang w:eastAsia="en-GB"/>
              </w:rPr>
              <w:t>33.33</w:t>
            </w:r>
          </w:p>
        </w:tc>
        <w:tc>
          <w:tcPr>
            <w:tcW w:w="961" w:type="pct"/>
            <w:vAlign w:val="center"/>
          </w:tcPr>
          <w:p w14:paraId="53CB5E19" w14:textId="77777777" w:rsidR="00FD585A" w:rsidRPr="00C27062" w:rsidRDefault="00FD585A" w:rsidP="0067335E">
            <w:pPr>
              <w:spacing w:before="40" w:after="40" w:line="288" w:lineRule="auto"/>
              <w:ind w:firstLine="0"/>
              <w:jc w:val="center"/>
              <w:rPr>
                <w:sz w:val="20"/>
                <w:lang w:val="en-US"/>
              </w:rPr>
            </w:pPr>
            <w:r w:rsidRPr="00C27062">
              <w:rPr>
                <w:sz w:val="20"/>
              </w:rPr>
              <w:t>–</w:t>
            </w:r>
            <w:r w:rsidRPr="00C27062">
              <w:rPr>
                <w:sz w:val="20"/>
                <w:lang w:val="en-US"/>
              </w:rPr>
              <w:t>56.20</w:t>
            </w:r>
          </w:p>
        </w:tc>
      </w:tr>
      <w:tr w:rsidR="00FD585A" w:rsidRPr="00C27062" w14:paraId="71EE4A52" w14:textId="77777777" w:rsidTr="0067335E">
        <w:trPr>
          <w:trHeight w:val="20"/>
        </w:trPr>
        <w:tc>
          <w:tcPr>
            <w:tcW w:w="851" w:type="pct"/>
            <w:vAlign w:val="center"/>
          </w:tcPr>
          <w:p w14:paraId="7913874E" w14:textId="77777777" w:rsidR="00FD585A" w:rsidRPr="00C27062" w:rsidRDefault="00FD585A" w:rsidP="0067335E">
            <w:pPr>
              <w:spacing w:before="40" w:after="40" w:line="288" w:lineRule="auto"/>
              <w:ind w:firstLine="0"/>
              <w:rPr>
                <w:sz w:val="20"/>
                <w:lang w:val="en-US"/>
              </w:rPr>
            </w:pPr>
            <w:r w:rsidRPr="00C27062">
              <w:rPr>
                <w:sz w:val="20"/>
                <w:lang w:val="en-US"/>
              </w:rPr>
              <w:t>ICH subgroup</w:t>
            </w:r>
          </w:p>
        </w:tc>
        <w:tc>
          <w:tcPr>
            <w:tcW w:w="1255" w:type="pct"/>
          </w:tcPr>
          <w:p w14:paraId="7D3AC640" w14:textId="77777777" w:rsidR="00FD585A" w:rsidRPr="00C27062" w:rsidRDefault="00FD585A" w:rsidP="0067335E">
            <w:pPr>
              <w:spacing w:before="40" w:after="40" w:line="288" w:lineRule="auto"/>
              <w:ind w:firstLine="0"/>
              <w:rPr>
                <w:sz w:val="20"/>
                <w:lang w:val="en-US"/>
              </w:rPr>
            </w:pPr>
            <w:r w:rsidRPr="00C27062">
              <w:rPr>
                <w:sz w:val="20"/>
                <w:lang w:val="en-US"/>
              </w:rPr>
              <w:t>Andexanet alfa=209</w:t>
            </w:r>
          </w:p>
          <w:p w14:paraId="52D47C76" w14:textId="77777777" w:rsidR="00FD585A" w:rsidRPr="00C27062" w:rsidRDefault="00FD585A" w:rsidP="0067335E">
            <w:pPr>
              <w:spacing w:before="40" w:after="40" w:line="288" w:lineRule="auto"/>
              <w:ind w:firstLine="0"/>
              <w:rPr>
                <w:sz w:val="20"/>
                <w:lang w:eastAsia="en-GB"/>
              </w:rPr>
            </w:pPr>
            <w:r w:rsidRPr="00C27062">
              <w:rPr>
                <w:sz w:val="20"/>
                <w:lang w:val="en-US"/>
              </w:rPr>
              <w:t>PCC=50</w:t>
            </w:r>
          </w:p>
        </w:tc>
        <w:tc>
          <w:tcPr>
            <w:tcW w:w="966" w:type="pct"/>
            <w:vAlign w:val="center"/>
          </w:tcPr>
          <w:p w14:paraId="3CB79468" w14:textId="77777777" w:rsidR="00FD585A" w:rsidRPr="00C27062" w:rsidRDefault="00FD585A" w:rsidP="0067335E">
            <w:pPr>
              <w:spacing w:before="40" w:after="40" w:line="288" w:lineRule="auto"/>
              <w:ind w:firstLine="0"/>
              <w:jc w:val="center"/>
              <w:rPr>
                <w:sz w:val="20"/>
                <w:lang w:eastAsia="en-GB"/>
              </w:rPr>
            </w:pPr>
            <w:r w:rsidRPr="00C27062">
              <w:rPr>
                <w:sz w:val="20"/>
                <w:lang w:val="en-US"/>
              </w:rPr>
              <w:t>15.31</w:t>
            </w:r>
          </w:p>
        </w:tc>
        <w:tc>
          <w:tcPr>
            <w:tcW w:w="966" w:type="pct"/>
            <w:vAlign w:val="center"/>
          </w:tcPr>
          <w:p w14:paraId="69C535F1" w14:textId="77777777" w:rsidR="00FD585A" w:rsidRPr="00C27062" w:rsidRDefault="00FD585A" w:rsidP="0067335E">
            <w:pPr>
              <w:spacing w:before="40" w:after="40" w:line="288" w:lineRule="auto"/>
              <w:ind w:firstLine="0"/>
              <w:jc w:val="center"/>
              <w:rPr>
                <w:sz w:val="20"/>
                <w:lang w:val="en-US"/>
              </w:rPr>
            </w:pPr>
            <w:r w:rsidRPr="00C27062">
              <w:rPr>
                <w:sz w:val="20"/>
                <w:lang w:eastAsia="en-GB"/>
              </w:rPr>
              <w:t>50.00</w:t>
            </w:r>
          </w:p>
        </w:tc>
        <w:tc>
          <w:tcPr>
            <w:tcW w:w="961" w:type="pct"/>
            <w:vAlign w:val="center"/>
          </w:tcPr>
          <w:p w14:paraId="4DB3486D" w14:textId="77777777" w:rsidR="00FD585A" w:rsidRPr="00C27062" w:rsidRDefault="00FD585A" w:rsidP="0067335E">
            <w:pPr>
              <w:spacing w:before="40" w:after="40" w:line="288" w:lineRule="auto"/>
              <w:ind w:firstLine="0"/>
              <w:jc w:val="center"/>
              <w:rPr>
                <w:sz w:val="20"/>
                <w:lang w:val="en-US"/>
              </w:rPr>
            </w:pPr>
            <w:r w:rsidRPr="00C27062">
              <w:rPr>
                <w:sz w:val="20"/>
              </w:rPr>
              <w:t>–</w:t>
            </w:r>
            <w:r w:rsidRPr="00C27062">
              <w:rPr>
                <w:sz w:val="20"/>
                <w:lang w:val="en-US"/>
              </w:rPr>
              <w:t>69.38</w:t>
            </w:r>
          </w:p>
        </w:tc>
      </w:tr>
      <w:tr w:rsidR="00FD585A" w:rsidRPr="00C27062" w14:paraId="6027F6F4" w14:textId="77777777" w:rsidTr="0067335E">
        <w:trPr>
          <w:trHeight w:val="20"/>
        </w:trPr>
        <w:tc>
          <w:tcPr>
            <w:tcW w:w="851" w:type="pct"/>
            <w:vAlign w:val="center"/>
          </w:tcPr>
          <w:p w14:paraId="5DA62BFD" w14:textId="77777777" w:rsidR="00FD585A" w:rsidRPr="00C27062" w:rsidRDefault="00FD585A" w:rsidP="0067335E">
            <w:pPr>
              <w:spacing w:before="40" w:after="40" w:line="288" w:lineRule="auto"/>
              <w:ind w:firstLine="0"/>
              <w:rPr>
                <w:sz w:val="20"/>
                <w:lang w:val="en-US"/>
              </w:rPr>
            </w:pPr>
            <w:r w:rsidRPr="00C27062">
              <w:rPr>
                <w:sz w:val="20"/>
                <w:lang w:val="en-US"/>
              </w:rPr>
              <w:t>GI bleeds subgroup</w:t>
            </w:r>
          </w:p>
        </w:tc>
        <w:tc>
          <w:tcPr>
            <w:tcW w:w="1255" w:type="pct"/>
          </w:tcPr>
          <w:p w14:paraId="4AF28105" w14:textId="77777777" w:rsidR="00FD585A" w:rsidRPr="00C27062" w:rsidRDefault="00FD585A" w:rsidP="0067335E">
            <w:pPr>
              <w:spacing w:before="40" w:after="40" w:line="288" w:lineRule="auto"/>
              <w:ind w:firstLine="0"/>
              <w:rPr>
                <w:sz w:val="20"/>
                <w:lang w:val="en-US"/>
              </w:rPr>
            </w:pPr>
            <w:r w:rsidRPr="00C27062">
              <w:rPr>
                <w:sz w:val="20"/>
                <w:lang w:val="en-US"/>
              </w:rPr>
              <w:t>Andexanet alfa=82</w:t>
            </w:r>
          </w:p>
          <w:p w14:paraId="544C7D2C" w14:textId="77777777" w:rsidR="00FD585A" w:rsidRPr="00C27062" w:rsidRDefault="00FD585A" w:rsidP="0067335E">
            <w:pPr>
              <w:spacing w:before="40" w:after="40" w:line="288" w:lineRule="auto"/>
              <w:ind w:firstLine="0"/>
              <w:rPr>
                <w:sz w:val="20"/>
                <w:lang w:eastAsia="en-GB"/>
              </w:rPr>
            </w:pPr>
            <w:r w:rsidRPr="00C27062">
              <w:rPr>
                <w:sz w:val="20"/>
                <w:lang w:val="en-US"/>
              </w:rPr>
              <w:t>PCC=28</w:t>
            </w:r>
          </w:p>
        </w:tc>
        <w:tc>
          <w:tcPr>
            <w:tcW w:w="966" w:type="pct"/>
            <w:vAlign w:val="center"/>
          </w:tcPr>
          <w:p w14:paraId="156AF174" w14:textId="77777777" w:rsidR="00FD585A" w:rsidRPr="00C27062" w:rsidRDefault="00FD585A" w:rsidP="0067335E">
            <w:pPr>
              <w:spacing w:before="40" w:after="40" w:line="288" w:lineRule="auto"/>
              <w:ind w:firstLine="0"/>
              <w:jc w:val="center"/>
              <w:rPr>
                <w:sz w:val="20"/>
                <w:lang w:eastAsia="en-GB"/>
              </w:rPr>
            </w:pPr>
            <w:r w:rsidRPr="00C27062">
              <w:rPr>
                <w:sz w:val="20"/>
                <w:lang w:val="en-US"/>
              </w:rPr>
              <w:t>12.20</w:t>
            </w:r>
          </w:p>
        </w:tc>
        <w:tc>
          <w:tcPr>
            <w:tcW w:w="966" w:type="pct"/>
            <w:vAlign w:val="center"/>
          </w:tcPr>
          <w:p w14:paraId="42BDBB45" w14:textId="77777777" w:rsidR="00FD585A" w:rsidRPr="00C27062" w:rsidRDefault="00FD585A" w:rsidP="0067335E">
            <w:pPr>
              <w:spacing w:before="40" w:after="40" w:line="288" w:lineRule="auto"/>
              <w:ind w:firstLine="0"/>
              <w:jc w:val="center"/>
              <w:rPr>
                <w:sz w:val="20"/>
                <w:lang w:val="en-US"/>
              </w:rPr>
            </w:pPr>
            <w:r w:rsidRPr="00C27062">
              <w:rPr>
                <w:sz w:val="20"/>
                <w:lang w:eastAsia="en-GB"/>
              </w:rPr>
              <w:t>25.00</w:t>
            </w:r>
          </w:p>
        </w:tc>
        <w:tc>
          <w:tcPr>
            <w:tcW w:w="961" w:type="pct"/>
            <w:vAlign w:val="center"/>
          </w:tcPr>
          <w:p w14:paraId="03C60E87" w14:textId="77777777" w:rsidR="00FD585A" w:rsidRPr="00C27062" w:rsidRDefault="00FD585A" w:rsidP="0067335E">
            <w:pPr>
              <w:spacing w:before="40" w:after="40" w:line="288" w:lineRule="auto"/>
              <w:ind w:firstLine="0"/>
              <w:jc w:val="center"/>
              <w:rPr>
                <w:sz w:val="20"/>
                <w:lang w:val="en-US"/>
              </w:rPr>
            </w:pPr>
            <w:r w:rsidRPr="00C27062">
              <w:rPr>
                <w:sz w:val="20"/>
              </w:rPr>
              <w:t>–</w:t>
            </w:r>
            <w:r w:rsidRPr="00C27062">
              <w:rPr>
                <w:sz w:val="20"/>
                <w:lang w:val="en-US"/>
              </w:rPr>
              <w:t>51.20</w:t>
            </w:r>
          </w:p>
        </w:tc>
      </w:tr>
      <w:tr w:rsidR="00FD585A" w:rsidRPr="00C27062" w14:paraId="1408543D" w14:textId="77777777" w:rsidTr="0067335E">
        <w:trPr>
          <w:trHeight w:val="20"/>
        </w:trPr>
        <w:tc>
          <w:tcPr>
            <w:tcW w:w="851" w:type="pct"/>
            <w:vAlign w:val="center"/>
          </w:tcPr>
          <w:p w14:paraId="7839EB65" w14:textId="77777777" w:rsidR="00FD585A" w:rsidRPr="00C27062" w:rsidRDefault="00FD585A" w:rsidP="0067335E">
            <w:pPr>
              <w:spacing w:before="40" w:after="40" w:line="288" w:lineRule="auto"/>
              <w:ind w:firstLine="0"/>
              <w:rPr>
                <w:sz w:val="20"/>
                <w:lang w:val="en-US"/>
              </w:rPr>
            </w:pPr>
            <w:r w:rsidRPr="00C27062">
              <w:rPr>
                <w:sz w:val="20"/>
                <w:lang w:val="en-US"/>
              </w:rPr>
              <w:t>Other major bleeds</w:t>
            </w:r>
            <w:r w:rsidRPr="00C27062">
              <w:rPr>
                <w:sz w:val="20"/>
                <w:vertAlign w:val="superscript"/>
                <w:lang w:val="en-US"/>
              </w:rPr>
              <w:t>†</w:t>
            </w:r>
            <w:r w:rsidRPr="00C27062">
              <w:rPr>
                <w:sz w:val="20"/>
                <w:lang w:val="en-US"/>
              </w:rPr>
              <w:t xml:space="preserve"> </w:t>
            </w:r>
            <w:r w:rsidRPr="00C27062">
              <w:rPr>
                <w:sz w:val="20"/>
                <w:lang w:val="en-US"/>
              </w:rPr>
              <w:br/>
              <w:t>(non-ICH/GI) subgroup</w:t>
            </w:r>
          </w:p>
        </w:tc>
        <w:tc>
          <w:tcPr>
            <w:tcW w:w="1255" w:type="pct"/>
          </w:tcPr>
          <w:p w14:paraId="61086C16" w14:textId="77777777" w:rsidR="00FD585A" w:rsidRPr="00C27062" w:rsidRDefault="00FD585A" w:rsidP="0067335E">
            <w:pPr>
              <w:spacing w:before="40" w:after="40" w:line="288" w:lineRule="auto"/>
              <w:ind w:firstLine="0"/>
              <w:rPr>
                <w:sz w:val="20"/>
                <w:lang w:val="en-US"/>
              </w:rPr>
            </w:pPr>
            <w:r w:rsidRPr="00C27062">
              <w:rPr>
                <w:sz w:val="20"/>
                <w:lang w:val="en-US"/>
              </w:rPr>
              <w:t>Andexanet alfa=31</w:t>
            </w:r>
          </w:p>
          <w:p w14:paraId="1B278580" w14:textId="77777777" w:rsidR="00FD585A" w:rsidRPr="00C27062" w:rsidRDefault="00FD585A" w:rsidP="0067335E">
            <w:pPr>
              <w:spacing w:before="40" w:after="40" w:line="288" w:lineRule="auto"/>
              <w:ind w:firstLine="0"/>
              <w:rPr>
                <w:sz w:val="20"/>
                <w:lang w:eastAsia="en-GB"/>
              </w:rPr>
            </w:pPr>
            <w:r w:rsidRPr="00C27062">
              <w:rPr>
                <w:sz w:val="20"/>
                <w:lang w:val="en-US"/>
              </w:rPr>
              <w:t>PCC=8</w:t>
            </w:r>
          </w:p>
        </w:tc>
        <w:tc>
          <w:tcPr>
            <w:tcW w:w="966" w:type="pct"/>
            <w:vAlign w:val="center"/>
          </w:tcPr>
          <w:p w14:paraId="56393C7E" w14:textId="77777777" w:rsidR="00FD585A" w:rsidRPr="00C27062" w:rsidRDefault="00FD585A" w:rsidP="0067335E">
            <w:pPr>
              <w:spacing w:before="40" w:after="40" w:line="288" w:lineRule="auto"/>
              <w:ind w:firstLine="0"/>
              <w:jc w:val="center"/>
              <w:rPr>
                <w:sz w:val="20"/>
                <w:lang w:eastAsia="en-GB"/>
              </w:rPr>
            </w:pPr>
            <w:r w:rsidRPr="00C27062">
              <w:rPr>
                <w:sz w:val="20"/>
                <w:lang w:val="en-US"/>
              </w:rPr>
              <w:t>16.13</w:t>
            </w:r>
          </w:p>
        </w:tc>
        <w:tc>
          <w:tcPr>
            <w:tcW w:w="966" w:type="pct"/>
            <w:vAlign w:val="center"/>
          </w:tcPr>
          <w:p w14:paraId="6CD28211" w14:textId="77777777" w:rsidR="00FD585A" w:rsidRPr="00C27062" w:rsidRDefault="00FD585A" w:rsidP="0067335E">
            <w:pPr>
              <w:spacing w:before="40" w:after="40" w:line="288" w:lineRule="auto"/>
              <w:ind w:firstLine="0"/>
              <w:jc w:val="center"/>
              <w:rPr>
                <w:sz w:val="20"/>
                <w:lang w:val="en-US"/>
              </w:rPr>
            </w:pPr>
            <w:r w:rsidRPr="00C27062">
              <w:rPr>
                <w:sz w:val="20"/>
                <w:lang w:eastAsia="en-GB"/>
              </w:rPr>
              <w:t>12.50</w:t>
            </w:r>
          </w:p>
        </w:tc>
        <w:tc>
          <w:tcPr>
            <w:tcW w:w="961" w:type="pct"/>
            <w:vAlign w:val="center"/>
          </w:tcPr>
          <w:p w14:paraId="62D4AD46" w14:textId="77777777" w:rsidR="00FD585A" w:rsidRPr="00C27062" w:rsidRDefault="00FD585A" w:rsidP="0067335E">
            <w:pPr>
              <w:spacing w:before="40" w:after="40" w:line="288" w:lineRule="auto"/>
              <w:ind w:firstLine="0"/>
              <w:jc w:val="center"/>
              <w:rPr>
                <w:sz w:val="20"/>
                <w:lang w:val="en-US"/>
              </w:rPr>
            </w:pPr>
            <w:r w:rsidRPr="00C27062">
              <w:rPr>
                <w:sz w:val="20"/>
                <w:lang w:val="en-US"/>
              </w:rPr>
              <w:t>29.04</w:t>
            </w:r>
          </w:p>
        </w:tc>
      </w:tr>
    </w:tbl>
    <w:p w14:paraId="1E945AAA" w14:textId="77777777" w:rsidR="00FD585A" w:rsidRPr="00C27062" w:rsidRDefault="00FD585A" w:rsidP="00FD585A">
      <w:pPr>
        <w:spacing w:after="0"/>
        <w:ind w:firstLine="0"/>
        <w:rPr>
          <w:rFonts w:eastAsia="Times New Roman"/>
          <w:szCs w:val="24"/>
        </w:rPr>
      </w:pPr>
      <w:r w:rsidRPr="00C27062">
        <w:rPr>
          <w:rFonts w:eastAsia="Times New Roman"/>
          <w:szCs w:val="24"/>
        </w:rPr>
        <w:t xml:space="preserve">Abbreviations: GI, gastrointestinal; ICH, intracranial </w:t>
      </w:r>
      <w:proofErr w:type="spellStart"/>
      <w:r w:rsidRPr="00C27062">
        <w:rPr>
          <w:rFonts w:eastAsia="Times New Roman"/>
          <w:szCs w:val="24"/>
        </w:rPr>
        <w:t>hemorrhage</w:t>
      </w:r>
      <w:proofErr w:type="spellEnd"/>
      <w:r w:rsidRPr="00C27062">
        <w:rPr>
          <w:rFonts w:eastAsia="Times New Roman"/>
          <w:szCs w:val="24"/>
        </w:rPr>
        <w:t xml:space="preserve">; PCC, prothrombin complex concentrate. In the sensitivity analysis, ICH patients were further matched based on intracranial compartment: intracerebral, subarachnoid, and subdural in ANNEXA-4 (no patients had epidural intracranial bleeds) and intracerebral, subarachnoid, and subdural/epidural in ORANGE. </w:t>
      </w:r>
    </w:p>
    <w:p w14:paraId="3C66EF92" w14:textId="77777777" w:rsidR="00FD585A" w:rsidRPr="00C27062" w:rsidRDefault="00FD585A" w:rsidP="00FD585A">
      <w:pPr>
        <w:spacing w:after="0"/>
        <w:ind w:firstLine="0"/>
        <w:rPr>
          <w:rFonts w:eastAsia="Times New Roman"/>
        </w:rPr>
      </w:pPr>
      <w:r w:rsidRPr="00C27062">
        <w:rPr>
          <w:rFonts w:eastAsia="Times New Roman"/>
        </w:rPr>
        <w:t xml:space="preserve">*The number of PCC matches in the subgroups does not add up to 81 as in the whole cohort due to the automatic weighting of individuals based on propensity score in the </w:t>
      </w:r>
      <w:proofErr w:type="spellStart"/>
      <w:r w:rsidRPr="00C27062">
        <w:rPr>
          <w:rFonts w:eastAsia="Times New Roman"/>
        </w:rPr>
        <w:t>MatchIt</w:t>
      </w:r>
      <w:proofErr w:type="spellEnd"/>
      <w:r w:rsidRPr="00C27062">
        <w:rPr>
          <w:rFonts w:eastAsia="Times New Roman"/>
          <w:vertAlign w:val="superscript"/>
        </w:rPr>
        <w:t>®</w:t>
      </w:r>
      <w:r w:rsidRPr="00C27062">
        <w:rPr>
          <w:rFonts w:eastAsia="Times New Roman"/>
        </w:rPr>
        <w:t xml:space="preserve"> package.</w:t>
      </w:r>
    </w:p>
    <w:p w14:paraId="54017646" w14:textId="77777777" w:rsidR="00FD585A" w:rsidRPr="00C27062" w:rsidRDefault="00FD585A" w:rsidP="00FD585A">
      <w:pPr>
        <w:spacing w:after="0"/>
        <w:ind w:firstLine="0"/>
        <w:rPr>
          <w:lang w:val="en-US"/>
        </w:rPr>
      </w:pPr>
      <w:r w:rsidRPr="00C27062">
        <w:rPr>
          <w:vertAlign w:val="superscript"/>
          <w:lang w:val="en-US"/>
        </w:rPr>
        <w:t>†</w:t>
      </w:r>
      <w:r w:rsidRPr="00C27062">
        <w:rPr>
          <w:lang w:val="en-US"/>
        </w:rPr>
        <w:t>In the other major bleeds subgroup, &lt;10 suitable matching partners were identified in the PCC group.</w:t>
      </w:r>
    </w:p>
    <w:p w14:paraId="57234B26" w14:textId="77777777" w:rsidR="00FD585A" w:rsidRPr="00C27062" w:rsidRDefault="00FD585A" w:rsidP="00FD585A">
      <w:pPr>
        <w:spacing w:after="0"/>
        <w:ind w:firstLine="0"/>
        <w:rPr>
          <w:rFonts w:eastAsia="Times New Roman"/>
          <w:szCs w:val="24"/>
        </w:rPr>
      </w:pPr>
    </w:p>
    <w:p w14:paraId="0006C3FB" w14:textId="77777777" w:rsidR="00FD585A" w:rsidRPr="006523F7" w:rsidRDefault="00FD585A" w:rsidP="00FD585A">
      <w:pPr>
        <w:rPr>
          <w:lang w:val="en-US"/>
        </w:rPr>
      </w:pPr>
    </w:p>
    <w:p w14:paraId="4511A7EA" w14:textId="77777777" w:rsidR="004C3587" w:rsidRDefault="004C3587"/>
    <w:sectPr w:rsidR="004C3587" w:rsidSect="00461452">
      <w:pgSz w:w="11907" w:h="16840" w:code="9"/>
      <w:pgMar w:top="1418" w:right="1418" w:bottom="1418" w:left="1418" w:header="907"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37033"/>
      <w:docPartObj>
        <w:docPartGallery w:val="Page Numbers (Bottom of Page)"/>
        <w:docPartUnique/>
      </w:docPartObj>
    </w:sdtPr>
    <w:sdtEndPr>
      <w:rPr>
        <w:rFonts w:ascii="Times New Roman" w:hAnsi="Times New Roman"/>
        <w:b w:val="0"/>
        <w:bCs w:val="0"/>
        <w:noProof/>
        <w:sz w:val="22"/>
        <w:szCs w:val="22"/>
      </w:rPr>
    </w:sdtEndPr>
    <w:sdtContent>
      <w:p w14:paraId="53BA0725" w14:textId="77777777" w:rsidR="00C4088A" w:rsidRPr="00C27062" w:rsidRDefault="00FD585A">
        <w:pPr>
          <w:pStyle w:val="Footer"/>
          <w:jc w:val="right"/>
          <w:rPr>
            <w:rFonts w:ascii="Times New Roman" w:hAnsi="Times New Roman"/>
            <w:b w:val="0"/>
            <w:bCs w:val="0"/>
            <w:sz w:val="22"/>
            <w:szCs w:val="22"/>
          </w:rPr>
        </w:pPr>
        <w:r w:rsidRPr="00C27062">
          <w:rPr>
            <w:rFonts w:ascii="Times New Roman" w:hAnsi="Times New Roman"/>
            <w:b w:val="0"/>
            <w:bCs w:val="0"/>
            <w:sz w:val="22"/>
            <w:szCs w:val="22"/>
          </w:rPr>
          <w:fldChar w:fldCharType="begin"/>
        </w:r>
        <w:r w:rsidRPr="00C27062">
          <w:rPr>
            <w:rFonts w:ascii="Times New Roman" w:hAnsi="Times New Roman"/>
            <w:b w:val="0"/>
            <w:bCs w:val="0"/>
            <w:sz w:val="22"/>
            <w:szCs w:val="22"/>
          </w:rPr>
          <w:instrText xml:space="preserve"> PAGE   \* MERGEFORMAT </w:instrText>
        </w:r>
        <w:r w:rsidRPr="00C27062">
          <w:rPr>
            <w:rFonts w:ascii="Times New Roman" w:hAnsi="Times New Roman"/>
            <w:b w:val="0"/>
            <w:bCs w:val="0"/>
            <w:sz w:val="22"/>
            <w:szCs w:val="22"/>
          </w:rPr>
          <w:fldChar w:fldCharType="separate"/>
        </w:r>
        <w:r w:rsidRPr="00C27062">
          <w:rPr>
            <w:rFonts w:ascii="Times New Roman" w:hAnsi="Times New Roman"/>
            <w:b w:val="0"/>
            <w:bCs w:val="0"/>
            <w:noProof/>
            <w:sz w:val="22"/>
            <w:szCs w:val="22"/>
          </w:rPr>
          <w:t>2</w:t>
        </w:r>
        <w:r w:rsidRPr="00C27062">
          <w:rPr>
            <w:rFonts w:ascii="Times New Roman" w:hAnsi="Times New Roman"/>
            <w:b w:val="0"/>
            <w:bCs w:val="0"/>
            <w:noProof/>
            <w:sz w:val="22"/>
            <w:szCs w:val="22"/>
          </w:rPr>
          <w:fldChar w:fldCharType="end"/>
        </w:r>
      </w:p>
    </w:sdtContent>
  </w:sdt>
  <w:p w14:paraId="22B0F2AE" w14:textId="77777777" w:rsidR="00C4088A" w:rsidRPr="00C27062" w:rsidRDefault="00FD585A">
    <w:pPr>
      <w:pStyle w:val="Footer"/>
      <w:rPr>
        <w:rFonts w:ascii="Times New Roman" w:hAnsi="Times New Roman"/>
        <w:b w:val="0"/>
        <w:bCs w:val="0"/>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99E8" w14:textId="77777777" w:rsidR="00C4088A" w:rsidRDefault="00FD585A" w:rsidP="00461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5A"/>
    <w:rsid w:val="004C3587"/>
    <w:rsid w:val="00FD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9478"/>
  <w15:chartTrackingRefBased/>
  <w15:docId w15:val="{3E67FD25-05C1-4865-9EFC-0F794687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85A"/>
    <w:pPr>
      <w:spacing w:after="360" w:line="480" w:lineRule="auto"/>
      <w:ind w:firstLine="720"/>
    </w:pPr>
    <w:rPr>
      <w:rFonts w:ascii="Times New Roman" w:hAnsi="Times New Roman" w:cs="Times New Roman"/>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585A"/>
    <w:pPr>
      <w:tabs>
        <w:tab w:val="right" w:pos="9072"/>
      </w:tabs>
      <w:spacing w:after="0" w:line="240" w:lineRule="auto"/>
    </w:pPr>
    <w:rPr>
      <w:rFonts w:ascii="Verdana" w:hAnsi="Verdana"/>
      <w:b/>
      <w:sz w:val="16"/>
      <w:szCs w:val="24"/>
    </w:rPr>
  </w:style>
  <w:style w:type="character" w:customStyle="1" w:styleId="FooterChar">
    <w:name w:val="Footer Char"/>
    <w:basedOn w:val="DefaultParagraphFont"/>
    <w:link w:val="Footer"/>
    <w:uiPriority w:val="99"/>
    <w:rsid w:val="00FD585A"/>
    <w:rPr>
      <w:rFonts w:ascii="Verdana" w:hAnsi="Verdana" w:cs="Times New Roman"/>
      <w:b/>
      <w:bCs/>
      <w:sz w:val="16"/>
      <w:szCs w:val="24"/>
      <w:lang w:val="en-GB"/>
    </w:rPr>
  </w:style>
  <w:style w:type="paragraph" w:styleId="Header">
    <w:name w:val="header"/>
    <w:basedOn w:val="Normal"/>
    <w:link w:val="HeaderChar"/>
    <w:rsid w:val="00FD585A"/>
    <w:pPr>
      <w:tabs>
        <w:tab w:val="right" w:pos="9072"/>
      </w:tabs>
      <w:spacing w:after="0" w:line="240" w:lineRule="auto"/>
    </w:pPr>
    <w:rPr>
      <w:rFonts w:ascii="Verdana" w:hAnsi="Verdana"/>
      <w:b/>
      <w:sz w:val="16"/>
      <w:szCs w:val="24"/>
    </w:rPr>
  </w:style>
  <w:style w:type="character" w:customStyle="1" w:styleId="HeaderChar">
    <w:name w:val="Header Char"/>
    <w:basedOn w:val="DefaultParagraphFont"/>
    <w:link w:val="Header"/>
    <w:rsid w:val="00FD585A"/>
    <w:rPr>
      <w:rFonts w:ascii="Verdana" w:hAnsi="Verdana" w:cs="Times New Roman"/>
      <w:b/>
      <w:bCs/>
      <w:sz w:val="16"/>
      <w:szCs w:val="24"/>
      <w:lang w:val="en-GB"/>
    </w:rPr>
  </w:style>
  <w:style w:type="table" w:styleId="TableGridLight">
    <w:name w:val="Grid Table Light"/>
    <w:basedOn w:val="TableNormal"/>
    <w:uiPriority w:val="40"/>
    <w:rsid w:val="00FD585A"/>
    <w:pPr>
      <w:spacing w:after="0" w:line="240" w:lineRule="auto"/>
    </w:pPr>
    <w:rPr>
      <w:rFonts w:ascii="Times New Roman" w:hAnsi="Times New Roman"/>
      <w:sz w:val="24"/>
      <w:szCs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Wauson</dc:creator>
  <cp:keywords/>
  <dc:description/>
  <cp:lastModifiedBy>Stephanie Wauson</cp:lastModifiedBy>
  <cp:revision>1</cp:revision>
  <dcterms:created xsi:type="dcterms:W3CDTF">2021-12-29T21:30:00Z</dcterms:created>
  <dcterms:modified xsi:type="dcterms:W3CDTF">2021-12-29T21:30:00Z</dcterms:modified>
</cp:coreProperties>
</file>