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FE446" w14:textId="1E738FD4" w:rsidR="008C580F" w:rsidRPr="0088484D" w:rsidRDefault="00C858FA">
      <w:pPr>
        <w:rPr>
          <w:rFonts w:cstheme="minorHAnsi"/>
          <w:b/>
        </w:rPr>
      </w:pPr>
      <w:r w:rsidRPr="0088484D">
        <w:rPr>
          <w:rFonts w:cstheme="minorHAnsi"/>
          <w:b/>
        </w:rPr>
        <w:t>Into the Dragons</w:t>
      </w:r>
      <w:r w:rsidR="00F82BD6">
        <w:rPr>
          <w:rFonts w:cstheme="minorHAnsi"/>
          <w:b/>
        </w:rPr>
        <w:t>’</w:t>
      </w:r>
      <w:r w:rsidRPr="0088484D">
        <w:rPr>
          <w:rFonts w:cstheme="minorHAnsi"/>
          <w:b/>
        </w:rPr>
        <w:t xml:space="preserve"> Den: </w:t>
      </w:r>
      <w:r w:rsidR="007D0C6F">
        <w:rPr>
          <w:rFonts w:cstheme="minorHAnsi"/>
          <w:b/>
        </w:rPr>
        <w:t>A project</w:t>
      </w:r>
      <w:r w:rsidR="0091303A">
        <w:rPr>
          <w:rFonts w:cstheme="minorHAnsi"/>
          <w:b/>
        </w:rPr>
        <w:t>-</w:t>
      </w:r>
      <w:r w:rsidR="007D0C6F">
        <w:rPr>
          <w:rFonts w:cstheme="minorHAnsi"/>
          <w:b/>
        </w:rPr>
        <w:t xml:space="preserve">based learning </w:t>
      </w:r>
      <w:r w:rsidR="00AD5FE1">
        <w:rPr>
          <w:rFonts w:cstheme="minorHAnsi"/>
          <w:b/>
        </w:rPr>
        <w:t>tool in</w:t>
      </w:r>
      <w:r w:rsidR="007D0C6F">
        <w:rPr>
          <w:rFonts w:cstheme="minorHAnsi"/>
          <w:b/>
        </w:rPr>
        <w:t xml:space="preserve"> Clinical Pharmacology</w:t>
      </w:r>
      <w:r w:rsidRPr="0088484D">
        <w:rPr>
          <w:rFonts w:cstheme="minorHAnsi"/>
          <w:b/>
        </w:rPr>
        <w:t xml:space="preserve"> </w:t>
      </w:r>
      <w:r w:rsidR="00AD5FE1">
        <w:rPr>
          <w:rFonts w:cstheme="minorHAnsi"/>
          <w:b/>
        </w:rPr>
        <w:t>education</w:t>
      </w:r>
    </w:p>
    <w:p w14:paraId="2C41B271" w14:textId="318CD55F" w:rsidR="00F86FB7" w:rsidRPr="0088484D" w:rsidRDefault="00F86FB7" w:rsidP="002837E7">
      <w:pPr>
        <w:jc w:val="both"/>
        <w:rPr>
          <w:rFonts w:cstheme="minorHAnsi"/>
          <w:b/>
        </w:rPr>
      </w:pPr>
      <w:r w:rsidRPr="0088484D">
        <w:rPr>
          <w:rFonts w:cstheme="minorHAnsi"/>
          <w:b/>
        </w:rPr>
        <w:t>Background and Aims</w:t>
      </w:r>
    </w:p>
    <w:p w14:paraId="02E265BF" w14:textId="7396DAF6" w:rsidR="00F86FB7" w:rsidRPr="0088484D" w:rsidRDefault="00596CE2" w:rsidP="002837E7">
      <w:pPr>
        <w:jc w:val="both"/>
        <w:rPr>
          <w:rFonts w:cstheme="minorHAnsi"/>
          <w:b/>
        </w:rPr>
      </w:pPr>
      <w:r>
        <w:rPr>
          <w:rFonts w:cstheme="minorHAnsi"/>
        </w:rPr>
        <w:t xml:space="preserve">Active learning </w:t>
      </w:r>
      <w:r w:rsidR="00FA12DC" w:rsidRPr="00FA12DC">
        <w:rPr>
          <w:rFonts w:cstheme="minorHAnsi"/>
        </w:rPr>
        <w:t>encourages students to think about and apply what they are learning</w:t>
      </w:r>
      <w:r w:rsidR="00FF404F">
        <w:rPr>
          <w:rFonts w:cstheme="minorHAnsi"/>
        </w:rPr>
        <w:t>,</w:t>
      </w:r>
      <w:r w:rsidR="00FA12DC" w:rsidRPr="00FA12DC">
        <w:rPr>
          <w:rFonts w:cstheme="minorHAnsi"/>
        </w:rPr>
        <w:t xml:space="preserve"> help</w:t>
      </w:r>
      <w:r w:rsidR="00FF404F">
        <w:rPr>
          <w:rFonts w:cstheme="minorHAnsi"/>
        </w:rPr>
        <w:t>ing</w:t>
      </w:r>
      <w:r w:rsidR="00FA12DC" w:rsidRPr="00FA12DC">
        <w:rPr>
          <w:rFonts w:cstheme="minorHAnsi"/>
        </w:rPr>
        <w:t xml:space="preserve"> to develop a deeper understanding o</w:t>
      </w:r>
      <w:r w:rsidR="00FF404F">
        <w:rPr>
          <w:rFonts w:cstheme="minorHAnsi"/>
        </w:rPr>
        <w:t>f the subject</w:t>
      </w:r>
      <w:r w:rsidR="00FA12DC">
        <w:rPr>
          <w:rFonts w:cstheme="minorHAnsi"/>
        </w:rPr>
        <w:t xml:space="preserve"> </w:t>
      </w:r>
      <w:r w:rsidR="00FF404F">
        <w:rPr>
          <w:rFonts w:cstheme="minorHAnsi"/>
        </w:rPr>
        <w:t xml:space="preserve">which is </w:t>
      </w:r>
      <w:r w:rsidR="00FF404F" w:rsidRPr="00FA12DC">
        <w:rPr>
          <w:rFonts w:cstheme="minorHAnsi"/>
        </w:rPr>
        <w:t xml:space="preserve">crucial for promoting the development of higher-level </w:t>
      </w:r>
      <w:r w:rsidR="00FF404F">
        <w:rPr>
          <w:rFonts w:cstheme="minorHAnsi"/>
        </w:rPr>
        <w:t xml:space="preserve">thinking </w:t>
      </w:r>
      <w:r w:rsidR="00FF404F" w:rsidRPr="00FA12DC">
        <w:rPr>
          <w:rFonts w:cstheme="minorHAnsi"/>
        </w:rPr>
        <w:t>skills</w:t>
      </w:r>
      <w:r w:rsidR="00D10949" w:rsidRPr="00D10949">
        <w:rPr>
          <w:rFonts w:cstheme="minorHAnsi"/>
          <w:vertAlign w:val="superscript"/>
        </w:rPr>
        <w:t>1</w:t>
      </w:r>
      <w:r w:rsidR="00240056">
        <w:rPr>
          <w:rFonts w:cstheme="minorHAnsi"/>
        </w:rPr>
        <w:t>.</w:t>
      </w:r>
      <w:r w:rsidR="00FA12DC">
        <w:rPr>
          <w:rFonts w:cstheme="minorHAnsi"/>
        </w:rPr>
        <w:t xml:space="preserve"> The UK’s first undergraduate Clinical Pharmacology BSc programme adheres to these principles to fulfil its aim of producing work-ready graduates. </w:t>
      </w:r>
      <w:r w:rsidR="007A519E">
        <w:rPr>
          <w:rFonts w:cstheme="minorHAnsi"/>
        </w:rPr>
        <w:t xml:space="preserve">There is a focus on </w:t>
      </w:r>
      <w:r w:rsidR="00FF404F">
        <w:rPr>
          <w:rFonts w:cstheme="minorHAnsi"/>
        </w:rPr>
        <w:t xml:space="preserve">developing </w:t>
      </w:r>
      <w:r w:rsidR="007A519E">
        <w:rPr>
          <w:rFonts w:cstheme="minorHAnsi"/>
        </w:rPr>
        <w:t>k</w:t>
      </w:r>
      <w:r w:rsidR="00FA12DC">
        <w:rPr>
          <w:rFonts w:cstheme="minorHAnsi"/>
        </w:rPr>
        <w:t xml:space="preserve">ey competencies that include collaborative work, critical thinking, data </w:t>
      </w:r>
      <w:r w:rsidR="00FF404F">
        <w:rPr>
          <w:rFonts w:cstheme="minorHAnsi"/>
        </w:rPr>
        <w:t>handling</w:t>
      </w:r>
      <w:r w:rsidR="00FA12DC">
        <w:rPr>
          <w:rFonts w:cstheme="minorHAnsi"/>
        </w:rPr>
        <w:t xml:space="preserve">, </w:t>
      </w:r>
      <w:r w:rsidR="00FF404F">
        <w:rPr>
          <w:rFonts w:cstheme="minorHAnsi"/>
        </w:rPr>
        <w:t xml:space="preserve">and </w:t>
      </w:r>
      <w:r w:rsidR="00FA12DC">
        <w:rPr>
          <w:rFonts w:cstheme="minorHAnsi"/>
        </w:rPr>
        <w:t xml:space="preserve">presentation </w:t>
      </w:r>
      <w:r w:rsidR="00FF404F">
        <w:rPr>
          <w:rFonts w:cstheme="minorHAnsi"/>
        </w:rPr>
        <w:t>and</w:t>
      </w:r>
      <w:r w:rsidR="00FA12DC">
        <w:rPr>
          <w:rFonts w:cstheme="minorHAnsi"/>
        </w:rPr>
        <w:t xml:space="preserve"> problem-solving skills. P</w:t>
      </w:r>
      <w:r>
        <w:rPr>
          <w:rFonts w:cstheme="minorHAnsi"/>
        </w:rPr>
        <w:t>roject</w:t>
      </w:r>
      <w:r w:rsidR="00FF404F">
        <w:rPr>
          <w:rFonts w:cstheme="minorHAnsi"/>
        </w:rPr>
        <w:t>-</w:t>
      </w:r>
      <w:r>
        <w:rPr>
          <w:rFonts w:cstheme="minorHAnsi"/>
        </w:rPr>
        <w:t xml:space="preserve">based learning </w:t>
      </w:r>
      <w:r w:rsidR="007A519E">
        <w:rPr>
          <w:rFonts w:cstheme="minorHAnsi"/>
        </w:rPr>
        <w:t>provides an active learning experience for students to develop and hone these skills and to apply their knowledge</w:t>
      </w:r>
      <w:r w:rsidR="00D10949" w:rsidRPr="00D10949">
        <w:rPr>
          <w:rFonts w:cstheme="minorHAnsi"/>
          <w:vertAlign w:val="superscript"/>
        </w:rPr>
        <w:t>2</w:t>
      </w:r>
      <w:r w:rsidR="007A519E">
        <w:rPr>
          <w:rFonts w:cstheme="minorHAnsi"/>
        </w:rPr>
        <w:t xml:space="preserve">. </w:t>
      </w:r>
      <w:r w:rsidR="00D568BB">
        <w:rPr>
          <w:rFonts w:cstheme="minorHAnsi"/>
        </w:rPr>
        <w:t xml:space="preserve">To </w:t>
      </w:r>
      <w:r w:rsidR="007E19AD">
        <w:rPr>
          <w:rFonts w:cstheme="minorHAnsi"/>
        </w:rPr>
        <w:t>encourage development of these key competencies</w:t>
      </w:r>
      <w:r w:rsidR="00D568BB">
        <w:rPr>
          <w:rFonts w:cstheme="minorHAnsi"/>
        </w:rPr>
        <w:t>, we designed a</w:t>
      </w:r>
      <w:r w:rsidR="007A519E">
        <w:rPr>
          <w:rFonts w:cstheme="minorHAnsi"/>
        </w:rPr>
        <w:t>n innovative</w:t>
      </w:r>
      <w:r w:rsidR="00D568BB">
        <w:rPr>
          <w:rFonts w:cstheme="minorHAnsi"/>
        </w:rPr>
        <w:t xml:space="preserve"> two-week project-based activity</w:t>
      </w:r>
      <w:r w:rsidR="00D10949">
        <w:rPr>
          <w:rFonts w:cstheme="minorHAnsi"/>
        </w:rPr>
        <w:t>, Dragons</w:t>
      </w:r>
      <w:r w:rsidR="007E19AD">
        <w:rPr>
          <w:rFonts w:cstheme="minorHAnsi"/>
        </w:rPr>
        <w:t>’</w:t>
      </w:r>
      <w:r w:rsidR="00D10949">
        <w:rPr>
          <w:rFonts w:cstheme="minorHAnsi"/>
        </w:rPr>
        <w:t xml:space="preserve"> Den,</w:t>
      </w:r>
      <w:r w:rsidR="00D568BB">
        <w:rPr>
          <w:rFonts w:cstheme="minorHAnsi"/>
        </w:rPr>
        <w:t xml:space="preserve"> for </w:t>
      </w:r>
      <w:r w:rsidR="007A519E">
        <w:rPr>
          <w:rFonts w:cstheme="minorHAnsi"/>
        </w:rPr>
        <w:t xml:space="preserve">first year </w:t>
      </w:r>
      <w:r w:rsidR="00D568BB">
        <w:rPr>
          <w:rFonts w:cstheme="minorHAnsi"/>
        </w:rPr>
        <w:t xml:space="preserve">students at the end of their first semester. </w:t>
      </w:r>
      <w:r w:rsidR="00A936B0" w:rsidRPr="0088484D">
        <w:rPr>
          <w:rFonts w:cstheme="minorHAnsi"/>
        </w:rPr>
        <w:t>Two successive cohorts have undertaken the Dragons</w:t>
      </w:r>
      <w:r w:rsidR="00F82BD6">
        <w:rPr>
          <w:rFonts w:cstheme="minorHAnsi"/>
        </w:rPr>
        <w:t>’</w:t>
      </w:r>
      <w:r w:rsidR="00A936B0" w:rsidRPr="0088484D">
        <w:rPr>
          <w:rFonts w:cstheme="minorHAnsi"/>
        </w:rPr>
        <w:t xml:space="preserve"> Den project, </w:t>
      </w:r>
      <w:r w:rsidR="007E19AD">
        <w:rPr>
          <w:rFonts w:cstheme="minorHAnsi"/>
        </w:rPr>
        <w:t>which was in person for</w:t>
      </w:r>
      <w:r w:rsidR="00A936B0" w:rsidRPr="0088484D">
        <w:rPr>
          <w:rFonts w:cstheme="minorHAnsi"/>
        </w:rPr>
        <w:t xml:space="preserve"> 2019/20 </w:t>
      </w:r>
      <w:r w:rsidR="007E19AD">
        <w:rPr>
          <w:rFonts w:cstheme="minorHAnsi"/>
        </w:rPr>
        <w:t>students and</w:t>
      </w:r>
      <w:r w:rsidR="00A936B0" w:rsidRPr="0088484D">
        <w:rPr>
          <w:rFonts w:cstheme="minorHAnsi"/>
        </w:rPr>
        <w:t xml:space="preserve"> adapted to be online</w:t>
      </w:r>
      <w:r w:rsidR="007E19AD">
        <w:rPr>
          <w:rFonts w:cstheme="minorHAnsi"/>
        </w:rPr>
        <w:t xml:space="preserve"> for 2020/21 students</w:t>
      </w:r>
      <w:r w:rsidR="00A936B0" w:rsidRPr="0088484D">
        <w:rPr>
          <w:rFonts w:cstheme="minorHAnsi"/>
        </w:rPr>
        <w:t>.</w:t>
      </w:r>
    </w:p>
    <w:p w14:paraId="6CC7A8FC" w14:textId="6B0BC751" w:rsidR="00F86FB7" w:rsidRPr="0088484D" w:rsidRDefault="00F86FB7" w:rsidP="002837E7">
      <w:pPr>
        <w:jc w:val="both"/>
        <w:rPr>
          <w:rFonts w:cstheme="minorHAnsi"/>
          <w:b/>
        </w:rPr>
      </w:pPr>
      <w:r w:rsidRPr="0088484D">
        <w:rPr>
          <w:rFonts w:cstheme="minorHAnsi"/>
          <w:b/>
        </w:rPr>
        <w:t>Summary of Work and Outcomes</w:t>
      </w:r>
    </w:p>
    <w:p w14:paraId="2D811241" w14:textId="214AC588" w:rsidR="00A936B0" w:rsidRPr="0088484D" w:rsidRDefault="00F82BD6" w:rsidP="002837E7">
      <w:pPr>
        <w:jc w:val="both"/>
        <w:rPr>
          <w:rFonts w:cstheme="minorHAnsi"/>
        </w:rPr>
      </w:pPr>
      <w:r>
        <w:rPr>
          <w:rFonts w:cstheme="minorHAnsi"/>
        </w:rPr>
        <w:t>The premise of the Dragons’ Den was that</w:t>
      </w:r>
      <w:r w:rsidR="007E19AD">
        <w:rPr>
          <w:rFonts w:cstheme="minorHAnsi"/>
        </w:rPr>
        <w:t>,</w:t>
      </w:r>
      <w:r>
        <w:rPr>
          <w:rFonts w:cstheme="minorHAnsi"/>
        </w:rPr>
        <w:t xml:space="preserve"> due to NHS cuts</w:t>
      </w:r>
      <w:r w:rsidR="007E19AD">
        <w:rPr>
          <w:rFonts w:cstheme="minorHAnsi"/>
        </w:rPr>
        <w:t>,</w:t>
      </w:r>
      <w:r>
        <w:rPr>
          <w:rFonts w:cstheme="minorHAnsi"/>
        </w:rPr>
        <w:t xml:space="preserve"> certain medicines were at risk of </w:t>
      </w:r>
      <w:r w:rsidR="007E19AD">
        <w:rPr>
          <w:rFonts w:cstheme="minorHAnsi"/>
        </w:rPr>
        <w:t>losing</w:t>
      </w:r>
      <w:r>
        <w:rPr>
          <w:rFonts w:cstheme="minorHAnsi"/>
        </w:rPr>
        <w:t xml:space="preserve"> NHS funding. Students </w:t>
      </w:r>
      <w:r w:rsidR="00A936B0" w:rsidRPr="0088484D">
        <w:rPr>
          <w:rFonts w:cstheme="minorHAnsi"/>
        </w:rPr>
        <w:t>work</w:t>
      </w:r>
      <w:r w:rsidR="007E19AD">
        <w:rPr>
          <w:rFonts w:cstheme="minorHAnsi"/>
        </w:rPr>
        <w:t>ed</w:t>
      </w:r>
      <w:r w:rsidR="00A936B0" w:rsidRPr="0088484D">
        <w:rPr>
          <w:rFonts w:cstheme="minorHAnsi"/>
        </w:rPr>
        <w:t xml:space="preserve"> in previously established groups</w:t>
      </w:r>
      <w:r>
        <w:rPr>
          <w:rFonts w:cstheme="minorHAnsi"/>
        </w:rPr>
        <w:t xml:space="preserve"> to ‘pitch’</w:t>
      </w:r>
      <w:r w:rsidR="007E19AD">
        <w:rPr>
          <w:rFonts w:cstheme="minorHAnsi"/>
        </w:rPr>
        <w:t xml:space="preserve"> in presentation format for a</w:t>
      </w:r>
      <w:r>
        <w:rPr>
          <w:rFonts w:cstheme="minorHAnsi"/>
        </w:rPr>
        <w:t xml:space="preserve"> drug for the treatment of a specific disease </w:t>
      </w:r>
      <w:r w:rsidR="00F74B8F" w:rsidRPr="0088484D">
        <w:rPr>
          <w:rFonts w:cstheme="minorHAnsi"/>
        </w:rPr>
        <w:t>(e.g. adalimumab for the treatment of rheumatoid arthritis)</w:t>
      </w:r>
      <w:r w:rsidR="007E19AD">
        <w:rPr>
          <w:rFonts w:cstheme="minorHAnsi"/>
        </w:rPr>
        <w:t xml:space="preserve"> to retain NHS funding</w:t>
      </w:r>
      <w:r w:rsidR="00F74B8F" w:rsidRPr="0088484D">
        <w:rPr>
          <w:rFonts w:cstheme="minorHAnsi"/>
        </w:rPr>
        <w:t xml:space="preserve">. Groups were also given </w:t>
      </w:r>
      <w:r w:rsidR="007E19AD">
        <w:rPr>
          <w:rFonts w:cstheme="minorHAnsi"/>
        </w:rPr>
        <w:t>simulated</w:t>
      </w:r>
      <w:r w:rsidR="007E19AD" w:rsidRPr="0088484D">
        <w:rPr>
          <w:rFonts w:cstheme="minorHAnsi"/>
        </w:rPr>
        <w:t xml:space="preserve"> </w:t>
      </w:r>
      <w:r w:rsidR="00F74B8F" w:rsidRPr="0088484D">
        <w:rPr>
          <w:rFonts w:cstheme="minorHAnsi"/>
        </w:rPr>
        <w:t xml:space="preserve">data from a </w:t>
      </w:r>
      <w:r w:rsidR="007E19AD">
        <w:rPr>
          <w:rFonts w:cstheme="minorHAnsi"/>
        </w:rPr>
        <w:t xml:space="preserve">mock </w:t>
      </w:r>
      <w:r w:rsidR="00F74B8F" w:rsidRPr="0088484D">
        <w:rPr>
          <w:rFonts w:cstheme="minorHAnsi"/>
        </w:rPr>
        <w:t xml:space="preserve">clinical trial of their drug to analyse and present in a poster format. </w:t>
      </w:r>
      <w:r w:rsidR="00240056">
        <w:rPr>
          <w:rFonts w:cstheme="minorHAnsi"/>
        </w:rPr>
        <w:t>P</w:t>
      </w:r>
      <w:r w:rsidR="00F74B8F" w:rsidRPr="0088484D">
        <w:rPr>
          <w:rFonts w:cstheme="minorHAnsi"/>
        </w:rPr>
        <w:t xml:space="preserve">resentations and posters were marked by </w:t>
      </w:r>
      <w:r>
        <w:rPr>
          <w:rFonts w:cstheme="minorHAnsi"/>
        </w:rPr>
        <w:t>“Dragons”</w:t>
      </w:r>
      <w:r w:rsidR="00240056">
        <w:rPr>
          <w:rFonts w:cstheme="minorHAnsi"/>
        </w:rPr>
        <w:t>, a mixture of industry, clinical and academic professionals.</w:t>
      </w:r>
      <w:r w:rsidR="00F74B8F" w:rsidRPr="0088484D">
        <w:rPr>
          <w:rFonts w:cstheme="minorHAnsi"/>
        </w:rPr>
        <w:t xml:space="preserve"> </w:t>
      </w:r>
      <w:r w:rsidR="00240056">
        <w:rPr>
          <w:rFonts w:cstheme="minorHAnsi"/>
        </w:rPr>
        <w:t>M</w:t>
      </w:r>
      <w:r w:rsidR="00F74B8F" w:rsidRPr="0088484D">
        <w:rPr>
          <w:rFonts w:cstheme="minorHAnsi"/>
        </w:rPr>
        <w:t>arks did not contribute to any modular assessment</w:t>
      </w:r>
      <w:r w:rsidR="00240056">
        <w:rPr>
          <w:rFonts w:cstheme="minorHAnsi"/>
        </w:rPr>
        <w:t xml:space="preserve"> </w:t>
      </w:r>
      <w:r w:rsidR="007E19AD">
        <w:rPr>
          <w:rFonts w:cstheme="minorHAnsi"/>
        </w:rPr>
        <w:t xml:space="preserve">but </w:t>
      </w:r>
      <w:r w:rsidR="00240056">
        <w:rPr>
          <w:rFonts w:cstheme="minorHAnsi"/>
        </w:rPr>
        <w:t>l</w:t>
      </w:r>
      <w:r w:rsidR="00F74B8F" w:rsidRPr="0088484D">
        <w:rPr>
          <w:rFonts w:cstheme="minorHAnsi"/>
        </w:rPr>
        <w:t>earners were required to participate.</w:t>
      </w:r>
    </w:p>
    <w:p w14:paraId="59564DD3" w14:textId="5895733E" w:rsidR="00F74B8F" w:rsidRPr="0088484D" w:rsidRDefault="00614B76" w:rsidP="002837E7">
      <w:pPr>
        <w:jc w:val="both"/>
        <w:rPr>
          <w:rFonts w:cstheme="minorHAnsi"/>
        </w:rPr>
      </w:pPr>
      <w:r>
        <w:rPr>
          <w:rFonts w:cstheme="minorHAnsi"/>
        </w:rPr>
        <w:t>Student</w:t>
      </w:r>
      <w:r w:rsidR="00F74B8F" w:rsidRPr="0088484D">
        <w:rPr>
          <w:rFonts w:cstheme="minorHAnsi"/>
        </w:rPr>
        <w:t xml:space="preserve"> self-assessed outcomes </w:t>
      </w:r>
      <w:r>
        <w:rPr>
          <w:rFonts w:cstheme="minorHAnsi"/>
        </w:rPr>
        <w:t>after the Dragons’ Den</w:t>
      </w:r>
      <w:r w:rsidR="007E19AD">
        <w:rPr>
          <w:rFonts w:cstheme="minorHAnsi"/>
        </w:rPr>
        <w:t xml:space="preserve"> were compared between students doing the Dragons’ Den in person to those experiencing it online</w:t>
      </w:r>
      <w:r w:rsidR="00240056">
        <w:rPr>
          <w:rFonts w:cstheme="minorHAnsi"/>
        </w:rPr>
        <w:t xml:space="preserve"> (</w:t>
      </w:r>
      <w:r w:rsidR="00240056" w:rsidRPr="00240056">
        <w:rPr>
          <w:rFonts w:cstheme="minorHAnsi"/>
          <w:b/>
        </w:rPr>
        <w:t>Table 1</w:t>
      </w:r>
      <w:r w:rsidR="00240056">
        <w:rPr>
          <w:rFonts w:cstheme="minorHAnsi"/>
        </w:rPr>
        <w:t>)</w:t>
      </w:r>
      <w:r w:rsidR="00F74B8F" w:rsidRPr="0088484D">
        <w:rPr>
          <w:rFonts w:cstheme="minorHAnsi"/>
        </w:rPr>
        <w:t xml:space="preserve">. </w:t>
      </w:r>
      <w:r>
        <w:rPr>
          <w:rFonts w:cstheme="minorHAnsi"/>
        </w:rPr>
        <w:t>Both groups of</w:t>
      </w:r>
      <w:r w:rsidR="00D10949">
        <w:rPr>
          <w:rFonts w:cstheme="minorHAnsi"/>
        </w:rPr>
        <w:t xml:space="preserve"> l</w:t>
      </w:r>
      <w:r w:rsidR="00F74B8F" w:rsidRPr="0088484D">
        <w:rPr>
          <w:rFonts w:cstheme="minorHAnsi"/>
        </w:rPr>
        <w:t xml:space="preserve">earners </w:t>
      </w:r>
      <w:r>
        <w:rPr>
          <w:rFonts w:cstheme="minorHAnsi"/>
        </w:rPr>
        <w:t xml:space="preserve">enjoyed the experience, felt that they had learned a lot and </w:t>
      </w:r>
      <w:r w:rsidR="00240056">
        <w:rPr>
          <w:rFonts w:cstheme="minorHAnsi"/>
        </w:rPr>
        <w:t xml:space="preserve">reported increased </w:t>
      </w:r>
      <w:r w:rsidR="00D10949">
        <w:rPr>
          <w:rFonts w:cstheme="minorHAnsi"/>
        </w:rPr>
        <w:t xml:space="preserve">presentation </w:t>
      </w:r>
      <w:r w:rsidR="00240056">
        <w:rPr>
          <w:rFonts w:cstheme="minorHAnsi"/>
        </w:rPr>
        <w:t>confidence and motivation to participate in the course</w:t>
      </w:r>
      <w:r>
        <w:rPr>
          <w:rFonts w:cstheme="minorHAnsi"/>
        </w:rPr>
        <w:t xml:space="preserve">. However, learners experiencing the Dragons’ Den online were less likely to report these benefits.  </w:t>
      </w:r>
      <w:r w:rsidR="002837E7" w:rsidRPr="0088484D">
        <w:rPr>
          <w:rFonts w:cstheme="minorHAnsi"/>
        </w:rPr>
        <w:t>Qualitative feedback highlighted that learners valued the project-based nature of learning, the application of their skills and being able to work as part of a team.</w:t>
      </w:r>
    </w:p>
    <w:p w14:paraId="6C59995E" w14:textId="4CD02E77" w:rsidR="00F86FB7" w:rsidRPr="0088484D" w:rsidRDefault="00F86FB7" w:rsidP="002837E7">
      <w:pPr>
        <w:jc w:val="both"/>
        <w:rPr>
          <w:rFonts w:cstheme="minorHAnsi"/>
          <w:b/>
        </w:rPr>
      </w:pPr>
      <w:r w:rsidRPr="0088484D">
        <w:rPr>
          <w:rFonts w:cstheme="minorHAnsi"/>
          <w:b/>
        </w:rPr>
        <w:t xml:space="preserve">Discussion </w:t>
      </w:r>
    </w:p>
    <w:p w14:paraId="5556255B" w14:textId="6FA99BAA" w:rsidR="002837E7" w:rsidRPr="0088484D" w:rsidRDefault="002837E7" w:rsidP="002837E7">
      <w:pPr>
        <w:jc w:val="both"/>
        <w:rPr>
          <w:rFonts w:cstheme="minorHAnsi"/>
        </w:rPr>
      </w:pPr>
      <w:r w:rsidRPr="0088484D">
        <w:rPr>
          <w:rFonts w:cstheme="minorHAnsi"/>
        </w:rPr>
        <w:t>Student feedback indicates that the Dragons</w:t>
      </w:r>
      <w:r w:rsidR="0091303A">
        <w:rPr>
          <w:rFonts w:cstheme="minorHAnsi"/>
        </w:rPr>
        <w:t>’</w:t>
      </w:r>
      <w:r w:rsidRPr="0088484D">
        <w:rPr>
          <w:rFonts w:cstheme="minorHAnsi"/>
        </w:rPr>
        <w:t xml:space="preserve"> Den </w:t>
      </w:r>
      <w:r w:rsidR="0091303A">
        <w:rPr>
          <w:rFonts w:cstheme="minorHAnsi"/>
        </w:rPr>
        <w:t>project</w:t>
      </w:r>
      <w:r w:rsidRPr="0088484D">
        <w:rPr>
          <w:rFonts w:cstheme="minorHAnsi"/>
        </w:rPr>
        <w:t xml:space="preserve"> is a beneficial tool for the consolidation and application of knowledge, improves presentation skills and encourages course engagement</w:t>
      </w:r>
      <w:r w:rsidR="00CE2E2A" w:rsidRPr="0088484D">
        <w:rPr>
          <w:rFonts w:cstheme="minorHAnsi"/>
        </w:rPr>
        <w:t xml:space="preserve">. Comparison between the 2019/20 and 2020/21 cohorts suggests there is added benefit of the project as a live, on site event. </w:t>
      </w:r>
    </w:p>
    <w:p w14:paraId="2F5ACF2F" w14:textId="5BA4D9B2" w:rsidR="00F86FB7" w:rsidRPr="0088484D" w:rsidRDefault="00F86FB7" w:rsidP="002837E7">
      <w:pPr>
        <w:jc w:val="both"/>
        <w:rPr>
          <w:rFonts w:cstheme="minorHAnsi"/>
          <w:b/>
        </w:rPr>
      </w:pPr>
      <w:r w:rsidRPr="0088484D">
        <w:rPr>
          <w:rFonts w:cstheme="minorHAnsi"/>
          <w:b/>
        </w:rPr>
        <w:t>Conclusion</w:t>
      </w:r>
    </w:p>
    <w:p w14:paraId="5E406CA9" w14:textId="4761E556" w:rsidR="00F86FB7" w:rsidRPr="0088484D" w:rsidRDefault="00D568BB" w:rsidP="002837E7">
      <w:pPr>
        <w:jc w:val="both"/>
        <w:rPr>
          <w:rFonts w:cstheme="minorHAnsi"/>
          <w:b/>
        </w:rPr>
      </w:pPr>
      <w:r>
        <w:rPr>
          <w:rFonts w:cstheme="minorHAnsi"/>
        </w:rPr>
        <w:t>P</w:t>
      </w:r>
      <w:r w:rsidR="00CE2E2A" w:rsidRPr="0088484D">
        <w:rPr>
          <w:rFonts w:cstheme="minorHAnsi"/>
        </w:rPr>
        <w:t>roject</w:t>
      </w:r>
      <w:r w:rsidR="0091303A">
        <w:rPr>
          <w:rFonts w:cstheme="minorHAnsi"/>
        </w:rPr>
        <w:t>-</w:t>
      </w:r>
      <w:r w:rsidR="00CE2E2A" w:rsidRPr="0088484D">
        <w:rPr>
          <w:rFonts w:cstheme="minorHAnsi"/>
        </w:rPr>
        <w:t xml:space="preserve">based learning is a useful tool for encouraging student engagement, driving enthusiasm in pharmacology and developing teamworking and presentation skills </w:t>
      </w:r>
    </w:p>
    <w:p w14:paraId="642325E8" w14:textId="02740D64" w:rsidR="00F86FB7" w:rsidRDefault="00F86FB7">
      <w:pPr>
        <w:rPr>
          <w:rFonts w:cstheme="minorHAnsi"/>
          <w:b/>
        </w:rPr>
      </w:pPr>
      <w:r w:rsidRPr="0088484D">
        <w:rPr>
          <w:rFonts w:cstheme="minorHAnsi"/>
          <w:b/>
        </w:rPr>
        <w:t>References</w:t>
      </w:r>
    </w:p>
    <w:p w14:paraId="39BFBCEF" w14:textId="75A98479" w:rsidR="00D10949" w:rsidRPr="00D10949" w:rsidRDefault="00D10949" w:rsidP="00D1094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Cs w:val="24"/>
        </w:rPr>
      </w:pPr>
      <w:r w:rsidRPr="00D10949">
        <w:rPr>
          <w:rFonts w:cstheme="minorHAnsi"/>
          <w:szCs w:val="24"/>
        </w:rPr>
        <w:t xml:space="preserve">Michael J (2006) Where’s the evidence that active learning works? </w:t>
      </w:r>
      <w:r w:rsidRPr="00D10949">
        <w:rPr>
          <w:rFonts w:cstheme="minorHAnsi"/>
          <w:i/>
          <w:szCs w:val="24"/>
        </w:rPr>
        <w:t>Advances in Physiology Education.</w:t>
      </w:r>
      <w:r w:rsidRPr="00D10949">
        <w:rPr>
          <w:rFonts w:cstheme="minorHAnsi"/>
          <w:szCs w:val="24"/>
        </w:rPr>
        <w:t xml:space="preserve"> 30(4); 159-167</w:t>
      </w:r>
    </w:p>
    <w:p w14:paraId="39327611" w14:textId="31F3F15F" w:rsidR="00D10949" w:rsidRPr="00D10949" w:rsidRDefault="00D10949" w:rsidP="00D10949">
      <w:pPr>
        <w:pStyle w:val="ListParagraph"/>
        <w:numPr>
          <w:ilvl w:val="0"/>
          <w:numId w:val="4"/>
        </w:numPr>
        <w:rPr>
          <w:rFonts w:cstheme="minorHAnsi"/>
        </w:rPr>
      </w:pPr>
      <w:r w:rsidRPr="00D10949">
        <w:rPr>
          <w:rFonts w:cstheme="minorHAnsi"/>
        </w:rPr>
        <w:t>Guo (2020) A review of project-based learning in higher education: Student outcomes and measures. International Journal of Educational Research. 102,101586</w:t>
      </w:r>
    </w:p>
    <w:p w14:paraId="127B4D84" w14:textId="255DB4A8" w:rsidR="00753580" w:rsidRDefault="00753580">
      <w:pPr>
        <w:rPr>
          <w:rFonts w:cstheme="minorHAnsi"/>
          <w:b/>
        </w:rPr>
      </w:pPr>
      <w:bookmarkStart w:id="0" w:name="_GoBack"/>
      <w:r>
        <w:rPr>
          <w:rFonts w:cstheme="minorHAnsi"/>
          <w:b/>
        </w:rPr>
        <w:t>Table</w:t>
      </w:r>
      <w:r w:rsidR="007A1739">
        <w:rPr>
          <w:rFonts w:cstheme="minorHAnsi"/>
          <w:b/>
        </w:rPr>
        <w:t xml:space="preserve"> 1. Student feedback on the Dragons’ Den</w:t>
      </w:r>
    </w:p>
    <w:p w14:paraId="2253C216" w14:textId="25AB079B" w:rsidR="003F55F1" w:rsidRDefault="003F55F1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127"/>
        <w:gridCol w:w="1127"/>
        <w:gridCol w:w="1127"/>
        <w:gridCol w:w="1127"/>
        <w:gridCol w:w="1127"/>
        <w:gridCol w:w="1127"/>
      </w:tblGrid>
      <w:tr w:rsidR="00753580" w14:paraId="23603D5E" w14:textId="77777777" w:rsidTr="00753580">
        <w:tc>
          <w:tcPr>
            <w:tcW w:w="2254" w:type="dxa"/>
            <w:vMerge w:val="restart"/>
          </w:tcPr>
          <w:p w14:paraId="46A0DB2F" w14:textId="58A51310" w:rsidR="00753580" w:rsidRDefault="00753580">
            <w:pPr>
              <w:rPr>
                <w:rFonts w:cstheme="minorHAnsi"/>
                <w:b/>
              </w:rPr>
            </w:pPr>
          </w:p>
        </w:tc>
        <w:tc>
          <w:tcPr>
            <w:tcW w:w="2254" w:type="dxa"/>
            <w:gridSpan w:val="2"/>
          </w:tcPr>
          <w:p w14:paraId="2405617C" w14:textId="70539F05" w:rsidR="00753580" w:rsidRDefault="00753580" w:rsidP="0075358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% Pos</w:t>
            </w:r>
            <w:r w:rsidR="007E19AD">
              <w:rPr>
                <w:rFonts w:cstheme="minorHAnsi"/>
                <w:b/>
              </w:rPr>
              <w:t>i</w:t>
            </w:r>
            <w:r>
              <w:rPr>
                <w:rFonts w:cstheme="minorHAnsi"/>
                <w:b/>
              </w:rPr>
              <w:t>tive</w:t>
            </w:r>
          </w:p>
        </w:tc>
        <w:tc>
          <w:tcPr>
            <w:tcW w:w="2254" w:type="dxa"/>
            <w:gridSpan w:val="2"/>
          </w:tcPr>
          <w:p w14:paraId="7D79897E" w14:textId="59307A42" w:rsidR="00753580" w:rsidRDefault="00753580" w:rsidP="0075358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% Neutral</w:t>
            </w:r>
          </w:p>
        </w:tc>
        <w:tc>
          <w:tcPr>
            <w:tcW w:w="2254" w:type="dxa"/>
            <w:gridSpan w:val="2"/>
          </w:tcPr>
          <w:p w14:paraId="3A9C907F" w14:textId="6DBDCDAE" w:rsidR="00753580" w:rsidRDefault="00753580" w:rsidP="0075358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% Negative</w:t>
            </w:r>
          </w:p>
        </w:tc>
      </w:tr>
      <w:tr w:rsidR="00753580" w14:paraId="3F401469" w14:textId="77777777" w:rsidTr="00811F2C">
        <w:tc>
          <w:tcPr>
            <w:tcW w:w="2254" w:type="dxa"/>
            <w:vMerge/>
          </w:tcPr>
          <w:p w14:paraId="656520DC" w14:textId="77777777" w:rsidR="00753580" w:rsidRDefault="00753580">
            <w:pPr>
              <w:rPr>
                <w:rFonts w:cstheme="minorHAnsi"/>
                <w:b/>
              </w:rPr>
            </w:pPr>
          </w:p>
        </w:tc>
        <w:tc>
          <w:tcPr>
            <w:tcW w:w="1127" w:type="dxa"/>
          </w:tcPr>
          <w:p w14:paraId="6B611C23" w14:textId="1A4AA472" w:rsidR="00753580" w:rsidRDefault="0075358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2019/20</w:t>
            </w:r>
          </w:p>
        </w:tc>
        <w:tc>
          <w:tcPr>
            <w:tcW w:w="1127" w:type="dxa"/>
          </w:tcPr>
          <w:p w14:paraId="73AA8C6F" w14:textId="28A687CA" w:rsidR="00753580" w:rsidRDefault="0075358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2020/21</w:t>
            </w:r>
          </w:p>
        </w:tc>
        <w:tc>
          <w:tcPr>
            <w:tcW w:w="1127" w:type="dxa"/>
          </w:tcPr>
          <w:p w14:paraId="53AEDA37" w14:textId="375E7C45" w:rsidR="00753580" w:rsidRDefault="0075358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2019/20</w:t>
            </w:r>
          </w:p>
        </w:tc>
        <w:tc>
          <w:tcPr>
            <w:tcW w:w="1127" w:type="dxa"/>
          </w:tcPr>
          <w:p w14:paraId="70DA6978" w14:textId="1010434C" w:rsidR="00753580" w:rsidRDefault="0075358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2020/21</w:t>
            </w:r>
          </w:p>
        </w:tc>
        <w:tc>
          <w:tcPr>
            <w:tcW w:w="1127" w:type="dxa"/>
          </w:tcPr>
          <w:p w14:paraId="5DEAF7A9" w14:textId="23EF517B" w:rsidR="00753580" w:rsidRDefault="0075358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2019/20</w:t>
            </w:r>
          </w:p>
        </w:tc>
        <w:tc>
          <w:tcPr>
            <w:tcW w:w="1127" w:type="dxa"/>
          </w:tcPr>
          <w:p w14:paraId="060D1736" w14:textId="2CD73A27" w:rsidR="00753580" w:rsidRDefault="0075358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2020/21</w:t>
            </w:r>
          </w:p>
        </w:tc>
      </w:tr>
      <w:tr w:rsidR="00753580" w14:paraId="30C18B3B" w14:textId="77777777" w:rsidTr="007A1739">
        <w:tc>
          <w:tcPr>
            <w:tcW w:w="2254" w:type="dxa"/>
          </w:tcPr>
          <w:p w14:paraId="3E1F01D6" w14:textId="483E655B" w:rsidR="00753580" w:rsidRDefault="0075358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enjoyed the Dragons’ Den Event</w:t>
            </w:r>
          </w:p>
        </w:tc>
        <w:tc>
          <w:tcPr>
            <w:tcW w:w="1127" w:type="dxa"/>
          </w:tcPr>
          <w:p w14:paraId="2A07B6FA" w14:textId="7872EA63" w:rsidR="00753580" w:rsidRPr="007A1739" w:rsidRDefault="00753580">
            <w:pPr>
              <w:rPr>
                <w:rFonts w:cstheme="minorHAnsi"/>
              </w:rPr>
            </w:pPr>
            <w:r w:rsidRPr="007A1739">
              <w:rPr>
                <w:rFonts w:cstheme="minorHAnsi"/>
              </w:rPr>
              <w:t>9</w:t>
            </w:r>
            <w:r w:rsidR="007E19AD">
              <w:rPr>
                <w:rFonts w:cstheme="minorHAnsi"/>
              </w:rPr>
              <w:t>5</w:t>
            </w:r>
          </w:p>
        </w:tc>
        <w:tc>
          <w:tcPr>
            <w:tcW w:w="1127" w:type="dxa"/>
          </w:tcPr>
          <w:p w14:paraId="46963B8B" w14:textId="6B96C223" w:rsidR="00753580" w:rsidRPr="007A1739" w:rsidRDefault="00753580">
            <w:pPr>
              <w:rPr>
                <w:rFonts w:cstheme="minorHAnsi"/>
              </w:rPr>
            </w:pPr>
            <w:r w:rsidRPr="007A1739">
              <w:rPr>
                <w:rFonts w:cstheme="minorHAnsi"/>
              </w:rPr>
              <w:t>8</w:t>
            </w:r>
            <w:r w:rsidR="007E19AD">
              <w:rPr>
                <w:rFonts w:cstheme="minorHAnsi"/>
              </w:rPr>
              <w:t>5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14:paraId="5DD0095A" w14:textId="11A2A165" w:rsidR="00753580" w:rsidRPr="007A1739" w:rsidRDefault="007E19AD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14:paraId="0C77244F" w14:textId="271649BA" w:rsidR="00753580" w:rsidRPr="007A1739" w:rsidRDefault="007E19AD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3C9D173A" w14:textId="1D173A97" w:rsidR="00753580" w:rsidRPr="007A1739" w:rsidRDefault="007E19AD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51B891E3" w14:textId="1F2F7A6A" w:rsidR="00753580" w:rsidRPr="007A1739" w:rsidRDefault="007E19AD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753580" w14:paraId="5774F175" w14:textId="77777777" w:rsidTr="007A1739">
        <w:tc>
          <w:tcPr>
            <w:tcW w:w="2254" w:type="dxa"/>
          </w:tcPr>
          <w:p w14:paraId="0C072124" w14:textId="163C6277" w:rsidR="00753580" w:rsidRDefault="0075358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My semester 1 learning helped my contribution to Dragons’ Den</w:t>
            </w:r>
          </w:p>
        </w:tc>
        <w:tc>
          <w:tcPr>
            <w:tcW w:w="1127" w:type="dxa"/>
          </w:tcPr>
          <w:p w14:paraId="68063500" w14:textId="7B77F9E3" w:rsidR="00753580" w:rsidRPr="007A1739" w:rsidRDefault="00753580">
            <w:pPr>
              <w:rPr>
                <w:rFonts w:cstheme="minorHAnsi"/>
              </w:rPr>
            </w:pPr>
            <w:r w:rsidRPr="007A1739">
              <w:rPr>
                <w:rFonts w:cstheme="minorHAnsi"/>
              </w:rPr>
              <w:t>76</w:t>
            </w:r>
          </w:p>
        </w:tc>
        <w:tc>
          <w:tcPr>
            <w:tcW w:w="1127" w:type="dxa"/>
          </w:tcPr>
          <w:p w14:paraId="088F193B" w14:textId="44BA814F" w:rsidR="00753580" w:rsidRPr="007A1739" w:rsidRDefault="007E19AD">
            <w:pPr>
              <w:rPr>
                <w:rFonts w:cstheme="minorHAnsi"/>
              </w:rPr>
            </w:pPr>
            <w:r>
              <w:rPr>
                <w:rFonts w:cstheme="minorHAnsi"/>
              </w:rPr>
              <w:t>85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14:paraId="560FBD0E" w14:textId="41FF99AD" w:rsidR="00753580" w:rsidRPr="007A1739" w:rsidRDefault="00753580">
            <w:pPr>
              <w:rPr>
                <w:rFonts w:cstheme="minorHAnsi"/>
              </w:rPr>
            </w:pPr>
            <w:r w:rsidRPr="007A1739">
              <w:rPr>
                <w:rFonts w:cstheme="minorHAnsi"/>
              </w:rPr>
              <w:t>21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14:paraId="74C793EB" w14:textId="05B763DC" w:rsidR="00753580" w:rsidRPr="007A1739" w:rsidRDefault="00753580">
            <w:pPr>
              <w:rPr>
                <w:rFonts w:cstheme="minorHAnsi"/>
              </w:rPr>
            </w:pPr>
            <w:r w:rsidRPr="007A1739">
              <w:rPr>
                <w:rFonts w:cstheme="minorHAnsi"/>
              </w:rPr>
              <w:t>15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1CA2CE2E" w14:textId="677E9283" w:rsidR="00753580" w:rsidRPr="007A1739" w:rsidRDefault="007E19AD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27829403" w14:textId="3222FDDD" w:rsidR="00753580" w:rsidRPr="007A1739" w:rsidRDefault="00753580">
            <w:pPr>
              <w:rPr>
                <w:rFonts w:cstheme="minorHAnsi"/>
              </w:rPr>
            </w:pPr>
            <w:r w:rsidRPr="007A1739">
              <w:rPr>
                <w:rFonts w:cstheme="minorHAnsi"/>
              </w:rPr>
              <w:t>0</w:t>
            </w:r>
          </w:p>
        </w:tc>
      </w:tr>
      <w:tr w:rsidR="00753580" w14:paraId="7529A4A2" w14:textId="77777777" w:rsidTr="007A1739">
        <w:tc>
          <w:tcPr>
            <w:tcW w:w="2254" w:type="dxa"/>
          </w:tcPr>
          <w:p w14:paraId="3C600273" w14:textId="18FAB073" w:rsidR="00753580" w:rsidRDefault="0075358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learned a lot from participating in Dragons’ Den</w:t>
            </w:r>
          </w:p>
        </w:tc>
        <w:tc>
          <w:tcPr>
            <w:tcW w:w="1127" w:type="dxa"/>
          </w:tcPr>
          <w:p w14:paraId="46DE976C" w14:textId="7DC79024" w:rsidR="00753580" w:rsidRPr="007A1739" w:rsidRDefault="0062647E">
            <w:pPr>
              <w:rPr>
                <w:rFonts w:cstheme="minorHAnsi"/>
              </w:rPr>
            </w:pPr>
            <w:r w:rsidRPr="007A1739">
              <w:rPr>
                <w:rFonts w:cstheme="minorHAnsi"/>
              </w:rPr>
              <w:t>8</w:t>
            </w:r>
            <w:r w:rsidR="007E19AD">
              <w:rPr>
                <w:rFonts w:cstheme="minorHAnsi"/>
              </w:rPr>
              <w:t>4</w:t>
            </w:r>
          </w:p>
        </w:tc>
        <w:tc>
          <w:tcPr>
            <w:tcW w:w="1127" w:type="dxa"/>
          </w:tcPr>
          <w:p w14:paraId="4A4AD3AA" w14:textId="3165ACAF" w:rsidR="00753580" w:rsidRPr="007A1739" w:rsidRDefault="0062647E">
            <w:pPr>
              <w:rPr>
                <w:rFonts w:cstheme="minorHAnsi"/>
              </w:rPr>
            </w:pPr>
            <w:r w:rsidRPr="007A1739">
              <w:rPr>
                <w:rFonts w:cstheme="minorHAnsi"/>
              </w:rPr>
              <w:t>73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14:paraId="31646CC9" w14:textId="249E73B1" w:rsidR="00753580" w:rsidRPr="007A1739" w:rsidRDefault="00614B76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14:paraId="62D9C3C9" w14:textId="6DC91707" w:rsidR="00753580" w:rsidRPr="007A1739" w:rsidRDefault="00614B76">
            <w:pPr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  <w:p w14:paraId="33A6EB16" w14:textId="114D704C" w:rsidR="0062647E" w:rsidRPr="007A1739" w:rsidRDefault="0062647E">
            <w:pPr>
              <w:rPr>
                <w:rFonts w:cstheme="minorHAnsi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2E790750" w14:textId="56855D8E" w:rsidR="00753580" w:rsidRPr="007A1739" w:rsidRDefault="00614B76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14:paraId="6BD1DA01" w14:textId="6F912659" w:rsidR="0062647E" w:rsidRPr="007A1739" w:rsidRDefault="0062647E">
            <w:pPr>
              <w:rPr>
                <w:rFonts w:cstheme="minorHAnsi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25958C07" w14:textId="741A5FF3" w:rsidR="00753580" w:rsidRPr="007A1739" w:rsidRDefault="0062647E">
            <w:pPr>
              <w:rPr>
                <w:rFonts w:cstheme="minorHAnsi"/>
              </w:rPr>
            </w:pPr>
            <w:r w:rsidRPr="007A1739">
              <w:rPr>
                <w:rFonts w:cstheme="minorHAnsi"/>
              </w:rPr>
              <w:t>0</w:t>
            </w:r>
          </w:p>
        </w:tc>
      </w:tr>
      <w:tr w:rsidR="00753580" w14:paraId="054F0E57" w14:textId="77777777" w:rsidTr="007A1739">
        <w:tc>
          <w:tcPr>
            <w:tcW w:w="2254" w:type="dxa"/>
          </w:tcPr>
          <w:p w14:paraId="30CEBB42" w14:textId="427624EE" w:rsidR="00753580" w:rsidRDefault="0075358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My presentation confidence improved as a result of Dragons’ Den</w:t>
            </w:r>
          </w:p>
        </w:tc>
        <w:tc>
          <w:tcPr>
            <w:tcW w:w="1127" w:type="dxa"/>
          </w:tcPr>
          <w:p w14:paraId="05F2984A" w14:textId="5562EDB9" w:rsidR="00753580" w:rsidRPr="007A1739" w:rsidRDefault="0062647E">
            <w:pPr>
              <w:rPr>
                <w:rFonts w:cstheme="minorHAnsi"/>
              </w:rPr>
            </w:pPr>
            <w:r w:rsidRPr="007A1739">
              <w:rPr>
                <w:rFonts w:cstheme="minorHAnsi"/>
              </w:rPr>
              <w:t>86</w:t>
            </w:r>
          </w:p>
        </w:tc>
        <w:tc>
          <w:tcPr>
            <w:tcW w:w="1127" w:type="dxa"/>
          </w:tcPr>
          <w:p w14:paraId="46C90308" w14:textId="4F46A394" w:rsidR="00753580" w:rsidRPr="007A1739" w:rsidRDefault="00780E8B">
            <w:pPr>
              <w:rPr>
                <w:rFonts w:cstheme="minorHAnsi"/>
              </w:rPr>
            </w:pPr>
            <w:r w:rsidRPr="007A1739">
              <w:rPr>
                <w:rFonts w:cstheme="minorHAnsi"/>
              </w:rPr>
              <w:t>65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14:paraId="288633EE" w14:textId="63FE48A5" w:rsidR="00753580" w:rsidRPr="007A1739" w:rsidRDefault="0062647E">
            <w:pPr>
              <w:rPr>
                <w:rFonts w:cstheme="minorHAnsi"/>
              </w:rPr>
            </w:pPr>
            <w:r w:rsidRPr="007A1739">
              <w:rPr>
                <w:rFonts w:cstheme="minorHAnsi"/>
              </w:rPr>
              <w:t>1</w:t>
            </w:r>
            <w:r w:rsidR="00614B76">
              <w:rPr>
                <w:rFonts w:cstheme="minorHAnsi"/>
              </w:rPr>
              <w:t>4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14:paraId="3F830C20" w14:textId="2D35C0A7" w:rsidR="00753580" w:rsidRPr="007A1739" w:rsidRDefault="007A1739">
            <w:pPr>
              <w:rPr>
                <w:rFonts w:cstheme="minorHAnsi"/>
              </w:rPr>
            </w:pPr>
            <w:r w:rsidRPr="007A1739">
              <w:rPr>
                <w:rFonts w:cstheme="minorHAnsi"/>
              </w:rPr>
              <w:t>2</w:t>
            </w:r>
            <w:r w:rsidR="00614B76">
              <w:rPr>
                <w:rFonts w:cstheme="minorHAnsi"/>
              </w:rPr>
              <w:t>7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2174F939" w14:textId="7A6EA611" w:rsidR="00753580" w:rsidRPr="007A1739" w:rsidRDefault="0062647E">
            <w:pPr>
              <w:rPr>
                <w:rFonts w:cstheme="minorHAnsi"/>
              </w:rPr>
            </w:pPr>
            <w:r w:rsidRPr="007A1739">
              <w:rPr>
                <w:rFonts w:cstheme="minorHAnsi"/>
              </w:rPr>
              <w:t>0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1F89D221" w14:textId="022C90ED" w:rsidR="00753580" w:rsidRPr="007A1739" w:rsidRDefault="00614B76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753580" w14:paraId="26AA7D45" w14:textId="77777777" w:rsidTr="007A1739">
        <w:tc>
          <w:tcPr>
            <w:tcW w:w="2254" w:type="dxa"/>
          </w:tcPr>
          <w:p w14:paraId="583D2F4F" w14:textId="1B314524" w:rsidR="00753580" w:rsidRDefault="0075358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My motivation to take part in the course improved as a result of Dragons’ Den</w:t>
            </w:r>
          </w:p>
        </w:tc>
        <w:tc>
          <w:tcPr>
            <w:tcW w:w="1127" w:type="dxa"/>
          </w:tcPr>
          <w:p w14:paraId="3E4CE0E9" w14:textId="02C087CD" w:rsidR="00753580" w:rsidRPr="007A1739" w:rsidRDefault="007A1739">
            <w:pPr>
              <w:rPr>
                <w:rFonts w:cstheme="minorHAnsi"/>
              </w:rPr>
            </w:pPr>
            <w:r w:rsidRPr="007A1739">
              <w:rPr>
                <w:rFonts w:cstheme="minorHAnsi"/>
              </w:rPr>
              <w:t>8</w:t>
            </w:r>
            <w:r w:rsidR="00614B76">
              <w:rPr>
                <w:rFonts w:cstheme="minorHAnsi"/>
              </w:rPr>
              <w:t>4</w:t>
            </w:r>
          </w:p>
        </w:tc>
        <w:tc>
          <w:tcPr>
            <w:tcW w:w="1127" w:type="dxa"/>
          </w:tcPr>
          <w:p w14:paraId="265D241C" w14:textId="1AFE196F" w:rsidR="00753580" w:rsidRPr="007A1739" w:rsidRDefault="007A1739">
            <w:pPr>
              <w:rPr>
                <w:rFonts w:cstheme="minorHAnsi"/>
              </w:rPr>
            </w:pPr>
            <w:r w:rsidRPr="007A1739">
              <w:rPr>
                <w:rFonts w:cstheme="minorHAnsi"/>
              </w:rPr>
              <w:t>64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14:paraId="5E3F1B5D" w14:textId="2F2683B1" w:rsidR="00753580" w:rsidRPr="007A1739" w:rsidRDefault="007A1739">
            <w:pPr>
              <w:rPr>
                <w:rFonts w:cstheme="minorHAnsi"/>
              </w:rPr>
            </w:pPr>
            <w:r w:rsidRPr="007A1739">
              <w:rPr>
                <w:rFonts w:cstheme="minorHAnsi"/>
              </w:rPr>
              <w:t>16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14:paraId="3609ACC8" w14:textId="43256C97" w:rsidR="00753580" w:rsidRPr="007A1739" w:rsidRDefault="007A1739">
            <w:pPr>
              <w:rPr>
                <w:rFonts w:cstheme="minorHAnsi"/>
              </w:rPr>
            </w:pPr>
            <w:r w:rsidRPr="007A1739">
              <w:rPr>
                <w:rFonts w:cstheme="minorHAnsi"/>
              </w:rPr>
              <w:t>36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2C364102" w14:textId="0DC3AE28" w:rsidR="00753580" w:rsidRPr="007A1739" w:rsidRDefault="007A1739">
            <w:pPr>
              <w:rPr>
                <w:rFonts w:cstheme="minorHAnsi"/>
              </w:rPr>
            </w:pPr>
            <w:r w:rsidRPr="007A1739">
              <w:rPr>
                <w:rFonts w:cstheme="minorHAnsi"/>
              </w:rPr>
              <w:t>0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3868C717" w14:textId="26FCEB15" w:rsidR="00753580" w:rsidRPr="007A1739" w:rsidRDefault="007A1739">
            <w:pPr>
              <w:rPr>
                <w:rFonts w:cstheme="minorHAnsi"/>
              </w:rPr>
            </w:pPr>
            <w:r w:rsidRPr="007A1739">
              <w:rPr>
                <w:rFonts w:cstheme="minorHAnsi"/>
              </w:rPr>
              <w:t>0</w:t>
            </w:r>
          </w:p>
        </w:tc>
      </w:tr>
    </w:tbl>
    <w:p w14:paraId="73292CFE" w14:textId="5BB98B5F" w:rsidR="00753580" w:rsidRDefault="00753580">
      <w:pPr>
        <w:rPr>
          <w:rFonts w:cstheme="minorHAnsi"/>
          <w:b/>
        </w:rPr>
      </w:pPr>
    </w:p>
    <w:p w14:paraId="2ECA6323" w14:textId="77777777" w:rsidR="003F55F1" w:rsidRPr="003F55F1" w:rsidRDefault="003F55F1" w:rsidP="003F55F1">
      <w:pPr>
        <w:rPr>
          <w:rFonts w:cstheme="minorHAnsi"/>
        </w:rPr>
      </w:pPr>
      <w:r w:rsidRPr="003F55F1">
        <w:rPr>
          <w:rFonts w:cstheme="minorHAnsi"/>
        </w:rPr>
        <w:t>2019/20 cohort n= 40/56 (72% response rate)</w:t>
      </w:r>
    </w:p>
    <w:p w14:paraId="254A1241" w14:textId="77777777" w:rsidR="003F55F1" w:rsidRPr="003F55F1" w:rsidRDefault="003F55F1" w:rsidP="003F55F1">
      <w:pPr>
        <w:rPr>
          <w:rFonts w:cstheme="minorHAnsi"/>
        </w:rPr>
      </w:pPr>
      <w:r w:rsidRPr="003F55F1">
        <w:rPr>
          <w:rFonts w:cstheme="minorHAnsi"/>
        </w:rPr>
        <w:t>2020/21 cohort n= 26/26 (100% response rate)</w:t>
      </w:r>
    </w:p>
    <w:bookmarkEnd w:id="0"/>
    <w:p w14:paraId="78249739" w14:textId="77777777" w:rsidR="003F55F1" w:rsidRPr="0088484D" w:rsidRDefault="003F55F1">
      <w:pPr>
        <w:rPr>
          <w:rFonts w:cstheme="minorHAnsi"/>
          <w:b/>
        </w:rPr>
      </w:pPr>
    </w:p>
    <w:sectPr w:rsidR="003F55F1" w:rsidRPr="008848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24CC8" w16cex:dateUtc="2021-05-21T14:14:00Z"/>
  <w16cex:commentExtensible w16cex:durableId="24524EC9" w16cex:dateUtc="2021-05-21T14:2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1654"/>
    <w:multiLevelType w:val="hybridMultilevel"/>
    <w:tmpl w:val="14EA95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DD3"/>
    <w:multiLevelType w:val="hybridMultilevel"/>
    <w:tmpl w:val="04EC3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606B5"/>
    <w:multiLevelType w:val="hybridMultilevel"/>
    <w:tmpl w:val="62ACB6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95E27"/>
    <w:multiLevelType w:val="hybridMultilevel"/>
    <w:tmpl w:val="A426F4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8FA"/>
    <w:rsid w:val="001541D6"/>
    <w:rsid w:val="00240056"/>
    <w:rsid w:val="002837E7"/>
    <w:rsid w:val="00377873"/>
    <w:rsid w:val="003F55F1"/>
    <w:rsid w:val="00537E2E"/>
    <w:rsid w:val="00596CE2"/>
    <w:rsid w:val="00614B76"/>
    <w:rsid w:val="0062647E"/>
    <w:rsid w:val="00753580"/>
    <w:rsid w:val="00780E8B"/>
    <w:rsid w:val="007A1739"/>
    <w:rsid w:val="007A519E"/>
    <w:rsid w:val="007D0C6F"/>
    <w:rsid w:val="007E19AD"/>
    <w:rsid w:val="0088484D"/>
    <w:rsid w:val="008C580F"/>
    <w:rsid w:val="0091303A"/>
    <w:rsid w:val="0092240B"/>
    <w:rsid w:val="00A936B0"/>
    <w:rsid w:val="00AD5FE1"/>
    <w:rsid w:val="00C858FA"/>
    <w:rsid w:val="00CE2E2A"/>
    <w:rsid w:val="00D10949"/>
    <w:rsid w:val="00D568BB"/>
    <w:rsid w:val="00E25F5B"/>
    <w:rsid w:val="00F74B8F"/>
    <w:rsid w:val="00F82BD6"/>
    <w:rsid w:val="00F86FB7"/>
    <w:rsid w:val="00FA12DC"/>
    <w:rsid w:val="00FF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8D46F"/>
  <w15:chartTrackingRefBased/>
  <w15:docId w15:val="{A9CFB250-1EBF-416A-810F-C77CC705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37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E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E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E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E2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53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0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6BAA9560F43249AE06819FE4E736E5" ma:contentTypeVersion="12" ma:contentTypeDescription="Create a new document." ma:contentTypeScope="" ma:versionID="0568deaa097936d34d6e6c7f25bee663">
  <xsd:schema xmlns:xsd="http://www.w3.org/2001/XMLSchema" xmlns:xs="http://www.w3.org/2001/XMLSchema" xmlns:p="http://schemas.microsoft.com/office/2006/metadata/properties" xmlns:ns3="bf7fb748-46f6-433c-b77e-30cb26cf2287" xmlns:ns4="de77539d-0db0-45f6-8419-5c7b7de557b6" targetNamespace="http://schemas.microsoft.com/office/2006/metadata/properties" ma:root="true" ma:fieldsID="21804d9860a7d0eb991cf16a95512239" ns3:_="" ns4:_="">
    <xsd:import namespace="bf7fb748-46f6-433c-b77e-30cb26cf2287"/>
    <xsd:import namespace="de77539d-0db0-45f6-8419-5c7b7de557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fb748-46f6-433c-b77e-30cb26cf2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539d-0db0-45f6-8419-5c7b7de557b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092E98-7BE6-4094-ABE6-73A81B31AD7D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bf7fb748-46f6-433c-b77e-30cb26cf2287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de77539d-0db0-45f6-8419-5c7b7de557b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C40DBCB-1516-4887-8EF4-DD588F0A84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971075-5C60-4BC0-B7CA-538A87C84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7fb748-46f6-433c-b77e-30cb26cf2287"/>
    <ds:schemaRef ds:uri="de77539d-0db0-45f6-8419-5c7b7de557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Stott</dc:creator>
  <cp:keywords/>
  <dc:description/>
  <cp:lastModifiedBy>Jennifer Stott</cp:lastModifiedBy>
  <cp:revision>2</cp:revision>
  <dcterms:created xsi:type="dcterms:W3CDTF">2021-05-21T15:30:00Z</dcterms:created>
  <dcterms:modified xsi:type="dcterms:W3CDTF">2021-05-21T15:30:00Z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0x010100546BAA9560F43249AE06819FE4E736E5</vt:lpwstr>
  </property>
</Properties>
</file>