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Disseminated tuberculosis presenting as bilateral neuro-retinitis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Vanesa </w:t>
      </w:r>
      <w:bookmarkStart w:id="0" w:name="_GoBack"/>
      <w:proofErr w:type="spellStart"/>
      <w:r>
        <w:rPr>
          <w:rFonts w:ascii="ArialMT" w:hAnsi="ArialMT" w:cs="ArialMT"/>
          <w:color w:val="000000"/>
          <w:sz w:val="20"/>
          <w:szCs w:val="20"/>
        </w:rPr>
        <w:t>Anton-Vazquez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bookmarkEnd w:id="0"/>
      <w:r>
        <w:rPr>
          <w:rFonts w:ascii="ArialMT" w:hAnsi="ArialMT" w:cs="ArialMT"/>
          <w:color w:val="000000"/>
          <w:sz w:val="12"/>
          <w:szCs w:val="12"/>
        </w:rPr>
        <w:t>1</w:t>
      </w:r>
      <w:r>
        <w:rPr>
          <w:rFonts w:ascii="ArialMT" w:hAnsi="ArialMT" w:cs="ArialMT"/>
          <w:color w:val="000000"/>
          <w:sz w:val="20"/>
          <w:szCs w:val="20"/>
        </w:rPr>
        <w:t xml:space="preserve">, Padmini Parthasarathi </w:t>
      </w:r>
      <w:r>
        <w:rPr>
          <w:rFonts w:ascii="ArialMT" w:hAnsi="ArialMT" w:cs="ArialMT"/>
          <w:color w:val="000000"/>
          <w:sz w:val="12"/>
          <w:szCs w:val="12"/>
        </w:rPr>
        <w:t>2</w:t>
      </w:r>
      <w:r>
        <w:rPr>
          <w:rFonts w:ascii="ArialMT" w:hAnsi="ArialMT" w:cs="ArialMT"/>
          <w:color w:val="000000"/>
          <w:sz w:val="20"/>
          <w:szCs w:val="20"/>
        </w:rPr>
        <w:t xml:space="preserve">, Gabriela Grimaldi 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, Thomas Dhanes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, Angela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Rees 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 xml:space="preserve">, Manuraj Singh </w:t>
      </w:r>
      <w:r>
        <w:rPr>
          <w:rFonts w:ascii="ArialMT" w:hAnsi="ArialMT" w:cs="ArialMT"/>
          <w:color w:val="000000"/>
          <w:sz w:val="12"/>
          <w:szCs w:val="12"/>
        </w:rPr>
        <w:t>4</w:t>
      </w:r>
      <w:r>
        <w:rPr>
          <w:rFonts w:ascii="ArialMT" w:hAnsi="ArialMT" w:cs="ArialMT"/>
          <w:color w:val="000000"/>
          <w:sz w:val="20"/>
          <w:szCs w:val="20"/>
        </w:rPr>
        <w:t xml:space="preserve">, Derek Macallan </w:t>
      </w:r>
      <w:r>
        <w:rPr>
          <w:rFonts w:ascii="ArialMT" w:hAnsi="ArialMT" w:cs="ArialMT"/>
          <w:color w:val="000000"/>
          <w:sz w:val="12"/>
          <w:szCs w:val="12"/>
        </w:rPr>
        <w:t>1,5</w:t>
      </w:r>
      <w:r>
        <w:rPr>
          <w:rFonts w:ascii="ArialMT" w:hAnsi="ArialMT" w:cs="ArialMT"/>
          <w:color w:val="000000"/>
          <w:sz w:val="20"/>
          <w:szCs w:val="20"/>
        </w:rPr>
        <w:t xml:space="preserve">, Mauricio Arias </w:t>
      </w:r>
      <w:r>
        <w:rPr>
          <w:rFonts w:ascii="ArialMT" w:hAnsi="ArialMT" w:cs="ArialMT"/>
          <w:color w:val="000000"/>
          <w:sz w:val="12"/>
          <w:szCs w:val="12"/>
        </w:rPr>
        <w:t>1,6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2"/>
          <w:szCs w:val="12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2"/>
          <w:szCs w:val="12"/>
        </w:rPr>
        <w:t xml:space="preserve">1 </w:t>
      </w:r>
      <w:r>
        <w:rPr>
          <w:rFonts w:ascii="ArialMT" w:hAnsi="ArialMT" w:cs="ArialMT"/>
          <w:color w:val="000000"/>
          <w:sz w:val="18"/>
          <w:szCs w:val="18"/>
        </w:rPr>
        <w:t xml:space="preserve">Infection Care Group, St George's University Hospitals NHS Foundation Trust,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Blackshaw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Road, London, SW17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0QT, UK.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2"/>
          <w:szCs w:val="12"/>
        </w:rPr>
        <w:t xml:space="preserve">2 </w:t>
      </w:r>
      <w:r>
        <w:rPr>
          <w:rFonts w:ascii="ArialMT" w:hAnsi="ArialMT" w:cs="ArialMT"/>
          <w:color w:val="000000"/>
          <w:sz w:val="18"/>
          <w:szCs w:val="18"/>
        </w:rPr>
        <w:t xml:space="preserve">Department of General Medicine, St George's University Hospitals NHS Foundation Trust,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Blackshaw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Road,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London, SW17 0QT, UK.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2"/>
          <w:szCs w:val="12"/>
        </w:rPr>
        <w:t xml:space="preserve">3 </w:t>
      </w:r>
      <w:r>
        <w:rPr>
          <w:rFonts w:ascii="ArialMT" w:hAnsi="ArialMT" w:cs="ArialMT"/>
          <w:color w:val="000000"/>
          <w:sz w:val="18"/>
          <w:szCs w:val="18"/>
        </w:rPr>
        <w:t>Department of Ophthalmology, Moorfields Eye hospital, St George's University Hospitals NHS Foundation Trust.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Blackshaw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Road, London, SW17 0QT, UK.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2"/>
          <w:szCs w:val="12"/>
        </w:rPr>
        <w:t xml:space="preserve">4 </w:t>
      </w:r>
      <w:r>
        <w:rPr>
          <w:rFonts w:ascii="ArialMT" w:hAnsi="ArialMT" w:cs="ArialMT"/>
          <w:color w:val="000000"/>
          <w:sz w:val="18"/>
          <w:szCs w:val="18"/>
        </w:rPr>
        <w:t xml:space="preserve">Department of Histopathology, St George's University Hospitals NHS Foundation Trust,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Blackshaw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Road,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London, SW17 0QT, UK.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2"/>
          <w:szCs w:val="12"/>
        </w:rPr>
        <w:t xml:space="preserve">5 </w:t>
      </w:r>
      <w:r>
        <w:rPr>
          <w:rFonts w:ascii="ArialMT" w:hAnsi="ArialMT" w:cs="ArialMT"/>
          <w:color w:val="000000"/>
          <w:sz w:val="18"/>
          <w:szCs w:val="18"/>
        </w:rPr>
        <w:t>Institute of Infection and Immunity, St. George’s University of London. Cranmer Terrace, London, SW17 0RE, UK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2"/>
          <w:szCs w:val="12"/>
        </w:rPr>
        <w:t xml:space="preserve">6 </w:t>
      </w:r>
      <w:r>
        <w:rPr>
          <w:rFonts w:ascii="ArialMT" w:hAnsi="ArialMT" w:cs="ArialMT"/>
          <w:color w:val="000000"/>
          <w:sz w:val="18"/>
          <w:szCs w:val="18"/>
        </w:rPr>
        <w:t>Infectious Diseases and Microbiology, King's College Hospital. Denmark Hill, London SE5 9RS, UK.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Corresponding author: Vanesa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Anton-Vazquez</w:t>
      </w:r>
      <w:proofErr w:type="spellEnd"/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Email corresponding author: 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563C2"/>
          <w:sz w:val="18"/>
          <w:szCs w:val="18"/>
        </w:rPr>
      </w:pPr>
      <w:r>
        <w:rPr>
          <w:rFonts w:ascii="ArialMT" w:hAnsi="ArialMT" w:cs="ArialMT"/>
          <w:color w:val="0563C2"/>
          <w:sz w:val="18"/>
          <w:szCs w:val="18"/>
        </w:rPr>
        <w:t>v.anton-vazquez@nhs.net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563C2"/>
          <w:sz w:val="18"/>
          <w:szCs w:val="18"/>
        </w:rPr>
      </w:pPr>
      <w:r>
        <w:rPr>
          <w:rFonts w:ascii="ArialMT" w:hAnsi="ArialMT" w:cs="ArialMT"/>
          <w:color w:val="0563C2"/>
          <w:sz w:val="18"/>
          <w:szCs w:val="18"/>
        </w:rPr>
        <w:t>vantonva@sgul.ac.uk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24-year-old Nepalese male, ex-smoker, with past medical history of post-natal prolonged hospital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stay and recurrent pneumonia as an infant, presented with a 2-week history of progressive visual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impairment. He denied fever, chest pain, shortness of breath or unintentional weight loss. He recalled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2-week dry cough episode three months before admission.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Physical examination revealed a painless lump on the vertex of the skull and tenderness on lumbar and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sacral spine. White blood cell count was 12x10</w:t>
      </w:r>
      <w:r>
        <w:rPr>
          <w:rFonts w:ascii="ArialMT" w:hAnsi="ArialMT" w:cs="ArialMT"/>
          <w:color w:val="000000"/>
          <w:sz w:val="13"/>
          <w:szCs w:val="13"/>
        </w:rPr>
        <w:t xml:space="preserve">3 </w:t>
      </w:r>
      <w:r>
        <w:rPr>
          <w:rFonts w:ascii="ArialMT" w:hAnsi="ArialMT" w:cs="ArialMT"/>
          <w:color w:val="000000"/>
          <w:sz w:val="20"/>
          <w:szCs w:val="20"/>
        </w:rPr>
        <w:t>cells/L and CRP 15mg/L. HIV antigen/antibody test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and syphilis serology were negative. MRI brain showed bilateral optic nerve oedema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(Fig 1, A) </w:t>
      </w:r>
      <w:r>
        <w:rPr>
          <w:rFonts w:ascii="ArialMT" w:hAnsi="ArialMT" w:cs="ArialMT"/>
          <w:color w:val="000000"/>
          <w:sz w:val="20"/>
          <w:szCs w:val="20"/>
        </w:rPr>
        <w:t>and a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skull soft tissue lesion with focal bone destruction displacing the dura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(Fig 1, C).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Ophthalmologists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confirmed bilateral neuro-retinitis associated with severe bilateral visual loss and severe papillitis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observed on fundoscopy (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Fig 1, B</w:t>
      </w:r>
      <w:r>
        <w:rPr>
          <w:rFonts w:ascii="ArialMT" w:hAnsi="ArialMT" w:cs="ArialMT"/>
          <w:color w:val="000000"/>
          <w:sz w:val="20"/>
          <w:szCs w:val="20"/>
        </w:rPr>
        <w:t>). MRI spine showed a large inflammatory posterior sacral mass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associated with areas of sacral osteomyelitis, and a presacral collection. CT-thorax showed mediastinal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lymphadenopathies. An electrocardiogram showed sinus rhythm with diffuse saddle-shaped ST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segment elevation. Echocardiography revealed acoustic enhancement of the posterior aspect of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pericardium consistent with pericarditis. Necrotising granulomas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(Fig 1, D) </w:t>
      </w:r>
      <w:r>
        <w:rPr>
          <w:rFonts w:ascii="ArialMT" w:hAnsi="ArialMT" w:cs="ArialMT"/>
          <w:color w:val="000000"/>
          <w:sz w:val="20"/>
          <w:szCs w:val="20"/>
        </w:rPr>
        <w:t>were observed on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haematoxylin-eosin staining of a sacral biopsy and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Ziehl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-Nielsen stain was positive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(Fig 1, D inset).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Polymerase chain reaction (PCR) for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Mycobacterium tuberculosis </w:t>
      </w:r>
      <w:r>
        <w:rPr>
          <w:rFonts w:ascii="ArialMT" w:hAnsi="ArialMT" w:cs="ArialMT"/>
          <w:color w:val="000000"/>
          <w:sz w:val="20"/>
          <w:szCs w:val="20"/>
        </w:rPr>
        <w:t>resulted negative on sputum samples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and sacral tissue. However, sensitive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Mycobacterium tuberculosis </w:t>
      </w:r>
      <w:r>
        <w:rPr>
          <w:rFonts w:ascii="ArialMT" w:hAnsi="ArialMT" w:cs="ArialMT"/>
          <w:color w:val="000000"/>
          <w:sz w:val="20"/>
          <w:szCs w:val="20"/>
        </w:rPr>
        <w:t>was isolated from sacral and scalp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tissue culture.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Quadruple anti-tuberculosis therapy with rifampicin,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isoniazide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pirazynamide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and moxifloxacin was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started alongside high dose steroids, based on suspicion of disseminated tuberculosis (TB) with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associated bilateral neuro-retinitis. After completion of a 2-week high dose steroid course, including 3</w:t>
      </w:r>
      <w:r>
        <w:rPr>
          <w:rFonts w:ascii="ArialMT" w:hAnsi="ArialMT" w:cs="ArialMT"/>
          <w:color w:val="000000"/>
          <w:sz w:val="20"/>
          <w:szCs w:val="20"/>
        </w:rPr>
        <w:t>-</w:t>
      </w:r>
      <w:r>
        <w:rPr>
          <w:rFonts w:ascii="ArialMT" w:hAnsi="ArialMT" w:cs="ArialMT"/>
          <w:color w:val="000000"/>
          <w:sz w:val="20"/>
          <w:szCs w:val="20"/>
        </w:rPr>
        <w:t>day daily pulses of methylprednisolone 1g, followed by iv dexamethasone 16mg twice daily,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patient’s visual impairment had little improvement at 4-week follow-up. On discharge, his right visual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acuity improved from light perception to hand motion, whereas there was no change in his left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visual acuity. Such poor outcome was deemed to be related to the patient’s late presentation.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Disseminated TB presenting with intraocular involvement is a rare condition which accounts for 2% to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18% of all cases of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Mycobacterium tuberculosis </w:t>
      </w:r>
      <w:r>
        <w:rPr>
          <w:rFonts w:ascii="ArialMT" w:hAnsi="ArialMT" w:cs="ArialMT"/>
          <w:color w:val="000000"/>
          <w:sz w:val="20"/>
          <w:szCs w:val="20"/>
        </w:rPr>
        <w:t xml:space="preserve">infections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(1, 2).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Mycobacterium tuberculosis </w:t>
      </w:r>
      <w:r>
        <w:rPr>
          <w:rFonts w:ascii="ArialMT" w:hAnsi="ArialMT" w:cs="ArialMT"/>
          <w:color w:val="000000"/>
          <w:sz w:val="20"/>
          <w:szCs w:val="20"/>
        </w:rPr>
        <w:t>affects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eye primarily via hematogenous spread, however, intraocular findings can be a result of direct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extension or hypersensitivity response from tuberculous infection elsewhere in the body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(3, 4). </w:t>
      </w:r>
      <w:r>
        <w:rPr>
          <w:rFonts w:ascii="ArialMT" w:hAnsi="ArialMT" w:cs="ArialMT"/>
          <w:color w:val="000000"/>
          <w:sz w:val="20"/>
          <w:szCs w:val="20"/>
        </w:rPr>
        <w:t>Ocular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TB can lead to profound visual loss if misdiagnosed. Hence the importance of prompt recognition of TB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 an infective aetiology of neuro-retinitis to start early treatment and increase the chances of success.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case highlights the challenges associated with the diagnosis and management of an extensively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disseminated TB in a young immunocompetent patient presenting as bilateral neuro-retinitis,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calvarial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TB of both parietal bones and sacral osteomyelitis. Collaborative efforts between infectious disease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specialists and ophthalmologists are essential to achieve a diagnosis of disseminated TB in patients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presenting with visual impairment of unknown aetiology.</w:t>
      </w:r>
    </w:p>
    <w:p w:rsidR="001B2A45" w:rsidRDefault="001B2A45" w:rsidP="001B2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Funding source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research did not receive any specific grant from funding agencies in the public, commercial, or not</w:t>
      </w:r>
      <w:r>
        <w:rPr>
          <w:rFonts w:ascii="ArialMT" w:hAnsi="ArialMT" w:cs="ArialMT"/>
          <w:color w:val="000000"/>
          <w:sz w:val="20"/>
          <w:szCs w:val="20"/>
        </w:rPr>
        <w:t>-</w:t>
      </w:r>
      <w:r>
        <w:rPr>
          <w:rFonts w:ascii="ArialMT" w:hAnsi="ArialMT" w:cs="ArialMT"/>
          <w:color w:val="000000"/>
          <w:sz w:val="20"/>
          <w:szCs w:val="20"/>
        </w:rPr>
        <w:t>for-profit sectors.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Keywords: </w:t>
      </w:r>
      <w:r>
        <w:rPr>
          <w:rFonts w:ascii="ArialMT" w:hAnsi="ArialMT" w:cs="ArialMT"/>
          <w:color w:val="000000"/>
          <w:sz w:val="20"/>
          <w:szCs w:val="20"/>
        </w:rPr>
        <w:t>disseminated tuberculosis; neuro-retinitis; necrotising granuloma.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Authorship contribution statement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Vanesa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Anton-Vazquez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>Conceptualization, Investigation, Writing - original draft.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Padmini Parthasarathi: </w:t>
      </w:r>
      <w:r>
        <w:rPr>
          <w:rFonts w:ascii="ArialMT" w:hAnsi="ArialMT" w:cs="ArialMT"/>
          <w:color w:val="000000"/>
          <w:sz w:val="20"/>
          <w:szCs w:val="20"/>
        </w:rPr>
        <w:t xml:space="preserve">Investigation, Writing - original draft.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Gabriela Grimaldi: </w:t>
      </w:r>
      <w:r>
        <w:rPr>
          <w:rFonts w:ascii="ArialMT" w:hAnsi="ArialMT" w:cs="ArialMT"/>
          <w:color w:val="000000"/>
          <w:sz w:val="20"/>
          <w:szCs w:val="20"/>
        </w:rPr>
        <w:t>Investigation.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Thomas Dhanes: </w:t>
      </w:r>
      <w:r>
        <w:rPr>
          <w:rFonts w:ascii="ArialMT" w:hAnsi="ArialMT" w:cs="ArialMT"/>
          <w:color w:val="000000"/>
          <w:sz w:val="20"/>
          <w:szCs w:val="20"/>
        </w:rPr>
        <w:t xml:space="preserve">Investigation.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Angela Rees</w:t>
      </w:r>
      <w:r>
        <w:rPr>
          <w:rFonts w:ascii="Arial-BoldMT" w:hAnsi="Arial-BoldMT" w:cs="Arial-BoldMT"/>
          <w:b/>
          <w:bCs/>
          <w:color w:val="000000"/>
          <w:sz w:val="13"/>
          <w:szCs w:val="13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 xml:space="preserve">Investigation.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Manuraj Singh: </w:t>
      </w:r>
      <w:r>
        <w:rPr>
          <w:rFonts w:ascii="ArialMT" w:hAnsi="ArialMT" w:cs="ArialMT"/>
          <w:color w:val="000000"/>
          <w:sz w:val="20"/>
          <w:szCs w:val="20"/>
        </w:rPr>
        <w:t>Investigation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 Derek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Macallan: </w:t>
      </w:r>
      <w:r>
        <w:rPr>
          <w:rFonts w:ascii="ArialMT" w:hAnsi="ArialMT" w:cs="ArialMT"/>
          <w:color w:val="000000"/>
          <w:sz w:val="20"/>
          <w:szCs w:val="20"/>
        </w:rPr>
        <w:t xml:space="preserve">Writing - review &amp; editing.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Mauricio Arias: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Conceptualization ,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Writing - review &amp; editing.</w:t>
      </w: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1B2A45">
        <w:rPr>
          <w:rFonts w:ascii="MyriadPro-Regular" w:hAnsi="MyriadPro-Regular" w:cs="MyriadPro-Regular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31510" cy="44650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45" w:rsidRDefault="001B2A45" w:rsidP="001B2A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Figure 1. A) </w:t>
      </w:r>
      <w:r>
        <w:rPr>
          <w:rFonts w:ascii="ArialMT" w:hAnsi="ArialMT" w:cs="ArialMT"/>
          <w:color w:val="000000"/>
          <w:sz w:val="20"/>
          <w:szCs w:val="20"/>
        </w:rPr>
        <w:t xml:space="preserve">FLAIR MRI axial scan showing bilateral protrusion of the optic disc head (arrowheads).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B)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Colour fundus pictures showing signs of bilateral neuro-retinitis (right eye shown). Optic disc oedema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with Paton’s lines (white arrowhead), retinal exudates (black arrowheads) and star-shaped macular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exudates (black arrow), retinal flame haemorrhages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C) </w:t>
      </w:r>
      <w:r>
        <w:rPr>
          <w:rFonts w:ascii="ArialMT" w:hAnsi="ArialMT" w:cs="ArialMT"/>
          <w:color w:val="000000"/>
          <w:sz w:val="20"/>
          <w:szCs w:val="20"/>
        </w:rPr>
        <w:t>Abnormal soft tissue lesion extending from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scalp through to skull, to involve the sagittal sinus posteriorly towards the vertex.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D) </w:t>
      </w:r>
      <w:r>
        <w:rPr>
          <w:rFonts w:ascii="ArialMT" w:hAnsi="ArialMT" w:cs="ArialMT"/>
          <w:color w:val="000000"/>
          <w:sz w:val="20"/>
          <w:szCs w:val="20"/>
        </w:rPr>
        <w:t>High power of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haematoxillin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-eosin staining showing necrotising granulomas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Ziehl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-Nielsen stain showing red curved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and beaded organism of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Mycobacterium tuberculosis </w:t>
      </w:r>
      <w:r>
        <w:rPr>
          <w:rFonts w:ascii="ArialMT" w:hAnsi="ArialMT" w:cs="ArialMT"/>
          <w:color w:val="000000"/>
          <w:sz w:val="20"/>
          <w:szCs w:val="20"/>
        </w:rPr>
        <w:t>(inset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1B2A45" w:rsidRDefault="001B2A45" w:rsidP="001B2A45">
      <w:pPr>
        <w:autoSpaceDE w:val="0"/>
        <w:autoSpaceDN w:val="0"/>
        <w:adjustRightInd w:val="0"/>
        <w:spacing w:after="24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B2A45" w:rsidRDefault="001B2A45" w:rsidP="001B2A45">
      <w:pPr>
        <w:autoSpaceDE w:val="0"/>
        <w:autoSpaceDN w:val="0"/>
        <w:adjustRightInd w:val="0"/>
        <w:spacing w:after="24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References</w:t>
      </w:r>
    </w:p>
    <w:p w:rsidR="001B2A45" w:rsidRDefault="001B2A45" w:rsidP="001B2A45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Dalvin LA, Smith WM. Intraocular manifestations of mycobacterium tuberculosis: A review of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the literature. J Clin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Tuberc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Other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Mycobact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Dis.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2017;7:13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-21.</w:t>
      </w:r>
    </w:p>
    <w:p w:rsidR="001B2A45" w:rsidRDefault="001B2A45" w:rsidP="001B2A45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Bouza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E, Merino P, Muñoz P, Sanchez-Carrillo C,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Yáñez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J, C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Ocular tuberculosis. A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prospective study in a general hospital. Medicine.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1997;76:53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1B2A45" w:rsidRDefault="001B2A45" w:rsidP="001B2A45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Shakarchi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FI. Ocular tuberculosis: current perspectives. Clin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Ophthalmol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2015;9:2223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-7.</w:t>
      </w:r>
    </w:p>
    <w:p w:rsidR="00CA7C9A" w:rsidRPr="001B2A45" w:rsidRDefault="001B2A45" w:rsidP="001B2A45">
      <w:pPr>
        <w:autoSpaceDE w:val="0"/>
        <w:autoSpaceDN w:val="0"/>
        <w:adjustRightInd w:val="0"/>
        <w:spacing w:after="24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Antaki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F,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Javidi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S, Touma S, Aubin MJ. Endogenous Tuberculous Endophthalmitis and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Panophthalmitis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: A Systematic Review of Case Reports and Case Series. Clin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Ophthalmol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2020;14:3075-96.</w:t>
      </w:r>
    </w:p>
    <w:sectPr w:rsidR="00CA7C9A" w:rsidRPr="001B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45"/>
    <w:rsid w:val="0003003F"/>
    <w:rsid w:val="001B2A45"/>
    <w:rsid w:val="00B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0F15"/>
  <w15:chartTrackingRefBased/>
  <w15:docId w15:val="{CFDC10C4-9E3B-4850-9DFD-4494E10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Macallan</dc:creator>
  <cp:keywords/>
  <dc:description/>
  <cp:lastModifiedBy>Derek Macallan</cp:lastModifiedBy>
  <cp:revision>1</cp:revision>
  <dcterms:created xsi:type="dcterms:W3CDTF">2021-12-20T12:17:00Z</dcterms:created>
  <dcterms:modified xsi:type="dcterms:W3CDTF">2021-12-20T12:29:00Z</dcterms:modified>
</cp:coreProperties>
</file>