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-720"/>
          <w:tab w:val="left" w:pos="0"/>
          <w:tab w:val="left" w:pos="567"/>
          <w:tab w:val="left" w:pos="1134"/>
          <w:tab w:val="left" w:pos="4111"/>
          <w:tab w:val="left" w:pos="7230"/>
        </w:tabs>
        <w:suppressAutoHyphens/>
        <w:spacing w:after="120"/>
        <w:jc w:val="center"/>
        <w:rPr>
          <w:rFonts w:asciiTheme="minorHAnsi" w:eastAsia="Calibri" w:hAnsiTheme="minorHAnsi" w:cstheme="minorHAnsi"/>
          <w:b/>
          <w:spacing w:val="-3"/>
          <w:sz w:val="40"/>
          <w:szCs w:val="40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spacing w:val="-3"/>
          <w:sz w:val="40"/>
          <w:szCs w:val="40"/>
        </w:rPr>
        <w:t>ABSTRACT</w:t>
      </w:r>
    </w:p>
    <w:p>
      <w:pPr>
        <w:tabs>
          <w:tab w:val="left" w:pos="-720"/>
          <w:tab w:val="left" w:pos="0"/>
          <w:tab w:val="left" w:pos="567"/>
          <w:tab w:val="left" w:pos="1134"/>
          <w:tab w:val="left" w:pos="4111"/>
          <w:tab w:val="left" w:pos="7230"/>
        </w:tabs>
        <w:suppressAutoHyphens/>
        <w:spacing w:after="120"/>
        <w:jc w:val="center"/>
        <w:rPr>
          <w:rFonts w:asciiTheme="minorHAnsi" w:eastAsia="Calibri" w:hAnsiTheme="minorHAnsi" w:cstheme="minorHAnsi"/>
          <w:b/>
          <w:spacing w:val="-3"/>
          <w:sz w:val="48"/>
          <w:szCs w:val="48"/>
        </w:rPr>
      </w:pPr>
      <w:r>
        <w:rPr>
          <w:rFonts w:asciiTheme="minorHAnsi" w:eastAsia="Calibri" w:hAnsiTheme="minorHAnsi" w:cstheme="minorHAnsi"/>
          <w:b/>
          <w:spacing w:val="-3"/>
          <w:sz w:val="48"/>
          <w:szCs w:val="48"/>
        </w:rPr>
        <w:t xml:space="preserve">International case control study of Sudden Unexpected Death in Epilepsy </w:t>
      </w:r>
    </w:p>
    <w:p>
      <w:pPr>
        <w:tabs>
          <w:tab w:val="left" w:pos="-720"/>
          <w:tab w:val="left" w:pos="0"/>
          <w:tab w:val="left" w:pos="567"/>
          <w:tab w:val="left" w:pos="1134"/>
          <w:tab w:val="left" w:pos="4111"/>
          <w:tab w:val="left" w:pos="7230"/>
        </w:tabs>
        <w:suppressAutoHyphens/>
        <w:spacing w:after="120"/>
        <w:jc w:val="center"/>
        <w:rPr>
          <w:rFonts w:asciiTheme="minorHAnsi" w:eastAsia="Calibri" w:hAnsiTheme="minorHAnsi" w:cstheme="minorHAnsi"/>
          <w:b/>
          <w:spacing w:val="-3"/>
          <w:sz w:val="48"/>
          <w:szCs w:val="48"/>
        </w:rPr>
      </w:pPr>
      <w:r>
        <w:rPr>
          <w:rFonts w:asciiTheme="minorHAnsi" w:eastAsia="Calibri" w:hAnsiTheme="minorHAnsi" w:cstheme="minorHAnsi"/>
          <w:b/>
          <w:spacing w:val="-3"/>
          <w:sz w:val="48"/>
          <w:szCs w:val="48"/>
        </w:rPr>
        <w:t xml:space="preserve"> (SUDEP) </w:t>
      </w:r>
    </w:p>
    <w:p>
      <w:pPr>
        <w:tabs>
          <w:tab w:val="left" w:pos="-720"/>
          <w:tab w:val="left" w:pos="0"/>
          <w:tab w:val="left" w:pos="567"/>
          <w:tab w:val="left" w:pos="1134"/>
          <w:tab w:val="left" w:pos="4111"/>
          <w:tab w:val="left" w:pos="7230"/>
        </w:tabs>
        <w:suppressAutoHyphens/>
        <w:spacing w:after="120"/>
        <w:jc w:val="center"/>
        <w:rPr>
          <w:rFonts w:asciiTheme="minorHAnsi" w:eastAsia="Calibri" w:hAnsiTheme="minorHAnsi" w:cstheme="minorHAnsi"/>
          <w:b/>
          <w:spacing w:val="-3"/>
          <w:sz w:val="48"/>
          <w:szCs w:val="48"/>
        </w:rPr>
      </w:pPr>
    </w:p>
    <w:p>
      <w:pPr>
        <w:tabs>
          <w:tab w:val="left" w:pos="-720"/>
          <w:tab w:val="left" w:pos="0"/>
          <w:tab w:val="left" w:pos="567"/>
          <w:tab w:val="left" w:pos="1134"/>
          <w:tab w:val="left" w:pos="4111"/>
          <w:tab w:val="left" w:pos="7230"/>
        </w:tabs>
        <w:suppressAutoHyphens/>
        <w:spacing w:after="120"/>
        <w:jc w:val="both"/>
        <w:rPr>
          <w:rFonts w:asciiTheme="minorHAnsi" w:eastAsia="Calibri" w:hAnsiTheme="minorHAnsi" w:cstheme="minorHAnsi"/>
          <w:b/>
          <w:spacing w:val="-3"/>
          <w:sz w:val="24"/>
          <w:szCs w:val="24"/>
        </w:rPr>
      </w:pPr>
      <w:r>
        <w:rPr>
          <w:rFonts w:asciiTheme="minorHAnsi" w:eastAsia="Calibri" w:hAnsiTheme="minorHAnsi" w:cstheme="minorHAnsi"/>
          <w:b/>
          <w:spacing w:val="-3"/>
          <w:sz w:val="24"/>
          <w:szCs w:val="24"/>
        </w:rPr>
        <w:t>Purpose:</w:t>
      </w:r>
    </w:p>
    <w:p>
      <w:pPr>
        <w:tabs>
          <w:tab w:val="left" w:pos="-720"/>
          <w:tab w:val="left" w:pos="0"/>
          <w:tab w:val="left" w:pos="567"/>
          <w:tab w:val="left" w:pos="1134"/>
          <w:tab w:val="left" w:pos="4111"/>
          <w:tab w:val="left" w:pos="7230"/>
        </w:tabs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identify factors associated with an increased or decreased risk of SUDEP.</w:t>
      </w:r>
      <w:r>
        <w:rPr>
          <w:rFonts w:asciiTheme="minorHAnsi" w:eastAsia="Calibri" w:hAnsiTheme="minorHAnsi" w:cstheme="minorHAnsi"/>
          <w:spacing w:val="-3"/>
          <w:sz w:val="24"/>
          <w:szCs w:val="24"/>
        </w:rPr>
        <w:tab/>
      </w:r>
    </w:p>
    <w:p>
      <w:pPr>
        <w:tabs>
          <w:tab w:val="left" w:pos="-720"/>
          <w:tab w:val="left" w:pos="0"/>
          <w:tab w:val="left" w:pos="567"/>
          <w:tab w:val="left" w:pos="1134"/>
          <w:tab w:val="left" w:pos="4111"/>
          <w:tab w:val="left" w:pos="7230"/>
        </w:tabs>
        <w:suppressAutoHyphens/>
        <w:spacing w:after="120"/>
        <w:jc w:val="both"/>
        <w:rPr>
          <w:rFonts w:asciiTheme="minorHAnsi" w:eastAsia="Calibri" w:hAnsiTheme="minorHAnsi" w:cstheme="minorHAnsi"/>
          <w:b/>
          <w:spacing w:val="-3"/>
          <w:sz w:val="24"/>
          <w:szCs w:val="24"/>
        </w:rPr>
      </w:pPr>
      <w:r>
        <w:rPr>
          <w:rFonts w:asciiTheme="minorHAnsi" w:eastAsia="Calibri" w:hAnsiTheme="minorHAnsi" w:cstheme="minorHAnsi"/>
          <w:b/>
          <w:spacing w:val="-3"/>
          <w:sz w:val="24"/>
          <w:szCs w:val="24"/>
        </w:rPr>
        <w:t xml:space="preserve">Method: </w:t>
      </w:r>
    </w:p>
    <w:p>
      <w:pPr>
        <w:tabs>
          <w:tab w:val="left" w:pos="-720"/>
          <w:tab w:val="left" w:pos="0"/>
          <w:tab w:val="left" w:pos="567"/>
          <w:tab w:val="left" w:pos="1134"/>
          <w:tab w:val="left" w:pos="4111"/>
          <w:tab w:val="left" w:pos="7230"/>
        </w:tabs>
        <w:suppressAutoHyphens/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EpiNet study group is undertaking a prospective case-control study, aiming to recruit 200 participants from approximately 40 international centres over four years. Patients with epilepsy from a pre-defined cohort who die of definite or probable SUDEP will be included.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Cases must be alive when the cohort is defined. For each case, three true controls and one proxy control will be recruited from the same cohort.</w:t>
      </w:r>
    </w:p>
    <w:p>
      <w:pPr>
        <w:tabs>
          <w:tab w:val="left" w:pos="-720"/>
          <w:tab w:val="left" w:pos="0"/>
          <w:tab w:val="left" w:pos="567"/>
          <w:tab w:val="left" w:pos="1134"/>
          <w:tab w:val="left" w:pos="4111"/>
          <w:tab w:val="left" w:pos="7230"/>
        </w:tabs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structured telephone interview with the next-of-kin of SUDEP cases will be conducted. </w:t>
      </w:r>
      <w:r>
        <w:rPr>
          <w:rFonts w:asciiTheme="minorHAnsi" w:hAnsiTheme="minorHAnsi" w:cstheme="minorHAnsi"/>
          <w:sz w:val="24"/>
          <w:szCs w:val="24"/>
        </w:rPr>
        <w:t xml:space="preserve">Controls will be asked about their epilepsy and lifestyle. Proxy controls will be asked about the control patient they know.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Information regarding seizure type and medication, sleeping arrangements, nocturnal supervision, use of seizure-detection devices, socio-economic factors and other health issues will be entered into the EpiNet database. </w:t>
      </w:r>
      <w:r>
        <w:rPr>
          <w:rFonts w:asciiTheme="minorHAnsi" w:hAnsiTheme="minorHAnsi" w:cstheme="minorHAnsi"/>
          <w:sz w:val="24"/>
          <w:szCs w:val="24"/>
        </w:rPr>
        <w:t xml:space="preserve">Pathologists' and coroners' data regarding circumstances and cause of death will also be recorded if available. </w:t>
      </w:r>
    </w:p>
    <w:p>
      <w:pPr>
        <w:tabs>
          <w:tab w:val="left" w:pos="-720"/>
          <w:tab w:val="left" w:pos="0"/>
          <w:tab w:val="left" w:pos="567"/>
          <w:tab w:val="left" w:pos="1134"/>
          <w:tab w:val="left" w:pos="4111"/>
          <w:tab w:val="left" w:pos="7230"/>
        </w:tabs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The data will be analysed to identify risk factors for SUDEP.  Odds ratios will be calculated</w:t>
      </w:r>
      <w:r>
        <w:rPr>
          <w:rFonts w:asciiTheme="minorHAnsi" w:hAnsiTheme="minorHAnsi" w:cstheme="minorHAnsi"/>
          <w:sz w:val="24"/>
          <w:szCs w:val="24"/>
        </w:rPr>
        <w:t xml:space="preserve"> using the Mantel-Haenszel method and logistic regression to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control for covariates. 200 cases and 800 controls will detect an odds ratio of 1.7 over a control exposure range of 22-65%, with 80% power and 95% confidence level (2-sided).</w:t>
      </w:r>
    </w:p>
    <w:p>
      <w:pPr>
        <w:tabs>
          <w:tab w:val="left" w:pos="-720"/>
          <w:tab w:val="left" w:pos="0"/>
          <w:tab w:val="left" w:pos="567"/>
          <w:tab w:val="left" w:pos="1134"/>
          <w:tab w:val="left" w:pos="4111"/>
          <w:tab w:val="left" w:pos="7230"/>
        </w:tabs>
        <w:suppressAutoHyphens/>
        <w:spacing w:after="120"/>
        <w:jc w:val="both"/>
        <w:rPr>
          <w:rFonts w:asciiTheme="minorHAnsi" w:eastAsia="Calibri" w:hAnsiTheme="minorHAnsi" w:cstheme="minorHAnsi"/>
          <w:spacing w:val="-3"/>
          <w:sz w:val="24"/>
          <w:szCs w:val="24"/>
        </w:rPr>
      </w:pPr>
      <w:r>
        <w:rPr>
          <w:rFonts w:asciiTheme="minorHAnsi" w:eastAsia="Calibri" w:hAnsiTheme="minorHAnsi" w:cstheme="minorHAnsi"/>
          <w:b/>
          <w:spacing w:val="-3"/>
          <w:sz w:val="24"/>
          <w:szCs w:val="24"/>
        </w:rPr>
        <w:t>Results:</w:t>
      </w:r>
      <w:r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 </w:t>
      </w:r>
    </w:p>
    <w:p>
      <w:pPr>
        <w:tabs>
          <w:tab w:val="left" w:pos="-720"/>
          <w:tab w:val="left" w:pos="0"/>
          <w:tab w:val="left" w:pos="567"/>
          <w:tab w:val="left" w:pos="1134"/>
          <w:tab w:val="left" w:pos="4111"/>
          <w:tab w:val="left" w:pos="7230"/>
        </w:tabs>
        <w:suppressAutoHyphens/>
        <w:spacing w:after="120"/>
        <w:jc w:val="both"/>
        <w:rPr>
          <w:rFonts w:asciiTheme="minorHAnsi" w:eastAsia="Calibri" w:hAnsiTheme="minorHAnsi" w:cstheme="minorHAnsi"/>
          <w:spacing w:val="-3"/>
          <w:sz w:val="24"/>
          <w:szCs w:val="24"/>
        </w:rPr>
      </w:pPr>
      <w:r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The study is now underway in 8 countries through Asia-Oceania, Europe and North America, COVID-19 has adversely affected case enrolment, and new centres are being sought. </w:t>
      </w:r>
    </w:p>
    <w:p>
      <w:pPr>
        <w:tabs>
          <w:tab w:val="left" w:pos="-720"/>
          <w:tab w:val="left" w:pos="0"/>
          <w:tab w:val="left" w:pos="567"/>
          <w:tab w:val="left" w:pos="1134"/>
          <w:tab w:val="left" w:pos="4111"/>
          <w:tab w:val="left" w:pos="7230"/>
        </w:tabs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pacing w:val="-3"/>
          <w:sz w:val="24"/>
          <w:szCs w:val="24"/>
        </w:rPr>
        <w:t>Conclusion: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>
      <w:pPr>
        <w:tabs>
          <w:tab w:val="left" w:pos="-720"/>
          <w:tab w:val="left" w:pos="0"/>
          <w:tab w:val="left" w:pos="567"/>
          <w:tab w:val="left" w:pos="1134"/>
          <w:tab w:val="left" w:pos="4111"/>
          <w:tab w:val="left" w:pos="7230"/>
        </w:tabs>
        <w:suppressAutoHyphens/>
        <w:spacing w:after="120"/>
        <w:jc w:val="both"/>
        <w:rPr>
          <w:rFonts w:asciiTheme="minorHAnsi" w:eastAsia="Calibr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SUDEP is second only to stroke as the leading neurological cause of years of potential life lost</w:t>
      </w:r>
      <w:r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The causes remain uncertain.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 large prospective case-control study is the best way to determine the extent of the association between specific variables and SUDEP, in particular, those that could be modified to prevent this tragedy.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pacing w:val="-3"/>
          <w:sz w:val="24"/>
          <w:szCs w:val="24"/>
        </w:rPr>
        <w:t>Anyone interested in participating is welcome to contact:  epinetadmin@adhb.govt.nz.</w:t>
      </w:r>
    </w:p>
    <w:p>
      <w:pPr>
        <w:tabs>
          <w:tab w:val="left" w:pos="-720"/>
          <w:tab w:val="left" w:pos="0"/>
          <w:tab w:val="left" w:pos="567"/>
          <w:tab w:val="left" w:pos="1134"/>
          <w:tab w:val="left" w:pos="4111"/>
          <w:tab w:val="left" w:pos="7230"/>
        </w:tabs>
        <w:suppressAutoHyphens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tabs>
          <w:tab w:val="left" w:pos="-720"/>
          <w:tab w:val="left" w:pos="0"/>
          <w:tab w:val="left" w:pos="567"/>
          <w:tab w:val="left" w:pos="1134"/>
          <w:tab w:val="left" w:pos="4111"/>
          <w:tab w:val="left" w:pos="7230"/>
        </w:tabs>
        <w:suppressAutoHyphens/>
        <w:spacing w:after="120"/>
        <w:jc w:val="both"/>
        <w:rPr>
          <w:b/>
          <w:bCs/>
        </w:rPr>
      </w:pPr>
      <w:r>
        <w:rPr>
          <w:b/>
          <w:color w:val="000000" w:themeColor="text1"/>
        </w:rPr>
        <w:t>Funding has been obtained from the Health Research Council of New Zealand.</w:t>
      </w:r>
    </w:p>
    <w:p>
      <w:pPr>
        <w:jc w:val="both"/>
        <w:rPr>
          <w:rFonts w:asciiTheme="minorHAnsi" w:hAnsiTheme="minorHAnsi" w:cstheme="minorHAnsi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17C8A"/>
    <w:multiLevelType w:val="hybridMultilevel"/>
    <w:tmpl w:val="85E2D88A"/>
    <w:lvl w:ilvl="0" w:tplc="7CFC6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A95323"/>
    <w:multiLevelType w:val="hybridMultilevel"/>
    <w:tmpl w:val="69BA8E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0131B"/>
    <w:multiLevelType w:val="hybridMultilevel"/>
    <w:tmpl w:val="69EC0D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trackRevisions/>
  <w:doNotTrackFormatting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120"/>
      <w:outlineLvl w:val="0"/>
    </w:pPr>
    <w:rPr>
      <w:rFonts w:ascii="Franklin Gothic Book" w:eastAsiaTheme="majorEastAsia" w:hAnsi="Franklin Gothic Book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</w:style>
  <w:style w:type="paragraph" w:customStyle="1" w:styleId="Text">
    <w:name w:val="Text"/>
    <w:basedOn w:val="Normal"/>
    <w:qFormat/>
    <w:rPr>
      <w:rFonts w:ascii="Arial" w:eastAsiaTheme="minorEastAsia" w:hAnsi="Arial" w:cstheme="minorBidi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Franklin Gothic Book" w:eastAsiaTheme="majorEastAsia" w:hAnsi="Franklin Gothic Book" w:cstheme="majorBidi"/>
      <w:b/>
      <w:bCs/>
      <w:sz w:val="32"/>
      <w:szCs w:val="28"/>
    </w:rPr>
  </w:style>
  <w:style w:type="paragraph" w:customStyle="1" w:styleId="EndNoteBibliography">
    <w:name w:val="EndNote Bibliography"/>
    <w:basedOn w:val="Normal"/>
    <w:link w:val="EndNoteBibliographyChar"/>
    <w:pPr>
      <w:spacing w:after="120"/>
    </w:pPr>
    <w:rPr>
      <w:noProof/>
      <w:lang w:eastAsia="en-NZ"/>
    </w:rPr>
  </w:style>
  <w:style w:type="character" w:customStyle="1" w:styleId="EndNoteBibliographyChar">
    <w:name w:val="EndNote Bibliography Char"/>
    <w:basedOn w:val="DefaultParagraphFont"/>
    <w:link w:val="EndNoteBibliography"/>
    <w:rPr>
      <w:rFonts w:ascii="Calibri" w:hAnsi="Calibri" w:cs="Times New Roman"/>
      <w:noProof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120"/>
      <w:outlineLvl w:val="0"/>
    </w:pPr>
    <w:rPr>
      <w:rFonts w:ascii="Franklin Gothic Book" w:eastAsiaTheme="majorEastAsia" w:hAnsi="Franklin Gothic Book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</w:style>
  <w:style w:type="paragraph" w:customStyle="1" w:styleId="Text">
    <w:name w:val="Text"/>
    <w:basedOn w:val="Normal"/>
    <w:qFormat/>
    <w:rPr>
      <w:rFonts w:ascii="Arial" w:eastAsiaTheme="minorEastAsia" w:hAnsi="Arial" w:cstheme="minorBidi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Franklin Gothic Book" w:eastAsiaTheme="majorEastAsia" w:hAnsi="Franklin Gothic Book" w:cstheme="majorBidi"/>
      <w:b/>
      <w:bCs/>
      <w:sz w:val="32"/>
      <w:szCs w:val="28"/>
    </w:rPr>
  </w:style>
  <w:style w:type="paragraph" w:customStyle="1" w:styleId="EndNoteBibliography">
    <w:name w:val="EndNote Bibliography"/>
    <w:basedOn w:val="Normal"/>
    <w:link w:val="EndNoteBibliographyChar"/>
    <w:pPr>
      <w:spacing w:after="120"/>
    </w:pPr>
    <w:rPr>
      <w:noProof/>
      <w:lang w:eastAsia="en-NZ"/>
    </w:rPr>
  </w:style>
  <w:style w:type="character" w:customStyle="1" w:styleId="EndNoteBibliographyChar">
    <w:name w:val="EndNote Bibliography Char"/>
    <w:basedOn w:val="DefaultParagraphFont"/>
    <w:link w:val="EndNoteBibliography"/>
    <w:rPr>
      <w:rFonts w:ascii="Calibri" w:hAnsi="Calibri" w:cs="Times New Roman"/>
      <w:noProof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C6EC-EA4E-444F-A0AA-EDC552DF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healthAlliance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Sunayana Sasikumar (ADHB)</dc:creator>
  <cp:lastModifiedBy>Sunayana Sasikumar (ADHB)</cp:lastModifiedBy>
  <cp:revision>2</cp:revision>
  <dcterms:created xsi:type="dcterms:W3CDTF">2021-03-28T23:33:00Z</dcterms:created>
  <dcterms:modified xsi:type="dcterms:W3CDTF">2021-03-28T23:33:00Z</dcterms:modified>
</cp:coreProperties>
</file>