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9EC85" w14:textId="36001005" w:rsidR="00B84995" w:rsidRPr="008A7190" w:rsidRDefault="00D22E96">
      <w:pPr>
        <w:rPr>
          <w:b/>
        </w:rPr>
      </w:pPr>
      <w:r w:rsidRPr="008A7190">
        <w:rPr>
          <w:b/>
        </w:rPr>
        <w:t xml:space="preserve">Stratifying patients for </w:t>
      </w:r>
      <w:r w:rsidR="003C5ED1" w:rsidRPr="008A7190">
        <w:rPr>
          <w:b/>
        </w:rPr>
        <w:t>polypharmacy interventions</w:t>
      </w:r>
      <w:r w:rsidR="00700ACA" w:rsidRPr="008A7190">
        <w:rPr>
          <w:b/>
        </w:rPr>
        <w:t>: the case for a new biomarker?</w:t>
      </w:r>
    </w:p>
    <w:p w14:paraId="4E2C85FE" w14:textId="141E23A3" w:rsidR="000A3B89" w:rsidRDefault="000A3B89">
      <w:r>
        <w:t xml:space="preserve">Commentary – BJCP – on </w:t>
      </w:r>
      <w:r w:rsidRPr="000A3B89">
        <w:t>Bengaard</w:t>
      </w:r>
      <w:r>
        <w:t xml:space="preserve"> </w:t>
      </w:r>
      <w:r>
        <w:rPr>
          <w:i/>
          <w:iCs/>
        </w:rPr>
        <w:t>et al</w:t>
      </w:r>
      <w:r>
        <w:t xml:space="preserve">. </w:t>
      </w:r>
      <w:r w:rsidRPr="000A3B89">
        <w:t>Using soluble urokinase plasminogen activator receptor to stratify patients for medication review in the emergency department</w:t>
      </w:r>
    </w:p>
    <w:p w14:paraId="5EF804CD" w14:textId="77777777" w:rsidR="000A3B89" w:rsidRPr="000A3B89" w:rsidRDefault="000A3B89" w:rsidP="000A3B89">
      <w:pPr>
        <w:shd w:val="clear" w:color="auto" w:fill="FFFFFF"/>
        <w:spacing w:after="0" w:line="0" w:lineRule="auto"/>
        <w:rPr>
          <w:rFonts w:ascii="ff4" w:eastAsia="Times New Roman" w:hAnsi="ff4" w:cs="Times New Roman"/>
          <w:color w:val="231F20"/>
          <w:sz w:val="48"/>
          <w:szCs w:val="48"/>
          <w:lang w:eastAsia="en-GB"/>
        </w:rPr>
      </w:pPr>
      <w:r w:rsidRPr="000A3B89">
        <w:rPr>
          <w:rFonts w:ascii="ff4" w:eastAsia="Times New Roman" w:hAnsi="ff4" w:cs="Times New Roman"/>
          <w:color w:val="231F20"/>
          <w:sz w:val="48"/>
          <w:szCs w:val="48"/>
          <w:lang w:eastAsia="en-GB"/>
        </w:rPr>
        <w:t xml:space="preserve">The </w:t>
      </w:r>
      <w:proofErr w:type="spellStart"/>
      <w:r w:rsidRPr="000A3B89">
        <w:rPr>
          <w:rFonts w:ascii="ff4" w:eastAsia="Times New Roman" w:hAnsi="ff4" w:cs="Times New Roman"/>
          <w:color w:val="231F20"/>
          <w:sz w:val="48"/>
          <w:szCs w:val="48"/>
          <w:lang w:eastAsia="en-GB"/>
        </w:rPr>
        <w:t>benefit</w:t>
      </w:r>
      <w:r w:rsidRPr="000A3B89">
        <w:rPr>
          <w:rFonts w:ascii="ff5" w:eastAsia="Times New Roman" w:hAnsi="ff5" w:cs="Times New Roman"/>
          <w:color w:val="231F20"/>
          <w:sz w:val="48"/>
          <w:szCs w:val="48"/>
          <w:lang w:eastAsia="en-GB"/>
        </w:rPr>
        <w:t></w:t>
      </w:r>
      <w:r w:rsidRPr="000A3B89">
        <w:rPr>
          <w:rFonts w:ascii="ff4" w:eastAsia="Times New Roman" w:hAnsi="ff4" w:cs="Times New Roman"/>
          <w:color w:val="231F20"/>
          <w:sz w:val="48"/>
          <w:szCs w:val="48"/>
          <w:lang w:eastAsia="en-GB"/>
        </w:rPr>
        <w:t>to</w:t>
      </w:r>
      <w:r w:rsidRPr="000A3B89">
        <w:rPr>
          <w:rFonts w:ascii="ff5" w:eastAsia="Times New Roman" w:hAnsi="ff5" w:cs="Times New Roman"/>
          <w:color w:val="231F20"/>
          <w:sz w:val="48"/>
          <w:szCs w:val="48"/>
          <w:lang w:eastAsia="en-GB"/>
        </w:rPr>
        <w:t></w:t>
      </w:r>
      <w:r w:rsidRPr="000A3B89">
        <w:rPr>
          <w:rFonts w:ascii="ff4" w:eastAsia="Times New Roman" w:hAnsi="ff4" w:cs="Times New Roman"/>
          <w:color w:val="231F20"/>
          <w:sz w:val="48"/>
          <w:szCs w:val="48"/>
          <w:lang w:eastAsia="en-GB"/>
        </w:rPr>
        <w:t>harm</w:t>
      </w:r>
      <w:proofErr w:type="spellEnd"/>
      <w:r w:rsidRPr="000A3B89">
        <w:rPr>
          <w:rFonts w:ascii="ff4" w:eastAsia="Times New Roman" w:hAnsi="ff4" w:cs="Times New Roman"/>
          <w:color w:val="231F20"/>
          <w:sz w:val="48"/>
          <w:szCs w:val="48"/>
          <w:lang w:eastAsia="en-GB"/>
        </w:rPr>
        <w:t xml:space="preserve"> balance of aspirin has been further questioned</w:t>
      </w:r>
    </w:p>
    <w:p w14:paraId="6BDD1DD6" w14:textId="77777777" w:rsidR="000A3B89" w:rsidRPr="000A3B89" w:rsidRDefault="000A3B89" w:rsidP="000A3B89">
      <w:pPr>
        <w:shd w:val="clear" w:color="auto" w:fill="FFFFFF"/>
        <w:spacing w:after="0" w:line="0" w:lineRule="auto"/>
        <w:rPr>
          <w:rFonts w:ascii="ff4" w:eastAsia="Times New Roman" w:hAnsi="ff4" w:cs="Times New Roman"/>
          <w:color w:val="231F20"/>
          <w:sz w:val="48"/>
          <w:szCs w:val="48"/>
          <w:lang w:eastAsia="en-GB"/>
        </w:rPr>
      </w:pPr>
      <w:r w:rsidRPr="000A3B89">
        <w:rPr>
          <w:rFonts w:ascii="ff4" w:eastAsia="Times New Roman" w:hAnsi="ff4" w:cs="Times New Roman"/>
          <w:color w:val="231F20"/>
          <w:sz w:val="48"/>
          <w:szCs w:val="48"/>
          <w:lang w:eastAsia="en-GB"/>
        </w:rPr>
        <w:t>recently. What should prescribers do? The European Society of</w:t>
      </w:r>
    </w:p>
    <w:p w14:paraId="1CCE9421" w14:textId="77777777" w:rsidR="000A3B89" w:rsidRPr="000A3B89" w:rsidRDefault="000A3B89" w:rsidP="000A3B89">
      <w:pPr>
        <w:shd w:val="clear" w:color="auto" w:fill="FFFFFF"/>
        <w:spacing w:after="0" w:line="0" w:lineRule="auto"/>
        <w:rPr>
          <w:rFonts w:ascii="ff4" w:eastAsia="Times New Roman" w:hAnsi="ff4" w:cs="Times New Roman"/>
          <w:color w:val="231F20"/>
          <w:sz w:val="48"/>
          <w:szCs w:val="48"/>
          <w:lang w:eastAsia="en-GB"/>
        </w:rPr>
      </w:pPr>
      <w:r w:rsidRPr="000A3B89">
        <w:rPr>
          <w:rFonts w:ascii="ff4" w:eastAsia="Times New Roman" w:hAnsi="ff4" w:cs="Times New Roman"/>
          <w:color w:val="231F20"/>
          <w:sz w:val="48"/>
          <w:szCs w:val="48"/>
          <w:lang w:eastAsia="en-GB"/>
        </w:rPr>
        <w:t>Cardiology (ESC) Guidelines, most recently updated in 2016,</w:t>
      </w:r>
    </w:p>
    <w:p w14:paraId="3C15735B" w14:textId="77777777" w:rsidR="000A3B89" w:rsidRPr="000A3B89" w:rsidRDefault="000A3B89" w:rsidP="000A3B89">
      <w:pPr>
        <w:shd w:val="clear" w:color="auto" w:fill="FFFFFF"/>
        <w:spacing w:after="0" w:line="0" w:lineRule="auto"/>
        <w:rPr>
          <w:rFonts w:ascii="ff4" w:eastAsia="Times New Roman" w:hAnsi="ff4" w:cs="Times New Roman"/>
          <w:color w:val="231F20"/>
          <w:sz w:val="32"/>
          <w:szCs w:val="32"/>
          <w:lang w:eastAsia="en-GB"/>
        </w:rPr>
      </w:pPr>
      <w:r w:rsidRPr="000A3B89">
        <w:rPr>
          <w:rFonts w:ascii="ff4" w:eastAsia="Times New Roman" w:hAnsi="ff4" w:cs="Times New Roman"/>
          <w:color w:val="231F20"/>
          <w:sz w:val="32"/>
          <w:szCs w:val="32"/>
          <w:lang w:eastAsia="en-GB"/>
        </w:rPr>
        <w:t>1</w:t>
      </w:r>
    </w:p>
    <w:p w14:paraId="1DF73AD5" w14:textId="77777777" w:rsidR="000A3B89" w:rsidRPr="000A3B89" w:rsidRDefault="000A3B89" w:rsidP="000A3B89">
      <w:pPr>
        <w:shd w:val="clear" w:color="auto" w:fill="FFFFFF"/>
        <w:spacing w:after="0" w:line="0" w:lineRule="auto"/>
        <w:rPr>
          <w:rFonts w:ascii="ff4" w:eastAsia="Times New Roman" w:hAnsi="ff4" w:cs="Times New Roman"/>
          <w:color w:val="231F20"/>
          <w:sz w:val="48"/>
          <w:szCs w:val="48"/>
          <w:lang w:eastAsia="en-GB"/>
        </w:rPr>
      </w:pPr>
      <w:r w:rsidRPr="000A3B89">
        <w:rPr>
          <w:rFonts w:ascii="ff4" w:eastAsia="Times New Roman" w:hAnsi="ff4" w:cs="Times New Roman"/>
          <w:color w:val="231F20"/>
          <w:sz w:val="48"/>
          <w:szCs w:val="48"/>
          <w:lang w:eastAsia="en-GB"/>
        </w:rPr>
        <w:t>do</w:t>
      </w:r>
    </w:p>
    <w:p w14:paraId="3098CFE0" w14:textId="77777777" w:rsidR="000A3B89" w:rsidRPr="000A3B89" w:rsidRDefault="000A3B89" w:rsidP="000A3B89">
      <w:pPr>
        <w:shd w:val="clear" w:color="auto" w:fill="FFFFFF"/>
        <w:spacing w:after="0" w:line="0" w:lineRule="auto"/>
        <w:rPr>
          <w:rFonts w:ascii="ff4" w:eastAsia="Times New Roman" w:hAnsi="ff4" w:cs="Times New Roman"/>
          <w:color w:val="231F20"/>
          <w:sz w:val="48"/>
          <w:szCs w:val="48"/>
          <w:lang w:eastAsia="en-GB"/>
        </w:rPr>
      </w:pPr>
      <w:r w:rsidRPr="000A3B89">
        <w:rPr>
          <w:rFonts w:ascii="ff4" w:eastAsia="Times New Roman" w:hAnsi="ff4" w:cs="Times New Roman"/>
          <w:color w:val="231F20"/>
          <w:sz w:val="48"/>
          <w:szCs w:val="48"/>
          <w:lang w:eastAsia="en-GB"/>
        </w:rPr>
        <w:t>not recommend the use of aspirin for primary prevention (patients</w:t>
      </w:r>
    </w:p>
    <w:p w14:paraId="716B9DB0" w14:textId="77777777" w:rsidR="000A3B89" w:rsidRPr="000A3B89" w:rsidRDefault="000A3B89" w:rsidP="000A3B89">
      <w:pPr>
        <w:shd w:val="clear" w:color="auto" w:fill="FFFFFF"/>
        <w:spacing w:after="0" w:line="0" w:lineRule="auto"/>
        <w:rPr>
          <w:rFonts w:ascii="ff4" w:eastAsia="Times New Roman" w:hAnsi="ff4" w:cs="Times New Roman"/>
          <w:color w:val="231F20"/>
          <w:sz w:val="48"/>
          <w:szCs w:val="48"/>
          <w:lang w:eastAsia="en-GB"/>
        </w:rPr>
      </w:pPr>
      <w:r w:rsidRPr="000A3B89">
        <w:rPr>
          <w:rFonts w:ascii="ff4" w:eastAsia="Times New Roman" w:hAnsi="ff4" w:cs="Times New Roman"/>
          <w:color w:val="231F20"/>
          <w:sz w:val="48"/>
          <w:szCs w:val="48"/>
          <w:lang w:eastAsia="en-GB"/>
        </w:rPr>
        <w:t>without prior major cardiovascular or cerebrovascular event) due to</w:t>
      </w:r>
    </w:p>
    <w:p w14:paraId="488D568F" w14:textId="77777777" w:rsidR="000A3B89" w:rsidRPr="000A3B89" w:rsidRDefault="000A3B89" w:rsidP="000A3B89">
      <w:pPr>
        <w:shd w:val="clear" w:color="auto" w:fill="FFFFFF"/>
        <w:spacing w:after="0" w:line="0" w:lineRule="auto"/>
        <w:rPr>
          <w:rFonts w:ascii="ff4" w:eastAsia="Times New Roman" w:hAnsi="ff4" w:cs="Times New Roman"/>
          <w:color w:val="231F20"/>
          <w:sz w:val="48"/>
          <w:szCs w:val="48"/>
          <w:lang w:eastAsia="en-GB"/>
        </w:rPr>
      </w:pPr>
      <w:r w:rsidRPr="000A3B89">
        <w:rPr>
          <w:rFonts w:ascii="ff4" w:eastAsia="Times New Roman" w:hAnsi="ff4" w:cs="Times New Roman"/>
          <w:color w:val="231F20"/>
          <w:sz w:val="48"/>
          <w:szCs w:val="48"/>
          <w:lang w:eastAsia="en-GB"/>
        </w:rPr>
        <w:t>the high risk of bleeding. This position is now further supported by</w:t>
      </w:r>
    </w:p>
    <w:p w14:paraId="713E7BE5" w14:textId="77777777" w:rsidR="000A3B89" w:rsidRPr="000A3B89" w:rsidRDefault="000A3B89" w:rsidP="000A3B89">
      <w:pPr>
        <w:shd w:val="clear" w:color="auto" w:fill="FFFFFF"/>
        <w:spacing w:after="0" w:line="0" w:lineRule="auto"/>
        <w:rPr>
          <w:rFonts w:ascii="ff4" w:eastAsia="Times New Roman" w:hAnsi="ff4" w:cs="Times New Roman"/>
          <w:color w:val="231F20"/>
          <w:sz w:val="48"/>
          <w:szCs w:val="48"/>
          <w:lang w:eastAsia="en-GB"/>
        </w:rPr>
      </w:pPr>
      <w:r w:rsidRPr="000A3B89">
        <w:rPr>
          <w:rFonts w:ascii="ff4" w:eastAsia="Times New Roman" w:hAnsi="ff4" w:cs="Times New Roman"/>
          <w:color w:val="231F20"/>
          <w:sz w:val="48"/>
          <w:szCs w:val="48"/>
          <w:lang w:eastAsia="en-GB"/>
        </w:rPr>
        <w:t>the results of the Aspirin in Reducing Events in the Elderly ASPREE</w:t>
      </w:r>
    </w:p>
    <w:p w14:paraId="0523F921" w14:textId="77777777" w:rsidR="000A3B89" w:rsidRPr="000A3B89" w:rsidRDefault="000A3B89" w:rsidP="000A3B89">
      <w:pPr>
        <w:shd w:val="clear" w:color="auto" w:fill="FFFFFF"/>
        <w:spacing w:after="0" w:line="0" w:lineRule="auto"/>
        <w:rPr>
          <w:rFonts w:ascii="ff4" w:eastAsia="Times New Roman" w:hAnsi="ff4" w:cs="Times New Roman"/>
          <w:color w:val="231F20"/>
          <w:sz w:val="48"/>
          <w:szCs w:val="48"/>
          <w:lang w:eastAsia="en-GB"/>
        </w:rPr>
      </w:pPr>
      <w:r w:rsidRPr="000A3B89">
        <w:rPr>
          <w:rFonts w:ascii="ff4" w:eastAsia="Times New Roman" w:hAnsi="ff4" w:cs="Times New Roman"/>
          <w:color w:val="231F20"/>
          <w:sz w:val="48"/>
          <w:szCs w:val="48"/>
          <w:lang w:eastAsia="en-GB"/>
        </w:rPr>
        <w:t>trial.</w:t>
      </w:r>
    </w:p>
    <w:p w14:paraId="5019210F" w14:textId="77777777" w:rsidR="000A3B89" w:rsidRPr="000A3B89" w:rsidRDefault="000A3B89" w:rsidP="000A3B89">
      <w:pPr>
        <w:shd w:val="clear" w:color="auto" w:fill="FFFFFF"/>
        <w:spacing w:after="0" w:line="0" w:lineRule="auto"/>
        <w:rPr>
          <w:rFonts w:ascii="ff4" w:eastAsia="Times New Roman" w:hAnsi="ff4" w:cs="Times New Roman"/>
          <w:color w:val="231F20"/>
          <w:sz w:val="32"/>
          <w:szCs w:val="32"/>
          <w:lang w:eastAsia="en-GB"/>
        </w:rPr>
      </w:pPr>
      <w:r w:rsidRPr="000A3B89">
        <w:rPr>
          <w:rFonts w:ascii="ff4" w:eastAsia="Times New Roman" w:hAnsi="ff4" w:cs="Times New Roman"/>
          <w:color w:val="231F20"/>
          <w:sz w:val="32"/>
          <w:szCs w:val="32"/>
          <w:lang w:eastAsia="en-GB"/>
        </w:rPr>
        <w:t>2</w:t>
      </w:r>
    </w:p>
    <w:p w14:paraId="6F160D85" w14:textId="77777777" w:rsidR="000A3B89" w:rsidRPr="000A3B89" w:rsidRDefault="000A3B89" w:rsidP="000A3B89">
      <w:pPr>
        <w:shd w:val="clear" w:color="auto" w:fill="FFFFFF"/>
        <w:spacing w:after="0" w:line="0" w:lineRule="auto"/>
        <w:rPr>
          <w:rFonts w:ascii="ff4" w:eastAsia="Times New Roman" w:hAnsi="ff4" w:cs="Times New Roman"/>
          <w:color w:val="231F20"/>
          <w:sz w:val="48"/>
          <w:szCs w:val="48"/>
          <w:lang w:eastAsia="en-GB"/>
        </w:rPr>
      </w:pPr>
      <w:r w:rsidRPr="000A3B89">
        <w:rPr>
          <w:rFonts w:ascii="ff4" w:eastAsia="Times New Roman" w:hAnsi="ff4" w:cs="Times New Roman"/>
          <w:color w:val="231F20"/>
          <w:sz w:val="48"/>
          <w:szCs w:val="48"/>
          <w:lang w:eastAsia="en-GB"/>
        </w:rPr>
        <w:t>Aspirin significantly increased the risk of major haemorrhage</w:t>
      </w:r>
    </w:p>
    <w:p w14:paraId="3C1195B0" w14:textId="77777777" w:rsidR="000A3B89" w:rsidRPr="000A3B89" w:rsidRDefault="000A3B89" w:rsidP="000A3B89">
      <w:pPr>
        <w:shd w:val="clear" w:color="auto" w:fill="FFFFFF"/>
        <w:spacing w:after="0" w:line="0" w:lineRule="auto"/>
        <w:rPr>
          <w:rFonts w:ascii="ff4" w:eastAsia="Times New Roman" w:hAnsi="ff4" w:cs="Times New Roman"/>
          <w:color w:val="231F20"/>
          <w:sz w:val="48"/>
          <w:szCs w:val="48"/>
          <w:lang w:eastAsia="en-GB"/>
        </w:rPr>
      </w:pPr>
      <w:r w:rsidRPr="000A3B89">
        <w:rPr>
          <w:rFonts w:ascii="ff4" w:eastAsia="Times New Roman" w:hAnsi="ff4" w:cs="Times New Roman"/>
          <w:color w:val="231F20"/>
          <w:sz w:val="48"/>
          <w:szCs w:val="48"/>
          <w:lang w:eastAsia="en-GB"/>
        </w:rPr>
        <w:t>without lowering the risk of cardiovascular disease, compared to</w:t>
      </w:r>
    </w:p>
    <w:p w14:paraId="09A849D9" w14:textId="77777777" w:rsidR="000A3B89" w:rsidRPr="000A3B89" w:rsidRDefault="000A3B89" w:rsidP="000A3B89">
      <w:pPr>
        <w:shd w:val="clear" w:color="auto" w:fill="FFFFFF"/>
        <w:spacing w:after="0" w:line="0" w:lineRule="auto"/>
        <w:rPr>
          <w:rFonts w:ascii="ff4" w:eastAsia="Times New Roman" w:hAnsi="ff4" w:cs="Times New Roman"/>
          <w:color w:val="231F20"/>
          <w:sz w:val="48"/>
          <w:szCs w:val="48"/>
          <w:lang w:eastAsia="en-GB"/>
        </w:rPr>
      </w:pPr>
      <w:r w:rsidRPr="000A3B89">
        <w:rPr>
          <w:rFonts w:ascii="ff4" w:eastAsia="Times New Roman" w:hAnsi="ff4" w:cs="Times New Roman"/>
          <w:color w:val="231F20"/>
          <w:sz w:val="48"/>
          <w:szCs w:val="48"/>
          <w:lang w:eastAsia="en-GB"/>
        </w:rPr>
        <w:t>placebo.</w:t>
      </w:r>
    </w:p>
    <w:p w14:paraId="1825B332" w14:textId="77777777" w:rsidR="000A3B89" w:rsidRPr="000A3B89" w:rsidRDefault="000A3B89" w:rsidP="000A3B89">
      <w:pPr>
        <w:shd w:val="clear" w:color="auto" w:fill="FFFFFF"/>
        <w:spacing w:after="0" w:line="0" w:lineRule="auto"/>
        <w:rPr>
          <w:rFonts w:ascii="ff4" w:eastAsia="Times New Roman" w:hAnsi="ff4" w:cs="Times New Roman"/>
          <w:color w:val="231F20"/>
          <w:sz w:val="48"/>
          <w:szCs w:val="48"/>
          <w:lang w:eastAsia="en-GB"/>
        </w:rPr>
      </w:pPr>
      <w:r w:rsidRPr="000A3B89">
        <w:rPr>
          <w:rFonts w:ascii="ff4" w:eastAsia="Times New Roman" w:hAnsi="ff4" w:cs="Times New Roman"/>
          <w:color w:val="231F20"/>
          <w:sz w:val="48"/>
          <w:szCs w:val="48"/>
          <w:lang w:eastAsia="en-GB"/>
        </w:rPr>
        <w:t xml:space="preserve">In the </w:t>
      </w:r>
      <w:r w:rsidRPr="000A3B89">
        <w:rPr>
          <w:rFonts w:ascii="ff6" w:eastAsia="Times New Roman" w:hAnsi="ff6" w:cs="Times New Roman"/>
          <w:color w:val="231F20"/>
          <w:sz w:val="48"/>
          <w:szCs w:val="48"/>
          <w:lang w:eastAsia="en-GB"/>
        </w:rPr>
        <w:t>British Journal of Clinical Pharmacology</w:t>
      </w:r>
      <w:r w:rsidRPr="000A3B89">
        <w:rPr>
          <w:rFonts w:ascii="ff4" w:eastAsia="Times New Roman" w:hAnsi="ff4" w:cs="Times New Roman"/>
          <w:color w:val="231F20"/>
          <w:sz w:val="48"/>
          <w:szCs w:val="48"/>
          <w:lang w:eastAsia="en-GB"/>
        </w:rPr>
        <w:t xml:space="preserve">, </w:t>
      </w:r>
      <w:proofErr w:type="spellStart"/>
      <w:r w:rsidRPr="000A3B89">
        <w:rPr>
          <w:rFonts w:ascii="ff4" w:eastAsia="Times New Roman" w:hAnsi="ff4" w:cs="Times New Roman"/>
          <w:color w:val="231F20"/>
          <w:sz w:val="48"/>
          <w:szCs w:val="48"/>
          <w:lang w:eastAsia="en-GB"/>
        </w:rPr>
        <w:t>Ardoino</w:t>
      </w:r>
      <w:proofErr w:type="spellEnd"/>
      <w:r w:rsidRPr="000A3B89">
        <w:rPr>
          <w:rFonts w:ascii="ff4" w:eastAsia="Times New Roman" w:hAnsi="ff4" w:cs="Times New Roman"/>
          <w:color w:val="231F20"/>
          <w:sz w:val="48"/>
          <w:szCs w:val="48"/>
          <w:lang w:eastAsia="en-GB"/>
        </w:rPr>
        <w:t xml:space="preserve"> and col-</w:t>
      </w:r>
    </w:p>
    <w:p w14:paraId="795842D4" w14:textId="77777777" w:rsidR="000A3B89" w:rsidRPr="000A3B89" w:rsidRDefault="000A3B89" w:rsidP="000A3B89">
      <w:pPr>
        <w:shd w:val="clear" w:color="auto" w:fill="FFFFFF"/>
        <w:spacing w:after="0" w:line="0" w:lineRule="auto"/>
        <w:rPr>
          <w:rFonts w:ascii="ff4" w:eastAsia="Times New Roman" w:hAnsi="ff4" w:cs="Times New Roman"/>
          <w:color w:val="231F20"/>
          <w:sz w:val="48"/>
          <w:szCs w:val="48"/>
          <w:lang w:eastAsia="en-GB"/>
        </w:rPr>
      </w:pPr>
      <w:r w:rsidRPr="000A3B89">
        <w:rPr>
          <w:rFonts w:ascii="ff4" w:eastAsia="Times New Roman" w:hAnsi="ff4" w:cs="Times New Roman"/>
          <w:color w:val="231F20"/>
          <w:sz w:val="48"/>
          <w:szCs w:val="48"/>
          <w:lang w:eastAsia="en-GB"/>
        </w:rPr>
        <w:t>leagues found high rates of prescription of antiplatelet drugs (with</w:t>
      </w:r>
    </w:p>
    <w:p w14:paraId="4A08ABA9" w14:textId="77777777" w:rsidR="000A3B89" w:rsidRPr="000A3B89" w:rsidRDefault="000A3B89" w:rsidP="000A3B89">
      <w:pPr>
        <w:shd w:val="clear" w:color="auto" w:fill="FFFFFF"/>
        <w:spacing w:after="0" w:line="0" w:lineRule="auto"/>
        <w:rPr>
          <w:rFonts w:ascii="ff4" w:eastAsia="Times New Roman" w:hAnsi="ff4" w:cs="Times New Roman"/>
          <w:color w:val="231F20"/>
          <w:sz w:val="48"/>
          <w:szCs w:val="48"/>
          <w:lang w:eastAsia="en-GB"/>
        </w:rPr>
      </w:pPr>
      <w:r w:rsidRPr="000A3B89">
        <w:rPr>
          <w:rFonts w:ascii="ff4" w:eastAsia="Times New Roman" w:hAnsi="ff4" w:cs="Times New Roman"/>
          <w:color w:val="231F20"/>
          <w:sz w:val="48"/>
          <w:szCs w:val="48"/>
          <w:lang w:eastAsia="en-GB"/>
        </w:rPr>
        <w:t>aspirin being the most frequently chosen): almost half (43.6%, 95%</w:t>
      </w:r>
    </w:p>
    <w:p w14:paraId="49AE5AEB" w14:textId="77777777" w:rsidR="000A3B89" w:rsidRPr="000A3B89" w:rsidRDefault="000A3B89" w:rsidP="000A3B89">
      <w:pPr>
        <w:shd w:val="clear" w:color="auto" w:fill="FFFFFF"/>
        <w:spacing w:after="0" w:line="0" w:lineRule="auto"/>
        <w:rPr>
          <w:rFonts w:ascii="ff4" w:eastAsia="Times New Roman" w:hAnsi="ff4" w:cs="Times New Roman"/>
          <w:color w:val="231F20"/>
          <w:sz w:val="48"/>
          <w:szCs w:val="48"/>
          <w:lang w:eastAsia="en-GB"/>
        </w:rPr>
      </w:pPr>
      <w:r w:rsidRPr="000A3B89">
        <w:rPr>
          <w:rFonts w:ascii="ff4" w:eastAsia="Times New Roman" w:hAnsi="ff4" w:cs="Times New Roman"/>
          <w:color w:val="231F20"/>
          <w:sz w:val="48"/>
          <w:szCs w:val="48"/>
          <w:lang w:eastAsia="en-GB"/>
        </w:rPr>
        <w:t>CI, 41.5</w:t>
      </w:r>
      <w:r w:rsidRPr="000A3B89">
        <w:rPr>
          <w:rFonts w:ascii="ff5" w:eastAsia="Times New Roman" w:hAnsi="ff5" w:cs="Times New Roman"/>
          <w:color w:val="231F20"/>
          <w:sz w:val="48"/>
          <w:szCs w:val="48"/>
          <w:lang w:eastAsia="en-GB"/>
        </w:rPr>
        <w:t></w:t>
      </w:r>
      <w:r w:rsidRPr="000A3B89">
        <w:rPr>
          <w:rFonts w:ascii="ff4" w:eastAsia="Times New Roman" w:hAnsi="ff4" w:cs="Times New Roman"/>
          <w:color w:val="231F20"/>
          <w:sz w:val="48"/>
          <w:szCs w:val="48"/>
          <w:lang w:eastAsia="en-GB"/>
        </w:rPr>
        <w:t>45.7) of 959 patients aged 65 or over in Italian and Spanish</w:t>
      </w:r>
    </w:p>
    <w:p w14:paraId="40E2D21F" w14:textId="77777777" w:rsidR="000A3B89" w:rsidRPr="000A3B89" w:rsidRDefault="000A3B89" w:rsidP="000A3B89">
      <w:pPr>
        <w:shd w:val="clear" w:color="auto" w:fill="FFFFFF"/>
        <w:spacing w:after="0" w:line="0" w:lineRule="auto"/>
        <w:rPr>
          <w:rFonts w:ascii="ff4" w:eastAsia="Times New Roman" w:hAnsi="ff4" w:cs="Times New Roman"/>
          <w:color w:val="231F20"/>
          <w:sz w:val="48"/>
          <w:szCs w:val="48"/>
          <w:lang w:eastAsia="en-GB"/>
        </w:rPr>
      </w:pPr>
      <w:r w:rsidRPr="000A3B89">
        <w:rPr>
          <w:rFonts w:ascii="ff4" w:eastAsia="Times New Roman" w:hAnsi="ff4" w:cs="Times New Roman"/>
          <w:color w:val="231F20"/>
          <w:sz w:val="48"/>
          <w:szCs w:val="48"/>
          <w:lang w:eastAsia="en-GB"/>
        </w:rPr>
        <w:t>internal medicine and geriatric wards in 2012 and 2014 (as part of</w:t>
      </w:r>
    </w:p>
    <w:p w14:paraId="58A3C68D" w14:textId="77777777" w:rsidR="000A3B89" w:rsidRPr="000A3B89" w:rsidRDefault="000A3B89" w:rsidP="000A3B89">
      <w:pPr>
        <w:shd w:val="clear" w:color="auto" w:fill="FFFFFF"/>
        <w:spacing w:after="0" w:line="0" w:lineRule="auto"/>
        <w:rPr>
          <w:rFonts w:ascii="ff4" w:eastAsia="Times New Roman" w:hAnsi="ff4" w:cs="Times New Roman"/>
          <w:color w:val="231F20"/>
          <w:sz w:val="48"/>
          <w:szCs w:val="48"/>
          <w:lang w:eastAsia="en-GB"/>
        </w:rPr>
      </w:pPr>
      <w:r w:rsidRPr="000A3B89">
        <w:rPr>
          <w:rFonts w:ascii="ff4" w:eastAsia="Times New Roman" w:hAnsi="ff4" w:cs="Times New Roman"/>
          <w:color w:val="231F20"/>
          <w:sz w:val="48"/>
          <w:szCs w:val="48"/>
          <w:lang w:eastAsia="en-GB"/>
        </w:rPr>
        <w:t>the REPOSI [</w:t>
      </w:r>
      <w:proofErr w:type="spellStart"/>
      <w:r w:rsidRPr="000A3B89">
        <w:rPr>
          <w:rFonts w:ascii="ff4" w:eastAsia="Times New Roman" w:hAnsi="ff4" w:cs="Times New Roman"/>
          <w:color w:val="231F20"/>
          <w:sz w:val="48"/>
          <w:szCs w:val="48"/>
          <w:lang w:eastAsia="en-GB"/>
        </w:rPr>
        <w:t>REgistro</w:t>
      </w:r>
      <w:proofErr w:type="spellEnd"/>
      <w:r w:rsidRPr="000A3B89">
        <w:rPr>
          <w:rFonts w:ascii="ff4" w:eastAsia="Times New Roman" w:hAnsi="ff4" w:cs="Times New Roman"/>
          <w:color w:val="231F20"/>
          <w:sz w:val="48"/>
          <w:szCs w:val="48"/>
          <w:lang w:eastAsia="en-GB"/>
        </w:rPr>
        <w:t xml:space="preserve"> </w:t>
      </w:r>
      <w:proofErr w:type="spellStart"/>
      <w:r w:rsidRPr="000A3B89">
        <w:rPr>
          <w:rFonts w:ascii="ff4" w:eastAsia="Times New Roman" w:hAnsi="ff4" w:cs="Times New Roman"/>
          <w:color w:val="231F20"/>
          <w:sz w:val="48"/>
          <w:szCs w:val="48"/>
          <w:lang w:eastAsia="en-GB"/>
        </w:rPr>
        <w:t>POliterapie</w:t>
      </w:r>
      <w:proofErr w:type="spellEnd"/>
      <w:r w:rsidRPr="000A3B89">
        <w:rPr>
          <w:rFonts w:ascii="ff4" w:eastAsia="Times New Roman" w:hAnsi="ff4" w:cs="Times New Roman"/>
          <w:color w:val="231F20"/>
          <w:sz w:val="48"/>
          <w:szCs w:val="48"/>
          <w:lang w:eastAsia="en-GB"/>
        </w:rPr>
        <w:t xml:space="preserve"> SIMI] register).</w:t>
      </w:r>
    </w:p>
    <w:p w14:paraId="1E050084" w14:textId="77777777" w:rsidR="000A3B89" w:rsidRPr="000A3B89" w:rsidRDefault="000A3B89" w:rsidP="000A3B89">
      <w:pPr>
        <w:shd w:val="clear" w:color="auto" w:fill="FFFFFF"/>
        <w:spacing w:after="0" w:line="0" w:lineRule="auto"/>
        <w:rPr>
          <w:rFonts w:ascii="ff4" w:eastAsia="Times New Roman" w:hAnsi="ff4" w:cs="Times New Roman"/>
          <w:color w:val="231F20"/>
          <w:sz w:val="32"/>
          <w:szCs w:val="32"/>
          <w:lang w:eastAsia="en-GB"/>
        </w:rPr>
      </w:pPr>
      <w:r w:rsidRPr="000A3B89">
        <w:rPr>
          <w:rFonts w:ascii="ff4" w:eastAsia="Times New Roman" w:hAnsi="ff4" w:cs="Times New Roman"/>
          <w:color w:val="231F20"/>
          <w:sz w:val="32"/>
          <w:szCs w:val="32"/>
          <w:lang w:eastAsia="en-GB"/>
        </w:rPr>
        <w:t>3</w:t>
      </w:r>
    </w:p>
    <w:p w14:paraId="40F19401" w14:textId="77777777" w:rsidR="000A3B89" w:rsidRPr="000A3B89" w:rsidRDefault="000A3B89" w:rsidP="000A3B89">
      <w:pPr>
        <w:shd w:val="clear" w:color="auto" w:fill="FFFFFF"/>
        <w:spacing w:after="0" w:line="0" w:lineRule="auto"/>
        <w:rPr>
          <w:rFonts w:ascii="ff4" w:eastAsia="Times New Roman" w:hAnsi="ff4" w:cs="Times New Roman"/>
          <w:color w:val="231F20"/>
          <w:sz w:val="48"/>
          <w:szCs w:val="48"/>
          <w:lang w:eastAsia="en-GB"/>
        </w:rPr>
      </w:pPr>
      <w:r w:rsidRPr="000A3B89">
        <w:rPr>
          <w:rFonts w:ascii="ff4" w:eastAsia="Times New Roman" w:hAnsi="ff4" w:cs="Times New Roman"/>
          <w:color w:val="231F20"/>
          <w:sz w:val="48"/>
          <w:szCs w:val="48"/>
          <w:lang w:eastAsia="en-GB"/>
        </w:rPr>
        <w:t>Moreover, just over</w:t>
      </w:r>
    </w:p>
    <w:p w14:paraId="0EC7D238" w14:textId="77777777" w:rsidR="000A3B89" w:rsidRPr="000A3B89" w:rsidRDefault="000A3B89" w:rsidP="000A3B89">
      <w:pPr>
        <w:shd w:val="clear" w:color="auto" w:fill="FFFFFF"/>
        <w:spacing w:after="0" w:line="0" w:lineRule="auto"/>
        <w:rPr>
          <w:rFonts w:ascii="ff4" w:eastAsia="Times New Roman" w:hAnsi="ff4" w:cs="Times New Roman"/>
          <w:color w:val="231F20"/>
          <w:sz w:val="48"/>
          <w:szCs w:val="48"/>
          <w:lang w:eastAsia="en-GB"/>
        </w:rPr>
      </w:pPr>
      <w:r w:rsidRPr="000A3B89">
        <w:rPr>
          <w:rFonts w:ascii="ff4" w:eastAsia="Times New Roman" w:hAnsi="ff4" w:cs="Times New Roman"/>
          <w:color w:val="231F20"/>
          <w:sz w:val="48"/>
          <w:szCs w:val="48"/>
          <w:lang w:eastAsia="en-GB"/>
        </w:rPr>
        <w:t>half (52.1%) were prescribed aspirin inappropriately. In most cases,</w:t>
      </w:r>
    </w:p>
    <w:p w14:paraId="22D85861" w14:textId="77777777" w:rsidR="000A3B89" w:rsidRPr="000A3B89" w:rsidRDefault="000A3B89" w:rsidP="000A3B89">
      <w:pPr>
        <w:shd w:val="clear" w:color="auto" w:fill="FFFFFF"/>
        <w:spacing w:after="0" w:line="0" w:lineRule="auto"/>
        <w:rPr>
          <w:rFonts w:ascii="ff4" w:eastAsia="Times New Roman" w:hAnsi="ff4" w:cs="Times New Roman"/>
          <w:color w:val="231F20"/>
          <w:sz w:val="48"/>
          <w:szCs w:val="48"/>
          <w:lang w:eastAsia="en-GB"/>
        </w:rPr>
      </w:pPr>
      <w:r w:rsidRPr="000A3B89">
        <w:rPr>
          <w:rFonts w:ascii="ff4" w:eastAsia="Times New Roman" w:hAnsi="ff4" w:cs="Times New Roman"/>
          <w:color w:val="231F20"/>
          <w:sz w:val="48"/>
          <w:szCs w:val="48"/>
          <w:lang w:eastAsia="en-GB"/>
        </w:rPr>
        <w:t xml:space="preserve">this was </w:t>
      </w:r>
      <w:proofErr w:type="spellStart"/>
      <w:r w:rsidRPr="000A3B89">
        <w:rPr>
          <w:rFonts w:ascii="ff4" w:eastAsia="Times New Roman" w:hAnsi="ff4" w:cs="Times New Roman"/>
          <w:color w:val="231F20"/>
          <w:sz w:val="48"/>
          <w:szCs w:val="48"/>
          <w:lang w:eastAsia="en-GB"/>
        </w:rPr>
        <w:t>overprescription</w:t>
      </w:r>
      <w:proofErr w:type="spellEnd"/>
      <w:r w:rsidRPr="000A3B89">
        <w:rPr>
          <w:rFonts w:ascii="ff4" w:eastAsia="Times New Roman" w:hAnsi="ff4" w:cs="Times New Roman"/>
          <w:color w:val="231F20"/>
          <w:sz w:val="48"/>
          <w:szCs w:val="48"/>
          <w:lang w:eastAsia="en-GB"/>
        </w:rPr>
        <w:t xml:space="preserve"> (74.2%) in patients with a Systematic Coro-</w:t>
      </w:r>
    </w:p>
    <w:p w14:paraId="60C35741" w14:textId="77777777" w:rsidR="000A3B89" w:rsidRPr="000A3B89" w:rsidRDefault="000A3B89" w:rsidP="000A3B89">
      <w:pPr>
        <w:shd w:val="clear" w:color="auto" w:fill="FFFFFF"/>
        <w:spacing w:after="0" w:line="0" w:lineRule="auto"/>
        <w:rPr>
          <w:rFonts w:ascii="ff4" w:eastAsia="Times New Roman" w:hAnsi="ff4" w:cs="Times New Roman"/>
          <w:color w:val="231F20"/>
          <w:sz w:val="48"/>
          <w:szCs w:val="48"/>
          <w:lang w:eastAsia="en-GB"/>
        </w:rPr>
      </w:pPr>
      <w:r w:rsidRPr="000A3B89">
        <w:rPr>
          <w:rFonts w:ascii="ff4" w:eastAsia="Times New Roman" w:hAnsi="ff4" w:cs="Times New Roman"/>
          <w:color w:val="231F20"/>
          <w:sz w:val="48"/>
          <w:szCs w:val="48"/>
          <w:lang w:eastAsia="en-GB"/>
        </w:rPr>
        <w:t xml:space="preserve">nary Risk Evaluation Project (SCORE) &lt;10%. Against this </w:t>
      </w:r>
      <w:proofErr w:type="spellStart"/>
      <w:r w:rsidRPr="000A3B89">
        <w:rPr>
          <w:rFonts w:ascii="ff4" w:eastAsia="Times New Roman" w:hAnsi="ff4" w:cs="Times New Roman"/>
          <w:color w:val="231F20"/>
          <w:sz w:val="48"/>
          <w:szCs w:val="48"/>
          <w:lang w:eastAsia="en-GB"/>
        </w:rPr>
        <w:t>overprescrip</w:t>
      </w:r>
      <w:proofErr w:type="spellEnd"/>
      <w:r w:rsidRPr="000A3B89">
        <w:rPr>
          <w:rFonts w:ascii="ff4" w:eastAsia="Times New Roman" w:hAnsi="ff4" w:cs="Times New Roman"/>
          <w:color w:val="231F20"/>
          <w:sz w:val="48"/>
          <w:szCs w:val="48"/>
          <w:lang w:eastAsia="en-GB"/>
        </w:rPr>
        <w:t>-</w:t>
      </w:r>
    </w:p>
    <w:p w14:paraId="40F74689" w14:textId="77777777" w:rsidR="000A3B89" w:rsidRPr="000A3B89" w:rsidRDefault="000A3B89" w:rsidP="000A3B89">
      <w:pPr>
        <w:shd w:val="clear" w:color="auto" w:fill="FFFFFF"/>
        <w:spacing w:after="0" w:line="0" w:lineRule="auto"/>
        <w:rPr>
          <w:rFonts w:ascii="ff4" w:eastAsia="Times New Roman" w:hAnsi="ff4" w:cs="Times New Roman"/>
          <w:color w:val="231F20"/>
          <w:sz w:val="48"/>
          <w:szCs w:val="48"/>
          <w:lang w:eastAsia="en-GB"/>
        </w:rPr>
      </w:pPr>
      <w:proofErr w:type="spellStart"/>
      <w:r w:rsidRPr="000A3B89">
        <w:rPr>
          <w:rFonts w:ascii="ff4" w:eastAsia="Times New Roman" w:hAnsi="ff4" w:cs="Times New Roman"/>
          <w:color w:val="231F20"/>
          <w:sz w:val="48"/>
          <w:szCs w:val="48"/>
          <w:lang w:eastAsia="en-GB"/>
        </w:rPr>
        <w:t>tion</w:t>
      </w:r>
      <w:proofErr w:type="spellEnd"/>
      <w:r w:rsidRPr="000A3B89">
        <w:rPr>
          <w:rFonts w:ascii="ff4" w:eastAsia="Times New Roman" w:hAnsi="ff4" w:cs="Times New Roman"/>
          <w:color w:val="231F20"/>
          <w:sz w:val="48"/>
          <w:szCs w:val="48"/>
          <w:lang w:eastAsia="en-GB"/>
        </w:rPr>
        <w:t xml:space="preserve"> of aspirin for primary prevention, </w:t>
      </w:r>
      <w:proofErr w:type="spellStart"/>
      <w:r w:rsidRPr="000A3B89">
        <w:rPr>
          <w:rFonts w:ascii="ff4" w:eastAsia="Times New Roman" w:hAnsi="ff4" w:cs="Times New Roman"/>
          <w:color w:val="231F20"/>
          <w:sz w:val="48"/>
          <w:szCs w:val="48"/>
          <w:lang w:eastAsia="en-GB"/>
        </w:rPr>
        <w:t>Ardoino</w:t>
      </w:r>
      <w:proofErr w:type="spellEnd"/>
      <w:r w:rsidRPr="000A3B89">
        <w:rPr>
          <w:rFonts w:ascii="ff4" w:eastAsia="Times New Roman" w:hAnsi="ff4" w:cs="Times New Roman"/>
          <w:color w:val="231F20"/>
          <w:sz w:val="48"/>
          <w:szCs w:val="48"/>
          <w:lang w:eastAsia="en-GB"/>
        </w:rPr>
        <w:t xml:space="preserve"> et al also found</w:t>
      </w:r>
    </w:p>
    <w:p w14:paraId="6959BB27" w14:textId="77777777" w:rsidR="000A3B89" w:rsidRPr="000A3B89" w:rsidRDefault="000A3B89" w:rsidP="000A3B89">
      <w:pPr>
        <w:shd w:val="clear" w:color="auto" w:fill="FFFFFF"/>
        <w:spacing w:after="0" w:line="0" w:lineRule="auto"/>
        <w:rPr>
          <w:rFonts w:ascii="ff4" w:eastAsia="Times New Roman" w:hAnsi="ff4" w:cs="Times New Roman"/>
          <w:color w:val="231F20"/>
          <w:sz w:val="48"/>
          <w:szCs w:val="48"/>
          <w:lang w:eastAsia="en-GB"/>
        </w:rPr>
      </w:pPr>
      <w:r w:rsidRPr="000A3B89">
        <w:rPr>
          <w:rFonts w:ascii="ff4" w:eastAsia="Times New Roman" w:hAnsi="ff4" w:cs="Times New Roman"/>
          <w:color w:val="231F20"/>
          <w:sz w:val="48"/>
          <w:szCs w:val="48"/>
          <w:lang w:eastAsia="en-GB"/>
        </w:rPr>
        <w:t xml:space="preserve">substantial </w:t>
      </w:r>
      <w:proofErr w:type="spellStart"/>
      <w:r w:rsidRPr="000A3B89">
        <w:rPr>
          <w:rFonts w:ascii="ff4" w:eastAsia="Times New Roman" w:hAnsi="ff4" w:cs="Times New Roman"/>
          <w:color w:val="231F20"/>
          <w:sz w:val="48"/>
          <w:szCs w:val="48"/>
          <w:lang w:eastAsia="en-GB"/>
        </w:rPr>
        <w:t>underprescription</w:t>
      </w:r>
      <w:proofErr w:type="spellEnd"/>
      <w:r w:rsidRPr="000A3B89">
        <w:rPr>
          <w:rFonts w:ascii="ff4" w:eastAsia="Times New Roman" w:hAnsi="ff4" w:cs="Times New Roman"/>
          <w:color w:val="231F20"/>
          <w:sz w:val="48"/>
          <w:szCs w:val="48"/>
          <w:lang w:eastAsia="en-GB"/>
        </w:rPr>
        <w:t xml:space="preserve"> (30.6%) of antiplatelet agents in patients</w:t>
      </w:r>
    </w:p>
    <w:p w14:paraId="326DA8A7" w14:textId="77777777" w:rsidR="000A3B89" w:rsidRPr="000A3B89" w:rsidRDefault="000A3B89" w:rsidP="000A3B89">
      <w:pPr>
        <w:shd w:val="clear" w:color="auto" w:fill="FFFFFF"/>
        <w:spacing w:after="0" w:line="0" w:lineRule="auto"/>
        <w:rPr>
          <w:rFonts w:ascii="ff4" w:eastAsia="Times New Roman" w:hAnsi="ff4" w:cs="Times New Roman"/>
          <w:color w:val="231F20"/>
          <w:sz w:val="48"/>
          <w:szCs w:val="48"/>
          <w:lang w:eastAsia="en-GB"/>
        </w:rPr>
      </w:pPr>
      <w:r w:rsidRPr="000A3B89">
        <w:rPr>
          <w:rFonts w:ascii="ff4" w:eastAsia="Times New Roman" w:hAnsi="ff4" w:cs="Times New Roman"/>
          <w:color w:val="231F20"/>
          <w:sz w:val="48"/>
          <w:szCs w:val="48"/>
          <w:lang w:eastAsia="en-GB"/>
        </w:rPr>
        <w:t>who were secondary prevention.</w:t>
      </w:r>
    </w:p>
    <w:p w14:paraId="33EBCE35" w14:textId="77777777" w:rsidR="000A3B89" w:rsidRPr="000A3B89" w:rsidRDefault="000A3B89" w:rsidP="000A3B89">
      <w:pPr>
        <w:shd w:val="clear" w:color="auto" w:fill="FFFFFF"/>
        <w:spacing w:after="0" w:line="0" w:lineRule="auto"/>
        <w:rPr>
          <w:rFonts w:ascii="ff4" w:eastAsia="Times New Roman" w:hAnsi="ff4" w:cs="Times New Roman"/>
          <w:color w:val="231F20"/>
          <w:sz w:val="32"/>
          <w:szCs w:val="32"/>
          <w:lang w:eastAsia="en-GB"/>
        </w:rPr>
      </w:pPr>
      <w:r w:rsidRPr="000A3B89">
        <w:rPr>
          <w:rFonts w:ascii="ff4" w:eastAsia="Times New Roman" w:hAnsi="ff4" w:cs="Times New Roman"/>
          <w:color w:val="231F20"/>
          <w:sz w:val="32"/>
          <w:szCs w:val="32"/>
          <w:lang w:eastAsia="en-GB"/>
        </w:rPr>
        <w:t>3</w:t>
      </w:r>
    </w:p>
    <w:p w14:paraId="7852A24A" w14:textId="77777777" w:rsidR="000A3B89" w:rsidRPr="000A3B89" w:rsidRDefault="000A3B89" w:rsidP="000A3B89">
      <w:pPr>
        <w:shd w:val="clear" w:color="auto" w:fill="FFFFFF"/>
        <w:spacing w:after="0" w:line="0" w:lineRule="auto"/>
        <w:rPr>
          <w:rFonts w:ascii="ff4" w:eastAsia="Times New Roman" w:hAnsi="ff4" w:cs="Times New Roman"/>
          <w:color w:val="231F20"/>
          <w:sz w:val="48"/>
          <w:szCs w:val="48"/>
          <w:lang w:eastAsia="en-GB"/>
        </w:rPr>
      </w:pPr>
      <w:proofErr w:type="spellStart"/>
      <w:r w:rsidRPr="000A3B89">
        <w:rPr>
          <w:rFonts w:ascii="ff4" w:eastAsia="Times New Roman" w:hAnsi="ff4" w:cs="Times New Roman"/>
          <w:color w:val="231F20"/>
          <w:sz w:val="48"/>
          <w:szCs w:val="48"/>
          <w:lang w:eastAsia="en-GB"/>
        </w:rPr>
        <w:t>Ardoino</w:t>
      </w:r>
      <w:proofErr w:type="spellEnd"/>
      <w:r w:rsidRPr="000A3B89">
        <w:rPr>
          <w:rFonts w:ascii="ff4" w:eastAsia="Times New Roman" w:hAnsi="ff4" w:cs="Times New Roman"/>
          <w:color w:val="231F20"/>
          <w:sz w:val="48"/>
          <w:szCs w:val="48"/>
          <w:lang w:eastAsia="en-GB"/>
        </w:rPr>
        <w:t xml:space="preserve"> et al also found further inappropriate use of antiplatelets</w:t>
      </w:r>
    </w:p>
    <w:p w14:paraId="1528E553" w14:textId="77777777" w:rsidR="000A3B89" w:rsidRPr="000A3B89" w:rsidRDefault="000A3B89" w:rsidP="000A3B89">
      <w:pPr>
        <w:shd w:val="clear" w:color="auto" w:fill="FFFFFF"/>
        <w:spacing w:after="0" w:line="0" w:lineRule="auto"/>
        <w:rPr>
          <w:rFonts w:ascii="ff4" w:eastAsia="Times New Roman" w:hAnsi="ff4" w:cs="Times New Roman"/>
          <w:color w:val="231F20"/>
          <w:sz w:val="48"/>
          <w:szCs w:val="48"/>
          <w:lang w:eastAsia="en-GB"/>
        </w:rPr>
      </w:pPr>
      <w:r w:rsidRPr="000A3B89">
        <w:rPr>
          <w:rFonts w:ascii="ff4" w:eastAsia="Times New Roman" w:hAnsi="ff4" w:cs="Times New Roman"/>
          <w:color w:val="231F20"/>
          <w:sz w:val="48"/>
          <w:szCs w:val="48"/>
          <w:lang w:eastAsia="en-GB"/>
        </w:rPr>
        <w:t>in patients with atrial fibrillation (AF)</w:t>
      </w:r>
      <w:r w:rsidRPr="000A3B89">
        <w:rPr>
          <w:rFonts w:ascii="ff5" w:eastAsia="Times New Roman" w:hAnsi="ff5" w:cs="Times New Roman"/>
          <w:color w:val="231F20"/>
          <w:sz w:val="48"/>
          <w:szCs w:val="48"/>
          <w:lang w:eastAsia="en-GB"/>
        </w:rPr>
        <w:t>—</w:t>
      </w:r>
      <w:r w:rsidRPr="000A3B89">
        <w:rPr>
          <w:rFonts w:ascii="ff4" w:eastAsia="Times New Roman" w:hAnsi="ff4" w:cs="Times New Roman"/>
          <w:color w:val="231F20"/>
          <w:sz w:val="48"/>
          <w:szCs w:val="48"/>
          <w:lang w:eastAsia="en-GB"/>
        </w:rPr>
        <w:t>who should have been</w:t>
      </w:r>
    </w:p>
    <w:p w14:paraId="5CF25F1E" w14:textId="77777777" w:rsidR="000A3B89" w:rsidRPr="000A3B89" w:rsidRDefault="000A3B89" w:rsidP="000A3B89">
      <w:pPr>
        <w:shd w:val="clear" w:color="auto" w:fill="FFFFFF"/>
        <w:spacing w:after="0" w:line="0" w:lineRule="auto"/>
        <w:rPr>
          <w:rFonts w:ascii="ff4" w:eastAsia="Times New Roman" w:hAnsi="ff4" w:cs="Times New Roman"/>
          <w:color w:val="231F20"/>
          <w:sz w:val="48"/>
          <w:szCs w:val="48"/>
          <w:lang w:eastAsia="en-GB"/>
        </w:rPr>
      </w:pPr>
      <w:r w:rsidRPr="000A3B89">
        <w:rPr>
          <w:rFonts w:ascii="ff4" w:eastAsia="Times New Roman" w:hAnsi="ff4" w:cs="Times New Roman"/>
          <w:color w:val="231F20"/>
          <w:sz w:val="48"/>
          <w:szCs w:val="48"/>
          <w:lang w:eastAsia="en-GB"/>
        </w:rPr>
        <w:t>anticoagulated.</w:t>
      </w:r>
    </w:p>
    <w:p w14:paraId="5937E40E" w14:textId="77777777" w:rsidR="000A3B89" w:rsidRPr="000A3B89" w:rsidRDefault="000A3B89" w:rsidP="000A3B89">
      <w:pPr>
        <w:shd w:val="clear" w:color="auto" w:fill="FFFFFF"/>
        <w:spacing w:after="0" w:line="0" w:lineRule="auto"/>
        <w:rPr>
          <w:rFonts w:ascii="ff4" w:eastAsia="Times New Roman" w:hAnsi="ff4" w:cs="Times New Roman"/>
          <w:color w:val="231F20"/>
          <w:sz w:val="48"/>
          <w:szCs w:val="48"/>
          <w:lang w:eastAsia="en-GB"/>
        </w:rPr>
      </w:pPr>
      <w:r w:rsidRPr="000A3B89">
        <w:rPr>
          <w:rFonts w:ascii="ff4" w:eastAsia="Times New Roman" w:hAnsi="ff4" w:cs="Times New Roman"/>
          <w:color w:val="231F20"/>
          <w:sz w:val="48"/>
          <w:szCs w:val="48"/>
          <w:lang w:eastAsia="en-GB"/>
        </w:rPr>
        <w:t xml:space="preserve">The risks of major bleeding and stroke with aspirin and </w:t>
      </w:r>
      <w:proofErr w:type="spellStart"/>
      <w:r w:rsidRPr="000A3B89">
        <w:rPr>
          <w:rFonts w:ascii="ff4" w:eastAsia="Times New Roman" w:hAnsi="ff4" w:cs="Times New Roman"/>
          <w:color w:val="231F20"/>
          <w:sz w:val="48"/>
          <w:szCs w:val="48"/>
          <w:lang w:eastAsia="en-GB"/>
        </w:rPr>
        <w:t>anticoagu</w:t>
      </w:r>
      <w:proofErr w:type="spellEnd"/>
      <w:r w:rsidRPr="000A3B89">
        <w:rPr>
          <w:rFonts w:ascii="ff4" w:eastAsia="Times New Roman" w:hAnsi="ff4" w:cs="Times New Roman"/>
          <w:color w:val="231F20"/>
          <w:sz w:val="48"/>
          <w:szCs w:val="48"/>
          <w:lang w:eastAsia="en-GB"/>
        </w:rPr>
        <w:t>-</w:t>
      </w:r>
    </w:p>
    <w:p w14:paraId="5034C4FA" w14:textId="77777777" w:rsidR="000A3B89" w:rsidRPr="000A3B89" w:rsidRDefault="000A3B89" w:rsidP="000A3B89">
      <w:pPr>
        <w:shd w:val="clear" w:color="auto" w:fill="FFFFFF"/>
        <w:spacing w:after="0" w:line="0" w:lineRule="auto"/>
        <w:rPr>
          <w:rFonts w:ascii="ff4" w:eastAsia="Times New Roman" w:hAnsi="ff4" w:cs="Times New Roman"/>
          <w:color w:val="231F20"/>
          <w:sz w:val="48"/>
          <w:szCs w:val="48"/>
          <w:lang w:eastAsia="en-GB"/>
        </w:rPr>
      </w:pPr>
      <w:r w:rsidRPr="000A3B89">
        <w:rPr>
          <w:rFonts w:ascii="ff4" w:eastAsia="Times New Roman" w:hAnsi="ff4" w:cs="Times New Roman"/>
          <w:color w:val="231F20"/>
          <w:sz w:val="48"/>
          <w:szCs w:val="48"/>
          <w:lang w:eastAsia="en-GB"/>
        </w:rPr>
        <w:t xml:space="preserve">lants used for AF has been reported in the Journal by </w:t>
      </w:r>
      <w:proofErr w:type="spellStart"/>
      <w:r w:rsidRPr="000A3B89">
        <w:rPr>
          <w:rFonts w:ascii="ff4" w:eastAsia="Times New Roman" w:hAnsi="ff4" w:cs="Times New Roman"/>
          <w:color w:val="231F20"/>
          <w:sz w:val="48"/>
          <w:szCs w:val="48"/>
          <w:lang w:eastAsia="en-GB"/>
        </w:rPr>
        <w:t>Gieling</w:t>
      </w:r>
      <w:proofErr w:type="spellEnd"/>
      <w:r w:rsidRPr="000A3B89">
        <w:rPr>
          <w:rFonts w:ascii="ff4" w:eastAsia="Times New Roman" w:hAnsi="ff4" w:cs="Times New Roman"/>
          <w:color w:val="231F20"/>
          <w:sz w:val="48"/>
          <w:szCs w:val="48"/>
          <w:lang w:eastAsia="en-GB"/>
        </w:rPr>
        <w:t xml:space="preserve"> et al,</w:t>
      </w:r>
    </w:p>
    <w:p w14:paraId="13758723" w14:textId="77777777" w:rsidR="000A3B89" w:rsidRPr="000A3B89" w:rsidRDefault="000A3B89" w:rsidP="000A3B89">
      <w:pPr>
        <w:shd w:val="clear" w:color="auto" w:fill="FFFFFF"/>
        <w:spacing w:after="0" w:line="0" w:lineRule="auto"/>
        <w:rPr>
          <w:rFonts w:ascii="ff4" w:eastAsia="Times New Roman" w:hAnsi="ff4" w:cs="Times New Roman"/>
          <w:color w:val="231F20"/>
          <w:sz w:val="48"/>
          <w:szCs w:val="48"/>
          <w:lang w:eastAsia="en-GB"/>
        </w:rPr>
      </w:pPr>
      <w:r w:rsidRPr="000A3B89">
        <w:rPr>
          <w:rFonts w:ascii="ff4" w:eastAsia="Times New Roman" w:hAnsi="ff4" w:cs="Times New Roman"/>
          <w:color w:val="231F20"/>
          <w:sz w:val="48"/>
          <w:szCs w:val="48"/>
          <w:lang w:eastAsia="en-GB"/>
        </w:rPr>
        <w:t>who studied their use in 31,497 patients with AF (2008</w:t>
      </w:r>
      <w:r w:rsidRPr="000A3B89">
        <w:rPr>
          <w:rFonts w:ascii="ff5" w:eastAsia="Times New Roman" w:hAnsi="ff5" w:cs="Times New Roman"/>
          <w:color w:val="231F20"/>
          <w:sz w:val="48"/>
          <w:szCs w:val="48"/>
          <w:lang w:eastAsia="en-GB"/>
        </w:rPr>
        <w:t></w:t>
      </w:r>
      <w:r w:rsidRPr="000A3B89">
        <w:rPr>
          <w:rFonts w:ascii="ff4" w:eastAsia="Times New Roman" w:hAnsi="ff4" w:cs="Times New Roman"/>
          <w:color w:val="231F20"/>
          <w:sz w:val="48"/>
          <w:szCs w:val="48"/>
          <w:lang w:eastAsia="en-GB"/>
        </w:rPr>
        <w:t>2014) using</w:t>
      </w:r>
    </w:p>
    <w:p w14:paraId="1ECDF4CD" w14:textId="77777777" w:rsidR="000A3B89" w:rsidRPr="000A3B89" w:rsidRDefault="000A3B89" w:rsidP="000A3B89">
      <w:pPr>
        <w:shd w:val="clear" w:color="auto" w:fill="FFFFFF"/>
        <w:spacing w:after="0" w:line="0" w:lineRule="auto"/>
        <w:rPr>
          <w:rFonts w:ascii="ff4" w:eastAsia="Times New Roman" w:hAnsi="ff4" w:cs="Times New Roman"/>
          <w:color w:val="231F20"/>
          <w:sz w:val="48"/>
          <w:szCs w:val="48"/>
          <w:lang w:eastAsia="en-GB"/>
        </w:rPr>
      </w:pPr>
      <w:r w:rsidRPr="000A3B89">
        <w:rPr>
          <w:rFonts w:ascii="ff4" w:eastAsia="Times New Roman" w:hAnsi="ff4" w:cs="Times New Roman"/>
          <w:color w:val="231F20"/>
          <w:sz w:val="48"/>
          <w:szCs w:val="48"/>
          <w:lang w:eastAsia="en-GB"/>
        </w:rPr>
        <w:t>the UK Clinical Practice Research Datalink.</w:t>
      </w:r>
    </w:p>
    <w:p w14:paraId="5E3520F5" w14:textId="77777777" w:rsidR="000A3B89" w:rsidRPr="000A3B89" w:rsidRDefault="000A3B89" w:rsidP="000A3B89">
      <w:pPr>
        <w:shd w:val="clear" w:color="auto" w:fill="FFFFFF"/>
        <w:spacing w:after="0" w:line="0" w:lineRule="auto"/>
        <w:rPr>
          <w:rFonts w:ascii="ff4" w:eastAsia="Times New Roman" w:hAnsi="ff4" w:cs="Times New Roman"/>
          <w:color w:val="231F20"/>
          <w:sz w:val="32"/>
          <w:szCs w:val="32"/>
          <w:lang w:eastAsia="en-GB"/>
        </w:rPr>
      </w:pPr>
      <w:r w:rsidRPr="000A3B89">
        <w:rPr>
          <w:rFonts w:ascii="ff4" w:eastAsia="Times New Roman" w:hAnsi="ff4" w:cs="Times New Roman"/>
          <w:color w:val="231F20"/>
          <w:sz w:val="32"/>
          <w:szCs w:val="32"/>
          <w:lang w:eastAsia="en-GB"/>
        </w:rPr>
        <w:t>4</w:t>
      </w:r>
    </w:p>
    <w:p w14:paraId="373E3198" w14:textId="77777777" w:rsidR="000A3B89" w:rsidRPr="000A3B89" w:rsidRDefault="000A3B89" w:rsidP="000A3B89">
      <w:pPr>
        <w:shd w:val="clear" w:color="auto" w:fill="FFFFFF"/>
        <w:spacing w:after="0" w:line="0" w:lineRule="auto"/>
        <w:rPr>
          <w:rFonts w:ascii="ff4" w:eastAsia="Times New Roman" w:hAnsi="ff4" w:cs="Times New Roman"/>
          <w:color w:val="231F20"/>
          <w:sz w:val="48"/>
          <w:szCs w:val="48"/>
          <w:lang w:eastAsia="en-GB"/>
        </w:rPr>
      </w:pPr>
      <w:r w:rsidRPr="000A3B89">
        <w:rPr>
          <w:rFonts w:ascii="ff4" w:eastAsia="Times New Roman" w:hAnsi="ff4" w:cs="Times New Roman"/>
          <w:color w:val="231F20"/>
          <w:sz w:val="48"/>
          <w:szCs w:val="48"/>
          <w:lang w:eastAsia="en-GB"/>
        </w:rPr>
        <w:t>Aspirin was found to have</w:t>
      </w:r>
    </w:p>
    <w:p w14:paraId="68015ED8" w14:textId="77777777" w:rsidR="000A3B89" w:rsidRPr="000A3B89" w:rsidRDefault="000A3B89" w:rsidP="000A3B89">
      <w:pPr>
        <w:shd w:val="clear" w:color="auto" w:fill="FFFFFF"/>
        <w:spacing w:after="0" w:line="0" w:lineRule="auto"/>
        <w:rPr>
          <w:rFonts w:ascii="ff4" w:eastAsia="Times New Roman" w:hAnsi="ff4" w:cs="Times New Roman"/>
          <w:color w:val="231F20"/>
          <w:sz w:val="48"/>
          <w:szCs w:val="48"/>
          <w:lang w:eastAsia="en-GB"/>
        </w:rPr>
      </w:pPr>
      <w:r w:rsidRPr="000A3B89">
        <w:rPr>
          <w:rFonts w:ascii="ff4" w:eastAsia="Times New Roman" w:hAnsi="ff4" w:cs="Times New Roman"/>
          <w:color w:val="231F20"/>
          <w:sz w:val="48"/>
          <w:szCs w:val="48"/>
          <w:lang w:eastAsia="en-GB"/>
        </w:rPr>
        <w:t>a similar bleeding risk to vitamin K antagonists (VKAs) but that VKAs</w:t>
      </w:r>
    </w:p>
    <w:p w14:paraId="17A08161" w14:textId="77777777" w:rsidR="000A3B89" w:rsidRPr="000A3B89" w:rsidRDefault="000A3B89" w:rsidP="000A3B89">
      <w:pPr>
        <w:shd w:val="clear" w:color="auto" w:fill="FFFFFF"/>
        <w:spacing w:after="0" w:line="0" w:lineRule="auto"/>
        <w:rPr>
          <w:rFonts w:ascii="ff4" w:eastAsia="Times New Roman" w:hAnsi="ff4" w:cs="Times New Roman"/>
          <w:color w:val="231F20"/>
          <w:sz w:val="48"/>
          <w:szCs w:val="48"/>
          <w:lang w:eastAsia="en-GB"/>
        </w:rPr>
      </w:pPr>
      <w:r w:rsidRPr="000A3B89">
        <w:rPr>
          <w:rFonts w:ascii="ff4" w:eastAsia="Times New Roman" w:hAnsi="ff4" w:cs="Times New Roman"/>
          <w:color w:val="231F20"/>
          <w:sz w:val="48"/>
          <w:szCs w:val="48"/>
          <w:lang w:eastAsia="en-GB"/>
        </w:rPr>
        <w:t xml:space="preserve">were more effective than aspirin (hazard ratio [HR] 2.18, 95% </w:t>
      </w:r>
      <w:proofErr w:type="spellStart"/>
      <w:r w:rsidRPr="000A3B89">
        <w:rPr>
          <w:rFonts w:ascii="ff4" w:eastAsia="Times New Roman" w:hAnsi="ff4" w:cs="Times New Roman"/>
          <w:color w:val="231F20"/>
          <w:sz w:val="48"/>
          <w:szCs w:val="48"/>
          <w:lang w:eastAsia="en-GB"/>
        </w:rPr>
        <w:t>confi</w:t>
      </w:r>
      <w:proofErr w:type="spellEnd"/>
      <w:r w:rsidRPr="000A3B89">
        <w:rPr>
          <w:rFonts w:ascii="ff4" w:eastAsia="Times New Roman" w:hAnsi="ff4" w:cs="Times New Roman"/>
          <w:color w:val="231F20"/>
          <w:sz w:val="48"/>
          <w:szCs w:val="48"/>
          <w:lang w:eastAsia="en-GB"/>
        </w:rPr>
        <w:t>-</w:t>
      </w:r>
    </w:p>
    <w:p w14:paraId="039011DA" w14:textId="77777777" w:rsidR="000A3B89" w:rsidRPr="000A3B89" w:rsidRDefault="000A3B89" w:rsidP="000A3B89">
      <w:pPr>
        <w:shd w:val="clear" w:color="auto" w:fill="FFFFFF"/>
        <w:spacing w:after="0" w:line="0" w:lineRule="auto"/>
        <w:rPr>
          <w:rFonts w:ascii="ff4" w:eastAsia="Times New Roman" w:hAnsi="ff4" w:cs="Times New Roman"/>
          <w:color w:val="231F20"/>
          <w:sz w:val="48"/>
          <w:szCs w:val="48"/>
          <w:lang w:eastAsia="en-GB"/>
        </w:rPr>
      </w:pPr>
      <w:proofErr w:type="spellStart"/>
      <w:r w:rsidRPr="000A3B89">
        <w:rPr>
          <w:rFonts w:ascii="ff4" w:eastAsia="Times New Roman" w:hAnsi="ff4" w:cs="Times New Roman"/>
          <w:color w:val="231F20"/>
          <w:sz w:val="48"/>
          <w:szCs w:val="48"/>
          <w:lang w:eastAsia="en-GB"/>
        </w:rPr>
        <w:t>dence</w:t>
      </w:r>
      <w:proofErr w:type="spellEnd"/>
      <w:r w:rsidRPr="000A3B89">
        <w:rPr>
          <w:rFonts w:ascii="ff4" w:eastAsia="Times New Roman" w:hAnsi="ff4" w:cs="Times New Roman"/>
          <w:color w:val="231F20"/>
          <w:sz w:val="48"/>
          <w:szCs w:val="48"/>
          <w:lang w:eastAsia="en-GB"/>
        </w:rPr>
        <w:t xml:space="preserve"> interval [95% CI], 1.83</w:t>
      </w:r>
      <w:r w:rsidRPr="000A3B89">
        <w:rPr>
          <w:rFonts w:ascii="ff5" w:eastAsia="Times New Roman" w:hAnsi="ff5" w:cs="Times New Roman"/>
          <w:color w:val="231F20"/>
          <w:sz w:val="48"/>
          <w:szCs w:val="48"/>
          <w:lang w:eastAsia="en-GB"/>
        </w:rPr>
        <w:t></w:t>
      </w:r>
      <w:r w:rsidRPr="000A3B89">
        <w:rPr>
          <w:rFonts w:ascii="ff4" w:eastAsia="Times New Roman" w:hAnsi="ff4" w:cs="Times New Roman"/>
          <w:color w:val="231F20"/>
          <w:sz w:val="48"/>
          <w:szCs w:val="48"/>
          <w:lang w:eastAsia="en-GB"/>
        </w:rPr>
        <w:t>2.59) in the prevention of ischaemic</w:t>
      </w:r>
    </w:p>
    <w:p w14:paraId="490980BB" w14:textId="77777777" w:rsidR="000A3B89" w:rsidRPr="000A3B89" w:rsidRDefault="000A3B89" w:rsidP="000A3B89">
      <w:pPr>
        <w:shd w:val="clear" w:color="auto" w:fill="FFFFFF"/>
        <w:spacing w:after="0" w:line="0" w:lineRule="auto"/>
        <w:rPr>
          <w:rFonts w:ascii="ff4" w:eastAsia="Times New Roman" w:hAnsi="ff4" w:cs="Times New Roman"/>
          <w:color w:val="231F20"/>
          <w:sz w:val="48"/>
          <w:szCs w:val="48"/>
          <w:lang w:eastAsia="en-GB"/>
        </w:rPr>
      </w:pPr>
      <w:r w:rsidRPr="000A3B89">
        <w:rPr>
          <w:rFonts w:ascii="ff4" w:eastAsia="Times New Roman" w:hAnsi="ff4" w:cs="Times New Roman"/>
          <w:color w:val="231F20"/>
          <w:sz w:val="48"/>
          <w:szCs w:val="48"/>
          <w:lang w:eastAsia="en-GB"/>
        </w:rPr>
        <w:t>stroke. Whilst Nonvitamin K antagonist oral anticoagulants (NOACs)</w:t>
      </w:r>
    </w:p>
    <w:p w14:paraId="0C9C6A0B" w14:textId="77777777" w:rsidR="000A3B89" w:rsidRPr="000A3B89" w:rsidRDefault="000A3B89" w:rsidP="000A3B89">
      <w:pPr>
        <w:shd w:val="clear" w:color="auto" w:fill="FFFFFF"/>
        <w:spacing w:after="0" w:line="0" w:lineRule="auto"/>
        <w:rPr>
          <w:rFonts w:ascii="ff4" w:eastAsia="Times New Roman" w:hAnsi="ff4" w:cs="Times New Roman"/>
          <w:color w:val="231F20"/>
          <w:sz w:val="48"/>
          <w:szCs w:val="48"/>
          <w:lang w:eastAsia="en-GB"/>
        </w:rPr>
      </w:pPr>
      <w:r w:rsidRPr="000A3B89">
        <w:rPr>
          <w:rFonts w:ascii="ff4" w:eastAsia="Times New Roman" w:hAnsi="ff4" w:cs="Times New Roman"/>
          <w:color w:val="231F20"/>
          <w:sz w:val="48"/>
          <w:szCs w:val="48"/>
          <w:lang w:eastAsia="en-GB"/>
        </w:rPr>
        <w:t>were similarly effective as VKA in preventing ischaemic stroke (HR</w:t>
      </w:r>
    </w:p>
    <w:p w14:paraId="679CCEE2" w14:textId="77777777" w:rsidR="000A3B89" w:rsidRPr="000A3B89" w:rsidRDefault="000A3B89" w:rsidP="000A3B89">
      <w:pPr>
        <w:shd w:val="clear" w:color="auto" w:fill="FFFFFF"/>
        <w:spacing w:after="0" w:line="0" w:lineRule="auto"/>
        <w:rPr>
          <w:rFonts w:ascii="ff4" w:eastAsia="Times New Roman" w:hAnsi="ff4" w:cs="Times New Roman"/>
          <w:color w:val="231F20"/>
          <w:sz w:val="48"/>
          <w:szCs w:val="48"/>
          <w:lang w:eastAsia="en-GB"/>
        </w:rPr>
      </w:pPr>
      <w:r w:rsidRPr="000A3B89">
        <w:rPr>
          <w:rFonts w:ascii="ff4" w:eastAsia="Times New Roman" w:hAnsi="ff4" w:cs="Times New Roman"/>
          <w:color w:val="231F20"/>
          <w:sz w:val="48"/>
          <w:szCs w:val="48"/>
          <w:lang w:eastAsia="en-GB"/>
        </w:rPr>
        <w:t>1.22, 95% CI, 0.67</w:t>
      </w:r>
      <w:r w:rsidRPr="000A3B89">
        <w:rPr>
          <w:rFonts w:ascii="ff5" w:eastAsia="Times New Roman" w:hAnsi="ff5" w:cs="Times New Roman"/>
          <w:color w:val="231F20"/>
          <w:sz w:val="48"/>
          <w:szCs w:val="48"/>
          <w:lang w:eastAsia="en-GB"/>
        </w:rPr>
        <w:t></w:t>
      </w:r>
      <w:r w:rsidRPr="000A3B89">
        <w:rPr>
          <w:rFonts w:ascii="ff4" w:eastAsia="Times New Roman" w:hAnsi="ff4" w:cs="Times New Roman"/>
          <w:color w:val="231F20"/>
          <w:sz w:val="48"/>
          <w:szCs w:val="48"/>
          <w:lang w:eastAsia="en-GB"/>
        </w:rPr>
        <w:t>2.19), they were associated with double the risk</w:t>
      </w:r>
    </w:p>
    <w:p w14:paraId="05B9985C" w14:textId="77777777" w:rsidR="000A3B89" w:rsidRPr="000A3B89" w:rsidRDefault="000A3B89" w:rsidP="000A3B89">
      <w:pPr>
        <w:shd w:val="clear" w:color="auto" w:fill="FFFFFF"/>
        <w:spacing w:after="0" w:line="0" w:lineRule="auto"/>
        <w:rPr>
          <w:rFonts w:ascii="ff4" w:eastAsia="Times New Roman" w:hAnsi="ff4" w:cs="Times New Roman"/>
          <w:color w:val="231F20"/>
          <w:sz w:val="48"/>
          <w:szCs w:val="48"/>
          <w:lang w:eastAsia="en-GB"/>
        </w:rPr>
      </w:pPr>
      <w:r w:rsidRPr="000A3B89">
        <w:rPr>
          <w:rFonts w:ascii="ff4" w:eastAsia="Times New Roman" w:hAnsi="ff4" w:cs="Times New Roman"/>
          <w:color w:val="231F20"/>
          <w:sz w:val="48"/>
          <w:szCs w:val="48"/>
          <w:lang w:eastAsia="en-GB"/>
        </w:rPr>
        <w:t>of major bleeding</w:t>
      </w:r>
      <w:r w:rsidRPr="000A3B89">
        <w:rPr>
          <w:rFonts w:ascii="ff5" w:eastAsia="Times New Roman" w:hAnsi="ff5" w:cs="Times New Roman"/>
          <w:color w:val="231F20"/>
          <w:sz w:val="48"/>
          <w:szCs w:val="48"/>
          <w:lang w:eastAsia="en-GB"/>
        </w:rPr>
        <w:t>—</w:t>
      </w:r>
      <w:r w:rsidRPr="000A3B89">
        <w:rPr>
          <w:rFonts w:ascii="ff4" w:eastAsia="Times New Roman" w:hAnsi="ff4" w:cs="Times New Roman"/>
          <w:color w:val="231F20"/>
          <w:sz w:val="48"/>
          <w:szCs w:val="48"/>
          <w:lang w:eastAsia="en-GB"/>
        </w:rPr>
        <w:t>mainly gastrointestinal (2.07, 95% CI, 1.27</w:t>
      </w:r>
      <w:r w:rsidRPr="000A3B89">
        <w:rPr>
          <w:rFonts w:ascii="ff5" w:eastAsia="Times New Roman" w:hAnsi="ff5" w:cs="Times New Roman"/>
          <w:color w:val="231F20"/>
          <w:sz w:val="48"/>
          <w:szCs w:val="48"/>
          <w:lang w:eastAsia="en-GB"/>
        </w:rPr>
        <w:t></w:t>
      </w:r>
      <w:r w:rsidRPr="000A3B89">
        <w:rPr>
          <w:rFonts w:ascii="ff4" w:eastAsia="Times New Roman" w:hAnsi="ff4" w:cs="Times New Roman"/>
          <w:color w:val="231F20"/>
          <w:sz w:val="48"/>
          <w:szCs w:val="48"/>
          <w:lang w:eastAsia="en-GB"/>
        </w:rPr>
        <w:t>3.38),</w:t>
      </w:r>
    </w:p>
    <w:p w14:paraId="3C16B63F" w14:textId="77777777" w:rsidR="000A3B89" w:rsidRPr="000A3B89" w:rsidRDefault="000A3B89" w:rsidP="000A3B89">
      <w:pPr>
        <w:shd w:val="clear" w:color="auto" w:fill="FFFFFF"/>
        <w:spacing w:after="0" w:line="0" w:lineRule="auto"/>
        <w:rPr>
          <w:rFonts w:ascii="ff4" w:eastAsia="Times New Roman" w:hAnsi="ff4" w:cs="Times New Roman"/>
          <w:color w:val="231F20"/>
          <w:sz w:val="48"/>
          <w:szCs w:val="48"/>
          <w:lang w:eastAsia="en-GB"/>
        </w:rPr>
      </w:pPr>
      <w:r w:rsidRPr="000A3B89">
        <w:rPr>
          <w:rFonts w:ascii="ff4" w:eastAsia="Times New Roman" w:hAnsi="ff4" w:cs="Times New Roman"/>
          <w:color w:val="231F20"/>
          <w:sz w:val="48"/>
          <w:szCs w:val="48"/>
          <w:lang w:eastAsia="en-GB"/>
        </w:rPr>
        <w:t>a risk restricted to women (HR 3.14, 95% CI, 1.76</w:t>
      </w:r>
      <w:r w:rsidRPr="000A3B89">
        <w:rPr>
          <w:rFonts w:ascii="ff5" w:eastAsia="Times New Roman" w:hAnsi="ff5" w:cs="Times New Roman"/>
          <w:color w:val="231F20"/>
          <w:sz w:val="48"/>
          <w:szCs w:val="48"/>
          <w:lang w:eastAsia="en-GB"/>
        </w:rPr>
        <w:t></w:t>
      </w:r>
      <w:r w:rsidRPr="000A3B89">
        <w:rPr>
          <w:rFonts w:ascii="ff4" w:eastAsia="Times New Roman" w:hAnsi="ff4" w:cs="Times New Roman"/>
          <w:color w:val="231F20"/>
          <w:sz w:val="48"/>
          <w:szCs w:val="48"/>
          <w:lang w:eastAsia="en-GB"/>
        </w:rPr>
        <w:t>5.60). However,</w:t>
      </w:r>
    </w:p>
    <w:p w14:paraId="4E5A6AE6" w14:textId="77777777" w:rsidR="000A3B89" w:rsidRPr="000A3B89" w:rsidRDefault="000A3B89" w:rsidP="000A3B89">
      <w:pPr>
        <w:shd w:val="clear" w:color="auto" w:fill="FFFFFF"/>
        <w:spacing w:after="0" w:line="0" w:lineRule="auto"/>
        <w:rPr>
          <w:rFonts w:ascii="ff4" w:eastAsia="Times New Roman" w:hAnsi="ff4" w:cs="Times New Roman"/>
          <w:color w:val="231F20"/>
          <w:sz w:val="48"/>
          <w:szCs w:val="48"/>
          <w:lang w:eastAsia="en-GB"/>
        </w:rPr>
      </w:pPr>
      <w:r w:rsidRPr="000A3B89">
        <w:rPr>
          <w:rFonts w:ascii="ff4" w:eastAsia="Times New Roman" w:hAnsi="ff4" w:cs="Times New Roman"/>
          <w:color w:val="231F20"/>
          <w:sz w:val="48"/>
          <w:szCs w:val="48"/>
          <w:lang w:eastAsia="en-GB"/>
        </w:rPr>
        <w:t>caution should be applied as this was a retrospective cohort study,</w:t>
      </w:r>
    </w:p>
    <w:p w14:paraId="7DC3D57D" w14:textId="77777777" w:rsidR="000A3B89" w:rsidRPr="000A3B89" w:rsidRDefault="000A3B89" w:rsidP="000A3B89">
      <w:pPr>
        <w:shd w:val="clear" w:color="auto" w:fill="FFFFFF"/>
        <w:spacing w:after="0" w:line="0" w:lineRule="auto"/>
        <w:rPr>
          <w:rFonts w:ascii="ff4" w:eastAsia="Times New Roman" w:hAnsi="ff4" w:cs="Times New Roman"/>
          <w:color w:val="231F20"/>
          <w:sz w:val="48"/>
          <w:szCs w:val="48"/>
          <w:lang w:eastAsia="en-GB"/>
        </w:rPr>
      </w:pPr>
      <w:r w:rsidRPr="000A3B89">
        <w:rPr>
          <w:rFonts w:ascii="ff4" w:eastAsia="Times New Roman" w:hAnsi="ff4" w:cs="Times New Roman"/>
          <w:color w:val="231F20"/>
          <w:sz w:val="48"/>
          <w:szCs w:val="48"/>
          <w:lang w:eastAsia="en-GB"/>
        </w:rPr>
        <w:t>albeit in a large population.</w:t>
      </w:r>
    </w:p>
    <w:p w14:paraId="5CE217BE" w14:textId="77777777" w:rsidR="000A3B89" w:rsidRPr="000A3B89" w:rsidRDefault="000A3B89" w:rsidP="000A3B89">
      <w:pPr>
        <w:shd w:val="clear" w:color="auto" w:fill="FFFFFF"/>
        <w:spacing w:after="0" w:line="0" w:lineRule="auto"/>
        <w:rPr>
          <w:rFonts w:ascii="ff4" w:eastAsia="Times New Roman" w:hAnsi="ff4" w:cs="Times New Roman"/>
          <w:color w:val="231F20"/>
          <w:sz w:val="48"/>
          <w:szCs w:val="48"/>
          <w:lang w:eastAsia="en-GB"/>
        </w:rPr>
      </w:pPr>
      <w:r w:rsidRPr="000A3B89">
        <w:rPr>
          <w:rFonts w:ascii="ff4" w:eastAsia="Times New Roman" w:hAnsi="ff4" w:cs="Times New Roman"/>
          <w:color w:val="231F20"/>
          <w:sz w:val="48"/>
          <w:szCs w:val="48"/>
          <w:lang w:eastAsia="en-GB"/>
        </w:rPr>
        <w:t xml:space="preserve">Despite this poor </w:t>
      </w:r>
      <w:proofErr w:type="spellStart"/>
      <w:r w:rsidRPr="000A3B89">
        <w:rPr>
          <w:rFonts w:ascii="ff4" w:eastAsia="Times New Roman" w:hAnsi="ff4" w:cs="Times New Roman"/>
          <w:color w:val="231F20"/>
          <w:sz w:val="48"/>
          <w:szCs w:val="48"/>
          <w:lang w:eastAsia="en-GB"/>
        </w:rPr>
        <w:t>benefit</w:t>
      </w:r>
      <w:r w:rsidRPr="000A3B89">
        <w:rPr>
          <w:rFonts w:ascii="ff5" w:eastAsia="Times New Roman" w:hAnsi="ff5" w:cs="Times New Roman"/>
          <w:color w:val="231F20"/>
          <w:sz w:val="48"/>
          <w:szCs w:val="48"/>
          <w:lang w:eastAsia="en-GB"/>
        </w:rPr>
        <w:t></w:t>
      </w:r>
      <w:r w:rsidRPr="000A3B89">
        <w:rPr>
          <w:rFonts w:ascii="ff4" w:eastAsia="Times New Roman" w:hAnsi="ff4" w:cs="Times New Roman"/>
          <w:color w:val="231F20"/>
          <w:sz w:val="48"/>
          <w:szCs w:val="48"/>
          <w:lang w:eastAsia="en-GB"/>
        </w:rPr>
        <w:t>to</w:t>
      </w:r>
      <w:r w:rsidRPr="000A3B89">
        <w:rPr>
          <w:rFonts w:ascii="ff5" w:eastAsia="Times New Roman" w:hAnsi="ff5" w:cs="Times New Roman"/>
          <w:color w:val="231F20"/>
          <w:sz w:val="48"/>
          <w:szCs w:val="48"/>
          <w:lang w:eastAsia="en-GB"/>
        </w:rPr>
        <w:t></w:t>
      </w:r>
      <w:r w:rsidRPr="000A3B89">
        <w:rPr>
          <w:rFonts w:ascii="ff4" w:eastAsia="Times New Roman" w:hAnsi="ff4" w:cs="Times New Roman"/>
          <w:color w:val="231F20"/>
          <w:sz w:val="48"/>
          <w:szCs w:val="48"/>
          <w:lang w:eastAsia="en-GB"/>
        </w:rPr>
        <w:t>harm</w:t>
      </w:r>
      <w:proofErr w:type="spellEnd"/>
      <w:r w:rsidRPr="000A3B89">
        <w:rPr>
          <w:rFonts w:ascii="ff4" w:eastAsia="Times New Roman" w:hAnsi="ff4" w:cs="Times New Roman"/>
          <w:color w:val="231F20"/>
          <w:sz w:val="48"/>
          <w:szCs w:val="48"/>
          <w:lang w:eastAsia="en-GB"/>
        </w:rPr>
        <w:t xml:space="preserve"> balance of aspirin, Parekh et al</w:t>
      </w:r>
    </w:p>
    <w:p w14:paraId="68B5AD43" w14:textId="77777777" w:rsidR="000A3B89" w:rsidRPr="000A3B89" w:rsidRDefault="000A3B89" w:rsidP="000A3B89">
      <w:pPr>
        <w:shd w:val="clear" w:color="auto" w:fill="FFFFFF"/>
        <w:spacing w:after="0" w:line="0" w:lineRule="auto"/>
        <w:rPr>
          <w:rFonts w:ascii="ff4" w:eastAsia="Times New Roman" w:hAnsi="ff4" w:cs="Times New Roman"/>
          <w:color w:val="231F20"/>
          <w:sz w:val="48"/>
          <w:szCs w:val="48"/>
          <w:lang w:eastAsia="en-GB"/>
        </w:rPr>
      </w:pPr>
      <w:r w:rsidRPr="000A3B89">
        <w:rPr>
          <w:rFonts w:ascii="ff4" w:eastAsia="Times New Roman" w:hAnsi="ff4" w:cs="Times New Roman"/>
          <w:color w:val="231F20"/>
          <w:sz w:val="48"/>
          <w:szCs w:val="48"/>
          <w:lang w:eastAsia="en-GB"/>
        </w:rPr>
        <w:t xml:space="preserve">found that </w:t>
      </w:r>
      <w:proofErr w:type="spellStart"/>
      <w:r w:rsidRPr="000A3B89">
        <w:rPr>
          <w:rFonts w:ascii="ff4" w:eastAsia="Times New Roman" w:hAnsi="ff4" w:cs="Times New Roman"/>
          <w:color w:val="231F20"/>
          <w:sz w:val="48"/>
          <w:szCs w:val="48"/>
          <w:lang w:eastAsia="en-GB"/>
        </w:rPr>
        <w:t>anti</w:t>
      </w:r>
      <w:r w:rsidRPr="000A3B89">
        <w:rPr>
          <w:rFonts w:ascii="ff5" w:eastAsia="Times New Roman" w:hAnsi="ff5" w:cs="Times New Roman"/>
          <w:color w:val="231F20"/>
          <w:sz w:val="48"/>
          <w:szCs w:val="48"/>
          <w:lang w:eastAsia="en-GB"/>
        </w:rPr>
        <w:t></w:t>
      </w:r>
      <w:r w:rsidRPr="000A3B89">
        <w:rPr>
          <w:rFonts w:ascii="ff4" w:eastAsia="Times New Roman" w:hAnsi="ff4" w:cs="Times New Roman"/>
          <w:color w:val="231F20"/>
          <w:sz w:val="48"/>
          <w:szCs w:val="48"/>
          <w:lang w:eastAsia="en-GB"/>
        </w:rPr>
        <w:t>platelets</w:t>
      </w:r>
      <w:proofErr w:type="spellEnd"/>
      <w:r w:rsidRPr="000A3B89">
        <w:rPr>
          <w:rFonts w:ascii="ff4" w:eastAsia="Times New Roman" w:hAnsi="ff4" w:cs="Times New Roman"/>
          <w:color w:val="231F20"/>
          <w:sz w:val="48"/>
          <w:szCs w:val="48"/>
          <w:lang w:eastAsia="en-GB"/>
        </w:rPr>
        <w:t xml:space="preserve"> agents were only 13th on a list of</w:t>
      </w:r>
    </w:p>
    <w:p w14:paraId="1CC4C9FE" w14:textId="77777777" w:rsidR="000A3B89" w:rsidRPr="000A3B89" w:rsidRDefault="000A3B89" w:rsidP="000A3B89">
      <w:pPr>
        <w:shd w:val="clear" w:color="auto" w:fill="FFFFFF"/>
        <w:spacing w:after="0" w:line="0" w:lineRule="auto"/>
        <w:rPr>
          <w:rFonts w:ascii="ff4" w:eastAsia="Times New Roman" w:hAnsi="ff4" w:cs="Times New Roman"/>
          <w:color w:val="231F20"/>
          <w:sz w:val="48"/>
          <w:szCs w:val="48"/>
          <w:lang w:eastAsia="en-GB"/>
        </w:rPr>
      </w:pPr>
      <w:r w:rsidRPr="000A3B89">
        <w:rPr>
          <w:rFonts w:ascii="ff4" w:eastAsia="Times New Roman" w:hAnsi="ff4" w:cs="Times New Roman"/>
          <w:color w:val="231F20"/>
          <w:sz w:val="48"/>
          <w:szCs w:val="48"/>
          <w:lang w:eastAsia="en-GB"/>
        </w:rPr>
        <w:t xml:space="preserve">medications associated with </w:t>
      </w:r>
      <w:proofErr w:type="spellStart"/>
      <w:r w:rsidRPr="000A3B89">
        <w:rPr>
          <w:rFonts w:ascii="ff4" w:eastAsia="Times New Roman" w:hAnsi="ff4" w:cs="Times New Roman"/>
          <w:color w:val="231F20"/>
          <w:sz w:val="48"/>
          <w:szCs w:val="48"/>
          <w:lang w:eastAsia="en-GB"/>
        </w:rPr>
        <w:t>medication</w:t>
      </w:r>
      <w:r w:rsidRPr="000A3B89">
        <w:rPr>
          <w:rFonts w:ascii="ff5" w:eastAsia="Times New Roman" w:hAnsi="ff5" w:cs="Times New Roman"/>
          <w:color w:val="231F20"/>
          <w:sz w:val="48"/>
          <w:szCs w:val="48"/>
          <w:lang w:eastAsia="en-GB"/>
        </w:rPr>
        <w:t></w:t>
      </w:r>
      <w:r w:rsidRPr="000A3B89">
        <w:rPr>
          <w:rFonts w:ascii="ff4" w:eastAsia="Times New Roman" w:hAnsi="ff4" w:cs="Times New Roman"/>
          <w:color w:val="231F20"/>
          <w:sz w:val="48"/>
          <w:szCs w:val="48"/>
          <w:lang w:eastAsia="en-GB"/>
        </w:rPr>
        <w:t>related</w:t>
      </w:r>
      <w:proofErr w:type="spellEnd"/>
      <w:r w:rsidRPr="000A3B89">
        <w:rPr>
          <w:rFonts w:ascii="ff4" w:eastAsia="Times New Roman" w:hAnsi="ff4" w:cs="Times New Roman"/>
          <w:color w:val="231F20"/>
          <w:sz w:val="48"/>
          <w:szCs w:val="48"/>
          <w:lang w:eastAsia="en-GB"/>
        </w:rPr>
        <w:t xml:space="preserve"> harms (MRH) follow-</w:t>
      </w:r>
    </w:p>
    <w:p w14:paraId="4485E945" w14:textId="77777777" w:rsidR="000A3B89" w:rsidRPr="000A3B89" w:rsidRDefault="000A3B89" w:rsidP="000A3B89">
      <w:pPr>
        <w:shd w:val="clear" w:color="auto" w:fill="FFFFFF"/>
        <w:spacing w:after="0" w:line="0" w:lineRule="auto"/>
        <w:rPr>
          <w:rFonts w:ascii="ff4" w:eastAsia="Times New Roman" w:hAnsi="ff4" w:cs="Times New Roman"/>
          <w:color w:val="231F20"/>
          <w:sz w:val="48"/>
          <w:szCs w:val="48"/>
          <w:lang w:eastAsia="en-GB"/>
        </w:rPr>
      </w:pPr>
      <w:proofErr w:type="spellStart"/>
      <w:r w:rsidRPr="000A3B89">
        <w:rPr>
          <w:rFonts w:ascii="ff4" w:eastAsia="Times New Roman" w:hAnsi="ff4" w:cs="Times New Roman"/>
          <w:color w:val="231F20"/>
          <w:sz w:val="48"/>
          <w:szCs w:val="48"/>
          <w:lang w:eastAsia="en-GB"/>
        </w:rPr>
        <w:t>ing</w:t>
      </w:r>
      <w:proofErr w:type="spellEnd"/>
      <w:r w:rsidRPr="000A3B89">
        <w:rPr>
          <w:rFonts w:ascii="ff4" w:eastAsia="Times New Roman" w:hAnsi="ff4" w:cs="Times New Roman"/>
          <w:color w:val="231F20"/>
          <w:sz w:val="48"/>
          <w:szCs w:val="48"/>
          <w:lang w:eastAsia="en-GB"/>
        </w:rPr>
        <w:t xml:space="preserve"> hospital discharge in 1280 older adults.</w:t>
      </w:r>
    </w:p>
    <w:p w14:paraId="6052C74B" w14:textId="77777777" w:rsidR="000A3B89" w:rsidRPr="000A3B89" w:rsidRDefault="000A3B89" w:rsidP="000A3B89">
      <w:pPr>
        <w:shd w:val="clear" w:color="auto" w:fill="FFFFFF"/>
        <w:spacing w:after="0" w:line="0" w:lineRule="auto"/>
        <w:rPr>
          <w:rFonts w:ascii="ff4" w:eastAsia="Times New Roman" w:hAnsi="ff4" w:cs="Times New Roman"/>
          <w:color w:val="231F20"/>
          <w:sz w:val="32"/>
          <w:szCs w:val="32"/>
          <w:lang w:eastAsia="en-GB"/>
        </w:rPr>
      </w:pPr>
      <w:r w:rsidRPr="000A3B89">
        <w:rPr>
          <w:rFonts w:ascii="ff4" w:eastAsia="Times New Roman" w:hAnsi="ff4" w:cs="Times New Roman"/>
          <w:color w:val="231F20"/>
          <w:sz w:val="32"/>
          <w:szCs w:val="32"/>
          <w:lang w:eastAsia="en-GB"/>
        </w:rPr>
        <w:t>5</w:t>
      </w:r>
    </w:p>
    <w:p w14:paraId="62B4702B" w14:textId="77777777" w:rsidR="000A3B89" w:rsidRPr="000A3B89" w:rsidRDefault="000A3B89" w:rsidP="000A3B89">
      <w:pPr>
        <w:shd w:val="clear" w:color="auto" w:fill="FFFFFF"/>
        <w:spacing w:after="0" w:line="0" w:lineRule="auto"/>
        <w:rPr>
          <w:rFonts w:ascii="ff4" w:eastAsia="Times New Roman" w:hAnsi="ff4" w:cs="Times New Roman"/>
          <w:color w:val="231F20"/>
          <w:sz w:val="48"/>
          <w:szCs w:val="48"/>
          <w:lang w:eastAsia="en-GB"/>
        </w:rPr>
      </w:pPr>
      <w:r w:rsidRPr="000A3B89">
        <w:rPr>
          <w:rFonts w:ascii="ff4" w:eastAsia="Times New Roman" w:hAnsi="ff4" w:cs="Times New Roman"/>
          <w:color w:val="231F20"/>
          <w:sz w:val="48"/>
          <w:szCs w:val="48"/>
          <w:lang w:eastAsia="en-GB"/>
        </w:rPr>
        <w:t xml:space="preserve">Aspirin was behind </w:t>
      </w:r>
      <w:proofErr w:type="spellStart"/>
      <w:r w:rsidRPr="000A3B89">
        <w:rPr>
          <w:rFonts w:ascii="ff4" w:eastAsia="Times New Roman" w:hAnsi="ff4" w:cs="Times New Roman"/>
          <w:color w:val="231F20"/>
          <w:sz w:val="48"/>
          <w:szCs w:val="48"/>
          <w:lang w:eastAsia="en-GB"/>
        </w:rPr>
        <w:t>opi</w:t>
      </w:r>
      <w:proofErr w:type="spellEnd"/>
      <w:r w:rsidRPr="000A3B89">
        <w:rPr>
          <w:rFonts w:ascii="ff4" w:eastAsia="Times New Roman" w:hAnsi="ff4" w:cs="Times New Roman"/>
          <w:color w:val="231F20"/>
          <w:sz w:val="48"/>
          <w:szCs w:val="48"/>
          <w:lang w:eastAsia="en-GB"/>
        </w:rPr>
        <w:t>-</w:t>
      </w:r>
    </w:p>
    <w:p w14:paraId="3F401F5A" w14:textId="77777777" w:rsidR="000A3B89" w:rsidRPr="000A3B89" w:rsidRDefault="000A3B89" w:rsidP="000A3B89">
      <w:pPr>
        <w:shd w:val="clear" w:color="auto" w:fill="FFFFFF"/>
        <w:spacing w:after="0" w:line="0" w:lineRule="auto"/>
        <w:rPr>
          <w:rFonts w:ascii="ff4" w:eastAsia="Times New Roman" w:hAnsi="ff4" w:cs="Times New Roman"/>
          <w:color w:val="231F20"/>
          <w:sz w:val="48"/>
          <w:szCs w:val="48"/>
          <w:lang w:eastAsia="en-GB"/>
        </w:rPr>
      </w:pPr>
      <w:r w:rsidRPr="000A3B89">
        <w:rPr>
          <w:rFonts w:ascii="ff4" w:eastAsia="Times New Roman" w:hAnsi="ff4" w:cs="Times New Roman"/>
          <w:color w:val="231F20"/>
          <w:sz w:val="48"/>
          <w:szCs w:val="48"/>
          <w:lang w:eastAsia="en-GB"/>
        </w:rPr>
        <w:t>ates, antibiotics, benzodiazepines, diuretics and antihypertensives.</w:t>
      </w:r>
    </w:p>
    <w:p w14:paraId="19FF9198" w14:textId="77777777" w:rsidR="000A3B89" w:rsidRPr="000A3B89" w:rsidRDefault="000A3B89" w:rsidP="000A3B89">
      <w:pPr>
        <w:shd w:val="clear" w:color="auto" w:fill="FFFFFF"/>
        <w:spacing w:after="0" w:line="0" w:lineRule="auto"/>
        <w:rPr>
          <w:rFonts w:ascii="ff4" w:eastAsia="Times New Roman" w:hAnsi="ff4" w:cs="Times New Roman"/>
          <w:color w:val="231F20"/>
          <w:sz w:val="48"/>
          <w:szCs w:val="48"/>
          <w:lang w:eastAsia="en-GB"/>
        </w:rPr>
      </w:pPr>
      <w:r w:rsidRPr="000A3B89">
        <w:rPr>
          <w:rFonts w:ascii="ff4" w:eastAsia="Times New Roman" w:hAnsi="ff4" w:cs="Times New Roman"/>
          <w:color w:val="231F20"/>
          <w:sz w:val="48"/>
          <w:szCs w:val="48"/>
          <w:lang w:eastAsia="en-GB"/>
        </w:rPr>
        <w:t xml:space="preserve">The overall incidence of </w:t>
      </w:r>
      <w:proofErr w:type="spellStart"/>
      <w:r w:rsidRPr="000A3B89">
        <w:rPr>
          <w:rFonts w:ascii="ff4" w:eastAsia="Times New Roman" w:hAnsi="ff4" w:cs="Times New Roman"/>
          <w:color w:val="231F20"/>
          <w:sz w:val="48"/>
          <w:szCs w:val="48"/>
          <w:lang w:eastAsia="en-GB"/>
        </w:rPr>
        <w:t>MRH</w:t>
      </w:r>
      <w:r w:rsidRPr="000A3B89">
        <w:rPr>
          <w:rFonts w:ascii="ff5" w:eastAsia="Times New Roman" w:hAnsi="ff5" w:cs="Times New Roman"/>
          <w:color w:val="231F20"/>
          <w:sz w:val="48"/>
          <w:szCs w:val="48"/>
          <w:lang w:eastAsia="en-GB"/>
        </w:rPr>
        <w:t></w:t>
      </w:r>
      <w:r w:rsidRPr="000A3B89">
        <w:rPr>
          <w:rFonts w:ascii="ff4" w:eastAsia="Times New Roman" w:hAnsi="ff4" w:cs="Times New Roman"/>
          <w:color w:val="231F20"/>
          <w:sz w:val="48"/>
          <w:szCs w:val="48"/>
          <w:lang w:eastAsia="en-GB"/>
        </w:rPr>
        <w:t>associated</w:t>
      </w:r>
      <w:proofErr w:type="spellEnd"/>
      <w:r w:rsidRPr="000A3B89">
        <w:rPr>
          <w:rFonts w:ascii="ff4" w:eastAsia="Times New Roman" w:hAnsi="ff4" w:cs="Times New Roman"/>
          <w:color w:val="231F20"/>
          <w:sz w:val="48"/>
          <w:szCs w:val="48"/>
          <w:lang w:eastAsia="en-GB"/>
        </w:rPr>
        <w:t xml:space="preserve"> hospital readmission was</w:t>
      </w:r>
    </w:p>
    <w:p w14:paraId="7C813C26" w14:textId="77777777" w:rsidR="000A3B89" w:rsidRPr="000A3B89" w:rsidRDefault="000A3B89" w:rsidP="000A3B89">
      <w:pPr>
        <w:shd w:val="clear" w:color="auto" w:fill="FFFFFF"/>
        <w:spacing w:after="0" w:line="0" w:lineRule="auto"/>
        <w:rPr>
          <w:rFonts w:ascii="ff4" w:eastAsia="Times New Roman" w:hAnsi="ff4" w:cs="Times New Roman"/>
          <w:color w:val="231F20"/>
          <w:sz w:val="48"/>
          <w:szCs w:val="48"/>
          <w:lang w:eastAsia="en-GB"/>
        </w:rPr>
      </w:pPr>
      <w:r w:rsidRPr="000A3B89">
        <w:rPr>
          <w:rFonts w:ascii="ff4" w:eastAsia="Times New Roman" w:hAnsi="ff4" w:cs="Times New Roman"/>
          <w:color w:val="231F20"/>
          <w:sz w:val="48"/>
          <w:szCs w:val="48"/>
          <w:lang w:eastAsia="en-GB"/>
        </w:rPr>
        <w:t>~8% (78 per 1000 discharges), at an estimated cost to the National</w:t>
      </w:r>
    </w:p>
    <w:p w14:paraId="04ED6609" w14:textId="77777777" w:rsidR="000A3B89" w:rsidRPr="000A3B89" w:rsidRDefault="000A3B89" w:rsidP="000A3B89">
      <w:pPr>
        <w:shd w:val="clear" w:color="auto" w:fill="FFFFFF"/>
        <w:spacing w:after="0" w:line="0" w:lineRule="auto"/>
        <w:rPr>
          <w:rFonts w:ascii="ff4" w:eastAsia="Times New Roman" w:hAnsi="ff4" w:cs="Times New Roman"/>
          <w:color w:val="231F20"/>
          <w:sz w:val="48"/>
          <w:szCs w:val="48"/>
          <w:lang w:eastAsia="en-GB"/>
        </w:rPr>
      </w:pPr>
      <w:r w:rsidRPr="000A3B89">
        <w:rPr>
          <w:rFonts w:ascii="ff4" w:eastAsia="Times New Roman" w:hAnsi="ff4" w:cs="Times New Roman"/>
          <w:color w:val="231F20"/>
          <w:sz w:val="48"/>
          <w:szCs w:val="48"/>
          <w:lang w:eastAsia="en-GB"/>
        </w:rPr>
        <w:t>Health Service of £396 million annually, over 60% of which (£243 mil-</w:t>
      </w:r>
    </w:p>
    <w:p w14:paraId="22700DDC" w14:textId="77777777" w:rsidR="000A3B89" w:rsidRPr="000A3B89" w:rsidRDefault="000A3B89" w:rsidP="000A3B89">
      <w:pPr>
        <w:shd w:val="clear" w:color="auto" w:fill="FFFFFF"/>
        <w:spacing w:after="0" w:line="0" w:lineRule="auto"/>
        <w:rPr>
          <w:rFonts w:ascii="ff4" w:eastAsia="Times New Roman" w:hAnsi="ff4" w:cs="Times New Roman"/>
          <w:color w:val="231F20"/>
          <w:sz w:val="48"/>
          <w:szCs w:val="48"/>
          <w:lang w:eastAsia="en-GB"/>
        </w:rPr>
      </w:pPr>
      <w:r w:rsidRPr="000A3B89">
        <w:rPr>
          <w:rFonts w:ascii="ff4" w:eastAsia="Times New Roman" w:hAnsi="ff4" w:cs="Times New Roman"/>
          <w:color w:val="231F20"/>
          <w:sz w:val="48"/>
          <w:szCs w:val="48"/>
          <w:lang w:eastAsia="en-GB"/>
        </w:rPr>
        <w:t>lion) was considered to be potentially preventable.</w:t>
      </w:r>
    </w:p>
    <w:p w14:paraId="3FD0794E" w14:textId="77777777" w:rsidR="000A3B89" w:rsidRPr="000A3B89" w:rsidRDefault="000A3B89" w:rsidP="000A3B89">
      <w:pPr>
        <w:shd w:val="clear" w:color="auto" w:fill="FFFFFF"/>
        <w:spacing w:after="0" w:line="0" w:lineRule="auto"/>
        <w:rPr>
          <w:rFonts w:ascii="ff4" w:eastAsia="Times New Roman" w:hAnsi="ff4" w:cs="Times New Roman"/>
          <w:color w:val="231F20"/>
          <w:sz w:val="32"/>
          <w:szCs w:val="32"/>
          <w:lang w:eastAsia="en-GB"/>
        </w:rPr>
      </w:pPr>
      <w:r w:rsidRPr="000A3B89">
        <w:rPr>
          <w:rFonts w:ascii="ff4" w:eastAsia="Times New Roman" w:hAnsi="ff4" w:cs="Times New Roman"/>
          <w:color w:val="231F20"/>
          <w:sz w:val="32"/>
          <w:szCs w:val="32"/>
          <w:lang w:eastAsia="en-GB"/>
        </w:rPr>
        <w:t>5</w:t>
      </w:r>
    </w:p>
    <w:p w14:paraId="3BCA6AA5" w14:textId="77777777" w:rsidR="000A3B89" w:rsidRPr="000A3B89" w:rsidRDefault="000A3B89" w:rsidP="000A3B89">
      <w:pPr>
        <w:shd w:val="clear" w:color="auto" w:fill="FFFFFF"/>
        <w:spacing w:after="0" w:line="0" w:lineRule="auto"/>
        <w:rPr>
          <w:rFonts w:ascii="ff4" w:eastAsia="Times New Roman" w:hAnsi="ff4" w:cs="Times New Roman"/>
          <w:color w:val="231F20"/>
          <w:sz w:val="48"/>
          <w:szCs w:val="48"/>
          <w:lang w:eastAsia="en-GB"/>
        </w:rPr>
      </w:pPr>
      <w:r w:rsidRPr="000A3B89">
        <w:rPr>
          <w:rFonts w:ascii="ff4" w:eastAsia="Times New Roman" w:hAnsi="ff4" w:cs="Times New Roman"/>
          <w:color w:val="231F20"/>
          <w:sz w:val="48"/>
          <w:szCs w:val="48"/>
          <w:lang w:eastAsia="en-GB"/>
        </w:rPr>
        <w:t>Therefore, whilst prescribers should remember the need for</w:t>
      </w:r>
    </w:p>
    <w:p w14:paraId="5F6A1674" w14:textId="77777777" w:rsidR="000A3B89" w:rsidRPr="000A3B89" w:rsidRDefault="000A3B89" w:rsidP="000A3B89">
      <w:pPr>
        <w:shd w:val="clear" w:color="auto" w:fill="FFFFFF"/>
        <w:spacing w:after="0" w:line="0" w:lineRule="auto"/>
        <w:rPr>
          <w:rFonts w:ascii="ff4" w:eastAsia="Times New Roman" w:hAnsi="ff4" w:cs="Times New Roman"/>
          <w:color w:val="231F20"/>
          <w:sz w:val="48"/>
          <w:szCs w:val="48"/>
          <w:lang w:eastAsia="en-GB"/>
        </w:rPr>
      </w:pPr>
      <w:r w:rsidRPr="000A3B89">
        <w:rPr>
          <w:rFonts w:ascii="ff4" w:eastAsia="Times New Roman" w:hAnsi="ff4" w:cs="Times New Roman"/>
          <w:color w:val="231F20"/>
          <w:sz w:val="48"/>
          <w:szCs w:val="48"/>
          <w:lang w:eastAsia="en-GB"/>
        </w:rPr>
        <w:t>antiplatelets in secondary prevention, they should reconsider the use of</w:t>
      </w:r>
    </w:p>
    <w:p w14:paraId="03EC4A2B" w14:textId="77777777" w:rsidR="000A3B89" w:rsidRPr="000A3B89" w:rsidRDefault="000A3B89" w:rsidP="000A3B89">
      <w:pPr>
        <w:shd w:val="clear" w:color="auto" w:fill="FFFFFF"/>
        <w:spacing w:after="0" w:line="0" w:lineRule="auto"/>
        <w:rPr>
          <w:rFonts w:ascii="ff4" w:eastAsia="Times New Roman" w:hAnsi="ff4" w:cs="Times New Roman"/>
          <w:color w:val="231F20"/>
          <w:sz w:val="48"/>
          <w:szCs w:val="48"/>
          <w:lang w:eastAsia="en-GB"/>
        </w:rPr>
      </w:pPr>
      <w:r w:rsidRPr="000A3B89">
        <w:rPr>
          <w:rFonts w:ascii="ff4" w:eastAsia="Times New Roman" w:hAnsi="ff4" w:cs="Times New Roman"/>
          <w:color w:val="231F20"/>
          <w:sz w:val="48"/>
          <w:szCs w:val="48"/>
          <w:lang w:eastAsia="en-GB"/>
        </w:rPr>
        <w:t>aspirin for primary prevention and focus more on good control of the</w:t>
      </w:r>
    </w:p>
    <w:p w14:paraId="1AE607EC" w14:textId="77777777" w:rsidR="000A3B89" w:rsidRPr="000A3B89" w:rsidRDefault="000A3B89" w:rsidP="000A3B89">
      <w:pPr>
        <w:shd w:val="clear" w:color="auto" w:fill="FFFFFF"/>
        <w:spacing w:after="0" w:line="0" w:lineRule="auto"/>
        <w:rPr>
          <w:rFonts w:ascii="ff4" w:eastAsia="Times New Roman" w:hAnsi="ff4" w:cs="Times New Roman"/>
          <w:color w:val="231F20"/>
          <w:sz w:val="48"/>
          <w:szCs w:val="48"/>
          <w:lang w:eastAsia="en-GB"/>
        </w:rPr>
      </w:pPr>
      <w:r w:rsidRPr="000A3B89">
        <w:rPr>
          <w:rFonts w:ascii="ff4" w:eastAsia="Times New Roman" w:hAnsi="ff4" w:cs="Times New Roman"/>
          <w:color w:val="231F20"/>
          <w:sz w:val="48"/>
          <w:szCs w:val="48"/>
          <w:lang w:eastAsia="en-GB"/>
        </w:rPr>
        <w:t>other risk factors: blood pressure and cholesterol (the latter mainly via</w:t>
      </w:r>
    </w:p>
    <w:p w14:paraId="05CABA56" w14:textId="77777777" w:rsidR="000A3B89" w:rsidRPr="000A3B89" w:rsidRDefault="000A3B89" w:rsidP="000A3B89">
      <w:pPr>
        <w:shd w:val="clear" w:color="auto" w:fill="FFFFFF"/>
        <w:spacing w:after="0" w:line="0" w:lineRule="auto"/>
        <w:rPr>
          <w:rFonts w:ascii="ff4" w:eastAsia="Times New Roman" w:hAnsi="ff4" w:cs="Times New Roman"/>
          <w:color w:val="231F20"/>
          <w:sz w:val="48"/>
          <w:szCs w:val="48"/>
          <w:lang w:eastAsia="en-GB"/>
        </w:rPr>
      </w:pPr>
      <w:r w:rsidRPr="000A3B89">
        <w:rPr>
          <w:rFonts w:ascii="ff4" w:eastAsia="Times New Roman" w:hAnsi="ff4" w:cs="Times New Roman"/>
          <w:color w:val="231F20"/>
          <w:sz w:val="48"/>
          <w:szCs w:val="48"/>
          <w:lang w:eastAsia="en-GB"/>
        </w:rPr>
        <w:t>use of statins). Perhaps the current success of these other interventions</w:t>
      </w:r>
    </w:p>
    <w:p w14:paraId="4D5B214D" w14:textId="77777777" w:rsidR="000A3B89" w:rsidRPr="000A3B89" w:rsidRDefault="000A3B89" w:rsidP="000A3B89">
      <w:pPr>
        <w:shd w:val="clear" w:color="auto" w:fill="FFFFFF"/>
        <w:spacing w:after="0" w:line="0" w:lineRule="auto"/>
        <w:rPr>
          <w:rFonts w:ascii="ff4" w:eastAsia="Times New Roman" w:hAnsi="ff4" w:cs="Times New Roman"/>
          <w:color w:val="231F20"/>
          <w:sz w:val="48"/>
          <w:szCs w:val="48"/>
          <w:lang w:eastAsia="en-GB"/>
        </w:rPr>
      </w:pPr>
      <w:r w:rsidRPr="000A3B89">
        <w:rPr>
          <w:rFonts w:ascii="ff4" w:eastAsia="Times New Roman" w:hAnsi="ff4" w:cs="Times New Roman"/>
          <w:color w:val="231F20"/>
          <w:sz w:val="48"/>
          <w:szCs w:val="48"/>
          <w:lang w:eastAsia="en-GB"/>
        </w:rPr>
        <w:t>now leaves little room for benefit from aspirin in primary prevention?</w:t>
      </w:r>
    </w:p>
    <w:p w14:paraId="67170EF0" w14:textId="25A7895C" w:rsidR="00192077" w:rsidRDefault="00232208" w:rsidP="00D556FF">
      <w:r w:rsidRPr="0072515B">
        <w:t>Authors: Christopher J D Threapleton, Tess Harris, Emma H Baker</w:t>
      </w:r>
    </w:p>
    <w:p w14:paraId="274D5994" w14:textId="77777777" w:rsidR="0072515B" w:rsidRPr="0072515B" w:rsidRDefault="0072515B" w:rsidP="00D556FF"/>
    <w:p w14:paraId="377F40B7" w14:textId="45E11608" w:rsidR="00B36F1E" w:rsidRDefault="00D556FF" w:rsidP="00D556FF">
      <w:r w:rsidRPr="001556A3">
        <w:t>Polypharmacy, the use of multiple</w:t>
      </w:r>
      <w:r>
        <w:t xml:space="preserve"> medicines</w:t>
      </w:r>
      <w:r w:rsidR="00EE4710">
        <w:t>,</w:t>
      </w:r>
      <w:r>
        <w:t xml:space="preserve"> is increasingly a </w:t>
      </w:r>
      <w:r w:rsidR="000A7DC7">
        <w:t>consequence of</w:t>
      </w:r>
      <w:r>
        <w:t xml:space="preserve"> modern healthcare.  Whil</w:t>
      </w:r>
      <w:r w:rsidR="00C9029E">
        <w:t>st</w:t>
      </w:r>
      <w:r>
        <w:t xml:space="preserve"> polypharmacy </w:t>
      </w:r>
      <w:r w:rsidR="000A7DC7">
        <w:t>is often</w:t>
      </w:r>
      <w:r>
        <w:t xml:space="preserve"> appropriate for the management of multimorbidity, it is recognised as an independent risk </w:t>
      </w:r>
      <w:r w:rsidR="000A7DC7">
        <w:t>factor for</w:t>
      </w:r>
      <w:r w:rsidR="0001239E">
        <w:t xml:space="preserve"> </w:t>
      </w:r>
      <w:r w:rsidR="000D5732">
        <w:t xml:space="preserve">illness, </w:t>
      </w:r>
      <w:r w:rsidR="0001239E">
        <w:t>h</w:t>
      </w:r>
      <w:r>
        <w:t xml:space="preserve">ospitalisation and death.  Over the last few years there has been a surge of research into the effectiveness of interventions to improve medication appropriateness and </w:t>
      </w:r>
      <w:r w:rsidR="00A768B1">
        <w:t xml:space="preserve">to </w:t>
      </w:r>
      <w:r w:rsidR="00B36F1E">
        <w:t xml:space="preserve">stop </w:t>
      </w:r>
      <w:r w:rsidR="00A768B1">
        <w:t xml:space="preserve">or ‘deprescribe’ </w:t>
      </w:r>
      <w:r w:rsidR="00B36F1E">
        <w:t>certain medicines</w:t>
      </w:r>
      <w:r w:rsidR="00A768B1">
        <w:t xml:space="preserve"> that </w:t>
      </w:r>
      <w:r w:rsidR="000A7DC7">
        <w:t>are considered to be</w:t>
      </w:r>
      <w:r w:rsidR="00A768B1">
        <w:t xml:space="preserve"> causing more harm than good</w:t>
      </w:r>
      <w:r w:rsidR="00B36F1E">
        <w:t xml:space="preserve">.  </w:t>
      </w:r>
    </w:p>
    <w:p w14:paraId="7295D76E" w14:textId="11031BE0" w:rsidR="007F1904" w:rsidRDefault="000D5732" w:rsidP="00D556FF">
      <w:r>
        <w:t xml:space="preserve">Numerous studies of </w:t>
      </w:r>
      <w:r w:rsidR="00B5597C">
        <w:t>interventions to manage polypharmacy</w:t>
      </w:r>
      <w:r>
        <w:t xml:space="preserve"> have been published</w:t>
      </w:r>
      <w:r w:rsidR="00B5597C">
        <w:t>, including several systematic review</w:t>
      </w:r>
      <w:r>
        <w:t>s in the BJCP</w:t>
      </w:r>
      <w:r w:rsidR="00B36F1E">
        <w:t>.  U</w:t>
      </w:r>
      <w:r w:rsidR="0001239E">
        <w:t>nfortunately</w:t>
      </w:r>
      <w:r w:rsidR="002D01FF">
        <w:t>,</w:t>
      </w:r>
      <w:r w:rsidR="0001239E">
        <w:t xml:space="preserve"> </w:t>
      </w:r>
      <w:r w:rsidR="00B36F1E">
        <w:t xml:space="preserve">evidence of the effectiveness of such interventions has been </w:t>
      </w:r>
      <w:r w:rsidR="000A7DC7">
        <w:t>inconclusive</w:t>
      </w:r>
      <w:r w:rsidR="00B36F1E">
        <w:t>.  Whilst</w:t>
      </w:r>
      <w:r w:rsidR="00DC0162">
        <w:t xml:space="preserve"> improvement</w:t>
      </w:r>
      <w:r w:rsidR="00296312">
        <w:t>s</w:t>
      </w:r>
      <w:r w:rsidR="00DC0162">
        <w:t xml:space="preserve"> in the appropriateness of</w:t>
      </w:r>
      <w:r w:rsidR="00A768B1">
        <w:t xml:space="preserve"> </w:t>
      </w:r>
      <w:r w:rsidR="00B36F1E">
        <w:t>medication</w:t>
      </w:r>
      <w:r w:rsidR="00296312">
        <w:t>s</w:t>
      </w:r>
      <w:r w:rsidR="00B85687">
        <w:t xml:space="preserve"> ha</w:t>
      </w:r>
      <w:r w:rsidR="00296312">
        <w:t>ve</w:t>
      </w:r>
      <w:r w:rsidR="00B85687">
        <w:t xml:space="preserve"> been demonstrated</w:t>
      </w:r>
      <w:r w:rsidR="00B36F1E">
        <w:t xml:space="preserve">, there is limited evidence that </w:t>
      </w:r>
      <w:r w:rsidR="00D26574">
        <w:t>th</w:t>
      </w:r>
      <w:r w:rsidR="00296312">
        <w:t>ese</w:t>
      </w:r>
      <w:r w:rsidR="00B36F1E">
        <w:t xml:space="preserve"> lead to demonstrable improvement</w:t>
      </w:r>
      <w:r w:rsidR="00296312">
        <w:t>s</w:t>
      </w:r>
      <w:r w:rsidR="00B36F1E">
        <w:t xml:space="preserve"> in </w:t>
      </w:r>
      <w:r w:rsidR="00084835">
        <w:t>clinically meaningful</w:t>
      </w:r>
      <w:r w:rsidR="00B36F1E">
        <w:t xml:space="preserve"> outcomes</w:t>
      </w:r>
      <w:r w:rsidR="00763B9E">
        <w:t xml:space="preserve">, such as </w:t>
      </w:r>
      <w:r w:rsidR="00296312">
        <w:t xml:space="preserve">in </w:t>
      </w:r>
      <w:r w:rsidR="00763B9E">
        <w:t>physical or cognitive function</w:t>
      </w:r>
      <w:r w:rsidR="00084835">
        <w:t xml:space="preserve">, </w:t>
      </w:r>
      <w:r w:rsidR="00763B9E">
        <w:t>quality of life</w:t>
      </w:r>
      <w:r w:rsidR="00084835">
        <w:t xml:space="preserve"> or hospital admissions</w:t>
      </w:r>
      <w:r w:rsidR="00B36F1E">
        <w:t xml:space="preserve">.  </w:t>
      </w:r>
      <w:r w:rsidR="00457C48">
        <w:t>A</w:t>
      </w:r>
      <w:r w:rsidR="007F1904">
        <w:t xml:space="preserve"> recent meta-analysis</w:t>
      </w:r>
      <w:r w:rsidR="007F1904">
        <w:fldChar w:fldCharType="begin" w:fldLock="1"/>
      </w:r>
      <w:r w:rsidR="00A72003">
        <w:instrText>ADDIN CSL_CITATION {"citationItems":[{"id":"ITEM-1","itemData":{"DOI":"10.1007/s11606-020-06089-2","ISSN":"15251497","PMID":"32820421","abstract":"Background: Polypharmacy and use of inappropriate medications have been linked to increased risk of falls, hospitalizations, cognitive impairment, and death. The primary objective of this review was to evaluate the effectiveness, comparative effectiveness, and harms of deprescribing interventions among community-dwelling older adults. Methods: We searched OVID MEDLINE Embase, CINAHL, and the Cochrane Library from 1990 through February 2019 for controlled clinical trials comparing any deprescribing intervention to usual care or another intervention. Primary outcomes were all-cause mortality, hospitalizations, health-related quality of life, and falls. The secondary outcome was use of potentially inappropriate medications (PIMs). Interventions were categorized as comprehensive medication review, educational initiatives, and computerized decision support. Data abstracted by one investigator were verified by another. We used the Cochrane criteria to rate risk of bias for each study and the GRADE system to determine certainty of evidence (COE) for primary outcomes. Results: Thirty-eight low and medium risk of bias clinical trials were included. Comprehensive medication review may have reduced all-cause mortality (OR 0.74, 95% CI: 0.58 to 0.95, I2 = 0, k = 12, low COE) but probably had little to no effect on falls, health-related quality of life, or hospitalizations (low to moderate COE). Nine of thirteen trials reported fewer PIMs in the intervention group. Educational interventions probably had little to no effect on all-cause mortality, hospitalizations, or health-related quality of life (low to moderate COE). The effect on falls was uncertain (very low COE). All 11 education trials that included PIMs reported fewer in the intervention than in the control groups. Two of 4 computerized decision support trials reported fewer PIMs in the intervention arms; none included any primary outcomes. Discussion: In community-dwelling people aged 65 years and older, medication deprescribing interventions may provide small reductions in mortality and use of potentially inappropriate medications. Registry Information: PROSPERO - CRD42019132420.","author":[{"dropping-particle":"","family":"Bloomfield","given":"Hanna E.","non-dropping-particle":"","parse-names":false,"suffix":""},{"dropping-particle":"","family":"Greer","given":"Nancy","non-dropping-particle":"","parse-names":false,"suffix":""},{"dropping-particle":"","family":"Linsky","given":"Amy M.","non-dropping-particle":"","parse-names":false,"suffix":""},{"dropping-particle":"","family":"Bolduc","given":"Jennifer","non-dropping-particle":"","parse-names":false,"suffix":""},{"dropping-particle":"","family":"Naidl","given":"Todd","non-dropping-particle":"","parse-names":false,"suffix":""},{"dropping-particle":"","family":"Vardeny","given":"Orly","non-dropping-particle":"","parse-names":false,"suffix":""},{"dropping-particle":"","family":"MacDonald","given":"Roderick","non-dropping-particle":"","parse-names":false,"suffix":""},{"dropping-particle":"","family":"McKenzie","given":"Lauren","non-dropping-particle":"","parse-names":false,"suffix":""},{"dropping-particle":"","family":"Wilt","given":"Timothy J.","non-dropping-particle":"","parse-names":false,"suffix":""}],"container-title":"Journal of General Internal Medicine","id":"ITEM-1","issue":"11","issued":{"date-parts":[["2020"]]},"page":"3323-3332","publisher":"Journal of General Internal Medicine","title":"Deprescribing for Community-Dwelling Older Adults: a Systematic Review and Meta-analysis","type":"article-journal","volume":"35"},"uris":["http://www.mendeley.com/documents/?uuid=9cc1b368-ce15-4357-a078-c2769e6cefd3"]}],"mendeley":{"formattedCitation":"&lt;sup&gt;1&lt;/sup&gt;","plainTextFormattedCitation":"1","previouslyFormattedCitation":"&lt;sup&gt;1&lt;/sup&gt;"},"properties":{"noteIndex":0},"schema":"https://github.com/citation-style-language/schema/raw/master/csl-citation.json"}</w:instrText>
      </w:r>
      <w:r w:rsidR="007F1904">
        <w:fldChar w:fldCharType="separate"/>
      </w:r>
      <w:r w:rsidR="00457C48" w:rsidRPr="00457C48">
        <w:rPr>
          <w:noProof/>
          <w:vertAlign w:val="superscript"/>
        </w:rPr>
        <w:t>1</w:t>
      </w:r>
      <w:r w:rsidR="007F1904">
        <w:fldChar w:fldCharType="end"/>
      </w:r>
      <w:r w:rsidR="007F1904">
        <w:t xml:space="preserve"> found that interventions may reduce mortality, but the certainty of evidence was low.</w:t>
      </w:r>
    </w:p>
    <w:p w14:paraId="11760F8A" w14:textId="1272C43B" w:rsidR="004959E4" w:rsidRDefault="00AD1980" w:rsidP="00D556FF">
      <w:proofErr w:type="spellStart"/>
      <w:r>
        <w:t>Huiskes</w:t>
      </w:r>
      <w:proofErr w:type="spellEnd"/>
      <w:r>
        <w:t xml:space="preserve"> and colleagues</w:t>
      </w:r>
      <w:r>
        <w:fldChar w:fldCharType="begin" w:fldLock="1"/>
      </w:r>
      <w:r w:rsidR="00A72003">
        <w:instrText>ADDIN CSL_CITATION {"citationItems":[{"id":"ITEM-1","itemData":{"DOI":"10.1186/s12875-016-0577-x","ISBN":"1287501605","ISSN":"14712296","PMID":"28095780","abstract":"Medication review is often recommended to optimize medication use. In clinical practice it is mostly operationalized as an intervention without co-interventions during a short term intervention period. However, most systematic reviews also included co-interventions and prolonged medication optimization interventions. Furthermore, most systematic reviews focused on specific patient groups (e.g. polypharmacy, elderly, hospitalized) and/or on specific outcome measures (e.g. hospital admissions and mortality). Therefore, the objective of this study is to assess the effectiveness of medication review as an isolated short-term intervention, irrespective of the patient population and the outcome measures used. A literature search was performed in MEDLINE, EMBASE and Web of Science from their inception through September 2015. Randomized controlled trials (RCTs) with medication review as isolated short term intervention (&lt;3 months) were included. There were no restrictions with regard to patient characteristics and outcome measures. One reviewer extracted and a second checked data. The risk of bias of studies was evaluated independently by two reviewers. A best evidence synthesis was conducted for every outcome measure used in more than one trial. In case of binary variables a meta-analysis was performed in addition to the best evidence synthesis, to quantify the effect. Thirty-one RCTs were included in this systematic review (55% low risk of bias). A best evidence synthesis was conducted for 22 outcome measures. No effect of medication review was found on clinical outcomes (mortality, hospital admissions/healthcare use, the number of patients falling, physical and cognitive functioning), except a decrease in the number of falls per patient. However, in a sensitivity analysis using a more stringent threshold for risk of bias, the conclusion for the effect on the number of falls changed to inconclusive. Furthermore no effect was found on quality of life and evidence was inconclusive about the effect on economical outcome measures. However, an effect was found on most drug-related problems: medication review resulted in a decrease in the number of drug-related problems, more changes in medication, more drugs with dosage decrease and a greater decrease or smaller increase of the number of drugs. An isolated medication review during a short term intervention period has an effect on most drug-related outcomes, minimal effect on clinical outcomes and no effect on qual…","author":[{"dropping-particle":"","family":"Huiskes","given":"Victor Johan Bernard","non-dropping-particle":"","parse-names":false,"suffix":""},{"dropping-particle":"","family":"Burger","given":"David Marinus","non-dropping-particle":"","parse-names":false,"suffix":""},{"dropping-particle":"","family":"Ende","given":"Cornelia Helena Maria","non-dropping-particle":"Van Den","parse-names":false,"suffix":""},{"dropping-particle":"","family":"Bemt","given":"Bartholomeus Johannes Fredericus","non-dropping-particle":"Van Den","parse-names":false,"suffix":""}],"container-title":"BMC Family Practice","id":"ITEM-1","issue":"1","issued":{"date-parts":[["2017"]]},"publisher":"BMC Family Practice","title":"Effectiveness of medication review: A systematic review and meta-analysis of randomized controlled trials","type":"article-journal","volume":"18"},"uris":["http://www.mendeley.com/documents/?uuid=c4d18d63-eeba-4b30-bf3f-2b8ac4006798"]}],"mendeley":{"formattedCitation":"&lt;sup&gt;2&lt;/sup&gt;","plainTextFormattedCitation":"2","previouslyFormattedCitation":"&lt;sup&gt;2&lt;/sup&gt;"},"properties":{"noteIndex":0},"schema":"https://github.com/citation-style-language/schema/raw/master/csl-citation.json"}</w:instrText>
      </w:r>
      <w:r>
        <w:fldChar w:fldCharType="separate"/>
      </w:r>
      <w:r w:rsidR="00457C48" w:rsidRPr="00457C48">
        <w:rPr>
          <w:noProof/>
          <w:vertAlign w:val="superscript"/>
        </w:rPr>
        <w:t>2</w:t>
      </w:r>
      <w:r>
        <w:fldChar w:fldCharType="end"/>
      </w:r>
      <w:r>
        <w:t xml:space="preserve"> suggest one reason for inconclusive findings might be </w:t>
      </w:r>
      <w:r w:rsidR="000D5732">
        <w:t>that</w:t>
      </w:r>
      <w:r>
        <w:t xml:space="preserve"> trial inclusion criteria do not select patients most likely to benefit from the intervention.  </w:t>
      </w:r>
      <w:r w:rsidR="004959E4">
        <w:t>I</w:t>
      </w:r>
      <w:r>
        <w:t>ntervention</w:t>
      </w:r>
      <w:r w:rsidR="004959E4">
        <w:t>s</w:t>
      </w:r>
      <w:r>
        <w:t xml:space="preserve"> that</w:t>
      </w:r>
      <w:r w:rsidR="004959E4">
        <w:t xml:space="preserve"> work </w:t>
      </w:r>
      <w:r w:rsidR="004959E4" w:rsidRPr="0020166C">
        <w:t>for some people might not work for others</w:t>
      </w:r>
      <w:r w:rsidR="0020166C">
        <w:t>, so that</w:t>
      </w:r>
      <w:r w:rsidR="004959E4" w:rsidRPr="0020166C">
        <w:t xml:space="preserve"> </w:t>
      </w:r>
      <w:r w:rsidR="0020166C" w:rsidRPr="0020166C">
        <w:t>selecting the wrong group of patients</w:t>
      </w:r>
      <w:r w:rsidR="004959E4" w:rsidRPr="0020166C">
        <w:t xml:space="preserve"> </w:t>
      </w:r>
      <w:r w:rsidR="004959E4">
        <w:t>may result in an averaging effect of outcomes showing no overall significant effect.</w:t>
      </w:r>
    </w:p>
    <w:p w14:paraId="42C7080A" w14:textId="7248D829" w:rsidR="00E71A19" w:rsidRDefault="00AD1980" w:rsidP="00F2047A">
      <w:r w:rsidRPr="00E376B1">
        <w:t xml:space="preserve">Patient selection </w:t>
      </w:r>
      <w:r w:rsidR="00153749">
        <w:t>for</w:t>
      </w:r>
      <w:r w:rsidR="00153749" w:rsidRPr="00E376B1">
        <w:t xml:space="preserve"> </w:t>
      </w:r>
      <w:r w:rsidRPr="00E376B1">
        <w:t>clinical trials of polypharmacy interventions is heterogeneous</w:t>
      </w:r>
      <w:r w:rsidR="0025135B">
        <w:t xml:space="preserve"> and can be categorised broadly in</w:t>
      </w:r>
      <w:r w:rsidR="00296312">
        <w:t>to</w:t>
      </w:r>
      <w:r w:rsidR="0025135B">
        <w:t xml:space="preserve"> </w:t>
      </w:r>
      <w:r w:rsidR="0001239E">
        <w:t>three groups</w:t>
      </w:r>
      <w:r w:rsidR="00296312">
        <w:t>.</w:t>
      </w:r>
      <w:r w:rsidR="009E5CC6">
        <w:t xml:space="preserve">  </w:t>
      </w:r>
      <w:r w:rsidR="006F0C6C" w:rsidRPr="00A768B1">
        <w:rPr>
          <w:i/>
        </w:rPr>
        <w:t>Patient factors</w:t>
      </w:r>
      <w:r w:rsidR="006F0C6C">
        <w:t xml:space="preserve"> </w:t>
      </w:r>
      <w:r w:rsidR="009E5CC6">
        <w:t>include</w:t>
      </w:r>
      <w:r w:rsidR="00153749">
        <w:t xml:space="preserve"> </w:t>
      </w:r>
      <w:r w:rsidR="006F0C6C">
        <w:t>demographics such as age, particular medical condition</w:t>
      </w:r>
      <w:r w:rsidR="00055860">
        <w:t>s</w:t>
      </w:r>
      <w:r w:rsidR="006F0C6C">
        <w:t xml:space="preserve"> or </w:t>
      </w:r>
      <w:r w:rsidR="00055860">
        <w:t xml:space="preserve">nursing home </w:t>
      </w:r>
      <w:r w:rsidR="006F0C6C">
        <w:t>resid</w:t>
      </w:r>
      <w:r w:rsidR="00055860">
        <w:t>ence</w:t>
      </w:r>
      <w:r w:rsidR="009E5CC6">
        <w:t xml:space="preserve"> and </w:t>
      </w:r>
      <w:r w:rsidR="006F0C6C">
        <w:t>may act as prox</w:t>
      </w:r>
      <w:r w:rsidR="009E5CC6">
        <w:t>ies</w:t>
      </w:r>
      <w:r w:rsidR="006F0C6C">
        <w:t xml:space="preserve"> for burden of polypharmacy or risk of harm from medicines.  </w:t>
      </w:r>
      <w:r w:rsidR="0025135B" w:rsidRPr="00A768B1">
        <w:rPr>
          <w:i/>
        </w:rPr>
        <w:t>Medication factors</w:t>
      </w:r>
      <w:r w:rsidR="0025135B">
        <w:t xml:space="preserve"> </w:t>
      </w:r>
      <w:r w:rsidR="000D5732">
        <w:t>are measures of polypharmacy burden</w:t>
      </w:r>
      <w:r w:rsidR="005C47C8">
        <w:t>, including t</w:t>
      </w:r>
      <w:r w:rsidR="000D5732">
        <w:t xml:space="preserve">he </w:t>
      </w:r>
      <w:r w:rsidR="005C47C8">
        <w:t xml:space="preserve">total </w:t>
      </w:r>
      <w:r w:rsidR="000D5732">
        <w:t xml:space="preserve">number of prescribed medicines </w:t>
      </w:r>
      <w:r w:rsidR="005C47C8">
        <w:t xml:space="preserve">and the </w:t>
      </w:r>
      <w:r w:rsidR="000D5732">
        <w:t>number of</w:t>
      </w:r>
      <w:r w:rsidR="0025135B">
        <w:t xml:space="preserve"> </w:t>
      </w:r>
      <w:r w:rsidR="000D5732">
        <w:t>‘potentially inappropriate medicines’ (PIMs)</w:t>
      </w:r>
      <w:r w:rsidR="005C47C8">
        <w:t xml:space="preserve"> such as</w:t>
      </w:r>
      <w:r w:rsidR="005C47C8" w:rsidRPr="005C47C8">
        <w:t xml:space="preserve"> </w:t>
      </w:r>
      <w:r w:rsidR="005C47C8">
        <w:t>benzodiazepines</w:t>
      </w:r>
      <w:r w:rsidR="0020166C">
        <w:t xml:space="preserve"> used long term</w:t>
      </w:r>
      <w:r w:rsidR="005C47C8">
        <w:t xml:space="preserve">.  </w:t>
      </w:r>
      <w:r w:rsidR="0025135B" w:rsidRPr="00A768B1">
        <w:rPr>
          <w:i/>
        </w:rPr>
        <w:t>Harm factors</w:t>
      </w:r>
      <w:r w:rsidR="0025135B">
        <w:t xml:space="preserve"> </w:t>
      </w:r>
      <w:r w:rsidR="000D5732">
        <w:t>are measures of actual harm</w:t>
      </w:r>
      <w:r w:rsidR="0025135B">
        <w:t xml:space="preserve"> </w:t>
      </w:r>
      <w:r w:rsidR="00396FFD">
        <w:t xml:space="preserve">associated with </w:t>
      </w:r>
      <w:r w:rsidR="0025135B">
        <w:t>polypharmacy</w:t>
      </w:r>
      <w:r w:rsidR="00055860">
        <w:t xml:space="preserve">, </w:t>
      </w:r>
      <w:r w:rsidR="00396FFD">
        <w:t>includ</w:t>
      </w:r>
      <w:r w:rsidR="00055860">
        <w:t>ing</w:t>
      </w:r>
      <w:r w:rsidR="00396FFD">
        <w:t xml:space="preserve"> </w:t>
      </w:r>
      <w:r w:rsidR="0025135B">
        <w:t>falls</w:t>
      </w:r>
      <w:r w:rsidR="00A768B1">
        <w:t>,</w:t>
      </w:r>
      <w:r w:rsidR="0025135B">
        <w:t xml:space="preserve"> cognitive decline</w:t>
      </w:r>
      <w:r w:rsidR="00A768B1">
        <w:t xml:space="preserve"> </w:t>
      </w:r>
      <w:r w:rsidR="00396FFD">
        <w:t xml:space="preserve">and </w:t>
      </w:r>
      <w:r w:rsidR="00A768B1">
        <w:t xml:space="preserve">frequent </w:t>
      </w:r>
      <w:r w:rsidR="00055860">
        <w:t xml:space="preserve">hospital </w:t>
      </w:r>
      <w:r w:rsidR="00A768B1">
        <w:t>attendances.</w:t>
      </w:r>
    </w:p>
    <w:p w14:paraId="1D5B404A" w14:textId="3F5120F7" w:rsidR="000E36B0" w:rsidRDefault="00055860" w:rsidP="008B20B7">
      <w:r>
        <w:t>E</w:t>
      </w:r>
      <w:r w:rsidR="006F0C6C">
        <w:t>ach category</w:t>
      </w:r>
      <w:r>
        <w:t xml:space="preserve"> has strengths and weaknesses</w:t>
      </w:r>
      <w:r w:rsidR="006F0C6C">
        <w:t xml:space="preserve">.  </w:t>
      </w:r>
      <w:r w:rsidR="008B20B7">
        <w:t xml:space="preserve">Some </w:t>
      </w:r>
      <w:r w:rsidR="008B20B7" w:rsidRPr="00084835">
        <w:rPr>
          <w:i/>
          <w:iCs/>
        </w:rPr>
        <w:t>p</w:t>
      </w:r>
      <w:r w:rsidR="00BC5C92" w:rsidRPr="00084835">
        <w:rPr>
          <w:i/>
          <w:iCs/>
        </w:rPr>
        <w:t>atient factors</w:t>
      </w:r>
      <w:r w:rsidR="008B20B7">
        <w:t>, such as age or the presence of a particular diagnosis,</w:t>
      </w:r>
      <w:r w:rsidR="00BC5C92">
        <w:t xml:space="preserve"> </w:t>
      </w:r>
      <w:r w:rsidR="008B20B7">
        <w:t xml:space="preserve">are straightforward to use, but may not adequately reflect patients who would benefit most from a polypharmacy intervention.  </w:t>
      </w:r>
      <w:r w:rsidR="00BC5C92">
        <w:t xml:space="preserve">Other </w:t>
      </w:r>
      <w:r w:rsidR="000E36B0">
        <w:t>factors</w:t>
      </w:r>
      <w:r w:rsidR="00BC5C92">
        <w:t xml:space="preserve">, such as frailty </w:t>
      </w:r>
      <w:r w:rsidR="008D43F6">
        <w:t>or</w:t>
      </w:r>
      <w:r w:rsidR="00BC5C92">
        <w:t xml:space="preserve"> </w:t>
      </w:r>
      <w:r w:rsidR="00B45FB7">
        <w:t>multimorbidity</w:t>
      </w:r>
      <w:r w:rsidR="00BC5C92">
        <w:t xml:space="preserve"> </w:t>
      </w:r>
      <w:r w:rsidR="008B20B7">
        <w:t>may be more appropriate</w:t>
      </w:r>
      <w:r w:rsidR="00B45FB7">
        <w:t xml:space="preserve">.  </w:t>
      </w:r>
      <w:r w:rsidR="00EB17E7">
        <w:t xml:space="preserve">The </w:t>
      </w:r>
      <w:r w:rsidR="00B45FB7">
        <w:t xml:space="preserve">Charlson Comorbidity </w:t>
      </w:r>
      <w:r w:rsidR="00CD3E56">
        <w:t>Index, for</w:t>
      </w:r>
      <w:r w:rsidR="00EB17E7">
        <w:t xml:space="preserve"> example, </w:t>
      </w:r>
      <w:r w:rsidR="00803F5F">
        <w:t>can be</w:t>
      </w:r>
      <w:r w:rsidR="00173572">
        <w:t xml:space="preserve"> </w:t>
      </w:r>
      <w:r w:rsidR="00B677B4">
        <w:t>used</w:t>
      </w:r>
      <w:r w:rsidR="00173572">
        <w:t xml:space="preserve"> to predict 10 year survival based on the presence or absence of certain diagnoses</w:t>
      </w:r>
      <w:r w:rsidR="00E0349E">
        <w:fldChar w:fldCharType="begin" w:fldLock="1"/>
      </w:r>
      <w:r w:rsidR="00E0349E">
        <w:instrText>ADDIN CSL_CITATION {"citationItems":[{"id":"ITEM-1","itemData":{"abstract":"The objective of this study was to develop a prospectively applicable method for classifying comorbid conditions which might alter the risk of mortality for use in longitudinal studies. A weighted index that takes into account the number and the seriousness of comorbid disease was developed in a cohort of 559 medical patients. The 1-yr mortality rates for the different scores were: \"0\", 12% (181); \"1-2\", 26% (225); \"3-4\", 52% (71); and \"greater than or equal to 5\", 85% (82). The index was tested for its ability to predict risk of death from comorbid disease in the second cohort of 685 patients during a 10-yr follow-up. The percent of patients who died of comorbid disease for the different scores were: \"0\", 8% (588); \"1\", 25% (54); \"2\", 48% (25); \"greater than or equal to 3\", 59% (18). With each increased level of the comorbidity index, there were stepwise increases in the cumulative mortality attributable to comorbid disease (log rank chi 2 = 165; p less than 0.0001). In this longer follow-up, age was also a predictor of mortality (p less than 0.001). The new index performed similarly to a previous system devised by Kaplan and Feinstein. The method of classifying comorbidity provides a simple, readily applicable and valid method of estimating risk of death from comorbid disease for use in longitudinal studies. Further work in larger populations is still required to refine the approach because the number of patients with any given condition in this study was relatively small.","author":[{"dropping-particle":"","family":"Charlson","given":"Mary E","non-dropping-particle":"","parse-names":false,"suffix":""},{"dropping-particle":"","family":"Pompei","given":"Peter","non-dropping-particle":"","parse-names":false,"suffix":""},{"dropping-particle":"","family":"Ales","given":"Kathy L","non-dropping-particle":"","parse-names":false,"suffix":""},{"dropping-particle":"","family":"MacKenzie","given":"C. Ronald","non-dropping-particle":"","parse-names":false,"suffix":""}],"container-title":"Journal Of Chronic Diseases","id":"ITEM-1","issue":"5","issued":{"date-parts":[["1987"]]},"page":"373-383","title":"A New Method of Classifying Prognostic Comorbidity in Longitudinal Studies: Development and Validation","type":"article-journal","volume":"40"},"uris":["http://www.mendeley.com/documents/?uuid=2aa83c5c-5311-4d5d-9b23-b4dcfb909804"]}],"mendeley":{"formattedCitation":"&lt;sup&gt;3&lt;/sup&gt;","plainTextFormattedCitation":"3","previouslyFormattedCitation":"&lt;sup&gt;3&lt;/sup&gt;"},"properties":{"noteIndex":0},"schema":"https://github.com/citation-style-language/schema/raw/master/csl-citation.json"}</w:instrText>
      </w:r>
      <w:r w:rsidR="00E0349E">
        <w:fldChar w:fldCharType="separate"/>
      </w:r>
      <w:r w:rsidR="00E0349E" w:rsidRPr="00E0349E">
        <w:rPr>
          <w:noProof/>
          <w:vertAlign w:val="superscript"/>
        </w:rPr>
        <w:t>3</w:t>
      </w:r>
      <w:r w:rsidR="00E0349E">
        <w:fldChar w:fldCharType="end"/>
      </w:r>
      <w:r w:rsidR="00173572">
        <w:t xml:space="preserve">.  Such tools can be tremendously helpful at </w:t>
      </w:r>
      <w:r w:rsidR="000618C7">
        <w:t>prognostication but</w:t>
      </w:r>
      <w:r w:rsidR="00173572">
        <w:t xml:space="preserve"> are heavily reliant on accurate medical records.  </w:t>
      </w:r>
      <w:r w:rsidR="001F0DBE">
        <w:t xml:space="preserve">Indeed, a common </w:t>
      </w:r>
      <w:r w:rsidR="00C1378E">
        <w:t>barrier to prescribing decisions is</w:t>
      </w:r>
      <w:r w:rsidR="001F0DBE">
        <w:t xml:space="preserve"> a lack of relevant clinical data</w:t>
      </w:r>
      <w:r w:rsidR="001F0DBE">
        <w:fldChar w:fldCharType="begin" w:fldLock="1"/>
      </w:r>
      <w:r w:rsidR="00E0349E">
        <w:instrText>ADDIN CSL_CITATION {"citationItems":[{"id":"ITEM-1","itemData":{"DOI":"10.1111/bcp.14243","author":[{"dropping-particle":"","family":"Threapleton","given":"Christopher J D","non-dropping-particle":"","parse-names":false,"suffix":""},{"dropping-particle":"","family":"Kimpton","given":"James E","non-dropping-particle":"","parse-names":false,"suffix":""},{"dropping-particle":"","family":"Carey","given":"Iain M","non-dropping-particle":"","parse-names":false,"suffix":""},{"dropping-particle":"","family":"DeWilde","given":"Stephen","non-dropping-particle":"","parse-names":false,"suffix":""},{"dropping-particle":"","family":"Cook","given":"Derek G","non-dropping-particle":"","parse-names":false,"suffix":""},{"dropping-particle":"","family":"Harris","given":"Tess","non-dropping-particle":"","parse-names":false,"suffix":""},{"dropping-particle":"","family":"Baker","given":"Emma H","non-dropping-particle":"","parse-names":false,"suffix":""}],"container-title":"British Journal of Clinical Pharmacology","id":"ITEM-1","issue":"January","issued":{"date-parts":[["2020"]]},"page":"1-10","title":"Development of a structured clinical pharmacology review for specialist support for management of complex polypharmacy in primary care","type":"article-journal"},"uris":["http://www.mendeley.com/documents/?uuid=82acd4ab-4141-4124-81ee-a72538fafa41"]}],"mendeley":{"formattedCitation":"&lt;sup&gt;4&lt;/sup&gt;","plainTextFormattedCitation":"4","previouslyFormattedCitation":"&lt;sup&gt;4&lt;/sup&gt;"},"properties":{"noteIndex":0},"schema":"https://github.com/citation-style-language/schema/raw/master/csl-citation.json"}</w:instrText>
      </w:r>
      <w:r w:rsidR="001F0DBE">
        <w:fldChar w:fldCharType="separate"/>
      </w:r>
      <w:r w:rsidR="00E0349E" w:rsidRPr="00E0349E">
        <w:rPr>
          <w:noProof/>
          <w:vertAlign w:val="superscript"/>
        </w:rPr>
        <w:t>4</w:t>
      </w:r>
      <w:r w:rsidR="001F0DBE">
        <w:fldChar w:fldCharType="end"/>
      </w:r>
      <w:r w:rsidR="001F0DBE">
        <w:t xml:space="preserve">.  </w:t>
      </w:r>
      <w:r w:rsidR="006F0C6C" w:rsidRPr="00084835">
        <w:rPr>
          <w:i/>
          <w:iCs/>
        </w:rPr>
        <w:t>Medication factors</w:t>
      </w:r>
      <w:r w:rsidR="009C43F9">
        <w:t xml:space="preserve">, such as the inclusion of </w:t>
      </w:r>
      <w:r w:rsidR="00D80222">
        <w:t>patients taking</w:t>
      </w:r>
      <w:r w:rsidR="008B20B7">
        <w:t xml:space="preserve"> a </w:t>
      </w:r>
      <w:r w:rsidR="00E010D2">
        <w:t>certain</w:t>
      </w:r>
      <w:r w:rsidR="008B20B7">
        <w:t xml:space="preserve"> number of medicines</w:t>
      </w:r>
      <w:r w:rsidR="00D80222">
        <w:t xml:space="preserve">, </w:t>
      </w:r>
      <w:r w:rsidR="008B20B7">
        <w:t>are</w:t>
      </w:r>
      <w:r w:rsidR="00D80222">
        <w:t xml:space="preserve"> convenient because prescription</w:t>
      </w:r>
      <w:r w:rsidR="009C43F9">
        <w:t xml:space="preserve"> data</w:t>
      </w:r>
      <w:r w:rsidR="00D80222">
        <w:t xml:space="preserve"> can be obtained from </w:t>
      </w:r>
      <w:r w:rsidR="008011B7">
        <w:t>medical</w:t>
      </w:r>
      <w:r w:rsidR="00D80222">
        <w:t xml:space="preserve"> records.  However,</w:t>
      </w:r>
      <w:r w:rsidR="006F0C6C">
        <w:t xml:space="preserve"> such factors often fail to account for the appropriateness of medicines for the individual patient.  For example, a certain number of medicines may be appropriate for someone with ischaemic heart disease, diabetes and COPD</w:t>
      </w:r>
      <w:r w:rsidR="00935756">
        <w:t>,</w:t>
      </w:r>
      <w:r w:rsidR="006F0C6C">
        <w:t xml:space="preserve"> but not for someone without such a high morbidity</w:t>
      </w:r>
      <w:r>
        <w:t xml:space="preserve"> burden</w:t>
      </w:r>
      <w:r w:rsidR="006F0C6C">
        <w:t xml:space="preserve">.  </w:t>
      </w:r>
      <w:r w:rsidR="00412977">
        <w:t>V</w:t>
      </w:r>
      <w:r w:rsidR="00E3355F">
        <w:t xml:space="preserve">arious measures of medication appropriateness, such as the Medication Appropriateness Index (MAI), are commonly used in research, but </w:t>
      </w:r>
      <w:r w:rsidR="00412977">
        <w:t xml:space="preserve">are time consuming and </w:t>
      </w:r>
      <w:r w:rsidR="002009A7">
        <w:t xml:space="preserve">therefore </w:t>
      </w:r>
      <w:r w:rsidR="00E3355F">
        <w:t>less useful in clinical</w:t>
      </w:r>
      <w:r w:rsidR="002009A7">
        <w:t xml:space="preserve"> practice</w:t>
      </w:r>
      <w:r w:rsidR="00E3355F">
        <w:t xml:space="preserve">.  </w:t>
      </w:r>
      <w:r w:rsidR="00D80222">
        <w:t>Using</w:t>
      </w:r>
      <w:r w:rsidR="006F0C6C">
        <w:t xml:space="preserve"> </w:t>
      </w:r>
      <w:r w:rsidR="00D80222" w:rsidRPr="00084835">
        <w:rPr>
          <w:i/>
          <w:iCs/>
        </w:rPr>
        <w:t>harm factors</w:t>
      </w:r>
      <w:r w:rsidR="00D80222">
        <w:t xml:space="preserve">, such as the inclusion of </w:t>
      </w:r>
      <w:r w:rsidR="006F0C6C">
        <w:lastRenderedPageBreak/>
        <w:t xml:space="preserve">patients who </w:t>
      </w:r>
      <w:r w:rsidR="002009A7">
        <w:t>frequently</w:t>
      </w:r>
      <w:r w:rsidR="006F0C6C">
        <w:t xml:space="preserve"> fall</w:t>
      </w:r>
      <w:r w:rsidR="00D80222">
        <w:t xml:space="preserve">, </w:t>
      </w:r>
      <w:r w:rsidR="006F0C6C">
        <w:t xml:space="preserve">may result in a greater reduction of </w:t>
      </w:r>
      <w:r w:rsidR="00D80222">
        <w:t>harm (</w:t>
      </w:r>
      <w:r w:rsidR="000A637C">
        <w:t>i.e.,</w:t>
      </w:r>
      <w:r w:rsidR="008B20B7">
        <w:t xml:space="preserve"> </w:t>
      </w:r>
      <w:r w:rsidR="007224A8">
        <w:t>fall prevention</w:t>
      </w:r>
      <w:r w:rsidR="00D80222">
        <w:t>)</w:t>
      </w:r>
      <w:r w:rsidR="006F0C6C">
        <w:t xml:space="preserve"> </w:t>
      </w:r>
      <w:r w:rsidR="00153749">
        <w:t xml:space="preserve">than </w:t>
      </w:r>
      <w:r w:rsidR="006F0C6C">
        <w:t xml:space="preserve">using broader criteria.  However, </w:t>
      </w:r>
      <w:r w:rsidR="00153749">
        <w:t>identifying patients for inclusion where harm has already occurred</w:t>
      </w:r>
      <w:r w:rsidR="006F0C6C">
        <w:t xml:space="preserve"> </w:t>
      </w:r>
      <w:r w:rsidR="00DC4876">
        <w:t>means</w:t>
      </w:r>
      <w:r w:rsidR="00D80222">
        <w:t xml:space="preserve"> excluding</w:t>
      </w:r>
      <w:r w:rsidR="006F0C6C">
        <w:t xml:space="preserve"> </w:t>
      </w:r>
      <w:r w:rsidR="00153749">
        <w:t xml:space="preserve">others </w:t>
      </w:r>
      <w:r w:rsidR="006F0C6C">
        <w:t xml:space="preserve">where the risk of harm is </w:t>
      </w:r>
      <w:r w:rsidR="000A637C">
        <w:t>great,</w:t>
      </w:r>
      <w:r w:rsidR="006F0C6C">
        <w:t xml:space="preserve"> but </w:t>
      </w:r>
      <w:r w:rsidR="00153749">
        <w:t xml:space="preserve">an event </w:t>
      </w:r>
      <w:r w:rsidR="006F0C6C">
        <w:t xml:space="preserve">has yet to occur.  </w:t>
      </w:r>
      <w:r w:rsidR="00153749">
        <w:t>Additionally, s</w:t>
      </w:r>
      <w:r w:rsidR="006F0C6C">
        <w:t>ome harms, such as the relationship between anticholinergic drug use and the development of dementia</w:t>
      </w:r>
      <w:r w:rsidR="006F0C6C">
        <w:fldChar w:fldCharType="begin" w:fldLock="1"/>
      </w:r>
      <w:r w:rsidR="00E0349E">
        <w:instrText>ADDIN CSL_CITATION {"citationItems":[{"id":"ITEM-1","itemData":{"DOI":"10.1001/jamainternmed.2019.0677","ISSN":"21686106","PMID":"31233095","abstract":"Importance: Anticholinergic medicines have short-term cognitive adverse effects, but it is uncertain whether long-term use of these drugs is associated with an increased risk of dementia. Objective: To assess associations between anticholinergic drug treatments and risk of dementia in persons 55 years or older. Design, Setting, and Participants: This nested case-control study took place in general practices in England that contributed to the QResearch primary care database. The study evaluated whether exposure to anticholinergic drugs was associated with dementia risk in 58769 patients with a diagnosis of dementia and 225574 controls 55 years or older matched by age, sex, general practice, and calendar time. Information on prescriptions for 56 drugs with strong anticholinergic properties was used to calculate measures of cumulative anticholinergic drug exposure. Data were analyzed from May 2016 to June 2018. Exposures: The primary exposure was the total standardized daily doses (TSDDs) of anticholinergic drugs prescribed in the 1 to 11 years prior to the date of diagnosis of dementia or equivalent date in matched controls (index date). Main Outcomes and Measures: Odds ratios (ORs) for dementia associated with cumulative exposure to anticholinergic drugs, adjusted for confounding variables. Results: Of the entire study population (284343 case patients and matched controls), 179365 (63.1%) were women, and the mean (SD) age of the entire population was 82.2 (6.8) years. The adjusted OR for dementia increased from 1.06 (95% CI, 1.03-1.09) in the lowest overall anticholinergic exposure category (total exposure of 1-90 TSDDs) to 1.49 (95% CI, 1.44-1.54) in the highest category (&gt;1095 TSDDs), compared with no anticholinergic drug prescriptions in the 1 to 11 years before the index date. There were significant increases in dementia risk for the anticholinergic antidepressants (adjusted OR [AOR], 1.29; 95% CI, 1.24-1.34), antiparkinson drugs (AOR, 1.52; 95% CI, 1.16-2.00), antipsychotics (AOR, 1.70; 95% CI, 1.53-1.90), bladder antimuscarinic drugs (AOR, 1.65; 95% CI, 1.56-1.75), and antiepileptic drugs (AOR, 1.39; 95% CI, 1.22-1.57) all for more than 1095 TSDDs. Results were similar when exposures were restricted to exposure windows of 3 to 13 years (AOR, 1.46; 95% CI, 1.41-1.52) and 5 to 20 years (AOR, 1.44; 95% CI, 1.32-1.57) before the index date for more than 1095 TSDDs. Associations were stronger in cases diagnosed before the age of 80 years. The population…","author":[{"dropping-particle":"","family":"Coupland","given":"Carol A.C.","non-dropping-particle":"","parse-names":false,"suffix":""},{"dropping-particle":"","family":"Hill","given":"Trevor","non-dropping-particle":"","parse-names":false,"suffix":""},{"dropping-particle":"","family":"Dening","given":"Tom","non-dropping-particle":"","parse-names":false,"suffix":""},{"dropping-particle":"","family":"Morriss","given":"Richard","non-dropping-particle":"","parse-names":false,"suffix":""},{"dropping-particle":"","family":"Moore","given":"Michael","non-dropping-particle":"","parse-names":false,"suffix":""},{"dropping-particle":"","family":"Hippisley-Cox","given":"Julia","non-dropping-particle":"","parse-names":false,"suffix":""}],"container-title":"JAMA Internal Medicine","id":"ITEM-1","issue":"8","issued":{"date-parts":[["2019"]]},"page":"1084-1093","title":"Anticholinergic Drug Exposure and the Risk of Dementia: A Nested Case-Control Study","type":"article-journal","volume":"179"},"uris":["http://www.mendeley.com/documents/?uuid=ba42c751-4d07-419a-be08-951a72b018a8"]}],"mendeley":{"formattedCitation":"&lt;sup&gt;5&lt;/sup&gt;","plainTextFormattedCitation":"5","previouslyFormattedCitation":"&lt;sup&gt;5&lt;/sup&gt;"},"properties":{"noteIndex":0},"schema":"https://github.com/citation-style-language/schema/raw/master/csl-citation.json"}</w:instrText>
      </w:r>
      <w:r w:rsidR="006F0C6C">
        <w:fldChar w:fldCharType="separate"/>
      </w:r>
      <w:r w:rsidR="00E0349E" w:rsidRPr="00E0349E">
        <w:rPr>
          <w:noProof/>
          <w:vertAlign w:val="superscript"/>
        </w:rPr>
        <w:t>5</w:t>
      </w:r>
      <w:r w:rsidR="006F0C6C">
        <w:fldChar w:fldCharType="end"/>
      </w:r>
      <w:r w:rsidR="006F0C6C">
        <w:t xml:space="preserve">, may not be reversible.  </w:t>
      </w:r>
    </w:p>
    <w:p w14:paraId="4287EC8A" w14:textId="40829872" w:rsidR="00B027F3" w:rsidRDefault="002F53AA" w:rsidP="00670B87">
      <w:r>
        <w:t xml:space="preserve">An alternative approach to </w:t>
      </w:r>
      <w:r w:rsidR="00282540">
        <w:t>stratify patients</w:t>
      </w:r>
      <w:r>
        <w:t xml:space="preserve"> is to use a </w:t>
      </w:r>
      <w:r w:rsidR="008B20B7">
        <w:t xml:space="preserve">biomarker as a proxy for </w:t>
      </w:r>
      <w:r w:rsidR="001A0F1A">
        <w:t>the risk of harm from medicines</w:t>
      </w:r>
      <w:r w:rsidR="008B20B7">
        <w:t xml:space="preserve">.  </w:t>
      </w:r>
      <w:r w:rsidR="00F01D30">
        <w:t>Most research on biomarkers and polypharmacy have focussed on pharmacogenomic markers, such as genetic variants that affect pharmacokinetics.  In this volume, Bengaard and colleagues</w:t>
      </w:r>
      <w:r w:rsidR="00F01D30">
        <w:fldChar w:fldCharType="begin" w:fldLock="1"/>
      </w:r>
      <w:r w:rsidR="00C45AB7">
        <w:instrText>ADDIN CSL_CITATION {"citationItems":[{"id":"ITEM-1","itemData":{"DOI":"10.1111/bcp.14982","ISSN":"0306-5251","PMID":"34242432","abstract":"Aims: To investigate whether the association between levels of medication use (including polypharmacy and potentially inappropriate medications [PIMs]) and health outcomes such as readmission and mortality is dependent on baseline soluble urokinase plasminogen activator receptor (suPAR). Methods: This registry-based cohort study included medical patients admitted to the emergency department at Copenhagen University Hospital Hvidovre, Denmark. Patients were grouped according to their admission suPAR levels: low (0–3 ng/mL), intermediate (3–6 ng/mL), or high (&gt;6 ng/mL). Hyper-polypharmacy was defined as ≥10 prescribed medications. PIMs were identified based on the EU(7)-PIM list, and data on admissions and mortality were obtained from national registries. Risk of 90-day readmission and mortality was assessed by Cox regression analysis adjusted for sex, age and Charlson comorbidity index. Results were reported as hazard ratios within 90 days of index discharge. Results: In total, 26 291 patients (median age 57.3 y; 52.7% female) were included. Risk of 90-day readmission and mortality increased significantly for patients with higher suPAR or higher number of medications. Among patients with low suPAR, patients with ≥10 prescribed medications had a hazard ratio of 2.41 (95% confidence interval = 2.09–2.78) for 90-day readmission and 8.46 (95% confidence interval = 2.53–28.28) for 90-day mortality compared to patients with 0 medications. Patients with high suPAR generally had high risk of readmission and mortality, and the impact of medication use was less pronounced in this group. Similar, but weaker, association patterns were observed between suPAR and PIMs. Conclusion: The association between levels of medication use and health outcomes is dependent on baseline suPAR.","author":[{"dropping-particle":"","family":"Bengaard","given":"Anne Kathrine","non-dropping-particle":"","parse-names":false,"suffix":""},{"dropping-particle":"","family":"Iversen","given":"Esben","non-dropping-particle":"","parse-names":false,"suffix":""},{"dropping-particle":"","family":"Kallemose","given":"Thomas","non-dropping-particle":"","parse-names":false,"suffix":""},{"dropping-particle":"","family":"Juul‐Larsen","given":"Helle Gybel","non-dropping-particle":"","parse-names":false,"suffix":""},{"dropping-particle":"","family":"Rasmussen","given":"Line Jee Hartmann","non-dropping-particle":"","parse-names":false,"suffix":""},{"dropping-particle":"","family":"Dalhoff","given":"Kim Peder","non-dropping-particle":"","parse-names":false,"suffix":""},{"dropping-particle":"","family":"Andersen","given":"Ove","non-dropping-particle":"","parse-names":false,"suffix":""},{"dropping-particle":"","family":"Eugen‐Olsen","given":"Jesper","non-dropping-particle":"","parse-names":false,"suffix":""},{"dropping-particle":"","family":"Houlind","given":"Morten Baltzer","non-dropping-particle":"","parse-names":false,"suffix":""}],"container-title":"British Journal of Clinical Pharmacology","id":"ITEM-1","issued":{"date-parts":[["2021"]]},"page":"1-12","title":"Using soluble urokinase plasminogen activator receptor to stratify patients for medication review in the emergency department","type":"article-journal"},"uris":["http://www.mendeley.com/documents/?uuid=54bfed13-4d35-4eaa-890d-a67c9e94101f"]}],"mendeley":{"formattedCitation":"&lt;sup&gt;6&lt;/sup&gt;","plainTextFormattedCitation":"6","previouslyFormattedCitation":"&lt;sup&gt;7&lt;/sup&gt;"},"properties":{"noteIndex":0},"schema":"https://github.com/citation-style-language/schema/raw/master/csl-citation.json"}</w:instrText>
      </w:r>
      <w:r w:rsidR="00F01D30">
        <w:fldChar w:fldCharType="separate"/>
      </w:r>
      <w:r w:rsidR="00C45AB7" w:rsidRPr="00C45AB7">
        <w:rPr>
          <w:noProof/>
          <w:vertAlign w:val="superscript"/>
        </w:rPr>
        <w:t>6</w:t>
      </w:r>
      <w:r w:rsidR="00F01D30">
        <w:fldChar w:fldCharType="end"/>
      </w:r>
      <w:r w:rsidR="00F01D30">
        <w:t xml:space="preserve"> </w:t>
      </w:r>
      <w:r w:rsidR="00670B87">
        <w:t>outline</w:t>
      </w:r>
      <w:r w:rsidR="00F01D30">
        <w:t xml:space="preserve"> </w:t>
      </w:r>
      <w:r w:rsidR="00BC4EFB">
        <w:t>a</w:t>
      </w:r>
      <w:r w:rsidR="00BD589C">
        <w:t xml:space="preserve"> </w:t>
      </w:r>
      <w:r w:rsidR="00670B87">
        <w:t xml:space="preserve">novel cohort study </w:t>
      </w:r>
      <w:r w:rsidR="00BC4EFB">
        <w:t>that</w:t>
      </w:r>
      <w:r w:rsidR="00670B87">
        <w:t xml:space="preserve"> investigate</w:t>
      </w:r>
      <w:r w:rsidR="00BC4EFB">
        <w:t>d</w:t>
      </w:r>
      <w:r w:rsidR="00670B87">
        <w:t xml:space="preserve"> the relationship between polypharmacy, health outcomes and s</w:t>
      </w:r>
      <w:r w:rsidR="00670B87" w:rsidRPr="002F53AA">
        <w:t>oluble urokinase plasminogen activator receptor</w:t>
      </w:r>
      <w:r w:rsidR="00670B87">
        <w:t xml:space="preserve"> (suPAR), a non-specific biomarker that reflects immune activity.  SuPAR is </w:t>
      </w:r>
      <w:r w:rsidR="001835A7">
        <w:t>a marker for increasing</w:t>
      </w:r>
      <w:r w:rsidR="00670B87">
        <w:t xml:space="preserve"> age, </w:t>
      </w:r>
      <w:r w:rsidR="001835A7">
        <w:t xml:space="preserve">impaired </w:t>
      </w:r>
      <w:r w:rsidR="00670B87">
        <w:t>cardiac</w:t>
      </w:r>
      <w:r w:rsidR="0074470D">
        <w:t>,</w:t>
      </w:r>
      <w:r w:rsidR="00670B87">
        <w:t xml:space="preserve"> </w:t>
      </w:r>
      <w:r w:rsidR="00173572">
        <w:t xml:space="preserve">renal </w:t>
      </w:r>
      <w:r w:rsidR="0074470D">
        <w:t xml:space="preserve">and hepatic </w:t>
      </w:r>
      <w:r w:rsidR="00670B87">
        <w:t xml:space="preserve">function, </w:t>
      </w:r>
      <w:r w:rsidR="0010717C">
        <w:t>exacerbations of inflammatory conditions such as</w:t>
      </w:r>
      <w:r w:rsidR="00DB3427">
        <w:t xml:space="preserve"> autoimmune connective tissue disorders</w:t>
      </w:r>
      <w:r w:rsidR="00383F6B">
        <w:t xml:space="preserve"> and</w:t>
      </w:r>
      <w:r w:rsidR="00DB3427">
        <w:t xml:space="preserve"> </w:t>
      </w:r>
      <w:r w:rsidR="00153749">
        <w:t>chronic obstructive pulmonary disease,</w:t>
      </w:r>
      <w:r w:rsidR="0010717C">
        <w:t xml:space="preserve"> and lifestyle factors such as</w:t>
      </w:r>
      <w:r w:rsidR="00153749">
        <w:t xml:space="preserve"> </w:t>
      </w:r>
      <w:r w:rsidR="00670B87">
        <w:t>smoking and obesity</w:t>
      </w:r>
      <w:r w:rsidR="00670B87">
        <w:fldChar w:fldCharType="begin" w:fldLock="1"/>
      </w:r>
      <w:r w:rsidR="00C45AB7">
        <w:instrText>ADDIN CSL_CITATION {"citationItems":[{"id":"ITEM-1","itemData":{"DOI":"10.4137/BMI.S19876","ISSN":"11772719","abstract":"The soluble urokinase plasminogen activator receptor (suPAR) is a biomarker of mortality risk in various patient populations. However, little is known about the implications of lifestyle for suPAR levels in the general population. Lifestyle, demographic, and cardiovascular disease (CVD) risk factor data were collected from 5,538 participants in the Danish population-based Inter99 study. Their suPAR levels were measured using a sandwich enzyme-linked immunosorbent assay. In the final adjusted model, smoking and morbid obesity were strongly associated with higher suPAR levels (P&lt; 0.001). An unhealthy diet and alcohol abstinence in men were also associated with higher suPAR levels. Physical activity in leisure time had a modest impact on suPAR levels in univariate analysis, but not in the final adjusted model. In conclusion, smoking and morbid obesity were strongly associated with higher serum suPAR levels in this general population. Diet and alcohol consumption also seemed to impact suPAR levels. Lifestyle changes are likely to affect suPAR since ex-smokers had suPAR levels comparable to those of never-smokers.","author":[{"dropping-particle":"","family":"Haupt","given":"Thomas H.","non-dropping-particle":"","parse-names":false,"suffix":""},{"dropping-particle":"","family":"Kallemose","given":"Thomas","non-dropping-particle":"","parse-names":false,"suffix":""},{"dropping-particle":"","family":"Ladelund","given":"Steen","non-dropping-particle":"","parse-names":false,"suffix":""},{"dropping-particle":"","family":"Rasmussen","given":"Line J.H.","non-dropping-particle":"","parse-names":false,"suffix":""},{"dropping-particle":"","family":"Thorball","given":"Christian W.","non-dropping-particle":"","parse-names":false,"suffix":""},{"dropping-particle":"","family":"Andersen","given":"Ove","non-dropping-particle":"","parse-names":false,"suffix":""},{"dropping-particle":"","family":"Pisinger","given":"Charlotta","non-dropping-particle":"","parse-names":false,"suffix":""},{"dropping-particle":"","family":"Eugen-Olsen","given":"Jesper","non-dropping-particle":"","parse-names":false,"suffix":""}],"container-title":"Biomarker Insights","id":"ITEM-1","issued":{"date-parts":[["2014"]]},"page":"91-100","title":"Risk factors associated with serum levels of the inflammatory biomarker soluble urokinase plasminogen activator receptor in a general population","type":"article-journal","volume":"9"},"uris":["http://www.mendeley.com/documents/?uuid=f6b45f21-6baf-4aa3-9223-57cb8edfad40"]},{"id":"ITEM-2","itemData":{"ISSN":"1650-3414","PMID":"27683525","abstract":"The assessment of the general inflammatory condition of patients with autoimmune connective tissue disorders (ACTD) is a major challenge. The use of traditional inflammatory markers including CRP-levels and erythrocyte sedimentation rate (ESR) is limited by several preanalytical factors and their low specificities. Soluble urokinase plasminogen activator receptor (suPAR) is one of the novel candidate markers that is increasingly used in immune mediated disorders. In our studies we compared suPAR levels of patients with rheumatoid arthritis (RA), systemic lupus erythematosus (SLE), systemic sclerosis (SSc) and ankylosing spondylitis with those of healthy controls. suPAR provided valuable clinical information on disease activity in RA, SLE and SSc. We identified a subgroup of remitted RA patients, who presented still clinical symptoms of inflammatory activity which correlated to high plasma suPAR (while ESR and CRP were normal). In SLE we established specific suPAR cut-off values that support the discrimination between patients with high and those with moderate SLE activity. In patients with SSc suPAR correlated with objective measures of lung and other complications. In the majority of ACTDs including SLE, SSc or RA, suPAR is seemingly a good biomarker that would provide valuable clinical information. However, before the introduction of this novel parameter in laboratory repertoire important issues should be elucidated. These include the establishment of appropriate and disease specific cutoff values, clarification of interfering preanalytical values and underlying conditions and declaration of age- and gender-specific reference ranges.","author":[{"dropping-particle":"","family":"Vasarhelyi","given":"Barna","non-dropping-particle":"","parse-names":false,"suffix":""},{"dropping-particle":"","family":"Toldi","given":"Gergely","non-dropping-particle":"","parse-names":false,"suffix":""},{"dropping-particle":"","family":"Balog","given":"Attila","non-dropping-particle":"","parse-names":false,"suffix":""}],"container-title":"EJIFCC","id":"ITEM-2","issue":"2","issued":{"date-parts":[["2016"]]},"page":"122-9","title":"The Clinical Value of Soluble Urokinase Plasminogen Activator Receptor (suPAR) Levels in Autoimmune Connective Tissue Disorders.","type":"article-journal","volume":"27"},"uris":["http://www.mendeley.com/documents/?uuid=0b416ae3-1ae2-4fe1-8f37-77b653cdd693"]}],"mendeley":{"formattedCitation":"&lt;sup&gt;7,8&lt;/sup&gt;","plainTextFormattedCitation":"7,8","previouslyFormattedCitation":"&lt;sup&gt;8,9&lt;/sup&gt;"},"properties":{"noteIndex":0},"schema":"https://github.com/citation-style-language/schema/raw/master/csl-citation.json"}</w:instrText>
      </w:r>
      <w:r w:rsidR="00670B87">
        <w:fldChar w:fldCharType="separate"/>
      </w:r>
      <w:r w:rsidR="00C45AB7" w:rsidRPr="00C45AB7">
        <w:rPr>
          <w:noProof/>
          <w:vertAlign w:val="superscript"/>
        </w:rPr>
        <w:t>7,8</w:t>
      </w:r>
      <w:r w:rsidR="00670B87">
        <w:fldChar w:fldCharType="end"/>
      </w:r>
      <w:r w:rsidR="00670B87">
        <w:t xml:space="preserve">.  </w:t>
      </w:r>
      <w:r w:rsidR="00447786">
        <w:t>It has a strong positive association with the Charlson Comorbidity Index</w:t>
      </w:r>
      <w:r w:rsidR="00447786">
        <w:fldChar w:fldCharType="begin" w:fldLock="1"/>
      </w:r>
      <w:r w:rsidR="00C45AB7">
        <w:instrText>ADDIN CSL_CITATION {"citationItems":[{"id":"ITEM-1","itemData":{"DOI":"10.1186/cc11434","ISSN":"13648535","PMID":"22824423","abstract":"Introduction: Soluble urokinase plasminogen activator receptor (suPAR) is the soluble form of the membrane-bound receptor (uPAR) expressed predominantly on various immune cells. Elevated plasma suPAR concentration is associated with increased mortality in various patient groups, and it is speculated that suPAR is a low-grade inflammation marker reflecting on disease severity. The aim of this prospective observational study was to determine if the plasma concentration of suPAR is associated with admission time, re-admission, disease severity/Charlson Comorbidity Index Score, and mortality.Methods: We included 543 patients with various diseases from a Danish Acute Medical Unit during a two month period. A triage unit ensured that only medical patients were admitted to the Acute Medical Unit. SuPAR was measured on plasma samples drawn upon admission. Patients were followed-up for three months after inclusion by their unique civil registry number and using Danish registries to determine admission times, readmissions, International Classification of Diseases, 10 thEdition (ICD-10) diagnoses, and mortality. Statistical analysis was used to determine suPAR's association with these endpoints.Results: Increased suPAR was significantly associated with 90-day mortality (4.87 ng/ml in survivors versus 7.29 ng/ml in non-survivors, P &lt; 0.0001), higher Charlson Score (P &lt; 0.0001), and longer admission time (P &lt; 0.0001), but not with readmissions. The association with mortality remained when adjusting for age, sex, C-reactive protein (CRP), and Charlson Score. Furthermore, among the various Charlson Score disease groups, suPAR was significantly higher in those with diabetes, cancer, cardiovascular disease, and liver disease compared to those without comorbidities.Conclusions: SuPAR is a marker of disease severity, admission time, and risk of mortality in a heterogeneous cohort of patients with a variety of diseases. The independent value of suPAR suggests it could be of value in prognostic algorithms. © 2012 Haupt et al.; licensee BioMed Central Ltd.","author":[{"dropping-particle":"","family":"Haupt","given":"Thomas H.","non-dropping-particle":"","parse-names":false,"suffix":""},{"dropping-particle":"","family":"Petersen","given":"Janne","non-dropping-particle":"","parse-names":false,"suffix":""},{"dropping-particle":"","family":"Ellekilde","given":"Gertrude","non-dropping-particle":"","parse-names":false,"suffix":""},{"dropping-particle":"","family":"Klausen","given":"Henrik H.","non-dropping-particle":"","parse-names":false,"suffix":""},{"dropping-particle":"","family":"Thorball","given":"Christian W.","non-dropping-particle":"","parse-names":false,"suffix":""},{"dropping-particle":"","family":"Eugen-Olsen","given":"Jesper","non-dropping-particle":"","parse-names":false,"suffix":""},{"dropping-particle":"","family":"Andersen","given":"Ove","non-dropping-particle":"","parse-names":false,"suffix":""}],"container-title":"Critical Care","id":"ITEM-1","issue":"4","issued":{"date-parts":[["2012"]]},"page":"1-9","title":"Plasma suPAR levels are associated with mortality, admission time, and Charlson Comorbidity Index in the acutely admitted medical patient: A prospective observational study","type":"article-journal","volume":"16"},"uris":["http://www.mendeley.com/documents/?uuid=66443909-e89e-42e8-b42e-9ac4c9f6e8aa"]}],"mendeley":{"formattedCitation":"&lt;sup&gt;9&lt;/sup&gt;","plainTextFormattedCitation":"9","previouslyFormattedCitation":"&lt;sup&gt;10&lt;/sup&gt;"},"properties":{"noteIndex":0},"schema":"https://github.com/citation-style-language/schema/raw/master/csl-citation.json"}</w:instrText>
      </w:r>
      <w:r w:rsidR="00447786">
        <w:fldChar w:fldCharType="separate"/>
      </w:r>
      <w:r w:rsidR="00C45AB7" w:rsidRPr="00C45AB7">
        <w:rPr>
          <w:noProof/>
          <w:vertAlign w:val="superscript"/>
        </w:rPr>
        <w:t>9</w:t>
      </w:r>
      <w:r w:rsidR="00447786">
        <w:fldChar w:fldCharType="end"/>
      </w:r>
      <w:r w:rsidR="00447786">
        <w:t xml:space="preserve"> so could be </w:t>
      </w:r>
      <w:r w:rsidR="00670B87">
        <w:t xml:space="preserve">regarded as a proxy for </w:t>
      </w:r>
      <w:r w:rsidR="00383F6B">
        <w:t>multi</w:t>
      </w:r>
      <w:r w:rsidR="00670B87">
        <w:t xml:space="preserve">morbidity.  </w:t>
      </w:r>
      <w:r w:rsidR="00282540">
        <w:t>As such</w:t>
      </w:r>
      <w:r w:rsidR="00A24CF9">
        <w:t>, a simple blood test to measure suPAR could help stratify patients by overall health status.</w:t>
      </w:r>
      <w:r w:rsidR="00282540">
        <w:t xml:space="preserve">  </w:t>
      </w:r>
    </w:p>
    <w:p w14:paraId="7FF7A9D9" w14:textId="4374424C" w:rsidR="00FE73D5" w:rsidRDefault="00B027F3" w:rsidP="00670B87">
      <w:r>
        <w:t>Bengaard and colleagues</w:t>
      </w:r>
      <w:r w:rsidR="00670B87">
        <w:t xml:space="preserve"> r</w:t>
      </w:r>
      <w:r w:rsidR="00282540">
        <w:t xml:space="preserve">eviewed medical records of 26,291 patients </w:t>
      </w:r>
      <w:r w:rsidR="00282540" w:rsidRPr="00282540">
        <w:t>who had suPAR level</w:t>
      </w:r>
      <w:r w:rsidR="00BC4EFB">
        <w:t>s</w:t>
      </w:r>
      <w:r w:rsidR="00282540" w:rsidRPr="00282540">
        <w:t xml:space="preserve"> measured </w:t>
      </w:r>
      <w:r w:rsidR="007568D2">
        <w:t>on</w:t>
      </w:r>
      <w:r w:rsidR="00282540" w:rsidRPr="00282540">
        <w:t xml:space="preserve"> admission </w:t>
      </w:r>
      <w:r w:rsidR="00282540">
        <w:t xml:space="preserve">to the </w:t>
      </w:r>
      <w:r w:rsidR="00BC4EFB">
        <w:rPr>
          <w:rFonts w:cstheme="minorHAnsi"/>
        </w:rPr>
        <w:t>a</w:t>
      </w:r>
      <w:r w:rsidR="00282540" w:rsidRPr="007E43AD">
        <w:rPr>
          <w:rFonts w:cstheme="minorHAnsi"/>
        </w:rPr>
        <w:t xml:space="preserve">cute </w:t>
      </w:r>
      <w:r w:rsidR="00BC4EFB">
        <w:rPr>
          <w:rFonts w:cstheme="minorHAnsi"/>
        </w:rPr>
        <w:t>m</w:t>
      </w:r>
      <w:r w:rsidR="00282540" w:rsidRPr="007E43AD">
        <w:rPr>
          <w:rFonts w:cstheme="minorHAnsi"/>
        </w:rPr>
        <w:t xml:space="preserve">edical </w:t>
      </w:r>
      <w:r w:rsidR="00BC4EFB">
        <w:rPr>
          <w:rFonts w:cstheme="minorHAnsi"/>
        </w:rPr>
        <w:t>u</w:t>
      </w:r>
      <w:r w:rsidR="00282540" w:rsidRPr="007E43AD">
        <w:rPr>
          <w:rFonts w:cstheme="minorHAnsi"/>
        </w:rPr>
        <w:t>nit</w:t>
      </w:r>
      <w:r w:rsidR="00282540">
        <w:t xml:space="preserve"> of a large teaching hospital in Copenhagen, Denmark.   </w:t>
      </w:r>
      <w:r w:rsidR="0033426A">
        <w:t>The</w:t>
      </w:r>
      <w:r w:rsidR="007568D2">
        <w:t>y recorded the</w:t>
      </w:r>
      <w:r w:rsidR="0033426A">
        <w:t xml:space="preserve"> total number of </w:t>
      </w:r>
      <w:r>
        <w:t xml:space="preserve">prescribed </w:t>
      </w:r>
      <w:r w:rsidR="002D01FF">
        <w:t xml:space="preserve">medicines </w:t>
      </w:r>
      <w:r w:rsidR="0033426A">
        <w:t xml:space="preserve">and </w:t>
      </w:r>
      <w:r w:rsidR="007F01A3">
        <w:t>PIMs</w:t>
      </w:r>
      <w:r w:rsidR="0020166C">
        <w:t xml:space="preserve"> </w:t>
      </w:r>
      <w:r w:rsidR="00BC4EFB">
        <w:t>taken by</w:t>
      </w:r>
      <w:r w:rsidR="007568D2">
        <w:t xml:space="preserve"> each patient and, in the 90 day follow up, the time to death or readmission to hospital</w:t>
      </w:r>
      <w:r w:rsidR="0033426A">
        <w:t xml:space="preserve">.  </w:t>
      </w:r>
      <w:r w:rsidR="002D01FF">
        <w:t>They found</w:t>
      </w:r>
      <w:r w:rsidR="002D01FF" w:rsidRPr="002D01FF">
        <w:t xml:space="preserve"> that both </w:t>
      </w:r>
      <w:r w:rsidR="00BC4EFB">
        <w:t xml:space="preserve">suPAR and </w:t>
      </w:r>
      <w:r w:rsidR="002D01FF">
        <w:t xml:space="preserve">the </w:t>
      </w:r>
      <w:r w:rsidR="002D01FF" w:rsidRPr="002D01FF">
        <w:t xml:space="preserve">number of </w:t>
      </w:r>
      <w:r w:rsidRPr="002D01FF">
        <w:t>prescrib</w:t>
      </w:r>
      <w:r>
        <w:t>ed medicines</w:t>
      </w:r>
      <w:r w:rsidR="002D01FF" w:rsidRPr="002D01FF">
        <w:t xml:space="preserve"> </w:t>
      </w:r>
      <w:r w:rsidR="007568D2">
        <w:t>we</w:t>
      </w:r>
      <w:r w:rsidR="002D01FF" w:rsidRPr="002D01FF">
        <w:t xml:space="preserve">re positively associated with hospitalisation and death.  </w:t>
      </w:r>
      <w:r w:rsidR="007C06BB">
        <w:t xml:space="preserve">When patients were </w:t>
      </w:r>
      <w:r w:rsidR="00C07C3C">
        <w:t>grouped</w:t>
      </w:r>
      <w:r w:rsidR="007C06BB">
        <w:t xml:space="preserve"> </w:t>
      </w:r>
      <w:r w:rsidR="00D16F96">
        <w:t>by suPAR level, t</w:t>
      </w:r>
      <w:r w:rsidR="00BD542B">
        <w:t xml:space="preserve">he number of prescribed medicines were </w:t>
      </w:r>
      <w:r w:rsidR="00BD542B">
        <w:rPr>
          <w:rFonts w:cstheme="minorHAnsi"/>
        </w:rPr>
        <w:t xml:space="preserve">positively associated with </w:t>
      </w:r>
      <w:r w:rsidR="00BD542B">
        <w:t xml:space="preserve">mortality and risk of readmission for </w:t>
      </w:r>
      <w:r w:rsidR="00C07C3C">
        <w:t>those</w:t>
      </w:r>
      <w:r w:rsidR="00BD542B">
        <w:t xml:space="preserve"> with lower suPAR levels, but not for those with high levels.  A similar relationship was found between PIMs and readmission rates.  </w:t>
      </w:r>
      <w:r w:rsidR="00807470">
        <w:t xml:space="preserve">These results indicate that the number of medicines or PIMs </w:t>
      </w:r>
      <w:r w:rsidR="00FE73D5">
        <w:t xml:space="preserve">taken by a patient </w:t>
      </w:r>
      <w:r w:rsidR="00807470">
        <w:t xml:space="preserve">has a greater effect on </w:t>
      </w:r>
      <w:r w:rsidR="00FE73D5">
        <w:t xml:space="preserve">mortality and </w:t>
      </w:r>
      <w:r w:rsidR="00807470">
        <w:t xml:space="preserve">readmission for patients with lower levels of morbidity.  </w:t>
      </w:r>
      <w:r w:rsidR="00FE73D5">
        <w:t>Patients with higher levels of morbidity are less affected by the number of medicines they take; mortality and admission rates are similar</w:t>
      </w:r>
      <w:r w:rsidR="00A413D1">
        <w:t>ly high</w:t>
      </w:r>
      <w:r w:rsidR="00FE73D5">
        <w:t xml:space="preserve"> across th</w:t>
      </w:r>
      <w:r w:rsidR="00A413D1">
        <w:t>is</w:t>
      </w:r>
      <w:r w:rsidR="00FE73D5">
        <w:t xml:space="preserve"> </w:t>
      </w:r>
      <w:r w:rsidR="0020166C">
        <w:t>cohort</w:t>
      </w:r>
      <w:r w:rsidR="00FE73D5">
        <w:t xml:space="preserve">.  </w:t>
      </w:r>
    </w:p>
    <w:p w14:paraId="5BC2478C" w14:textId="1D134726" w:rsidR="006B3679" w:rsidRDefault="0035305A" w:rsidP="000F5B23">
      <w:r>
        <w:t xml:space="preserve">The authors </w:t>
      </w:r>
      <w:r w:rsidR="00C97524">
        <w:t xml:space="preserve">hypothesise </w:t>
      </w:r>
      <w:r w:rsidR="00AA08BC">
        <w:t>that polypharmacy</w:t>
      </w:r>
      <w:r w:rsidR="00055860">
        <w:t xml:space="preserve"> harms</w:t>
      </w:r>
      <w:r w:rsidR="00AA08BC">
        <w:t xml:space="preserve"> could be </w:t>
      </w:r>
      <w:r w:rsidR="000F5B23">
        <w:t>caused by</w:t>
      </w:r>
      <w:r w:rsidR="00AA08BC">
        <w:t xml:space="preserve"> adverse drug reactions or drug-drug </w:t>
      </w:r>
      <w:r w:rsidR="004444F7">
        <w:t>interactions</w:t>
      </w:r>
      <w:r w:rsidR="00935756">
        <w:t>,</w:t>
      </w:r>
      <w:r w:rsidR="004444F7">
        <w:t xml:space="preserve"> but</w:t>
      </w:r>
      <w:r w:rsidR="00AA08BC">
        <w:t xml:space="preserve"> acknowledge that </w:t>
      </w:r>
      <w:r w:rsidR="000F6C7F">
        <w:t xml:space="preserve">this </w:t>
      </w:r>
      <w:r w:rsidR="009C3A75">
        <w:t xml:space="preserve">doesn’t explain the </w:t>
      </w:r>
      <w:r w:rsidR="0082439A">
        <w:t xml:space="preserve">smaller </w:t>
      </w:r>
      <w:r w:rsidR="009C3A75">
        <w:t xml:space="preserve">impact </w:t>
      </w:r>
      <w:r w:rsidR="00370A68">
        <w:t>on</w:t>
      </w:r>
      <w:r w:rsidR="009C3A75">
        <w:t xml:space="preserve"> </w:t>
      </w:r>
      <w:r w:rsidR="004444F7">
        <w:t>those with</w:t>
      </w:r>
      <w:r w:rsidR="00E2428D">
        <w:t xml:space="preserve"> high suPAR levels.  </w:t>
      </w:r>
      <w:r w:rsidR="00DC4F1E">
        <w:t xml:space="preserve">They argue that </w:t>
      </w:r>
      <w:r w:rsidR="00E849A5">
        <w:t xml:space="preserve">polypharmacy in patients with high suPAR levels may be more appropriate given their greater burden of disease and </w:t>
      </w:r>
      <w:r w:rsidR="00DC4F1E">
        <w:t xml:space="preserve">the high base rate of hospitalisation </w:t>
      </w:r>
      <w:r w:rsidR="00E849A5">
        <w:t>of</w:t>
      </w:r>
      <w:r w:rsidR="00DC4F1E">
        <w:t xml:space="preserve"> </w:t>
      </w:r>
      <w:r w:rsidR="00E849A5">
        <w:t>these patients</w:t>
      </w:r>
      <w:r w:rsidR="00DC4F1E">
        <w:t xml:space="preserve"> </w:t>
      </w:r>
      <w:r w:rsidR="004444F7">
        <w:t>may be</w:t>
      </w:r>
      <w:r w:rsidR="00D21AC1">
        <w:t xml:space="preserve"> more resistant to </w:t>
      </w:r>
      <w:r w:rsidR="00A615E7">
        <w:t>the effects of polypharmacy</w:t>
      </w:r>
      <w:r w:rsidR="00742B05">
        <w:t xml:space="preserve">.  </w:t>
      </w:r>
      <w:r w:rsidR="00DC2AEF">
        <w:t>Other factors may also be confounding</w:t>
      </w:r>
      <w:r w:rsidR="0036655A">
        <w:t>.  Prescribing levels may be impacted by variations in h</w:t>
      </w:r>
      <w:r w:rsidR="00D51A04">
        <w:t xml:space="preserve">ealth literacy, language barriers or the </w:t>
      </w:r>
      <w:r w:rsidR="004A4771">
        <w:t>presence</w:t>
      </w:r>
      <w:r w:rsidR="00D51A04">
        <w:t xml:space="preserve"> (or lack) of support from family members. </w:t>
      </w:r>
      <w:r w:rsidR="0057352A">
        <w:t xml:space="preserve"> E</w:t>
      </w:r>
      <w:r w:rsidR="001E35FC">
        <w:t>xtensive</w:t>
      </w:r>
      <w:r w:rsidR="004444F7">
        <w:t xml:space="preserve"> prescribing in patients </w:t>
      </w:r>
      <w:r w:rsidR="00A277B1">
        <w:t xml:space="preserve">with low suPAR levels </w:t>
      </w:r>
      <w:r w:rsidR="004444F7">
        <w:t xml:space="preserve">may represent an attempt to </w:t>
      </w:r>
      <w:r w:rsidR="00651B8E">
        <w:t>manage symptoms of difficult life circumstances</w:t>
      </w:r>
      <w:r w:rsidR="00930556">
        <w:t xml:space="preserve"> (</w:t>
      </w:r>
      <w:r w:rsidR="00651B8E">
        <w:t>such as social deprivation</w:t>
      </w:r>
      <w:r w:rsidR="00930556">
        <w:t>)</w:t>
      </w:r>
      <w:r w:rsidR="00651B8E">
        <w:t xml:space="preserve"> or mental health problems</w:t>
      </w:r>
      <w:r w:rsidR="00C71216">
        <w:t xml:space="preserve">, neither of which are likely to </w:t>
      </w:r>
      <w:r w:rsidR="003B4B5C">
        <w:t>affect</w:t>
      </w:r>
      <w:r w:rsidR="00C71216">
        <w:t xml:space="preserve"> suPAR levels</w:t>
      </w:r>
      <w:r w:rsidR="003B4B5C">
        <w:t xml:space="preserve"> but could affect </w:t>
      </w:r>
      <w:r w:rsidR="000F5B23">
        <w:t>mortality or hospital admissions.</w:t>
      </w:r>
      <w:r w:rsidR="0055607C">
        <w:t xml:space="preserve">  </w:t>
      </w:r>
      <w:r w:rsidR="008B7E8D">
        <w:t>The authors also acknowledge that smoking affects suPAR, but information on smoking status was not included in this study.</w:t>
      </w:r>
    </w:p>
    <w:p w14:paraId="58FAA4C4" w14:textId="612D1F8C" w:rsidR="00776DFA" w:rsidRDefault="00B027F3" w:rsidP="00003A29">
      <w:r>
        <w:t xml:space="preserve">This </w:t>
      </w:r>
      <w:r w:rsidR="00EA1442">
        <w:t xml:space="preserve">was </w:t>
      </w:r>
      <w:r w:rsidR="00A65F78">
        <w:t xml:space="preserve">a well-designed study, but limited to </w:t>
      </w:r>
      <w:r w:rsidR="00EA1442">
        <w:t xml:space="preserve">a single centre in Denmark, </w:t>
      </w:r>
      <w:r w:rsidR="006D02A5">
        <w:t>with</w:t>
      </w:r>
      <w:r w:rsidR="00EA1442">
        <w:t xml:space="preserve"> patients who had</w:t>
      </w:r>
      <w:r w:rsidR="00003A29">
        <w:t xml:space="preserve"> a</w:t>
      </w:r>
      <w:r w:rsidR="00EA1442">
        <w:t xml:space="preserve"> recent</w:t>
      </w:r>
      <w:r w:rsidR="00003A29">
        <w:t xml:space="preserve"> acute admission</w:t>
      </w:r>
      <w:r w:rsidR="00EA1442">
        <w:t xml:space="preserve"> to hospital.  Different populations, such as those wit</w:t>
      </w:r>
      <w:r w:rsidR="00003A29">
        <w:t>h more stable health conditions</w:t>
      </w:r>
      <w:r w:rsidR="00EA1442">
        <w:t xml:space="preserve">, or those with different </w:t>
      </w:r>
      <w:r w:rsidR="00003A29">
        <w:t>ethnicities or lifestyles</w:t>
      </w:r>
      <w:r w:rsidR="00EA1442">
        <w:t xml:space="preserve"> may yield different results.  </w:t>
      </w:r>
      <w:r w:rsidR="009F2C07">
        <w:t xml:space="preserve">It is assumed that the number of prescriptions represents the medicines taken by each patient.  It is well known that adherence to medicines is often poor and is positively associated with increasing polypharmacy – patients who take more medicines are less likely to take them correctly.  It may be that </w:t>
      </w:r>
      <w:r w:rsidR="009F2C07">
        <w:lastRenderedPageBreak/>
        <w:t xml:space="preserve">multimorbidity also impacts adherence and patients with higher suPAR levels </w:t>
      </w:r>
      <w:r w:rsidR="006D02A5">
        <w:t xml:space="preserve">may </w:t>
      </w:r>
      <w:r w:rsidR="009F2C07">
        <w:t xml:space="preserve">have more varied adherence </w:t>
      </w:r>
      <w:r w:rsidR="006D02A5">
        <w:t>than those with lower suPAR levels.</w:t>
      </w:r>
    </w:p>
    <w:p w14:paraId="46F8AF91" w14:textId="4F8323E7" w:rsidR="0080113D" w:rsidRDefault="003E46C1" w:rsidP="00287F65">
      <w:r>
        <w:t xml:space="preserve">This study raises important questions about how patients with polypharmacy are managed.  </w:t>
      </w:r>
      <w:r w:rsidR="00FE73D5">
        <w:t xml:space="preserve">Many interventions into polypharmacy have attempted to focus on older patients, or those with markers of multimorbidity, such as residents of nursing homes.  </w:t>
      </w:r>
      <w:r w:rsidR="00776DFA">
        <w:t>Conversely</w:t>
      </w:r>
      <w:r w:rsidR="00187AED">
        <w:t xml:space="preserve">, it may be that polypharmacy in patients with low morbidity </w:t>
      </w:r>
      <w:r w:rsidR="0020166C">
        <w:t>causes</w:t>
      </w:r>
      <w:r w:rsidR="00187AED">
        <w:t xml:space="preserve"> the </w:t>
      </w:r>
      <w:r w:rsidR="00187AED" w:rsidRPr="002F7FB8">
        <w:t>worst harm to benefit</w:t>
      </w:r>
      <w:r w:rsidR="005726D1" w:rsidRPr="002F7FB8">
        <w:t xml:space="preserve"> ratio</w:t>
      </w:r>
      <w:r w:rsidR="00187AED" w:rsidRPr="002F7FB8">
        <w:t xml:space="preserve">.  </w:t>
      </w:r>
      <w:r w:rsidR="00187AED" w:rsidRPr="002F7FB8">
        <w:rPr>
          <w:rFonts w:cstheme="minorHAnsi"/>
        </w:rPr>
        <w:t xml:space="preserve">At present, it appears there are no published clinical trials to assess the effectiveness of polypharmacy interventions for patients stratified by suPAR level.  </w:t>
      </w:r>
      <w:r w:rsidR="00776DFA" w:rsidRPr="002F7FB8">
        <w:rPr>
          <w:rFonts w:cstheme="minorHAnsi"/>
        </w:rPr>
        <w:t>It would be interesting to see whether there was a relationship between suPAR and the type of outcome or the degree of effect of such interventions</w:t>
      </w:r>
      <w:r w:rsidR="00276E6F" w:rsidRPr="002F7FB8">
        <w:rPr>
          <w:rFonts w:cstheme="minorHAnsi"/>
        </w:rPr>
        <w:t xml:space="preserve">.  </w:t>
      </w:r>
      <w:r w:rsidR="00187AED" w:rsidRPr="002F7FB8">
        <w:rPr>
          <w:rFonts w:cstheme="minorHAnsi"/>
        </w:rPr>
        <w:t xml:space="preserve">If a simple blood test could help determine which patients are most likely to </w:t>
      </w:r>
      <w:r w:rsidR="005726D1" w:rsidRPr="002F7FB8">
        <w:rPr>
          <w:rFonts w:cstheme="minorHAnsi"/>
        </w:rPr>
        <w:t xml:space="preserve">benefit, we may be able to determine how best to </w:t>
      </w:r>
      <w:r w:rsidR="0020166C" w:rsidRPr="002F7FB8">
        <w:rPr>
          <w:rFonts w:cstheme="minorHAnsi"/>
        </w:rPr>
        <w:t>improve outcomes for people with polypharmacy</w:t>
      </w:r>
      <w:r w:rsidR="00FB63CA" w:rsidRPr="002F7FB8">
        <w:rPr>
          <w:rFonts w:cstheme="minorHAnsi"/>
        </w:rPr>
        <w:t>.  Rand</w:t>
      </w:r>
      <w:r w:rsidR="004E556D" w:rsidRPr="002F7FB8">
        <w:rPr>
          <w:rFonts w:cstheme="minorHAnsi"/>
        </w:rPr>
        <w:t>omised controlled trials of such interventions are needed</w:t>
      </w:r>
      <w:r w:rsidR="00FB63CA" w:rsidRPr="002F7FB8">
        <w:rPr>
          <w:rFonts w:cstheme="minorHAnsi"/>
        </w:rPr>
        <w:t xml:space="preserve"> first though</w:t>
      </w:r>
      <w:r w:rsidR="004E556D" w:rsidRPr="002F7FB8">
        <w:rPr>
          <w:rFonts w:cstheme="minorHAnsi"/>
        </w:rPr>
        <w:t xml:space="preserve"> </w:t>
      </w:r>
      <w:r w:rsidR="00FB63CA" w:rsidRPr="002F7FB8">
        <w:rPr>
          <w:rFonts w:cstheme="minorHAnsi"/>
        </w:rPr>
        <w:t xml:space="preserve">in order </w:t>
      </w:r>
      <w:r w:rsidR="004E556D" w:rsidRPr="002F7FB8">
        <w:rPr>
          <w:rFonts w:cstheme="minorHAnsi"/>
        </w:rPr>
        <w:t xml:space="preserve">to demonstrate </w:t>
      </w:r>
      <w:r w:rsidR="0075258A" w:rsidRPr="002F7FB8">
        <w:rPr>
          <w:rFonts w:cstheme="minorHAnsi"/>
        </w:rPr>
        <w:t>improvement</w:t>
      </w:r>
      <w:r w:rsidR="004E556D" w:rsidRPr="002F7FB8">
        <w:rPr>
          <w:rFonts w:cstheme="minorHAnsi"/>
        </w:rPr>
        <w:t xml:space="preserve"> in </w:t>
      </w:r>
      <w:r w:rsidR="004E21B1" w:rsidRPr="002F7FB8">
        <w:rPr>
          <w:rFonts w:cstheme="minorHAnsi"/>
        </w:rPr>
        <w:t xml:space="preserve">outcomes that are </w:t>
      </w:r>
      <w:r w:rsidR="004E556D" w:rsidRPr="002F7FB8">
        <w:rPr>
          <w:rFonts w:cstheme="minorHAnsi"/>
        </w:rPr>
        <w:t>clinically meaningful</w:t>
      </w:r>
      <w:r w:rsidR="00287F65" w:rsidRPr="002F7FB8">
        <w:rPr>
          <w:rFonts w:cstheme="minorHAnsi"/>
        </w:rPr>
        <w:t>.</w:t>
      </w:r>
      <w:r w:rsidR="008075C1">
        <w:t xml:space="preserve"> </w:t>
      </w:r>
    </w:p>
    <w:p w14:paraId="310C4105" w14:textId="07C8FF68" w:rsidR="00AD1980" w:rsidRDefault="00AD1980">
      <w:r>
        <w:br w:type="page"/>
      </w:r>
    </w:p>
    <w:p w14:paraId="552A3B52" w14:textId="048697EC" w:rsidR="00C45AB7" w:rsidRPr="00C45AB7" w:rsidRDefault="00AD1980" w:rsidP="00C45AB7">
      <w:pPr>
        <w:widowControl w:val="0"/>
        <w:autoSpaceDE w:val="0"/>
        <w:autoSpaceDN w:val="0"/>
        <w:adjustRightInd w:val="0"/>
        <w:spacing w:line="240" w:lineRule="auto"/>
        <w:ind w:left="640" w:hanging="640"/>
        <w:rPr>
          <w:rFonts w:ascii="Calibri" w:hAnsi="Calibri" w:cs="Calibri"/>
          <w:noProof/>
          <w:szCs w:val="24"/>
        </w:rPr>
      </w:pPr>
      <w:r>
        <w:lastRenderedPageBreak/>
        <w:fldChar w:fldCharType="begin" w:fldLock="1"/>
      </w:r>
      <w:r>
        <w:instrText xml:space="preserve">ADDIN Mendeley Bibliography CSL_BIBLIOGRAPHY </w:instrText>
      </w:r>
      <w:r>
        <w:fldChar w:fldCharType="separate"/>
      </w:r>
      <w:r w:rsidR="00C45AB7" w:rsidRPr="00C45AB7">
        <w:rPr>
          <w:rFonts w:ascii="Calibri" w:hAnsi="Calibri" w:cs="Calibri"/>
          <w:noProof/>
          <w:szCs w:val="24"/>
        </w:rPr>
        <w:t xml:space="preserve">1. </w:t>
      </w:r>
      <w:r w:rsidR="00C45AB7" w:rsidRPr="00C45AB7">
        <w:rPr>
          <w:rFonts w:ascii="Calibri" w:hAnsi="Calibri" w:cs="Calibri"/>
          <w:noProof/>
          <w:szCs w:val="24"/>
        </w:rPr>
        <w:tab/>
        <w:t xml:space="preserve">Bloomfield HE, Greer N, Linsky AM, et al. Deprescribing for Community-Dwelling Older Adults: a Systematic Review and Meta-analysis. </w:t>
      </w:r>
      <w:r w:rsidR="00C45AB7" w:rsidRPr="00C45AB7">
        <w:rPr>
          <w:rFonts w:ascii="Calibri" w:hAnsi="Calibri" w:cs="Calibri"/>
          <w:i/>
          <w:iCs/>
          <w:noProof/>
          <w:szCs w:val="24"/>
        </w:rPr>
        <w:t>J Gen Intern Med</w:t>
      </w:r>
      <w:r w:rsidR="00C45AB7" w:rsidRPr="00C45AB7">
        <w:rPr>
          <w:rFonts w:ascii="Calibri" w:hAnsi="Calibri" w:cs="Calibri"/>
          <w:noProof/>
          <w:szCs w:val="24"/>
        </w:rPr>
        <w:t>. 2020;35(11):3323-3332. doi:10.1007/s11606-020-06089-2</w:t>
      </w:r>
    </w:p>
    <w:p w14:paraId="50328C42" w14:textId="77777777" w:rsidR="00C45AB7" w:rsidRPr="00C45AB7" w:rsidRDefault="00C45AB7" w:rsidP="00C45AB7">
      <w:pPr>
        <w:widowControl w:val="0"/>
        <w:autoSpaceDE w:val="0"/>
        <w:autoSpaceDN w:val="0"/>
        <w:adjustRightInd w:val="0"/>
        <w:spacing w:line="240" w:lineRule="auto"/>
        <w:ind w:left="640" w:hanging="640"/>
        <w:rPr>
          <w:rFonts w:ascii="Calibri" w:hAnsi="Calibri" w:cs="Calibri"/>
          <w:noProof/>
          <w:szCs w:val="24"/>
        </w:rPr>
      </w:pPr>
      <w:r w:rsidRPr="00C45AB7">
        <w:rPr>
          <w:rFonts w:ascii="Calibri" w:hAnsi="Calibri" w:cs="Calibri"/>
          <w:noProof/>
          <w:szCs w:val="24"/>
        </w:rPr>
        <w:t xml:space="preserve">2. </w:t>
      </w:r>
      <w:r w:rsidRPr="00C45AB7">
        <w:rPr>
          <w:rFonts w:ascii="Calibri" w:hAnsi="Calibri" w:cs="Calibri"/>
          <w:noProof/>
          <w:szCs w:val="24"/>
        </w:rPr>
        <w:tab/>
        <w:t xml:space="preserve">Huiskes VJB, Burger DM, Van Den Ende CHM, Van Den Bemt BJF. Effectiveness of medication review: A systematic review and meta-analysis of randomized controlled trials. </w:t>
      </w:r>
      <w:r w:rsidRPr="00C45AB7">
        <w:rPr>
          <w:rFonts w:ascii="Calibri" w:hAnsi="Calibri" w:cs="Calibri"/>
          <w:i/>
          <w:iCs/>
          <w:noProof/>
          <w:szCs w:val="24"/>
        </w:rPr>
        <w:t>BMC Fam Pract</w:t>
      </w:r>
      <w:r w:rsidRPr="00C45AB7">
        <w:rPr>
          <w:rFonts w:ascii="Calibri" w:hAnsi="Calibri" w:cs="Calibri"/>
          <w:noProof/>
          <w:szCs w:val="24"/>
        </w:rPr>
        <w:t>. 2017;18(1). doi:10.1186/s12875-016-0577-x</w:t>
      </w:r>
    </w:p>
    <w:p w14:paraId="3E3BA727" w14:textId="77777777" w:rsidR="00C45AB7" w:rsidRPr="00C45AB7" w:rsidRDefault="00C45AB7" w:rsidP="00C45AB7">
      <w:pPr>
        <w:widowControl w:val="0"/>
        <w:autoSpaceDE w:val="0"/>
        <w:autoSpaceDN w:val="0"/>
        <w:adjustRightInd w:val="0"/>
        <w:spacing w:line="240" w:lineRule="auto"/>
        <w:ind w:left="640" w:hanging="640"/>
        <w:rPr>
          <w:rFonts w:ascii="Calibri" w:hAnsi="Calibri" w:cs="Calibri"/>
          <w:noProof/>
          <w:szCs w:val="24"/>
        </w:rPr>
      </w:pPr>
      <w:r w:rsidRPr="00C45AB7">
        <w:rPr>
          <w:rFonts w:ascii="Calibri" w:hAnsi="Calibri" w:cs="Calibri"/>
          <w:noProof/>
          <w:szCs w:val="24"/>
        </w:rPr>
        <w:t xml:space="preserve">3. </w:t>
      </w:r>
      <w:r w:rsidRPr="00C45AB7">
        <w:rPr>
          <w:rFonts w:ascii="Calibri" w:hAnsi="Calibri" w:cs="Calibri"/>
          <w:noProof/>
          <w:szCs w:val="24"/>
        </w:rPr>
        <w:tab/>
        <w:t xml:space="preserve">Charlson ME, Pompei P, Ales KL, MacKenzie CR. A New Method of Classifying Prognostic Comorbidity in Longitudinal Studies: Development and Validation. </w:t>
      </w:r>
      <w:r w:rsidRPr="00C45AB7">
        <w:rPr>
          <w:rFonts w:ascii="Calibri" w:hAnsi="Calibri" w:cs="Calibri"/>
          <w:i/>
          <w:iCs/>
          <w:noProof/>
          <w:szCs w:val="24"/>
        </w:rPr>
        <w:t>J Chronic Dis</w:t>
      </w:r>
      <w:r w:rsidRPr="00C45AB7">
        <w:rPr>
          <w:rFonts w:ascii="Calibri" w:hAnsi="Calibri" w:cs="Calibri"/>
          <w:noProof/>
          <w:szCs w:val="24"/>
        </w:rPr>
        <w:t>. 1987;40(5):373-383. http://www.sciencedirect.com/science/article/pii/0021968187901718</w:t>
      </w:r>
    </w:p>
    <w:p w14:paraId="11886195" w14:textId="77777777" w:rsidR="00C45AB7" w:rsidRPr="00C45AB7" w:rsidRDefault="00C45AB7" w:rsidP="00C45AB7">
      <w:pPr>
        <w:widowControl w:val="0"/>
        <w:autoSpaceDE w:val="0"/>
        <w:autoSpaceDN w:val="0"/>
        <w:adjustRightInd w:val="0"/>
        <w:spacing w:line="240" w:lineRule="auto"/>
        <w:ind w:left="640" w:hanging="640"/>
        <w:rPr>
          <w:rFonts w:ascii="Calibri" w:hAnsi="Calibri" w:cs="Calibri"/>
          <w:noProof/>
          <w:szCs w:val="24"/>
        </w:rPr>
      </w:pPr>
      <w:r w:rsidRPr="00C45AB7">
        <w:rPr>
          <w:rFonts w:ascii="Calibri" w:hAnsi="Calibri" w:cs="Calibri"/>
          <w:noProof/>
          <w:szCs w:val="24"/>
        </w:rPr>
        <w:t xml:space="preserve">4. </w:t>
      </w:r>
      <w:r w:rsidRPr="00C45AB7">
        <w:rPr>
          <w:rFonts w:ascii="Calibri" w:hAnsi="Calibri" w:cs="Calibri"/>
          <w:noProof/>
          <w:szCs w:val="24"/>
        </w:rPr>
        <w:tab/>
        <w:t xml:space="preserve">Threapleton CJD, Kimpton JE, Carey IM, et al. Development of a structured clinical pharmacology review for specialist support for management of complex polypharmacy in primary care. </w:t>
      </w:r>
      <w:r w:rsidRPr="00C45AB7">
        <w:rPr>
          <w:rFonts w:ascii="Calibri" w:hAnsi="Calibri" w:cs="Calibri"/>
          <w:i/>
          <w:iCs/>
          <w:noProof/>
          <w:szCs w:val="24"/>
        </w:rPr>
        <w:t>Br J Clin Pharmacol</w:t>
      </w:r>
      <w:r w:rsidRPr="00C45AB7">
        <w:rPr>
          <w:rFonts w:ascii="Calibri" w:hAnsi="Calibri" w:cs="Calibri"/>
          <w:noProof/>
          <w:szCs w:val="24"/>
        </w:rPr>
        <w:t>. 2020;(January):1-10. doi:10.1111/bcp.14243</w:t>
      </w:r>
    </w:p>
    <w:p w14:paraId="38143F83" w14:textId="77777777" w:rsidR="00C45AB7" w:rsidRPr="00C45AB7" w:rsidRDefault="00C45AB7" w:rsidP="00C45AB7">
      <w:pPr>
        <w:widowControl w:val="0"/>
        <w:autoSpaceDE w:val="0"/>
        <w:autoSpaceDN w:val="0"/>
        <w:adjustRightInd w:val="0"/>
        <w:spacing w:line="240" w:lineRule="auto"/>
        <w:ind w:left="640" w:hanging="640"/>
        <w:rPr>
          <w:rFonts w:ascii="Calibri" w:hAnsi="Calibri" w:cs="Calibri"/>
          <w:noProof/>
          <w:szCs w:val="24"/>
        </w:rPr>
      </w:pPr>
      <w:r w:rsidRPr="00C45AB7">
        <w:rPr>
          <w:rFonts w:ascii="Calibri" w:hAnsi="Calibri" w:cs="Calibri"/>
          <w:noProof/>
          <w:szCs w:val="24"/>
        </w:rPr>
        <w:t xml:space="preserve">5. </w:t>
      </w:r>
      <w:r w:rsidRPr="00C45AB7">
        <w:rPr>
          <w:rFonts w:ascii="Calibri" w:hAnsi="Calibri" w:cs="Calibri"/>
          <w:noProof/>
          <w:szCs w:val="24"/>
        </w:rPr>
        <w:tab/>
        <w:t xml:space="preserve">Coupland CAC, Hill T, Dening T, Morriss R, Moore M, Hippisley-Cox J. Anticholinergic Drug Exposure and the Risk of Dementia: A Nested Case-Control Study. </w:t>
      </w:r>
      <w:r w:rsidRPr="00C45AB7">
        <w:rPr>
          <w:rFonts w:ascii="Calibri" w:hAnsi="Calibri" w:cs="Calibri"/>
          <w:i/>
          <w:iCs/>
          <w:noProof/>
          <w:szCs w:val="24"/>
        </w:rPr>
        <w:t>JAMA Intern Med</w:t>
      </w:r>
      <w:r w:rsidRPr="00C45AB7">
        <w:rPr>
          <w:rFonts w:ascii="Calibri" w:hAnsi="Calibri" w:cs="Calibri"/>
          <w:noProof/>
          <w:szCs w:val="24"/>
        </w:rPr>
        <w:t>. 2019;179(8):1084-1093. doi:10.1001/jamainternmed.2019.0677</w:t>
      </w:r>
    </w:p>
    <w:p w14:paraId="7BD548C5" w14:textId="77777777" w:rsidR="00C45AB7" w:rsidRPr="00C45AB7" w:rsidRDefault="00C45AB7" w:rsidP="00C45AB7">
      <w:pPr>
        <w:widowControl w:val="0"/>
        <w:autoSpaceDE w:val="0"/>
        <w:autoSpaceDN w:val="0"/>
        <w:adjustRightInd w:val="0"/>
        <w:spacing w:line="240" w:lineRule="auto"/>
        <w:ind w:left="640" w:hanging="640"/>
        <w:rPr>
          <w:rFonts w:ascii="Calibri" w:hAnsi="Calibri" w:cs="Calibri"/>
          <w:noProof/>
          <w:szCs w:val="24"/>
        </w:rPr>
      </w:pPr>
      <w:r w:rsidRPr="00C45AB7">
        <w:rPr>
          <w:rFonts w:ascii="Calibri" w:hAnsi="Calibri" w:cs="Calibri"/>
          <w:noProof/>
          <w:szCs w:val="24"/>
        </w:rPr>
        <w:t xml:space="preserve">6. </w:t>
      </w:r>
      <w:r w:rsidRPr="00C45AB7">
        <w:rPr>
          <w:rFonts w:ascii="Calibri" w:hAnsi="Calibri" w:cs="Calibri"/>
          <w:noProof/>
          <w:szCs w:val="24"/>
        </w:rPr>
        <w:tab/>
        <w:t xml:space="preserve">Bengaard AK, Iversen E, Kallemose T, et al. Using soluble urokinase plasminogen activator receptor to stratify patients for medication review in the emergency department. </w:t>
      </w:r>
      <w:r w:rsidRPr="00C45AB7">
        <w:rPr>
          <w:rFonts w:ascii="Calibri" w:hAnsi="Calibri" w:cs="Calibri"/>
          <w:i/>
          <w:iCs/>
          <w:noProof/>
          <w:szCs w:val="24"/>
        </w:rPr>
        <w:t>Br J Clin Pharmacol</w:t>
      </w:r>
      <w:r w:rsidRPr="00C45AB7">
        <w:rPr>
          <w:rFonts w:ascii="Calibri" w:hAnsi="Calibri" w:cs="Calibri"/>
          <w:noProof/>
          <w:szCs w:val="24"/>
        </w:rPr>
        <w:t>. Published online 2021:1-12. doi:10.1111/bcp.14982</w:t>
      </w:r>
    </w:p>
    <w:p w14:paraId="4055B902" w14:textId="77777777" w:rsidR="00C45AB7" w:rsidRPr="00C45AB7" w:rsidRDefault="00C45AB7" w:rsidP="00C45AB7">
      <w:pPr>
        <w:widowControl w:val="0"/>
        <w:autoSpaceDE w:val="0"/>
        <w:autoSpaceDN w:val="0"/>
        <w:adjustRightInd w:val="0"/>
        <w:spacing w:line="240" w:lineRule="auto"/>
        <w:ind w:left="640" w:hanging="640"/>
        <w:rPr>
          <w:rFonts w:ascii="Calibri" w:hAnsi="Calibri" w:cs="Calibri"/>
          <w:noProof/>
          <w:szCs w:val="24"/>
        </w:rPr>
      </w:pPr>
      <w:r w:rsidRPr="00C45AB7">
        <w:rPr>
          <w:rFonts w:ascii="Calibri" w:hAnsi="Calibri" w:cs="Calibri"/>
          <w:noProof/>
          <w:szCs w:val="24"/>
        </w:rPr>
        <w:t xml:space="preserve">7. </w:t>
      </w:r>
      <w:r w:rsidRPr="00C45AB7">
        <w:rPr>
          <w:rFonts w:ascii="Calibri" w:hAnsi="Calibri" w:cs="Calibri"/>
          <w:noProof/>
          <w:szCs w:val="24"/>
        </w:rPr>
        <w:tab/>
        <w:t xml:space="preserve">Haupt TH, Kallemose T, Ladelund S, et al. Risk factors associated with serum levels of the inflammatory biomarker soluble urokinase plasminogen activator receptor in a general population. </w:t>
      </w:r>
      <w:r w:rsidRPr="00C45AB7">
        <w:rPr>
          <w:rFonts w:ascii="Calibri" w:hAnsi="Calibri" w:cs="Calibri"/>
          <w:i/>
          <w:iCs/>
          <w:noProof/>
          <w:szCs w:val="24"/>
        </w:rPr>
        <w:t>Biomark Insights</w:t>
      </w:r>
      <w:r w:rsidRPr="00C45AB7">
        <w:rPr>
          <w:rFonts w:ascii="Calibri" w:hAnsi="Calibri" w:cs="Calibri"/>
          <w:noProof/>
          <w:szCs w:val="24"/>
        </w:rPr>
        <w:t>. 2014;9:91-100. doi:10.4137/BMI.S19876</w:t>
      </w:r>
    </w:p>
    <w:p w14:paraId="33A75CEA" w14:textId="77777777" w:rsidR="00C45AB7" w:rsidRPr="00C45AB7" w:rsidRDefault="00C45AB7" w:rsidP="00C45AB7">
      <w:pPr>
        <w:widowControl w:val="0"/>
        <w:autoSpaceDE w:val="0"/>
        <w:autoSpaceDN w:val="0"/>
        <w:adjustRightInd w:val="0"/>
        <w:spacing w:line="240" w:lineRule="auto"/>
        <w:ind w:left="640" w:hanging="640"/>
        <w:rPr>
          <w:rFonts w:ascii="Calibri" w:hAnsi="Calibri" w:cs="Calibri"/>
          <w:noProof/>
          <w:szCs w:val="24"/>
        </w:rPr>
      </w:pPr>
      <w:r w:rsidRPr="00C45AB7">
        <w:rPr>
          <w:rFonts w:ascii="Calibri" w:hAnsi="Calibri" w:cs="Calibri"/>
          <w:noProof/>
          <w:szCs w:val="24"/>
        </w:rPr>
        <w:t xml:space="preserve">8. </w:t>
      </w:r>
      <w:r w:rsidRPr="00C45AB7">
        <w:rPr>
          <w:rFonts w:ascii="Calibri" w:hAnsi="Calibri" w:cs="Calibri"/>
          <w:noProof/>
          <w:szCs w:val="24"/>
        </w:rPr>
        <w:tab/>
        <w:t xml:space="preserve">Vasarhelyi B, Toldi G, Balog A. The Clinical Value of Soluble Urokinase Plasminogen Activator Receptor (suPAR) Levels in Autoimmune Connective Tissue Disorders. </w:t>
      </w:r>
      <w:r w:rsidRPr="00C45AB7">
        <w:rPr>
          <w:rFonts w:ascii="Calibri" w:hAnsi="Calibri" w:cs="Calibri"/>
          <w:i/>
          <w:iCs/>
          <w:noProof/>
          <w:szCs w:val="24"/>
        </w:rPr>
        <w:t>EJIFCC</w:t>
      </w:r>
      <w:r w:rsidRPr="00C45AB7">
        <w:rPr>
          <w:rFonts w:ascii="Calibri" w:hAnsi="Calibri" w:cs="Calibri"/>
          <w:noProof/>
          <w:szCs w:val="24"/>
        </w:rPr>
        <w:t>. 2016;27(2):122-129. http://www.ncbi.nlm.nih.gov/pubmed/27683525%0Ahttp://www.pubmedcentral.nih.gov/articlerender.fcgi?artid=PMC4975228</w:t>
      </w:r>
    </w:p>
    <w:p w14:paraId="36A45905" w14:textId="77777777" w:rsidR="00C45AB7" w:rsidRPr="00C45AB7" w:rsidRDefault="00C45AB7" w:rsidP="00C45AB7">
      <w:pPr>
        <w:widowControl w:val="0"/>
        <w:autoSpaceDE w:val="0"/>
        <w:autoSpaceDN w:val="0"/>
        <w:adjustRightInd w:val="0"/>
        <w:spacing w:line="240" w:lineRule="auto"/>
        <w:ind w:left="640" w:hanging="640"/>
        <w:rPr>
          <w:rFonts w:ascii="Calibri" w:hAnsi="Calibri" w:cs="Calibri"/>
          <w:noProof/>
        </w:rPr>
      </w:pPr>
      <w:r w:rsidRPr="00C45AB7">
        <w:rPr>
          <w:rFonts w:ascii="Calibri" w:hAnsi="Calibri" w:cs="Calibri"/>
          <w:noProof/>
          <w:szCs w:val="24"/>
        </w:rPr>
        <w:t xml:space="preserve">9. </w:t>
      </w:r>
      <w:r w:rsidRPr="00C45AB7">
        <w:rPr>
          <w:rFonts w:ascii="Calibri" w:hAnsi="Calibri" w:cs="Calibri"/>
          <w:noProof/>
          <w:szCs w:val="24"/>
        </w:rPr>
        <w:tab/>
        <w:t xml:space="preserve">Haupt TH, Petersen J, Ellekilde G, et al. Plasma suPAR levels are associated with mortality, admission time, and Charlson Comorbidity Index in the acutely admitted medical patient: A prospective observational study. </w:t>
      </w:r>
      <w:r w:rsidRPr="00C45AB7">
        <w:rPr>
          <w:rFonts w:ascii="Calibri" w:hAnsi="Calibri" w:cs="Calibri"/>
          <w:i/>
          <w:iCs/>
          <w:noProof/>
          <w:szCs w:val="24"/>
        </w:rPr>
        <w:t>Crit Care</w:t>
      </w:r>
      <w:r w:rsidRPr="00C45AB7">
        <w:rPr>
          <w:rFonts w:ascii="Calibri" w:hAnsi="Calibri" w:cs="Calibri"/>
          <w:noProof/>
          <w:szCs w:val="24"/>
        </w:rPr>
        <w:t>. 2012;16(4):1-9. doi:10.1186/cc11434</w:t>
      </w:r>
    </w:p>
    <w:p w14:paraId="44FAF34D" w14:textId="532DE0BF" w:rsidR="00F2047A" w:rsidRDefault="00AD1980" w:rsidP="00276E6F">
      <w:pPr>
        <w:widowControl w:val="0"/>
        <w:autoSpaceDE w:val="0"/>
        <w:autoSpaceDN w:val="0"/>
        <w:adjustRightInd w:val="0"/>
        <w:spacing w:line="240" w:lineRule="auto"/>
        <w:ind w:left="640" w:hanging="640"/>
      </w:pPr>
      <w:r>
        <w:fldChar w:fldCharType="end"/>
      </w:r>
    </w:p>
    <w:sectPr w:rsidR="00F2047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ff4">
    <w:altName w:val="Cambria"/>
    <w:panose1 w:val="00000000000000000000"/>
    <w:charset w:val="00"/>
    <w:family w:val="roman"/>
    <w:notTrueType/>
    <w:pitch w:val="default"/>
  </w:font>
  <w:font w:name="ff5">
    <w:altName w:val="Cambria"/>
    <w:panose1 w:val="00000000000000000000"/>
    <w:charset w:val="00"/>
    <w:family w:val="roman"/>
    <w:notTrueType/>
    <w:pitch w:val="default"/>
  </w:font>
  <w:font w:name="ff6">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FC31D8"/>
    <w:multiLevelType w:val="hybridMultilevel"/>
    <w:tmpl w:val="AFACDF1A"/>
    <w:lvl w:ilvl="0" w:tplc="11E62940">
      <w:start w:val="5"/>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75F7B49"/>
    <w:multiLevelType w:val="hybridMultilevel"/>
    <w:tmpl w:val="BFD847D8"/>
    <w:lvl w:ilvl="0" w:tplc="11E62940">
      <w:start w:val="5"/>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2" w15:restartNumberingAfterBreak="0">
    <w:nsid w:val="7BDD2578"/>
    <w:multiLevelType w:val="hybridMultilevel"/>
    <w:tmpl w:val="B52E2D78"/>
    <w:lvl w:ilvl="0" w:tplc="128E57B8">
      <w:start w:val="356"/>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3B89"/>
    <w:rsid w:val="00003A29"/>
    <w:rsid w:val="00007DAD"/>
    <w:rsid w:val="0001239E"/>
    <w:rsid w:val="00013F76"/>
    <w:rsid w:val="00030DA3"/>
    <w:rsid w:val="00035324"/>
    <w:rsid w:val="00055860"/>
    <w:rsid w:val="00055D25"/>
    <w:rsid w:val="000618C7"/>
    <w:rsid w:val="000657CC"/>
    <w:rsid w:val="00084835"/>
    <w:rsid w:val="00090619"/>
    <w:rsid w:val="000A3B89"/>
    <w:rsid w:val="000A637C"/>
    <w:rsid w:val="000A7DC7"/>
    <w:rsid w:val="000D5732"/>
    <w:rsid w:val="000E36B0"/>
    <w:rsid w:val="000F5B23"/>
    <w:rsid w:val="000F6C7F"/>
    <w:rsid w:val="0010717C"/>
    <w:rsid w:val="00110DC2"/>
    <w:rsid w:val="00117FC3"/>
    <w:rsid w:val="00153749"/>
    <w:rsid w:val="001556A3"/>
    <w:rsid w:val="00164A29"/>
    <w:rsid w:val="001704CB"/>
    <w:rsid w:val="00173572"/>
    <w:rsid w:val="001835A7"/>
    <w:rsid w:val="00187AED"/>
    <w:rsid w:val="00192077"/>
    <w:rsid w:val="001A0F1A"/>
    <w:rsid w:val="001D0BEC"/>
    <w:rsid w:val="001E35FC"/>
    <w:rsid w:val="001F0DBE"/>
    <w:rsid w:val="002009A7"/>
    <w:rsid w:val="0020166C"/>
    <w:rsid w:val="002126A5"/>
    <w:rsid w:val="00232208"/>
    <w:rsid w:val="0025135B"/>
    <w:rsid w:val="00276E6F"/>
    <w:rsid w:val="00282540"/>
    <w:rsid w:val="00287F65"/>
    <w:rsid w:val="00296312"/>
    <w:rsid w:val="002A2357"/>
    <w:rsid w:val="002D01FF"/>
    <w:rsid w:val="002F53AA"/>
    <w:rsid w:val="002F7FB8"/>
    <w:rsid w:val="003104B6"/>
    <w:rsid w:val="00315D7A"/>
    <w:rsid w:val="00325E27"/>
    <w:rsid w:val="003275BA"/>
    <w:rsid w:val="0033426A"/>
    <w:rsid w:val="00335E09"/>
    <w:rsid w:val="0035305A"/>
    <w:rsid w:val="00361CAA"/>
    <w:rsid w:val="0036655A"/>
    <w:rsid w:val="00370A68"/>
    <w:rsid w:val="00383F6B"/>
    <w:rsid w:val="00386D23"/>
    <w:rsid w:val="00396FFD"/>
    <w:rsid w:val="003B4B5C"/>
    <w:rsid w:val="003C5ED1"/>
    <w:rsid w:val="003C6677"/>
    <w:rsid w:val="003D4588"/>
    <w:rsid w:val="003D7A4B"/>
    <w:rsid w:val="003E46C1"/>
    <w:rsid w:val="00402232"/>
    <w:rsid w:val="00412977"/>
    <w:rsid w:val="00417E24"/>
    <w:rsid w:val="0043729F"/>
    <w:rsid w:val="004444F7"/>
    <w:rsid w:val="00447786"/>
    <w:rsid w:val="00457C48"/>
    <w:rsid w:val="00474982"/>
    <w:rsid w:val="00480B7F"/>
    <w:rsid w:val="00494014"/>
    <w:rsid w:val="004959E4"/>
    <w:rsid w:val="004A4771"/>
    <w:rsid w:val="004C1FCB"/>
    <w:rsid w:val="004E21B1"/>
    <w:rsid w:val="004E556D"/>
    <w:rsid w:val="0055607C"/>
    <w:rsid w:val="005726D1"/>
    <w:rsid w:val="0057352A"/>
    <w:rsid w:val="00582FE5"/>
    <w:rsid w:val="00587670"/>
    <w:rsid w:val="005A051A"/>
    <w:rsid w:val="005A7AB4"/>
    <w:rsid w:val="005B4C6E"/>
    <w:rsid w:val="005C47C8"/>
    <w:rsid w:val="005D26EA"/>
    <w:rsid w:val="005F116E"/>
    <w:rsid w:val="00601BD3"/>
    <w:rsid w:val="006041ED"/>
    <w:rsid w:val="00607220"/>
    <w:rsid w:val="00651B8E"/>
    <w:rsid w:val="00664256"/>
    <w:rsid w:val="00670B87"/>
    <w:rsid w:val="006827D7"/>
    <w:rsid w:val="006A6830"/>
    <w:rsid w:val="006B3679"/>
    <w:rsid w:val="006D02A5"/>
    <w:rsid w:val="006D2E85"/>
    <w:rsid w:val="006E0261"/>
    <w:rsid w:val="006F0C6C"/>
    <w:rsid w:val="006F3722"/>
    <w:rsid w:val="006F669C"/>
    <w:rsid w:val="00700ACA"/>
    <w:rsid w:val="007045C5"/>
    <w:rsid w:val="007224A8"/>
    <w:rsid w:val="0072515B"/>
    <w:rsid w:val="00736BBB"/>
    <w:rsid w:val="00742B05"/>
    <w:rsid w:val="0074470D"/>
    <w:rsid w:val="0075258A"/>
    <w:rsid w:val="00755A6C"/>
    <w:rsid w:val="007568D2"/>
    <w:rsid w:val="00763B9E"/>
    <w:rsid w:val="00776D59"/>
    <w:rsid w:val="00776DFA"/>
    <w:rsid w:val="0078332D"/>
    <w:rsid w:val="007B511C"/>
    <w:rsid w:val="007C03E6"/>
    <w:rsid w:val="007C06BB"/>
    <w:rsid w:val="007F01A3"/>
    <w:rsid w:val="007F1904"/>
    <w:rsid w:val="0080113D"/>
    <w:rsid w:val="008011B7"/>
    <w:rsid w:val="00803F5F"/>
    <w:rsid w:val="00807470"/>
    <w:rsid w:val="008075C1"/>
    <w:rsid w:val="008204D4"/>
    <w:rsid w:val="0082439A"/>
    <w:rsid w:val="008900BA"/>
    <w:rsid w:val="008A7190"/>
    <w:rsid w:val="008B20B7"/>
    <w:rsid w:val="008B7E8D"/>
    <w:rsid w:val="008C5A72"/>
    <w:rsid w:val="008D43F6"/>
    <w:rsid w:val="008D573F"/>
    <w:rsid w:val="008E4880"/>
    <w:rsid w:val="008E6C9A"/>
    <w:rsid w:val="00900F06"/>
    <w:rsid w:val="00924477"/>
    <w:rsid w:val="00930556"/>
    <w:rsid w:val="00935756"/>
    <w:rsid w:val="00973919"/>
    <w:rsid w:val="009A255B"/>
    <w:rsid w:val="009C3A75"/>
    <w:rsid w:val="009C43F9"/>
    <w:rsid w:val="009E5CC6"/>
    <w:rsid w:val="009F2C07"/>
    <w:rsid w:val="00A008F1"/>
    <w:rsid w:val="00A24CF9"/>
    <w:rsid w:val="00A277B1"/>
    <w:rsid w:val="00A413D1"/>
    <w:rsid w:val="00A615E7"/>
    <w:rsid w:val="00A65F78"/>
    <w:rsid w:val="00A72003"/>
    <w:rsid w:val="00A768B1"/>
    <w:rsid w:val="00A90474"/>
    <w:rsid w:val="00A92064"/>
    <w:rsid w:val="00AA08BC"/>
    <w:rsid w:val="00AD1980"/>
    <w:rsid w:val="00AD58CE"/>
    <w:rsid w:val="00B027F3"/>
    <w:rsid w:val="00B2040F"/>
    <w:rsid w:val="00B36F1E"/>
    <w:rsid w:val="00B45FB7"/>
    <w:rsid w:val="00B5597C"/>
    <w:rsid w:val="00B677B4"/>
    <w:rsid w:val="00B84995"/>
    <w:rsid w:val="00B85687"/>
    <w:rsid w:val="00BA484F"/>
    <w:rsid w:val="00BA67FC"/>
    <w:rsid w:val="00BC4EFB"/>
    <w:rsid w:val="00BC5C92"/>
    <w:rsid w:val="00BD542B"/>
    <w:rsid w:val="00BD589C"/>
    <w:rsid w:val="00BF1D6D"/>
    <w:rsid w:val="00BF4343"/>
    <w:rsid w:val="00C0719D"/>
    <w:rsid w:val="00C07C3C"/>
    <w:rsid w:val="00C11656"/>
    <w:rsid w:val="00C12C80"/>
    <w:rsid w:val="00C1378E"/>
    <w:rsid w:val="00C238FA"/>
    <w:rsid w:val="00C45AB7"/>
    <w:rsid w:val="00C71216"/>
    <w:rsid w:val="00C9029E"/>
    <w:rsid w:val="00C97524"/>
    <w:rsid w:val="00CC28CF"/>
    <w:rsid w:val="00CD2E49"/>
    <w:rsid w:val="00CD3466"/>
    <w:rsid w:val="00CD3E56"/>
    <w:rsid w:val="00D135B2"/>
    <w:rsid w:val="00D16F96"/>
    <w:rsid w:val="00D21AC1"/>
    <w:rsid w:val="00D22E96"/>
    <w:rsid w:val="00D26574"/>
    <w:rsid w:val="00D51A04"/>
    <w:rsid w:val="00D51D46"/>
    <w:rsid w:val="00D556FF"/>
    <w:rsid w:val="00D75A74"/>
    <w:rsid w:val="00D80222"/>
    <w:rsid w:val="00D965C7"/>
    <w:rsid w:val="00DB3427"/>
    <w:rsid w:val="00DC0162"/>
    <w:rsid w:val="00DC2AEF"/>
    <w:rsid w:val="00DC4876"/>
    <w:rsid w:val="00DC4F1E"/>
    <w:rsid w:val="00DD1F1F"/>
    <w:rsid w:val="00DF54DB"/>
    <w:rsid w:val="00E010D2"/>
    <w:rsid w:val="00E0349E"/>
    <w:rsid w:val="00E2428D"/>
    <w:rsid w:val="00E3355F"/>
    <w:rsid w:val="00E376B1"/>
    <w:rsid w:val="00E57D6F"/>
    <w:rsid w:val="00E71A19"/>
    <w:rsid w:val="00E844AE"/>
    <w:rsid w:val="00E849A5"/>
    <w:rsid w:val="00E877B2"/>
    <w:rsid w:val="00EA1442"/>
    <w:rsid w:val="00EB17E7"/>
    <w:rsid w:val="00EB3949"/>
    <w:rsid w:val="00EB4E25"/>
    <w:rsid w:val="00ED3610"/>
    <w:rsid w:val="00ED365D"/>
    <w:rsid w:val="00ED7638"/>
    <w:rsid w:val="00EE4710"/>
    <w:rsid w:val="00EF0D24"/>
    <w:rsid w:val="00F01D30"/>
    <w:rsid w:val="00F2047A"/>
    <w:rsid w:val="00F2070D"/>
    <w:rsid w:val="00F50F64"/>
    <w:rsid w:val="00F524C0"/>
    <w:rsid w:val="00F81217"/>
    <w:rsid w:val="00F8204C"/>
    <w:rsid w:val="00FB63CA"/>
    <w:rsid w:val="00FE73D5"/>
    <w:rsid w:val="00FF4CDD"/>
    <w:rsid w:val="00FF6D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BD978"/>
  <w15:chartTrackingRefBased/>
  <w15:docId w15:val="{05476124-3757-4F56-AE56-314073669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F116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5F116E"/>
    <w:rPr>
      <w:color w:val="0000FF"/>
      <w:u w:val="single"/>
    </w:rPr>
  </w:style>
  <w:style w:type="paragraph" w:styleId="ListParagraph">
    <w:name w:val="List Paragraph"/>
    <w:basedOn w:val="Normal"/>
    <w:uiPriority w:val="34"/>
    <w:qFormat/>
    <w:rsid w:val="00F2047A"/>
    <w:pPr>
      <w:ind w:left="720"/>
      <w:contextualSpacing/>
    </w:pPr>
  </w:style>
  <w:style w:type="character" w:styleId="CommentReference">
    <w:name w:val="annotation reference"/>
    <w:basedOn w:val="DefaultParagraphFont"/>
    <w:uiPriority w:val="99"/>
    <w:semiHidden/>
    <w:unhideWhenUsed/>
    <w:rsid w:val="00B5597C"/>
    <w:rPr>
      <w:sz w:val="16"/>
      <w:szCs w:val="16"/>
    </w:rPr>
  </w:style>
  <w:style w:type="paragraph" w:styleId="CommentText">
    <w:name w:val="annotation text"/>
    <w:basedOn w:val="Normal"/>
    <w:link w:val="CommentTextChar"/>
    <w:uiPriority w:val="99"/>
    <w:semiHidden/>
    <w:unhideWhenUsed/>
    <w:rsid w:val="00B5597C"/>
    <w:pPr>
      <w:spacing w:line="240" w:lineRule="auto"/>
    </w:pPr>
    <w:rPr>
      <w:sz w:val="20"/>
      <w:szCs w:val="20"/>
    </w:rPr>
  </w:style>
  <w:style w:type="character" w:customStyle="1" w:styleId="CommentTextChar">
    <w:name w:val="Comment Text Char"/>
    <w:basedOn w:val="DefaultParagraphFont"/>
    <w:link w:val="CommentText"/>
    <w:uiPriority w:val="99"/>
    <w:semiHidden/>
    <w:rsid w:val="00B5597C"/>
    <w:rPr>
      <w:sz w:val="20"/>
      <w:szCs w:val="20"/>
    </w:rPr>
  </w:style>
  <w:style w:type="paragraph" w:styleId="CommentSubject">
    <w:name w:val="annotation subject"/>
    <w:basedOn w:val="CommentText"/>
    <w:next w:val="CommentText"/>
    <w:link w:val="CommentSubjectChar"/>
    <w:uiPriority w:val="99"/>
    <w:semiHidden/>
    <w:unhideWhenUsed/>
    <w:rsid w:val="00B5597C"/>
    <w:rPr>
      <w:b/>
      <w:bCs/>
    </w:rPr>
  </w:style>
  <w:style w:type="character" w:customStyle="1" w:styleId="CommentSubjectChar">
    <w:name w:val="Comment Subject Char"/>
    <w:basedOn w:val="CommentTextChar"/>
    <w:link w:val="CommentSubject"/>
    <w:uiPriority w:val="99"/>
    <w:semiHidden/>
    <w:rsid w:val="00B5597C"/>
    <w:rPr>
      <w:b/>
      <w:bCs/>
      <w:sz w:val="20"/>
      <w:szCs w:val="20"/>
    </w:rPr>
  </w:style>
  <w:style w:type="paragraph" w:styleId="BalloonText">
    <w:name w:val="Balloon Text"/>
    <w:basedOn w:val="Normal"/>
    <w:link w:val="BalloonTextChar"/>
    <w:uiPriority w:val="99"/>
    <w:semiHidden/>
    <w:unhideWhenUsed/>
    <w:rsid w:val="00B559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597C"/>
    <w:rPr>
      <w:rFonts w:ascii="Segoe UI" w:hAnsi="Segoe UI" w:cs="Segoe UI"/>
      <w:sz w:val="18"/>
      <w:szCs w:val="18"/>
    </w:rPr>
  </w:style>
  <w:style w:type="character" w:styleId="FollowedHyperlink">
    <w:name w:val="FollowedHyperlink"/>
    <w:basedOn w:val="DefaultParagraphFont"/>
    <w:uiPriority w:val="99"/>
    <w:semiHidden/>
    <w:unhideWhenUsed/>
    <w:rsid w:val="00383F6B"/>
    <w:rPr>
      <w:color w:val="954F72" w:themeColor="followedHyperlink"/>
      <w:u w:val="single"/>
    </w:rPr>
  </w:style>
  <w:style w:type="paragraph" w:styleId="Revision">
    <w:name w:val="Revision"/>
    <w:hidden/>
    <w:uiPriority w:val="99"/>
    <w:semiHidden/>
    <w:rsid w:val="00A413D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343912">
      <w:bodyDiv w:val="1"/>
      <w:marLeft w:val="0"/>
      <w:marRight w:val="0"/>
      <w:marTop w:val="0"/>
      <w:marBottom w:val="0"/>
      <w:divBdr>
        <w:top w:val="none" w:sz="0" w:space="0" w:color="auto"/>
        <w:left w:val="none" w:sz="0" w:space="0" w:color="auto"/>
        <w:bottom w:val="none" w:sz="0" w:space="0" w:color="auto"/>
        <w:right w:val="none" w:sz="0" w:space="0" w:color="auto"/>
      </w:divBdr>
    </w:div>
    <w:div w:id="1885825126">
      <w:bodyDiv w:val="1"/>
      <w:marLeft w:val="0"/>
      <w:marRight w:val="0"/>
      <w:marTop w:val="0"/>
      <w:marBottom w:val="0"/>
      <w:divBdr>
        <w:top w:val="none" w:sz="0" w:space="0" w:color="auto"/>
        <w:left w:val="none" w:sz="0" w:space="0" w:color="auto"/>
        <w:bottom w:val="none" w:sz="0" w:space="0" w:color="auto"/>
        <w:right w:val="none" w:sz="0" w:space="0" w:color="auto"/>
      </w:divBdr>
      <w:divsChild>
        <w:div w:id="920604202">
          <w:marLeft w:val="0"/>
          <w:marRight w:val="0"/>
          <w:marTop w:val="0"/>
          <w:marBottom w:val="0"/>
          <w:divBdr>
            <w:top w:val="none" w:sz="0" w:space="0" w:color="auto"/>
            <w:left w:val="none" w:sz="0" w:space="0" w:color="auto"/>
            <w:bottom w:val="none" w:sz="0" w:space="0" w:color="auto"/>
            <w:right w:val="none" w:sz="0" w:space="0" w:color="auto"/>
          </w:divBdr>
        </w:div>
        <w:div w:id="1093165424">
          <w:marLeft w:val="0"/>
          <w:marRight w:val="0"/>
          <w:marTop w:val="0"/>
          <w:marBottom w:val="0"/>
          <w:divBdr>
            <w:top w:val="none" w:sz="0" w:space="0" w:color="auto"/>
            <w:left w:val="none" w:sz="0" w:space="0" w:color="auto"/>
            <w:bottom w:val="none" w:sz="0" w:space="0" w:color="auto"/>
            <w:right w:val="none" w:sz="0" w:space="0" w:color="auto"/>
          </w:divBdr>
        </w:div>
        <w:div w:id="452476898">
          <w:marLeft w:val="0"/>
          <w:marRight w:val="0"/>
          <w:marTop w:val="0"/>
          <w:marBottom w:val="0"/>
          <w:divBdr>
            <w:top w:val="none" w:sz="0" w:space="0" w:color="auto"/>
            <w:left w:val="none" w:sz="0" w:space="0" w:color="auto"/>
            <w:bottom w:val="none" w:sz="0" w:space="0" w:color="auto"/>
            <w:right w:val="none" w:sz="0" w:space="0" w:color="auto"/>
          </w:divBdr>
        </w:div>
        <w:div w:id="1796866455">
          <w:marLeft w:val="0"/>
          <w:marRight w:val="0"/>
          <w:marTop w:val="0"/>
          <w:marBottom w:val="0"/>
          <w:divBdr>
            <w:top w:val="none" w:sz="0" w:space="0" w:color="auto"/>
            <w:left w:val="none" w:sz="0" w:space="0" w:color="auto"/>
            <w:bottom w:val="none" w:sz="0" w:space="0" w:color="auto"/>
            <w:right w:val="none" w:sz="0" w:space="0" w:color="auto"/>
          </w:divBdr>
        </w:div>
        <w:div w:id="2127649599">
          <w:marLeft w:val="0"/>
          <w:marRight w:val="0"/>
          <w:marTop w:val="0"/>
          <w:marBottom w:val="0"/>
          <w:divBdr>
            <w:top w:val="none" w:sz="0" w:space="0" w:color="auto"/>
            <w:left w:val="none" w:sz="0" w:space="0" w:color="auto"/>
            <w:bottom w:val="none" w:sz="0" w:space="0" w:color="auto"/>
            <w:right w:val="none" w:sz="0" w:space="0" w:color="auto"/>
          </w:divBdr>
        </w:div>
        <w:div w:id="435096600">
          <w:marLeft w:val="0"/>
          <w:marRight w:val="0"/>
          <w:marTop w:val="0"/>
          <w:marBottom w:val="0"/>
          <w:divBdr>
            <w:top w:val="none" w:sz="0" w:space="0" w:color="auto"/>
            <w:left w:val="none" w:sz="0" w:space="0" w:color="auto"/>
            <w:bottom w:val="none" w:sz="0" w:space="0" w:color="auto"/>
            <w:right w:val="none" w:sz="0" w:space="0" w:color="auto"/>
          </w:divBdr>
        </w:div>
        <w:div w:id="2050883679">
          <w:marLeft w:val="0"/>
          <w:marRight w:val="0"/>
          <w:marTop w:val="0"/>
          <w:marBottom w:val="0"/>
          <w:divBdr>
            <w:top w:val="none" w:sz="0" w:space="0" w:color="auto"/>
            <w:left w:val="none" w:sz="0" w:space="0" w:color="auto"/>
            <w:bottom w:val="none" w:sz="0" w:space="0" w:color="auto"/>
            <w:right w:val="none" w:sz="0" w:space="0" w:color="auto"/>
          </w:divBdr>
        </w:div>
        <w:div w:id="1338926099">
          <w:marLeft w:val="0"/>
          <w:marRight w:val="0"/>
          <w:marTop w:val="0"/>
          <w:marBottom w:val="0"/>
          <w:divBdr>
            <w:top w:val="none" w:sz="0" w:space="0" w:color="auto"/>
            <w:left w:val="none" w:sz="0" w:space="0" w:color="auto"/>
            <w:bottom w:val="none" w:sz="0" w:space="0" w:color="auto"/>
            <w:right w:val="none" w:sz="0" w:space="0" w:color="auto"/>
          </w:divBdr>
        </w:div>
        <w:div w:id="1179202403">
          <w:marLeft w:val="0"/>
          <w:marRight w:val="0"/>
          <w:marTop w:val="0"/>
          <w:marBottom w:val="0"/>
          <w:divBdr>
            <w:top w:val="none" w:sz="0" w:space="0" w:color="auto"/>
            <w:left w:val="none" w:sz="0" w:space="0" w:color="auto"/>
            <w:bottom w:val="none" w:sz="0" w:space="0" w:color="auto"/>
            <w:right w:val="none" w:sz="0" w:space="0" w:color="auto"/>
          </w:divBdr>
        </w:div>
        <w:div w:id="1860116536">
          <w:marLeft w:val="0"/>
          <w:marRight w:val="0"/>
          <w:marTop w:val="0"/>
          <w:marBottom w:val="0"/>
          <w:divBdr>
            <w:top w:val="none" w:sz="0" w:space="0" w:color="auto"/>
            <w:left w:val="none" w:sz="0" w:space="0" w:color="auto"/>
            <w:bottom w:val="none" w:sz="0" w:space="0" w:color="auto"/>
            <w:right w:val="none" w:sz="0" w:space="0" w:color="auto"/>
          </w:divBdr>
        </w:div>
        <w:div w:id="553200716">
          <w:marLeft w:val="0"/>
          <w:marRight w:val="0"/>
          <w:marTop w:val="0"/>
          <w:marBottom w:val="0"/>
          <w:divBdr>
            <w:top w:val="none" w:sz="0" w:space="0" w:color="auto"/>
            <w:left w:val="none" w:sz="0" w:space="0" w:color="auto"/>
            <w:bottom w:val="none" w:sz="0" w:space="0" w:color="auto"/>
            <w:right w:val="none" w:sz="0" w:space="0" w:color="auto"/>
          </w:divBdr>
        </w:div>
        <w:div w:id="1952010132">
          <w:marLeft w:val="0"/>
          <w:marRight w:val="0"/>
          <w:marTop w:val="0"/>
          <w:marBottom w:val="0"/>
          <w:divBdr>
            <w:top w:val="none" w:sz="0" w:space="0" w:color="auto"/>
            <w:left w:val="none" w:sz="0" w:space="0" w:color="auto"/>
            <w:bottom w:val="none" w:sz="0" w:space="0" w:color="auto"/>
            <w:right w:val="none" w:sz="0" w:space="0" w:color="auto"/>
          </w:divBdr>
        </w:div>
        <w:div w:id="2047020498">
          <w:marLeft w:val="0"/>
          <w:marRight w:val="0"/>
          <w:marTop w:val="0"/>
          <w:marBottom w:val="0"/>
          <w:divBdr>
            <w:top w:val="none" w:sz="0" w:space="0" w:color="auto"/>
            <w:left w:val="none" w:sz="0" w:space="0" w:color="auto"/>
            <w:bottom w:val="none" w:sz="0" w:space="0" w:color="auto"/>
            <w:right w:val="none" w:sz="0" w:space="0" w:color="auto"/>
          </w:divBdr>
        </w:div>
        <w:div w:id="938100828">
          <w:marLeft w:val="0"/>
          <w:marRight w:val="0"/>
          <w:marTop w:val="0"/>
          <w:marBottom w:val="0"/>
          <w:divBdr>
            <w:top w:val="none" w:sz="0" w:space="0" w:color="auto"/>
            <w:left w:val="none" w:sz="0" w:space="0" w:color="auto"/>
            <w:bottom w:val="none" w:sz="0" w:space="0" w:color="auto"/>
            <w:right w:val="none" w:sz="0" w:space="0" w:color="auto"/>
          </w:divBdr>
        </w:div>
        <w:div w:id="430705413">
          <w:marLeft w:val="0"/>
          <w:marRight w:val="0"/>
          <w:marTop w:val="0"/>
          <w:marBottom w:val="0"/>
          <w:divBdr>
            <w:top w:val="none" w:sz="0" w:space="0" w:color="auto"/>
            <w:left w:val="none" w:sz="0" w:space="0" w:color="auto"/>
            <w:bottom w:val="none" w:sz="0" w:space="0" w:color="auto"/>
            <w:right w:val="none" w:sz="0" w:space="0" w:color="auto"/>
          </w:divBdr>
        </w:div>
        <w:div w:id="1059209086">
          <w:marLeft w:val="0"/>
          <w:marRight w:val="0"/>
          <w:marTop w:val="0"/>
          <w:marBottom w:val="0"/>
          <w:divBdr>
            <w:top w:val="none" w:sz="0" w:space="0" w:color="auto"/>
            <w:left w:val="none" w:sz="0" w:space="0" w:color="auto"/>
            <w:bottom w:val="none" w:sz="0" w:space="0" w:color="auto"/>
            <w:right w:val="none" w:sz="0" w:space="0" w:color="auto"/>
          </w:divBdr>
        </w:div>
        <w:div w:id="1592274179">
          <w:marLeft w:val="0"/>
          <w:marRight w:val="0"/>
          <w:marTop w:val="0"/>
          <w:marBottom w:val="0"/>
          <w:divBdr>
            <w:top w:val="none" w:sz="0" w:space="0" w:color="auto"/>
            <w:left w:val="none" w:sz="0" w:space="0" w:color="auto"/>
            <w:bottom w:val="none" w:sz="0" w:space="0" w:color="auto"/>
            <w:right w:val="none" w:sz="0" w:space="0" w:color="auto"/>
          </w:divBdr>
        </w:div>
        <w:div w:id="1528641301">
          <w:marLeft w:val="0"/>
          <w:marRight w:val="0"/>
          <w:marTop w:val="0"/>
          <w:marBottom w:val="0"/>
          <w:divBdr>
            <w:top w:val="none" w:sz="0" w:space="0" w:color="auto"/>
            <w:left w:val="none" w:sz="0" w:space="0" w:color="auto"/>
            <w:bottom w:val="none" w:sz="0" w:space="0" w:color="auto"/>
            <w:right w:val="none" w:sz="0" w:space="0" w:color="auto"/>
          </w:divBdr>
        </w:div>
        <w:div w:id="737754143">
          <w:marLeft w:val="0"/>
          <w:marRight w:val="0"/>
          <w:marTop w:val="0"/>
          <w:marBottom w:val="0"/>
          <w:divBdr>
            <w:top w:val="none" w:sz="0" w:space="0" w:color="auto"/>
            <w:left w:val="none" w:sz="0" w:space="0" w:color="auto"/>
            <w:bottom w:val="none" w:sz="0" w:space="0" w:color="auto"/>
            <w:right w:val="none" w:sz="0" w:space="0" w:color="auto"/>
          </w:divBdr>
        </w:div>
        <w:div w:id="436871170">
          <w:marLeft w:val="0"/>
          <w:marRight w:val="0"/>
          <w:marTop w:val="0"/>
          <w:marBottom w:val="0"/>
          <w:divBdr>
            <w:top w:val="none" w:sz="0" w:space="0" w:color="auto"/>
            <w:left w:val="none" w:sz="0" w:space="0" w:color="auto"/>
            <w:bottom w:val="none" w:sz="0" w:space="0" w:color="auto"/>
            <w:right w:val="none" w:sz="0" w:space="0" w:color="auto"/>
          </w:divBdr>
        </w:div>
        <w:div w:id="192161120">
          <w:marLeft w:val="0"/>
          <w:marRight w:val="0"/>
          <w:marTop w:val="0"/>
          <w:marBottom w:val="0"/>
          <w:divBdr>
            <w:top w:val="none" w:sz="0" w:space="0" w:color="auto"/>
            <w:left w:val="none" w:sz="0" w:space="0" w:color="auto"/>
            <w:bottom w:val="none" w:sz="0" w:space="0" w:color="auto"/>
            <w:right w:val="none" w:sz="0" w:space="0" w:color="auto"/>
          </w:divBdr>
        </w:div>
        <w:div w:id="1763379330">
          <w:marLeft w:val="0"/>
          <w:marRight w:val="0"/>
          <w:marTop w:val="0"/>
          <w:marBottom w:val="0"/>
          <w:divBdr>
            <w:top w:val="none" w:sz="0" w:space="0" w:color="auto"/>
            <w:left w:val="none" w:sz="0" w:space="0" w:color="auto"/>
            <w:bottom w:val="none" w:sz="0" w:space="0" w:color="auto"/>
            <w:right w:val="none" w:sz="0" w:space="0" w:color="auto"/>
          </w:divBdr>
        </w:div>
        <w:div w:id="1872256839">
          <w:marLeft w:val="0"/>
          <w:marRight w:val="0"/>
          <w:marTop w:val="0"/>
          <w:marBottom w:val="0"/>
          <w:divBdr>
            <w:top w:val="none" w:sz="0" w:space="0" w:color="auto"/>
            <w:left w:val="none" w:sz="0" w:space="0" w:color="auto"/>
            <w:bottom w:val="none" w:sz="0" w:space="0" w:color="auto"/>
            <w:right w:val="none" w:sz="0" w:space="0" w:color="auto"/>
          </w:divBdr>
        </w:div>
        <w:div w:id="1419517446">
          <w:marLeft w:val="0"/>
          <w:marRight w:val="0"/>
          <w:marTop w:val="0"/>
          <w:marBottom w:val="0"/>
          <w:divBdr>
            <w:top w:val="none" w:sz="0" w:space="0" w:color="auto"/>
            <w:left w:val="none" w:sz="0" w:space="0" w:color="auto"/>
            <w:bottom w:val="none" w:sz="0" w:space="0" w:color="auto"/>
            <w:right w:val="none" w:sz="0" w:space="0" w:color="auto"/>
          </w:divBdr>
        </w:div>
        <w:div w:id="1775706466">
          <w:marLeft w:val="0"/>
          <w:marRight w:val="0"/>
          <w:marTop w:val="0"/>
          <w:marBottom w:val="0"/>
          <w:divBdr>
            <w:top w:val="none" w:sz="0" w:space="0" w:color="auto"/>
            <w:left w:val="none" w:sz="0" w:space="0" w:color="auto"/>
            <w:bottom w:val="none" w:sz="0" w:space="0" w:color="auto"/>
            <w:right w:val="none" w:sz="0" w:space="0" w:color="auto"/>
          </w:divBdr>
        </w:div>
        <w:div w:id="1229848750">
          <w:marLeft w:val="0"/>
          <w:marRight w:val="0"/>
          <w:marTop w:val="0"/>
          <w:marBottom w:val="0"/>
          <w:divBdr>
            <w:top w:val="none" w:sz="0" w:space="0" w:color="auto"/>
            <w:left w:val="none" w:sz="0" w:space="0" w:color="auto"/>
            <w:bottom w:val="none" w:sz="0" w:space="0" w:color="auto"/>
            <w:right w:val="none" w:sz="0" w:space="0" w:color="auto"/>
          </w:divBdr>
        </w:div>
        <w:div w:id="354042784">
          <w:marLeft w:val="0"/>
          <w:marRight w:val="0"/>
          <w:marTop w:val="0"/>
          <w:marBottom w:val="0"/>
          <w:divBdr>
            <w:top w:val="none" w:sz="0" w:space="0" w:color="auto"/>
            <w:left w:val="none" w:sz="0" w:space="0" w:color="auto"/>
            <w:bottom w:val="none" w:sz="0" w:space="0" w:color="auto"/>
            <w:right w:val="none" w:sz="0" w:space="0" w:color="auto"/>
          </w:divBdr>
        </w:div>
        <w:div w:id="1791196963">
          <w:marLeft w:val="0"/>
          <w:marRight w:val="0"/>
          <w:marTop w:val="0"/>
          <w:marBottom w:val="0"/>
          <w:divBdr>
            <w:top w:val="none" w:sz="0" w:space="0" w:color="auto"/>
            <w:left w:val="none" w:sz="0" w:space="0" w:color="auto"/>
            <w:bottom w:val="none" w:sz="0" w:space="0" w:color="auto"/>
            <w:right w:val="none" w:sz="0" w:space="0" w:color="auto"/>
          </w:divBdr>
        </w:div>
        <w:div w:id="190343323">
          <w:marLeft w:val="0"/>
          <w:marRight w:val="0"/>
          <w:marTop w:val="0"/>
          <w:marBottom w:val="0"/>
          <w:divBdr>
            <w:top w:val="none" w:sz="0" w:space="0" w:color="auto"/>
            <w:left w:val="none" w:sz="0" w:space="0" w:color="auto"/>
            <w:bottom w:val="none" w:sz="0" w:space="0" w:color="auto"/>
            <w:right w:val="none" w:sz="0" w:space="0" w:color="auto"/>
          </w:divBdr>
        </w:div>
        <w:div w:id="860977294">
          <w:marLeft w:val="0"/>
          <w:marRight w:val="0"/>
          <w:marTop w:val="0"/>
          <w:marBottom w:val="0"/>
          <w:divBdr>
            <w:top w:val="none" w:sz="0" w:space="0" w:color="auto"/>
            <w:left w:val="none" w:sz="0" w:space="0" w:color="auto"/>
            <w:bottom w:val="none" w:sz="0" w:space="0" w:color="auto"/>
            <w:right w:val="none" w:sz="0" w:space="0" w:color="auto"/>
          </w:divBdr>
        </w:div>
        <w:div w:id="148180838">
          <w:marLeft w:val="0"/>
          <w:marRight w:val="0"/>
          <w:marTop w:val="0"/>
          <w:marBottom w:val="0"/>
          <w:divBdr>
            <w:top w:val="none" w:sz="0" w:space="0" w:color="auto"/>
            <w:left w:val="none" w:sz="0" w:space="0" w:color="auto"/>
            <w:bottom w:val="none" w:sz="0" w:space="0" w:color="auto"/>
            <w:right w:val="none" w:sz="0" w:space="0" w:color="auto"/>
          </w:divBdr>
        </w:div>
        <w:div w:id="1132014300">
          <w:marLeft w:val="0"/>
          <w:marRight w:val="0"/>
          <w:marTop w:val="0"/>
          <w:marBottom w:val="0"/>
          <w:divBdr>
            <w:top w:val="none" w:sz="0" w:space="0" w:color="auto"/>
            <w:left w:val="none" w:sz="0" w:space="0" w:color="auto"/>
            <w:bottom w:val="none" w:sz="0" w:space="0" w:color="auto"/>
            <w:right w:val="none" w:sz="0" w:space="0" w:color="auto"/>
          </w:divBdr>
        </w:div>
        <w:div w:id="1143883955">
          <w:marLeft w:val="0"/>
          <w:marRight w:val="0"/>
          <w:marTop w:val="0"/>
          <w:marBottom w:val="0"/>
          <w:divBdr>
            <w:top w:val="none" w:sz="0" w:space="0" w:color="auto"/>
            <w:left w:val="none" w:sz="0" w:space="0" w:color="auto"/>
            <w:bottom w:val="none" w:sz="0" w:space="0" w:color="auto"/>
            <w:right w:val="none" w:sz="0" w:space="0" w:color="auto"/>
          </w:divBdr>
        </w:div>
        <w:div w:id="112797548">
          <w:marLeft w:val="0"/>
          <w:marRight w:val="0"/>
          <w:marTop w:val="0"/>
          <w:marBottom w:val="0"/>
          <w:divBdr>
            <w:top w:val="none" w:sz="0" w:space="0" w:color="auto"/>
            <w:left w:val="none" w:sz="0" w:space="0" w:color="auto"/>
            <w:bottom w:val="none" w:sz="0" w:space="0" w:color="auto"/>
            <w:right w:val="none" w:sz="0" w:space="0" w:color="auto"/>
          </w:divBdr>
        </w:div>
        <w:div w:id="1615940608">
          <w:marLeft w:val="0"/>
          <w:marRight w:val="0"/>
          <w:marTop w:val="0"/>
          <w:marBottom w:val="0"/>
          <w:divBdr>
            <w:top w:val="none" w:sz="0" w:space="0" w:color="auto"/>
            <w:left w:val="none" w:sz="0" w:space="0" w:color="auto"/>
            <w:bottom w:val="none" w:sz="0" w:space="0" w:color="auto"/>
            <w:right w:val="none" w:sz="0" w:space="0" w:color="auto"/>
          </w:divBdr>
        </w:div>
        <w:div w:id="976689631">
          <w:marLeft w:val="0"/>
          <w:marRight w:val="0"/>
          <w:marTop w:val="0"/>
          <w:marBottom w:val="0"/>
          <w:divBdr>
            <w:top w:val="none" w:sz="0" w:space="0" w:color="auto"/>
            <w:left w:val="none" w:sz="0" w:space="0" w:color="auto"/>
            <w:bottom w:val="none" w:sz="0" w:space="0" w:color="auto"/>
            <w:right w:val="none" w:sz="0" w:space="0" w:color="auto"/>
          </w:divBdr>
        </w:div>
        <w:div w:id="180121739">
          <w:marLeft w:val="0"/>
          <w:marRight w:val="0"/>
          <w:marTop w:val="0"/>
          <w:marBottom w:val="0"/>
          <w:divBdr>
            <w:top w:val="none" w:sz="0" w:space="0" w:color="auto"/>
            <w:left w:val="none" w:sz="0" w:space="0" w:color="auto"/>
            <w:bottom w:val="none" w:sz="0" w:space="0" w:color="auto"/>
            <w:right w:val="none" w:sz="0" w:space="0" w:color="auto"/>
          </w:divBdr>
        </w:div>
        <w:div w:id="1059862736">
          <w:marLeft w:val="0"/>
          <w:marRight w:val="0"/>
          <w:marTop w:val="0"/>
          <w:marBottom w:val="0"/>
          <w:divBdr>
            <w:top w:val="none" w:sz="0" w:space="0" w:color="auto"/>
            <w:left w:val="none" w:sz="0" w:space="0" w:color="auto"/>
            <w:bottom w:val="none" w:sz="0" w:space="0" w:color="auto"/>
            <w:right w:val="none" w:sz="0" w:space="0" w:color="auto"/>
          </w:divBdr>
        </w:div>
        <w:div w:id="523710748">
          <w:marLeft w:val="0"/>
          <w:marRight w:val="0"/>
          <w:marTop w:val="0"/>
          <w:marBottom w:val="0"/>
          <w:divBdr>
            <w:top w:val="none" w:sz="0" w:space="0" w:color="auto"/>
            <w:left w:val="none" w:sz="0" w:space="0" w:color="auto"/>
            <w:bottom w:val="none" w:sz="0" w:space="0" w:color="auto"/>
            <w:right w:val="none" w:sz="0" w:space="0" w:color="auto"/>
          </w:divBdr>
        </w:div>
        <w:div w:id="431123626">
          <w:marLeft w:val="0"/>
          <w:marRight w:val="0"/>
          <w:marTop w:val="0"/>
          <w:marBottom w:val="0"/>
          <w:divBdr>
            <w:top w:val="none" w:sz="0" w:space="0" w:color="auto"/>
            <w:left w:val="none" w:sz="0" w:space="0" w:color="auto"/>
            <w:bottom w:val="none" w:sz="0" w:space="0" w:color="auto"/>
            <w:right w:val="none" w:sz="0" w:space="0" w:color="auto"/>
          </w:divBdr>
        </w:div>
        <w:div w:id="1857453727">
          <w:marLeft w:val="0"/>
          <w:marRight w:val="0"/>
          <w:marTop w:val="0"/>
          <w:marBottom w:val="0"/>
          <w:divBdr>
            <w:top w:val="none" w:sz="0" w:space="0" w:color="auto"/>
            <w:left w:val="none" w:sz="0" w:space="0" w:color="auto"/>
            <w:bottom w:val="none" w:sz="0" w:space="0" w:color="auto"/>
            <w:right w:val="none" w:sz="0" w:space="0" w:color="auto"/>
          </w:divBdr>
        </w:div>
        <w:div w:id="1509784580">
          <w:marLeft w:val="0"/>
          <w:marRight w:val="0"/>
          <w:marTop w:val="0"/>
          <w:marBottom w:val="0"/>
          <w:divBdr>
            <w:top w:val="none" w:sz="0" w:space="0" w:color="auto"/>
            <w:left w:val="none" w:sz="0" w:space="0" w:color="auto"/>
            <w:bottom w:val="none" w:sz="0" w:space="0" w:color="auto"/>
            <w:right w:val="none" w:sz="0" w:space="0" w:color="auto"/>
          </w:divBdr>
        </w:div>
        <w:div w:id="1586381687">
          <w:marLeft w:val="0"/>
          <w:marRight w:val="0"/>
          <w:marTop w:val="0"/>
          <w:marBottom w:val="0"/>
          <w:divBdr>
            <w:top w:val="none" w:sz="0" w:space="0" w:color="auto"/>
            <w:left w:val="none" w:sz="0" w:space="0" w:color="auto"/>
            <w:bottom w:val="none" w:sz="0" w:space="0" w:color="auto"/>
            <w:right w:val="none" w:sz="0" w:space="0" w:color="auto"/>
          </w:divBdr>
        </w:div>
        <w:div w:id="1202132780">
          <w:marLeft w:val="0"/>
          <w:marRight w:val="0"/>
          <w:marTop w:val="0"/>
          <w:marBottom w:val="0"/>
          <w:divBdr>
            <w:top w:val="none" w:sz="0" w:space="0" w:color="auto"/>
            <w:left w:val="none" w:sz="0" w:space="0" w:color="auto"/>
            <w:bottom w:val="none" w:sz="0" w:space="0" w:color="auto"/>
            <w:right w:val="none" w:sz="0" w:space="0" w:color="auto"/>
          </w:divBdr>
        </w:div>
        <w:div w:id="1969969365">
          <w:marLeft w:val="0"/>
          <w:marRight w:val="0"/>
          <w:marTop w:val="0"/>
          <w:marBottom w:val="0"/>
          <w:divBdr>
            <w:top w:val="none" w:sz="0" w:space="0" w:color="auto"/>
            <w:left w:val="none" w:sz="0" w:space="0" w:color="auto"/>
            <w:bottom w:val="none" w:sz="0" w:space="0" w:color="auto"/>
            <w:right w:val="none" w:sz="0" w:space="0" w:color="auto"/>
          </w:divBdr>
        </w:div>
        <w:div w:id="2040546992">
          <w:marLeft w:val="0"/>
          <w:marRight w:val="0"/>
          <w:marTop w:val="0"/>
          <w:marBottom w:val="0"/>
          <w:divBdr>
            <w:top w:val="none" w:sz="0" w:space="0" w:color="auto"/>
            <w:left w:val="none" w:sz="0" w:space="0" w:color="auto"/>
            <w:bottom w:val="none" w:sz="0" w:space="0" w:color="auto"/>
            <w:right w:val="none" w:sz="0" w:space="0" w:color="auto"/>
          </w:divBdr>
        </w:div>
        <w:div w:id="1674258221">
          <w:marLeft w:val="0"/>
          <w:marRight w:val="0"/>
          <w:marTop w:val="0"/>
          <w:marBottom w:val="0"/>
          <w:divBdr>
            <w:top w:val="none" w:sz="0" w:space="0" w:color="auto"/>
            <w:left w:val="none" w:sz="0" w:space="0" w:color="auto"/>
            <w:bottom w:val="none" w:sz="0" w:space="0" w:color="auto"/>
            <w:right w:val="none" w:sz="0" w:space="0" w:color="auto"/>
          </w:divBdr>
        </w:div>
        <w:div w:id="2108576653">
          <w:marLeft w:val="0"/>
          <w:marRight w:val="0"/>
          <w:marTop w:val="0"/>
          <w:marBottom w:val="0"/>
          <w:divBdr>
            <w:top w:val="none" w:sz="0" w:space="0" w:color="auto"/>
            <w:left w:val="none" w:sz="0" w:space="0" w:color="auto"/>
            <w:bottom w:val="none" w:sz="0" w:space="0" w:color="auto"/>
            <w:right w:val="none" w:sz="0" w:space="0" w:color="auto"/>
          </w:divBdr>
        </w:div>
        <w:div w:id="1576865716">
          <w:marLeft w:val="0"/>
          <w:marRight w:val="0"/>
          <w:marTop w:val="0"/>
          <w:marBottom w:val="0"/>
          <w:divBdr>
            <w:top w:val="none" w:sz="0" w:space="0" w:color="auto"/>
            <w:left w:val="none" w:sz="0" w:space="0" w:color="auto"/>
            <w:bottom w:val="none" w:sz="0" w:space="0" w:color="auto"/>
            <w:right w:val="none" w:sz="0" w:space="0" w:color="auto"/>
          </w:divBdr>
        </w:div>
        <w:div w:id="77680806">
          <w:marLeft w:val="0"/>
          <w:marRight w:val="0"/>
          <w:marTop w:val="0"/>
          <w:marBottom w:val="0"/>
          <w:divBdr>
            <w:top w:val="none" w:sz="0" w:space="0" w:color="auto"/>
            <w:left w:val="none" w:sz="0" w:space="0" w:color="auto"/>
            <w:bottom w:val="none" w:sz="0" w:space="0" w:color="auto"/>
            <w:right w:val="none" w:sz="0" w:space="0" w:color="auto"/>
          </w:divBdr>
        </w:div>
        <w:div w:id="570115550">
          <w:marLeft w:val="0"/>
          <w:marRight w:val="0"/>
          <w:marTop w:val="0"/>
          <w:marBottom w:val="0"/>
          <w:divBdr>
            <w:top w:val="none" w:sz="0" w:space="0" w:color="auto"/>
            <w:left w:val="none" w:sz="0" w:space="0" w:color="auto"/>
            <w:bottom w:val="none" w:sz="0" w:space="0" w:color="auto"/>
            <w:right w:val="none" w:sz="0" w:space="0" w:color="auto"/>
          </w:divBdr>
        </w:div>
        <w:div w:id="476353">
          <w:marLeft w:val="0"/>
          <w:marRight w:val="0"/>
          <w:marTop w:val="0"/>
          <w:marBottom w:val="0"/>
          <w:divBdr>
            <w:top w:val="none" w:sz="0" w:space="0" w:color="auto"/>
            <w:left w:val="none" w:sz="0" w:space="0" w:color="auto"/>
            <w:bottom w:val="none" w:sz="0" w:space="0" w:color="auto"/>
            <w:right w:val="none" w:sz="0" w:space="0" w:color="auto"/>
          </w:divBdr>
        </w:div>
        <w:div w:id="828643591">
          <w:marLeft w:val="0"/>
          <w:marRight w:val="0"/>
          <w:marTop w:val="0"/>
          <w:marBottom w:val="0"/>
          <w:divBdr>
            <w:top w:val="none" w:sz="0" w:space="0" w:color="auto"/>
            <w:left w:val="none" w:sz="0" w:space="0" w:color="auto"/>
            <w:bottom w:val="none" w:sz="0" w:space="0" w:color="auto"/>
            <w:right w:val="none" w:sz="0" w:space="0" w:color="auto"/>
          </w:divBdr>
        </w:div>
        <w:div w:id="847793122">
          <w:marLeft w:val="0"/>
          <w:marRight w:val="0"/>
          <w:marTop w:val="0"/>
          <w:marBottom w:val="0"/>
          <w:divBdr>
            <w:top w:val="none" w:sz="0" w:space="0" w:color="auto"/>
            <w:left w:val="none" w:sz="0" w:space="0" w:color="auto"/>
            <w:bottom w:val="none" w:sz="0" w:space="0" w:color="auto"/>
            <w:right w:val="none" w:sz="0" w:space="0" w:color="auto"/>
          </w:divBdr>
        </w:div>
        <w:div w:id="1001859335">
          <w:marLeft w:val="0"/>
          <w:marRight w:val="0"/>
          <w:marTop w:val="0"/>
          <w:marBottom w:val="0"/>
          <w:divBdr>
            <w:top w:val="none" w:sz="0" w:space="0" w:color="auto"/>
            <w:left w:val="none" w:sz="0" w:space="0" w:color="auto"/>
            <w:bottom w:val="none" w:sz="0" w:space="0" w:color="auto"/>
            <w:right w:val="none" w:sz="0" w:space="0" w:color="auto"/>
          </w:divBdr>
        </w:div>
        <w:div w:id="200486292">
          <w:marLeft w:val="0"/>
          <w:marRight w:val="0"/>
          <w:marTop w:val="0"/>
          <w:marBottom w:val="0"/>
          <w:divBdr>
            <w:top w:val="none" w:sz="0" w:space="0" w:color="auto"/>
            <w:left w:val="none" w:sz="0" w:space="0" w:color="auto"/>
            <w:bottom w:val="none" w:sz="0" w:space="0" w:color="auto"/>
            <w:right w:val="none" w:sz="0" w:space="0" w:color="auto"/>
          </w:divBdr>
        </w:div>
        <w:div w:id="597063825">
          <w:marLeft w:val="0"/>
          <w:marRight w:val="0"/>
          <w:marTop w:val="0"/>
          <w:marBottom w:val="0"/>
          <w:divBdr>
            <w:top w:val="none" w:sz="0" w:space="0" w:color="auto"/>
            <w:left w:val="none" w:sz="0" w:space="0" w:color="auto"/>
            <w:bottom w:val="none" w:sz="0" w:space="0" w:color="auto"/>
            <w:right w:val="none" w:sz="0" w:space="0" w:color="auto"/>
          </w:divBdr>
        </w:div>
        <w:div w:id="1844933042">
          <w:marLeft w:val="0"/>
          <w:marRight w:val="0"/>
          <w:marTop w:val="0"/>
          <w:marBottom w:val="0"/>
          <w:divBdr>
            <w:top w:val="none" w:sz="0" w:space="0" w:color="auto"/>
            <w:left w:val="none" w:sz="0" w:space="0" w:color="auto"/>
            <w:bottom w:val="none" w:sz="0" w:space="0" w:color="auto"/>
            <w:right w:val="none" w:sz="0" w:space="0" w:color="auto"/>
          </w:divBdr>
        </w:div>
        <w:div w:id="1885750394">
          <w:marLeft w:val="0"/>
          <w:marRight w:val="0"/>
          <w:marTop w:val="0"/>
          <w:marBottom w:val="0"/>
          <w:divBdr>
            <w:top w:val="none" w:sz="0" w:space="0" w:color="auto"/>
            <w:left w:val="none" w:sz="0" w:space="0" w:color="auto"/>
            <w:bottom w:val="none" w:sz="0" w:space="0" w:color="auto"/>
            <w:right w:val="none" w:sz="0" w:space="0" w:color="auto"/>
          </w:divBdr>
        </w:div>
        <w:div w:id="590354892">
          <w:marLeft w:val="0"/>
          <w:marRight w:val="0"/>
          <w:marTop w:val="0"/>
          <w:marBottom w:val="0"/>
          <w:divBdr>
            <w:top w:val="none" w:sz="0" w:space="0" w:color="auto"/>
            <w:left w:val="none" w:sz="0" w:space="0" w:color="auto"/>
            <w:bottom w:val="none" w:sz="0" w:space="0" w:color="auto"/>
            <w:right w:val="none" w:sz="0" w:space="0" w:color="auto"/>
          </w:divBdr>
        </w:div>
        <w:div w:id="771051759">
          <w:marLeft w:val="0"/>
          <w:marRight w:val="0"/>
          <w:marTop w:val="0"/>
          <w:marBottom w:val="0"/>
          <w:divBdr>
            <w:top w:val="none" w:sz="0" w:space="0" w:color="auto"/>
            <w:left w:val="none" w:sz="0" w:space="0" w:color="auto"/>
            <w:bottom w:val="none" w:sz="0" w:space="0" w:color="auto"/>
            <w:right w:val="none" w:sz="0" w:space="0" w:color="auto"/>
          </w:divBdr>
        </w:div>
        <w:div w:id="256712011">
          <w:marLeft w:val="0"/>
          <w:marRight w:val="0"/>
          <w:marTop w:val="0"/>
          <w:marBottom w:val="0"/>
          <w:divBdr>
            <w:top w:val="none" w:sz="0" w:space="0" w:color="auto"/>
            <w:left w:val="none" w:sz="0" w:space="0" w:color="auto"/>
            <w:bottom w:val="none" w:sz="0" w:space="0" w:color="auto"/>
            <w:right w:val="none" w:sz="0" w:space="0" w:color="auto"/>
          </w:divBdr>
        </w:div>
        <w:div w:id="1311252176">
          <w:marLeft w:val="0"/>
          <w:marRight w:val="0"/>
          <w:marTop w:val="0"/>
          <w:marBottom w:val="0"/>
          <w:divBdr>
            <w:top w:val="none" w:sz="0" w:space="0" w:color="auto"/>
            <w:left w:val="none" w:sz="0" w:space="0" w:color="auto"/>
            <w:bottom w:val="none" w:sz="0" w:space="0" w:color="auto"/>
            <w:right w:val="none" w:sz="0" w:space="0" w:color="auto"/>
          </w:divBdr>
        </w:div>
        <w:div w:id="822434041">
          <w:marLeft w:val="0"/>
          <w:marRight w:val="0"/>
          <w:marTop w:val="0"/>
          <w:marBottom w:val="0"/>
          <w:divBdr>
            <w:top w:val="none" w:sz="0" w:space="0" w:color="auto"/>
            <w:left w:val="none" w:sz="0" w:space="0" w:color="auto"/>
            <w:bottom w:val="none" w:sz="0" w:space="0" w:color="auto"/>
            <w:right w:val="none" w:sz="0" w:space="0" w:color="auto"/>
          </w:divBdr>
        </w:div>
        <w:div w:id="1978804649">
          <w:marLeft w:val="0"/>
          <w:marRight w:val="0"/>
          <w:marTop w:val="0"/>
          <w:marBottom w:val="0"/>
          <w:divBdr>
            <w:top w:val="none" w:sz="0" w:space="0" w:color="auto"/>
            <w:left w:val="none" w:sz="0" w:space="0" w:color="auto"/>
            <w:bottom w:val="none" w:sz="0" w:space="0" w:color="auto"/>
            <w:right w:val="none" w:sz="0" w:space="0" w:color="auto"/>
          </w:divBdr>
        </w:div>
        <w:div w:id="9813020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3FBBD10976C1F4383F7482143032B9D" ma:contentTypeVersion="13" ma:contentTypeDescription="Create a new document." ma:contentTypeScope="" ma:versionID="3f935ae6d8d6ce9fa5ea7e99d931fa0b">
  <xsd:schema xmlns:xsd="http://www.w3.org/2001/XMLSchema" xmlns:xs="http://www.w3.org/2001/XMLSchema" xmlns:p="http://schemas.microsoft.com/office/2006/metadata/properties" xmlns:ns3="aeb8ad3c-5260-49a5-8171-eea2c778125b" xmlns:ns4="a5f0d19f-5080-4bc5-b8e9-a98947cbfca1" targetNamespace="http://schemas.microsoft.com/office/2006/metadata/properties" ma:root="true" ma:fieldsID="6248ca900e804d19a1f3376e0650f941" ns3:_="" ns4:_="">
    <xsd:import namespace="aeb8ad3c-5260-49a5-8171-eea2c778125b"/>
    <xsd:import namespace="a5f0d19f-5080-4bc5-b8e9-a98947cbfca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b8ad3c-5260-49a5-8171-eea2c77812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f0d19f-5080-4bc5-b8e9-a98947cbfca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7DEEC85-3A50-4C51-ABBD-BA7A9E191481}">
  <ds:schemaRefs>
    <ds:schemaRef ds:uri="http://schemas.microsoft.com/office/2006/metadata/properties"/>
    <ds:schemaRef ds:uri="a5f0d19f-5080-4bc5-b8e9-a98947cbfca1"/>
    <ds:schemaRef ds:uri="http://purl.org/dc/terms/"/>
    <ds:schemaRef ds:uri="http://schemas.openxmlformats.org/package/2006/metadata/core-properties"/>
    <ds:schemaRef ds:uri="http://schemas.microsoft.com/office/2006/documentManagement/types"/>
    <ds:schemaRef ds:uri="http://purl.org/dc/dcmitype/"/>
    <ds:schemaRef ds:uri="aeb8ad3c-5260-49a5-8171-eea2c778125b"/>
    <ds:schemaRef ds:uri="http://purl.org/dc/elements/1.1/"/>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2EEEDD61-26E6-473A-887B-9A2288AA97F3}">
  <ds:schemaRefs>
    <ds:schemaRef ds:uri="http://schemas.openxmlformats.org/officeDocument/2006/bibliography"/>
  </ds:schemaRefs>
</ds:datastoreItem>
</file>

<file path=customXml/itemProps3.xml><?xml version="1.0" encoding="utf-8"?>
<ds:datastoreItem xmlns:ds="http://schemas.openxmlformats.org/officeDocument/2006/customXml" ds:itemID="{A0A7914B-3582-4B1D-B73D-BE44CB406D75}">
  <ds:schemaRefs>
    <ds:schemaRef ds:uri="http://schemas.microsoft.com/sharepoint/v3/contenttype/forms"/>
  </ds:schemaRefs>
</ds:datastoreItem>
</file>

<file path=customXml/itemProps4.xml><?xml version="1.0" encoding="utf-8"?>
<ds:datastoreItem xmlns:ds="http://schemas.openxmlformats.org/officeDocument/2006/customXml" ds:itemID="{987003EF-D5A1-4912-B39A-522EEC0FFF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b8ad3c-5260-49a5-8171-eea2c778125b"/>
    <ds:schemaRef ds:uri="a5f0d19f-5080-4bc5-b8e9-a98947cbfc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6565</Words>
  <Characters>37427</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Threapleton</dc:creator>
  <cp:keywords/>
  <dc:description/>
  <cp:lastModifiedBy>Emma Baker</cp:lastModifiedBy>
  <cp:revision>2</cp:revision>
  <dcterms:created xsi:type="dcterms:W3CDTF">2021-10-13T15:14:00Z</dcterms:created>
  <dcterms:modified xsi:type="dcterms:W3CDTF">2021-10-13T15:14:00Z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34497114-210c-36e4-bbb9-d7e0845abf06</vt:lpwstr>
  </property>
  <property fmtid="{D5CDD505-2E9C-101B-9397-08002B2CF9AE}" pid="24" name="Mendeley Citation Style_1">
    <vt:lpwstr>http://www.zotero.org/styles/american-medical-association</vt:lpwstr>
  </property>
  <property fmtid="{D5CDD505-2E9C-101B-9397-08002B2CF9AE}" pid="25" name="ContentTypeId">
    <vt:lpwstr>0x010100C3FBBD10976C1F4383F7482143032B9D</vt:lpwstr>
  </property>
</Properties>
</file>