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B2" w:rsidRDefault="00984BB2" w:rsidP="00984BB2">
      <w:pP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</w:pPr>
      <w:bookmarkStart w:id="0" w:name="_GoBack"/>
      <w:bookmarkEnd w:id="0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Authors: Julian Pearce</w:t>
      </w:r>
      <w:r w:rsidRPr="001745DC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vertAlign w:val="superscript"/>
        </w:rPr>
        <w:t>1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vertAlign w:val="superscript"/>
        </w:rPr>
        <w:t>, 2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, Peter Mortimer</w:t>
      </w:r>
      <w:r w:rsidRPr="00F044D2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vertAlign w:val="superscript"/>
        </w:rPr>
        <w:t>1,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vertAlign w:val="superscript"/>
        </w:rPr>
        <w:t xml:space="preserve"> 2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,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vertAlign w:val="superscript"/>
        </w:rPr>
        <w:t xml:space="preserve"> 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vertAlign w:val="superscript"/>
        </w:rPr>
        <w:softHyphen/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vertAlign w:val="superscript"/>
        </w:rPr>
        <w:softHyphen/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Sahar Mansour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vertAlign w:val="superscript"/>
        </w:rPr>
        <w:t>2, 3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, Kristiana Gordon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vertAlign w:val="superscript"/>
        </w:rPr>
        <w:t>1, 2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, Derek Macallan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vertAlign w:val="superscript"/>
        </w:rPr>
        <w:t>4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vertAlign w:val="superscript"/>
        </w:rPr>
        <w:br/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br/>
        <w:t xml:space="preserve">1. </w:t>
      </w:r>
      <w:r>
        <w:rPr>
          <w:rFonts w:ascii="Arial" w:hAnsi="Arial" w:cs="Arial"/>
          <w:b/>
          <w:bCs/>
          <w:sz w:val="22"/>
          <w:szCs w:val="22"/>
        </w:rPr>
        <w:t xml:space="preserve">Lymphoedema &amp; Dermatology Department, St George’s University Hospitals NHS Foundation Trust,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Blackshaw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Road, Tooting, London. SW17 0QT. UK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br/>
        <w:t xml:space="preserve">2. </w:t>
      </w:r>
      <w:r>
        <w:rPr>
          <w:rFonts w:ascii="Arial" w:hAnsi="Arial" w:cs="Arial"/>
          <w:b/>
          <w:bCs/>
          <w:sz w:val="22"/>
          <w:szCs w:val="22"/>
        </w:rPr>
        <w:t>Molecular and Clinical Sciences Research Institute, St George’s, University of London. SW17 0RE. UK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 xml:space="preserve">3. South West Thames Regional Genetics Service, St George’s University Hospitals NHS Foundation Trust, </w:t>
      </w: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Blackshaw</w:t>
      </w:r>
      <w:proofErr w:type="spellEnd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 xml:space="preserve"> Road, Tooting, London. SW17 0RE. UK. </w:t>
      </w:r>
    </w:p>
    <w:p w:rsidR="00984BB2" w:rsidRDefault="00984BB2" w:rsidP="00984BB2">
      <w:pP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 xml:space="preserve">4. Institute for Infection and Immunity, </w:t>
      </w:r>
      <w:r>
        <w:rPr>
          <w:rFonts w:ascii="Arial" w:hAnsi="Arial" w:cs="Arial"/>
          <w:b/>
          <w:bCs/>
          <w:sz w:val="22"/>
          <w:szCs w:val="22"/>
        </w:rPr>
        <w:t xml:space="preserve">St George’s, University of London. SW17 0RE. UK 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984BB2" w:rsidRPr="00142C0B" w:rsidRDefault="00984BB2" w:rsidP="00984BB2">
      <w:pPr>
        <w:rPr>
          <w:rFonts w:ascii="Arial" w:eastAsia="Times New Roman" w:hAnsi="Arial" w:cs="Arial"/>
          <w:b/>
          <w:sz w:val="22"/>
          <w:szCs w:val="22"/>
        </w:rPr>
      </w:pPr>
      <w:r w:rsidRPr="00142C0B">
        <w:rPr>
          <w:rFonts w:ascii="Arial" w:eastAsia="Times New Roman" w:hAnsi="Arial" w:cs="Arial"/>
          <w:b/>
          <w:color w:val="201F1E"/>
          <w:sz w:val="22"/>
          <w:szCs w:val="22"/>
          <w:lang w:eastAsia="en-GB"/>
        </w:rPr>
        <w:t>Immune dysfunction in primary lymphoedema</w:t>
      </w:r>
    </w:p>
    <w:p w:rsidR="00984BB2" w:rsidRDefault="00984BB2" w:rsidP="00984BB2"/>
    <w:p w:rsidR="00984BB2" w:rsidRDefault="00984BB2" w:rsidP="00984B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D3583B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Introduction</w:t>
      </w:r>
      <w:r w:rsidRPr="00D3583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: </w:t>
      </w:r>
      <w:r w:rsidRPr="00C35526">
        <w:rPr>
          <w:rFonts w:ascii="Arial" w:hAnsi="Arial" w:cs="Arial"/>
          <w:sz w:val="22"/>
          <w:szCs w:val="22"/>
          <w:bdr w:val="none" w:sz="0" w:space="0" w:color="auto" w:frame="1"/>
        </w:rPr>
        <w:t xml:space="preserve">Primary lymphoedema syndromes have a major impact upon quality of life and management is challenging. They frequently have a genetic basis, either hereditary or post-zygotic,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in which </w:t>
      </w:r>
      <w:r w:rsidRPr="00C35526">
        <w:rPr>
          <w:rFonts w:ascii="Arial" w:hAnsi="Arial" w:cs="Arial"/>
          <w:sz w:val="22"/>
          <w:szCs w:val="22"/>
          <w:bdr w:val="none" w:sz="0" w:space="0" w:color="auto" w:frame="1"/>
        </w:rPr>
        <w:t xml:space="preserve">case mutations are limited to the affected tissues. Systemic involvement may present with pleural </w:t>
      </w:r>
      <w:r w:rsidRPr="00D3583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and pericardial effusions an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d intestinal lymphangiectasia. </w:t>
      </w:r>
      <w:r w:rsidRPr="00D3583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One of the main functions of the lymphatic system is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to enable immune cell trafficking and lymphoedema can therefore have a direct impact on immune homeostasis.</w:t>
      </w:r>
      <w:r w:rsidRPr="00C3552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D3583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Our aim is to understand how immune cell behaviour is affected by disruption to lymph pathways, and how different lymphoedema phenotypes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influence patient immunology</w:t>
      </w:r>
      <w:r w:rsidRPr="00D3583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</w:t>
      </w:r>
    </w:p>
    <w:p w:rsidR="00984BB2" w:rsidRPr="00697FC3" w:rsidRDefault="00984BB2" w:rsidP="00984B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697FC3">
        <w:rPr>
          <w:rFonts w:ascii="Arial" w:hAnsi="Arial" w:cs="Arial"/>
          <w:sz w:val="22"/>
          <w:szCs w:val="22"/>
          <w:bdr w:val="none" w:sz="0" w:space="0" w:color="auto" w:frame="1"/>
        </w:rPr>
        <w:br/>
      </w:r>
      <w:r w:rsidRPr="00697FC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Methods</w:t>
      </w:r>
      <w:r w:rsidRPr="00697FC3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: Blood samples were obtained from </w:t>
      </w:r>
      <w:r w:rsidR="00220B79">
        <w:rPr>
          <w:rFonts w:ascii="Arial" w:hAnsi="Arial" w:cs="Arial"/>
          <w:bCs/>
          <w:sz w:val="22"/>
          <w:szCs w:val="22"/>
          <w:bdr w:val="none" w:sz="0" w:space="0" w:color="auto" w:frame="1"/>
        </w:rPr>
        <w:t>146</w:t>
      </w:r>
      <w:r w:rsidRPr="00697FC3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patients diagnosed with a primary lymphoedema syndrome, who attended outpatient appointments within our centre. Two major phenotypic categories were compared, based upon whether systemic involvement was a recognised feature of a lymphoedema syndrome (‘systemic’) or not (‘simplex’). Samples were analysed for total lymphocyte counts, lymphocyte subsets (including CD4 and CD8 absolute counts) and immunoglobulin levels.</w:t>
      </w:r>
    </w:p>
    <w:p w:rsidR="00984BB2" w:rsidRPr="00697FC3" w:rsidRDefault="00984BB2" w:rsidP="00984B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:rsidR="00984BB2" w:rsidRPr="00697FC3" w:rsidRDefault="00984BB2" w:rsidP="00984B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697FC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Results</w:t>
      </w:r>
      <w:r w:rsidRPr="00697FC3">
        <w:rPr>
          <w:rFonts w:ascii="Arial" w:hAnsi="Arial" w:cs="Arial"/>
          <w:sz w:val="22"/>
          <w:szCs w:val="22"/>
          <w:bdr w:val="none" w:sz="0" w:space="0" w:color="auto" w:frame="1"/>
        </w:rPr>
        <w:t>: Patients within the ‘systemic’ category were found to have a significantly lower total lymphocyte count (mean 1.</w:t>
      </w:r>
      <w:r w:rsidR="00220B79">
        <w:rPr>
          <w:rFonts w:ascii="Arial" w:hAnsi="Arial" w:cs="Arial"/>
          <w:sz w:val="22"/>
          <w:szCs w:val="22"/>
          <w:bdr w:val="none" w:sz="0" w:space="0" w:color="auto" w:frame="1"/>
        </w:rPr>
        <w:t>30</w:t>
      </w:r>
      <w:r w:rsidRPr="00697FC3">
        <w:rPr>
          <w:rFonts w:ascii="Arial" w:hAnsi="Arial" w:cs="Arial"/>
          <w:sz w:val="22"/>
          <w:szCs w:val="22"/>
          <w:bdr w:val="none" w:sz="0" w:space="0" w:color="auto" w:frame="1"/>
        </w:rPr>
        <w:t xml:space="preserve"> vs.</w:t>
      </w:r>
      <w:r w:rsidR="00220B79">
        <w:rPr>
          <w:rFonts w:ascii="Arial" w:hAnsi="Arial" w:cs="Arial"/>
          <w:sz w:val="22"/>
          <w:szCs w:val="22"/>
          <w:bdr w:val="none" w:sz="0" w:space="0" w:color="auto" w:frame="1"/>
        </w:rPr>
        <w:t xml:space="preserve"> 2.17</w:t>
      </w:r>
      <w:r w:rsidRPr="00697FC3">
        <w:rPr>
          <w:rFonts w:ascii="Arial" w:hAnsi="Arial" w:cs="Arial"/>
          <w:sz w:val="22"/>
          <w:szCs w:val="22"/>
          <w:bdr w:val="none" w:sz="0" w:space="0" w:color="auto" w:frame="1"/>
        </w:rPr>
        <w:t xml:space="preserve"> x10</w:t>
      </w:r>
      <w:r w:rsidRPr="00697FC3">
        <w:rPr>
          <w:rFonts w:ascii="Arial" w:hAnsi="Arial" w:cs="Arial"/>
          <w:sz w:val="22"/>
          <w:szCs w:val="22"/>
          <w:bdr w:val="none" w:sz="0" w:space="0" w:color="auto" w:frame="1"/>
          <w:vertAlign w:val="superscript"/>
        </w:rPr>
        <w:t>9</w:t>
      </w:r>
      <w:r w:rsidRPr="00697FC3">
        <w:rPr>
          <w:rFonts w:ascii="Arial" w:hAnsi="Arial" w:cs="Arial"/>
          <w:sz w:val="22"/>
          <w:szCs w:val="22"/>
          <w:bdr w:val="none" w:sz="0" w:space="0" w:color="auto" w:frame="1"/>
        </w:rPr>
        <w:t xml:space="preserve">/L, p&lt;0.001), CD4 absolute count (mean </w:t>
      </w:r>
      <w:r w:rsidR="008319C0" w:rsidRPr="00697FC3">
        <w:rPr>
          <w:rFonts w:ascii="Arial" w:hAnsi="Arial" w:cs="Arial"/>
          <w:sz w:val="22"/>
          <w:szCs w:val="22"/>
          <w:bdr w:val="none" w:sz="0" w:space="0" w:color="auto" w:frame="1"/>
        </w:rPr>
        <w:t>0.5</w:t>
      </w:r>
      <w:r w:rsidR="00220B79">
        <w:rPr>
          <w:rFonts w:ascii="Arial" w:hAnsi="Arial" w:cs="Arial"/>
          <w:sz w:val="22"/>
          <w:szCs w:val="22"/>
          <w:bdr w:val="none" w:sz="0" w:space="0" w:color="auto" w:frame="1"/>
        </w:rPr>
        <w:t>7 vs. 0.95</w:t>
      </w:r>
      <w:r w:rsidRPr="00697FC3">
        <w:rPr>
          <w:rFonts w:ascii="Arial" w:hAnsi="Arial" w:cs="Arial"/>
          <w:sz w:val="22"/>
          <w:szCs w:val="22"/>
          <w:bdr w:val="none" w:sz="0" w:space="0" w:color="auto" w:frame="1"/>
        </w:rPr>
        <w:t xml:space="preserve"> x10</w:t>
      </w:r>
      <w:r w:rsidRPr="00697FC3">
        <w:rPr>
          <w:rFonts w:ascii="Arial" w:hAnsi="Arial" w:cs="Arial"/>
          <w:sz w:val="22"/>
          <w:szCs w:val="22"/>
          <w:bdr w:val="none" w:sz="0" w:space="0" w:color="auto" w:frame="1"/>
          <w:vertAlign w:val="superscript"/>
        </w:rPr>
        <w:t>9</w:t>
      </w:r>
      <w:r w:rsidRPr="00697FC3">
        <w:rPr>
          <w:rFonts w:ascii="Arial" w:hAnsi="Arial" w:cs="Arial"/>
          <w:sz w:val="22"/>
          <w:szCs w:val="22"/>
          <w:bdr w:val="none" w:sz="0" w:space="0" w:color="auto" w:frame="1"/>
        </w:rPr>
        <w:t>/L, p&lt;0.001),</w:t>
      </w:r>
      <w:r w:rsidR="00354C8A" w:rsidRPr="00697FC3">
        <w:rPr>
          <w:rFonts w:ascii="Arial" w:hAnsi="Arial" w:cs="Arial"/>
          <w:sz w:val="22"/>
          <w:szCs w:val="22"/>
          <w:bdr w:val="none" w:sz="0" w:space="0" w:color="auto" w:frame="1"/>
        </w:rPr>
        <w:t xml:space="preserve"> CD8 absolute count (</w:t>
      </w:r>
      <w:r w:rsidR="00214268" w:rsidRPr="00697FC3">
        <w:rPr>
          <w:rFonts w:ascii="Arial" w:hAnsi="Arial" w:cs="Arial"/>
          <w:sz w:val="22"/>
          <w:szCs w:val="22"/>
          <w:bdr w:val="none" w:sz="0" w:space="0" w:color="auto" w:frame="1"/>
        </w:rPr>
        <w:t xml:space="preserve">mean </w:t>
      </w:r>
      <w:r w:rsidR="00C23EFD">
        <w:rPr>
          <w:rFonts w:ascii="Arial" w:hAnsi="Arial" w:cs="Arial"/>
          <w:sz w:val="22"/>
          <w:szCs w:val="22"/>
          <w:bdr w:val="none" w:sz="0" w:space="0" w:color="auto" w:frame="1"/>
        </w:rPr>
        <w:t>0.65 vs. 0.82</w:t>
      </w:r>
      <w:r w:rsidR="00AD2C28" w:rsidRPr="00697FC3">
        <w:rPr>
          <w:rFonts w:ascii="Arial" w:hAnsi="Arial" w:cs="Arial"/>
          <w:sz w:val="22"/>
          <w:szCs w:val="22"/>
          <w:bdr w:val="none" w:sz="0" w:space="0" w:color="auto" w:frame="1"/>
        </w:rPr>
        <w:t xml:space="preserve"> x10</w:t>
      </w:r>
      <w:r w:rsidR="00AD2C28" w:rsidRPr="00697FC3">
        <w:rPr>
          <w:rFonts w:ascii="Arial" w:hAnsi="Arial" w:cs="Arial"/>
          <w:sz w:val="22"/>
          <w:szCs w:val="22"/>
          <w:bdr w:val="none" w:sz="0" w:space="0" w:color="auto" w:frame="1"/>
          <w:vertAlign w:val="superscript"/>
        </w:rPr>
        <w:t>9</w:t>
      </w:r>
      <w:r w:rsidR="00220B79">
        <w:rPr>
          <w:rFonts w:ascii="Arial" w:hAnsi="Arial" w:cs="Arial"/>
          <w:sz w:val="22"/>
          <w:szCs w:val="22"/>
          <w:bdr w:val="none" w:sz="0" w:space="0" w:color="auto" w:frame="1"/>
        </w:rPr>
        <w:t>/L, p=</w:t>
      </w:r>
      <w:r w:rsidR="00AD2C28" w:rsidRPr="00697FC3">
        <w:rPr>
          <w:rFonts w:ascii="Arial" w:hAnsi="Arial" w:cs="Arial"/>
          <w:sz w:val="22"/>
          <w:szCs w:val="22"/>
          <w:bdr w:val="none" w:sz="0" w:space="0" w:color="auto" w:frame="1"/>
        </w:rPr>
        <w:t>0.001</w:t>
      </w:r>
      <w:r w:rsidR="000532DA" w:rsidRPr="00697FC3">
        <w:rPr>
          <w:rFonts w:ascii="Arial" w:hAnsi="Arial" w:cs="Arial"/>
          <w:sz w:val="22"/>
          <w:szCs w:val="22"/>
          <w:bdr w:val="none" w:sz="0" w:space="0" w:color="auto" w:frame="1"/>
        </w:rPr>
        <w:t>)</w:t>
      </w:r>
      <w:r w:rsidRPr="00697FC3">
        <w:rPr>
          <w:rFonts w:ascii="Arial" w:hAnsi="Arial" w:cs="Arial"/>
          <w:sz w:val="22"/>
          <w:szCs w:val="22"/>
          <w:bdr w:val="none" w:sz="0" w:space="0" w:color="auto" w:frame="1"/>
        </w:rPr>
        <w:t xml:space="preserve"> IgG level (mean </w:t>
      </w:r>
      <w:r w:rsidR="00220B79">
        <w:rPr>
          <w:rFonts w:ascii="Arial" w:hAnsi="Arial" w:cs="Arial"/>
          <w:sz w:val="22"/>
          <w:szCs w:val="22"/>
          <w:bdr w:val="none" w:sz="0" w:space="0" w:color="auto" w:frame="1"/>
        </w:rPr>
        <w:t>8.67 vs. 11</w:t>
      </w:r>
      <w:r w:rsidRPr="00697FC3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220B79">
        <w:rPr>
          <w:rFonts w:ascii="Arial" w:hAnsi="Arial" w:cs="Arial"/>
          <w:sz w:val="22"/>
          <w:szCs w:val="22"/>
          <w:bdr w:val="none" w:sz="0" w:space="0" w:color="auto" w:frame="1"/>
        </w:rPr>
        <w:t>0</w:t>
      </w:r>
      <w:r w:rsidRPr="00697FC3">
        <w:rPr>
          <w:rFonts w:ascii="Arial" w:hAnsi="Arial" w:cs="Arial"/>
          <w:sz w:val="22"/>
          <w:szCs w:val="22"/>
          <w:bdr w:val="none" w:sz="0" w:space="0" w:color="auto" w:frame="1"/>
        </w:rPr>
        <w:t xml:space="preserve">8 g/L, </w:t>
      </w:r>
      <w:r w:rsidR="008319C0" w:rsidRPr="00697FC3">
        <w:rPr>
          <w:rFonts w:ascii="Arial" w:hAnsi="Arial" w:cs="Arial"/>
          <w:sz w:val="22"/>
          <w:szCs w:val="22"/>
          <w:bdr w:val="none" w:sz="0" w:space="0" w:color="auto" w:frame="1"/>
        </w:rPr>
        <w:t>p&lt;0.0</w:t>
      </w:r>
      <w:r w:rsidR="0025061F" w:rsidRPr="00697FC3">
        <w:rPr>
          <w:rFonts w:ascii="Arial" w:hAnsi="Arial" w:cs="Arial"/>
          <w:sz w:val="22"/>
          <w:szCs w:val="22"/>
          <w:bdr w:val="none" w:sz="0" w:space="0" w:color="auto" w:frame="1"/>
        </w:rPr>
        <w:t>0</w:t>
      </w:r>
      <w:r w:rsidRPr="00697FC3">
        <w:rPr>
          <w:rFonts w:ascii="Arial" w:hAnsi="Arial" w:cs="Arial"/>
          <w:sz w:val="22"/>
          <w:szCs w:val="22"/>
          <w:bdr w:val="none" w:sz="0" w:space="0" w:color="auto" w:frame="1"/>
        </w:rPr>
        <w:t>1)</w:t>
      </w:r>
      <w:r w:rsidR="00220B79">
        <w:rPr>
          <w:rFonts w:ascii="Arial" w:hAnsi="Arial" w:cs="Arial"/>
          <w:sz w:val="22"/>
          <w:szCs w:val="22"/>
          <w:bdr w:val="none" w:sz="0" w:space="0" w:color="auto" w:frame="1"/>
        </w:rPr>
        <w:t>, IgM level (mean 0.91 vs. 1.15</w:t>
      </w:r>
      <w:r w:rsidR="0025061F" w:rsidRPr="00697FC3">
        <w:rPr>
          <w:rFonts w:ascii="Arial" w:hAnsi="Arial" w:cs="Arial"/>
          <w:sz w:val="22"/>
          <w:szCs w:val="22"/>
          <w:bdr w:val="none" w:sz="0" w:space="0" w:color="auto" w:frame="1"/>
        </w:rPr>
        <w:t xml:space="preserve"> g/L, p</w:t>
      </w:r>
      <w:r w:rsidR="00220B79">
        <w:rPr>
          <w:rFonts w:ascii="Arial" w:hAnsi="Arial" w:cs="Arial"/>
          <w:sz w:val="22"/>
          <w:szCs w:val="22"/>
          <w:bdr w:val="none" w:sz="0" w:space="0" w:color="auto" w:frame="1"/>
        </w:rPr>
        <w:t>=0.009) a</w:t>
      </w:r>
      <w:r w:rsidR="00C23EFD">
        <w:rPr>
          <w:rFonts w:ascii="Arial" w:hAnsi="Arial" w:cs="Arial"/>
          <w:sz w:val="22"/>
          <w:szCs w:val="22"/>
          <w:bdr w:val="none" w:sz="0" w:space="0" w:color="auto" w:frame="1"/>
        </w:rPr>
        <w:t>nd IgA level (mean 1.25 vs. 1.68</w:t>
      </w:r>
      <w:r w:rsidR="00220B79">
        <w:rPr>
          <w:rFonts w:ascii="Arial" w:hAnsi="Arial" w:cs="Arial"/>
          <w:sz w:val="22"/>
          <w:szCs w:val="22"/>
          <w:bdr w:val="none" w:sz="0" w:space="0" w:color="auto" w:frame="1"/>
        </w:rPr>
        <w:t xml:space="preserve"> g/L, p=0.008</w:t>
      </w:r>
      <w:r w:rsidR="0025061F" w:rsidRPr="00697FC3">
        <w:rPr>
          <w:rFonts w:ascii="Arial" w:hAnsi="Arial" w:cs="Arial"/>
          <w:sz w:val="22"/>
          <w:szCs w:val="22"/>
          <w:bdr w:val="none" w:sz="0" w:space="0" w:color="auto" w:frame="1"/>
        </w:rPr>
        <w:t>)</w:t>
      </w:r>
      <w:r w:rsidR="008319C0" w:rsidRPr="00697FC3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697FC3">
        <w:rPr>
          <w:rFonts w:ascii="Arial" w:hAnsi="Arial" w:cs="Arial"/>
          <w:sz w:val="22"/>
          <w:szCs w:val="22"/>
          <w:bdr w:val="none" w:sz="0" w:space="0" w:color="auto" w:frame="1"/>
        </w:rPr>
        <w:t>compared to patients within the ‘simplex’ category. The presence of genital lymphoedema, irrespective of other phenotypic features, was also found to predict a significantly lower mean CD4 absolute count (p&lt;0.00</w:t>
      </w:r>
      <w:r w:rsidR="00354C8A" w:rsidRPr="00697FC3">
        <w:rPr>
          <w:rFonts w:ascii="Arial" w:hAnsi="Arial" w:cs="Arial"/>
          <w:sz w:val="22"/>
          <w:szCs w:val="22"/>
          <w:bdr w:val="none" w:sz="0" w:space="0" w:color="auto" w:frame="1"/>
        </w:rPr>
        <w:t>1</w:t>
      </w:r>
      <w:r w:rsidRPr="00697FC3">
        <w:rPr>
          <w:rFonts w:ascii="Arial" w:hAnsi="Arial" w:cs="Arial"/>
          <w:sz w:val="22"/>
          <w:szCs w:val="22"/>
          <w:bdr w:val="none" w:sz="0" w:space="0" w:color="auto" w:frame="1"/>
        </w:rPr>
        <w:t xml:space="preserve">). </w:t>
      </w:r>
    </w:p>
    <w:p w:rsidR="00180C17" w:rsidRDefault="00180C17" w:rsidP="00984BB2">
      <w:pP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984BB2" w:rsidRDefault="00984BB2" w:rsidP="00984BB2">
      <w:pP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D3583B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Conclusion</w:t>
      </w:r>
      <w:r w:rsidRPr="00D3583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: </w:t>
      </w:r>
      <w:r>
        <w:rPr>
          <w:rFonts w:ascii="Arial" w:eastAsia="Times New Roman" w:hAnsi="Arial" w:cs="Arial"/>
          <w:color w:val="333333"/>
          <w:sz w:val="22"/>
          <w:szCs w:val="22"/>
          <w:lang w:eastAsia="en-GB"/>
        </w:rPr>
        <w:t>This study demonstrates that i</w:t>
      </w:r>
      <w:r w:rsidRPr="00E02084">
        <w:rPr>
          <w:rFonts w:ascii="Arial" w:eastAsia="Times New Roman" w:hAnsi="Arial" w:cs="Arial"/>
          <w:color w:val="333333"/>
          <w:sz w:val="22"/>
          <w:szCs w:val="22"/>
          <w:lang w:eastAsia="en-GB"/>
        </w:rPr>
        <w:t>mpaired lymph drainage</w:t>
      </w:r>
      <w:r>
        <w:rPr>
          <w:rFonts w:ascii="Arial" w:eastAsia="Times New Roman" w:hAnsi="Arial" w:cs="Arial"/>
          <w:color w:val="333333"/>
          <w:sz w:val="22"/>
          <w:szCs w:val="22"/>
          <w:lang w:eastAsia="en-GB"/>
        </w:rPr>
        <w:t xml:space="preserve"> in forms of primary lymphoedema</w:t>
      </w:r>
      <w:r w:rsidRPr="00E02084">
        <w:rPr>
          <w:rFonts w:ascii="Arial" w:eastAsia="Times New Roman" w:hAnsi="Arial" w:cs="Arial"/>
          <w:color w:val="333333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2"/>
          <w:szCs w:val="22"/>
          <w:lang w:eastAsia="en-GB"/>
        </w:rPr>
        <w:t xml:space="preserve">syndromes </w:t>
      </w:r>
      <w:r w:rsidRPr="00E02084">
        <w:rPr>
          <w:rFonts w:ascii="Arial" w:eastAsia="Times New Roman" w:hAnsi="Arial" w:cs="Arial"/>
          <w:color w:val="333333"/>
          <w:sz w:val="22"/>
          <w:szCs w:val="22"/>
          <w:lang w:eastAsia="en-GB"/>
        </w:rPr>
        <w:t xml:space="preserve">can have a significant impact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in the numbers and propor</w:t>
      </w:r>
      <w:r w:rsidR="00412615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tion of circulating lymphocytes</w:t>
      </w:r>
      <w:r w:rsidR="0026106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,</w:t>
      </w:r>
      <w:r w:rsidR="00F83345" w:rsidRPr="00F83345">
        <w:rPr>
          <w:rFonts w:ascii="Arial" w:eastAsia="Times New Roman" w:hAnsi="Arial" w:cs="Arial"/>
          <w:color w:val="333333"/>
          <w:sz w:val="22"/>
          <w:szCs w:val="22"/>
          <w:lang w:eastAsia="en-GB"/>
        </w:rPr>
        <w:t xml:space="preserve"> </w:t>
      </w:r>
      <w:r w:rsidR="00F83345" w:rsidRPr="00E02084">
        <w:rPr>
          <w:rFonts w:ascii="Arial" w:eastAsia="Times New Roman" w:hAnsi="Arial" w:cs="Arial"/>
          <w:color w:val="333333"/>
          <w:sz w:val="22"/>
          <w:szCs w:val="22"/>
          <w:lang w:eastAsia="en-GB"/>
        </w:rPr>
        <w:t>with particular targeting of CD4</w:t>
      </w:r>
      <w:r w:rsidRPr="00E02084">
        <w:rPr>
          <w:rFonts w:ascii="Arial" w:eastAsia="Times New Roman" w:hAnsi="Arial" w:cs="Arial"/>
          <w:color w:val="333333"/>
          <w:sz w:val="22"/>
          <w:szCs w:val="22"/>
          <w:lang w:eastAsia="en-GB"/>
        </w:rPr>
        <w:t>. Degrees of immunodeficiency may develop for reasons of impaired, and perhaps undetected, lymphatic failure</w:t>
      </w:r>
      <w:r>
        <w:rPr>
          <w:rFonts w:ascii="Arial" w:eastAsia="Times New Roman" w:hAnsi="Arial" w:cs="Arial"/>
          <w:color w:val="333333"/>
          <w:sz w:val="22"/>
          <w:szCs w:val="22"/>
          <w:lang w:eastAsia="en-GB"/>
        </w:rPr>
        <w:t xml:space="preserve">. </w:t>
      </w:r>
      <w:r w:rsidRPr="00D3583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In some patients, CD4 levels 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were</w:t>
      </w:r>
      <w:r w:rsidRPr="00D3583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below 200 cells/mm</w:t>
      </w:r>
      <w:r w:rsidRPr="00D3583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vertAlign w:val="superscript"/>
        </w:rPr>
        <w:t>3</w:t>
      </w:r>
      <w:r w:rsidRPr="00D3583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 which in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other</w:t>
      </w:r>
      <w:r w:rsidRPr="00D3583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context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s, such as</w:t>
      </w:r>
      <w:r w:rsidRPr="00D3583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HIV infection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Pr="00D3583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would 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be associated with systemic </w:t>
      </w:r>
      <w:r w:rsidRPr="00D3583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opportunistic infections.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D3583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Patients with lymphoedema do not seem to contract more opportunistic infections despite this relative immunodeficiency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D3583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but can suffer with recurrent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 often refractory</w:t>
      </w:r>
      <w:r w:rsidRPr="00D3583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cellulitis and 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recalcitrant </w:t>
      </w:r>
      <w:r w:rsidRPr="00D3583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viral warts.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Further elucidation of the mechanisms and implications of these marked immunological abnormalities may contribute to reducing the burden of disease in affected patients. </w:t>
      </w:r>
    </w:p>
    <w:p w:rsidR="009F4C64" w:rsidRDefault="00984BB2" w:rsidP="0091643D">
      <w:pPr>
        <w:pStyle w:val="NormalWeb"/>
        <w:shd w:val="clear" w:color="auto" w:fill="FFFFFF"/>
        <w:spacing w:before="0" w:beforeAutospacing="0" w:after="0" w:afterAutospacing="0"/>
      </w:pPr>
      <w:r w:rsidRPr="002F023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Reference</w:t>
      </w:r>
      <w:r w:rsidRPr="00D3583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: </w:t>
      </w:r>
      <w:r w:rsidRPr="002F023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br/>
        <w:t xml:space="preserve">1. </w:t>
      </w:r>
      <w:r w:rsidRPr="002F023B">
        <w:rPr>
          <w:rFonts w:ascii="Arial" w:hAnsi="Arial" w:cs="Arial"/>
          <w:color w:val="333333"/>
          <w:sz w:val="22"/>
          <w:szCs w:val="22"/>
        </w:rPr>
        <w:t>Gordon K, Varney R, Keeley V</w:t>
      </w:r>
      <w:r w:rsidRPr="002F023B">
        <w:rPr>
          <w:rFonts w:ascii="Arial" w:hAnsi="Arial" w:cs="Arial"/>
          <w:i/>
          <w:iCs/>
          <w:color w:val="333333"/>
          <w:sz w:val="22"/>
          <w:szCs w:val="22"/>
        </w:rPr>
        <w:t xml:space="preserve">, et al. </w:t>
      </w:r>
      <w:r w:rsidRPr="00E77845">
        <w:rPr>
          <w:rFonts w:ascii="Arial" w:hAnsi="Arial" w:cs="Arial"/>
          <w:color w:val="333333"/>
          <w:sz w:val="22"/>
          <w:szCs w:val="22"/>
        </w:rPr>
        <w:t>Update and audit of the St George’s classification algorithm of primary lymphatic anomalies: a clinical and molecular approach to diagnosis</w:t>
      </w:r>
      <w:r w:rsidRPr="002F023B">
        <w:rPr>
          <w:rFonts w:ascii="Arial" w:hAnsi="Arial" w:cs="Arial"/>
          <w:color w:val="333333"/>
          <w:sz w:val="22"/>
          <w:szCs w:val="22"/>
        </w:rPr>
        <w:t xml:space="preserve">. </w:t>
      </w:r>
      <w:r w:rsidRPr="002F023B">
        <w:rPr>
          <w:rFonts w:ascii="Arial" w:hAnsi="Arial" w:cs="Arial"/>
          <w:i/>
          <w:iCs/>
          <w:color w:val="333333"/>
          <w:sz w:val="22"/>
          <w:szCs w:val="22"/>
        </w:rPr>
        <w:t>Journal of Medical Genetics </w:t>
      </w:r>
      <w:proofErr w:type="gramStart"/>
      <w:r w:rsidRPr="002F023B">
        <w:rPr>
          <w:rFonts w:ascii="Arial" w:hAnsi="Arial" w:cs="Arial"/>
          <w:color w:val="333333"/>
          <w:sz w:val="22"/>
          <w:szCs w:val="22"/>
        </w:rPr>
        <w:t>2020;</w:t>
      </w:r>
      <w:r w:rsidRPr="002F023B">
        <w:rPr>
          <w:rFonts w:ascii="Arial" w:hAnsi="Arial" w:cs="Arial"/>
          <w:b/>
          <w:bCs/>
          <w:color w:val="333333"/>
          <w:sz w:val="22"/>
          <w:szCs w:val="22"/>
        </w:rPr>
        <w:t>57:</w:t>
      </w:r>
      <w:r w:rsidRPr="002F023B">
        <w:rPr>
          <w:rFonts w:ascii="Arial" w:hAnsi="Arial" w:cs="Arial"/>
          <w:color w:val="333333"/>
          <w:sz w:val="22"/>
          <w:szCs w:val="22"/>
        </w:rPr>
        <w:t>653</w:t>
      </w:r>
      <w:proofErr w:type="gramEnd"/>
      <w:r w:rsidRPr="002F023B">
        <w:rPr>
          <w:rFonts w:ascii="Arial" w:hAnsi="Arial" w:cs="Arial"/>
          <w:color w:val="333333"/>
          <w:sz w:val="22"/>
          <w:szCs w:val="22"/>
        </w:rPr>
        <w:t>-659.</w:t>
      </w:r>
    </w:p>
    <w:sectPr w:rsidR="009F4C64" w:rsidSect="004C074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B2"/>
    <w:rsid w:val="00005130"/>
    <w:rsid w:val="000532DA"/>
    <w:rsid w:val="000973BB"/>
    <w:rsid w:val="000D5860"/>
    <w:rsid w:val="0017708A"/>
    <w:rsid w:val="00180C17"/>
    <w:rsid w:val="00214268"/>
    <w:rsid w:val="00220B79"/>
    <w:rsid w:val="0025061F"/>
    <w:rsid w:val="00261069"/>
    <w:rsid w:val="00354C8A"/>
    <w:rsid w:val="00412615"/>
    <w:rsid w:val="00424297"/>
    <w:rsid w:val="005226A4"/>
    <w:rsid w:val="00692A60"/>
    <w:rsid w:val="00697FC3"/>
    <w:rsid w:val="00743A64"/>
    <w:rsid w:val="008319C0"/>
    <w:rsid w:val="008D3C6D"/>
    <w:rsid w:val="008D511D"/>
    <w:rsid w:val="0091643D"/>
    <w:rsid w:val="00984BB2"/>
    <w:rsid w:val="00990B17"/>
    <w:rsid w:val="009F4C64"/>
    <w:rsid w:val="00AD2C28"/>
    <w:rsid w:val="00C23EFD"/>
    <w:rsid w:val="00E32AF7"/>
    <w:rsid w:val="00EC4E77"/>
    <w:rsid w:val="00F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5402B-34AF-4DC6-928C-124DF316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BB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B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Pearce</dc:creator>
  <cp:keywords/>
  <dc:description/>
  <cp:lastModifiedBy>Julian Pearce</cp:lastModifiedBy>
  <cp:revision>2</cp:revision>
  <dcterms:created xsi:type="dcterms:W3CDTF">2021-02-05T19:12:00Z</dcterms:created>
  <dcterms:modified xsi:type="dcterms:W3CDTF">2021-02-05T19:12:00Z</dcterms:modified>
</cp:coreProperties>
</file>