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53409" w14:textId="2BFCDC7D" w:rsidR="00D15BA5" w:rsidRDefault="00D15BA5" w:rsidP="00D15BA5">
      <w:pPr>
        <w:spacing w:line="480" w:lineRule="auto"/>
        <w:rPr>
          <w:rFonts w:ascii="Arial" w:hAnsi="Arial" w:cs="Arial"/>
          <w:b/>
          <w:lang w:val="en-US"/>
        </w:rPr>
      </w:pPr>
      <w:r w:rsidRPr="00797387">
        <w:rPr>
          <w:rFonts w:ascii="Arial" w:hAnsi="Arial" w:cs="Arial"/>
          <w:b/>
        </w:rPr>
        <w:t xml:space="preserve">Table </w:t>
      </w:r>
      <w:r w:rsidR="000872E4">
        <w:rPr>
          <w:rFonts w:ascii="Arial" w:hAnsi="Arial" w:cs="Arial"/>
          <w:b/>
        </w:rPr>
        <w:t>S</w:t>
      </w:r>
      <w:r w:rsidRPr="00797387">
        <w:rPr>
          <w:rFonts w:ascii="Arial" w:hAnsi="Arial" w:cs="Arial"/>
          <w:b/>
        </w:rPr>
        <w:t xml:space="preserve">3. </w:t>
      </w:r>
      <w:r w:rsidR="00DB43B0">
        <w:rPr>
          <w:rFonts w:ascii="Arial" w:hAnsi="Arial" w:cs="Arial"/>
          <w:b/>
        </w:rPr>
        <w:t xml:space="preserve">Medical Treatment </w:t>
      </w:r>
      <w:r w:rsidRPr="00797387">
        <w:rPr>
          <w:rFonts w:ascii="Arial" w:hAnsi="Arial" w:cs="Arial"/>
          <w:b/>
          <w:lang w:val="en-US"/>
        </w:rPr>
        <w:t xml:space="preserve">of </w:t>
      </w:r>
      <w:r w:rsidR="00EE2C5A">
        <w:rPr>
          <w:rFonts w:ascii="Arial" w:hAnsi="Arial" w:cs="Arial"/>
          <w:b/>
          <w:lang w:val="en-US"/>
        </w:rPr>
        <w:t>Chronic Pelvic Pain</w:t>
      </w:r>
      <w:r w:rsidRPr="00797387">
        <w:rPr>
          <w:rFonts w:ascii="Arial" w:hAnsi="Arial" w:cs="Arial"/>
          <w:b/>
          <w:lang w:val="en-US"/>
        </w:rPr>
        <w:t xml:space="preserve"> with levels of evidence (</w:t>
      </w:r>
      <w:proofErr w:type="spellStart"/>
      <w:r w:rsidRPr="00797387">
        <w:rPr>
          <w:rFonts w:ascii="Arial" w:hAnsi="Arial" w:cs="Arial"/>
          <w:b/>
          <w:lang w:val="en-US"/>
        </w:rPr>
        <w:t>LoE</w:t>
      </w:r>
      <w:proofErr w:type="spellEnd"/>
      <w:r w:rsidRPr="00797387">
        <w:rPr>
          <w:rFonts w:ascii="Arial" w:hAnsi="Arial" w:cs="Arial"/>
          <w:b/>
          <w:lang w:val="en-US"/>
        </w:rPr>
        <w:t>) and grades of recommendation (</w:t>
      </w:r>
      <w:proofErr w:type="spellStart"/>
      <w:r w:rsidRPr="00797387">
        <w:rPr>
          <w:rFonts w:ascii="Arial" w:hAnsi="Arial" w:cs="Arial"/>
          <w:b/>
          <w:lang w:val="en-US"/>
        </w:rPr>
        <w:t>GoR</w:t>
      </w:r>
      <w:proofErr w:type="spellEnd"/>
      <w:r w:rsidRPr="00797387">
        <w:rPr>
          <w:rFonts w:ascii="Arial" w:hAnsi="Arial" w:cs="Arial"/>
          <w:b/>
          <w:lang w:val="en-US"/>
        </w:rPr>
        <w:t>)</w:t>
      </w:r>
    </w:p>
    <w:tbl>
      <w:tblPr>
        <w:tblStyle w:val="TableGrid"/>
        <w:tblW w:w="4562" w:type="pct"/>
        <w:tblLook w:val="04A0" w:firstRow="1" w:lastRow="0" w:firstColumn="1" w:lastColumn="0" w:noHBand="0" w:noVBand="1"/>
      </w:tblPr>
      <w:tblGrid>
        <w:gridCol w:w="5319"/>
        <w:gridCol w:w="1223"/>
        <w:gridCol w:w="1225"/>
        <w:gridCol w:w="1227"/>
        <w:gridCol w:w="1224"/>
        <w:gridCol w:w="1227"/>
        <w:gridCol w:w="1283"/>
      </w:tblGrid>
      <w:tr w:rsidR="004C646F" w:rsidRPr="0002762F" w14:paraId="16CB0442" w14:textId="28C9CBA2" w:rsidTr="004C646F">
        <w:tc>
          <w:tcPr>
            <w:tcW w:w="2089" w:type="pct"/>
          </w:tcPr>
          <w:p w14:paraId="6A3D5AD1" w14:textId="77777777" w:rsidR="004C646F" w:rsidRPr="0002762F" w:rsidRDefault="004C646F" w:rsidP="00371BF5">
            <w:pPr>
              <w:rPr>
                <w:rFonts w:ascii="Arial" w:hAnsi="Arial" w:cs="Arial"/>
                <w:b/>
                <w:bCs/>
                <w:sz w:val="20"/>
                <w:szCs w:val="20"/>
              </w:rPr>
            </w:pPr>
            <w:r w:rsidRPr="0002762F">
              <w:rPr>
                <w:rFonts w:ascii="Arial" w:hAnsi="Arial" w:cs="Arial"/>
                <w:b/>
                <w:bCs/>
                <w:sz w:val="20"/>
                <w:szCs w:val="20"/>
              </w:rPr>
              <w:t>Guidelines</w:t>
            </w:r>
          </w:p>
        </w:tc>
        <w:tc>
          <w:tcPr>
            <w:tcW w:w="480" w:type="pct"/>
          </w:tcPr>
          <w:p w14:paraId="07084C09" w14:textId="4C3A8F91" w:rsidR="004C646F" w:rsidRPr="0002762F" w:rsidRDefault="004C646F" w:rsidP="00371BF5">
            <w:pPr>
              <w:rPr>
                <w:rFonts w:ascii="Arial" w:hAnsi="Arial" w:cs="Arial"/>
                <w:b/>
                <w:bCs/>
                <w:sz w:val="20"/>
                <w:szCs w:val="20"/>
              </w:rPr>
            </w:pPr>
            <w:r>
              <w:rPr>
                <w:rFonts w:ascii="Arial" w:hAnsi="Arial" w:cs="Arial"/>
                <w:b/>
                <w:bCs/>
                <w:sz w:val="20"/>
                <w:szCs w:val="20"/>
              </w:rPr>
              <w:t xml:space="preserve">ACOG </w:t>
            </w:r>
            <w:r w:rsidRPr="00F32AC6">
              <w:rPr>
                <w:rFonts w:ascii="Arial" w:hAnsi="Arial" w:cs="Arial"/>
                <w:b/>
                <w:bCs/>
                <w:sz w:val="20"/>
                <w:szCs w:val="20"/>
                <w:vertAlign w:val="superscript"/>
              </w:rPr>
              <w:t>(</w:t>
            </w:r>
            <w:proofErr w:type="spellStart"/>
            <w:r w:rsidRPr="00F32AC6">
              <w:rPr>
                <w:rFonts w:ascii="Arial" w:hAnsi="Arial" w:cs="Arial"/>
                <w:b/>
                <w:bCs/>
                <w:sz w:val="20"/>
                <w:szCs w:val="20"/>
                <w:vertAlign w:val="superscript"/>
              </w:rPr>
              <w:t>i</w:t>
            </w:r>
            <w:proofErr w:type="spellEnd"/>
            <w:r>
              <w:rPr>
                <w:rFonts w:ascii="Arial" w:hAnsi="Arial" w:cs="Arial"/>
                <w:b/>
                <w:bCs/>
                <w:sz w:val="20"/>
                <w:szCs w:val="20"/>
                <w:vertAlign w:val="superscript"/>
              </w:rPr>
              <w:t>)</w:t>
            </w:r>
          </w:p>
        </w:tc>
        <w:tc>
          <w:tcPr>
            <w:tcW w:w="481" w:type="pct"/>
          </w:tcPr>
          <w:p w14:paraId="4ED1F059" w14:textId="2C16F02A" w:rsidR="004C646F" w:rsidRPr="0002762F" w:rsidRDefault="004C646F" w:rsidP="00371BF5">
            <w:pPr>
              <w:rPr>
                <w:rFonts w:ascii="Arial" w:hAnsi="Arial" w:cs="Arial"/>
                <w:b/>
                <w:bCs/>
                <w:sz w:val="20"/>
                <w:szCs w:val="20"/>
              </w:rPr>
            </w:pPr>
            <w:r w:rsidRPr="0002762F">
              <w:rPr>
                <w:rFonts w:ascii="Arial" w:hAnsi="Arial" w:cs="Arial"/>
                <w:b/>
                <w:bCs/>
                <w:sz w:val="20"/>
                <w:szCs w:val="20"/>
              </w:rPr>
              <w:t>AS</w:t>
            </w:r>
            <w:r>
              <w:rPr>
                <w:rFonts w:ascii="Arial" w:hAnsi="Arial" w:cs="Arial"/>
                <w:b/>
                <w:bCs/>
                <w:sz w:val="20"/>
                <w:szCs w:val="20"/>
              </w:rPr>
              <w:t>R</w:t>
            </w:r>
            <w:r w:rsidRPr="0002762F">
              <w:rPr>
                <w:rFonts w:ascii="Arial" w:hAnsi="Arial" w:cs="Arial"/>
                <w:b/>
                <w:bCs/>
                <w:sz w:val="20"/>
                <w:szCs w:val="20"/>
              </w:rPr>
              <w:t>M</w:t>
            </w:r>
          </w:p>
        </w:tc>
        <w:tc>
          <w:tcPr>
            <w:tcW w:w="482" w:type="pct"/>
          </w:tcPr>
          <w:p w14:paraId="66FE59CD" w14:textId="7DA2789A" w:rsidR="004C646F" w:rsidRPr="0002762F" w:rsidRDefault="004C646F" w:rsidP="00371BF5">
            <w:pPr>
              <w:rPr>
                <w:rFonts w:ascii="Arial" w:hAnsi="Arial" w:cs="Arial"/>
                <w:b/>
                <w:bCs/>
                <w:sz w:val="20"/>
                <w:szCs w:val="20"/>
              </w:rPr>
            </w:pPr>
            <w:r w:rsidRPr="0002762F">
              <w:rPr>
                <w:rFonts w:ascii="Arial" w:hAnsi="Arial" w:cs="Arial"/>
                <w:b/>
                <w:bCs/>
                <w:sz w:val="20"/>
                <w:szCs w:val="20"/>
              </w:rPr>
              <w:t>EAU</w:t>
            </w:r>
            <w:r>
              <w:rPr>
                <w:rFonts w:ascii="Arial" w:hAnsi="Arial" w:cs="Arial"/>
                <w:b/>
                <w:bCs/>
                <w:sz w:val="20"/>
                <w:szCs w:val="20"/>
              </w:rPr>
              <w:t xml:space="preserve"> </w:t>
            </w:r>
            <w:r w:rsidRPr="00F32AC6">
              <w:rPr>
                <w:rFonts w:ascii="Arial" w:hAnsi="Arial" w:cs="Arial"/>
                <w:b/>
                <w:bCs/>
                <w:sz w:val="20"/>
                <w:szCs w:val="20"/>
                <w:vertAlign w:val="superscript"/>
              </w:rPr>
              <w:t>(i</w:t>
            </w:r>
            <w:r>
              <w:rPr>
                <w:rFonts w:ascii="Arial" w:hAnsi="Arial" w:cs="Arial"/>
                <w:b/>
                <w:bCs/>
                <w:sz w:val="20"/>
                <w:szCs w:val="20"/>
                <w:vertAlign w:val="superscript"/>
              </w:rPr>
              <w:t>i</w:t>
            </w:r>
            <w:r w:rsidRPr="00F32AC6">
              <w:rPr>
                <w:rFonts w:ascii="Arial" w:hAnsi="Arial" w:cs="Arial"/>
                <w:b/>
                <w:bCs/>
                <w:sz w:val="20"/>
                <w:szCs w:val="20"/>
                <w:vertAlign w:val="superscript"/>
              </w:rPr>
              <w:t>)</w:t>
            </w:r>
          </w:p>
        </w:tc>
        <w:tc>
          <w:tcPr>
            <w:tcW w:w="481" w:type="pct"/>
          </w:tcPr>
          <w:p w14:paraId="46C7F4A6" w14:textId="77777777" w:rsidR="004C646F" w:rsidRPr="0002762F" w:rsidRDefault="004C646F" w:rsidP="00371BF5">
            <w:pPr>
              <w:rPr>
                <w:rFonts w:ascii="Arial" w:hAnsi="Arial" w:cs="Arial"/>
                <w:b/>
                <w:bCs/>
                <w:sz w:val="20"/>
                <w:szCs w:val="20"/>
              </w:rPr>
            </w:pPr>
            <w:r w:rsidRPr="0002762F">
              <w:rPr>
                <w:rFonts w:ascii="Arial" w:hAnsi="Arial" w:cs="Arial"/>
                <w:b/>
                <w:bCs/>
                <w:sz w:val="20"/>
                <w:szCs w:val="20"/>
              </w:rPr>
              <w:t>ISPOG</w:t>
            </w:r>
          </w:p>
        </w:tc>
        <w:tc>
          <w:tcPr>
            <w:tcW w:w="482" w:type="pct"/>
          </w:tcPr>
          <w:p w14:paraId="5034DB39" w14:textId="15B588B4" w:rsidR="004C646F" w:rsidRPr="0002762F" w:rsidRDefault="004C646F" w:rsidP="00371BF5">
            <w:pPr>
              <w:rPr>
                <w:rFonts w:ascii="Arial" w:hAnsi="Arial" w:cs="Arial"/>
                <w:b/>
                <w:bCs/>
                <w:sz w:val="20"/>
                <w:szCs w:val="20"/>
              </w:rPr>
            </w:pPr>
            <w:r w:rsidRPr="0002762F">
              <w:rPr>
                <w:rFonts w:ascii="Arial" w:hAnsi="Arial" w:cs="Arial"/>
                <w:b/>
                <w:bCs/>
                <w:sz w:val="20"/>
                <w:szCs w:val="20"/>
              </w:rPr>
              <w:t>RCOG</w:t>
            </w:r>
            <w:r>
              <w:rPr>
                <w:rFonts w:ascii="Arial" w:hAnsi="Arial" w:cs="Arial"/>
                <w:b/>
                <w:bCs/>
                <w:sz w:val="20"/>
                <w:szCs w:val="20"/>
              </w:rPr>
              <w:t xml:space="preserve"> </w:t>
            </w:r>
            <w:r w:rsidRPr="00F32AC6">
              <w:rPr>
                <w:rFonts w:ascii="Arial" w:hAnsi="Arial" w:cs="Arial"/>
                <w:b/>
                <w:bCs/>
                <w:sz w:val="20"/>
                <w:szCs w:val="20"/>
                <w:vertAlign w:val="superscript"/>
              </w:rPr>
              <w:t>(i</w:t>
            </w:r>
            <w:r>
              <w:rPr>
                <w:rFonts w:ascii="Arial" w:hAnsi="Arial" w:cs="Arial"/>
                <w:b/>
                <w:bCs/>
                <w:sz w:val="20"/>
                <w:szCs w:val="20"/>
                <w:vertAlign w:val="superscript"/>
              </w:rPr>
              <w:t>ii</w:t>
            </w:r>
            <w:r w:rsidRPr="00F32AC6">
              <w:rPr>
                <w:rFonts w:ascii="Arial" w:hAnsi="Arial" w:cs="Arial"/>
                <w:b/>
                <w:bCs/>
                <w:sz w:val="20"/>
                <w:szCs w:val="20"/>
                <w:vertAlign w:val="superscript"/>
              </w:rPr>
              <w:t>)</w:t>
            </w:r>
          </w:p>
        </w:tc>
        <w:tc>
          <w:tcPr>
            <w:tcW w:w="504" w:type="pct"/>
          </w:tcPr>
          <w:p w14:paraId="6095D38D" w14:textId="704A0D12" w:rsidR="004C646F" w:rsidRPr="0002762F" w:rsidRDefault="004C646F" w:rsidP="00371BF5">
            <w:pPr>
              <w:rPr>
                <w:rFonts w:ascii="Arial" w:hAnsi="Arial" w:cs="Arial"/>
                <w:b/>
                <w:bCs/>
                <w:sz w:val="20"/>
                <w:szCs w:val="20"/>
              </w:rPr>
            </w:pPr>
            <w:r w:rsidRPr="0002762F">
              <w:rPr>
                <w:rFonts w:ascii="Arial" w:hAnsi="Arial" w:cs="Arial"/>
                <w:b/>
                <w:bCs/>
                <w:sz w:val="20"/>
                <w:szCs w:val="20"/>
              </w:rPr>
              <w:t>SOGC</w:t>
            </w:r>
            <w:r>
              <w:rPr>
                <w:rFonts w:ascii="Arial" w:hAnsi="Arial" w:cs="Arial"/>
                <w:b/>
                <w:bCs/>
                <w:sz w:val="20"/>
                <w:szCs w:val="20"/>
              </w:rPr>
              <w:t xml:space="preserve"> </w:t>
            </w:r>
            <w:r w:rsidRPr="00F32AC6">
              <w:rPr>
                <w:rFonts w:ascii="Arial" w:hAnsi="Arial" w:cs="Arial"/>
                <w:b/>
                <w:bCs/>
                <w:sz w:val="20"/>
                <w:szCs w:val="20"/>
                <w:vertAlign w:val="superscript"/>
              </w:rPr>
              <w:t>(</w:t>
            </w:r>
            <w:r>
              <w:rPr>
                <w:rFonts w:ascii="Arial" w:hAnsi="Arial" w:cs="Arial"/>
                <w:b/>
                <w:bCs/>
                <w:sz w:val="20"/>
                <w:szCs w:val="20"/>
                <w:vertAlign w:val="superscript"/>
              </w:rPr>
              <w:t>iv</w:t>
            </w:r>
            <w:r w:rsidRPr="00F32AC6">
              <w:rPr>
                <w:rFonts w:ascii="Arial" w:hAnsi="Arial" w:cs="Arial"/>
                <w:b/>
                <w:bCs/>
                <w:sz w:val="20"/>
                <w:szCs w:val="20"/>
                <w:vertAlign w:val="superscript"/>
              </w:rPr>
              <w:t>)</w:t>
            </w:r>
          </w:p>
        </w:tc>
      </w:tr>
      <w:tr w:rsidR="004C646F" w:rsidRPr="0002762F" w14:paraId="56DD3DF3" w14:textId="6EE1AFEC" w:rsidTr="004C646F">
        <w:tc>
          <w:tcPr>
            <w:tcW w:w="2089" w:type="pct"/>
          </w:tcPr>
          <w:p w14:paraId="0B5319AD" w14:textId="77777777" w:rsidR="004C646F" w:rsidRPr="0002762F" w:rsidRDefault="004C646F" w:rsidP="00371BF5">
            <w:pPr>
              <w:rPr>
                <w:rFonts w:ascii="Arial" w:hAnsi="Arial" w:cs="Arial"/>
                <w:b/>
                <w:bCs/>
                <w:sz w:val="20"/>
                <w:szCs w:val="20"/>
              </w:rPr>
            </w:pPr>
            <w:r w:rsidRPr="0002762F">
              <w:rPr>
                <w:rFonts w:ascii="Arial" w:hAnsi="Arial" w:cs="Arial"/>
                <w:b/>
                <w:bCs/>
                <w:sz w:val="20"/>
                <w:szCs w:val="20"/>
              </w:rPr>
              <w:t xml:space="preserve">Generic – Analgesia </w:t>
            </w:r>
          </w:p>
        </w:tc>
        <w:tc>
          <w:tcPr>
            <w:tcW w:w="480" w:type="pct"/>
          </w:tcPr>
          <w:p w14:paraId="5D91C5BB" w14:textId="1B8E411B" w:rsidR="004C646F" w:rsidRPr="0002762F" w:rsidRDefault="004C646F" w:rsidP="00371BF5">
            <w:pPr>
              <w:rPr>
                <w:rFonts w:ascii="Arial" w:hAnsi="Arial" w:cs="Arial"/>
                <w:sz w:val="20"/>
                <w:szCs w:val="20"/>
              </w:rPr>
            </w:pPr>
          </w:p>
        </w:tc>
        <w:tc>
          <w:tcPr>
            <w:tcW w:w="481" w:type="pct"/>
          </w:tcPr>
          <w:p w14:paraId="0E0CBA0C" w14:textId="6459A167" w:rsidR="004C646F" w:rsidRPr="0002762F" w:rsidRDefault="004C646F" w:rsidP="00371BF5">
            <w:pPr>
              <w:rPr>
                <w:rFonts w:ascii="Arial" w:hAnsi="Arial" w:cs="Arial"/>
                <w:sz w:val="20"/>
                <w:szCs w:val="20"/>
              </w:rPr>
            </w:pPr>
          </w:p>
        </w:tc>
        <w:tc>
          <w:tcPr>
            <w:tcW w:w="482" w:type="pct"/>
          </w:tcPr>
          <w:p w14:paraId="194A1AAE" w14:textId="77777777" w:rsidR="004C646F" w:rsidRPr="0002762F" w:rsidRDefault="004C646F" w:rsidP="00371BF5">
            <w:pPr>
              <w:rPr>
                <w:rFonts w:ascii="Arial" w:hAnsi="Arial" w:cs="Arial"/>
                <w:b/>
                <w:bCs/>
                <w:sz w:val="20"/>
                <w:szCs w:val="20"/>
              </w:rPr>
            </w:pPr>
          </w:p>
        </w:tc>
        <w:tc>
          <w:tcPr>
            <w:tcW w:w="481" w:type="pct"/>
          </w:tcPr>
          <w:p w14:paraId="4AEE4127" w14:textId="77777777" w:rsidR="004C646F" w:rsidRPr="0002762F" w:rsidRDefault="004C646F" w:rsidP="00371BF5">
            <w:pPr>
              <w:rPr>
                <w:rFonts w:ascii="Arial" w:hAnsi="Arial" w:cs="Arial"/>
                <w:b/>
                <w:bCs/>
                <w:sz w:val="20"/>
                <w:szCs w:val="20"/>
              </w:rPr>
            </w:pPr>
          </w:p>
        </w:tc>
        <w:tc>
          <w:tcPr>
            <w:tcW w:w="482" w:type="pct"/>
          </w:tcPr>
          <w:p w14:paraId="731DBCB4" w14:textId="77777777" w:rsidR="004C646F" w:rsidRPr="0002762F" w:rsidRDefault="004C646F" w:rsidP="00371BF5">
            <w:pPr>
              <w:rPr>
                <w:rFonts w:ascii="Arial" w:hAnsi="Arial" w:cs="Arial"/>
                <w:sz w:val="20"/>
                <w:szCs w:val="20"/>
              </w:rPr>
            </w:pPr>
          </w:p>
        </w:tc>
        <w:tc>
          <w:tcPr>
            <w:tcW w:w="504" w:type="pct"/>
          </w:tcPr>
          <w:p w14:paraId="6326D98F" w14:textId="77777777" w:rsidR="004C646F" w:rsidRPr="0002762F" w:rsidRDefault="004C646F" w:rsidP="00371BF5">
            <w:pPr>
              <w:rPr>
                <w:rFonts w:ascii="Arial" w:hAnsi="Arial" w:cs="Arial"/>
                <w:sz w:val="20"/>
                <w:szCs w:val="20"/>
              </w:rPr>
            </w:pPr>
          </w:p>
        </w:tc>
      </w:tr>
      <w:tr w:rsidR="004C646F" w:rsidRPr="0002762F" w14:paraId="072A8C2D" w14:textId="64752148" w:rsidTr="004C646F">
        <w:tc>
          <w:tcPr>
            <w:tcW w:w="2089" w:type="pct"/>
          </w:tcPr>
          <w:p w14:paraId="19F04538" w14:textId="77777777" w:rsidR="004C646F" w:rsidRDefault="004C646F" w:rsidP="00371BF5">
            <w:pPr>
              <w:rPr>
                <w:rFonts w:ascii="Arial" w:hAnsi="Arial" w:cs="Arial"/>
                <w:sz w:val="20"/>
                <w:szCs w:val="20"/>
              </w:rPr>
            </w:pPr>
            <w:r w:rsidRPr="0002762F">
              <w:rPr>
                <w:rFonts w:ascii="Arial" w:hAnsi="Arial" w:cs="Arial"/>
                <w:sz w:val="20"/>
                <w:szCs w:val="20"/>
              </w:rPr>
              <w:t>Analgesics should not be used for CPP over a prolonged period.</w:t>
            </w:r>
          </w:p>
          <w:p w14:paraId="5A4E183D" w14:textId="153E813A" w:rsidR="004C646F" w:rsidRPr="0002762F" w:rsidRDefault="004C646F" w:rsidP="00371BF5">
            <w:pPr>
              <w:rPr>
                <w:rFonts w:ascii="Arial" w:hAnsi="Arial" w:cs="Arial"/>
                <w:sz w:val="20"/>
                <w:szCs w:val="20"/>
              </w:rPr>
            </w:pPr>
          </w:p>
        </w:tc>
        <w:tc>
          <w:tcPr>
            <w:tcW w:w="480" w:type="pct"/>
          </w:tcPr>
          <w:p w14:paraId="1DF90B76" w14:textId="13F5F10A" w:rsidR="004C646F" w:rsidRPr="0002762F" w:rsidRDefault="004C646F" w:rsidP="00371BF5">
            <w:pPr>
              <w:rPr>
                <w:rFonts w:ascii="Arial" w:hAnsi="Arial" w:cs="Arial"/>
                <w:sz w:val="20"/>
                <w:szCs w:val="20"/>
              </w:rPr>
            </w:pPr>
          </w:p>
        </w:tc>
        <w:tc>
          <w:tcPr>
            <w:tcW w:w="481" w:type="pct"/>
          </w:tcPr>
          <w:p w14:paraId="0104CCC8" w14:textId="3C5B848E" w:rsidR="004C646F" w:rsidRPr="0002762F" w:rsidRDefault="004C646F" w:rsidP="00371BF5">
            <w:pPr>
              <w:rPr>
                <w:rFonts w:ascii="Arial" w:hAnsi="Arial" w:cs="Arial"/>
                <w:sz w:val="20"/>
                <w:szCs w:val="20"/>
              </w:rPr>
            </w:pPr>
          </w:p>
        </w:tc>
        <w:tc>
          <w:tcPr>
            <w:tcW w:w="482" w:type="pct"/>
          </w:tcPr>
          <w:p w14:paraId="3030D3D2" w14:textId="77777777" w:rsidR="004C646F" w:rsidRPr="0002762F" w:rsidRDefault="004C646F" w:rsidP="00371BF5">
            <w:pPr>
              <w:jc w:val="center"/>
              <w:rPr>
                <w:rFonts w:ascii="Arial" w:hAnsi="Arial" w:cs="Arial"/>
                <w:sz w:val="20"/>
                <w:szCs w:val="20"/>
              </w:rPr>
            </w:pPr>
          </w:p>
        </w:tc>
        <w:tc>
          <w:tcPr>
            <w:tcW w:w="481" w:type="pct"/>
          </w:tcPr>
          <w:p w14:paraId="5C3AFDD9" w14:textId="77777777" w:rsidR="004C646F" w:rsidRPr="0002762F" w:rsidRDefault="004C646F" w:rsidP="00371BF5">
            <w:pPr>
              <w:rPr>
                <w:rFonts w:ascii="Arial" w:hAnsi="Arial" w:cs="Arial"/>
                <w:sz w:val="20"/>
                <w:szCs w:val="20"/>
              </w:rPr>
            </w:pPr>
            <w:r w:rsidRPr="0002762F">
              <w:rPr>
                <w:rFonts w:ascii="Arial" w:hAnsi="Arial" w:cs="Arial"/>
                <w:b/>
                <w:bCs/>
                <w:sz w:val="20"/>
                <w:szCs w:val="20"/>
              </w:rPr>
              <w:t>RCT</w:t>
            </w:r>
          </w:p>
        </w:tc>
        <w:tc>
          <w:tcPr>
            <w:tcW w:w="482" w:type="pct"/>
          </w:tcPr>
          <w:p w14:paraId="73BBD014" w14:textId="77777777" w:rsidR="004C646F" w:rsidRPr="0002762F" w:rsidRDefault="004C646F" w:rsidP="00371BF5">
            <w:pPr>
              <w:rPr>
                <w:rFonts w:ascii="Arial" w:hAnsi="Arial" w:cs="Arial"/>
                <w:sz w:val="20"/>
                <w:szCs w:val="20"/>
              </w:rPr>
            </w:pPr>
          </w:p>
        </w:tc>
        <w:tc>
          <w:tcPr>
            <w:tcW w:w="504" w:type="pct"/>
          </w:tcPr>
          <w:p w14:paraId="7C8ABB4B" w14:textId="77777777" w:rsidR="004C646F" w:rsidRPr="0002762F" w:rsidRDefault="004C646F" w:rsidP="00371BF5">
            <w:pPr>
              <w:rPr>
                <w:rFonts w:ascii="Arial" w:hAnsi="Arial" w:cs="Arial"/>
                <w:sz w:val="20"/>
                <w:szCs w:val="20"/>
              </w:rPr>
            </w:pPr>
          </w:p>
        </w:tc>
      </w:tr>
      <w:tr w:rsidR="004C646F" w:rsidRPr="0002762F" w14:paraId="5DD36326" w14:textId="71401AEA" w:rsidTr="004C646F">
        <w:tc>
          <w:tcPr>
            <w:tcW w:w="2089" w:type="pct"/>
          </w:tcPr>
          <w:p w14:paraId="509B76C6" w14:textId="3E1E257F" w:rsidR="004C646F" w:rsidRPr="0002762F" w:rsidRDefault="004C646F" w:rsidP="00371BF5">
            <w:pPr>
              <w:rPr>
                <w:rFonts w:ascii="Arial" w:hAnsi="Arial" w:cs="Arial"/>
                <w:color w:val="000000"/>
                <w:sz w:val="20"/>
                <w:szCs w:val="20"/>
              </w:rPr>
            </w:pPr>
            <w:r w:rsidRPr="0002762F">
              <w:rPr>
                <w:rFonts w:ascii="Arial" w:hAnsi="Arial" w:cs="Arial"/>
                <w:color w:val="000000"/>
                <w:sz w:val="20"/>
                <w:szCs w:val="20"/>
              </w:rPr>
              <w:t>Offered appropriate analgesia to control pain even if no other therapeutic</w:t>
            </w:r>
            <w:r>
              <w:rPr>
                <w:rFonts w:ascii="Arial" w:hAnsi="Arial" w:cs="Arial"/>
                <w:color w:val="000000"/>
                <w:sz w:val="20"/>
                <w:szCs w:val="20"/>
              </w:rPr>
              <w:t xml:space="preserve"> </w:t>
            </w:r>
            <w:r w:rsidRPr="0002762F">
              <w:rPr>
                <w:rFonts w:ascii="Arial" w:hAnsi="Arial" w:cs="Arial"/>
                <w:color w:val="000000"/>
                <w:sz w:val="20"/>
                <w:szCs w:val="20"/>
              </w:rPr>
              <w:t>manoeuvres are yet to be initiated. If pain is not adequately controlled, consideration should be given to referral to a pain management team or a specialist pelvic pain clinic</w:t>
            </w:r>
          </w:p>
          <w:p w14:paraId="772869E9" w14:textId="77777777" w:rsidR="004C646F" w:rsidRPr="0002762F" w:rsidRDefault="004C646F" w:rsidP="00371BF5">
            <w:pPr>
              <w:rPr>
                <w:rFonts w:ascii="Arial" w:hAnsi="Arial" w:cs="Arial"/>
                <w:sz w:val="20"/>
                <w:szCs w:val="20"/>
              </w:rPr>
            </w:pPr>
          </w:p>
        </w:tc>
        <w:tc>
          <w:tcPr>
            <w:tcW w:w="480" w:type="pct"/>
          </w:tcPr>
          <w:p w14:paraId="15F5D500" w14:textId="1AD82C91" w:rsidR="004C646F" w:rsidRPr="0002762F" w:rsidRDefault="004C646F" w:rsidP="00371BF5">
            <w:pPr>
              <w:rPr>
                <w:rFonts w:ascii="Arial" w:hAnsi="Arial" w:cs="Arial"/>
                <w:b/>
                <w:bCs/>
                <w:sz w:val="20"/>
                <w:szCs w:val="20"/>
              </w:rPr>
            </w:pPr>
          </w:p>
        </w:tc>
        <w:tc>
          <w:tcPr>
            <w:tcW w:w="481" w:type="pct"/>
          </w:tcPr>
          <w:p w14:paraId="647403A2" w14:textId="76397978" w:rsidR="004C646F" w:rsidRPr="0002762F" w:rsidRDefault="004C646F" w:rsidP="00371BF5">
            <w:pPr>
              <w:rPr>
                <w:rFonts w:ascii="Arial" w:hAnsi="Arial" w:cs="Arial"/>
                <w:b/>
                <w:bCs/>
                <w:sz w:val="20"/>
                <w:szCs w:val="20"/>
              </w:rPr>
            </w:pPr>
          </w:p>
        </w:tc>
        <w:tc>
          <w:tcPr>
            <w:tcW w:w="482" w:type="pct"/>
          </w:tcPr>
          <w:p w14:paraId="51BC3E95" w14:textId="77777777" w:rsidR="004C646F" w:rsidRPr="0002762F" w:rsidRDefault="004C646F" w:rsidP="00371BF5">
            <w:pPr>
              <w:rPr>
                <w:rFonts w:ascii="Arial" w:hAnsi="Arial" w:cs="Arial"/>
                <w:b/>
                <w:bCs/>
                <w:sz w:val="20"/>
                <w:szCs w:val="20"/>
              </w:rPr>
            </w:pPr>
          </w:p>
        </w:tc>
        <w:tc>
          <w:tcPr>
            <w:tcW w:w="481" w:type="pct"/>
          </w:tcPr>
          <w:p w14:paraId="3DB9C713" w14:textId="77777777" w:rsidR="004C646F" w:rsidRPr="0002762F" w:rsidRDefault="004C646F" w:rsidP="00371BF5">
            <w:pPr>
              <w:rPr>
                <w:rFonts w:ascii="Arial" w:hAnsi="Arial" w:cs="Arial"/>
                <w:b/>
                <w:bCs/>
                <w:sz w:val="20"/>
                <w:szCs w:val="20"/>
              </w:rPr>
            </w:pPr>
          </w:p>
        </w:tc>
        <w:tc>
          <w:tcPr>
            <w:tcW w:w="482" w:type="pct"/>
          </w:tcPr>
          <w:p w14:paraId="45202C44" w14:textId="66444411" w:rsidR="004C646F" w:rsidRDefault="004C646F" w:rsidP="00371BF5">
            <w:pPr>
              <w:rPr>
                <w:rFonts w:ascii="Arial" w:hAnsi="Arial" w:cs="Arial"/>
                <w:b/>
                <w:bCs/>
                <w:sz w:val="20"/>
                <w:szCs w:val="20"/>
              </w:rPr>
            </w:pPr>
            <w:r>
              <w:rPr>
                <w:rFonts w:ascii="Arial" w:hAnsi="Arial" w:cs="Arial"/>
                <w:b/>
                <w:bCs/>
                <w:sz w:val="20"/>
                <w:szCs w:val="20"/>
              </w:rPr>
              <w:t xml:space="preserve">No </w:t>
            </w:r>
            <w:proofErr w:type="spellStart"/>
            <w:r>
              <w:rPr>
                <w:rFonts w:ascii="Arial" w:hAnsi="Arial" w:cs="Arial"/>
                <w:b/>
                <w:bCs/>
                <w:sz w:val="20"/>
                <w:szCs w:val="20"/>
              </w:rPr>
              <w:t>LoE</w:t>
            </w:r>
            <w:proofErr w:type="spellEnd"/>
          </w:p>
          <w:p w14:paraId="5CAC6CB6" w14:textId="1F561995" w:rsidR="004C646F" w:rsidRPr="0002762F" w:rsidRDefault="004C646F" w:rsidP="00371BF5">
            <w:pPr>
              <w:rPr>
                <w:rFonts w:ascii="Arial" w:hAnsi="Arial" w:cs="Arial"/>
                <w:b/>
                <w:bCs/>
                <w:sz w:val="20"/>
                <w:szCs w:val="20"/>
              </w:rPr>
            </w:pPr>
            <w:r w:rsidRPr="0002762F">
              <w:rPr>
                <w:rFonts w:ascii="Arial" w:hAnsi="Arial" w:cs="Arial"/>
                <w:b/>
                <w:bCs/>
                <w:sz w:val="20"/>
                <w:szCs w:val="20"/>
              </w:rPr>
              <w:t>Good practice point</w:t>
            </w:r>
          </w:p>
        </w:tc>
        <w:tc>
          <w:tcPr>
            <w:tcW w:w="504" w:type="pct"/>
          </w:tcPr>
          <w:p w14:paraId="435567C9" w14:textId="77777777" w:rsidR="004C646F" w:rsidRPr="0002762F" w:rsidRDefault="004C646F" w:rsidP="00371BF5">
            <w:pPr>
              <w:rPr>
                <w:rFonts w:ascii="Arial" w:hAnsi="Arial" w:cs="Arial"/>
                <w:b/>
                <w:bCs/>
                <w:sz w:val="20"/>
                <w:szCs w:val="20"/>
              </w:rPr>
            </w:pPr>
          </w:p>
        </w:tc>
      </w:tr>
      <w:tr w:rsidR="004C646F" w:rsidRPr="0002762F" w14:paraId="063A8ADF" w14:textId="77777777" w:rsidTr="004C646F">
        <w:tc>
          <w:tcPr>
            <w:tcW w:w="2089" w:type="pct"/>
          </w:tcPr>
          <w:p w14:paraId="63D6C7F7" w14:textId="4D71D3DA" w:rsidR="004C646F" w:rsidRDefault="004C646F" w:rsidP="00371BF5">
            <w:pPr>
              <w:rPr>
                <w:rFonts w:ascii="Arial" w:hAnsi="Arial" w:cs="Arial"/>
                <w:color w:val="000000"/>
                <w:sz w:val="20"/>
                <w:szCs w:val="20"/>
              </w:rPr>
            </w:pPr>
            <w:r>
              <w:rPr>
                <w:rFonts w:ascii="Arial" w:hAnsi="Arial" w:cs="Arial"/>
                <w:color w:val="000000"/>
                <w:sz w:val="20"/>
                <w:szCs w:val="20"/>
              </w:rPr>
              <w:t xml:space="preserve">Paracetamol for somatic pain </w:t>
            </w:r>
          </w:p>
          <w:p w14:paraId="3D34A548" w14:textId="0EEE3793" w:rsidR="004C646F" w:rsidRPr="0002762F" w:rsidRDefault="004C646F" w:rsidP="00371BF5">
            <w:pPr>
              <w:rPr>
                <w:rFonts w:ascii="Arial" w:hAnsi="Arial" w:cs="Arial"/>
                <w:color w:val="000000"/>
                <w:sz w:val="20"/>
                <w:szCs w:val="20"/>
              </w:rPr>
            </w:pPr>
          </w:p>
        </w:tc>
        <w:tc>
          <w:tcPr>
            <w:tcW w:w="480" w:type="pct"/>
          </w:tcPr>
          <w:p w14:paraId="7ADDC39B" w14:textId="16DF40A6" w:rsidR="004C646F" w:rsidRPr="0002762F" w:rsidRDefault="004C646F" w:rsidP="00371BF5">
            <w:pPr>
              <w:rPr>
                <w:rFonts w:ascii="Arial" w:hAnsi="Arial" w:cs="Arial"/>
                <w:b/>
                <w:bCs/>
                <w:sz w:val="20"/>
                <w:szCs w:val="20"/>
              </w:rPr>
            </w:pPr>
          </w:p>
        </w:tc>
        <w:tc>
          <w:tcPr>
            <w:tcW w:w="481" w:type="pct"/>
          </w:tcPr>
          <w:p w14:paraId="27B581D1" w14:textId="12F923C4" w:rsidR="004C646F" w:rsidRPr="0002762F" w:rsidRDefault="004C646F" w:rsidP="00371BF5">
            <w:pPr>
              <w:rPr>
                <w:rFonts w:ascii="Arial" w:hAnsi="Arial" w:cs="Arial"/>
                <w:b/>
                <w:bCs/>
                <w:sz w:val="20"/>
                <w:szCs w:val="20"/>
              </w:rPr>
            </w:pPr>
          </w:p>
        </w:tc>
        <w:tc>
          <w:tcPr>
            <w:tcW w:w="482" w:type="pct"/>
          </w:tcPr>
          <w:p w14:paraId="0821A525" w14:textId="7F3256BE" w:rsidR="004C646F" w:rsidRPr="0002762F" w:rsidRDefault="004C646F" w:rsidP="00820E3B">
            <w:pPr>
              <w:rPr>
                <w:rFonts w:ascii="Arial" w:hAnsi="Arial" w:cs="Arial"/>
                <w:b/>
                <w:bCs/>
                <w:sz w:val="20"/>
                <w:szCs w:val="20"/>
              </w:rPr>
            </w:pPr>
            <w:proofErr w:type="spellStart"/>
            <w:r w:rsidRPr="0002762F">
              <w:rPr>
                <w:rFonts w:ascii="Arial" w:hAnsi="Arial" w:cs="Arial"/>
                <w:b/>
                <w:bCs/>
                <w:sz w:val="20"/>
                <w:szCs w:val="20"/>
              </w:rPr>
              <w:t>L</w:t>
            </w:r>
            <w:r>
              <w:rPr>
                <w:rFonts w:ascii="Arial" w:hAnsi="Arial" w:cs="Arial"/>
                <w:b/>
                <w:bCs/>
                <w:sz w:val="20"/>
                <w:szCs w:val="20"/>
              </w:rPr>
              <w:t>o</w:t>
            </w:r>
            <w:r w:rsidRPr="0002762F">
              <w:rPr>
                <w:rFonts w:ascii="Arial" w:hAnsi="Arial" w:cs="Arial"/>
                <w:b/>
                <w:bCs/>
                <w:sz w:val="20"/>
                <w:szCs w:val="20"/>
              </w:rPr>
              <w:t>E</w:t>
            </w:r>
            <w:proofErr w:type="spellEnd"/>
            <w:r w:rsidRPr="0002762F">
              <w:rPr>
                <w:rFonts w:ascii="Arial" w:hAnsi="Arial" w:cs="Arial"/>
                <w:b/>
                <w:bCs/>
                <w:sz w:val="20"/>
                <w:szCs w:val="20"/>
              </w:rPr>
              <w:t xml:space="preserve"> 1a</w:t>
            </w:r>
            <w:r>
              <w:rPr>
                <w:rFonts w:ascii="Arial" w:hAnsi="Arial" w:cs="Arial"/>
                <w:b/>
                <w:bCs/>
                <w:sz w:val="20"/>
                <w:szCs w:val="20"/>
              </w:rPr>
              <w:t xml:space="preserve"> </w:t>
            </w:r>
          </w:p>
          <w:p w14:paraId="0DC92894" w14:textId="77777777" w:rsidR="004C646F" w:rsidRPr="0002762F" w:rsidRDefault="004C646F" w:rsidP="00820E3B">
            <w:pPr>
              <w:rPr>
                <w:rFonts w:ascii="Arial" w:hAnsi="Arial" w:cs="Arial"/>
                <w:b/>
                <w:bCs/>
                <w:sz w:val="20"/>
                <w:szCs w:val="20"/>
              </w:rPr>
            </w:pPr>
            <w:r w:rsidRPr="0002762F">
              <w:rPr>
                <w:rFonts w:ascii="Arial" w:hAnsi="Arial" w:cs="Arial"/>
                <w:b/>
                <w:bCs/>
                <w:sz w:val="20"/>
                <w:szCs w:val="20"/>
              </w:rPr>
              <w:t>GR A</w:t>
            </w:r>
          </w:p>
          <w:p w14:paraId="7941ED6A" w14:textId="77777777" w:rsidR="004C646F" w:rsidRPr="0002762F" w:rsidRDefault="004C646F" w:rsidP="00371BF5">
            <w:pPr>
              <w:rPr>
                <w:rFonts w:ascii="Arial" w:hAnsi="Arial" w:cs="Arial"/>
                <w:b/>
                <w:bCs/>
                <w:sz w:val="20"/>
                <w:szCs w:val="20"/>
              </w:rPr>
            </w:pPr>
          </w:p>
        </w:tc>
        <w:tc>
          <w:tcPr>
            <w:tcW w:w="481" w:type="pct"/>
          </w:tcPr>
          <w:p w14:paraId="713DE814" w14:textId="77777777" w:rsidR="004C646F" w:rsidRPr="0002762F" w:rsidRDefault="004C646F" w:rsidP="00371BF5">
            <w:pPr>
              <w:rPr>
                <w:rFonts w:ascii="Arial" w:hAnsi="Arial" w:cs="Arial"/>
                <w:b/>
                <w:bCs/>
                <w:sz w:val="20"/>
                <w:szCs w:val="20"/>
              </w:rPr>
            </w:pPr>
          </w:p>
        </w:tc>
        <w:tc>
          <w:tcPr>
            <w:tcW w:w="482" w:type="pct"/>
          </w:tcPr>
          <w:p w14:paraId="6EFD28BF" w14:textId="77777777" w:rsidR="004C646F" w:rsidRPr="0002762F" w:rsidRDefault="004C646F" w:rsidP="00371BF5">
            <w:pPr>
              <w:rPr>
                <w:rFonts w:ascii="Arial" w:hAnsi="Arial" w:cs="Arial"/>
                <w:b/>
                <w:bCs/>
                <w:sz w:val="20"/>
                <w:szCs w:val="20"/>
              </w:rPr>
            </w:pPr>
          </w:p>
        </w:tc>
        <w:tc>
          <w:tcPr>
            <w:tcW w:w="504" w:type="pct"/>
          </w:tcPr>
          <w:p w14:paraId="01110D5E" w14:textId="77777777" w:rsidR="004C646F" w:rsidRPr="0002762F" w:rsidRDefault="004C646F" w:rsidP="00371BF5">
            <w:pPr>
              <w:rPr>
                <w:rFonts w:ascii="Arial" w:hAnsi="Arial" w:cs="Arial"/>
                <w:b/>
                <w:bCs/>
                <w:sz w:val="20"/>
                <w:szCs w:val="20"/>
              </w:rPr>
            </w:pPr>
          </w:p>
        </w:tc>
      </w:tr>
      <w:tr w:rsidR="004C646F" w:rsidRPr="0002762F" w14:paraId="0402EBB0" w14:textId="3E7B6FB3" w:rsidTr="004C646F">
        <w:trPr>
          <w:trHeight w:val="784"/>
        </w:trPr>
        <w:tc>
          <w:tcPr>
            <w:tcW w:w="2089" w:type="pct"/>
          </w:tcPr>
          <w:p w14:paraId="4ADE56BE" w14:textId="6F85B599" w:rsidR="004C646F" w:rsidRPr="0002762F" w:rsidRDefault="004C646F" w:rsidP="00371BF5">
            <w:pPr>
              <w:rPr>
                <w:rFonts w:ascii="Arial" w:hAnsi="Arial" w:cs="Arial"/>
                <w:sz w:val="20"/>
                <w:szCs w:val="20"/>
              </w:rPr>
            </w:pPr>
            <w:r w:rsidRPr="0002762F">
              <w:rPr>
                <w:rFonts w:ascii="Arial" w:hAnsi="Arial" w:cs="Arial"/>
                <w:sz w:val="20"/>
                <w:szCs w:val="20"/>
              </w:rPr>
              <w:t xml:space="preserve">NSAIDs </w:t>
            </w:r>
            <w:r>
              <w:rPr>
                <w:rFonts w:ascii="Arial" w:hAnsi="Arial" w:cs="Arial"/>
                <w:sz w:val="20"/>
                <w:szCs w:val="20"/>
              </w:rPr>
              <w:t>for pain with inflammatory process</w:t>
            </w:r>
          </w:p>
        </w:tc>
        <w:tc>
          <w:tcPr>
            <w:tcW w:w="480" w:type="pct"/>
          </w:tcPr>
          <w:p w14:paraId="0667DB6D" w14:textId="13CD6A17" w:rsidR="004C646F" w:rsidRPr="0002762F" w:rsidRDefault="004C646F" w:rsidP="00371BF5">
            <w:pPr>
              <w:rPr>
                <w:rFonts w:ascii="Arial" w:hAnsi="Arial" w:cs="Arial"/>
                <w:sz w:val="20"/>
                <w:szCs w:val="20"/>
              </w:rPr>
            </w:pPr>
          </w:p>
        </w:tc>
        <w:tc>
          <w:tcPr>
            <w:tcW w:w="481" w:type="pct"/>
          </w:tcPr>
          <w:p w14:paraId="4EB282DA" w14:textId="28A6145C" w:rsidR="004C646F" w:rsidRPr="0002762F" w:rsidRDefault="004C646F" w:rsidP="00371BF5">
            <w:pPr>
              <w:rPr>
                <w:rFonts w:ascii="Arial" w:hAnsi="Arial" w:cs="Arial"/>
                <w:sz w:val="20"/>
                <w:szCs w:val="20"/>
              </w:rPr>
            </w:pPr>
          </w:p>
        </w:tc>
        <w:tc>
          <w:tcPr>
            <w:tcW w:w="482" w:type="pct"/>
          </w:tcPr>
          <w:p w14:paraId="3152B824" w14:textId="5AC2D355" w:rsidR="004C646F" w:rsidRPr="0002762F" w:rsidRDefault="004C646F" w:rsidP="00371BF5">
            <w:pPr>
              <w:rPr>
                <w:rFonts w:ascii="Arial" w:hAnsi="Arial" w:cs="Arial"/>
                <w:b/>
                <w:bCs/>
                <w:sz w:val="20"/>
                <w:szCs w:val="20"/>
              </w:rPr>
            </w:pPr>
            <w:proofErr w:type="spellStart"/>
            <w:r w:rsidRPr="0002762F">
              <w:rPr>
                <w:rFonts w:ascii="Arial" w:hAnsi="Arial" w:cs="Arial"/>
                <w:b/>
                <w:bCs/>
                <w:sz w:val="20"/>
                <w:szCs w:val="20"/>
              </w:rPr>
              <w:t>L</w:t>
            </w:r>
            <w:r>
              <w:rPr>
                <w:rFonts w:ascii="Arial" w:hAnsi="Arial" w:cs="Arial"/>
                <w:b/>
                <w:bCs/>
                <w:sz w:val="20"/>
                <w:szCs w:val="20"/>
              </w:rPr>
              <w:t>o</w:t>
            </w:r>
            <w:r w:rsidRPr="0002762F">
              <w:rPr>
                <w:rFonts w:ascii="Arial" w:hAnsi="Arial" w:cs="Arial"/>
                <w:b/>
                <w:bCs/>
                <w:sz w:val="20"/>
                <w:szCs w:val="20"/>
              </w:rPr>
              <w:t>E</w:t>
            </w:r>
            <w:proofErr w:type="spellEnd"/>
            <w:r w:rsidRPr="0002762F">
              <w:rPr>
                <w:rFonts w:ascii="Arial" w:hAnsi="Arial" w:cs="Arial"/>
                <w:b/>
                <w:bCs/>
                <w:sz w:val="20"/>
                <w:szCs w:val="20"/>
              </w:rPr>
              <w:t xml:space="preserve"> 1a</w:t>
            </w:r>
            <w:r>
              <w:rPr>
                <w:rFonts w:ascii="Arial" w:hAnsi="Arial" w:cs="Arial"/>
                <w:b/>
                <w:bCs/>
                <w:sz w:val="20"/>
                <w:szCs w:val="20"/>
              </w:rPr>
              <w:t xml:space="preserve"> </w:t>
            </w:r>
          </w:p>
          <w:p w14:paraId="4D6F19D7" w14:textId="77777777" w:rsidR="004C646F" w:rsidRPr="0002762F" w:rsidRDefault="004C646F" w:rsidP="00371BF5">
            <w:pPr>
              <w:rPr>
                <w:rFonts w:ascii="Arial" w:hAnsi="Arial" w:cs="Arial"/>
                <w:b/>
                <w:bCs/>
                <w:sz w:val="20"/>
                <w:szCs w:val="20"/>
              </w:rPr>
            </w:pPr>
            <w:r w:rsidRPr="0002762F">
              <w:rPr>
                <w:rFonts w:ascii="Arial" w:hAnsi="Arial" w:cs="Arial"/>
                <w:b/>
                <w:bCs/>
                <w:sz w:val="20"/>
                <w:szCs w:val="20"/>
              </w:rPr>
              <w:t>GR A</w:t>
            </w:r>
          </w:p>
          <w:p w14:paraId="0B917E1A" w14:textId="61B7E8C3" w:rsidR="004C646F" w:rsidRPr="003E4627" w:rsidRDefault="004C646F" w:rsidP="003E4627">
            <w:pPr>
              <w:rPr>
                <w:rFonts w:ascii="Calibri" w:hAnsi="Calibri"/>
                <w:b/>
                <w:bCs/>
                <w:color w:val="000000"/>
                <w:sz w:val="20"/>
                <w:szCs w:val="20"/>
              </w:rPr>
            </w:pPr>
          </w:p>
        </w:tc>
        <w:tc>
          <w:tcPr>
            <w:tcW w:w="481" w:type="pct"/>
          </w:tcPr>
          <w:p w14:paraId="679F60F1" w14:textId="77777777" w:rsidR="004C646F" w:rsidRPr="0002762F" w:rsidRDefault="004C646F" w:rsidP="00371BF5">
            <w:pPr>
              <w:rPr>
                <w:rFonts w:ascii="Arial" w:hAnsi="Arial" w:cs="Arial"/>
                <w:b/>
                <w:bCs/>
                <w:sz w:val="20"/>
                <w:szCs w:val="20"/>
              </w:rPr>
            </w:pPr>
          </w:p>
        </w:tc>
        <w:tc>
          <w:tcPr>
            <w:tcW w:w="482" w:type="pct"/>
          </w:tcPr>
          <w:p w14:paraId="6A8B7B37" w14:textId="77777777" w:rsidR="004C646F" w:rsidRPr="0002762F" w:rsidRDefault="004C646F" w:rsidP="00371BF5">
            <w:pPr>
              <w:rPr>
                <w:rFonts w:ascii="Arial" w:hAnsi="Arial" w:cs="Arial"/>
                <w:sz w:val="20"/>
                <w:szCs w:val="20"/>
              </w:rPr>
            </w:pPr>
          </w:p>
        </w:tc>
        <w:tc>
          <w:tcPr>
            <w:tcW w:w="504" w:type="pct"/>
          </w:tcPr>
          <w:p w14:paraId="2078EC2A" w14:textId="77777777" w:rsidR="004C646F" w:rsidRPr="0002762F" w:rsidRDefault="004C646F" w:rsidP="00371BF5">
            <w:pPr>
              <w:rPr>
                <w:rFonts w:ascii="Arial" w:hAnsi="Arial" w:cs="Arial"/>
                <w:sz w:val="20"/>
                <w:szCs w:val="20"/>
              </w:rPr>
            </w:pPr>
          </w:p>
        </w:tc>
      </w:tr>
      <w:tr w:rsidR="004C646F" w:rsidRPr="0002762F" w14:paraId="70EEE8FD" w14:textId="5A08BB55" w:rsidTr="004C646F">
        <w:tc>
          <w:tcPr>
            <w:tcW w:w="2089" w:type="pct"/>
          </w:tcPr>
          <w:p w14:paraId="68CD33F6" w14:textId="36269728" w:rsidR="004C646F" w:rsidRPr="0002762F" w:rsidRDefault="004C646F" w:rsidP="00371BF5">
            <w:pPr>
              <w:rPr>
                <w:rFonts w:ascii="Arial" w:hAnsi="Arial" w:cs="Arial"/>
                <w:sz w:val="20"/>
                <w:szCs w:val="20"/>
              </w:rPr>
            </w:pPr>
            <w:r w:rsidRPr="0002762F">
              <w:rPr>
                <w:rFonts w:ascii="Arial" w:hAnsi="Arial" w:cs="Arial"/>
                <w:sz w:val="20"/>
                <w:szCs w:val="20"/>
              </w:rPr>
              <w:t xml:space="preserve">Anti-depressants </w:t>
            </w:r>
            <w:r>
              <w:rPr>
                <w:rFonts w:ascii="Arial" w:hAnsi="Arial" w:cs="Arial"/>
                <w:sz w:val="20"/>
                <w:szCs w:val="20"/>
              </w:rPr>
              <w:t xml:space="preserve">for neuropathic pain </w:t>
            </w:r>
          </w:p>
        </w:tc>
        <w:tc>
          <w:tcPr>
            <w:tcW w:w="480" w:type="pct"/>
          </w:tcPr>
          <w:p w14:paraId="5DAD3CC1" w14:textId="3376810F" w:rsidR="004C646F" w:rsidRPr="00B805AD" w:rsidRDefault="004C646F" w:rsidP="00371BF5">
            <w:pPr>
              <w:rPr>
                <w:rFonts w:ascii="Arial" w:hAnsi="Arial" w:cs="Arial"/>
                <w:b/>
                <w:bCs/>
                <w:sz w:val="20"/>
                <w:szCs w:val="20"/>
              </w:rPr>
            </w:pPr>
            <w:r>
              <w:rPr>
                <w:rFonts w:ascii="Arial" w:hAnsi="Arial" w:cs="Arial"/>
                <w:b/>
                <w:bCs/>
                <w:sz w:val="20"/>
                <w:szCs w:val="20"/>
              </w:rPr>
              <w:t xml:space="preserve">No </w:t>
            </w:r>
            <w:proofErr w:type="spellStart"/>
            <w:r>
              <w:rPr>
                <w:rFonts w:ascii="Arial" w:hAnsi="Arial" w:cs="Arial"/>
                <w:b/>
                <w:bCs/>
                <w:sz w:val="20"/>
                <w:szCs w:val="20"/>
              </w:rPr>
              <w:t>LoE</w:t>
            </w:r>
            <w:proofErr w:type="spellEnd"/>
            <w:r>
              <w:rPr>
                <w:rFonts w:ascii="Arial" w:hAnsi="Arial" w:cs="Arial"/>
                <w:b/>
                <w:bCs/>
                <w:sz w:val="20"/>
                <w:szCs w:val="20"/>
              </w:rPr>
              <w:t xml:space="preserve"> reported </w:t>
            </w:r>
            <w:r w:rsidRPr="00B805AD">
              <w:rPr>
                <w:rFonts w:ascii="Arial" w:hAnsi="Arial" w:cs="Arial"/>
                <w:b/>
                <w:bCs/>
                <w:sz w:val="20"/>
                <w:szCs w:val="20"/>
              </w:rPr>
              <w:t>GR B</w:t>
            </w:r>
          </w:p>
        </w:tc>
        <w:tc>
          <w:tcPr>
            <w:tcW w:w="481" w:type="pct"/>
          </w:tcPr>
          <w:p w14:paraId="234F518A" w14:textId="59599B72" w:rsidR="004C646F" w:rsidRPr="0002762F" w:rsidRDefault="004C646F" w:rsidP="00371BF5">
            <w:pPr>
              <w:rPr>
                <w:rFonts w:ascii="Arial" w:hAnsi="Arial" w:cs="Arial"/>
                <w:sz w:val="20"/>
                <w:szCs w:val="20"/>
              </w:rPr>
            </w:pPr>
          </w:p>
        </w:tc>
        <w:tc>
          <w:tcPr>
            <w:tcW w:w="482" w:type="pct"/>
          </w:tcPr>
          <w:p w14:paraId="34F7E790" w14:textId="6E4CC407" w:rsidR="004C646F" w:rsidRPr="0002762F" w:rsidRDefault="004C646F" w:rsidP="00371BF5">
            <w:pPr>
              <w:rPr>
                <w:rFonts w:ascii="Arial" w:hAnsi="Arial" w:cs="Arial"/>
                <w:b/>
                <w:bCs/>
                <w:sz w:val="20"/>
                <w:szCs w:val="20"/>
              </w:rPr>
            </w:pPr>
            <w:proofErr w:type="spellStart"/>
            <w:r w:rsidRPr="0002762F">
              <w:rPr>
                <w:rFonts w:ascii="Arial" w:hAnsi="Arial" w:cs="Arial"/>
                <w:b/>
                <w:bCs/>
                <w:sz w:val="20"/>
                <w:szCs w:val="20"/>
              </w:rPr>
              <w:t>L</w:t>
            </w:r>
            <w:r>
              <w:rPr>
                <w:rFonts w:ascii="Arial" w:hAnsi="Arial" w:cs="Arial"/>
                <w:b/>
                <w:bCs/>
                <w:sz w:val="20"/>
                <w:szCs w:val="20"/>
              </w:rPr>
              <w:t>o</w:t>
            </w:r>
            <w:r w:rsidRPr="0002762F">
              <w:rPr>
                <w:rFonts w:ascii="Arial" w:hAnsi="Arial" w:cs="Arial"/>
                <w:b/>
                <w:bCs/>
                <w:sz w:val="20"/>
                <w:szCs w:val="20"/>
              </w:rPr>
              <w:t>E</w:t>
            </w:r>
            <w:proofErr w:type="spellEnd"/>
            <w:r w:rsidRPr="0002762F">
              <w:rPr>
                <w:rFonts w:ascii="Arial" w:hAnsi="Arial" w:cs="Arial"/>
                <w:b/>
                <w:bCs/>
                <w:sz w:val="20"/>
                <w:szCs w:val="20"/>
              </w:rPr>
              <w:t xml:space="preserve"> 1a</w:t>
            </w:r>
          </w:p>
          <w:p w14:paraId="257B3D48" w14:textId="77777777" w:rsidR="004C646F" w:rsidRPr="0002762F" w:rsidRDefault="004C646F" w:rsidP="00371BF5">
            <w:pPr>
              <w:rPr>
                <w:rFonts w:ascii="Arial" w:hAnsi="Arial" w:cs="Arial"/>
                <w:b/>
                <w:bCs/>
                <w:sz w:val="20"/>
                <w:szCs w:val="20"/>
              </w:rPr>
            </w:pPr>
            <w:r w:rsidRPr="0002762F">
              <w:rPr>
                <w:rFonts w:ascii="Arial" w:hAnsi="Arial" w:cs="Arial"/>
                <w:b/>
                <w:bCs/>
                <w:sz w:val="20"/>
                <w:szCs w:val="20"/>
              </w:rPr>
              <w:t>GR A</w:t>
            </w:r>
          </w:p>
        </w:tc>
        <w:tc>
          <w:tcPr>
            <w:tcW w:w="481" w:type="pct"/>
          </w:tcPr>
          <w:p w14:paraId="03EAAEF4" w14:textId="77777777" w:rsidR="004C646F" w:rsidRPr="0002762F" w:rsidRDefault="004C646F" w:rsidP="00371BF5">
            <w:pPr>
              <w:rPr>
                <w:rFonts w:ascii="Arial" w:hAnsi="Arial" w:cs="Arial"/>
                <w:b/>
                <w:bCs/>
                <w:sz w:val="20"/>
                <w:szCs w:val="20"/>
              </w:rPr>
            </w:pPr>
            <w:r w:rsidRPr="0002762F">
              <w:rPr>
                <w:rFonts w:ascii="Arial" w:hAnsi="Arial" w:cs="Arial"/>
                <w:b/>
                <w:bCs/>
                <w:sz w:val="20"/>
                <w:szCs w:val="20"/>
              </w:rPr>
              <w:t>RCT</w:t>
            </w:r>
          </w:p>
        </w:tc>
        <w:tc>
          <w:tcPr>
            <w:tcW w:w="482" w:type="pct"/>
          </w:tcPr>
          <w:p w14:paraId="198DD346" w14:textId="77777777" w:rsidR="004C646F" w:rsidRPr="0002762F" w:rsidRDefault="004C646F" w:rsidP="00371BF5">
            <w:pPr>
              <w:rPr>
                <w:rFonts w:ascii="Arial" w:hAnsi="Arial" w:cs="Arial"/>
                <w:sz w:val="20"/>
                <w:szCs w:val="20"/>
              </w:rPr>
            </w:pPr>
          </w:p>
        </w:tc>
        <w:tc>
          <w:tcPr>
            <w:tcW w:w="504" w:type="pct"/>
          </w:tcPr>
          <w:p w14:paraId="6F110A69" w14:textId="17010DF3" w:rsidR="004C646F" w:rsidRDefault="004C646F" w:rsidP="00371BF5">
            <w:pPr>
              <w:rPr>
                <w:rFonts w:ascii="Arial" w:hAnsi="Arial" w:cs="Arial"/>
                <w:b/>
                <w:bCs/>
                <w:sz w:val="20"/>
                <w:szCs w:val="20"/>
              </w:rPr>
            </w:pPr>
            <w:proofErr w:type="spellStart"/>
            <w:r>
              <w:rPr>
                <w:rFonts w:ascii="Arial" w:hAnsi="Arial" w:cs="Arial"/>
                <w:b/>
                <w:bCs/>
                <w:sz w:val="20"/>
                <w:szCs w:val="20"/>
              </w:rPr>
              <w:t>LoE</w:t>
            </w:r>
            <w:proofErr w:type="spellEnd"/>
            <w:r>
              <w:rPr>
                <w:rFonts w:ascii="Arial" w:hAnsi="Arial" w:cs="Arial"/>
                <w:b/>
                <w:bCs/>
                <w:sz w:val="20"/>
                <w:szCs w:val="20"/>
              </w:rPr>
              <w:t xml:space="preserve"> </w:t>
            </w:r>
            <w:r w:rsidRPr="0002762F">
              <w:rPr>
                <w:rFonts w:ascii="Arial" w:hAnsi="Arial" w:cs="Arial"/>
                <w:b/>
                <w:bCs/>
                <w:sz w:val="20"/>
                <w:szCs w:val="20"/>
              </w:rPr>
              <w:t>II-3</w:t>
            </w:r>
          </w:p>
          <w:p w14:paraId="42331DDD" w14:textId="3BF04AB8" w:rsidR="004C646F" w:rsidRPr="0002762F" w:rsidRDefault="004C646F" w:rsidP="00371BF5">
            <w:pPr>
              <w:rPr>
                <w:rFonts w:ascii="Arial" w:hAnsi="Arial" w:cs="Arial"/>
                <w:b/>
                <w:bCs/>
                <w:sz w:val="20"/>
                <w:szCs w:val="20"/>
              </w:rPr>
            </w:pPr>
            <w:r>
              <w:rPr>
                <w:rFonts w:ascii="Arial" w:hAnsi="Arial" w:cs="Arial"/>
                <w:b/>
                <w:bCs/>
                <w:sz w:val="20"/>
                <w:szCs w:val="20"/>
              </w:rPr>
              <w:t xml:space="preserve">GR </w:t>
            </w:r>
            <w:r w:rsidRPr="0002762F">
              <w:rPr>
                <w:rFonts w:ascii="Arial" w:hAnsi="Arial" w:cs="Arial"/>
                <w:b/>
                <w:bCs/>
                <w:sz w:val="20"/>
                <w:szCs w:val="20"/>
              </w:rPr>
              <w:t xml:space="preserve">B </w:t>
            </w:r>
          </w:p>
          <w:p w14:paraId="1C078EF0" w14:textId="3E0D8000" w:rsidR="004C646F" w:rsidRPr="0002762F" w:rsidRDefault="004C646F" w:rsidP="00371BF5">
            <w:pPr>
              <w:rPr>
                <w:rFonts w:ascii="Arial" w:hAnsi="Arial" w:cs="Arial"/>
                <w:sz w:val="20"/>
                <w:szCs w:val="20"/>
              </w:rPr>
            </w:pPr>
            <w:r w:rsidRPr="0002762F">
              <w:rPr>
                <w:rFonts w:ascii="Arial" w:hAnsi="Arial" w:cs="Arial"/>
                <w:b/>
                <w:bCs/>
                <w:sz w:val="20"/>
                <w:szCs w:val="20"/>
              </w:rPr>
              <w:t xml:space="preserve">(and antibiotics) </w:t>
            </w:r>
          </w:p>
        </w:tc>
      </w:tr>
      <w:tr w:rsidR="004C646F" w:rsidRPr="0002762F" w14:paraId="11C2F66C" w14:textId="77777777" w:rsidTr="004C646F">
        <w:tc>
          <w:tcPr>
            <w:tcW w:w="2089" w:type="pct"/>
          </w:tcPr>
          <w:p w14:paraId="2BF43FFF" w14:textId="10AD94DC" w:rsidR="004C646F" w:rsidRDefault="004C646F" w:rsidP="00371BF5">
            <w:pPr>
              <w:rPr>
                <w:rFonts w:ascii="Arial" w:hAnsi="Arial" w:cs="Arial"/>
                <w:sz w:val="20"/>
                <w:szCs w:val="20"/>
              </w:rPr>
            </w:pPr>
            <w:r>
              <w:rPr>
                <w:rFonts w:ascii="Arial" w:hAnsi="Arial" w:cs="Arial"/>
                <w:sz w:val="20"/>
                <w:szCs w:val="20"/>
              </w:rPr>
              <w:t xml:space="preserve">Gabapentin for neuropathic pain </w:t>
            </w:r>
          </w:p>
          <w:p w14:paraId="449FC8DA" w14:textId="7F744E7E" w:rsidR="004C646F" w:rsidRPr="0002762F" w:rsidRDefault="004C646F" w:rsidP="00371BF5">
            <w:pPr>
              <w:rPr>
                <w:rFonts w:ascii="Arial" w:hAnsi="Arial" w:cs="Arial"/>
                <w:sz w:val="20"/>
                <w:szCs w:val="20"/>
              </w:rPr>
            </w:pPr>
          </w:p>
        </w:tc>
        <w:tc>
          <w:tcPr>
            <w:tcW w:w="480" w:type="pct"/>
          </w:tcPr>
          <w:p w14:paraId="4B449C0E" w14:textId="77777777" w:rsidR="004C646F" w:rsidRPr="009B024F" w:rsidRDefault="004C646F" w:rsidP="00371BF5">
            <w:pPr>
              <w:rPr>
                <w:rFonts w:ascii="Arial" w:hAnsi="Arial" w:cs="Arial"/>
                <w:b/>
                <w:bCs/>
                <w:sz w:val="20"/>
                <w:szCs w:val="20"/>
              </w:rPr>
            </w:pPr>
            <w:r w:rsidRPr="009B024F">
              <w:rPr>
                <w:rFonts w:ascii="Arial" w:hAnsi="Arial" w:cs="Arial"/>
                <w:b/>
                <w:bCs/>
                <w:sz w:val="20"/>
                <w:szCs w:val="20"/>
              </w:rPr>
              <w:t xml:space="preserve">No </w:t>
            </w:r>
            <w:proofErr w:type="spellStart"/>
            <w:r w:rsidRPr="009B024F">
              <w:rPr>
                <w:rFonts w:ascii="Arial" w:hAnsi="Arial" w:cs="Arial"/>
                <w:b/>
                <w:bCs/>
                <w:sz w:val="20"/>
                <w:szCs w:val="20"/>
              </w:rPr>
              <w:t>LoE</w:t>
            </w:r>
            <w:proofErr w:type="spellEnd"/>
            <w:r w:rsidRPr="009B024F">
              <w:rPr>
                <w:rFonts w:ascii="Arial" w:hAnsi="Arial" w:cs="Arial"/>
                <w:b/>
                <w:bCs/>
                <w:sz w:val="20"/>
                <w:szCs w:val="20"/>
              </w:rPr>
              <w:t xml:space="preserve"> reported </w:t>
            </w:r>
          </w:p>
          <w:p w14:paraId="63CF2518" w14:textId="52585CB5" w:rsidR="004C646F" w:rsidRPr="009B024F" w:rsidRDefault="004C646F" w:rsidP="00371BF5">
            <w:pPr>
              <w:rPr>
                <w:rFonts w:ascii="Arial" w:hAnsi="Arial" w:cs="Arial"/>
                <w:b/>
                <w:bCs/>
                <w:sz w:val="20"/>
                <w:szCs w:val="20"/>
              </w:rPr>
            </w:pPr>
            <w:r w:rsidRPr="009B024F">
              <w:rPr>
                <w:rFonts w:ascii="Arial" w:hAnsi="Arial" w:cs="Arial"/>
                <w:b/>
                <w:bCs/>
                <w:sz w:val="20"/>
                <w:szCs w:val="20"/>
              </w:rPr>
              <w:t>GR B</w:t>
            </w:r>
          </w:p>
        </w:tc>
        <w:tc>
          <w:tcPr>
            <w:tcW w:w="481" w:type="pct"/>
          </w:tcPr>
          <w:p w14:paraId="40E934FA" w14:textId="5A0097DF" w:rsidR="004C646F" w:rsidRPr="0002762F" w:rsidRDefault="004C646F" w:rsidP="00371BF5">
            <w:pPr>
              <w:rPr>
                <w:rFonts w:ascii="Arial" w:hAnsi="Arial" w:cs="Arial"/>
                <w:sz w:val="20"/>
                <w:szCs w:val="20"/>
              </w:rPr>
            </w:pPr>
          </w:p>
        </w:tc>
        <w:tc>
          <w:tcPr>
            <w:tcW w:w="482" w:type="pct"/>
          </w:tcPr>
          <w:p w14:paraId="3206FD0F" w14:textId="12092B8B" w:rsidR="004C646F" w:rsidRPr="0002762F" w:rsidRDefault="004C646F" w:rsidP="00820E3B">
            <w:pPr>
              <w:rPr>
                <w:rFonts w:ascii="Arial" w:hAnsi="Arial" w:cs="Arial"/>
                <w:b/>
                <w:bCs/>
                <w:sz w:val="20"/>
                <w:szCs w:val="20"/>
              </w:rPr>
            </w:pPr>
            <w:proofErr w:type="spellStart"/>
            <w:r w:rsidRPr="0002762F">
              <w:rPr>
                <w:rFonts w:ascii="Arial" w:hAnsi="Arial" w:cs="Arial"/>
                <w:b/>
                <w:bCs/>
                <w:sz w:val="20"/>
                <w:szCs w:val="20"/>
              </w:rPr>
              <w:t>L</w:t>
            </w:r>
            <w:r>
              <w:rPr>
                <w:rFonts w:ascii="Arial" w:hAnsi="Arial" w:cs="Arial"/>
                <w:b/>
                <w:bCs/>
                <w:sz w:val="20"/>
                <w:szCs w:val="20"/>
              </w:rPr>
              <w:t>o</w:t>
            </w:r>
            <w:r w:rsidRPr="0002762F">
              <w:rPr>
                <w:rFonts w:ascii="Arial" w:hAnsi="Arial" w:cs="Arial"/>
                <w:b/>
                <w:bCs/>
                <w:sz w:val="20"/>
                <w:szCs w:val="20"/>
              </w:rPr>
              <w:t>E</w:t>
            </w:r>
            <w:proofErr w:type="spellEnd"/>
            <w:r w:rsidRPr="0002762F">
              <w:rPr>
                <w:rFonts w:ascii="Arial" w:hAnsi="Arial" w:cs="Arial"/>
                <w:b/>
                <w:bCs/>
                <w:sz w:val="20"/>
                <w:szCs w:val="20"/>
              </w:rPr>
              <w:t xml:space="preserve"> 1A</w:t>
            </w:r>
          </w:p>
          <w:p w14:paraId="527A77D8" w14:textId="77777777" w:rsidR="004C646F" w:rsidRDefault="004C646F" w:rsidP="00820E3B">
            <w:pPr>
              <w:rPr>
                <w:rFonts w:ascii="Arial" w:hAnsi="Arial" w:cs="Arial"/>
                <w:b/>
                <w:bCs/>
                <w:sz w:val="20"/>
                <w:szCs w:val="20"/>
              </w:rPr>
            </w:pPr>
            <w:r w:rsidRPr="0002762F">
              <w:rPr>
                <w:rFonts w:ascii="Arial" w:hAnsi="Arial" w:cs="Arial"/>
                <w:b/>
                <w:bCs/>
                <w:sz w:val="20"/>
                <w:szCs w:val="20"/>
              </w:rPr>
              <w:t>GR A</w:t>
            </w:r>
          </w:p>
          <w:p w14:paraId="4DA2363B" w14:textId="67696CA9" w:rsidR="004C646F" w:rsidRPr="0002762F" w:rsidRDefault="004C646F" w:rsidP="00820E3B">
            <w:pPr>
              <w:rPr>
                <w:rFonts w:ascii="Arial" w:hAnsi="Arial" w:cs="Arial"/>
                <w:b/>
                <w:bCs/>
                <w:sz w:val="20"/>
                <w:szCs w:val="20"/>
              </w:rPr>
            </w:pPr>
          </w:p>
        </w:tc>
        <w:tc>
          <w:tcPr>
            <w:tcW w:w="481" w:type="pct"/>
          </w:tcPr>
          <w:p w14:paraId="63076659" w14:textId="77777777" w:rsidR="004C646F" w:rsidRPr="0002762F" w:rsidRDefault="004C646F" w:rsidP="00371BF5">
            <w:pPr>
              <w:rPr>
                <w:rFonts w:ascii="Arial" w:hAnsi="Arial" w:cs="Arial"/>
                <w:sz w:val="20"/>
                <w:szCs w:val="20"/>
              </w:rPr>
            </w:pPr>
          </w:p>
        </w:tc>
        <w:tc>
          <w:tcPr>
            <w:tcW w:w="482" w:type="pct"/>
          </w:tcPr>
          <w:p w14:paraId="2DEE5A45" w14:textId="77777777" w:rsidR="004C646F" w:rsidRPr="0002762F" w:rsidRDefault="004C646F" w:rsidP="00371BF5">
            <w:pPr>
              <w:rPr>
                <w:rFonts w:ascii="Arial" w:hAnsi="Arial" w:cs="Arial"/>
                <w:sz w:val="20"/>
                <w:szCs w:val="20"/>
              </w:rPr>
            </w:pPr>
          </w:p>
        </w:tc>
        <w:tc>
          <w:tcPr>
            <w:tcW w:w="504" w:type="pct"/>
          </w:tcPr>
          <w:p w14:paraId="2C09DF29" w14:textId="77777777" w:rsidR="004C646F" w:rsidRPr="0002762F" w:rsidRDefault="004C646F" w:rsidP="00371BF5">
            <w:pPr>
              <w:rPr>
                <w:rFonts w:ascii="Arial" w:hAnsi="Arial" w:cs="Arial"/>
                <w:sz w:val="20"/>
                <w:szCs w:val="20"/>
              </w:rPr>
            </w:pPr>
          </w:p>
        </w:tc>
      </w:tr>
      <w:tr w:rsidR="004C646F" w:rsidRPr="0002762F" w14:paraId="741240F5" w14:textId="6903459B" w:rsidTr="004C646F">
        <w:tc>
          <w:tcPr>
            <w:tcW w:w="2089" w:type="pct"/>
          </w:tcPr>
          <w:p w14:paraId="2B90A941" w14:textId="7ABE6208" w:rsidR="004C646F" w:rsidRPr="0002762F" w:rsidRDefault="004C646F" w:rsidP="00371BF5">
            <w:pPr>
              <w:rPr>
                <w:rFonts w:ascii="Arial" w:hAnsi="Arial" w:cs="Arial"/>
                <w:sz w:val="20"/>
                <w:szCs w:val="20"/>
              </w:rPr>
            </w:pPr>
            <w:r w:rsidRPr="0002762F">
              <w:rPr>
                <w:rFonts w:ascii="Arial" w:hAnsi="Arial" w:cs="Arial"/>
                <w:sz w:val="20"/>
                <w:szCs w:val="20"/>
              </w:rPr>
              <w:t>Gabapentin</w:t>
            </w:r>
            <w:r>
              <w:rPr>
                <w:rFonts w:ascii="Arial" w:hAnsi="Arial" w:cs="Arial"/>
                <w:sz w:val="20"/>
                <w:szCs w:val="20"/>
              </w:rPr>
              <w:t xml:space="preserve"> for women with CPP </w:t>
            </w:r>
          </w:p>
        </w:tc>
        <w:tc>
          <w:tcPr>
            <w:tcW w:w="480" w:type="pct"/>
          </w:tcPr>
          <w:p w14:paraId="4ADF7562" w14:textId="04751883" w:rsidR="004C646F" w:rsidRPr="0002762F" w:rsidRDefault="004C646F" w:rsidP="00371BF5">
            <w:pPr>
              <w:rPr>
                <w:rFonts w:ascii="Arial" w:hAnsi="Arial" w:cs="Arial"/>
                <w:sz w:val="20"/>
                <w:szCs w:val="20"/>
              </w:rPr>
            </w:pPr>
          </w:p>
        </w:tc>
        <w:tc>
          <w:tcPr>
            <w:tcW w:w="481" w:type="pct"/>
          </w:tcPr>
          <w:p w14:paraId="67B9E11A" w14:textId="1CCEF6D1" w:rsidR="004C646F" w:rsidRPr="0002762F" w:rsidRDefault="004C646F" w:rsidP="00371BF5">
            <w:pPr>
              <w:rPr>
                <w:rFonts w:ascii="Arial" w:hAnsi="Arial" w:cs="Arial"/>
                <w:sz w:val="20"/>
                <w:szCs w:val="20"/>
              </w:rPr>
            </w:pPr>
          </w:p>
        </w:tc>
        <w:tc>
          <w:tcPr>
            <w:tcW w:w="482" w:type="pct"/>
          </w:tcPr>
          <w:p w14:paraId="60FD8F04" w14:textId="04D835A9" w:rsidR="004C646F" w:rsidRPr="0002762F" w:rsidRDefault="004C646F" w:rsidP="00371BF5">
            <w:pPr>
              <w:rPr>
                <w:rFonts w:ascii="Arial" w:hAnsi="Arial" w:cs="Arial"/>
                <w:b/>
                <w:bCs/>
                <w:sz w:val="20"/>
                <w:szCs w:val="20"/>
              </w:rPr>
            </w:pPr>
            <w:proofErr w:type="spellStart"/>
            <w:r w:rsidRPr="0002762F">
              <w:rPr>
                <w:rFonts w:ascii="Arial" w:hAnsi="Arial" w:cs="Arial"/>
                <w:b/>
                <w:bCs/>
                <w:sz w:val="20"/>
                <w:szCs w:val="20"/>
              </w:rPr>
              <w:t>L</w:t>
            </w:r>
            <w:r>
              <w:rPr>
                <w:rFonts w:ascii="Arial" w:hAnsi="Arial" w:cs="Arial"/>
                <w:b/>
                <w:bCs/>
                <w:sz w:val="20"/>
                <w:szCs w:val="20"/>
              </w:rPr>
              <w:t>o</w:t>
            </w:r>
            <w:r w:rsidRPr="0002762F">
              <w:rPr>
                <w:rFonts w:ascii="Arial" w:hAnsi="Arial" w:cs="Arial"/>
                <w:b/>
                <w:bCs/>
                <w:sz w:val="20"/>
                <w:szCs w:val="20"/>
              </w:rPr>
              <w:t>E</w:t>
            </w:r>
            <w:proofErr w:type="spellEnd"/>
            <w:r w:rsidRPr="0002762F">
              <w:rPr>
                <w:rFonts w:ascii="Arial" w:hAnsi="Arial" w:cs="Arial"/>
                <w:b/>
                <w:bCs/>
                <w:sz w:val="20"/>
                <w:szCs w:val="20"/>
              </w:rPr>
              <w:t xml:space="preserve"> </w:t>
            </w:r>
            <w:r>
              <w:rPr>
                <w:rFonts w:ascii="Arial" w:hAnsi="Arial" w:cs="Arial"/>
                <w:b/>
                <w:bCs/>
                <w:sz w:val="20"/>
                <w:szCs w:val="20"/>
              </w:rPr>
              <w:t>2b</w:t>
            </w:r>
          </w:p>
          <w:p w14:paraId="270921AA" w14:textId="77777777" w:rsidR="004C646F" w:rsidRDefault="004C646F" w:rsidP="00371BF5">
            <w:pPr>
              <w:rPr>
                <w:rFonts w:ascii="Arial" w:hAnsi="Arial" w:cs="Arial"/>
                <w:b/>
                <w:bCs/>
                <w:sz w:val="20"/>
                <w:szCs w:val="20"/>
              </w:rPr>
            </w:pPr>
            <w:r w:rsidRPr="0002762F">
              <w:rPr>
                <w:rFonts w:ascii="Arial" w:hAnsi="Arial" w:cs="Arial"/>
                <w:b/>
                <w:bCs/>
                <w:sz w:val="20"/>
                <w:szCs w:val="20"/>
              </w:rPr>
              <w:t xml:space="preserve">GR </w:t>
            </w:r>
            <w:r>
              <w:rPr>
                <w:rFonts w:ascii="Arial" w:hAnsi="Arial" w:cs="Arial"/>
                <w:b/>
                <w:bCs/>
                <w:sz w:val="20"/>
                <w:szCs w:val="20"/>
              </w:rPr>
              <w:t>B</w:t>
            </w:r>
          </w:p>
          <w:p w14:paraId="7A646DDB" w14:textId="3F547B40" w:rsidR="004C646F" w:rsidRPr="0002762F" w:rsidRDefault="004C646F" w:rsidP="00371BF5">
            <w:pPr>
              <w:rPr>
                <w:rFonts w:ascii="Arial" w:hAnsi="Arial" w:cs="Arial"/>
                <w:b/>
                <w:bCs/>
                <w:sz w:val="20"/>
                <w:szCs w:val="20"/>
              </w:rPr>
            </w:pPr>
          </w:p>
        </w:tc>
        <w:tc>
          <w:tcPr>
            <w:tcW w:w="481" w:type="pct"/>
          </w:tcPr>
          <w:p w14:paraId="79D76FDA" w14:textId="77777777" w:rsidR="004C646F" w:rsidRPr="0002762F" w:rsidRDefault="004C646F" w:rsidP="00371BF5">
            <w:pPr>
              <w:rPr>
                <w:rFonts w:ascii="Arial" w:hAnsi="Arial" w:cs="Arial"/>
                <w:sz w:val="20"/>
                <w:szCs w:val="20"/>
              </w:rPr>
            </w:pPr>
          </w:p>
        </w:tc>
        <w:tc>
          <w:tcPr>
            <w:tcW w:w="482" w:type="pct"/>
          </w:tcPr>
          <w:p w14:paraId="4AFD577D" w14:textId="77777777" w:rsidR="004C646F" w:rsidRPr="0002762F" w:rsidRDefault="004C646F" w:rsidP="00371BF5">
            <w:pPr>
              <w:rPr>
                <w:rFonts w:ascii="Arial" w:hAnsi="Arial" w:cs="Arial"/>
                <w:sz w:val="20"/>
                <w:szCs w:val="20"/>
              </w:rPr>
            </w:pPr>
          </w:p>
        </w:tc>
        <w:tc>
          <w:tcPr>
            <w:tcW w:w="504" w:type="pct"/>
          </w:tcPr>
          <w:p w14:paraId="3D9242E5" w14:textId="77777777" w:rsidR="004C646F" w:rsidRPr="0002762F" w:rsidRDefault="004C646F" w:rsidP="00371BF5">
            <w:pPr>
              <w:rPr>
                <w:rFonts w:ascii="Arial" w:hAnsi="Arial" w:cs="Arial"/>
                <w:sz w:val="20"/>
                <w:szCs w:val="20"/>
              </w:rPr>
            </w:pPr>
          </w:p>
        </w:tc>
      </w:tr>
      <w:tr w:rsidR="004C646F" w:rsidRPr="0002762F" w14:paraId="2D016F05" w14:textId="2F1D2123" w:rsidTr="004C646F">
        <w:tc>
          <w:tcPr>
            <w:tcW w:w="2089" w:type="pct"/>
          </w:tcPr>
          <w:p w14:paraId="34D1ECD1" w14:textId="1248C15C" w:rsidR="004C646F" w:rsidRPr="0002762F" w:rsidRDefault="004C646F" w:rsidP="00371BF5">
            <w:pPr>
              <w:rPr>
                <w:rFonts w:ascii="Arial" w:hAnsi="Arial" w:cs="Arial"/>
                <w:sz w:val="20"/>
                <w:szCs w:val="20"/>
              </w:rPr>
            </w:pPr>
            <w:r w:rsidRPr="0002762F">
              <w:rPr>
                <w:rFonts w:ascii="Arial" w:hAnsi="Arial" w:cs="Arial"/>
                <w:sz w:val="20"/>
                <w:szCs w:val="20"/>
              </w:rPr>
              <w:t xml:space="preserve">Topical capsaicin </w:t>
            </w:r>
            <w:r>
              <w:rPr>
                <w:rFonts w:ascii="Arial" w:hAnsi="Arial" w:cs="Arial"/>
                <w:sz w:val="20"/>
                <w:szCs w:val="20"/>
              </w:rPr>
              <w:t xml:space="preserve">for neuropathic pain </w:t>
            </w:r>
          </w:p>
        </w:tc>
        <w:tc>
          <w:tcPr>
            <w:tcW w:w="480" w:type="pct"/>
          </w:tcPr>
          <w:p w14:paraId="1A78E982" w14:textId="1A3437F5" w:rsidR="004C646F" w:rsidRPr="0002762F" w:rsidRDefault="004C646F" w:rsidP="00371BF5">
            <w:pPr>
              <w:rPr>
                <w:rFonts w:ascii="Arial" w:hAnsi="Arial" w:cs="Arial"/>
                <w:sz w:val="20"/>
                <w:szCs w:val="20"/>
              </w:rPr>
            </w:pPr>
          </w:p>
        </w:tc>
        <w:tc>
          <w:tcPr>
            <w:tcW w:w="481" w:type="pct"/>
          </w:tcPr>
          <w:p w14:paraId="7476EA03" w14:textId="79A7190C" w:rsidR="004C646F" w:rsidRPr="0002762F" w:rsidRDefault="004C646F" w:rsidP="00371BF5">
            <w:pPr>
              <w:rPr>
                <w:rFonts w:ascii="Arial" w:hAnsi="Arial" w:cs="Arial"/>
                <w:sz w:val="20"/>
                <w:szCs w:val="20"/>
              </w:rPr>
            </w:pPr>
          </w:p>
        </w:tc>
        <w:tc>
          <w:tcPr>
            <w:tcW w:w="482" w:type="pct"/>
          </w:tcPr>
          <w:p w14:paraId="10FC5800" w14:textId="758F56C7" w:rsidR="004C646F" w:rsidRPr="0002762F" w:rsidRDefault="004C646F" w:rsidP="00371BF5">
            <w:pPr>
              <w:rPr>
                <w:rFonts w:ascii="Arial" w:hAnsi="Arial" w:cs="Arial"/>
                <w:b/>
                <w:bCs/>
                <w:sz w:val="20"/>
                <w:szCs w:val="20"/>
              </w:rPr>
            </w:pPr>
            <w:proofErr w:type="spellStart"/>
            <w:r w:rsidRPr="0002762F">
              <w:rPr>
                <w:rFonts w:ascii="Arial" w:hAnsi="Arial" w:cs="Arial"/>
                <w:b/>
                <w:bCs/>
                <w:sz w:val="20"/>
                <w:szCs w:val="20"/>
              </w:rPr>
              <w:t>L</w:t>
            </w:r>
            <w:r>
              <w:rPr>
                <w:rFonts w:ascii="Arial" w:hAnsi="Arial" w:cs="Arial"/>
                <w:b/>
                <w:bCs/>
                <w:sz w:val="20"/>
                <w:szCs w:val="20"/>
              </w:rPr>
              <w:t>o</w:t>
            </w:r>
            <w:r w:rsidRPr="0002762F">
              <w:rPr>
                <w:rFonts w:ascii="Arial" w:hAnsi="Arial" w:cs="Arial"/>
                <w:b/>
                <w:bCs/>
                <w:sz w:val="20"/>
                <w:szCs w:val="20"/>
              </w:rPr>
              <w:t>E</w:t>
            </w:r>
            <w:proofErr w:type="spellEnd"/>
            <w:r w:rsidRPr="0002762F">
              <w:rPr>
                <w:rFonts w:ascii="Arial" w:hAnsi="Arial" w:cs="Arial"/>
                <w:b/>
                <w:bCs/>
                <w:sz w:val="20"/>
                <w:szCs w:val="20"/>
              </w:rPr>
              <w:t xml:space="preserve"> 1a</w:t>
            </w:r>
          </w:p>
          <w:p w14:paraId="289F69A3" w14:textId="77777777" w:rsidR="004C646F" w:rsidRDefault="004C646F" w:rsidP="00371BF5">
            <w:pPr>
              <w:rPr>
                <w:rFonts w:ascii="Arial" w:hAnsi="Arial" w:cs="Arial"/>
                <w:b/>
                <w:bCs/>
                <w:sz w:val="20"/>
                <w:szCs w:val="20"/>
              </w:rPr>
            </w:pPr>
            <w:r w:rsidRPr="0002762F">
              <w:rPr>
                <w:rFonts w:ascii="Arial" w:hAnsi="Arial" w:cs="Arial"/>
                <w:b/>
                <w:bCs/>
                <w:sz w:val="20"/>
                <w:szCs w:val="20"/>
              </w:rPr>
              <w:t>GR A</w:t>
            </w:r>
          </w:p>
          <w:p w14:paraId="3BC8A27C" w14:textId="245D4150" w:rsidR="004C646F" w:rsidRPr="0002762F" w:rsidRDefault="004C646F" w:rsidP="00371BF5">
            <w:pPr>
              <w:rPr>
                <w:rFonts w:ascii="Arial" w:hAnsi="Arial" w:cs="Arial"/>
                <w:b/>
                <w:bCs/>
                <w:sz w:val="20"/>
                <w:szCs w:val="20"/>
              </w:rPr>
            </w:pPr>
          </w:p>
        </w:tc>
        <w:tc>
          <w:tcPr>
            <w:tcW w:w="481" w:type="pct"/>
          </w:tcPr>
          <w:p w14:paraId="1B0E4884" w14:textId="77777777" w:rsidR="004C646F" w:rsidRPr="0002762F" w:rsidRDefault="004C646F" w:rsidP="00371BF5">
            <w:pPr>
              <w:rPr>
                <w:rFonts w:ascii="Arial" w:hAnsi="Arial" w:cs="Arial"/>
                <w:sz w:val="20"/>
                <w:szCs w:val="20"/>
              </w:rPr>
            </w:pPr>
          </w:p>
        </w:tc>
        <w:tc>
          <w:tcPr>
            <w:tcW w:w="482" w:type="pct"/>
          </w:tcPr>
          <w:p w14:paraId="48D84CA7" w14:textId="77777777" w:rsidR="004C646F" w:rsidRPr="0002762F" w:rsidRDefault="004C646F" w:rsidP="00371BF5">
            <w:pPr>
              <w:rPr>
                <w:rFonts w:ascii="Arial" w:hAnsi="Arial" w:cs="Arial"/>
                <w:sz w:val="20"/>
                <w:szCs w:val="20"/>
              </w:rPr>
            </w:pPr>
          </w:p>
        </w:tc>
        <w:tc>
          <w:tcPr>
            <w:tcW w:w="504" w:type="pct"/>
          </w:tcPr>
          <w:p w14:paraId="0B8CFC4E" w14:textId="77777777" w:rsidR="004C646F" w:rsidRPr="0002762F" w:rsidRDefault="004C646F" w:rsidP="00371BF5">
            <w:pPr>
              <w:rPr>
                <w:rFonts w:ascii="Arial" w:hAnsi="Arial" w:cs="Arial"/>
                <w:sz w:val="20"/>
                <w:szCs w:val="20"/>
              </w:rPr>
            </w:pPr>
          </w:p>
        </w:tc>
      </w:tr>
      <w:tr w:rsidR="004C646F" w:rsidRPr="0002762F" w14:paraId="004FA196" w14:textId="3AB805D7" w:rsidTr="004C646F">
        <w:tc>
          <w:tcPr>
            <w:tcW w:w="2089" w:type="pct"/>
          </w:tcPr>
          <w:p w14:paraId="2A66D4A0" w14:textId="77777777" w:rsidR="004C646F" w:rsidRPr="0002762F" w:rsidRDefault="004C646F" w:rsidP="00371BF5">
            <w:pPr>
              <w:rPr>
                <w:rFonts w:ascii="Arial" w:hAnsi="Arial" w:cs="Arial"/>
                <w:sz w:val="20"/>
                <w:szCs w:val="20"/>
              </w:rPr>
            </w:pPr>
            <w:r w:rsidRPr="0002762F">
              <w:rPr>
                <w:rFonts w:ascii="Arial" w:hAnsi="Arial" w:cs="Arial"/>
                <w:sz w:val="20"/>
                <w:szCs w:val="20"/>
              </w:rPr>
              <w:t xml:space="preserve">Opioid therapy can be considered for pain control in CPP under adequate supervision </w:t>
            </w:r>
          </w:p>
        </w:tc>
        <w:tc>
          <w:tcPr>
            <w:tcW w:w="480" w:type="pct"/>
          </w:tcPr>
          <w:p w14:paraId="20DFAF38" w14:textId="7D379105" w:rsidR="004C646F" w:rsidRPr="0002762F" w:rsidRDefault="004C646F" w:rsidP="00371BF5">
            <w:pPr>
              <w:rPr>
                <w:rFonts w:ascii="Arial" w:hAnsi="Arial" w:cs="Arial"/>
                <w:sz w:val="20"/>
                <w:szCs w:val="20"/>
              </w:rPr>
            </w:pPr>
          </w:p>
        </w:tc>
        <w:tc>
          <w:tcPr>
            <w:tcW w:w="481" w:type="pct"/>
          </w:tcPr>
          <w:p w14:paraId="45F7D5A4" w14:textId="2BA2D55A" w:rsidR="004C646F" w:rsidRPr="0002762F" w:rsidRDefault="004C646F" w:rsidP="00371BF5">
            <w:pPr>
              <w:rPr>
                <w:rFonts w:ascii="Arial" w:hAnsi="Arial" w:cs="Arial"/>
                <w:sz w:val="20"/>
                <w:szCs w:val="20"/>
              </w:rPr>
            </w:pPr>
          </w:p>
        </w:tc>
        <w:tc>
          <w:tcPr>
            <w:tcW w:w="482" w:type="pct"/>
          </w:tcPr>
          <w:p w14:paraId="4FCBD469" w14:textId="77777777" w:rsidR="004C646F" w:rsidRPr="0002762F" w:rsidRDefault="004C646F" w:rsidP="00371BF5">
            <w:pPr>
              <w:rPr>
                <w:rFonts w:ascii="Arial" w:hAnsi="Arial" w:cs="Arial"/>
                <w:b/>
                <w:bCs/>
                <w:sz w:val="20"/>
                <w:szCs w:val="20"/>
              </w:rPr>
            </w:pPr>
            <w:r w:rsidRPr="0002762F">
              <w:rPr>
                <w:rFonts w:ascii="Arial" w:hAnsi="Arial" w:cs="Arial"/>
                <w:b/>
                <w:bCs/>
                <w:sz w:val="20"/>
                <w:szCs w:val="20"/>
              </w:rPr>
              <w:t>No evidence</w:t>
            </w:r>
          </w:p>
        </w:tc>
        <w:tc>
          <w:tcPr>
            <w:tcW w:w="481" w:type="pct"/>
          </w:tcPr>
          <w:p w14:paraId="59A0A632" w14:textId="77777777" w:rsidR="004C646F" w:rsidRPr="0002762F" w:rsidRDefault="004C646F" w:rsidP="00371BF5">
            <w:pPr>
              <w:rPr>
                <w:rFonts w:ascii="Arial" w:hAnsi="Arial" w:cs="Arial"/>
                <w:sz w:val="20"/>
                <w:szCs w:val="20"/>
              </w:rPr>
            </w:pPr>
          </w:p>
        </w:tc>
        <w:tc>
          <w:tcPr>
            <w:tcW w:w="482" w:type="pct"/>
          </w:tcPr>
          <w:p w14:paraId="62E82E93" w14:textId="77777777" w:rsidR="004C646F" w:rsidRPr="0002762F" w:rsidRDefault="004C646F" w:rsidP="00371BF5">
            <w:pPr>
              <w:rPr>
                <w:rFonts w:ascii="Arial" w:hAnsi="Arial" w:cs="Arial"/>
                <w:sz w:val="20"/>
                <w:szCs w:val="20"/>
              </w:rPr>
            </w:pPr>
          </w:p>
        </w:tc>
        <w:tc>
          <w:tcPr>
            <w:tcW w:w="504" w:type="pct"/>
          </w:tcPr>
          <w:p w14:paraId="142ECB84" w14:textId="5342132D" w:rsidR="004C646F" w:rsidRDefault="004C646F" w:rsidP="00371BF5">
            <w:pPr>
              <w:rPr>
                <w:rFonts w:ascii="Arial" w:hAnsi="Arial" w:cs="Arial"/>
                <w:b/>
                <w:bCs/>
                <w:color w:val="000000"/>
                <w:sz w:val="20"/>
                <w:szCs w:val="20"/>
              </w:rPr>
            </w:pPr>
            <w:proofErr w:type="spellStart"/>
            <w:r>
              <w:rPr>
                <w:rFonts w:ascii="Arial" w:hAnsi="Arial" w:cs="Arial"/>
                <w:b/>
                <w:bCs/>
                <w:color w:val="000000"/>
                <w:sz w:val="20"/>
                <w:szCs w:val="20"/>
              </w:rPr>
              <w:t>LoE</w:t>
            </w:r>
            <w:proofErr w:type="spellEnd"/>
            <w:r>
              <w:rPr>
                <w:rFonts w:ascii="Arial" w:hAnsi="Arial" w:cs="Arial"/>
                <w:b/>
                <w:bCs/>
                <w:color w:val="000000"/>
                <w:sz w:val="20"/>
                <w:szCs w:val="20"/>
              </w:rPr>
              <w:t xml:space="preserve"> </w:t>
            </w:r>
            <w:r w:rsidRPr="0002762F">
              <w:rPr>
                <w:rFonts w:ascii="Arial" w:hAnsi="Arial" w:cs="Arial"/>
                <w:b/>
                <w:bCs/>
                <w:color w:val="000000"/>
                <w:sz w:val="20"/>
                <w:szCs w:val="20"/>
              </w:rPr>
              <w:t>II-3</w:t>
            </w:r>
          </w:p>
          <w:p w14:paraId="26F45C3D" w14:textId="28E96EE2" w:rsidR="004C646F" w:rsidRPr="0002762F" w:rsidRDefault="004C646F" w:rsidP="00371BF5">
            <w:pPr>
              <w:rPr>
                <w:rFonts w:ascii="Arial" w:hAnsi="Arial" w:cs="Arial"/>
                <w:b/>
                <w:bCs/>
                <w:color w:val="000000"/>
                <w:sz w:val="20"/>
                <w:szCs w:val="20"/>
              </w:rPr>
            </w:pPr>
            <w:r>
              <w:rPr>
                <w:rFonts w:ascii="Arial" w:hAnsi="Arial" w:cs="Arial"/>
                <w:b/>
                <w:bCs/>
                <w:color w:val="000000"/>
                <w:sz w:val="20"/>
                <w:szCs w:val="20"/>
              </w:rPr>
              <w:t xml:space="preserve">GR </w:t>
            </w:r>
            <w:r w:rsidRPr="0002762F">
              <w:rPr>
                <w:rFonts w:ascii="Arial" w:hAnsi="Arial" w:cs="Arial"/>
                <w:b/>
                <w:bCs/>
                <w:color w:val="000000"/>
                <w:sz w:val="20"/>
                <w:szCs w:val="20"/>
              </w:rPr>
              <w:t>B</w:t>
            </w:r>
            <w:r w:rsidRPr="0002762F">
              <w:rPr>
                <w:rFonts w:ascii="Arial" w:hAnsi="Arial" w:cs="Arial"/>
                <w:b/>
                <w:bCs/>
                <w:color w:val="000000"/>
                <w:sz w:val="20"/>
                <w:szCs w:val="20"/>
              </w:rPr>
              <w:br/>
            </w:r>
          </w:p>
          <w:p w14:paraId="40C4EA36" w14:textId="77777777" w:rsidR="004C646F" w:rsidRPr="0002762F" w:rsidRDefault="004C646F" w:rsidP="00371BF5">
            <w:pPr>
              <w:rPr>
                <w:rFonts w:ascii="Arial" w:hAnsi="Arial" w:cs="Arial"/>
                <w:sz w:val="20"/>
                <w:szCs w:val="20"/>
              </w:rPr>
            </w:pPr>
          </w:p>
        </w:tc>
      </w:tr>
      <w:tr w:rsidR="004C646F" w:rsidRPr="0002762F" w14:paraId="2C75641B" w14:textId="5D5A030A" w:rsidTr="004C646F">
        <w:tc>
          <w:tcPr>
            <w:tcW w:w="2089" w:type="pct"/>
          </w:tcPr>
          <w:p w14:paraId="56322777" w14:textId="77777777" w:rsidR="004C646F" w:rsidRPr="0002762F" w:rsidRDefault="004C646F" w:rsidP="00371BF5">
            <w:pPr>
              <w:rPr>
                <w:rFonts w:ascii="Arial" w:hAnsi="Arial" w:cs="Arial"/>
                <w:sz w:val="20"/>
                <w:szCs w:val="20"/>
              </w:rPr>
            </w:pPr>
            <w:r w:rsidRPr="0002762F">
              <w:rPr>
                <w:rFonts w:ascii="Arial" w:hAnsi="Arial" w:cs="Arial"/>
                <w:sz w:val="20"/>
                <w:szCs w:val="20"/>
              </w:rPr>
              <w:t xml:space="preserve">Opioids can be used for chronic non-malignant pain  </w:t>
            </w:r>
          </w:p>
        </w:tc>
        <w:tc>
          <w:tcPr>
            <w:tcW w:w="480" w:type="pct"/>
          </w:tcPr>
          <w:p w14:paraId="1BAAE294" w14:textId="7FFDA1C4" w:rsidR="004C646F" w:rsidRPr="0002762F" w:rsidRDefault="004C646F" w:rsidP="00371BF5">
            <w:pPr>
              <w:rPr>
                <w:rFonts w:ascii="Arial" w:hAnsi="Arial" w:cs="Arial"/>
                <w:sz w:val="20"/>
                <w:szCs w:val="20"/>
              </w:rPr>
            </w:pPr>
          </w:p>
        </w:tc>
        <w:tc>
          <w:tcPr>
            <w:tcW w:w="481" w:type="pct"/>
          </w:tcPr>
          <w:p w14:paraId="5D20EA2B" w14:textId="4051C2CC" w:rsidR="004C646F" w:rsidRPr="0002762F" w:rsidRDefault="004C646F" w:rsidP="00371BF5">
            <w:pPr>
              <w:rPr>
                <w:rFonts w:ascii="Arial" w:hAnsi="Arial" w:cs="Arial"/>
                <w:sz w:val="20"/>
                <w:szCs w:val="20"/>
              </w:rPr>
            </w:pPr>
          </w:p>
        </w:tc>
        <w:tc>
          <w:tcPr>
            <w:tcW w:w="482" w:type="pct"/>
          </w:tcPr>
          <w:p w14:paraId="52C45E65" w14:textId="1E80EE48" w:rsidR="004C646F" w:rsidRPr="0002762F" w:rsidRDefault="004C646F" w:rsidP="00371BF5">
            <w:pPr>
              <w:rPr>
                <w:rFonts w:ascii="Arial" w:hAnsi="Arial" w:cs="Arial"/>
                <w:b/>
                <w:bCs/>
                <w:sz w:val="20"/>
                <w:szCs w:val="20"/>
              </w:rPr>
            </w:pPr>
            <w:proofErr w:type="spellStart"/>
            <w:r w:rsidRPr="0002762F">
              <w:rPr>
                <w:rFonts w:ascii="Arial" w:hAnsi="Arial" w:cs="Arial"/>
                <w:b/>
                <w:bCs/>
                <w:sz w:val="20"/>
                <w:szCs w:val="20"/>
              </w:rPr>
              <w:t>L</w:t>
            </w:r>
            <w:r>
              <w:rPr>
                <w:rFonts w:ascii="Arial" w:hAnsi="Arial" w:cs="Arial"/>
                <w:b/>
                <w:bCs/>
                <w:sz w:val="20"/>
                <w:szCs w:val="20"/>
              </w:rPr>
              <w:t>o</w:t>
            </w:r>
            <w:r w:rsidRPr="0002762F">
              <w:rPr>
                <w:rFonts w:ascii="Arial" w:hAnsi="Arial" w:cs="Arial"/>
                <w:b/>
                <w:bCs/>
                <w:sz w:val="20"/>
                <w:szCs w:val="20"/>
              </w:rPr>
              <w:t>E</w:t>
            </w:r>
            <w:proofErr w:type="spellEnd"/>
            <w:r w:rsidRPr="0002762F">
              <w:rPr>
                <w:rFonts w:ascii="Arial" w:hAnsi="Arial" w:cs="Arial"/>
                <w:b/>
                <w:bCs/>
                <w:sz w:val="20"/>
                <w:szCs w:val="20"/>
              </w:rPr>
              <w:t xml:space="preserve"> 1a</w:t>
            </w:r>
          </w:p>
          <w:p w14:paraId="6C426D39" w14:textId="77777777" w:rsidR="004C646F" w:rsidRDefault="004C646F" w:rsidP="00371BF5">
            <w:pPr>
              <w:rPr>
                <w:rFonts w:ascii="Arial" w:hAnsi="Arial" w:cs="Arial"/>
                <w:b/>
                <w:bCs/>
                <w:sz w:val="20"/>
                <w:szCs w:val="20"/>
              </w:rPr>
            </w:pPr>
            <w:r w:rsidRPr="0002762F">
              <w:rPr>
                <w:rFonts w:ascii="Arial" w:hAnsi="Arial" w:cs="Arial"/>
                <w:b/>
                <w:bCs/>
                <w:sz w:val="20"/>
                <w:szCs w:val="20"/>
              </w:rPr>
              <w:lastRenderedPageBreak/>
              <w:t>GR A</w:t>
            </w:r>
          </w:p>
          <w:p w14:paraId="52661C50" w14:textId="06A46850" w:rsidR="004C646F" w:rsidRPr="0002762F" w:rsidRDefault="004C646F" w:rsidP="00371BF5">
            <w:pPr>
              <w:rPr>
                <w:rFonts w:ascii="Arial" w:hAnsi="Arial" w:cs="Arial"/>
                <w:b/>
                <w:bCs/>
                <w:sz w:val="20"/>
                <w:szCs w:val="20"/>
              </w:rPr>
            </w:pPr>
          </w:p>
        </w:tc>
        <w:tc>
          <w:tcPr>
            <w:tcW w:w="481" w:type="pct"/>
          </w:tcPr>
          <w:p w14:paraId="3258F7D0" w14:textId="77777777" w:rsidR="004C646F" w:rsidRPr="0002762F" w:rsidRDefault="004C646F" w:rsidP="00371BF5">
            <w:pPr>
              <w:rPr>
                <w:rFonts w:ascii="Arial" w:hAnsi="Arial" w:cs="Arial"/>
                <w:sz w:val="20"/>
                <w:szCs w:val="20"/>
              </w:rPr>
            </w:pPr>
          </w:p>
        </w:tc>
        <w:tc>
          <w:tcPr>
            <w:tcW w:w="482" w:type="pct"/>
          </w:tcPr>
          <w:p w14:paraId="0180276E" w14:textId="77777777" w:rsidR="004C646F" w:rsidRPr="0002762F" w:rsidRDefault="004C646F" w:rsidP="00371BF5">
            <w:pPr>
              <w:rPr>
                <w:rFonts w:ascii="Arial" w:hAnsi="Arial" w:cs="Arial"/>
                <w:sz w:val="20"/>
                <w:szCs w:val="20"/>
              </w:rPr>
            </w:pPr>
          </w:p>
        </w:tc>
        <w:tc>
          <w:tcPr>
            <w:tcW w:w="504" w:type="pct"/>
          </w:tcPr>
          <w:p w14:paraId="61338646" w14:textId="77777777" w:rsidR="004C646F" w:rsidRPr="0002762F" w:rsidRDefault="004C646F" w:rsidP="00371BF5">
            <w:pPr>
              <w:rPr>
                <w:rFonts w:ascii="Arial" w:hAnsi="Arial" w:cs="Arial"/>
                <w:sz w:val="20"/>
                <w:szCs w:val="20"/>
              </w:rPr>
            </w:pPr>
          </w:p>
        </w:tc>
      </w:tr>
      <w:tr w:rsidR="004C646F" w:rsidRPr="0002762F" w14:paraId="0194E9B5" w14:textId="77777777" w:rsidTr="004C646F">
        <w:tc>
          <w:tcPr>
            <w:tcW w:w="2089" w:type="pct"/>
          </w:tcPr>
          <w:p w14:paraId="5CAEEB23" w14:textId="77777777" w:rsidR="004C646F" w:rsidRPr="00601EB0" w:rsidRDefault="004C646F" w:rsidP="00601EB0">
            <w:pPr>
              <w:rPr>
                <w:rFonts w:ascii="Arial" w:hAnsi="Arial" w:cs="Arial"/>
                <w:sz w:val="20"/>
                <w:szCs w:val="20"/>
              </w:rPr>
            </w:pPr>
            <w:r w:rsidRPr="00601EB0">
              <w:rPr>
                <w:rFonts w:ascii="Arial" w:hAnsi="Arial" w:cs="Arial"/>
                <w:sz w:val="20"/>
                <w:szCs w:val="20"/>
              </w:rPr>
              <w:t>Opioids are not recommended for the treatment of</w:t>
            </w:r>
          </w:p>
          <w:p w14:paraId="3D7F8378" w14:textId="77777777" w:rsidR="004C646F" w:rsidRPr="00601EB0" w:rsidRDefault="004C646F" w:rsidP="00601EB0">
            <w:pPr>
              <w:rPr>
                <w:rFonts w:ascii="Arial" w:hAnsi="Arial" w:cs="Arial"/>
                <w:sz w:val="20"/>
                <w:szCs w:val="20"/>
              </w:rPr>
            </w:pPr>
            <w:r w:rsidRPr="00601EB0">
              <w:rPr>
                <w:rFonts w:ascii="Arial" w:hAnsi="Arial" w:cs="Arial"/>
                <w:sz w:val="20"/>
                <w:szCs w:val="20"/>
              </w:rPr>
              <w:t>chronic pelvic pain. Patients already on opioids</w:t>
            </w:r>
          </w:p>
          <w:p w14:paraId="44F22B74" w14:textId="5FE35FB1" w:rsidR="004C646F" w:rsidRPr="0002762F" w:rsidRDefault="004C646F" w:rsidP="00601EB0">
            <w:pPr>
              <w:rPr>
                <w:rFonts w:ascii="Arial" w:hAnsi="Arial" w:cs="Arial"/>
                <w:sz w:val="20"/>
                <w:szCs w:val="20"/>
              </w:rPr>
            </w:pPr>
            <w:r w:rsidRPr="00601EB0">
              <w:rPr>
                <w:rFonts w:ascii="Arial" w:hAnsi="Arial" w:cs="Arial"/>
                <w:sz w:val="20"/>
                <w:szCs w:val="20"/>
              </w:rPr>
              <w:t>should be slowly weaned.</w:t>
            </w:r>
          </w:p>
        </w:tc>
        <w:tc>
          <w:tcPr>
            <w:tcW w:w="480" w:type="pct"/>
          </w:tcPr>
          <w:p w14:paraId="5750E05E" w14:textId="77777777" w:rsidR="004C646F" w:rsidRPr="00601EB0" w:rsidRDefault="004C646F" w:rsidP="00371BF5">
            <w:pPr>
              <w:rPr>
                <w:rFonts w:ascii="Arial" w:hAnsi="Arial" w:cs="Arial"/>
                <w:b/>
                <w:bCs/>
                <w:sz w:val="20"/>
                <w:szCs w:val="20"/>
              </w:rPr>
            </w:pPr>
            <w:proofErr w:type="spellStart"/>
            <w:r w:rsidRPr="00601EB0">
              <w:rPr>
                <w:rFonts w:ascii="Arial" w:hAnsi="Arial" w:cs="Arial"/>
                <w:b/>
                <w:bCs/>
                <w:sz w:val="20"/>
                <w:szCs w:val="20"/>
              </w:rPr>
              <w:t>LoE</w:t>
            </w:r>
            <w:proofErr w:type="spellEnd"/>
            <w:r w:rsidRPr="00601EB0">
              <w:rPr>
                <w:rFonts w:ascii="Arial" w:hAnsi="Arial" w:cs="Arial"/>
                <w:b/>
                <w:bCs/>
                <w:sz w:val="20"/>
                <w:szCs w:val="20"/>
              </w:rPr>
              <w:t xml:space="preserve"> not reported </w:t>
            </w:r>
          </w:p>
          <w:p w14:paraId="2677A78C" w14:textId="77777777" w:rsidR="004C646F" w:rsidRPr="00601EB0" w:rsidRDefault="004C646F" w:rsidP="00371BF5">
            <w:pPr>
              <w:rPr>
                <w:rFonts w:ascii="Arial" w:hAnsi="Arial" w:cs="Arial"/>
                <w:b/>
                <w:bCs/>
                <w:sz w:val="20"/>
                <w:szCs w:val="20"/>
              </w:rPr>
            </w:pPr>
            <w:r w:rsidRPr="00601EB0">
              <w:rPr>
                <w:rFonts w:ascii="Arial" w:hAnsi="Arial" w:cs="Arial"/>
                <w:b/>
                <w:bCs/>
                <w:sz w:val="20"/>
                <w:szCs w:val="20"/>
              </w:rPr>
              <w:t>GR B</w:t>
            </w:r>
          </w:p>
          <w:p w14:paraId="744B2FE9" w14:textId="762FE52B" w:rsidR="004C646F" w:rsidRPr="0002762F" w:rsidRDefault="004C646F" w:rsidP="00371BF5">
            <w:pPr>
              <w:rPr>
                <w:rFonts w:ascii="Arial" w:hAnsi="Arial" w:cs="Arial"/>
                <w:sz w:val="20"/>
                <w:szCs w:val="20"/>
              </w:rPr>
            </w:pPr>
          </w:p>
        </w:tc>
        <w:tc>
          <w:tcPr>
            <w:tcW w:w="481" w:type="pct"/>
          </w:tcPr>
          <w:p w14:paraId="0379FAA1" w14:textId="77777777" w:rsidR="004C646F" w:rsidRPr="0002762F" w:rsidRDefault="004C646F" w:rsidP="00371BF5">
            <w:pPr>
              <w:rPr>
                <w:rFonts w:ascii="Arial" w:hAnsi="Arial" w:cs="Arial"/>
                <w:sz w:val="20"/>
                <w:szCs w:val="20"/>
              </w:rPr>
            </w:pPr>
          </w:p>
        </w:tc>
        <w:tc>
          <w:tcPr>
            <w:tcW w:w="482" w:type="pct"/>
          </w:tcPr>
          <w:p w14:paraId="7990A510" w14:textId="77777777" w:rsidR="004C646F" w:rsidRPr="0002762F" w:rsidRDefault="004C646F" w:rsidP="00371BF5">
            <w:pPr>
              <w:rPr>
                <w:rFonts w:ascii="Arial" w:hAnsi="Arial" w:cs="Arial"/>
                <w:b/>
                <w:bCs/>
                <w:sz w:val="20"/>
                <w:szCs w:val="20"/>
              </w:rPr>
            </w:pPr>
          </w:p>
        </w:tc>
        <w:tc>
          <w:tcPr>
            <w:tcW w:w="481" w:type="pct"/>
          </w:tcPr>
          <w:p w14:paraId="3D1947F4" w14:textId="77777777" w:rsidR="004C646F" w:rsidRPr="0002762F" w:rsidRDefault="004C646F" w:rsidP="00371BF5">
            <w:pPr>
              <w:rPr>
                <w:rFonts w:ascii="Arial" w:hAnsi="Arial" w:cs="Arial"/>
                <w:sz w:val="20"/>
                <w:szCs w:val="20"/>
              </w:rPr>
            </w:pPr>
          </w:p>
        </w:tc>
        <w:tc>
          <w:tcPr>
            <w:tcW w:w="482" w:type="pct"/>
          </w:tcPr>
          <w:p w14:paraId="0DEA4046" w14:textId="77777777" w:rsidR="004C646F" w:rsidRPr="0002762F" w:rsidRDefault="004C646F" w:rsidP="00371BF5">
            <w:pPr>
              <w:rPr>
                <w:rFonts w:ascii="Arial" w:hAnsi="Arial" w:cs="Arial"/>
                <w:sz w:val="20"/>
                <w:szCs w:val="20"/>
              </w:rPr>
            </w:pPr>
          </w:p>
        </w:tc>
        <w:tc>
          <w:tcPr>
            <w:tcW w:w="504" w:type="pct"/>
          </w:tcPr>
          <w:p w14:paraId="6EB06EBB" w14:textId="77777777" w:rsidR="004C646F" w:rsidRPr="0002762F" w:rsidRDefault="004C646F" w:rsidP="00371BF5">
            <w:pPr>
              <w:rPr>
                <w:rFonts w:ascii="Arial" w:hAnsi="Arial" w:cs="Arial"/>
                <w:sz w:val="20"/>
                <w:szCs w:val="20"/>
              </w:rPr>
            </w:pPr>
          </w:p>
        </w:tc>
      </w:tr>
      <w:tr w:rsidR="004C646F" w:rsidRPr="0002762F" w14:paraId="3B320064" w14:textId="10B31E00" w:rsidTr="004C646F">
        <w:tc>
          <w:tcPr>
            <w:tcW w:w="2089" w:type="pct"/>
          </w:tcPr>
          <w:p w14:paraId="52CAA470" w14:textId="77777777" w:rsidR="004C646F" w:rsidRDefault="004C646F" w:rsidP="00371BF5">
            <w:pPr>
              <w:rPr>
                <w:rFonts w:ascii="Arial" w:hAnsi="Arial" w:cs="Arial"/>
                <w:sz w:val="20"/>
                <w:szCs w:val="20"/>
              </w:rPr>
            </w:pPr>
            <w:r w:rsidRPr="0002762F">
              <w:rPr>
                <w:rFonts w:ascii="Arial" w:hAnsi="Arial" w:cs="Arial"/>
                <w:sz w:val="20"/>
                <w:szCs w:val="20"/>
              </w:rPr>
              <w:t>All other reasonable treatments must have been tried and failed before using opioids for chronic non-urogenital pain</w:t>
            </w:r>
          </w:p>
          <w:p w14:paraId="1CC8A636" w14:textId="319C4332" w:rsidR="004C646F" w:rsidRPr="0002762F" w:rsidRDefault="004C646F" w:rsidP="00371BF5">
            <w:pPr>
              <w:rPr>
                <w:rFonts w:ascii="Arial" w:hAnsi="Arial" w:cs="Arial"/>
                <w:sz w:val="20"/>
                <w:szCs w:val="20"/>
              </w:rPr>
            </w:pPr>
          </w:p>
        </w:tc>
        <w:tc>
          <w:tcPr>
            <w:tcW w:w="480" w:type="pct"/>
          </w:tcPr>
          <w:p w14:paraId="27B3E297" w14:textId="1FD4FC87" w:rsidR="004C646F" w:rsidRPr="0002762F" w:rsidRDefault="004C646F" w:rsidP="00371BF5">
            <w:pPr>
              <w:rPr>
                <w:rFonts w:ascii="Arial" w:hAnsi="Arial" w:cs="Arial"/>
                <w:sz w:val="20"/>
                <w:szCs w:val="20"/>
              </w:rPr>
            </w:pPr>
          </w:p>
        </w:tc>
        <w:tc>
          <w:tcPr>
            <w:tcW w:w="481" w:type="pct"/>
          </w:tcPr>
          <w:p w14:paraId="589D2618" w14:textId="05C312C6" w:rsidR="004C646F" w:rsidRPr="0002762F" w:rsidRDefault="004C646F" w:rsidP="00371BF5">
            <w:pPr>
              <w:rPr>
                <w:rFonts w:ascii="Arial" w:hAnsi="Arial" w:cs="Arial"/>
                <w:sz w:val="20"/>
                <w:szCs w:val="20"/>
              </w:rPr>
            </w:pPr>
          </w:p>
        </w:tc>
        <w:tc>
          <w:tcPr>
            <w:tcW w:w="482" w:type="pct"/>
          </w:tcPr>
          <w:p w14:paraId="1FCB38F4" w14:textId="77777777" w:rsidR="004C646F" w:rsidRPr="0002762F" w:rsidRDefault="004C646F" w:rsidP="00371BF5">
            <w:pPr>
              <w:rPr>
                <w:rFonts w:ascii="Arial" w:hAnsi="Arial" w:cs="Arial"/>
                <w:b/>
                <w:bCs/>
                <w:sz w:val="20"/>
                <w:szCs w:val="20"/>
              </w:rPr>
            </w:pPr>
            <w:r w:rsidRPr="0002762F">
              <w:rPr>
                <w:rFonts w:ascii="Arial" w:hAnsi="Arial" w:cs="Arial"/>
                <w:b/>
                <w:bCs/>
                <w:sz w:val="20"/>
                <w:szCs w:val="20"/>
              </w:rPr>
              <w:t>No evidence</w:t>
            </w:r>
          </w:p>
        </w:tc>
        <w:tc>
          <w:tcPr>
            <w:tcW w:w="481" w:type="pct"/>
          </w:tcPr>
          <w:p w14:paraId="5254BCB6" w14:textId="77777777" w:rsidR="004C646F" w:rsidRPr="0002762F" w:rsidRDefault="004C646F" w:rsidP="00371BF5">
            <w:pPr>
              <w:rPr>
                <w:rFonts w:ascii="Arial" w:hAnsi="Arial" w:cs="Arial"/>
                <w:sz w:val="20"/>
                <w:szCs w:val="20"/>
              </w:rPr>
            </w:pPr>
          </w:p>
        </w:tc>
        <w:tc>
          <w:tcPr>
            <w:tcW w:w="482" w:type="pct"/>
          </w:tcPr>
          <w:p w14:paraId="638D34DD" w14:textId="77777777" w:rsidR="004C646F" w:rsidRPr="0002762F" w:rsidRDefault="004C646F" w:rsidP="00371BF5">
            <w:pPr>
              <w:rPr>
                <w:rFonts w:ascii="Arial" w:hAnsi="Arial" w:cs="Arial"/>
                <w:sz w:val="20"/>
                <w:szCs w:val="20"/>
              </w:rPr>
            </w:pPr>
          </w:p>
        </w:tc>
        <w:tc>
          <w:tcPr>
            <w:tcW w:w="504" w:type="pct"/>
          </w:tcPr>
          <w:p w14:paraId="42928F10" w14:textId="77777777" w:rsidR="004C646F" w:rsidRPr="0002762F" w:rsidRDefault="004C646F" w:rsidP="00371BF5">
            <w:pPr>
              <w:rPr>
                <w:rFonts w:ascii="Arial" w:hAnsi="Arial" w:cs="Arial"/>
                <w:sz w:val="20"/>
                <w:szCs w:val="20"/>
              </w:rPr>
            </w:pPr>
          </w:p>
        </w:tc>
      </w:tr>
      <w:tr w:rsidR="004C646F" w:rsidRPr="0002762F" w14:paraId="29186667" w14:textId="0B8720F9" w:rsidTr="004C646F">
        <w:tc>
          <w:tcPr>
            <w:tcW w:w="2089" w:type="pct"/>
          </w:tcPr>
          <w:p w14:paraId="163FF67D" w14:textId="77777777" w:rsidR="004C646F" w:rsidRDefault="004C646F" w:rsidP="00371BF5">
            <w:pPr>
              <w:rPr>
                <w:rFonts w:ascii="Arial" w:hAnsi="Arial" w:cs="Arial"/>
                <w:sz w:val="20"/>
                <w:szCs w:val="20"/>
              </w:rPr>
            </w:pPr>
            <w:r w:rsidRPr="0002762F">
              <w:rPr>
                <w:rFonts w:ascii="Arial" w:hAnsi="Arial" w:cs="Arial"/>
                <w:sz w:val="20"/>
                <w:szCs w:val="20"/>
              </w:rPr>
              <w:t>Where there is a history or suspicion of drug abuse, a psychiatrist or psychologist with an interest in</w:t>
            </w:r>
            <w:r>
              <w:rPr>
                <w:rFonts w:ascii="Arial" w:hAnsi="Arial" w:cs="Arial"/>
                <w:sz w:val="20"/>
                <w:szCs w:val="20"/>
              </w:rPr>
              <w:t xml:space="preserve"> </w:t>
            </w:r>
            <w:r w:rsidRPr="0002762F">
              <w:rPr>
                <w:rFonts w:ascii="Arial" w:hAnsi="Arial" w:cs="Arial"/>
                <w:sz w:val="20"/>
                <w:szCs w:val="20"/>
              </w:rPr>
              <w:t>pain management and drug addiction should be involved. (chronic non-urogenital pain)</w:t>
            </w:r>
          </w:p>
          <w:p w14:paraId="1CC72A5E" w14:textId="45A64208" w:rsidR="004C646F" w:rsidRPr="0002762F" w:rsidRDefault="004C646F" w:rsidP="00371BF5">
            <w:pPr>
              <w:rPr>
                <w:rFonts w:ascii="Arial" w:hAnsi="Arial" w:cs="Arial"/>
                <w:sz w:val="20"/>
                <w:szCs w:val="20"/>
              </w:rPr>
            </w:pPr>
          </w:p>
        </w:tc>
        <w:tc>
          <w:tcPr>
            <w:tcW w:w="480" w:type="pct"/>
          </w:tcPr>
          <w:p w14:paraId="4EF8F37B" w14:textId="1E14FF6D" w:rsidR="004C646F" w:rsidRPr="0002762F" w:rsidRDefault="004C646F" w:rsidP="00371BF5">
            <w:pPr>
              <w:rPr>
                <w:rFonts w:ascii="Arial" w:hAnsi="Arial" w:cs="Arial"/>
                <w:sz w:val="20"/>
                <w:szCs w:val="20"/>
              </w:rPr>
            </w:pPr>
          </w:p>
        </w:tc>
        <w:tc>
          <w:tcPr>
            <w:tcW w:w="481" w:type="pct"/>
          </w:tcPr>
          <w:p w14:paraId="1FB1136B" w14:textId="3B087839" w:rsidR="004C646F" w:rsidRPr="0002762F" w:rsidRDefault="004C646F" w:rsidP="00371BF5">
            <w:pPr>
              <w:rPr>
                <w:rFonts w:ascii="Arial" w:hAnsi="Arial" w:cs="Arial"/>
                <w:sz w:val="20"/>
                <w:szCs w:val="20"/>
              </w:rPr>
            </w:pPr>
          </w:p>
        </w:tc>
        <w:tc>
          <w:tcPr>
            <w:tcW w:w="482" w:type="pct"/>
          </w:tcPr>
          <w:p w14:paraId="6742BD58" w14:textId="77777777" w:rsidR="004C646F" w:rsidRPr="0002762F" w:rsidRDefault="004C646F" w:rsidP="00371BF5">
            <w:pPr>
              <w:rPr>
                <w:rFonts w:ascii="Arial" w:hAnsi="Arial" w:cs="Arial"/>
                <w:b/>
                <w:bCs/>
                <w:sz w:val="20"/>
                <w:szCs w:val="20"/>
              </w:rPr>
            </w:pPr>
            <w:r w:rsidRPr="0002762F">
              <w:rPr>
                <w:rFonts w:ascii="Arial" w:hAnsi="Arial" w:cs="Arial"/>
                <w:b/>
                <w:bCs/>
                <w:sz w:val="20"/>
                <w:szCs w:val="20"/>
              </w:rPr>
              <w:t>No evidence</w:t>
            </w:r>
          </w:p>
        </w:tc>
        <w:tc>
          <w:tcPr>
            <w:tcW w:w="481" w:type="pct"/>
          </w:tcPr>
          <w:p w14:paraId="0666D222" w14:textId="77777777" w:rsidR="004C646F" w:rsidRPr="0002762F" w:rsidRDefault="004C646F" w:rsidP="00371BF5">
            <w:pPr>
              <w:rPr>
                <w:rFonts w:ascii="Arial" w:hAnsi="Arial" w:cs="Arial"/>
                <w:sz w:val="20"/>
                <w:szCs w:val="20"/>
              </w:rPr>
            </w:pPr>
          </w:p>
        </w:tc>
        <w:tc>
          <w:tcPr>
            <w:tcW w:w="482" w:type="pct"/>
          </w:tcPr>
          <w:p w14:paraId="30E3AAB3" w14:textId="77777777" w:rsidR="004C646F" w:rsidRPr="0002762F" w:rsidRDefault="004C646F" w:rsidP="00371BF5">
            <w:pPr>
              <w:rPr>
                <w:rFonts w:ascii="Arial" w:hAnsi="Arial" w:cs="Arial"/>
                <w:sz w:val="20"/>
                <w:szCs w:val="20"/>
              </w:rPr>
            </w:pPr>
          </w:p>
        </w:tc>
        <w:tc>
          <w:tcPr>
            <w:tcW w:w="504" w:type="pct"/>
          </w:tcPr>
          <w:p w14:paraId="5A08A0DC" w14:textId="77777777" w:rsidR="004C646F" w:rsidRPr="0002762F" w:rsidRDefault="004C646F" w:rsidP="00371BF5">
            <w:pPr>
              <w:rPr>
                <w:rFonts w:ascii="Arial" w:hAnsi="Arial" w:cs="Arial"/>
                <w:sz w:val="20"/>
                <w:szCs w:val="20"/>
              </w:rPr>
            </w:pPr>
          </w:p>
        </w:tc>
      </w:tr>
      <w:tr w:rsidR="004C646F" w:rsidRPr="0002762F" w14:paraId="10205EE4" w14:textId="180FFECD" w:rsidTr="004C646F">
        <w:tc>
          <w:tcPr>
            <w:tcW w:w="2089" w:type="pct"/>
          </w:tcPr>
          <w:p w14:paraId="5CE61990" w14:textId="77777777" w:rsidR="004C646F" w:rsidRDefault="004C646F" w:rsidP="00371BF5">
            <w:pPr>
              <w:rPr>
                <w:rFonts w:ascii="Arial" w:hAnsi="Arial" w:cs="Arial"/>
                <w:sz w:val="20"/>
                <w:szCs w:val="20"/>
              </w:rPr>
            </w:pPr>
            <w:r w:rsidRPr="0002762F">
              <w:rPr>
                <w:rFonts w:ascii="Arial" w:hAnsi="Arial" w:cs="Arial"/>
                <w:sz w:val="20"/>
                <w:szCs w:val="20"/>
              </w:rPr>
              <w:t>The patient should undergo a trial of opioids in chronic non-urogenital pain</w:t>
            </w:r>
          </w:p>
          <w:p w14:paraId="046AC18A" w14:textId="2EDFDB20" w:rsidR="004C646F" w:rsidRPr="0002762F" w:rsidRDefault="004C646F" w:rsidP="00371BF5">
            <w:pPr>
              <w:rPr>
                <w:rFonts w:ascii="Arial" w:hAnsi="Arial" w:cs="Arial"/>
                <w:sz w:val="20"/>
                <w:szCs w:val="20"/>
              </w:rPr>
            </w:pPr>
          </w:p>
        </w:tc>
        <w:tc>
          <w:tcPr>
            <w:tcW w:w="480" w:type="pct"/>
          </w:tcPr>
          <w:p w14:paraId="32F22607" w14:textId="239D077B" w:rsidR="004C646F" w:rsidRPr="0002762F" w:rsidRDefault="004C646F" w:rsidP="00371BF5">
            <w:pPr>
              <w:rPr>
                <w:rFonts w:ascii="Arial" w:hAnsi="Arial" w:cs="Arial"/>
                <w:sz w:val="20"/>
                <w:szCs w:val="20"/>
              </w:rPr>
            </w:pPr>
          </w:p>
        </w:tc>
        <w:tc>
          <w:tcPr>
            <w:tcW w:w="481" w:type="pct"/>
          </w:tcPr>
          <w:p w14:paraId="0E8F6F07" w14:textId="3FA1882E" w:rsidR="004C646F" w:rsidRPr="0002762F" w:rsidRDefault="004C646F" w:rsidP="00371BF5">
            <w:pPr>
              <w:rPr>
                <w:rFonts w:ascii="Arial" w:hAnsi="Arial" w:cs="Arial"/>
                <w:sz w:val="20"/>
                <w:szCs w:val="20"/>
              </w:rPr>
            </w:pPr>
          </w:p>
        </w:tc>
        <w:tc>
          <w:tcPr>
            <w:tcW w:w="482" w:type="pct"/>
          </w:tcPr>
          <w:p w14:paraId="2FA3133F" w14:textId="77777777" w:rsidR="004C646F" w:rsidRPr="0002762F" w:rsidRDefault="004C646F" w:rsidP="00371BF5">
            <w:pPr>
              <w:rPr>
                <w:rFonts w:ascii="Arial" w:hAnsi="Arial" w:cs="Arial"/>
                <w:b/>
                <w:bCs/>
                <w:sz w:val="20"/>
                <w:szCs w:val="20"/>
              </w:rPr>
            </w:pPr>
            <w:r w:rsidRPr="0002762F">
              <w:rPr>
                <w:rFonts w:ascii="Arial" w:hAnsi="Arial" w:cs="Arial"/>
                <w:b/>
                <w:bCs/>
                <w:sz w:val="20"/>
                <w:szCs w:val="20"/>
              </w:rPr>
              <w:t>No evidence</w:t>
            </w:r>
          </w:p>
        </w:tc>
        <w:tc>
          <w:tcPr>
            <w:tcW w:w="481" w:type="pct"/>
          </w:tcPr>
          <w:p w14:paraId="1E26181A" w14:textId="77777777" w:rsidR="004C646F" w:rsidRPr="0002762F" w:rsidRDefault="004C646F" w:rsidP="00371BF5">
            <w:pPr>
              <w:rPr>
                <w:rFonts w:ascii="Arial" w:hAnsi="Arial" w:cs="Arial"/>
                <w:sz w:val="20"/>
                <w:szCs w:val="20"/>
              </w:rPr>
            </w:pPr>
          </w:p>
        </w:tc>
        <w:tc>
          <w:tcPr>
            <w:tcW w:w="482" w:type="pct"/>
          </w:tcPr>
          <w:p w14:paraId="1E3C734F" w14:textId="77777777" w:rsidR="004C646F" w:rsidRPr="0002762F" w:rsidRDefault="004C646F" w:rsidP="00371BF5">
            <w:pPr>
              <w:rPr>
                <w:rFonts w:ascii="Arial" w:hAnsi="Arial" w:cs="Arial"/>
                <w:sz w:val="20"/>
                <w:szCs w:val="20"/>
              </w:rPr>
            </w:pPr>
          </w:p>
        </w:tc>
        <w:tc>
          <w:tcPr>
            <w:tcW w:w="504" w:type="pct"/>
          </w:tcPr>
          <w:p w14:paraId="38AEC102" w14:textId="77777777" w:rsidR="004C646F" w:rsidRPr="0002762F" w:rsidRDefault="004C646F" w:rsidP="00371BF5">
            <w:pPr>
              <w:rPr>
                <w:rFonts w:ascii="Arial" w:hAnsi="Arial" w:cs="Arial"/>
                <w:sz w:val="20"/>
                <w:szCs w:val="20"/>
              </w:rPr>
            </w:pPr>
          </w:p>
        </w:tc>
      </w:tr>
      <w:tr w:rsidR="004C646F" w:rsidRPr="0002762F" w14:paraId="5B2F789E" w14:textId="232F4EF5" w:rsidTr="004C646F">
        <w:tc>
          <w:tcPr>
            <w:tcW w:w="2089" w:type="pct"/>
          </w:tcPr>
          <w:p w14:paraId="0E5A1A90" w14:textId="0E6D16AC" w:rsidR="004C646F" w:rsidRDefault="004C646F" w:rsidP="00371BF5">
            <w:pPr>
              <w:rPr>
                <w:rFonts w:ascii="Arial" w:hAnsi="Arial" w:cs="Arial"/>
                <w:sz w:val="20"/>
                <w:szCs w:val="20"/>
              </w:rPr>
            </w:pPr>
            <w:r w:rsidRPr="0002762F">
              <w:rPr>
                <w:rFonts w:ascii="Arial" w:hAnsi="Arial" w:cs="Arial"/>
                <w:sz w:val="20"/>
                <w:szCs w:val="20"/>
              </w:rPr>
              <w:t>The dose required needs to be calculated by careful titration in</w:t>
            </w:r>
            <w:r>
              <w:rPr>
                <w:rFonts w:ascii="Arial" w:hAnsi="Arial" w:cs="Arial"/>
                <w:sz w:val="20"/>
                <w:szCs w:val="20"/>
              </w:rPr>
              <w:t xml:space="preserve"> </w:t>
            </w:r>
            <w:r w:rsidRPr="0002762F">
              <w:rPr>
                <w:rFonts w:ascii="Arial" w:hAnsi="Arial" w:cs="Arial"/>
                <w:sz w:val="20"/>
                <w:szCs w:val="20"/>
              </w:rPr>
              <w:t>chronic non-urogenital pain</w:t>
            </w:r>
          </w:p>
          <w:p w14:paraId="210B3433" w14:textId="026F9956" w:rsidR="004C646F" w:rsidRPr="0002762F" w:rsidRDefault="004C646F" w:rsidP="00371BF5">
            <w:pPr>
              <w:rPr>
                <w:rFonts w:ascii="Arial" w:hAnsi="Arial" w:cs="Arial"/>
                <w:sz w:val="20"/>
                <w:szCs w:val="20"/>
              </w:rPr>
            </w:pPr>
          </w:p>
        </w:tc>
        <w:tc>
          <w:tcPr>
            <w:tcW w:w="480" w:type="pct"/>
          </w:tcPr>
          <w:p w14:paraId="1CB10559" w14:textId="36253E8E" w:rsidR="004C646F" w:rsidRPr="0002762F" w:rsidRDefault="004C646F" w:rsidP="00371BF5">
            <w:pPr>
              <w:rPr>
                <w:rFonts w:ascii="Arial" w:hAnsi="Arial" w:cs="Arial"/>
                <w:sz w:val="20"/>
                <w:szCs w:val="20"/>
              </w:rPr>
            </w:pPr>
          </w:p>
        </w:tc>
        <w:tc>
          <w:tcPr>
            <w:tcW w:w="481" w:type="pct"/>
          </w:tcPr>
          <w:p w14:paraId="45DE4E96" w14:textId="0EA9A1CE" w:rsidR="004C646F" w:rsidRPr="0002762F" w:rsidRDefault="004C646F" w:rsidP="00371BF5">
            <w:pPr>
              <w:rPr>
                <w:rFonts w:ascii="Arial" w:hAnsi="Arial" w:cs="Arial"/>
                <w:sz w:val="20"/>
                <w:szCs w:val="20"/>
              </w:rPr>
            </w:pPr>
          </w:p>
        </w:tc>
        <w:tc>
          <w:tcPr>
            <w:tcW w:w="482" w:type="pct"/>
          </w:tcPr>
          <w:p w14:paraId="7C79A3F5" w14:textId="20CC58A0" w:rsidR="004C646F" w:rsidRPr="0002762F" w:rsidRDefault="004C646F" w:rsidP="00371BF5">
            <w:pPr>
              <w:rPr>
                <w:rFonts w:ascii="Arial" w:hAnsi="Arial" w:cs="Arial"/>
                <w:b/>
                <w:bCs/>
                <w:sz w:val="20"/>
                <w:szCs w:val="20"/>
              </w:rPr>
            </w:pPr>
            <w:r w:rsidRPr="0002762F">
              <w:rPr>
                <w:rFonts w:ascii="Arial" w:hAnsi="Arial" w:cs="Arial"/>
                <w:b/>
                <w:bCs/>
                <w:sz w:val="20"/>
                <w:szCs w:val="20"/>
              </w:rPr>
              <w:t>No evidence</w:t>
            </w:r>
          </w:p>
        </w:tc>
        <w:tc>
          <w:tcPr>
            <w:tcW w:w="481" w:type="pct"/>
          </w:tcPr>
          <w:p w14:paraId="6193FB8B" w14:textId="77777777" w:rsidR="004C646F" w:rsidRPr="0002762F" w:rsidRDefault="004C646F" w:rsidP="00371BF5">
            <w:pPr>
              <w:rPr>
                <w:rFonts w:ascii="Arial" w:hAnsi="Arial" w:cs="Arial"/>
                <w:sz w:val="20"/>
                <w:szCs w:val="20"/>
              </w:rPr>
            </w:pPr>
          </w:p>
        </w:tc>
        <w:tc>
          <w:tcPr>
            <w:tcW w:w="482" w:type="pct"/>
          </w:tcPr>
          <w:p w14:paraId="195B35E6" w14:textId="77777777" w:rsidR="004C646F" w:rsidRPr="0002762F" w:rsidRDefault="004C646F" w:rsidP="00371BF5">
            <w:pPr>
              <w:rPr>
                <w:rFonts w:ascii="Arial" w:hAnsi="Arial" w:cs="Arial"/>
                <w:sz w:val="20"/>
                <w:szCs w:val="20"/>
              </w:rPr>
            </w:pPr>
          </w:p>
        </w:tc>
        <w:tc>
          <w:tcPr>
            <w:tcW w:w="504" w:type="pct"/>
          </w:tcPr>
          <w:p w14:paraId="68F4CFB0" w14:textId="77777777" w:rsidR="004C646F" w:rsidRPr="0002762F" w:rsidRDefault="004C646F" w:rsidP="00371BF5">
            <w:pPr>
              <w:rPr>
                <w:rFonts w:ascii="Arial" w:hAnsi="Arial" w:cs="Arial"/>
                <w:sz w:val="20"/>
                <w:szCs w:val="20"/>
              </w:rPr>
            </w:pPr>
          </w:p>
        </w:tc>
      </w:tr>
      <w:tr w:rsidR="004C646F" w:rsidRPr="0002762F" w14:paraId="57010473" w14:textId="12D0861B" w:rsidTr="004C646F">
        <w:tc>
          <w:tcPr>
            <w:tcW w:w="2089" w:type="pct"/>
          </w:tcPr>
          <w:p w14:paraId="10FFC4CA" w14:textId="77777777" w:rsidR="004C646F" w:rsidRPr="0002762F" w:rsidRDefault="004C646F" w:rsidP="00371BF5">
            <w:pPr>
              <w:rPr>
                <w:rFonts w:ascii="Arial" w:hAnsi="Arial" w:cs="Arial"/>
                <w:color w:val="000000"/>
                <w:sz w:val="20"/>
                <w:szCs w:val="20"/>
              </w:rPr>
            </w:pPr>
            <w:r w:rsidRPr="0002762F">
              <w:rPr>
                <w:rFonts w:ascii="Arial" w:hAnsi="Arial" w:cs="Arial"/>
                <w:color w:val="000000"/>
                <w:sz w:val="20"/>
                <w:szCs w:val="20"/>
              </w:rPr>
              <w:t>The patient should be made aware (and possibly give written consent): (indication chronic non-urogenital pain)</w:t>
            </w:r>
            <w:r w:rsidRPr="0002762F">
              <w:rPr>
                <w:rFonts w:ascii="Arial" w:hAnsi="Arial" w:cs="Arial"/>
                <w:color w:val="000000"/>
                <w:sz w:val="20"/>
                <w:szCs w:val="20"/>
              </w:rPr>
              <w:br/>
              <w:t>• Opioids are strong drugs and associated with addiction and dependency.</w:t>
            </w:r>
            <w:r w:rsidRPr="0002762F">
              <w:rPr>
                <w:rFonts w:ascii="Arial" w:hAnsi="Arial" w:cs="Arial"/>
                <w:color w:val="000000"/>
                <w:sz w:val="20"/>
                <w:szCs w:val="20"/>
              </w:rPr>
              <w:br/>
              <w:t>• Opioids will normally only be prescribed from one source (preferably the family doctor).</w:t>
            </w:r>
            <w:r w:rsidRPr="0002762F">
              <w:rPr>
                <w:rFonts w:ascii="Arial" w:hAnsi="Arial" w:cs="Arial"/>
                <w:color w:val="000000"/>
                <w:sz w:val="20"/>
                <w:szCs w:val="20"/>
              </w:rPr>
              <w:br/>
              <w:t>• The drugs will be prescribed for fixed periods of time and a new prescription will not be available</w:t>
            </w:r>
            <w:r w:rsidRPr="0002762F">
              <w:rPr>
                <w:rFonts w:ascii="Arial" w:hAnsi="Arial" w:cs="Arial"/>
                <w:color w:val="000000"/>
                <w:sz w:val="20"/>
                <w:szCs w:val="20"/>
              </w:rPr>
              <w:br/>
              <w:t>until the end of that period.</w:t>
            </w:r>
            <w:r w:rsidRPr="0002762F">
              <w:rPr>
                <w:rFonts w:ascii="Arial" w:hAnsi="Arial" w:cs="Arial"/>
                <w:color w:val="000000"/>
                <w:sz w:val="20"/>
                <w:szCs w:val="20"/>
              </w:rPr>
              <w:br/>
              <w:t>• The patient may be subjected to spot urine and possibly blood checks to ensure that the drug is</w:t>
            </w:r>
            <w:r w:rsidRPr="0002762F">
              <w:rPr>
                <w:rFonts w:ascii="Arial" w:hAnsi="Arial" w:cs="Arial"/>
                <w:color w:val="000000"/>
                <w:sz w:val="20"/>
                <w:szCs w:val="20"/>
              </w:rPr>
              <w:br/>
              <w:t>being taken as prescribed, and that non-prescribed drugs are not being taken.</w:t>
            </w:r>
            <w:r w:rsidRPr="0002762F">
              <w:rPr>
                <w:rFonts w:ascii="Arial" w:hAnsi="Arial" w:cs="Arial"/>
                <w:color w:val="000000"/>
                <w:sz w:val="20"/>
                <w:szCs w:val="20"/>
              </w:rPr>
              <w:br/>
              <w:t>• Inappropriate aggressive behaviour associated with demanding the drug will not be accepted.</w:t>
            </w:r>
            <w:r w:rsidRPr="0002762F">
              <w:rPr>
                <w:rFonts w:ascii="Arial" w:hAnsi="Arial" w:cs="Arial"/>
                <w:color w:val="000000"/>
                <w:sz w:val="20"/>
                <w:szCs w:val="20"/>
              </w:rPr>
              <w:br/>
              <w:t>• Hospital specialist review will normally occur at least once a year.</w:t>
            </w:r>
            <w:r w:rsidRPr="0002762F">
              <w:rPr>
                <w:rFonts w:ascii="Arial" w:hAnsi="Arial" w:cs="Arial"/>
                <w:color w:val="000000"/>
                <w:sz w:val="20"/>
                <w:szCs w:val="20"/>
              </w:rPr>
              <w:br/>
              <w:t xml:space="preserve">• The patient may be requested to attend a </w:t>
            </w:r>
            <w:r w:rsidRPr="0002762F">
              <w:rPr>
                <w:rFonts w:ascii="Arial" w:hAnsi="Arial" w:cs="Arial"/>
                <w:color w:val="000000"/>
                <w:sz w:val="20"/>
                <w:szCs w:val="20"/>
              </w:rPr>
              <w:lastRenderedPageBreak/>
              <w:t>psychiatric/psychological review.</w:t>
            </w:r>
            <w:r w:rsidRPr="0002762F">
              <w:rPr>
                <w:rFonts w:ascii="Arial" w:hAnsi="Arial" w:cs="Arial"/>
                <w:color w:val="000000"/>
                <w:sz w:val="20"/>
                <w:szCs w:val="20"/>
              </w:rPr>
              <w:br/>
              <w:t>Failure to comply with the above may result in the patient being referred to a drug dependency agency</w:t>
            </w:r>
            <w:r w:rsidRPr="0002762F">
              <w:rPr>
                <w:rFonts w:ascii="Arial" w:hAnsi="Arial" w:cs="Arial"/>
                <w:color w:val="000000"/>
                <w:sz w:val="20"/>
                <w:szCs w:val="20"/>
              </w:rPr>
              <w:br/>
              <w:t>and the use of therapeutic, analgesic opioids being stopped.</w:t>
            </w:r>
          </w:p>
          <w:p w14:paraId="3F2D39D2" w14:textId="77777777" w:rsidR="004C646F" w:rsidRPr="0002762F" w:rsidRDefault="004C646F" w:rsidP="00371BF5">
            <w:pPr>
              <w:rPr>
                <w:rFonts w:ascii="Arial" w:hAnsi="Arial" w:cs="Arial"/>
                <w:sz w:val="20"/>
                <w:szCs w:val="20"/>
              </w:rPr>
            </w:pPr>
          </w:p>
        </w:tc>
        <w:tc>
          <w:tcPr>
            <w:tcW w:w="480" w:type="pct"/>
          </w:tcPr>
          <w:p w14:paraId="47429F3A" w14:textId="47426240" w:rsidR="004C646F" w:rsidRPr="0002762F" w:rsidRDefault="004C646F" w:rsidP="00371BF5">
            <w:pPr>
              <w:rPr>
                <w:rFonts w:ascii="Arial" w:hAnsi="Arial" w:cs="Arial"/>
                <w:sz w:val="20"/>
                <w:szCs w:val="20"/>
              </w:rPr>
            </w:pPr>
          </w:p>
        </w:tc>
        <w:tc>
          <w:tcPr>
            <w:tcW w:w="481" w:type="pct"/>
          </w:tcPr>
          <w:p w14:paraId="45100F38" w14:textId="4E26F2EF" w:rsidR="004C646F" w:rsidRPr="0002762F" w:rsidRDefault="004C646F" w:rsidP="00371BF5">
            <w:pPr>
              <w:rPr>
                <w:rFonts w:ascii="Arial" w:hAnsi="Arial" w:cs="Arial"/>
                <w:sz w:val="20"/>
                <w:szCs w:val="20"/>
              </w:rPr>
            </w:pPr>
          </w:p>
        </w:tc>
        <w:tc>
          <w:tcPr>
            <w:tcW w:w="482" w:type="pct"/>
          </w:tcPr>
          <w:p w14:paraId="1424C0B2" w14:textId="77777777" w:rsidR="004C646F" w:rsidRPr="0002762F" w:rsidRDefault="004C646F" w:rsidP="00371BF5">
            <w:pPr>
              <w:rPr>
                <w:rFonts w:ascii="Arial" w:hAnsi="Arial" w:cs="Arial"/>
                <w:b/>
                <w:bCs/>
                <w:sz w:val="20"/>
                <w:szCs w:val="20"/>
              </w:rPr>
            </w:pPr>
            <w:r w:rsidRPr="0002762F">
              <w:rPr>
                <w:rFonts w:ascii="Arial" w:hAnsi="Arial" w:cs="Arial"/>
                <w:b/>
                <w:bCs/>
                <w:sz w:val="20"/>
                <w:szCs w:val="20"/>
              </w:rPr>
              <w:t>No evidence</w:t>
            </w:r>
          </w:p>
        </w:tc>
        <w:tc>
          <w:tcPr>
            <w:tcW w:w="481" w:type="pct"/>
          </w:tcPr>
          <w:p w14:paraId="61012EF9" w14:textId="77777777" w:rsidR="004C646F" w:rsidRPr="0002762F" w:rsidRDefault="004C646F" w:rsidP="00371BF5">
            <w:pPr>
              <w:rPr>
                <w:rFonts w:ascii="Arial" w:hAnsi="Arial" w:cs="Arial"/>
                <w:sz w:val="20"/>
                <w:szCs w:val="20"/>
              </w:rPr>
            </w:pPr>
          </w:p>
        </w:tc>
        <w:tc>
          <w:tcPr>
            <w:tcW w:w="482" w:type="pct"/>
          </w:tcPr>
          <w:p w14:paraId="4DC3437E" w14:textId="77777777" w:rsidR="004C646F" w:rsidRPr="0002762F" w:rsidRDefault="004C646F" w:rsidP="00371BF5">
            <w:pPr>
              <w:rPr>
                <w:rFonts w:ascii="Arial" w:hAnsi="Arial" w:cs="Arial"/>
                <w:sz w:val="20"/>
                <w:szCs w:val="20"/>
              </w:rPr>
            </w:pPr>
          </w:p>
        </w:tc>
        <w:tc>
          <w:tcPr>
            <w:tcW w:w="504" w:type="pct"/>
          </w:tcPr>
          <w:p w14:paraId="64B57440" w14:textId="77777777" w:rsidR="004C646F" w:rsidRPr="0002762F" w:rsidRDefault="004C646F" w:rsidP="00371BF5">
            <w:pPr>
              <w:rPr>
                <w:rFonts w:ascii="Arial" w:hAnsi="Arial" w:cs="Arial"/>
                <w:sz w:val="20"/>
                <w:szCs w:val="20"/>
              </w:rPr>
            </w:pPr>
          </w:p>
        </w:tc>
      </w:tr>
      <w:tr w:rsidR="004C646F" w:rsidRPr="0002762F" w14:paraId="5350F064" w14:textId="2039AF2B" w:rsidTr="004C646F">
        <w:tc>
          <w:tcPr>
            <w:tcW w:w="2089" w:type="pct"/>
          </w:tcPr>
          <w:p w14:paraId="7A90E5CE" w14:textId="77777777" w:rsidR="004C646F" w:rsidRPr="0002762F" w:rsidRDefault="004C646F" w:rsidP="00371BF5">
            <w:pPr>
              <w:rPr>
                <w:rFonts w:ascii="Arial" w:hAnsi="Arial" w:cs="Arial"/>
                <w:color w:val="000000"/>
                <w:sz w:val="20"/>
                <w:szCs w:val="20"/>
              </w:rPr>
            </w:pPr>
            <w:r w:rsidRPr="0002762F">
              <w:rPr>
                <w:rFonts w:ascii="Arial" w:hAnsi="Arial" w:cs="Arial"/>
                <w:color w:val="000000"/>
                <w:sz w:val="20"/>
                <w:szCs w:val="20"/>
              </w:rPr>
              <w:t>Morphine is the first-line opioid, unless there are contraindications to morphine or special indications</w:t>
            </w:r>
            <w:r w:rsidRPr="0002762F">
              <w:rPr>
                <w:rFonts w:ascii="Arial" w:hAnsi="Arial" w:cs="Arial"/>
                <w:color w:val="000000"/>
                <w:sz w:val="20"/>
                <w:szCs w:val="20"/>
              </w:rPr>
              <w:br/>
              <w:t>for another drug. (chronic non-urogenital pain)</w:t>
            </w:r>
            <w:r w:rsidRPr="0002762F">
              <w:rPr>
                <w:rFonts w:ascii="Arial" w:hAnsi="Arial" w:cs="Arial"/>
                <w:color w:val="000000"/>
                <w:sz w:val="20"/>
                <w:szCs w:val="20"/>
              </w:rPr>
              <w:br/>
              <w:t>• The drug should be prescribed in a slow-release/modified-release form.</w:t>
            </w:r>
            <w:r w:rsidRPr="0002762F">
              <w:rPr>
                <w:rFonts w:ascii="Arial" w:hAnsi="Arial" w:cs="Arial"/>
                <w:color w:val="000000"/>
                <w:sz w:val="20"/>
                <w:szCs w:val="20"/>
              </w:rPr>
              <w:br/>
              <w:t>• Short-acting preparations are undesirable and should be avoided where possible.</w:t>
            </w:r>
            <w:r w:rsidRPr="0002762F">
              <w:rPr>
                <w:rFonts w:ascii="Arial" w:hAnsi="Arial" w:cs="Arial"/>
                <w:color w:val="000000"/>
                <w:sz w:val="20"/>
                <w:szCs w:val="20"/>
              </w:rPr>
              <w:br/>
              <w:t>• Parenteral dosing is undesirable and should be avoided where possible.</w:t>
            </w:r>
          </w:p>
          <w:p w14:paraId="23CD0A59" w14:textId="77777777" w:rsidR="004C646F" w:rsidRPr="0002762F" w:rsidRDefault="004C646F" w:rsidP="00371BF5">
            <w:pPr>
              <w:rPr>
                <w:rFonts w:ascii="Arial" w:hAnsi="Arial" w:cs="Arial"/>
                <w:sz w:val="20"/>
                <w:szCs w:val="20"/>
              </w:rPr>
            </w:pPr>
          </w:p>
        </w:tc>
        <w:tc>
          <w:tcPr>
            <w:tcW w:w="480" w:type="pct"/>
          </w:tcPr>
          <w:p w14:paraId="6A7B1AEE" w14:textId="598D6D80" w:rsidR="004C646F" w:rsidRPr="0002762F" w:rsidRDefault="004C646F" w:rsidP="00371BF5">
            <w:pPr>
              <w:rPr>
                <w:rFonts w:ascii="Arial" w:hAnsi="Arial" w:cs="Arial"/>
                <w:sz w:val="20"/>
                <w:szCs w:val="20"/>
              </w:rPr>
            </w:pPr>
          </w:p>
        </w:tc>
        <w:tc>
          <w:tcPr>
            <w:tcW w:w="481" w:type="pct"/>
          </w:tcPr>
          <w:p w14:paraId="0C12AB36" w14:textId="61E35D31" w:rsidR="004C646F" w:rsidRPr="0002762F" w:rsidRDefault="004C646F" w:rsidP="00371BF5">
            <w:pPr>
              <w:rPr>
                <w:rFonts w:ascii="Arial" w:hAnsi="Arial" w:cs="Arial"/>
                <w:sz w:val="20"/>
                <w:szCs w:val="20"/>
              </w:rPr>
            </w:pPr>
          </w:p>
        </w:tc>
        <w:tc>
          <w:tcPr>
            <w:tcW w:w="482" w:type="pct"/>
          </w:tcPr>
          <w:p w14:paraId="433EF6E8" w14:textId="77777777" w:rsidR="004C646F" w:rsidRPr="0002762F" w:rsidRDefault="004C646F" w:rsidP="00371BF5">
            <w:pPr>
              <w:rPr>
                <w:rFonts w:ascii="Arial" w:hAnsi="Arial" w:cs="Arial"/>
                <w:b/>
                <w:bCs/>
                <w:sz w:val="20"/>
                <w:szCs w:val="20"/>
              </w:rPr>
            </w:pPr>
            <w:r w:rsidRPr="0002762F">
              <w:rPr>
                <w:rFonts w:ascii="Arial" w:hAnsi="Arial" w:cs="Arial"/>
                <w:b/>
                <w:bCs/>
                <w:sz w:val="20"/>
                <w:szCs w:val="20"/>
              </w:rPr>
              <w:t>No evidence</w:t>
            </w:r>
          </w:p>
        </w:tc>
        <w:tc>
          <w:tcPr>
            <w:tcW w:w="481" w:type="pct"/>
          </w:tcPr>
          <w:p w14:paraId="6192F646" w14:textId="77777777" w:rsidR="004C646F" w:rsidRPr="0002762F" w:rsidRDefault="004C646F" w:rsidP="00371BF5">
            <w:pPr>
              <w:rPr>
                <w:rFonts w:ascii="Arial" w:hAnsi="Arial" w:cs="Arial"/>
                <w:sz w:val="20"/>
                <w:szCs w:val="20"/>
              </w:rPr>
            </w:pPr>
          </w:p>
        </w:tc>
        <w:tc>
          <w:tcPr>
            <w:tcW w:w="482" w:type="pct"/>
          </w:tcPr>
          <w:p w14:paraId="130C20BF" w14:textId="77777777" w:rsidR="004C646F" w:rsidRPr="0002762F" w:rsidRDefault="004C646F" w:rsidP="00371BF5">
            <w:pPr>
              <w:rPr>
                <w:rFonts w:ascii="Arial" w:hAnsi="Arial" w:cs="Arial"/>
                <w:sz w:val="20"/>
                <w:szCs w:val="20"/>
              </w:rPr>
            </w:pPr>
          </w:p>
        </w:tc>
        <w:tc>
          <w:tcPr>
            <w:tcW w:w="504" w:type="pct"/>
          </w:tcPr>
          <w:p w14:paraId="6001B805" w14:textId="77777777" w:rsidR="004C646F" w:rsidRPr="0002762F" w:rsidRDefault="004C646F" w:rsidP="00371BF5">
            <w:pPr>
              <w:rPr>
                <w:rFonts w:ascii="Arial" w:hAnsi="Arial" w:cs="Arial"/>
                <w:sz w:val="20"/>
                <w:szCs w:val="20"/>
              </w:rPr>
            </w:pPr>
          </w:p>
        </w:tc>
      </w:tr>
      <w:tr w:rsidR="004C646F" w:rsidRPr="0002762F" w14:paraId="2EB95A29" w14:textId="3CFD88E2" w:rsidTr="004C646F">
        <w:tc>
          <w:tcPr>
            <w:tcW w:w="2089" w:type="pct"/>
          </w:tcPr>
          <w:p w14:paraId="06113022" w14:textId="77777777" w:rsidR="004C646F" w:rsidRDefault="004C646F" w:rsidP="00371BF5">
            <w:pPr>
              <w:rPr>
                <w:rFonts w:ascii="Arial" w:hAnsi="Arial" w:cs="Arial"/>
                <w:b/>
                <w:bCs/>
                <w:sz w:val="20"/>
                <w:szCs w:val="20"/>
              </w:rPr>
            </w:pPr>
            <w:r w:rsidRPr="0002762F">
              <w:rPr>
                <w:rFonts w:ascii="Arial" w:hAnsi="Arial" w:cs="Arial"/>
                <w:b/>
                <w:bCs/>
                <w:sz w:val="20"/>
                <w:szCs w:val="20"/>
              </w:rPr>
              <w:t xml:space="preserve">Chronic pelvic pain due to suspected endometriosis/gynaecological cause -First line treatment </w:t>
            </w:r>
          </w:p>
          <w:p w14:paraId="507FBF00" w14:textId="7F0BE305" w:rsidR="004C646F" w:rsidRPr="0002762F" w:rsidRDefault="004C646F" w:rsidP="00371BF5">
            <w:pPr>
              <w:rPr>
                <w:rFonts w:ascii="Arial" w:hAnsi="Arial" w:cs="Arial"/>
                <w:b/>
                <w:bCs/>
                <w:sz w:val="20"/>
                <w:szCs w:val="20"/>
              </w:rPr>
            </w:pPr>
          </w:p>
        </w:tc>
        <w:tc>
          <w:tcPr>
            <w:tcW w:w="480" w:type="pct"/>
          </w:tcPr>
          <w:p w14:paraId="1856B285" w14:textId="47670AA0" w:rsidR="004C646F" w:rsidRPr="0002762F" w:rsidRDefault="004C646F" w:rsidP="00371BF5">
            <w:pPr>
              <w:rPr>
                <w:rFonts w:ascii="Arial" w:hAnsi="Arial" w:cs="Arial"/>
                <w:sz w:val="20"/>
                <w:szCs w:val="20"/>
              </w:rPr>
            </w:pPr>
          </w:p>
        </w:tc>
        <w:tc>
          <w:tcPr>
            <w:tcW w:w="481" w:type="pct"/>
          </w:tcPr>
          <w:p w14:paraId="4FCF4B3A" w14:textId="0FC51F84" w:rsidR="004C646F" w:rsidRPr="0002762F" w:rsidRDefault="004C646F" w:rsidP="00371BF5">
            <w:pPr>
              <w:rPr>
                <w:rFonts w:ascii="Arial" w:hAnsi="Arial" w:cs="Arial"/>
                <w:sz w:val="20"/>
                <w:szCs w:val="20"/>
              </w:rPr>
            </w:pPr>
          </w:p>
        </w:tc>
        <w:tc>
          <w:tcPr>
            <w:tcW w:w="482" w:type="pct"/>
          </w:tcPr>
          <w:p w14:paraId="5E85BCF2" w14:textId="77777777" w:rsidR="004C646F" w:rsidRPr="0002762F" w:rsidRDefault="004C646F" w:rsidP="00371BF5">
            <w:pPr>
              <w:rPr>
                <w:rFonts w:ascii="Arial" w:hAnsi="Arial" w:cs="Arial"/>
                <w:sz w:val="20"/>
                <w:szCs w:val="20"/>
              </w:rPr>
            </w:pPr>
          </w:p>
        </w:tc>
        <w:tc>
          <w:tcPr>
            <w:tcW w:w="481" w:type="pct"/>
          </w:tcPr>
          <w:p w14:paraId="4BAE77B0" w14:textId="77777777" w:rsidR="004C646F" w:rsidRPr="0002762F" w:rsidRDefault="004C646F" w:rsidP="00371BF5">
            <w:pPr>
              <w:rPr>
                <w:rFonts w:ascii="Arial" w:hAnsi="Arial" w:cs="Arial"/>
                <w:sz w:val="20"/>
                <w:szCs w:val="20"/>
              </w:rPr>
            </w:pPr>
          </w:p>
        </w:tc>
        <w:tc>
          <w:tcPr>
            <w:tcW w:w="482" w:type="pct"/>
          </w:tcPr>
          <w:p w14:paraId="51010212" w14:textId="77777777" w:rsidR="004C646F" w:rsidRPr="0002762F" w:rsidRDefault="004C646F" w:rsidP="00371BF5">
            <w:pPr>
              <w:rPr>
                <w:rFonts w:ascii="Arial" w:hAnsi="Arial" w:cs="Arial"/>
                <w:sz w:val="20"/>
                <w:szCs w:val="20"/>
              </w:rPr>
            </w:pPr>
          </w:p>
        </w:tc>
        <w:tc>
          <w:tcPr>
            <w:tcW w:w="504" w:type="pct"/>
          </w:tcPr>
          <w:p w14:paraId="6579239C" w14:textId="77777777" w:rsidR="004C646F" w:rsidRPr="0002762F" w:rsidRDefault="004C646F" w:rsidP="00371BF5">
            <w:pPr>
              <w:rPr>
                <w:rFonts w:ascii="Arial" w:hAnsi="Arial" w:cs="Arial"/>
                <w:sz w:val="20"/>
                <w:szCs w:val="20"/>
              </w:rPr>
            </w:pPr>
          </w:p>
        </w:tc>
      </w:tr>
      <w:tr w:rsidR="004C646F" w:rsidRPr="0002762F" w14:paraId="7DC42A41" w14:textId="73580BE2" w:rsidTr="004C646F">
        <w:tc>
          <w:tcPr>
            <w:tcW w:w="2089" w:type="pct"/>
          </w:tcPr>
          <w:p w14:paraId="3E331662" w14:textId="77777777" w:rsidR="004C646F" w:rsidRDefault="004C646F" w:rsidP="00371BF5">
            <w:pPr>
              <w:rPr>
                <w:rFonts w:ascii="Arial" w:hAnsi="Arial" w:cs="Arial"/>
                <w:sz w:val="20"/>
                <w:szCs w:val="20"/>
              </w:rPr>
            </w:pPr>
            <w:r w:rsidRPr="0002762F">
              <w:rPr>
                <w:rFonts w:ascii="Arial" w:hAnsi="Arial" w:cs="Arial"/>
                <w:sz w:val="20"/>
                <w:szCs w:val="20"/>
              </w:rPr>
              <w:t xml:space="preserve">First line: NSAIDs or oral contraceptives or both </w:t>
            </w:r>
          </w:p>
          <w:p w14:paraId="6E3E9F2B" w14:textId="31B9C122" w:rsidR="004C646F" w:rsidRPr="0002762F" w:rsidRDefault="004C646F" w:rsidP="00371BF5">
            <w:pPr>
              <w:rPr>
                <w:rFonts w:ascii="Arial" w:hAnsi="Arial" w:cs="Arial"/>
                <w:sz w:val="20"/>
                <w:szCs w:val="20"/>
              </w:rPr>
            </w:pPr>
          </w:p>
        </w:tc>
        <w:tc>
          <w:tcPr>
            <w:tcW w:w="480" w:type="pct"/>
          </w:tcPr>
          <w:p w14:paraId="38DD82A0" w14:textId="0791F1E1" w:rsidR="004C646F" w:rsidRPr="0002762F" w:rsidRDefault="004C646F" w:rsidP="00371BF5">
            <w:pPr>
              <w:rPr>
                <w:rFonts w:ascii="Arial" w:hAnsi="Arial" w:cs="Arial"/>
                <w:b/>
                <w:bCs/>
                <w:sz w:val="20"/>
                <w:szCs w:val="20"/>
              </w:rPr>
            </w:pPr>
          </w:p>
        </w:tc>
        <w:tc>
          <w:tcPr>
            <w:tcW w:w="481" w:type="pct"/>
          </w:tcPr>
          <w:p w14:paraId="736D1906" w14:textId="510B4832" w:rsidR="004C646F" w:rsidRPr="0002762F" w:rsidRDefault="004C646F" w:rsidP="00371BF5">
            <w:pPr>
              <w:rPr>
                <w:rFonts w:ascii="Arial" w:hAnsi="Arial" w:cs="Arial"/>
                <w:b/>
                <w:bCs/>
                <w:sz w:val="20"/>
                <w:szCs w:val="20"/>
              </w:rPr>
            </w:pPr>
            <w:r w:rsidRPr="0002762F">
              <w:rPr>
                <w:rFonts w:ascii="Arial" w:hAnsi="Arial" w:cs="Arial"/>
                <w:b/>
                <w:bCs/>
                <w:sz w:val="20"/>
                <w:szCs w:val="20"/>
              </w:rPr>
              <w:t xml:space="preserve">No evidence </w:t>
            </w:r>
          </w:p>
        </w:tc>
        <w:tc>
          <w:tcPr>
            <w:tcW w:w="482" w:type="pct"/>
          </w:tcPr>
          <w:p w14:paraId="3B65E44E" w14:textId="77777777" w:rsidR="004C646F" w:rsidRPr="0002762F" w:rsidRDefault="004C646F" w:rsidP="00371BF5">
            <w:pPr>
              <w:rPr>
                <w:rFonts w:ascii="Arial" w:hAnsi="Arial" w:cs="Arial"/>
                <w:sz w:val="20"/>
                <w:szCs w:val="20"/>
              </w:rPr>
            </w:pPr>
          </w:p>
        </w:tc>
        <w:tc>
          <w:tcPr>
            <w:tcW w:w="481" w:type="pct"/>
          </w:tcPr>
          <w:p w14:paraId="4EF4582E" w14:textId="77777777" w:rsidR="004C646F" w:rsidRPr="0002762F" w:rsidRDefault="004C646F" w:rsidP="00371BF5">
            <w:pPr>
              <w:rPr>
                <w:rFonts w:ascii="Arial" w:hAnsi="Arial" w:cs="Arial"/>
                <w:sz w:val="20"/>
                <w:szCs w:val="20"/>
              </w:rPr>
            </w:pPr>
          </w:p>
        </w:tc>
        <w:tc>
          <w:tcPr>
            <w:tcW w:w="482" w:type="pct"/>
          </w:tcPr>
          <w:p w14:paraId="6BCB9FF3" w14:textId="77777777" w:rsidR="004C646F" w:rsidRPr="0002762F" w:rsidRDefault="004C646F" w:rsidP="00371BF5">
            <w:pPr>
              <w:rPr>
                <w:rFonts w:ascii="Arial" w:hAnsi="Arial" w:cs="Arial"/>
                <w:sz w:val="20"/>
                <w:szCs w:val="20"/>
              </w:rPr>
            </w:pPr>
          </w:p>
        </w:tc>
        <w:tc>
          <w:tcPr>
            <w:tcW w:w="504" w:type="pct"/>
          </w:tcPr>
          <w:p w14:paraId="13CCD2BE" w14:textId="77777777" w:rsidR="004C646F" w:rsidRPr="0002762F" w:rsidRDefault="004C646F" w:rsidP="00371BF5">
            <w:pPr>
              <w:rPr>
                <w:rFonts w:ascii="Arial" w:hAnsi="Arial" w:cs="Arial"/>
                <w:sz w:val="20"/>
                <w:szCs w:val="20"/>
              </w:rPr>
            </w:pPr>
          </w:p>
        </w:tc>
      </w:tr>
      <w:tr w:rsidR="004C646F" w:rsidRPr="0002762F" w14:paraId="287AC5ED" w14:textId="33BD7D65" w:rsidTr="004C646F">
        <w:tc>
          <w:tcPr>
            <w:tcW w:w="2089" w:type="pct"/>
          </w:tcPr>
          <w:p w14:paraId="03195CDB" w14:textId="77777777" w:rsidR="004C646F" w:rsidRDefault="004C646F" w:rsidP="00371BF5">
            <w:pPr>
              <w:rPr>
                <w:rFonts w:ascii="Arial" w:hAnsi="Arial" w:cs="Arial"/>
                <w:sz w:val="20"/>
                <w:szCs w:val="20"/>
              </w:rPr>
            </w:pPr>
            <w:r w:rsidRPr="0002762F">
              <w:rPr>
                <w:rFonts w:ascii="Arial" w:hAnsi="Arial" w:cs="Arial"/>
                <w:sz w:val="20"/>
                <w:szCs w:val="20"/>
              </w:rPr>
              <w:t>First line: NSAIDs should be used around tine of menses with cyclical pain or continuous pain</w:t>
            </w:r>
          </w:p>
          <w:p w14:paraId="3A61483A" w14:textId="48EE900F" w:rsidR="004C646F" w:rsidRPr="0002762F" w:rsidRDefault="004C646F" w:rsidP="00371BF5">
            <w:pPr>
              <w:rPr>
                <w:rFonts w:ascii="Arial" w:hAnsi="Arial" w:cs="Arial"/>
                <w:sz w:val="20"/>
                <w:szCs w:val="20"/>
              </w:rPr>
            </w:pPr>
          </w:p>
        </w:tc>
        <w:tc>
          <w:tcPr>
            <w:tcW w:w="480" w:type="pct"/>
          </w:tcPr>
          <w:p w14:paraId="1C9E44D6" w14:textId="5FA77885" w:rsidR="004C646F" w:rsidRPr="0002762F" w:rsidRDefault="004C646F" w:rsidP="00371BF5">
            <w:pPr>
              <w:rPr>
                <w:rFonts w:ascii="Arial" w:hAnsi="Arial" w:cs="Arial"/>
                <w:b/>
                <w:bCs/>
                <w:sz w:val="20"/>
                <w:szCs w:val="20"/>
              </w:rPr>
            </w:pPr>
          </w:p>
        </w:tc>
        <w:tc>
          <w:tcPr>
            <w:tcW w:w="481" w:type="pct"/>
          </w:tcPr>
          <w:p w14:paraId="411C9E28" w14:textId="24E91383" w:rsidR="004C646F" w:rsidRPr="0002762F" w:rsidRDefault="004C646F" w:rsidP="00371BF5">
            <w:pPr>
              <w:rPr>
                <w:rFonts w:ascii="Arial" w:hAnsi="Arial" w:cs="Arial"/>
                <w:b/>
                <w:bCs/>
                <w:sz w:val="20"/>
                <w:szCs w:val="20"/>
              </w:rPr>
            </w:pPr>
            <w:r w:rsidRPr="0002762F">
              <w:rPr>
                <w:rFonts w:ascii="Arial" w:hAnsi="Arial" w:cs="Arial"/>
                <w:b/>
                <w:bCs/>
                <w:sz w:val="20"/>
                <w:szCs w:val="20"/>
              </w:rPr>
              <w:t>No evidence</w:t>
            </w:r>
          </w:p>
        </w:tc>
        <w:tc>
          <w:tcPr>
            <w:tcW w:w="482" w:type="pct"/>
          </w:tcPr>
          <w:p w14:paraId="01EC2A25" w14:textId="77777777" w:rsidR="004C646F" w:rsidRPr="0002762F" w:rsidRDefault="004C646F" w:rsidP="00371BF5">
            <w:pPr>
              <w:rPr>
                <w:rFonts w:ascii="Arial" w:hAnsi="Arial" w:cs="Arial"/>
                <w:sz w:val="20"/>
                <w:szCs w:val="20"/>
              </w:rPr>
            </w:pPr>
          </w:p>
        </w:tc>
        <w:tc>
          <w:tcPr>
            <w:tcW w:w="481" w:type="pct"/>
          </w:tcPr>
          <w:p w14:paraId="5C19771A" w14:textId="77777777" w:rsidR="004C646F" w:rsidRPr="0002762F" w:rsidRDefault="004C646F" w:rsidP="00371BF5">
            <w:pPr>
              <w:rPr>
                <w:rFonts w:ascii="Arial" w:hAnsi="Arial" w:cs="Arial"/>
                <w:sz w:val="20"/>
                <w:szCs w:val="20"/>
              </w:rPr>
            </w:pPr>
          </w:p>
        </w:tc>
        <w:tc>
          <w:tcPr>
            <w:tcW w:w="482" w:type="pct"/>
          </w:tcPr>
          <w:p w14:paraId="52552BB6" w14:textId="77777777" w:rsidR="004C646F" w:rsidRPr="0002762F" w:rsidRDefault="004C646F" w:rsidP="00371BF5">
            <w:pPr>
              <w:rPr>
                <w:rFonts w:ascii="Arial" w:hAnsi="Arial" w:cs="Arial"/>
                <w:sz w:val="20"/>
                <w:szCs w:val="20"/>
              </w:rPr>
            </w:pPr>
          </w:p>
        </w:tc>
        <w:tc>
          <w:tcPr>
            <w:tcW w:w="504" w:type="pct"/>
          </w:tcPr>
          <w:p w14:paraId="07805247" w14:textId="77777777" w:rsidR="004C646F" w:rsidRPr="0002762F" w:rsidRDefault="004C646F" w:rsidP="00371BF5">
            <w:pPr>
              <w:rPr>
                <w:rFonts w:ascii="Arial" w:hAnsi="Arial" w:cs="Arial"/>
                <w:sz w:val="20"/>
                <w:szCs w:val="20"/>
              </w:rPr>
            </w:pPr>
          </w:p>
        </w:tc>
      </w:tr>
      <w:tr w:rsidR="004C646F" w:rsidRPr="0002762F" w14:paraId="538F6983" w14:textId="60E12550" w:rsidTr="004C646F">
        <w:tc>
          <w:tcPr>
            <w:tcW w:w="2089" w:type="pct"/>
          </w:tcPr>
          <w:p w14:paraId="0E8ED412" w14:textId="77777777" w:rsidR="004C646F" w:rsidRPr="0002762F" w:rsidRDefault="004C646F" w:rsidP="00371BF5">
            <w:pPr>
              <w:rPr>
                <w:rFonts w:ascii="Arial" w:hAnsi="Arial" w:cs="Arial"/>
                <w:sz w:val="20"/>
                <w:szCs w:val="20"/>
              </w:rPr>
            </w:pPr>
            <w:r w:rsidRPr="0002762F">
              <w:rPr>
                <w:rFonts w:ascii="Arial" w:hAnsi="Arial" w:cs="Arial"/>
                <w:sz w:val="20"/>
                <w:szCs w:val="20"/>
              </w:rPr>
              <w:t>First line: oral contraceptives, progestins, Danazol and  GnRH agonists</w:t>
            </w:r>
          </w:p>
        </w:tc>
        <w:tc>
          <w:tcPr>
            <w:tcW w:w="480" w:type="pct"/>
          </w:tcPr>
          <w:p w14:paraId="2C47A86E" w14:textId="1C2AB467" w:rsidR="004C646F" w:rsidRPr="0002762F" w:rsidRDefault="004C646F" w:rsidP="00371BF5">
            <w:pPr>
              <w:rPr>
                <w:rFonts w:ascii="Arial" w:hAnsi="Arial" w:cs="Arial"/>
                <w:b/>
                <w:bCs/>
                <w:sz w:val="20"/>
                <w:szCs w:val="20"/>
              </w:rPr>
            </w:pPr>
          </w:p>
        </w:tc>
        <w:tc>
          <w:tcPr>
            <w:tcW w:w="481" w:type="pct"/>
          </w:tcPr>
          <w:p w14:paraId="186A813F" w14:textId="7EC37AB7" w:rsidR="004C646F" w:rsidRPr="0002762F" w:rsidRDefault="004C646F" w:rsidP="00371BF5">
            <w:pPr>
              <w:rPr>
                <w:rFonts w:ascii="Arial" w:hAnsi="Arial" w:cs="Arial"/>
                <w:b/>
                <w:bCs/>
                <w:sz w:val="20"/>
                <w:szCs w:val="20"/>
              </w:rPr>
            </w:pPr>
          </w:p>
        </w:tc>
        <w:tc>
          <w:tcPr>
            <w:tcW w:w="482" w:type="pct"/>
          </w:tcPr>
          <w:p w14:paraId="48ED0509" w14:textId="77777777" w:rsidR="004C646F" w:rsidRPr="0002762F" w:rsidRDefault="004C646F" w:rsidP="00371BF5">
            <w:pPr>
              <w:rPr>
                <w:rFonts w:ascii="Arial" w:hAnsi="Arial" w:cs="Arial"/>
                <w:sz w:val="20"/>
                <w:szCs w:val="20"/>
              </w:rPr>
            </w:pPr>
          </w:p>
        </w:tc>
        <w:tc>
          <w:tcPr>
            <w:tcW w:w="481" w:type="pct"/>
          </w:tcPr>
          <w:p w14:paraId="47E6F81F" w14:textId="77777777" w:rsidR="004C646F" w:rsidRPr="0002762F" w:rsidRDefault="004C646F" w:rsidP="00371BF5">
            <w:pPr>
              <w:rPr>
                <w:rFonts w:ascii="Arial" w:hAnsi="Arial" w:cs="Arial"/>
                <w:sz w:val="20"/>
                <w:szCs w:val="20"/>
              </w:rPr>
            </w:pPr>
          </w:p>
        </w:tc>
        <w:tc>
          <w:tcPr>
            <w:tcW w:w="482" w:type="pct"/>
          </w:tcPr>
          <w:p w14:paraId="5C480FB5" w14:textId="77777777" w:rsidR="004C646F" w:rsidRPr="0002762F" w:rsidRDefault="004C646F" w:rsidP="00371BF5">
            <w:pPr>
              <w:rPr>
                <w:rFonts w:ascii="Arial" w:hAnsi="Arial" w:cs="Arial"/>
                <w:sz w:val="20"/>
                <w:szCs w:val="20"/>
              </w:rPr>
            </w:pPr>
          </w:p>
        </w:tc>
        <w:tc>
          <w:tcPr>
            <w:tcW w:w="504" w:type="pct"/>
          </w:tcPr>
          <w:p w14:paraId="12411CEE" w14:textId="77777777" w:rsidR="004C646F" w:rsidRDefault="004C646F" w:rsidP="00371BF5">
            <w:pPr>
              <w:rPr>
                <w:rFonts w:ascii="Calibri" w:hAnsi="Calibri"/>
                <w:b/>
                <w:bCs/>
                <w:color w:val="000000"/>
                <w:sz w:val="20"/>
                <w:szCs w:val="20"/>
              </w:rPr>
            </w:pPr>
            <w:proofErr w:type="spellStart"/>
            <w:r>
              <w:rPr>
                <w:rFonts w:ascii="Calibri" w:hAnsi="Calibri"/>
                <w:b/>
                <w:bCs/>
                <w:color w:val="000000"/>
                <w:sz w:val="20"/>
                <w:szCs w:val="20"/>
              </w:rPr>
              <w:t>LoE</w:t>
            </w:r>
            <w:proofErr w:type="spellEnd"/>
            <w:r>
              <w:rPr>
                <w:rFonts w:ascii="Calibri" w:hAnsi="Calibri"/>
                <w:b/>
                <w:bCs/>
                <w:color w:val="000000"/>
                <w:sz w:val="20"/>
                <w:szCs w:val="20"/>
              </w:rPr>
              <w:t xml:space="preserve"> </w:t>
            </w:r>
            <w:r w:rsidRPr="0002762F">
              <w:rPr>
                <w:rFonts w:ascii="Calibri" w:hAnsi="Calibri"/>
                <w:b/>
                <w:bCs/>
                <w:color w:val="000000"/>
                <w:sz w:val="20"/>
                <w:szCs w:val="20"/>
              </w:rPr>
              <w:t>I</w:t>
            </w:r>
            <w:r>
              <w:rPr>
                <w:rFonts w:ascii="Calibri" w:hAnsi="Calibri"/>
                <w:b/>
                <w:bCs/>
                <w:color w:val="000000"/>
                <w:sz w:val="20"/>
                <w:szCs w:val="20"/>
              </w:rPr>
              <w:t xml:space="preserve"> - </w:t>
            </w:r>
            <w:r w:rsidRPr="0002762F">
              <w:rPr>
                <w:rFonts w:ascii="Calibri" w:hAnsi="Calibri"/>
                <w:b/>
                <w:bCs/>
                <w:color w:val="000000"/>
                <w:sz w:val="20"/>
                <w:szCs w:val="20"/>
              </w:rPr>
              <w:t>and II-I</w:t>
            </w:r>
          </w:p>
          <w:p w14:paraId="07835AA5" w14:textId="73AC9723" w:rsidR="004C646F" w:rsidRPr="0002762F" w:rsidRDefault="004C646F" w:rsidP="00371BF5">
            <w:pPr>
              <w:rPr>
                <w:rFonts w:ascii="Calibri" w:hAnsi="Calibri"/>
                <w:b/>
                <w:bCs/>
                <w:color w:val="000000"/>
                <w:sz w:val="20"/>
                <w:szCs w:val="20"/>
              </w:rPr>
            </w:pPr>
            <w:r>
              <w:rPr>
                <w:rFonts w:ascii="Calibri" w:hAnsi="Calibri"/>
                <w:b/>
                <w:bCs/>
                <w:color w:val="000000"/>
                <w:sz w:val="20"/>
                <w:szCs w:val="20"/>
              </w:rPr>
              <w:t>GR A</w:t>
            </w:r>
            <w:r w:rsidRPr="0002762F">
              <w:rPr>
                <w:rFonts w:ascii="Calibri" w:hAnsi="Calibri"/>
                <w:b/>
                <w:bCs/>
                <w:color w:val="000000"/>
                <w:sz w:val="20"/>
                <w:szCs w:val="20"/>
              </w:rPr>
              <w:br/>
            </w:r>
          </w:p>
          <w:p w14:paraId="38615EC1" w14:textId="77777777" w:rsidR="004C646F" w:rsidRPr="0002762F" w:rsidRDefault="004C646F" w:rsidP="00371BF5">
            <w:pPr>
              <w:rPr>
                <w:rFonts w:ascii="Arial" w:hAnsi="Arial" w:cs="Arial"/>
                <w:sz w:val="20"/>
                <w:szCs w:val="20"/>
              </w:rPr>
            </w:pPr>
          </w:p>
        </w:tc>
      </w:tr>
      <w:tr w:rsidR="004C646F" w:rsidRPr="0002762F" w14:paraId="7C568BAA" w14:textId="0A7CF326" w:rsidTr="004C646F">
        <w:tc>
          <w:tcPr>
            <w:tcW w:w="2089" w:type="pct"/>
          </w:tcPr>
          <w:p w14:paraId="1AF43184" w14:textId="77777777" w:rsidR="004C646F" w:rsidRPr="0002762F" w:rsidRDefault="004C646F" w:rsidP="00371BF5">
            <w:pPr>
              <w:rPr>
                <w:rFonts w:ascii="Arial" w:hAnsi="Arial" w:cs="Arial"/>
                <w:sz w:val="20"/>
                <w:szCs w:val="20"/>
              </w:rPr>
            </w:pPr>
            <w:r w:rsidRPr="0002762F">
              <w:rPr>
                <w:rFonts w:ascii="Arial" w:hAnsi="Arial" w:cs="Arial"/>
                <w:sz w:val="20"/>
                <w:szCs w:val="20"/>
              </w:rPr>
              <w:t xml:space="preserve">Hormonal therapy for 3-6 months before offered a diagnostic laparoscopy </w:t>
            </w:r>
          </w:p>
        </w:tc>
        <w:tc>
          <w:tcPr>
            <w:tcW w:w="480" w:type="pct"/>
          </w:tcPr>
          <w:p w14:paraId="51D65D7D" w14:textId="1140B7FB" w:rsidR="004C646F" w:rsidRPr="0002762F" w:rsidRDefault="004C646F" w:rsidP="00371BF5">
            <w:pPr>
              <w:rPr>
                <w:rFonts w:ascii="Arial" w:hAnsi="Arial" w:cs="Arial"/>
                <w:b/>
                <w:bCs/>
                <w:sz w:val="20"/>
                <w:szCs w:val="20"/>
              </w:rPr>
            </w:pPr>
          </w:p>
        </w:tc>
        <w:tc>
          <w:tcPr>
            <w:tcW w:w="481" w:type="pct"/>
          </w:tcPr>
          <w:p w14:paraId="251C5086" w14:textId="541557CE" w:rsidR="004C646F" w:rsidRPr="0002762F" w:rsidRDefault="004C646F" w:rsidP="00371BF5">
            <w:pPr>
              <w:rPr>
                <w:rFonts w:ascii="Arial" w:hAnsi="Arial" w:cs="Arial"/>
                <w:b/>
                <w:bCs/>
                <w:sz w:val="20"/>
                <w:szCs w:val="20"/>
              </w:rPr>
            </w:pPr>
          </w:p>
        </w:tc>
        <w:tc>
          <w:tcPr>
            <w:tcW w:w="482" w:type="pct"/>
          </w:tcPr>
          <w:p w14:paraId="4A49E7AA" w14:textId="77777777" w:rsidR="004C646F" w:rsidRPr="0002762F" w:rsidRDefault="004C646F" w:rsidP="00371BF5">
            <w:pPr>
              <w:rPr>
                <w:rFonts w:ascii="Arial" w:hAnsi="Arial" w:cs="Arial"/>
                <w:sz w:val="20"/>
                <w:szCs w:val="20"/>
              </w:rPr>
            </w:pPr>
          </w:p>
        </w:tc>
        <w:tc>
          <w:tcPr>
            <w:tcW w:w="481" w:type="pct"/>
          </w:tcPr>
          <w:p w14:paraId="10494D70" w14:textId="77777777" w:rsidR="004C646F" w:rsidRPr="0002762F" w:rsidRDefault="004C646F" w:rsidP="00371BF5">
            <w:pPr>
              <w:rPr>
                <w:rFonts w:ascii="Arial" w:hAnsi="Arial" w:cs="Arial"/>
                <w:sz w:val="20"/>
                <w:szCs w:val="20"/>
              </w:rPr>
            </w:pPr>
          </w:p>
        </w:tc>
        <w:tc>
          <w:tcPr>
            <w:tcW w:w="482" w:type="pct"/>
          </w:tcPr>
          <w:p w14:paraId="6DC20904" w14:textId="59B0739B" w:rsidR="004C646F" w:rsidRDefault="004C646F" w:rsidP="00534ED0">
            <w:pPr>
              <w:rPr>
                <w:rFonts w:ascii="Calibri" w:hAnsi="Calibri"/>
                <w:b/>
                <w:bCs/>
                <w:color w:val="000000"/>
                <w:sz w:val="20"/>
                <w:szCs w:val="20"/>
              </w:rPr>
            </w:pPr>
            <w:proofErr w:type="spellStart"/>
            <w:r>
              <w:rPr>
                <w:rFonts w:ascii="Calibri" w:hAnsi="Calibri"/>
                <w:b/>
                <w:bCs/>
                <w:color w:val="000000"/>
                <w:sz w:val="20"/>
                <w:szCs w:val="20"/>
              </w:rPr>
              <w:t>LoE</w:t>
            </w:r>
            <w:proofErr w:type="spellEnd"/>
            <w:r>
              <w:rPr>
                <w:rFonts w:ascii="Calibri" w:hAnsi="Calibri"/>
                <w:b/>
                <w:bCs/>
                <w:color w:val="000000"/>
                <w:sz w:val="20"/>
                <w:szCs w:val="20"/>
              </w:rPr>
              <w:t xml:space="preserve"> </w:t>
            </w:r>
            <w:r w:rsidRPr="0002762F">
              <w:rPr>
                <w:rFonts w:ascii="Calibri" w:hAnsi="Calibri"/>
                <w:b/>
                <w:bCs/>
                <w:color w:val="000000"/>
                <w:sz w:val="20"/>
                <w:szCs w:val="20"/>
              </w:rPr>
              <w:t xml:space="preserve"> 1+ to 4</w:t>
            </w:r>
          </w:p>
          <w:p w14:paraId="31A404BD" w14:textId="47E0CDA6" w:rsidR="004C646F" w:rsidRPr="0002762F" w:rsidRDefault="004C646F" w:rsidP="00534ED0">
            <w:pPr>
              <w:rPr>
                <w:rFonts w:ascii="Arial" w:hAnsi="Arial" w:cs="Arial"/>
                <w:sz w:val="20"/>
                <w:szCs w:val="20"/>
              </w:rPr>
            </w:pPr>
            <w:r>
              <w:rPr>
                <w:rFonts w:ascii="Calibri" w:hAnsi="Calibri"/>
                <w:b/>
                <w:bCs/>
                <w:color w:val="000000"/>
                <w:sz w:val="20"/>
                <w:szCs w:val="20"/>
              </w:rPr>
              <w:t xml:space="preserve">GR </w:t>
            </w:r>
            <w:r w:rsidRPr="0002762F">
              <w:rPr>
                <w:rFonts w:ascii="Calibri" w:hAnsi="Calibri"/>
                <w:b/>
                <w:bCs/>
                <w:color w:val="000000"/>
                <w:sz w:val="20"/>
                <w:szCs w:val="20"/>
              </w:rPr>
              <w:t>B</w:t>
            </w:r>
            <w:r w:rsidRPr="0002762F">
              <w:rPr>
                <w:rFonts w:ascii="Calibri" w:hAnsi="Calibri"/>
                <w:b/>
                <w:bCs/>
                <w:color w:val="000000"/>
                <w:sz w:val="20"/>
                <w:szCs w:val="20"/>
              </w:rPr>
              <w:br/>
            </w:r>
          </w:p>
        </w:tc>
        <w:tc>
          <w:tcPr>
            <w:tcW w:w="504" w:type="pct"/>
          </w:tcPr>
          <w:p w14:paraId="7688B4E5" w14:textId="77777777" w:rsidR="004C646F" w:rsidRPr="0002762F" w:rsidRDefault="004C646F" w:rsidP="00371BF5">
            <w:pPr>
              <w:rPr>
                <w:rFonts w:ascii="Calibri" w:hAnsi="Calibri"/>
                <w:b/>
                <w:bCs/>
                <w:color w:val="000000"/>
                <w:sz w:val="20"/>
                <w:szCs w:val="20"/>
              </w:rPr>
            </w:pPr>
          </w:p>
        </w:tc>
      </w:tr>
      <w:tr w:rsidR="004C646F" w:rsidRPr="0002762F" w14:paraId="0F902948" w14:textId="7590A8F4" w:rsidTr="004C646F">
        <w:tc>
          <w:tcPr>
            <w:tcW w:w="2089" w:type="pct"/>
          </w:tcPr>
          <w:p w14:paraId="696013C4" w14:textId="77777777" w:rsidR="004C646F" w:rsidRPr="0002762F" w:rsidRDefault="004C646F" w:rsidP="00371BF5">
            <w:pPr>
              <w:rPr>
                <w:rFonts w:ascii="Arial" w:hAnsi="Arial" w:cs="Arial"/>
                <w:sz w:val="20"/>
                <w:szCs w:val="20"/>
              </w:rPr>
            </w:pPr>
            <w:r w:rsidRPr="0002762F">
              <w:rPr>
                <w:rFonts w:ascii="Arial" w:hAnsi="Arial" w:cs="Arial"/>
                <w:b/>
                <w:bCs/>
                <w:sz w:val="20"/>
                <w:szCs w:val="20"/>
              </w:rPr>
              <w:t xml:space="preserve">Chronic pelvic pain due to suspected endometriosis – second line treatment </w:t>
            </w:r>
          </w:p>
        </w:tc>
        <w:tc>
          <w:tcPr>
            <w:tcW w:w="480" w:type="pct"/>
          </w:tcPr>
          <w:p w14:paraId="0FFE2863" w14:textId="4F9F8AEC" w:rsidR="004C646F" w:rsidRPr="0002762F" w:rsidRDefault="004C646F" w:rsidP="00371BF5">
            <w:pPr>
              <w:rPr>
                <w:rFonts w:ascii="Arial" w:hAnsi="Arial" w:cs="Arial"/>
                <w:b/>
                <w:bCs/>
                <w:sz w:val="20"/>
                <w:szCs w:val="20"/>
              </w:rPr>
            </w:pPr>
          </w:p>
        </w:tc>
        <w:tc>
          <w:tcPr>
            <w:tcW w:w="481" w:type="pct"/>
          </w:tcPr>
          <w:p w14:paraId="25E345BC" w14:textId="27CD7494" w:rsidR="004C646F" w:rsidRPr="0002762F" w:rsidRDefault="004C646F" w:rsidP="00371BF5">
            <w:pPr>
              <w:rPr>
                <w:rFonts w:ascii="Arial" w:hAnsi="Arial" w:cs="Arial"/>
                <w:b/>
                <w:bCs/>
                <w:sz w:val="20"/>
                <w:szCs w:val="20"/>
              </w:rPr>
            </w:pPr>
          </w:p>
        </w:tc>
        <w:tc>
          <w:tcPr>
            <w:tcW w:w="482" w:type="pct"/>
          </w:tcPr>
          <w:p w14:paraId="1AF6F69F" w14:textId="77777777" w:rsidR="004C646F" w:rsidRPr="0002762F" w:rsidRDefault="004C646F" w:rsidP="00371BF5">
            <w:pPr>
              <w:rPr>
                <w:rFonts w:ascii="Arial" w:hAnsi="Arial" w:cs="Arial"/>
                <w:sz w:val="20"/>
                <w:szCs w:val="20"/>
              </w:rPr>
            </w:pPr>
          </w:p>
        </w:tc>
        <w:tc>
          <w:tcPr>
            <w:tcW w:w="481" w:type="pct"/>
          </w:tcPr>
          <w:p w14:paraId="0F5FE384" w14:textId="77777777" w:rsidR="004C646F" w:rsidRPr="0002762F" w:rsidRDefault="004C646F" w:rsidP="00371BF5">
            <w:pPr>
              <w:rPr>
                <w:rFonts w:ascii="Arial" w:hAnsi="Arial" w:cs="Arial"/>
                <w:sz w:val="20"/>
                <w:szCs w:val="20"/>
              </w:rPr>
            </w:pPr>
          </w:p>
        </w:tc>
        <w:tc>
          <w:tcPr>
            <w:tcW w:w="482" w:type="pct"/>
          </w:tcPr>
          <w:p w14:paraId="058D0F49" w14:textId="77777777" w:rsidR="004C646F" w:rsidRPr="0002762F" w:rsidRDefault="004C646F" w:rsidP="00371BF5">
            <w:pPr>
              <w:rPr>
                <w:rFonts w:ascii="Arial" w:hAnsi="Arial" w:cs="Arial"/>
                <w:sz w:val="20"/>
                <w:szCs w:val="20"/>
              </w:rPr>
            </w:pPr>
          </w:p>
        </w:tc>
        <w:tc>
          <w:tcPr>
            <w:tcW w:w="504" w:type="pct"/>
          </w:tcPr>
          <w:p w14:paraId="49AE8AE8" w14:textId="77777777" w:rsidR="004C646F" w:rsidRPr="0002762F" w:rsidRDefault="004C646F" w:rsidP="00371BF5">
            <w:pPr>
              <w:rPr>
                <w:rFonts w:ascii="Arial" w:hAnsi="Arial" w:cs="Arial"/>
                <w:sz w:val="20"/>
                <w:szCs w:val="20"/>
              </w:rPr>
            </w:pPr>
          </w:p>
        </w:tc>
      </w:tr>
      <w:tr w:rsidR="004C646F" w:rsidRPr="0002762F" w14:paraId="63454956" w14:textId="4813C045" w:rsidTr="004C646F">
        <w:tc>
          <w:tcPr>
            <w:tcW w:w="2089" w:type="pct"/>
          </w:tcPr>
          <w:p w14:paraId="56D6DB28" w14:textId="77777777" w:rsidR="004C646F" w:rsidRDefault="004C646F" w:rsidP="00371BF5">
            <w:pPr>
              <w:rPr>
                <w:rFonts w:ascii="Arial" w:hAnsi="Arial" w:cs="Arial"/>
                <w:sz w:val="20"/>
                <w:szCs w:val="20"/>
              </w:rPr>
            </w:pPr>
            <w:r w:rsidRPr="0002762F">
              <w:rPr>
                <w:rFonts w:ascii="Arial" w:hAnsi="Arial" w:cs="Arial"/>
                <w:sz w:val="20"/>
                <w:szCs w:val="20"/>
              </w:rPr>
              <w:t xml:space="preserve">Second line: If first line medical therapy fails to relieve pain symptoms, then trial with advanced medical therapy with Danazol, GnRH agonists, progestin such as </w:t>
            </w:r>
            <w:r w:rsidRPr="0002762F">
              <w:rPr>
                <w:rFonts w:ascii="Arial" w:hAnsi="Arial" w:cs="Arial"/>
                <w:sz w:val="20"/>
                <w:szCs w:val="20"/>
              </w:rPr>
              <w:lastRenderedPageBreak/>
              <w:t xml:space="preserve">Medroxyprogesterone. Alternatively, a laparoscopy can be offered </w:t>
            </w:r>
          </w:p>
          <w:p w14:paraId="2D4ECB69" w14:textId="5C702F63" w:rsidR="004C646F" w:rsidRPr="0002762F" w:rsidRDefault="004C646F" w:rsidP="00371BF5">
            <w:pPr>
              <w:rPr>
                <w:rFonts w:ascii="Arial" w:hAnsi="Arial" w:cs="Arial"/>
                <w:sz w:val="20"/>
                <w:szCs w:val="20"/>
              </w:rPr>
            </w:pPr>
          </w:p>
        </w:tc>
        <w:tc>
          <w:tcPr>
            <w:tcW w:w="480" w:type="pct"/>
          </w:tcPr>
          <w:p w14:paraId="14676F47" w14:textId="65248306" w:rsidR="004C646F" w:rsidRPr="0002762F" w:rsidRDefault="004C646F" w:rsidP="00371BF5">
            <w:pPr>
              <w:rPr>
                <w:rFonts w:ascii="Arial" w:hAnsi="Arial" w:cs="Arial"/>
                <w:b/>
                <w:bCs/>
                <w:sz w:val="20"/>
                <w:szCs w:val="20"/>
              </w:rPr>
            </w:pPr>
          </w:p>
        </w:tc>
        <w:tc>
          <w:tcPr>
            <w:tcW w:w="481" w:type="pct"/>
          </w:tcPr>
          <w:p w14:paraId="42DE580E" w14:textId="2460108B" w:rsidR="004C646F" w:rsidRPr="0002762F" w:rsidRDefault="004C646F" w:rsidP="00371BF5">
            <w:pPr>
              <w:rPr>
                <w:rFonts w:ascii="Arial" w:hAnsi="Arial" w:cs="Arial"/>
                <w:b/>
                <w:bCs/>
                <w:sz w:val="20"/>
                <w:szCs w:val="20"/>
              </w:rPr>
            </w:pPr>
            <w:r w:rsidRPr="0002762F">
              <w:rPr>
                <w:rFonts w:ascii="Arial" w:hAnsi="Arial" w:cs="Arial"/>
                <w:b/>
                <w:bCs/>
                <w:sz w:val="20"/>
                <w:szCs w:val="20"/>
              </w:rPr>
              <w:t>No evidence</w:t>
            </w:r>
          </w:p>
        </w:tc>
        <w:tc>
          <w:tcPr>
            <w:tcW w:w="482" w:type="pct"/>
          </w:tcPr>
          <w:p w14:paraId="66E4F3EA" w14:textId="77777777" w:rsidR="004C646F" w:rsidRPr="0002762F" w:rsidRDefault="004C646F" w:rsidP="00371BF5">
            <w:pPr>
              <w:rPr>
                <w:rFonts w:ascii="Arial" w:hAnsi="Arial" w:cs="Arial"/>
                <w:sz w:val="20"/>
                <w:szCs w:val="20"/>
              </w:rPr>
            </w:pPr>
          </w:p>
        </w:tc>
        <w:tc>
          <w:tcPr>
            <w:tcW w:w="481" w:type="pct"/>
          </w:tcPr>
          <w:p w14:paraId="786E483F" w14:textId="77777777" w:rsidR="004C646F" w:rsidRPr="0002762F" w:rsidRDefault="004C646F" w:rsidP="00371BF5">
            <w:pPr>
              <w:rPr>
                <w:rFonts w:ascii="Arial" w:hAnsi="Arial" w:cs="Arial"/>
                <w:sz w:val="20"/>
                <w:szCs w:val="20"/>
              </w:rPr>
            </w:pPr>
          </w:p>
        </w:tc>
        <w:tc>
          <w:tcPr>
            <w:tcW w:w="482" w:type="pct"/>
          </w:tcPr>
          <w:p w14:paraId="794B92A2" w14:textId="77777777" w:rsidR="004C646F" w:rsidRPr="0002762F" w:rsidRDefault="004C646F" w:rsidP="00371BF5">
            <w:pPr>
              <w:rPr>
                <w:rFonts w:ascii="Arial" w:hAnsi="Arial" w:cs="Arial"/>
                <w:sz w:val="20"/>
                <w:szCs w:val="20"/>
              </w:rPr>
            </w:pPr>
          </w:p>
        </w:tc>
        <w:tc>
          <w:tcPr>
            <w:tcW w:w="504" w:type="pct"/>
          </w:tcPr>
          <w:p w14:paraId="38C3F6AD" w14:textId="77777777" w:rsidR="004C646F" w:rsidRPr="0002762F" w:rsidRDefault="004C646F" w:rsidP="00371BF5">
            <w:pPr>
              <w:rPr>
                <w:rFonts w:ascii="Arial" w:hAnsi="Arial" w:cs="Arial"/>
                <w:sz w:val="20"/>
                <w:szCs w:val="20"/>
              </w:rPr>
            </w:pPr>
          </w:p>
        </w:tc>
      </w:tr>
      <w:tr w:rsidR="004C646F" w:rsidRPr="0002762F" w14:paraId="7C509EF0" w14:textId="50DB1BFF" w:rsidTr="004C646F">
        <w:tc>
          <w:tcPr>
            <w:tcW w:w="2089" w:type="pct"/>
          </w:tcPr>
          <w:p w14:paraId="11676B5D" w14:textId="77777777" w:rsidR="004C646F" w:rsidRDefault="004C646F" w:rsidP="00371BF5">
            <w:pPr>
              <w:rPr>
                <w:rFonts w:ascii="Arial" w:hAnsi="Arial" w:cs="Arial"/>
                <w:sz w:val="20"/>
                <w:szCs w:val="20"/>
              </w:rPr>
            </w:pPr>
            <w:r w:rsidRPr="0002762F">
              <w:rPr>
                <w:rFonts w:ascii="Arial" w:hAnsi="Arial" w:cs="Arial"/>
                <w:sz w:val="20"/>
                <w:szCs w:val="20"/>
              </w:rPr>
              <w:t xml:space="preserve">Second-line treatment with a two month trial of Danazol, GnRH agonist or progestin such as medroxyprogesterone and continue for 6 months or longer </w:t>
            </w:r>
          </w:p>
          <w:p w14:paraId="5535EC20" w14:textId="3DE4E664" w:rsidR="004C646F" w:rsidRPr="0002762F" w:rsidRDefault="004C646F" w:rsidP="00371BF5">
            <w:pPr>
              <w:rPr>
                <w:rFonts w:ascii="Arial" w:hAnsi="Arial" w:cs="Arial"/>
                <w:sz w:val="20"/>
                <w:szCs w:val="20"/>
              </w:rPr>
            </w:pPr>
          </w:p>
        </w:tc>
        <w:tc>
          <w:tcPr>
            <w:tcW w:w="480" w:type="pct"/>
          </w:tcPr>
          <w:p w14:paraId="1E3D1860" w14:textId="172D12A0" w:rsidR="004C646F" w:rsidRPr="0002762F" w:rsidRDefault="004C646F" w:rsidP="00371BF5">
            <w:pPr>
              <w:rPr>
                <w:rFonts w:ascii="Arial" w:hAnsi="Arial" w:cs="Arial"/>
                <w:b/>
                <w:bCs/>
                <w:sz w:val="20"/>
                <w:szCs w:val="20"/>
              </w:rPr>
            </w:pPr>
          </w:p>
        </w:tc>
        <w:tc>
          <w:tcPr>
            <w:tcW w:w="481" w:type="pct"/>
          </w:tcPr>
          <w:p w14:paraId="10B07C24" w14:textId="5F24B4E8" w:rsidR="004C646F" w:rsidRPr="0002762F" w:rsidRDefault="004C646F" w:rsidP="00371BF5">
            <w:pPr>
              <w:rPr>
                <w:rFonts w:ascii="Arial" w:hAnsi="Arial" w:cs="Arial"/>
                <w:b/>
                <w:bCs/>
                <w:sz w:val="20"/>
                <w:szCs w:val="20"/>
              </w:rPr>
            </w:pPr>
            <w:r w:rsidRPr="0002762F">
              <w:rPr>
                <w:rFonts w:ascii="Arial" w:hAnsi="Arial" w:cs="Arial"/>
                <w:b/>
                <w:bCs/>
                <w:sz w:val="20"/>
                <w:szCs w:val="20"/>
              </w:rPr>
              <w:t>No evidence</w:t>
            </w:r>
          </w:p>
        </w:tc>
        <w:tc>
          <w:tcPr>
            <w:tcW w:w="482" w:type="pct"/>
          </w:tcPr>
          <w:p w14:paraId="5D9735DC" w14:textId="77777777" w:rsidR="004C646F" w:rsidRPr="0002762F" w:rsidRDefault="004C646F" w:rsidP="00371BF5">
            <w:pPr>
              <w:rPr>
                <w:rFonts w:ascii="Arial" w:hAnsi="Arial" w:cs="Arial"/>
                <w:sz w:val="20"/>
                <w:szCs w:val="20"/>
              </w:rPr>
            </w:pPr>
          </w:p>
        </w:tc>
        <w:tc>
          <w:tcPr>
            <w:tcW w:w="481" w:type="pct"/>
          </w:tcPr>
          <w:p w14:paraId="0CFA2F63" w14:textId="77777777" w:rsidR="004C646F" w:rsidRPr="0002762F" w:rsidRDefault="004C646F" w:rsidP="00371BF5">
            <w:pPr>
              <w:rPr>
                <w:rFonts w:ascii="Arial" w:hAnsi="Arial" w:cs="Arial"/>
                <w:sz w:val="20"/>
                <w:szCs w:val="20"/>
              </w:rPr>
            </w:pPr>
          </w:p>
        </w:tc>
        <w:tc>
          <w:tcPr>
            <w:tcW w:w="482" w:type="pct"/>
          </w:tcPr>
          <w:p w14:paraId="01964137" w14:textId="77777777" w:rsidR="004C646F" w:rsidRPr="0002762F" w:rsidRDefault="004C646F" w:rsidP="00371BF5">
            <w:pPr>
              <w:rPr>
                <w:rFonts w:ascii="Arial" w:hAnsi="Arial" w:cs="Arial"/>
                <w:sz w:val="20"/>
                <w:szCs w:val="20"/>
              </w:rPr>
            </w:pPr>
          </w:p>
        </w:tc>
        <w:tc>
          <w:tcPr>
            <w:tcW w:w="504" w:type="pct"/>
          </w:tcPr>
          <w:p w14:paraId="00CDD49E" w14:textId="77777777" w:rsidR="004C646F" w:rsidRPr="0002762F" w:rsidRDefault="004C646F" w:rsidP="00371BF5">
            <w:pPr>
              <w:rPr>
                <w:rFonts w:ascii="Arial" w:hAnsi="Arial" w:cs="Arial"/>
                <w:sz w:val="20"/>
                <w:szCs w:val="20"/>
              </w:rPr>
            </w:pPr>
          </w:p>
        </w:tc>
      </w:tr>
      <w:tr w:rsidR="004C646F" w:rsidRPr="0002762F" w14:paraId="44317785" w14:textId="73624FBE" w:rsidTr="004C646F">
        <w:tc>
          <w:tcPr>
            <w:tcW w:w="2089" w:type="pct"/>
          </w:tcPr>
          <w:p w14:paraId="6F5C0514" w14:textId="77777777" w:rsidR="004C646F" w:rsidRDefault="004C646F" w:rsidP="00371BF5">
            <w:pPr>
              <w:rPr>
                <w:rFonts w:ascii="Arial" w:hAnsi="Arial" w:cs="Arial"/>
                <w:sz w:val="20"/>
                <w:szCs w:val="20"/>
              </w:rPr>
            </w:pPr>
            <w:r w:rsidRPr="0002762F">
              <w:rPr>
                <w:rFonts w:ascii="Arial" w:hAnsi="Arial" w:cs="Arial"/>
                <w:sz w:val="20"/>
                <w:szCs w:val="20"/>
              </w:rPr>
              <w:t xml:space="preserve">If adequate pain relief not obtained from second line treatment (Danazol, GNRH, progestin such as medroxyprogesterone), then consider an alternative diagnosis </w:t>
            </w:r>
          </w:p>
          <w:p w14:paraId="410ED339" w14:textId="0BA2607B" w:rsidR="004C646F" w:rsidRPr="0002762F" w:rsidRDefault="004C646F" w:rsidP="00371BF5">
            <w:pPr>
              <w:rPr>
                <w:rFonts w:ascii="Arial" w:hAnsi="Arial" w:cs="Arial"/>
                <w:sz w:val="20"/>
                <w:szCs w:val="20"/>
              </w:rPr>
            </w:pPr>
          </w:p>
        </w:tc>
        <w:tc>
          <w:tcPr>
            <w:tcW w:w="480" w:type="pct"/>
          </w:tcPr>
          <w:p w14:paraId="3E1DF3BE" w14:textId="52B77F40" w:rsidR="004C646F" w:rsidRPr="0002762F" w:rsidRDefault="004C646F" w:rsidP="00371BF5">
            <w:pPr>
              <w:rPr>
                <w:rFonts w:ascii="Arial" w:hAnsi="Arial" w:cs="Arial"/>
                <w:b/>
                <w:bCs/>
                <w:sz w:val="20"/>
                <w:szCs w:val="20"/>
              </w:rPr>
            </w:pPr>
          </w:p>
        </w:tc>
        <w:tc>
          <w:tcPr>
            <w:tcW w:w="481" w:type="pct"/>
          </w:tcPr>
          <w:p w14:paraId="70CA0493" w14:textId="28DCEA87" w:rsidR="004C646F" w:rsidRPr="0002762F" w:rsidRDefault="004C646F" w:rsidP="00371BF5">
            <w:pPr>
              <w:rPr>
                <w:rFonts w:ascii="Arial" w:hAnsi="Arial" w:cs="Arial"/>
                <w:b/>
                <w:bCs/>
                <w:sz w:val="20"/>
                <w:szCs w:val="20"/>
              </w:rPr>
            </w:pPr>
            <w:r w:rsidRPr="0002762F">
              <w:rPr>
                <w:rFonts w:ascii="Arial" w:hAnsi="Arial" w:cs="Arial"/>
                <w:b/>
                <w:bCs/>
                <w:sz w:val="20"/>
                <w:szCs w:val="20"/>
              </w:rPr>
              <w:t>No evidence</w:t>
            </w:r>
          </w:p>
        </w:tc>
        <w:tc>
          <w:tcPr>
            <w:tcW w:w="482" w:type="pct"/>
          </w:tcPr>
          <w:p w14:paraId="111E7790" w14:textId="77777777" w:rsidR="004C646F" w:rsidRPr="0002762F" w:rsidRDefault="004C646F" w:rsidP="00371BF5">
            <w:pPr>
              <w:rPr>
                <w:rFonts w:ascii="Arial" w:hAnsi="Arial" w:cs="Arial"/>
                <w:sz w:val="20"/>
                <w:szCs w:val="20"/>
              </w:rPr>
            </w:pPr>
          </w:p>
        </w:tc>
        <w:tc>
          <w:tcPr>
            <w:tcW w:w="481" w:type="pct"/>
          </w:tcPr>
          <w:p w14:paraId="58DD820A" w14:textId="77777777" w:rsidR="004C646F" w:rsidRPr="0002762F" w:rsidRDefault="004C646F" w:rsidP="00371BF5">
            <w:pPr>
              <w:rPr>
                <w:rFonts w:ascii="Arial" w:hAnsi="Arial" w:cs="Arial"/>
                <w:sz w:val="20"/>
                <w:szCs w:val="20"/>
              </w:rPr>
            </w:pPr>
          </w:p>
        </w:tc>
        <w:tc>
          <w:tcPr>
            <w:tcW w:w="482" w:type="pct"/>
          </w:tcPr>
          <w:p w14:paraId="5D453C91" w14:textId="77777777" w:rsidR="004C646F" w:rsidRPr="0002762F" w:rsidRDefault="004C646F" w:rsidP="00371BF5">
            <w:pPr>
              <w:rPr>
                <w:rFonts w:ascii="Arial" w:hAnsi="Arial" w:cs="Arial"/>
                <w:sz w:val="20"/>
                <w:szCs w:val="20"/>
              </w:rPr>
            </w:pPr>
          </w:p>
        </w:tc>
        <w:tc>
          <w:tcPr>
            <w:tcW w:w="504" w:type="pct"/>
          </w:tcPr>
          <w:p w14:paraId="1D9A1B85" w14:textId="77777777" w:rsidR="004C646F" w:rsidRPr="0002762F" w:rsidRDefault="004C646F" w:rsidP="00371BF5">
            <w:pPr>
              <w:rPr>
                <w:rFonts w:ascii="Arial" w:hAnsi="Arial" w:cs="Arial"/>
                <w:sz w:val="20"/>
                <w:szCs w:val="20"/>
              </w:rPr>
            </w:pPr>
          </w:p>
        </w:tc>
      </w:tr>
      <w:tr w:rsidR="004C646F" w:rsidRPr="0002762F" w14:paraId="426C0BC7" w14:textId="3C1E871F" w:rsidTr="004C646F">
        <w:tc>
          <w:tcPr>
            <w:tcW w:w="2089" w:type="pct"/>
          </w:tcPr>
          <w:p w14:paraId="68FBA5E0" w14:textId="77777777" w:rsidR="004C646F" w:rsidRDefault="004C646F" w:rsidP="00371BF5">
            <w:pPr>
              <w:rPr>
                <w:rFonts w:ascii="Arial" w:hAnsi="Arial" w:cs="Arial"/>
                <w:sz w:val="20"/>
                <w:szCs w:val="20"/>
              </w:rPr>
            </w:pPr>
            <w:r w:rsidRPr="0002762F">
              <w:rPr>
                <w:rFonts w:ascii="Arial" w:hAnsi="Arial" w:cs="Arial"/>
                <w:sz w:val="20"/>
                <w:szCs w:val="20"/>
              </w:rPr>
              <w:t xml:space="preserve">Second line treatment is recommended instead of surgery in those women with CPP that have not responded to NSAIDs or OC /or form whom they are  contraindicated </w:t>
            </w:r>
          </w:p>
          <w:p w14:paraId="29C7C4F3" w14:textId="383BCB86" w:rsidR="004C646F" w:rsidRPr="0002762F" w:rsidRDefault="004C646F" w:rsidP="00371BF5">
            <w:pPr>
              <w:rPr>
                <w:rFonts w:ascii="Arial" w:hAnsi="Arial" w:cs="Arial"/>
                <w:sz w:val="20"/>
                <w:szCs w:val="20"/>
              </w:rPr>
            </w:pPr>
          </w:p>
        </w:tc>
        <w:tc>
          <w:tcPr>
            <w:tcW w:w="480" w:type="pct"/>
          </w:tcPr>
          <w:p w14:paraId="47F75F99" w14:textId="746575EB" w:rsidR="004C646F" w:rsidRPr="0002762F" w:rsidRDefault="004C646F" w:rsidP="00371BF5">
            <w:pPr>
              <w:rPr>
                <w:rFonts w:ascii="Arial" w:hAnsi="Arial" w:cs="Arial"/>
                <w:b/>
                <w:bCs/>
                <w:sz w:val="20"/>
                <w:szCs w:val="20"/>
              </w:rPr>
            </w:pPr>
          </w:p>
        </w:tc>
        <w:tc>
          <w:tcPr>
            <w:tcW w:w="481" w:type="pct"/>
          </w:tcPr>
          <w:p w14:paraId="6FDB6C6D" w14:textId="1E1C8A6E" w:rsidR="004C646F" w:rsidRPr="0002762F" w:rsidRDefault="004C646F" w:rsidP="00371BF5">
            <w:pPr>
              <w:rPr>
                <w:rFonts w:ascii="Arial" w:hAnsi="Arial" w:cs="Arial"/>
                <w:sz w:val="20"/>
                <w:szCs w:val="20"/>
              </w:rPr>
            </w:pPr>
            <w:r w:rsidRPr="0002762F">
              <w:rPr>
                <w:rFonts w:ascii="Arial" w:hAnsi="Arial" w:cs="Arial"/>
                <w:b/>
                <w:bCs/>
                <w:sz w:val="20"/>
                <w:szCs w:val="20"/>
              </w:rPr>
              <w:t>No evidence</w:t>
            </w:r>
          </w:p>
        </w:tc>
        <w:tc>
          <w:tcPr>
            <w:tcW w:w="482" w:type="pct"/>
          </w:tcPr>
          <w:p w14:paraId="4FDB7CBF" w14:textId="77777777" w:rsidR="004C646F" w:rsidRPr="0002762F" w:rsidRDefault="004C646F" w:rsidP="00371BF5">
            <w:pPr>
              <w:rPr>
                <w:rFonts w:ascii="Arial" w:hAnsi="Arial" w:cs="Arial"/>
                <w:sz w:val="20"/>
                <w:szCs w:val="20"/>
              </w:rPr>
            </w:pPr>
          </w:p>
        </w:tc>
        <w:tc>
          <w:tcPr>
            <w:tcW w:w="481" w:type="pct"/>
          </w:tcPr>
          <w:p w14:paraId="324D7BA3" w14:textId="77777777" w:rsidR="004C646F" w:rsidRPr="0002762F" w:rsidRDefault="004C646F" w:rsidP="00371BF5">
            <w:pPr>
              <w:rPr>
                <w:rFonts w:ascii="Arial" w:hAnsi="Arial" w:cs="Arial"/>
                <w:sz w:val="20"/>
                <w:szCs w:val="20"/>
              </w:rPr>
            </w:pPr>
          </w:p>
        </w:tc>
        <w:tc>
          <w:tcPr>
            <w:tcW w:w="482" w:type="pct"/>
          </w:tcPr>
          <w:p w14:paraId="751F0768" w14:textId="77777777" w:rsidR="004C646F" w:rsidRPr="0002762F" w:rsidRDefault="004C646F" w:rsidP="00371BF5">
            <w:pPr>
              <w:rPr>
                <w:rFonts w:ascii="Arial" w:hAnsi="Arial" w:cs="Arial"/>
                <w:sz w:val="20"/>
                <w:szCs w:val="20"/>
              </w:rPr>
            </w:pPr>
          </w:p>
        </w:tc>
        <w:tc>
          <w:tcPr>
            <w:tcW w:w="504" w:type="pct"/>
          </w:tcPr>
          <w:p w14:paraId="7A3286E0" w14:textId="77777777" w:rsidR="004C646F" w:rsidRPr="0002762F" w:rsidRDefault="004C646F" w:rsidP="00371BF5">
            <w:pPr>
              <w:rPr>
                <w:rFonts w:ascii="Arial" w:hAnsi="Arial" w:cs="Arial"/>
                <w:sz w:val="20"/>
                <w:szCs w:val="20"/>
              </w:rPr>
            </w:pPr>
          </w:p>
        </w:tc>
      </w:tr>
      <w:tr w:rsidR="004C646F" w:rsidRPr="0002762F" w14:paraId="06B741B3" w14:textId="7F6D3EAD" w:rsidTr="004C646F">
        <w:tc>
          <w:tcPr>
            <w:tcW w:w="2089" w:type="pct"/>
          </w:tcPr>
          <w:p w14:paraId="31B7CA74" w14:textId="77777777" w:rsidR="004C646F" w:rsidRDefault="004C646F" w:rsidP="00371BF5">
            <w:pPr>
              <w:rPr>
                <w:rFonts w:ascii="Arial" w:hAnsi="Arial" w:cs="Arial"/>
                <w:b/>
                <w:bCs/>
                <w:sz w:val="20"/>
                <w:szCs w:val="20"/>
              </w:rPr>
            </w:pPr>
            <w:r w:rsidRPr="0002762F">
              <w:rPr>
                <w:rFonts w:ascii="Arial" w:hAnsi="Arial" w:cs="Arial"/>
                <w:b/>
                <w:bCs/>
                <w:sz w:val="20"/>
                <w:szCs w:val="20"/>
              </w:rPr>
              <w:t>Chronic pelvic pain due to suspected endometriosis – surveillance and maintenance</w:t>
            </w:r>
          </w:p>
          <w:p w14:paraId="71416FAC" w14:textId="1917662F" w:rsidR="004C646F" w:rsidRPr="0002762F" w:rsidRDefault="004C646F" w:rsidP="00371BF5">
            <w:pPr>
              <w:rPr>
                <w:rFonts w:ascii="Arial" w:hAnsi="Arial" w:cs="Arial"/>
                <w:sz w:val="20"/>
                <w:szCs w:val="20"/>
              </w:rPr>
            </w:pPr>
          </w:p>
        </w:tc>
        <w:tc>
          <w:tcPr>
            <w:tcW w:w="480" w:type="pct"/>
          </w:tcPr>
          <w:p w14:paraId="4AAF5B25" w14:textId="398FF483" w:rsidR="004C646F" w:rsidRPr="0002762F" w:rsidRDefault="004C646F" w:rsidP="00371BF5">
            <w:pPr>
              <w:rPr>
                <w:rFonts w:ascii="Arial" w:hAnsi="Arial" w:cs="Arial"/>
                <w:sz w:val="20"/>
                <w:szCs w:val="20"/>
              </w:rPr>
            </w:pPr>
          </w:p>
        </w:tc>
        <w:tc>
          <w:tcPr>
            <w:tcW w:w="481" w:type="pct"/>
          </w:tcPr>
          <w:p w14:paraId="76661723" w14:textId="781B4EEA" w:rsidR="004C646F" w:rsidRPr="0002762F" w:rsidRDefault="004C646F" w:rsidP="00371BF5">
            <w:pPr>
              <w:rPr>
                <w:rFonts w:ascii="Arial" w:hAnsi="Arial" w:cs="Arial"/>
                <w:sz w:val="20"/>
                <w:szCs w:val="20"/>
              </w:rPr>
            </w:pPr>
          </w:p>
        </w:tc>
        <w:tc>
          <w:tcPr>
            <w:tcW w:w="482" w:type="pct"/>
          </w:tcPr>
          <w:p w14:paraId="45928B15" w14:textId="77777777" w:rsidR="004C646F" w:rsidRPr="0002762F" w:rsidRDefault="004C646F" w:rsidP="00371BF5">
            <w:pPr>
              <w:rPr>
                <w:rFonts w:ascii="Arial" w:hAnsi="Arial" w:cs="Arial"/>
                <w:sz w:val="20"/>
                <w:szCs w:val="20"/>
              </w:rPr>
            </w:pPr>
          </w:p>
        </w:tc>
        <w:tc>
          <w:tcPr>
            <w:tcW w:w="481" w:type="pct"/>
          </w:tcPr>
          <w:p w14:paraId="21EE77BA" w14:textId="77777777" w:rsidR="004C646F" w:rsidRPr="0002762F" w:rsidRDefault="004C646F" w:rsidP="00371BF5">
            <w:pPr>
              <w:rPr>
                <w:rFonts w:ascii="Arial" w:hAnsi="Arial" w:cs="Arial"/>
                <w:sz w:val="20"/>
                <w:szCs w:val="20"/>
              </w:rPr>
            </w:pPr>
          </w:p>
        </w:tc>
        <w:tc>
          <w:tcPr>
            <w:tcW w:w="482" w:type="pct"/>
          </w:tcPr>
          <w:p w14:paraId="7C3B36EE" w14:textId="77777777" w:rsidR="004C646F" w:rsidRPr="0002762F" w:rsidRDefault="004C646F" w:rsidP="00371BF5">
            <w:pPr>
              <w:rPr>
                <w:rFonts w:ascii="Arial" w:hAnsi="Arial" w:cs="Arial"/>
                <w:sz w:val="20"/>
                <w:szCs w:val="20"/>
              </w:rPr>
            </w:pPr>
          </w:p>
        </w:tc>
        <w:tc>
          <w:tcPr>
            <w:tcW w:w="504" w:type="pct"/>
          </w:tcPr>
          <w:p w14:paraId="1D0A6411" w14:textId="77777777" w:rsidR="004C646F" w:rsidRPr="0002762F" w:rsidRDefault="004C646F" w:rsidP="00371BF5">
            <w:pPr>
              <w:rPr>
                <w:rFonts w:ascii="Arial" w:hAnsi="Arial" w:cs="Arial"/>
                <w:sz w:val="20"/>
                <w:szCs w:val="20"/>
              </w:rPr>
            </w:pPr>
          </w:p>
        </w:tc>
      </w:tr>
      <w:tr w:rsidR="004C646F" w:rsidRPr="0002762F" w14:paraId="621E85BA" w14:textId="32ADA556" w:rsidTr="004C646F">
        <w:tc>
          <w:tcPr>
            <w:tcW w:w="2089" w:type="pct"/>
          </w:tcPr>
          <w:p w14:paraId="5FA7ABA4" w14:textId="77777777" w:rsidR="004C646F" w:rsidRDefault="004C646F" w:rsidP="00371BF5">
            <w:pPr>
              <w:rPr>
                <w:rFonts w:ascii="Arial" w:hAnsi="Arial" w:cs="Arial"/>
                <w:sz w:val="20"/>
                <w:szCs w:val="20"/>
              </w:rPr>
            </w:pPr>
            <w:r w:rsidRPr="0002762F">
              <w:rPr>
                <w:rFonts w:ascii="Arial" w:hAnsi="Arial" w:cs="Arial"/>
                <w:sz w:val="20"/>
                <w:szCs w:val="20"/>
              </w:rPr>
              <w:t>If adequate pain relief is obtained from the selected agent, then an appropriate maintenance management regimen should be initiated, keeping in mind that pain often has multiple causes and may recur, requiring re-evaluation and treatment revisions.</w:t>
            </w:r>
          </w:p>
          <w:p w14:paraId="65A96442" w14:textId="72DE9283" w:rsidR="004C646F" w:rsidRPr="0002762F" w:rsidRDefault="004C646F" w:rsidP="00371BF5">
            <w:pPr>
              <w:rPr>
                <w:rFonts w:ascii="Arial" w:hAnsi="Arial" w:cs="Arial"/>
                <w:sz w:val="20"/>
                <w:szCs w:val="20"/>
              </w:rPr>
            </w:pPr>
          </w:p>
        </w:tc>
        <w:tc>
          <w:tcPr>
            <w:tcW w:w="480" w:type="pct"/>
          </w:tcPr>
          <w:p w14:paraId="2DC69B9E" w14:textId="4D22D2F6" w:rsidR="004C646F" w:rsidRPr="0002762F" w:rsidRDefault="004C646F" w:rsidP="00371BF5">
            <w:pPr>
              <w:rPr>
                <w:rFonts w:ascii="Arial" w:hAnsi="Arial" w:cs="Arial"/>
                <w:b/>
                <w:bCs/>
                <w:sz w:val="20"/>
                <w:szCs w:val="20"/>
              </w:rPr>
            </w:pPr>
          </w:p>
        </w:tc>
        <w:tc>
          <w:tcPr>
            <w:tcW w:w="481" w:type="pct"/>
          </w:tcPr>
          <w:p w14:paraId="2E7827D9" w14:textId="44488943" w:rsidR="004C646F" w:rsidRPr="0002762F" w:rsidRDefault="004C646F" w:rsidP="00371BF5">
            <w:pPr>
              <w:rPr>
                <w:rFonts w:ascii="Arial" w:hAnsi="Arial" w:cs="Arial"/>
                <w:b/>
                <w:bCs/>
                <w:sz w:val="20"/>
                <w:szCs w:val="20"/>
              </w:rPr>
            </w:pPr>
            <w:r w:rsidRPr="0002762F">
              <w:rPr>
                <w:rFonts w:ascii="Arial" w:hAnsi="Arial" w:cs="Arial"/>
                <w:b/>
                <w:bCs/>
                <w:sz w:val="20"/>
                <w:szCs w:val="20"/>
              </w:rPr>
              <w:t>No evidence</w:t>
            </w:r>
          </w:p>
        </w:tc>
        <w:tc>
          <w:tcPr>
            <w:tcW w:w="482" w:type="pct"/>
          </w:tcPr>
          <w:p w14:paraId="529D6A93" w14:textId="77777777" w:rsidR="004C646F" w:rsidRPr="0002762F" w:rsidRDefault="004C646F" w:rsidP="00371BF5">
            <w:pPr>
              <w:rPr>
                <w:rFonts w:ascii="Arial" w:hAnsi="Arial" w:cs="Arial"/>
                <w:sz w:val="20"/>
                <w:szCs w:val="20"/>
              </w:rPr>
            </w:pPr>
          </w:p>
        </w:tc>
        <w:tc>
          <w:tcPr>
            <w:tcW w:w="481" w:type="pct"/>
          </w:tcPr>
          <w:p w14:paraId="7C0E72D3" w14:textId="77777777" w:rsidR="004C646F" w:rsidRPr="0002762F" w:rsidRDefault="004C646F" w:rsidP="00371BF5">
            <w:pPr>
              <w:rPr>
                <w:rFonts w:ascii="Arial" w:hAnsi="Arial" w:cs="Arial"/>
                <w:sz w:val="20"/>
                <w:szCs w:val="20"/>
              </w:rPr>
            </w:pPr>
          </w:p>
        </w:tc>
        <w:tc>
          <w:tcPr>
            <w:tcW w:w="482" w:type="pct"/>
          </w:tcPr>
          <w:p w14:paraId="36DD47F6" w14:textId="77777777" w:rsidR="004C646F" w:rsidRPr="0002762F" w:rsidRDefault="004C646F" w:rsidP="00371BF5">
            <w:pPr>
              <w:rPr>
                <w:rFonts w:ascii="Arial" w:hAnsi="Arial" w:cs="Arial"/>
                <w:sz w:val="20"/>
                <w:szCs w:val="20"/>
              </w:rPr>
            </w:pPr>
          </w:p>
        </w:tc>
        <w:tc>
          <w:tcPr>
            <w:tcW w:w="504" w:type="pct"/>
          </w:tcPr>
          <w:p w14:paraId="4AACA0D2" w14:textId="77777777" w:rsidR="004C646F" w:rsidRPr="0002762F" w:rsidRDefault="004C646F" w:rsidP="00371BF5">
            <w:pPr>
              <w:rPr>
                <w:rFonts w:ascii="Arial" w:hAnsi="Arial" w:cs="Arial"/>
                <w:sz w:val="20"/>
                <w:szCs w:val="20"/>
              </w:rPr>
            </w:pPr>
          </w:p>
        </w:tc>
      </w:tr>
      <w:tr w:rsidR="004C646F" w:rsidRPr="0002762F" w14:paraId="102B30AA" w14:textId="5BA26431" w:rsidTr="004C646F">
        <w:tc>
          <w:tcPr>
            <w:tcW w:w="2089" w:type="pct"/>
          </w:tcPr>
          <w:p w14:paraId="013A5A5B" w14:textId="77777777" w:rsidR="004C646F" w:rsidRDefault="004C646F" w:rsidP="00371BF5">
            <w:pPr>
              <w:rPr>
                <w:rFonts w:ascii="Arial" w:hAnsi="Arial" w:cs="Arial"/>
                <w:sz w:val="20"/>
                <w:szCs w:val="20"/>
              </w:rPr>
            </w:pPr>
            <w:r w:rsidRPr="0002762F">
              <w:rPr>
                <w:rFonts w:ascii="Arial" w:hAnsi="Arial" w:cs="Arial"/>
                <w:sz w:val="20"/>
                <w:szCs w:val="20"/>
              </w:rPr>
              <w:t>Women who obtain adequate relief from first line treatment  (NSAIDs or oral contraceptives) but for whom symptoms return upon completion or cessation of medical treatment should be maintained on the therapeutic regimen that previously produced relief.</w:t>
            </w:r>
          </w:p>
          <w:p w14:paraId="53625A59" w14:textId="3E709CC0" w:rsidR="004C646F" w:rsidRPr="0002762F" w:rsidRDefault="004C646F" w:rsidP="00371BF5">
            <w:pPr>
              <w:rPr>
                <w:rFonts w:ascii="Arial" w:hAnsi="Arial" w:cs="Arial"/>
                <w:sz w:val="20"/>
                <w:szCs w:val="20"/>
              </w:rPr>
            </w:pPr>
          </w:p>
        </w:tc>
        <w:tc>
          <w:tcPr>
            <w:tcW w:w="480" w:type="pct"/>
          </w:tcPr>
          <w:p w14:paraId="193F79C9" w14:textId="503C2519" w:rsidR="004C646F" w:rsidRPr="0002762F" w:rsidRDefault="004C646F" w:rsidP="00371BF5">
            <w:pPr>
              <w:rPr>
                <w:rFonts w:ascii="Arial" w:hAnsi="Arial" w:cs="Arial"/>
                <w:b/>
                <w:bCs/>
                <w:sz w:val="20"/>
                <w:szCs w:val="20"/>
              </w:rPr>
            </w:pPr>
          </w:p>
        </w:tc>
        <w:tc>
          <w:tcPr>
            <w:tcW w:w="481" w:type="pct"/>
          </w:tcPr>
          <w:p w14:paraId="7F30E829" w14:textId="374CD2CB" w:rsidR="004C646F" w:rsidRPr="0002762F" w:rsidRDefault="004C646F" w:rsidP="00371BF5">
            <w:pPr>
              <w:rPr>
                <w:rFonts w:ascii="Arial" w:hAnsi="Arial" w:cs="Arial"/>
                <w:sz w:val="20"/>
                <w:szCs w:val="20"/>
              </w:rPr>
            </w:pPr>
            <w:r w:rsidRPr="0002762F">
              <w:rPr>
                <w:rFonts w:ascii="Arial" w:hAnsi="Arial" w:cs="Arial"/>
                <w:b/>
                <w:bCs/>
                <w:sz w:val="20"/>
                <w:szCs w:val="20"/>
              </w:rPr>
              <w:t>No evidence</w:t>
            </w:r>
          </w:p>
        </w:tc>
        <w:tc>
          <w:tcPr>
            <w:tcW w:w="482" w:type="pct"/>
          </w:tcPr>
          <w:p w14:paraId="12477950" w14:textId="77777777" w:rsidR="004C646F" w:rsidRPr="0002762F" w:rsidRDefault="004C646F" w:rsidP="00371BF5">
            <w:pPr>
              <w:rPr>
                <w:rFonts w:ascii="Arial" w:hAnsi="Arial" w:cs="Arial"/>
                <w:sz w:val="20"/>
                <w:szCs w:val="20"/>
              </w:rPr>
            </w:pPr>
          </w:p>
        </w:tc>
        <w:tc>
          <w:tcPr>
            <w:tcW w:w="481" w:type="pct"/>
          </w:tcPr>
          <w:p w14:paraId="5B05B4D3" w14:textId="77777777" w:rsidR="004C646F" w:rsidRPr="0002762F" w:rsidRDefault="004C646F" w:rsidP="00371BF5">
            <w:pPr>
              <w:rPr>
                <w:rFonts w:ascii="Arial" w:hAnsi="Arial" w:cs="Arial"/>
                <w:sz w:val="20"/>
                <w:szCs w:val="20"/>
              </w:rPr>
            </w:pPr>
          </w:p>
        </w:tc>
        <w:tc>
          <w:tcPr>
            <w:tcW w:w="482" w:type="pct"/>
          </w:tcPr>
          <w:p w14:paraId="0C8CC9ED" w14:textId="77777777" w:rsidR="004C646F" w:rsidRPr="0002762F" w:rsidRDefault="004C646F" w:rsidP="00371BF5">
            <w:pPr>
              <w:rPr>
                <w:rFonts w:ascii="Arial" w:hAnsi="Arial" w:cs="Arial"/>
                <w:sz w:val="20"/>
                <w:szCs w:val="20"/>
              </w:rPr>
            </w:pPr>
          </w:p>
        </w:tc>
        <w:tc>
          <w:tcPr>
            <w:tcW w:w="504" w:type="pct"/>
          </w:tcPr>
          <w:p w14:paraId="7FEA85B6" w14:textId="77777777" w:rsidR="004C646F" w:rsidRPr="0002762F" w:rsidRDefault="004C646F" w:rsidP="00371BF5">
            <w:pPr>
              <w:rPr>
                <w:rFonts w:ascii="Arial" w:hAnsi="Arial" w:cs="Arial"/>
                <w:sz w:val="20"/>
                <w:szCs w:val="20"/>
              </w:rPr>
            </w:pPr>
          </w:p>
        </w:tc>
      </w:tr>
      <w:tr w:rsidR="004C646F" w:rsidRPr="0002762F" w14:paraId="4EC02B05" w14:textId="6318961E" w:rsidTr="004C646F">
        <w:tc>
          <w:tcPr>
            <w:tcW w:w="2089" w:type="pct"/>
          </w:tcPr>
          <w:p w14:paraId="0B40DDE6" w14:textId="77777777" w:rsidR="004C646F" w:rsidRDefault="004C646F" w:rsidP="00371BF5">
            <w:pPr>
              <w:rPr>
                <w:rFonts w:ascii="Arial" w:hAnsi="Arial" w:cs="Arial"/>
                <w:sz w:val="20"/>
                <w:szCs w:val="20"/>
              </w:rPr>
            </w:pPr>
            <w:r w:rsidRPr="0002762F">
              <w:rPr>
                <w:rFonts w:ascii="Arial" w:hAnsi="Arial" w:cs="Arial"/>
                <w:sz w:val="20"/>
                <w:szCs w:val="20"/>
              </w:rPr>
              <w:t xml:space="preserve">Maintenance regime with NSAIDs or oral contraceptive or both </w:t>
            </w:r>
          </w:p>
          <w:p w14:paraId="0670DEAE" w14:textId="36A8F80D" w:rsidR="004C646F" w:rsidRPr="0002762F" w:rsidRDefault="004C646F" w:rsidP="00371BF5">
            <w:pPr>
              <w:rPr>
                <w:rFonts w:ascii="Arial" w:hAnsi="Arial" w:cs="Arial"/>
                <w:sz w:val="20"/>
                <w:szCs w:val="20"/>
              </w:rPr>
            </w:pPr>
          </w:p>
        </w:tc>
        <w:tc>
          <w:tcPr>
            <w:tcW w:w="480" w:type="pct"/>
          </w:tcPr>
          <w:p w14:paraId="4A9DA977" w14:textId="69F52186" w:rsidR="004C646F" w:rsidRPr="0002762F" w:rsidRDefault="004C646F" w:rsidP="00371BF5">
            <w:pPr>
              <w:rPr>
                <w:rFonts w:ascii="Arial" w:hAnsi="Arial" w:cs="Arial"/>
                <w:b/>
                <w:bCs/>
                <w:sz w:val="20"/>
                <w:szCs w:val="20"/>
              </w:rPr>
            </w:pPr>
          </w:p>
        </w:tc>
        <w:tc>
          <w:tcPr>
            <w:tcW w:w="481" w:type="pct"/>
          </w:tcPr>
          <w:p w14:paraId="331B723C" w14:textId="332FC4CD" w:rsidR="004C646F" w:rsidRPr="0002762F" w:rsidRDefault="004C646F" w:rsidP="00371BF5">
            <w:pPr>
              <w:rPr>
                <w:rFonts w:ascii="Arial" w:hAnsi="Arial" w:cs="Arial"/>
                <w:b/>
                <w:bCs/>
                <w:sz w:val="20"/>
                <w:szCs w:val="20"/>
              </w:rPr>
            </w:pPr>
            <w:r w:rsidRPr="0002762F">
              <w:rPr>
                <w:rFonts w:ascii="Arial" w:hAnsi="Arial" w:cs="Arial"/>
                <w:b/>
                <w:bCs/>
                <w:sz w:val="20"/>
                <w:szCs w:val="20"/>
              </w:rPr>
              <w:t>No evidence</w:t>
            </w:r>
          </w:p>
        </w:tc>
        <w:tc>
          <w:tcPr>
            <w:tcW w:w="482" w:type="pct"/>
          </w:tcPr>
          <w:p w14:paraId="3EFA240A" w14:textId="77777777" w:rsidR="004C646F" w:rsidRPr="0002762F" w:rsidRDefault="004C646F" w:rsidP="00371BF5">
            <w:pPr>
              <w:rPr>
                <w:rFonts w:ascii="Arial" w:hAnsi="Arial" w:cs="Arial"/>
                <w:sz w:val="20"/>
                <w:szCs w:val="20"/>
              </w:rPr>
            </w:pPr>
          </w:p>
        </w:tc>
        <w:tc>
          <w:tcPr>
            <w:tcW w:w="481" w:type="pct"/>
          </w:tcPr>
          <w:p w14:paraId="1D456EF9" w14:textId="77777777" w:rsidR="004C646F" w:rsidRPr="0002762F" w:rsidRDefault="004C646F" w:rsidP="00371BF5">
            <w:pPr>
              <w:rPr>
                <w:rFonts w:ascii="Arial" w:hAnsi="Arial" w:cs="Arial"/>
                <w:sz w:val="20"/>
                <w:szCs w:val="20"/>
              </w:rPr>
            </w:pPr>
          </w:p>
        </w:tc>
        <w:tc>
          <w:tcPr>
            <w:tcW w:w="482" w:type="pct"/>
          </w:tcPr>
          <w:p w14:paraId="3AF11BB1" w14:textId="77777777" w:rsidR="004C646F" w:rsidRPr="0002762F" w:rsidRDefault="004C646F" w:rsidP="00371BF5">
            <w:pPr>
              <w:rPr>
                <w:rFonts w:ascii="Arial" w:hAnsi="Arial" w:cs="Arial"/>
                <w:sz w:val="20"/>
                <w:szCs w:val="20"/>
              </w:rPr>
            </w:pPr>
          </w:p>
        </w:tc>
        <w:tc>
          <w:tcPr>
            <w:tcW w:w="504" w:type="pct"/>
          </w:tcPr>
          <w:p w14:paraId="4143F89B" w14:textId="77777777" w:rsidR="004C646F" w:rsidRPr="0002762F" w:rsidRDefault="004C646F" w:rsidP="00371BF5">
            <w:pPr>
              <w:rPr>
                <w:rFonts w:ascii="Arial" w:hAnsi="Arial" w:cs="Arial"/>
                <w:sz w:val="20"/>
                <w:szCs w:val="20"/>
              </w:rPr>
            </w:pPr>
          </w:p>
        </w:tc>
      </w:tr>
      <w:tr w:rsidR="004C646F" w:rsidRPr="0002762F" w14:paraId="203D6B30" w14:textId="67A527E0" w:rsidTr="004C646F">
        <w:tc>
          <w:tcPr>
            <w:tcW w:w="2089" w:type="pct"/>
          </w:tcPr>
          <w:p w14:paraId="17334DE2" w14:textId="5F3B0585" w:rsidR="004C646F" w:rsidRDefault="004C646F" w:rsidP="00371BF5">
            <w:pPr>
              <w:rPr>
                <w:rFonts w:ascii="Arial" w:hAnsi="Arial" w:cs="Arial"/>
                <w:sz w:val="20"/>
                <w:szCs w:val="20"/>
              </w:rPr>
            </w:pPr>
            <w:r w:rsidRPr="0002762F">
              <w:rPr>
                <w:rFonts w:ascii="Arial" w:hAnsi="Arial" w:cs="Arial"/>
                <w:sz w:val="20"/>
                <w:szCs w:val="20"/>
              </w:rPr>
              <w:t xml:space="preserve">Women who obtain relief from second line medical treatment but for whom symptoms return upon reversion </w:t>
            </w:r>
            <w:r w:rsidRPr="0002762F">
              <w:rPr>
                <w:rFonts w:ascii="Arial" w:hAnsi="Arial" w:cs="Arial"/>
                <w:sz w:val="20"/>
                <w:szCs w:val="20"/>
              </w:rPr>
              <w:lastRenderedPageBreak/>
              <w:t xml:space="preserve">to NSAIDs or </w:t>
            </w:r>
            <w:r>
              <w:rPr>
                <w:rFonts w:ascii="Arial" w:hAnsi="Arial" w:cs="Arial"/>
                <w:sz w:val="20"/>
                <w:szCs w:val="20"/>
              </w:rPr>
              <w:t>oral contraceptives</w:t>
            </w:r>
            <w:r w:rsidRPr="0002762F">
              <w:rPr>
                <w:rFonts w:ascii="Arial" w:hAnsi="Arial" w:cs="Arial"/>
                <w:sz w:val="20"/>
                <w:szCs w:val="20"/>
              </w:rPr>
              <w:t xml:space="preserve"> should be considered for long-term treatment with second line medical treatment.</w:t>
            </w:r>
          </w:p>
          <w:p w14:paraId="3C426427" w14:textId="528D70F5" w:rsidR="004C646F" w:rsidRPr="0002762F" w:rsidRDefault="004C646F" w:rsidP="00371BF5">
            <w:pPr>
              <w:rPr>
                <w:rFonts w:ascii="Arial" w:hAnsi="Arial" w:cs="Arial"/>
                <w:sz w:val="20"/>
                <w:szCs w:val="20"/>
              </w:rPr>
            </w:pPr>
          </w:p>
        </w:tc>
        <w:tc>
          <w:tcPr>
            <w:tcW w:w="480" w:type="pct"/>
          </w:tcPr>
          <w:p w14:paraId="14E911C9" w14:textId="24FF8AD1" w:rsidR="004C646F" w:rsidRPr="0002762F" w:rsidRDefault="004C646F" w:rsidP="00371BF5">
            <w:pPr>
              <w:rPr>
                <w:rFonts w:ascii="Arial" w:hAnsi="Arial" w:cs="Arial"/>
                <w:b/>
                <w:bCs/>
                <w:sz w:val="20"/>
                <w:szCs w:val="20"/>
              </w:rPr>
            </w:pPr>
          </w:p>
        </w:tc>
        <w:tc>
          <w:tcPr>
            <w:tcW w:w="481" w:type="pct"/>
          </w:tcPr>
          <w:p w14:paraId="5A090C26" w14:textId="1D7B0E87" w:rsidR="004C646F" w:rsidRPr="0002762F" w:rsidRDefault="004C646F" w:rsidP="00371BF5">
            <w:pPr>
              <w:rPr>
                <w:rFonts w:ascii="Arial" w:hAnsi="Arial" w:cs="Arial"/>
                <w:b/>
                <w:bCs/>
                <w:sz w:val="20"/>
                <w:szCs w:val="20"/>
              </w:rPr>
            </w:pPr>
            <w:r w:rsidRPr="0002762F">
              <w:rPr>
                <w:rFonts w:ascii="Arial" w:hAnsi="Arial" w:cs="Arial"/>
                <w:b/>
                <w:bCs/>
                <w:sz w:val="20"/>
                <w:szCs w:val="20"/>
              </w:rPr>
              <w:t>No evidence</w:t>
            </w:r>
          </w:p>
        </w:tc>
        <w:tc>
          <w:tcPr>
            <w:tcW w:w="482" w:type="pct"/>
          </w:tcPr>
          <w:p w14:paraId="282401CC" w14:textId="77777777" w:rsidR="004C646F" w:rsidRPr="0002762F" w:rsidRDefault="004C646F" w:rsidP="00371BF5">
            <w:pPr>
              <w:rPr>
                <w:rFonts w:ascii="Arial" w:hAnsi="Arial" w:cs="Arial"/>
                <w:sz w:val="20"/>
                <w:szCs w:val="20"/>
              </w:rPr>
            </w:pPr>
          </w:p>
        </w:tc>
        <w:tc>
          <w:tcPr>
            <w:tcW w:w="481" w:type="pct"/>
          </w:tcPr>
          <w:p w14:paraId="0865A97B" w14:textId="77777777" w:rsidR="004C646F" w:rsidRPr="0002762F" w:rsidRDefault="004C646F" w:rsidP="00371BF5">
            <w:pPr>
              <w:rPr>
                <w:rFonts w:ascii="Arial" w:hAnsi="Arial" w:cs="Arial"/>
                <w:sz w:val="20"/>
                <w:szCs w:val="20"/>
              </w:rPr>
            </w:pPr>
          </w:p>
        </w:tc>
        <w:tc>
          <w:tcPr>
            <w:tcW w:w="482" w:type="pct"/>
          </w:tcPr>
          <w:p w14:paraId="53E20096" w14:textId="77777777" w:rsidR="004C646F" w:rsidRPr="0002762F" w:rsidRDefault="004C646F" w:rsidP="00371BF5">
            <w:pPr>
              <w:rPr>
                <w:rFonts w:ascii="Arial" w:hAnsi="Arial" w:cs="Arial"/>
                <w:sz w:val="20"/>
                <w:szCs w:val="20"/>
              </w:rPr>
            </w:pPr>
          </w:p>
        </w:tc>
        <w:tc>
          <w:tcPr>
            <w:tcW w:w="504" w:type="pct"/>
          </w:tcPr>
          <w:p w14:paraId="45F7A6D9" w14:textId="77777777" w:rsidR="004C646F" w:rsidRPr="0002762F" w:rsidRDefault="004C646F" w:rsidP="00371BF5">
            <w:pPr>
              <w:rPr>
                <w:rFonts w:ascii="Arial" w:hAnsi="Arial" w:cs="Arial"/>
                <w:sz w:val="20"/>
                <w:szCs w:val="20"/>
              </w:rPr>
            </w:pPr>
          </w:p>
        </w:tc>
      </w:tr>
      <w:tr w:rsidR="004C646F" w:rsidRPr="0002762F" w14:paraId="5192177D" w14:textId="48C8B0F1" w:rsidTr="004C646F">
        <w:tc>
          <w:tcPr>
            <w:tcW w:w="2089" w:type="pct"/>
          </w:tcPr>
          <w:p w14:paraId="638DAD43" w14:textId="35EFBA82" w:rsidR="004C646F" w:rsidRPr="0002762F" w:rsidRDefault="004C646F" w:rsidP="00371BF5">
            <w:pPr>
              <w:rPr>
                <w:rFonts w:ascii="Arial" w:hAnsi="Arial" w:cs="Arial"/>
                <w:color w:val="000000"/>
                <w:sz w:val="20"/>
                <w:szCs w:val="20"/>
              </w:rPr>
            </w:pPr>
            <w:r w:rsidRPr="0002762F">
              <w:rPr>
                <w:rFonts w:ascii="Arial" w:hAnsi="Arial" w:cs="Arial"/>
                <w:color w:val="000000"/>
                <w:sz w:val="20"/>
                <w:szCs w:val="20"/>
              </w:rPr>
              <w:t xml:space="preserve">Women who obtain relief from laparoscopic resection and/or ablation should be considered for continuation treatment with NSAIDs or </w:t>
            </w:r>
            <w:r>
              <w:rPr>
                <w:rFonts w:ascii="Arial" w:hAnsi="Arial" w:cs="Arial"/>
                <w:sz w:val="20"/>
                <w:szCs w:val="20"/>
              </w:rPr>
              <w:t>oral contraceptives</w:t>
            </w:r>
            <w:r w:rsidRPr="0002762F">
              <w:rPr>
                <w:rFonts w:ascii="Arial" w:hAnsi="Arial" w:cs="Arial"/>
                <w:color w:val="000000"/>
                <w:sz w:val="20"/>
                <w:szCs w:val="20"/>
              </w:rPr>
              <w:t xml:space="preserve"> or with advanced medical therapy if symptoms return.</w:t>
            </w:r>
          </w:p>
          <w:p w14:paraId="4D3CD741" w14:textId="77777777" w:rsidR="004C646F" w:rsidRPr="0002762F" w:rsidRDefault="004C646F" w:rsidP="00371BF5">
            <w:pPr>
              <w:rPr>
                <w:rFonts w:ascii="Arial" w:hAnsi="Arial" w:cs="Arial"/>
                <w:sz w:val="20"/>
                <w:szCs w:val="20"/>
              </w:rPr>
            </w:pPr>
          </w:p>
        </w:tc>
        <w:tc>
          <w:tcPr>
            <w:tcW w:w="480" w:type="pct"/>
          </w:tcPr>
          <w:p w14:paraId="000980F4" w14:textId="2FB65C92" w:rsidR="004C646F" w:rsidRPr="0002762F" w:rsidRDefault="004C646F" w:rsidP="00371BF5">
            <w:pPr>
              <w:rPr>
                <w:rFonts w:ascii="Arial" w:hAnsi="Arial" w:cs="Arial"/>
                <w:b/>
                <w:bCs/>
                <w:sz w:val="20"/>
                <w:szCs w:val="20"/>
              </w:rPr>
            </w:pPr>
          </w:p>
        </w:tc>
        <w:tc>
          <w:tcPr>
            <w:tcW w:w="481" w:type="pct"/>
          </w:tcPr>
          <w:p w14:paraId="321AB261" w14:textId="4C5BFD19" w:rsidR="004C646F" w:rsidRPr="0002762F" w:rsidRDefault="004C646F" w:rsidP="00371BF5">
            <w:pPr>
              <w:rPr>
                <w:rFonts w:ascii="Arial" w:hAnsi="Arial" w:cs="Arial"/>
                <w:b/>
                <w:bCs/>
                <w:sz w:val="20"/>
                <w:szCs w:val="20"/>
              </w:rPr>
            </w:pPr>
            <w:r w:rsidRPr="0002762F">
              <w:rPr>
                <w:rFonts w:ascii="Arial" w:hAnsi="Arial" w:cs="Arial"/>
                <w:b/>
                <w:bCs/>
                <w:sz w:val="20"/>
                <w:szCs w:val="20"/>
              </w:rPr>
              <w:t>No evidence</w:t>
            </w:r>
          </w:p>
        </w:tc>
        <w:tc>
          <w:tcPr>
            <w:tcW w:w="482" w:type="pct"/>
          </w:tcPr>
          <w:p w14:paraId="4539FDF1" w14:textId="77777777" w:rsidR="004C646F" w:rsidRPr="0002762F" w:rsidRDefault="004C646F" w:rsidP="00371BF5">
            <w:pPr>
              <w:rPr>
                <w:rFonts w:ascii="Arial" w:hAnsi="Arial" w:cs="Arial"/>
                <w:sz w:val="20"/>
                <w:szCs w:val="20"/>
              </w:rPr>
            </w:pPr>
          </w:p>
        </w:tc>
        <w:tc>
          <w:tcPr>
            <w:tcW w:w="481" w:type="pct"/>
          </w:tcPr>
          <w:p w14:paraId="5CCFE40F" w14:textId="77777777" w:rsidR="004C646F" w:rsidRPr="0002762F" w:rsidRDefault="004C646F" w:rsidP="00371BF5">
            <w:pPr>
              <w:rPr>
                <w:rFonts w:ascii="Arial" w:hAnsi="Arial" w:cs="Arial"/>
                <w:sz w:val="20"/>
                <w:szCs w:val="20"/>
              </w:rPr>
            </w:pPr>
          </w:p>
        </w:tc>
        <w:tc>
          <w:tcPr>
            <w:tcW w:w="482" w:type="pct"/>
          </w:tcPr>
          <w:p w14:paraId="27CBD409" w14:textId="77777777" w:rsidR="004C646F" w:rsidRPr="0002762F" w:rsidRDefault="004C646F" w:rsidP="00371BF5">
            <w:pPr>
              <w:rPr>
                <w:rFonts w:ascii="Arial" w:hAnsi="Arial" w:cs="Arial"/>
                <w:sz w:val="20"/>
                <w:szCs w:val="20"/>
              </w:rPr>
            </w:pPr>
          </w:p>
        </w:tc>
        <w:tc>
          <w:tcPr>
            <w:tcW w:w="504" w:type="pct"/>
          </w:tcPr>
          <w:p w14:paraId="5638ECC9" w14:textId="77777777" w:rsidR="004C646F" w:rsidRPr="0002762F" w:rsidRDefault="004C646F" w:rsidP="00371BF5">
            <w:pPr>
              <w:rPr>
                <w:rFonts w:ascii="Arial" w:hAnsi="Arial" w:cs="Arial"/>
                <w:sz w:val="20"/>
                <w:szCs w:val="20"/>
              </w:rPr>
            </w:pPr>
          </w:p>
        </w:tc>
      </w:tr>
      <w:tr w:rsidR="004C646F" w:rsidRPr="0002762F" w14:paraId="4C1721AA" w14:textId="60E0AFB0" w:rsidTr="004C646F">
        <w:tc>
          <w:tcPr>
            <w:tcW w:w="2089" w:type="pct"/>
          </w:tcPr>
          <w:p w14:paraId="70F5E771" w14:textId="78958965" w:rsidR="004C646F" w:rsidRDefault="004C646F" w:rsidP="00371BF5">
            <w:pPr>
              <w:rPr>
                <w:rFonts w:ascii="Arial" w:hAnsi="Arial" w:cs="Arial"/>
                <w:sz w:val="20"/>
                <w:szCs w:val="20"/>
              </w:rPr>
            </w:pPr>
            <w:r w:rsidRPr="0002762F">
              <w:rPr>
                <w:rFonts w:ascii="Arial" w:hAnsi="Arial" w:cs="Arial"/>
                <w:sz w:val="20"/>
                <w:szCs w:val="20"/>
              </w:rPr>
              <w:t xml:space="preserve">Post-surgical treatment for endometriosis, maintenance adjuvant medical treatment with Danazol, GnRH agonist, progestin like medroxyprogesterone </w:t>
            </w:r>
          </w:p>
          <w:p w14:paraId="3622F000" w14:textId="263F99A4" w:rsidR="004C646F" w:rsidRPr="0002762F" w:rsidRDefault="004C646F" w:rsidP="00371BF5">
            <w:pPr>
              <w:rPr>
                <w:rFonts w:ascii="Arial" w:hAnsi="Arial" w:cs="Arial"/>
                <w:sz w:val="20"/>
                <w:szCs w:val="20"/>
              </w:rPr>
            </w:pPr>
          </w:p>
        </w:tc>
        <w:tc>
          <w:tcPr>
            <w:tcW w:w="480" w:type="pct"/>
          </w:tcPr>
          <w:p w14:paraId="53B76A98" w14:textId="5B17D0AF" w:rsidR="004C646F" w:rsidRPr="0002762F" w:rsidRDefault="004C646F" w:rsidP="00371BF5">
            <w:pPr>
              <w:rPr>
                <w:rFonts w:ascii="Arial" w:hAnsi="Arial" w:cs="Arial"/>
                <w:b/>
                <w:bCs/>
                <w:sz w:val="20"/>
                <w:szCs w:val="20"/>
              </w:rPr>
            </w:pPr>
          </w:p>
        </w:tc>
        <w:tc>
          <w:tcPr>
            <w:tcW w:w="481" w:type="pct"/>
          </w:tcPr>
          <w:p w14:paraId="755DF9A7" w14:textId="07A4AE17" w:rsidR="004C646F" w:rsidRPr="0002762F" w:rsidRDefault="004C646F" w:rsidP="00371BF5">
            <w:pPr>
              <w:rPr>
                <w:rFonts w:ascii="Arial" w:hAnsi="Arial" w:cs="Arial"/>
                <w:b/>
                <w:bCs/>
                <w:sz w:val="20"/>
                <w:szCs w:val="20"/>
              </w:rPr>
            </w:pPr>
            <w:r w:rsidRPr="0002762F">
              <w:rPr>
                <w:rFonts w:ascii="Arial" w:hAnsi="Arial" w:cs="Arial"/>
                <w:b/>
                <w:bCs/>
                <w:sz w:val="20"/>
                <w:szCs w:val="20"/>
              </w:rPr>
              <w:t xml:space="preserve">No evidence </w:t>
            </w:r>
          </w:p>
        </w:tc>
        <w:tc>
          <w:tcPr>
            <w:tcW w:w="482" w:type="pct"/>
          </w:tcPr>
          <w:p w14:paraId="313F6AB7" w14:textId="77777777" w:rsidR="004C646F" w:rsidRPr="0002762F" w:rsidRDefault="004C646F" w:rsidP="00371BF5">
            <w:pPr>
              <w:rPr>
                <w:rFonts w:ascii="Arial" w:hAnsi="Arial" w:cs="Arial"/>
                <w:sz w:val="20"/>
                <w:szCs w:val="20"/>
              </w:rPr>
            </w:pPr>
          </w:p>
        </w:tc>
        <w:tc>
          <w:tcPr>
            <w:tcW w:w="481" w:type="pct"/>
          </w:tcPr>
          <w:p w14:paraId="68EDA972" w14:textId="77777777" w:rsidR="004C646F" w:rsidRPr="0002762F" w:rsidRDefault="004C646F" w:rsidP="00371BF5">
            <w:pPr>
              <w:rPr>
                <w:rFonts w:ascii="Arial" w:hAnsi="Arial" w:cs="Arial"/>
                <w:sz w:val="20"/>
                <w:szCs w:val="20"/>
              </w:rPr>
            </w:pPr>
          </w:p>
        </w:tc>
        <w:tc>
          <w:tcPr>
            <w:tcW w:w="482" w:type="pct"/>
          </w:tcPr>
          <w:p w14:paraId="5B46F44D" w14:textId="77777777" w:rsidR="004C646F" w:rsidRPr="0002762F" w:rsidRDefault="004C646F" w:rsidP="00371BF5">
            <w:pPr>
              <w:rPr>
                <w:rFonts w:ascii="Arial" w:hAnsi="Arial" w:cs="Arial"/>
                <w:sz w:val="20"/>
                <w:szCs w:val="20"/>
              </w:rPr>
            </w:pPr>
          </w:p>
        </w:tc>
        <w:tc>
          <w:tcPr>
            <w:tcW w:w="504" w:type="pct"/>
          </w:tcPr>
          <w:p w14:paraId="26C0D685" w14:textId="77777777" w:rsidR="004C646F" w:rsidRPr="0002762F" w:rsidRDefault="004C646F" w:rsidP="00371BF5">
            <w:pPr>
              <w:rPr>
                <w:rFonts w:ascii="Arial" w:hAnsi="Arial" w:cs="Arial"/>
                <w:sz w:val="20"/>
                <w:szCs w:val="20"/>
              </w:rPr>
            </w:pPr>
          </w:p>
        </w:tc>
      </w:tr>
      <w:tr w:rsidR="004C646F" w:rsidRPr="0002762F" w14:paraId="4FFE37B9" w14:textId="4EF26F27" w:rsidTr="004C646F">
        <w:tc>
          <w:tcPr>
            <w:tcW w:w="2089" w:type="pct"/>
          </w:tcPr>
          <w:p w14:paraId="69634C25" w14:textId="77777777" w:rsidR="004C646F" w:rsidRDefault="004C646F" w:rsidP="00371BF5">
            <w:pPr>
              <w:rPr>
                <w:rFonts w:ascii="Arial" w:hAnsi="Arial" w:cs="Arial"/>
                <w:sz w:val="20"/>
                <w:szCs w:val="20"/>
              </w:rPr>
            </w:pPr>
            <w:r w:rsidRPr="0002762F">
              <w:rPr>
                <w:rFonts w:ascii="Arial" w:hAnsi="Arial" w:cs="Arial"/>
                <w:sz w:val="20"/>
                <w:szCs w:val="20"/>
              </w:rPr>
              <w:t>Post-surgical treatment for endometriosis, no evidence for oral contraceptive</w:t>
            </w:r>
          </w:p>
          <w:p w14:paraId="177ABFAE" w14:textId="1BC4D670" w:rsidR="004C646F" w:rsidRPr="0002762F" w:rsidRDefault="004C646F" w:rsidP="00371BF5">
            <w:pPr>
              <w:rPr>
                <w:rFonts w:ascii="Arial" w:hAnsi="Arial" w:cs="Arial"/>
                <w:sz w:val="20"/>
                <w:szCs w:val="20"/>
              </w:rPr>
            </w:pPr>
          </w:p>
        </w:tc>
        <w:tc>
          <w:tcPr>
            <w:tcW w:w="480" w:type="pct"/>
          </w:tcPr>
          <w:p w14:paraId="7ABE44FB" w14:textId="11B3278B" w:rsidR="004C646F" w:rsidRPr="0002762F" w:rsidRDefault="004C646F" w:rsidP="00371BF5">
            <w:pPr>
              <w:rPr>
                <w:rFonts w:ascii="Arial" w:hAnsi="Arial" w:cs="Arial"/>
                <w:b/>
                <w:bCs/>
                <w:sz w:val="20"/>
                <w:szCs w:val="20"/>
              </w:rPr>
            </w:pPr>
          </w:p>
        </w:tc>
        <w:tc>
          <w:tcPr>
            <w:tcW w:w="481" w:type="pct"/>
          </w:tcPr>
          <w:p w14:paraId="5B1841E3" w14:textId="3E81203B" w:rsidR="004C646F" w:rsidRPr="0002762F" w:rsidRDefault="004C646F" w:rsidP="00371BF5">
            <w:pPr>
              <w:rPr>
                <w:rFonts w:ascii="Arial" w:hAnsi="Arial" w:cs="Arial"/>
                <w:sz w:val="20"/>
                <w:szCs w:val="20"/>
              </w:rPr>
            </w:pPr>
            <w:r w:rsidRPr="0002762F">
              <w:rPr>
                <w:rFonts w:ascii="Arial" w:hAnsi="Arial" w:cs="Arial"/>
                <w:b/>
                <w:bCs/>
                <w:sz w:val="20"/>
                <w:szCs w:val="20"/>
              </w:rPr>
              <w:t>No evidence</w:t>
            </w:r>
          </w:p>
        </w:tc>
        <w:tc>
          <w:tcPr>
            <w:tcW w:w="482" w:type="pct"/>
          </w:tcPr>
          <w:p w14:paraId="4CA48CD6" w14:textId="77777777" w:rsidR="004C646F" w:rsidRPr="0002762F" w:rsidRDefault="004C646F" w:rsidP="00371BF5">
            <w:pPr>
              <w:rPr>
                <w:rFonts w:ascii="Arial" w:hAnsi="Arial" w:cs="Arial"/>
                <w:sz w:val="20"/>
                <w:szCs w:val="20"/>
              </w:rPr>
            </w:pPr>
          </w:p>
        </w:tc>
        <w:tc>
          <w:tcPr>
            <w:tcW w:w="481" w:type="pct"/>
          </w:tcPr>
          <w:p w14:paraId="5FBBD2BE" w14:textId="77777777" w:rsidR="004C646F" w:rsidRPr="0002762F" w:rsidRDefault="004C646F" w:rsidP="00371BF5">
            <w:pPr>
              <w:rPr>
                <w:rFonts w:ascii="Arial" w:hAnsi="Arial" w:cs="Arial"/>
                <w:sz w:val="20"/>
                <w:szCs w:val="20"/>
              </w:rPr>
            </w:pPr>
          </w:p>
        </w:tc>
        <w:tc>
          <w:tcPr>
            <w:tcW w:w="482" w:type="pct"/>
          </w:tcPr>
          <w:p w14:paraId="22C3E393" w14:textId="77777777" w:rsidR="004C646F" w:rsidRPr="0002762F" w:rsidRDefault="004C646F" w:rsidP="00371BF5">
            <w:pPr>
              <w:rPr>
                <w:rFonts w:ascii="Arial" w:hAnsi="Arial" w:cs="Arial"/>
                <w:sz w:val="20"/>
                <w:szCs w:val="20"/>
              </w:rPr>
            </w:pPr>
          </w:p>
        </w:tc>
        <w:tc>
          <w:tcPr>
            <w:tcW w:w="504" w:type="pct"/>
          </w:tcPr>
          <w:p w14:paraId="459F05E8" w14:textId="77777777" w:rsidR="004C646F" w:rsidRPr="0002762F" w:rsidRDefault="004C646F" w:rsidP="00371BF5">
            <w:pPr>
              <w:rPr>
                <w:rFonts w:ascii="Arial" w:hAnsi="Arial" w:cs="Arial"/>
                <w:sz w:val="20"/>
                <w:szCs w:val="20"/>
              </w:rPr>
            </w:pPr>
          </w:p>
        </w:tc>
      </w:tr>
      <w:tr w:rsidR="004C646F" w:rsidRPr="0002762F" w14:paraId="3984FF29" w14:textId="00B26DDA" w:rsidTr="004C646F">
        <w:tc>
          <w:tcPr>
            <w:tcW w:w="2089" w:type="pct"/>
          </w:tcPr>
          <w:p w14:paraId="70077F9B" w14:textId="77777777" w:rsidR="004C646F" w:rsidRDefault="004C646F" w:rsidP="00371BF5">
            <w:pPr>
              <w:rPr>
                <w:rFonts w:ascii="Arial" w:hAnsi="Arial" w:cs="Arial"/>
                <w:b/>
                <w:bCs/>
                <w:sz w:val="20"/>
                <w:szCs w:val="20"/>
              </w:rPr>
            </w:pPr>
            <w:r w:rsidRPr="0002762F">
              <w:rPr>
                <w:rFonts w:ascii="Arial" w:hAnsi="Arial" w:cs="Arial"/>
                <w:b/>
                <w:bCs/>
                <w:sz w:val="20"/>
                <w:szCs w:val="20"/>
              </w:rPr>
              <w:t>Non-invasive treatments</w:t>
            </w:r>
          </w:p>
          <w:p w14:paraId="04901702" w14:textId="216D0FE5" w:rsidR="004C646F" w:rsidRPr="0002762F" w:rsidRDefault="004C646F" w:rsidP="00371BF5">
            <w:pPr>
              <w:rPr>
                <w:rFonts w:ascii="Arial" w:hAnsi="Arial" w:cs="Arial"/>
                <w:b/>
                <w:bCs/>
                <w:sz w:val="20"/>
                <w:szCs w:val="20"/>
              </w:rPr>
            </w:pPr>
          </w:p>
        </w:tc>
        <w:tc>
          <w:tcPr>
            <w:tcW w:w="480" w:type="pct"/>
          </w:tcPr>
          <w:p w14:paraId="136134EB" w14:textId="3673C2E0" w:rsidR="004C646F" w:rsidRPr="0002762F" w:rsidRDefault="004C646F" w:rsidP="00371BF5">
            <w:pPr>
              <w:rPr>
                <w:rFonts w:ascii="Arial" w:hAnsi="Arial" w:cs="Arial"/>
                <w:sz w:val="20"/>
                <w:szCs w:val="20"/>
              </w:rPr>
            </w:pPr>
          </w:p>
        </w:tc>
        <w:tc>
          <w:tcPr>
            <w:tcW w:w="481" w:type="pct"/>
          </w:tcPr>
          <w:p w14:paraId="26CF6CD0" w14:textId="7069514F" w:rsidR="004C646F" w:rsidRPr="0002762F" w:rsidRDefault="004C646F" w:rsidP="00371BF5">
            <w:pPr>
              <w:rPr>
                <w:rFonts w:ascii="Arial" w:hAnsi="Arial" w:cs="Arial"/>
                <w:sz w:val="20"/>
                <w:szCs w:val="20"/>
              </w:rPr>
            </w:pPr>
          </w:p>
        </w:tc>
        <w:tc>
          <w:tcPr>
            <w:tcW w:w="482" w:type="pct"/>
          </w:tcPr>
          <w:p w14:paraId="7E8E2D2B" w14:textId="77777777" w:rsidR="004C646F" w:rsidRPr="0002762F" w:rsidRDefault="004C646F" w:rsidP="00371BF5">
            <w:pPr>
              <w:rPr>
                <w:rFonts w:ascii="Arial" w:hAnsi="Arial" w:cs="Arial"/>
                <w:sz w:val="20"/>
                <w:szCs w:val="20"/>
              </w:rPr>
            </w:pPr>
          </w:p>
        </w:tc>
        <w:tc>
          <w:tcPr>
            <w:tcW w:w="481" w:type="pct"/>
          </w:tcPr>
          <w:p w14:paraId="2F67C102" w14:textId="77777777" w:rsidR="004C646F" w:rsidRPr="0002762F" w:rsidRDefault="004C646F" w:rsidP="00371BF5">
            <w:pPr>
              <w:rPr>
                <w:rFonts w:ascii="Arial" w:hAnsi="Arial" w:cs="Arial"/>
                <w:sz w:val="20"/>
                <w:szCs w:val="20"/>
              </w:rPr>
            </w:pPr>
          </w:p>
        </w:tc>
        <w:tc>
          <w:tcPr>
            <w:tcW w:w="482" w:type="pct"/>
          </w:tcPr>
          <w:p w14:paraId="337563DE" w14:textId="77777777" w:rsidR="004C646F" w:rsidRPr="0002762F" w:rsidRDefault="004C646F" w:rsidP="00371BF5">
            <w:pPr>
              <w:rPr>
                <w:rFonts w:ascii="Arial" w:hAnsi="Arial" w:cs="Arial"/>
                <w:sz w:val="20"/>
                <w:szCs w:val="20"/>
              </w:rPr>
            </w:pPr>
          </w:p>
        </w:tc>
        <w:tc>
          <w:tcPr>
            <w:tcW w:w="504" w:type="pct"/>
          </w:tcPr>
          <w:p w14:paraId="582CEC22" w14:textId="77777777" w:rsidR="004C646F" w:rsidRPr="0002762F" w:rsidRDefault="004C646F" w:rsidP="00371BF5">
            <w:pPr>
              <w:rPr>
                <w:rFonts w:ascii="Arial" w:hAnsi="Arial" w:cs="Arial"/>
                <w:sz w:val="20"/>
                <w:szCs w:val="20"/>
              </w:rPr>
            </w:pPr>
          </w:p>
        </w:tc>
      </w:tr>
      <w:tr w:rsidR="004C646F" w:rsidRPr="0002762F" w14:paraId="6A24C4C7" w14:textId="4E6BA713" w:rsidTr="004C646F">
        <w:tc>
          <w:tcPr>
            <w:tcW w:w="2089" w:type="pct"/>
          </w:tcPr>
          <w:p w14:paraId="5B7B7199" w14:textId="6CF86461" w:rsidR="004C646F" w:rsidRPr="0002762F" w:rsidRDefault="004C646F" w:rsidP="00371BF5">
            <w:pPr>
              <w:rPr>
                <w:rFonts w:ascii="Arial" w:hAnsi="Arial" w:cs="Arial"/>
                <w:sz w:val="20"/>
                <w:szCs w:val="20"/>
              </w:rPr>
            </w:pPr>
            <w:r w:rsidRPr="0002762F">
              <w:rPr>
                <w:rFonts w:ascii="Arial" w:hAnsi="Arial" w:cs="Arial"/>
                <w:sz w:val="20"/>
                <w:szCs w:val="20"/>
              </w:rPr>
              <w:t>Nerve blocks for CPP part of broad management plan</w:t>
            </w:r>
          </w:p>
        </w:tc>
        <w:tc>
          <w:tcPr>
            <w:tcW w:w="480" w:type="pct"/>
          </w:tcPr>
          <w:p w14:paraId="61AD8DFB" w14:textId="52563325" w:rsidR="004C646F" w:rsidRPr="0002762F" w:rsidRDefault="004C646F" w:rsidP="00371BF5">
            <w:pPr>
              <w:rPr>
                <w:rFonts w:ascii="Arial" w:hAnsi="Arial" w:cs="Arial"/>
                <w:sz w:val="20"/>
                <w:szCs w:val="20"/>
              </w:rPr>
            </w:pPr>
          </w:p>
        </w:tc>
        <w:tc>
          <w:tcPr>
            <w:tcW w:w="481" w:type="pct"/>
          </w:tcPr>
          <w:p w14:paraId="29C1F29E" w14:textId="1337E088" w:rsidR="004C646F" w:rsidRPr="0002762F" w:rsidRDefault="004C646F" w:rsidP="00371BF5">
            <w:pPr>
              <w:rPr>
                <w:rFonts w:ascii="Arial" w:hAnsi="Arial" w:cs="Arial"/>
                <w:sz w:val="20"/>
                <w:szCs w:val="20"/>
              </w:rPr>
            </w:pPr>
          </w:p>
        </w:tc>
        <w:tc>
          <w:tcPr>
            <w:tcW w:w="482" w:type="pct"/>
          </w:tcPr>
          <w:p w14:paraId="01443718" w14:textId="5131F3A4" w:rsidR="004C646F" w:rsidRPr="0002762F" w:rsidRDefault="004C646F" w:rsidP="00371BF5">
            <w:pPr>
              <w:rPr>
                <w:rFonts w:ascii="Calibri" w:hAnsi="Calibri"/>
                <w:b/>
                <w:bCs/>
                <w:color w:val="000000"/>
                <w:sz w:val="20"/>
                <w:szCs w:val="20"/>
              </w:rPr>
            </w:pPr>
            <w:proofErr w:type="spellStart"/>
            <w:r>
              <w:rPr>
                <w:rFonts w:ascii="Calibri" w:hAnsi="Calibri"/>
                <w:b/>
                <w:bCs/>
                <w:color w:val="000000"/>
                <w:sz w:val="20"/>
                <w:szCs w:val="20"/>
              </w:rPr>
              <w:t>LoE</w:t>
            </w:r>
            <w:proofErr w:type="spellEnd"/>
            <w:r>
              <w:rPr>
                <w:rFonts w:ascii="Calibri" w:hAnsi="Calibri"/>
                <w:b/>
                <w:bCs/>
                <w:color w:val="000000"/>
                <w:sz w:val="20"/>
                <w:szCs w:val="20"/>
              </w:rPr>
              <w:t xml:space="preserve"> </w:t>
            </w:r>
            <w:r w:rsidRPr="0002762F">
              <w:rPr>
                <w:rFonts w:ascii="Calibri" w:hAnsi="Calibri"/>
                <w:b/>
                <w:bCs/>
                <w:color w:val="000000"/>
                <w:sz w:val="20"/>
                <w:szCs w:val="20"/>
              </w:rPr>
              <w:t>3</w:t>
            </w:r>
          </w:p>
          <w:p w14:paraId="108570CB" w14:textId="3572B5E7" w:rsidR="004C646F" w:rsidRPr="0002762F" w:rsidRDefault="004C646F" w:rsidP="00371BF5">
            <w:pPr>
              <w:rPr>
                <w:rFonts w:ascii="Calibri" w:hAnsi="Calibri"/>
                <w:b/>
                <w:bCs/>
                <w:color w:val="000000"/>
                <w:sz w:val="20"/>
                <w:szCs w:val="20"/>
              </w:rPr>
            </w:pPr>
            <w:r>
              <w:rPr>
                <w:rFonts w:ascii="Calibri" w:hAnsi="Calibri"/>
                <w:b/>
                <w:bCs/>
                <w:color w:val="000000"/>
                <w:sz w:val="20"/>
                <w:szCs w:val="20"/>
              </w:rPr>
              <w:t xml:space="preserve">GR </w:t>
            </w:r>
            <w:r w:rsidRPr="0002762F">
              <w:rPr>
                <w:rFonts w:ascii="Calibri" w:hAnsi="Calibri"/>
                <w:b/>
                <w:bCs/>
                <w:color w:val="000000"/>
                <w:sz w:val="20"/>
                <w:szCs w:val="20"/>
              </w:rPr>
              <w:t>C</w:t>
            </w:r>
            <w:r w:rsidRPr="0002762F">
              <w:rPr>
                <w:rFonts w:ascii="Calibri" w:hAnsi="Calibri"/>
                <w:b/>
                <w:bCs/>
                <w:color w:val="000000"/>
                <w:sz w:val="20"/>
                <w:szCs w:val="20"/>
              </w:rPr>
              <w:br/>
            </w:r>
          </w:p>
          <w:p w14:paraId="6A44C39B" w14:textId="77777777" w:rsidR="004C646F" w:rsidRPr="0002762F" w:rsidRDefault="004C646F" w:rsidP="00371BF5">
            <w:pPr>
              <w:rPr>
                <w:rFonts w:ascii="Arial" w:hAnsi="Arial" w:cs="Arial"/>
                <w:sz w:val="20"/>
                <w:szCs w:val="20"/>
              </w:rPr>
            </w:pPr>
          </w:p>
        </w:tc>
        <w:tc>
          <w:tcPr>
            <w:tcW w:w="481" w:type="pct"/>
          </w:tcPr>
          <w:p w14:paraId="6B11036C" w14:textId="77777777" w:rsidR="004C646F" w:rsidRPr="0002762F" w:rsidRDefault="004C646F" w:rsidP="00371BF5">
            <w:pPr>
              <w:rPr>
                <w:rFonts w:ascii="Arial" w:hAnsi="Arial" w:cs="Arial"/>
                <w:sz w:val="20"/>
                <w:szCs w:val="20"/>
              </w:rPr>
            </w:pPr>
          </w:p>
        </w:tc>
        <w:tc>
          <w:tcPr>
            <w:tcW w:w="482" w:type="pct"/>
          </w:tcPr>
          <w:p w14:paraId="24304070" w14:textId="77777777" w:rsidR="004C646F" w:rsidRPr="0002762F" w:rsidRDefault="004C646F" w:rsidP="00371BF5">
            <w:pPr>
              <w:rPr>
                <w:rFonts w:ascii="Arial" w:hAnsi="Arial" w:cs="Arial"/>
                <w:sz w:val="20"/>
                <w:szCs w:val="20"/>
              </w:rPr>
            </w:pPr>
          </w:p>
        </w:tc>
        <w:tc>
          <w:tcPr>
            <w:tcW w:w="504" w:type="pct"/>
          </w:tcPr>
          <w:p w14:paraId="12F5573A" w14:textId="77777777" w:rsidR="004C646F" w:rsidRPr="0002762F" w:rsidRDefault="004C646F" w:rsidP="00371BF5">
            <w:pPr>
              <w:rPr>
                <w:rFonts w:ascii="Arial" w:hAnsi="Arial" w:cs="Arial"/>
                <w:sz w:val="20"/>
                <w:szCs w:val="20"/>
              </w:rPr>
            </w:pPr>
          </w:p>
        </w:tc>
      </w:tr>
      <w:tr w:rsidR="004C646F" w:rsidRPr="0002762F" w14:paraId="7CD20001" w14:textId="691FFEF2" w:rsidTr="004C646F">
        <w:tc>
          <w:tcPr>
            <w:tcW w:w="2089" w:type="pct"/>
          </w:tcPr>
          <w:p w14:paraId="0A8EDD48" w14:textId="2FA19224" w:rsidR="004C646F" w:rsidRPr="0002762F" w:rsidRDefault="004C646F" w:rsidP="00371BF5">
            <w:pPr>
              <w:rPr>
                <w:rFonts w:ascii="Arial" w:hAnsi="Arial" w:cs="Arial"/>
                <w:sz w:val="20"/>
                <w:szCs w:val="20"/>
              </w:rPr>
            </w:pPr>
            <w:r w:rsidRPr="0002762F">
              <w:rPr>
                <w:rFonts w:ascii="Arial" w:hAnsi="Arial" w:cs="Arial"/>
                <w:sz w:val="20"/>
                <w:szCs w:val="20"/>
              </w:rPr>
              <w:t xml:space="preserve">Neuromodulation for pelvic pain, role with increasing research </w:t>
            </w:r>
          </w:p>
        </w:tc>
        <w:tc>
          <w:tcPr>
            <w:tcW w:w="480" w:type="pct"/>
          </w:tcPr>
          <w:p w14:paraId="0312BDB2" w14:textId="041BE0AF" w:rsidR="004C646F" w:rsidRPr="0002762F" w:rsidRDefault="004C646F" w:rsidP="00371BF5">
            <w:pPr>
              <w:rPr>
                <w:rFonts w:ascii="Arial" w:hAnsi="Arial" w:cs="Arial"/>
                <w:sz w:val="20"/>
                <w:szCs w:val="20"/>
              </w:rPr>
            </w:pPr>
          </w:p>
        </w:tc>
        <w:tc>
          <w:tcPr>
            <w:tcW w:w="481" w:type="pct"/>
          </w:tcPr>
          <w:p w14:paraId="25CBBFBE" w14:textId="5A2CC873" w:rsidR="004C646F" w:rsidRPr="0002762F" w:rsidRDefault="004C646F" w:rsidP="00371BF5">
            <w:pPr>
              <w:rPr>
                <w:rFonts w:ascii="Arial" w:hAnsi="Arial" w:cs="Arial"/>
                <w:sz w:val="20"/>
                <w:szCs w:val="20"/>
              </w:rPr>
            </w:pPr>
          </w:p>
        </w:tc>
        <w:tc>
          <w:tcPr>
            <w:tcW w:w="482" w:type="pct"/>
          </w:tcPr>
          <w:p w14:paraId="09710FD7" w14:textId="045CC7FA" w:rsidR="004C646F" w:rsidRPr="0002762F" w:rsidRDefault="004C646F" w:rsidP="00371BF5">
            <w:pPr>
              <w:rPr>
                <w:rFonts w:ascii="Calibri" w:hAnsi="Calibri"/>
                <w:b/>
                <w:bCs/>
                <w:color w:val="000000"/>
                <w:sz w:val="20"/>
                <w:szCs w:val="20"/>
              </w:rPr>
            </w:pPr>
            <w:proofErr w:type="spellStart"/>
            <w:r>
              <w:rPr>
                <w:rFonts w:ascii="Calibri" w:hAnsi="Calibri"/>
                <w:b/>
                <w:bCs/>
                <w:color w:val="000000"/>
                <w:sz w:val="20"/>
                <w:szCs w:val="20"/>
              </w:rPr>
              <w:t>LoE</w:t>
            </w:r>
            <w:proofErr w:type="spellEnd"/>
            <w:r>
              <w:rPr>
                <w:rFonts w:ascii="Calibri" w:hAnsi="Calibri"/>
                <w:b/>
                <w:bCs/>
                <w:color w:val="000000"/>
                <w:sz w:val="20"/>
                <w:szCs w:val="20"/>
              </w:rPr>
              <w:t xml:space="preserve"> </w:t>
            </w:r>
            <w:r w:rsidRPr="0002762F">
              <w:rPr>
                <w:rFonts w:ascii="Calibri" w:hAnsi="Calibri"/>
                <w:b/>
                <w:bCs/>
                <w:color w:val="000000"/>
                <w:sz w:val="20"/>
                <w:szCs w:val="20"/>
              </w:rPr>
              <w:t>3</w:t>
            </w:r>
          </w:p>
          <w:p w14:paraId="1487926D" w14:textId="0CB93EE8" w:rsidR="004C646F" w:rsidRPr="0002762F" w:rsidRDefault="004C646F" w:rsidP="00371BF5">
            <w:pPr>
              <w:rPr>
                <w:rFonts w:ascii="Calibri" w:hAnsi="Calibri"/>
                <w:b/>
                <w:bCs/>
                <w:color w:val="000000"/>
                <w:sz w:val="20"/>
                <w:szCs w:val="20"/>
              </w:rPr>
            </w:pPr>
            <w:r>
              <w:rPr>
                <w:rFonts w:ascii="Calibri" w:hAnsi="Calibri"/>
                <w:b/>
                <w:bCs/>
                <w:color w:val="000000"/>
                <w:sz w:val="20"/>
                <w:szCs w:val="20"/>
              </w:rPr>
              <w:t xml:space="preserve">GR </w:t>
            </w:r>
            <w:r w:rsidRPr="0002762F">
              <w:rPr>
                <w:rFonts w:ascii="Calibri" w:hAnsi="Calibri"/>
                <w:b/>
                <w:bCs/>
                <w:color w:val="000000"/>
                <w:sz w:val="20"/>
                <w:szCs w:val="20"/>
              </w:rPr>
              <w:t>C</w:t>
            </w:r>
            <w:r w:rsidRPr="0002762F">
              <w:rPr>
                <w:rFonts w:ascii="Calibri" w:hAnsi="Calibri"/>
                <w:b/>
                <w:bCs/>
                <w:color w:val="000000"/>
                <w:sz w:val="20"/>
                <w:szCs w:val="20"/>
              </w:rPr>
              <w:br/>
            </w:r>
          </w:p>
          <w:p w14:paraId="30090E21" w14:textId="77777777" w:rsidR="004C646F" w:rsidRPr="0002762F" w:rsidRDefault="004C646F" w:rsidP="00371BF5">
            <w:pPr>
              <w:rPr>
                <w:rFonts w:ascii="Arial" w:hAnsi="Arial" w:cs="Arial"/>
                <w:sz w:val="20"/>
                <w:szCs w:val="20"/>
              </w:rPr>
            </w:pPr>
          </w:p>
        </w:tc>
        <w:tc>
          <w:tcPr>
            <w:tcW w:w="481" w:type="pct"/>
          </w:tcPr>
          <w:p w14:paraId="666FDA1C" w14:textId="77777777" w:rsidR="004C646F" w:rsidRPr="0002762F" w:rsidRDefault="004C646F" w:rsidP="00371BF5">
            <w:pPr>
              <w:rPr>
                <w:rFonts w:ascii="Arial" w:hAnsi="Arial" w:cs="Arial"/>
                <w:sz w:val="20"/>
                <w:szCs w:val="20"/>
              </w:rPr>
            </w:pPr>
          </w:p>
        </w:tc>
        <w:tc>
          <w:tcPr>
            <w:tcW w:w="482" w:type="pct"/>
          </w:tcPr>
          <w:p w14:paraId="203DC597" w14:textId="77777777" w:rsidR="004C646F" w:rsidRPr="0002762F" w:rsidRDefault="004C646F" w:rsidP="00371BF5">
            <w:pPr>
              <w:rPr>
                <w:rFonts w:ascii="Arial" w:hAnsi="Arial" w:cs="Arial"/>
                <w:sz w:val="20"/>
                <w:szCs w:val="20"/>
              </w:rPr>
            </w:pPr>
          </w:p>
        </w:tc>
        <w:tc>
          <w:tcPr>
            <w:tcW w:w="504" w:type="pct"/>
          </w:tcPr>
          <w:p w14:paraId="0B847092" w14:textId="77777777" w:rsidR="004C646F" w:rsidRPr="0002762F" w:rsidRDefault="004C646F" w:rsidP="00371BF5">
            <w:pPr>
              <w:rPr>
                <w:rFonts w:ascii="Arial" w:hAnsi="Arial" w:cs="Arial"/>
                <w:sz w:val="20"/>
                <w:szCs w:val="20"/>
              </w:rPr>
            </w:pPr>
          </w:p>
        </w:tc>
      </w:tr>
      <w:tr w:rsidR="004C646F" w:rsidRPr="0002762F" w14:paraId="6471C75D" w14:textId="72DF3EAB" w:rsidTr="004C646F">
        <w:tc>
          <w:tcPr>
            <w:tcW w:w="2089" w:type="pct"/>
          </w:tcPr>
          <w:p w14:paraId="6A479ED6" w14:textId="037DFB28" w:rsidR="004C646F" w:rsidRPr="0002762F" w:rsidRDefault="004C646F" w:rsidP="00371BF5">
            <w:pPr>
              <w:rPr>
                <w:rFonts w:ascii="Arial" w:hAnsi="Arial" w:cs="Arial"/>
                <w:b/>
                <w:bCs/>
                <w:sz w:val="20"/>
                <w:szCs w:val="20"/>
              </w:rPr>
            </w:pPr>
            <w:r w:rsidRPr="0002762F">
              <w:rPr>
                <w:rFonts w:ascii="Arial" w:hAnsi="Arial" w:cs="Arial"/>
                <w:b/>
                <w:bCs/>
                <w:sz w:val="20"/>
                <w:szCs w:val="20"/>
              </w:rPr>
              <w:t>Irritable Bowel Syndrome</w:t>
            </w:r>
          </w:p>
        </w:tc>
        <w:tc>
          <w:tcPr>
            <w:tcW w:w="480" w:type="pct"/>
          </w:tcPr>
          <w:p w14:paraId="12B17DD3" w14:textId="2C422D4E" w:rsidR="004C646F" w:rsidRPr="0002762F" w:rsidRDefault="004C646F" w:rsidP="00371BF5">
            <w:pPr>
              <w:rPr>
                <w:rFonts w:ascii="Arial" w:hAnsi="Arial" w:cs="Arial"/>
                <w:sz w:val="20"/>
                <w:szCs w:val="20"/>
              </w:rPr>
            </w:pPr>
          </w:p>
        </w:tc>
        <w:tc>
          <w:tcPr>
            <w:tcW w:w="481" w:type="pct"/>
          </w:tcPr>
          <w:p w14:paraId="58A5662F" w14:textId="010407F2" w:rsidR="004C646F" w:rsidRPr="0002762F" w:rsidRDefault="004C646F" w:rsidP="00371BF5">
            <w:pPr>
              <w:rPr>
                <w:rFonts w:ascii="Arial" w:hAnsi="Arial" w:cs="Arial"/>
                <w:sz w:val="20"/>
                <w:szCs w:val="20"/>
              </w:rPr>
            </w:pPr>
          </w:p>
        </w:tc>
        <w:tc>
          <w:tcPr>
            <w:tcW w:w="482" w:type="pct"/>
          </w:tcPr>
          <w:p w14:paraId="5C4E0F3C" w14:textId="77777777" w:rsidR="004C646F" w:rsidRPr="0002762F" w:rsidRDefault="004C646F" w:rsidP="00371BF5">
            <w:pPr>
              <w:rPr>
                <w:rFonts w:ascii="Arial" w:hAnsi="Arial" w:cs="Arial"/>
                <w:sz w:val="20"/>
                <w:szCs w:val="20"/>
              </w:rPr>
            </w:pPr>
          </w:p>
        </w:tc>
        <w:tc>
          <w:tcPr>
            <w:tcW w:w="481" w:type="pct"/>
          </w:tcPr>
          <w:p w14:paraId="39AB5BCC" w14:textId="77777777" w:rsidR="004C646F" w:rsidRPr="0002762F" w:rsidRDefault="004C646F" w:rsidP="00371BF5">
            <w:pPr>
              <w:rPr>
                <w:rFonts w:ascii="Arial" w:hAnsi="Arial" w:cs="Arial"/>
                <w:sz w:val="20"/>
                <w:szCs w:val="20"/>
              </w:rPr>
            </w:pPr>
          </w:p>
        </w:tc>
        <w:tc>
          <w:tcPr>
            <w:tcW w:w="482" w:type="pct"/>
          </w:tcPr>
          <w:p w14:paraId="170636D2" w14:textId="77777777" w:rsidR="004C646F" w:rsidRPr="0002762F" w:rsidRDefault="004C646F" w:rsidP="00371BF5">
            <w:pPr>
              <w:rPr>
                <w:rFonts w:ascii="Arial" w:hAnsi="Arial" w:cs="Arial"/>
                <w:sz w:val="20"/>
                <w:szCs w:val="20"/>
              </w:rPr>
            </w:pPr>
          </w:p>
        </w:tc>
        <w:tc>
          <w:tcPr>
            <w:tcW w:w="504" w:type="pct"/>
          </w:tcPr>
          <w:p w14:paraId="797417B6" w14:textId="77777777" w:rsidR="004C646F" w:rsidRPr="0002762F" w:rsidRDefault="004C646F" w:rsidP="00371BF5">
            <w:pPr>
              <w:rPr>
                <w:rFonts w:ascii="Arial" w:hAnsi="Arial" w:cs="Arial"/>
                <w:sz w:val="20"/>
                <w:szCs w:val="20"/>
              </w:rPr>
            </w:pPr>
          </w:p>
        </w:tc>
      </w:tr>
      <w:tr w:rsidR="004C646F" w:rsidRPr="0002762F" w14:paraId="6B816A51" w14:textId="75BE890A" w:rsidTr="004C646F">
        <w:tc>
          <w:tcPr>
            <w:tcW w:w="2089" w:type="pct"/>
          </w:tcPr>
          <w:p w14:paraId="49906F43" w14:textId="6FFBFAF9" w:rsidR="004C646F" w:rsidRPr="0002762F" w:rsidRDefault="004C646F" w:rsidP="00371BF5">
            <w:pPr>
              <w:rPr>
                <w:rFonts w:ascii="Arial" w:hAnsi="Arial" w:cs="Arial"/>
                <w:sz w:val="20"/>
                <w:szCs w:val="20"/>
              </w:rPr>
            </w:pPr>
            <w:r w:rsidRPr="0002762F">
              <w:rPr>
                <w:rFonts w:ascii="Arial" w:hAnsi="Arial" w:cs="Arial"/>
                <w:sz w:val="20"/>
                <w:szCs w:val="20"/>
              </w:rPr>
              <w:t>Treatment with anti-spasmodic</w:t>
            </w:r>
            <w:r>
              <w:rPr>
                <w:rFonts w:ascii="Arial" w:hAnsi="Arial" w:cs="Arial"/>
                <w:sz w:val="20"/>
                <w:szCs w:val="20"/>
              </w:rPr>
              <w:t xml:space="preserve"> agent</w:t>
            </w:r>
            <w:r w:rsidRPr="0002762F">
              <w:rPr>
                <w:rFonts w:ascii="Arial" w:hAnsi="Arial" w:cs="Arial"/>
                <w:sz w:val="20"/>
                <w:szCs w:val="20"/>
              </w:rPr>
              <w:t xml:space="preserve"> </w:t>
            </w:r>
          </w:p>
        </w:tc>
        <w:tc>
          <w:tcPr>
            <w:tcW w:w="480" w:type="pct"/>
          </w:tcPr>
          <w:p w14:paraId="09BEC4DF" w14:textId="41105BEA" w:rsidR="004C646F" w:rsidRPr="0002762F" w:rsidRDefault="004C646F" w:rsidP="00371BF5">
            <w:pPr>
              <w:rPr>
                <w:rFonts w:ascii="Arial" w:hAnsi="Arial" w:cs="Arial"/>
                <w:sz w:val="20"/>
                <w:szCs w:val="20"/>
              </w:rPr>
            </w:pPr>
          </w:p>
        </w:tc>
        <w:tc>
          <w:tcPr>
            <w:tcW w:w="481" w:type="pct"/>
          </w:tcPr>
          <w:p w14:paraId="45094604" w14:textId="3E34C6E3" w:rsidR="004C646F" w:rsidRPr="0002762F" w:rsidRDefault="004C646F" w:rsidP="00371BF5">
            <w:pPr>
              <w:rPr>
                <w:rFonts w:ascii="Arial" w:hAnsi="Arial" w:cs="Arial"/>
                <w:sz w:val="20"/>
                <w:szCs w:val="20"/>
              </w:rPr>
            </w:pPr>
          </w:p>
        </w:tc>
        <w:tc>
          <w:tcPr>
            <w:tcW w:w="482" w:type="pct"/>
          </w:tcPr>
          <w:p w14:paraId="0FCFD7C8" w14:textId="77777777" w:rsidR="004C646F" w:rsidRPr="0002762F" w:rsidRDefault="004C646F" w:rsidP="00371BF5">
            <w:pPr>
              <w:rPr>
                <w:rFonts w:ascii="Arial" w:hAnsi="Arial" w:cs="Arial"/>
                <w:sz w:val="20"/>
                <w:szCs w:val="20"/>
              </w:rPr>
            </w:pPr>
          </w:p>
        </w:tc>
        <w:tc>
          <w:tcPr>
            <w:tcW w:w="481" w:type="pct"/>
          </w:tcPr>
          <w:p w14:paraId="3395BC58" w14:textId="77777777" w:rsidR="004C646F" w:rsidRPr="0002762F" w:rsidRDefault="004C646F" w:rsidP="00371BF5">
            <w:pPr>
              <w:rPr>
                <w:rFonts w:ascii="Arial" w:hAnsi="Arial" w:cs="Arial"/>
                <w:sz w:val="20"/>
                <w:szCs w:val="20"/>
              </w:rPr>
            </w:pPr>
          </w:p>
        </w:tc>
        <w:tc>
          <w:tcPr>
            <w:tcW w:w="482" w:type="pct"/>
          </w:tcPr>
          <w:p w14:paraId="2435CBF1" w14:textId="4963B728" w:rsidR="004C646F" w:rsidRDefault="004C646F" w:rsidP="0089362B">
            <w:pPr>
              <w:rPr>
                <w:rFonts w:ascii="Calibri" w:hAnsi="Calibri"/>
                <w:b/>
                <w:bCs/>
                <w:color w:val="000000"/>
                <w:sz w:val="20"/>
                <w:szCs w:val="20"/>
              </w:rPr>
            </w:pPr>
            <w:r>
              <w:rPr>
                <w:rFonts w:ascii="Calibri" w:hAnsi="Calibri"/>
                <w:b/>
                <w:bCs/>
                <w:color w:val="000000"/>
                <w:sz w:val="20"/>
                <w:szCs w:val="20"/>
              </w:rPr>
              <w:t xml:space="preserve">LE </w:t>
            </w:r>
            <w:r w:rsidRPr="0002762F">
              <w:rPr>
                <w:rFonts w:ascii="Calibri" w:hAnsi="Calibri"/>
                <w:b/>
                <w:bCs/>
                <w:color w:val="000000"/>
                <w:sz w:val="20"/>
                <w:szCs w:val="20"/>
              </w:rPr>
              <w:t>1++/4</w:t>
            </w:r>
          </w:p>
          <w:p w14:paraId="39C59211" w14:textId="193961A5" w:rsidR="004C646F" w:rsidRPr="0002762F" w:rsidRDefault="004C646F" w:rsidP="00534ED0">
            <w:pPr>
              <w:rPr>
                <w:rFonts w:ascii="Arial" w:hAnsi="Arial" w:cs="Arial"/>
                <w:sz w:val="20"/>
                <w:szCs w:val="20"/>
              </w:rPr>
            </w:pPr>
            <w:r>
              <w:rPr>
                <w:rFonts w:ascii="Calibri" w:hAnsi="Calibri"/>
                <w:b/>
                <w:bCs/>
                <w:color w:val="000000"/>
                <w:sz w:val="20"/>
                <w:szCs w:val="20"/>
              </w:rPr>
              <w:t xml:space="preserve">GR </w:t>
            </w:r>
            <w:r w:rsidRPr="0002762F">
              <w:rPr>
                <w:rFonts w:ascii="Calibri" w:hAnsi="Calibri"/>
                <w:b/>
                <w:bCs/>
                <w:color w:val="000000"/>
                <w:sz w:val="20"/>
                <w:szCs w:val="20"/>
              </w:rPr>
              <w:t>A</w:t>
            </w:r>
            <w:r w:rsidRPr="0002762F">
              <w:rPr>
                <w:rFonts w:ascii="Calibri" w:hAnsi="Calibri"/>
                <w:b/>
                <w:bCs/>
                <w:color w:val="000000"/>
                <w:sz w:val="20"/>
                <w:szCs w:val="20"/>
              </w:rPr>
              <w:br/>
            </w:r>
          </w:p>
        </w:tc>
        <w:tc>
          <w:tcPr>
            <w:tcW w:w="504" w:type="pct"/>
          </w:tcPr>
          <w:p w14:paraId="299C4270" w14:textId="77777777" w:rsidR="004C646F" w:rsidRPr="0002762F" w:rsidRDefault="004C646F" w:rsidP="0089362B">
            <w:pPr>
              <w:rPr>
                <w:rFonts w:ascii="Arial" w:hAnsi="Arial" w:cs="Arial"/>
                <w:sz w:val="20"/>
                <w:szCs w:val="20"/>
              </w:rPr>
            </w:pPr>
          </w:p>
        </w:tc>
      </w:tr>
      <w:tr w:rsidR="004C646F" w:rsidRPr="0002762F" w14:paraId="1DCC4D64" w14:textId="77777777" w:rsidTr="004C646F">
        <w:tc>
          <w:tcPr>
            <w:tcW w:w="2089" w:type="pct"/>
          </w:tcPr>
          <w:p w14:paraId="0212171A" w14:textId="436CD907" w:rsidR="004C646F" w:rsidRPr="0002762F" w:rsidRDefault="004C646F" w:rsidP="00371BF5">
            <w:pPr>
              <w:rPr>
                <w:rFonts w:ascii="Arial" w:hAnsi="Arial" w:cs="Arial"/>
                <w:b/>
                <w:bCs/>
                <w:sz w:val="20"/>
                <w:szCs w:val="20"/>
              </w:rPr>
            </w:pPr>
            <w:r>
              <w:rPr>
                <w:rFonts w:ascii="Arial" w:hAnsi="Arial" w:cs="Arial"/>
                <w:b/>
                <w:bCs/>
                <w:sz w:val="20"/>
                <w:szCs w:val="20"/>
              </w:rPr>
              <w:t xml:space="preserve">Myofascial Dysfunction </w:t>
            </w:r>
          </w:p>
        </w:tc>
        <w:tc>
          <w:tcPr>
            <w:tcW w:w="480" w:type="pct"/>
          </w:tcPr>
          <w:p w14:paraId="07F13933" w14:textId="77777777" w:rsidR="004C646F" w:rsidRPr="0002762F" w:rsidRDefault="004C646F" w:rsidP="00371BF5">
            <w:pPr>
              <w:rPr>
                <w:rFonts w:ascii="Arial" w:hAnsi="Arial" w:cs="Arial"/>
                <w:sz w:val="20"/>
                <w:szCs w:val="20"/>
              </w:rPr>
            </w:pPr>
          </w:p>
        </w:tc>
        <w:tc>
          <w:tcPr>
            <w:tcW w:w="481" w:type="pct"/>
          </w:tcPr>
          <w:p w14:paraId="4C2C1F93" w14:textId="77777777" w:rsidR="004C646F" w:rsidRPr="0002762F" w:rsidRDefault="004C646F" w:rsidP="00371BF5">
            <w:pPr>
              <w:rPr>
                <w:rFonts w:ascii="Arial" w:hAnsi="Arial" w:cs="Arial"/>
                <w:sz w:val="20"/>
                <w:szCs w:val="20"/>
              </w:rPr>
            </w:pPr>
          </w:p>
        </w:tc>
        <w:tc>
          <w:tcPr>
            <w:tcW w:w="482" w:type="pct"/>
          </w:tcPr>
          <w:p w14:paraId="53C434FA" w14:textId="77777777" w:rsidR="004C646F" w:rsidRPr="0002762F" w:rsidRDefault="004C646F" w:rsidP="00371BF5">
            <w:pPr>
              <w:rPr>
                <w:rFonts w:ascii="Arial" w:hAnsi="Arial" w:cs="Arial"/>
                <w:sz w:val="20"/>
                <w:szCs w:val="20"/>
              </w:rPr>
            </w:pPr>
          </w:p>
        </w:tc>
        <w:tc>
          <w:tcPr>
            <w:tcW w:w="481" w:type="pct"/>
          </w:tcPr>
          <w:p w14:paraId="29314751" w14:textId="77777777" w:rsidR="004C646F" w:rsidRPr="0002762F" w:rsidRDefault="004C646F" w:rsidP="00371BF5">
            <w:pPr>
              <w:rPr>
                <w:rFonts w:ascii="Arial" w:hAnsi="Arial" w:cs="Arial"/>
                <w:sz w:val="20"/>
                <w:szCs w:val="20"/>
              </w:rPr>
            </w:pPr>
          </w:p>
        </w:tc>
        <w:tc>
          <w:tcPr>
            <w:tcW w:w="482" w:type="pct"/>
          </w:tcPr>
          <w:p w14:paraId="6289C8DD" w14:textId="77777777" w:rsidR="004C646F" w:rsidRPr="0002762F" w:rsidRDefault="004C646F" w:rsidP="00371BF5">
            <w:pPr>
              <w:rPr>
                <w:rFonts w:ascii="Arial" w:hAnsi="Arial" w:cs="Arial"/>
                <w:sz w:val="20"/>
                <w:szCs w:val="20"/>
              </w:rPr>
            </w:pPr>
          </w:p>
        </w:tc>
        <w:tc>
          <w:tcPr>
            <w:tcW w:w="504" w:type="pct"/>
          </w:tcPr>
          <w:p w14:paraId="5AEBA957" w14:textId="77777777" w:rsidR="004C646F" w:rsidRPr="0002762F" w:rsidRDefault="004C646F" w:rsidP="00371BF5">
            <w:pPr>
              <w:rPr>
                <w:rFonts w:ascii="Arial" w:hAnsi="Arial" w:cs="Arial"/>
                <w:sz w:val="20"/>
                <w:szCs w:val="20"/>
              </w:rPr>
            </w:pPr>
          </w:p>
        </w:tc>
      </w:tr>
      <w:tr w:rsidR="004C646F" w:rsidRPr="0002762F" w14:paraId="33F282CD" w14:textId="77777777" w:rsidTr="004C646F">
        <w:tc>
          <w:tcPr>
            <w:tcW w:w="2089" w:type="pct"/>
          </w:tcPr>
          <w:p w14:paraId="1F92F317" w14:textId="1A6694BF" w:rsidR="004C646F" w:rsidRPr="0002762F" w:rsidRDefault="004C646F" w:rsidP="009B024F">
            <w:pPr>
              <w:rPr>
                <w:rFonts w:ascii="Arial" w:hAnsi="Arial" w:cs="Arial"/>
                <w:b/>
                <w:bCs/>
                <w:sz w:val="20"/>
                <w:szCs w:val="20"/>
              </w:rPr>
            </w:pPr>
            <w:r w:rsidRPr="009B024F">
              <w:rPr>
                <w:rFonts w:ascii="Arial" w:hAnsi="Arial" w:cs="Arial"/>
                <w:sz w:val="20"/>
                <w:szCs w:val="20"/>
              </w:rPr>
              <w:t xml:space="preserve">Trigger point injections of saline, </w:t>
            </w:r>
            <w:proofErr w:type="spellStart"/>
            <w:r w:rsidRPr="009B024F">
              <w:rPr>
                <w:rFonts w:ascii="Arial" w:hAnsi="Arial" w:cs="Arial"/>
                <w:sz w:val="20"/>
                <w:szCs w:val="20"/>
              </w:rPr>
              <w:t>anesthetic</w:t>
            </w:r>
            <w:proofErr w:type="spellEnd"/>
            <w:r w:rsidRPr="009B024F">
              <w:rPr>
                <w:rFonts w:ascii="Arial" w:hAnsi="Arial" w:cs="Arial"/>
                <w:sz w:val="20"/>
                <w:szCs w:val="20"/>
              </w:rPr>
              <w:t>, steroids, or opioids, in isolation or in combination with other treatment modalities, are recommended to improve pain and functional ability in patients with myofascial CPP</w:t>
            </w:r>
          </w:p>
        </w:tc>
        <w:tc>
          <w:tcPr>
            <w:tcW w:w="480" w:type="pct"/>
          </w:tcPr>
          <w:p w14:paraId="475F132A" w14:textId="77777777" w:rsidR="004C646F" w:rsidRPr="009B024F" w:rsidRDefault="004C646F" w:rsidP="00371BF5">
            <w:pPr>
              <w:rPr>
                <w:rFonts w:ascii="Arial" w:hAnsi="Arial" w:cs="Arial"/>
                <w:b/>
                <w:bCs/>
                <w:sz w:val="20"/>
                <w:szCs w:val="20"/>
              </w:rPr>
            </w:pPr>
            <w:proofErr w:type="spellStart"/>
            <w:r w:rsidRPr="009B024F">
              <w:rPr>
                <w:rFonts w:ascii="Arial" w:hAnsi="Arial" w:cs="Arial"/>
                <w:b/>
                <w:bCs/>
                <w:sz w:val="20"/>
                <w:szCs w:val="20"/>
              </w:rPr>
              <w:t>LoE</w:t>
            </w:r>
            <w:proofErr w:type="spellEnd"/>
            <w:r w:rsidRPr="009B024F">
              <w:rPr>
                <w:rFonts w:ascii="Arial" w:hAnsi="Arial" w:cs="Arial"/>
                <w:b/>
                <w:bCs/>
                <w:sz w:val="20"/>
                <w:szCs w:val="20"/>
              </w:rPr>
              <w:t xml:space="preserve"> not reported </w:t>
            </w:r>
          </w:p>
          <w:p w14:paraId="6A52D8EB" w14:textId="21A6DAD2" w:rsidR="004C646F" w:rsidRPr="0002762F" w:rsidRDefault="004C646F" w:rsidP="00371BF5">
            <w:pPr>
              <w:rPr>
                <w:rFonts w:ascii="Arial" w:hAnsi="Arial" w:cs="Arial"/>
                <w:sz w:val="20"/>
                <w:szCs w:val="20"/>
              </w:rPr>
            </w:pPr>
            <w:r w:rsidRPr="009B024F">
              <w:rPr>
                <w:rFonts w:ascii="Arial" w:hAnsi="Arial" w:cs="Arial"/>
                <w:b/>
                <w:bCs/>
                <w:sz w:val="20"/>
                <w:szCs w:val="20"/>
              </w:rPr>
              <w:t>GR B</w:t>
            </w:r>
          </w:p>
        </w:tc>
        <w:tc>
          <w:tcPr>
            <w:tcW w:w="481" w:type="pct"/>
          </w:tcPr>
          <w:p w14:paraId="0758AB02" w14:textId="77777777" w:rsidR="004C646F" w:rsidRPr="0002762F" w:rsidRDefault="004C646F" w:rsidP="00371BF5">
            <w:pPr>
              <w:rPr>
                <w:rFonts w:ascii="Arial" w:hAnsi="Arial" w:cs="Arial"/>
                <w:sz w:val="20"/>
                <w:szCs w:val="20"/>
              </w:rPr>
            </w:pPr>
          </w:p>
        </w:tc>
        <w:tc>
          <w:tcPr>
            <w:tcW w:w="482" w:type="pct"/>
          </w:tcPr>
          <w:p w14:paraId="6FA513F6" w14:textId="77777777" w:rsidR="004C646F" w:rsidRPr="0002762F" w:rsidRDefault="004C646F" w:rsidP="00371BF5">
            <w:pPr>
              <w:rPr>
                <w:rFonts w:ascii="Arial" w:hAnsi="Arial" w:cs="Arial"/>
                <w:sz w:val="20"/>
                <w:szCs w:val="20"/>
              </w:rPr>
            </w:pPr>
          </w:p>
        </w:tc>
        <w:tc>
          <w:tcPr>
            <w:tcW w:w="481" w:type="pct"/>
          </w:tcPr>
          <w:p w14:paraId="2AFBB2F7" w14:textId="77777777" w:rsidR="004C646F" w:rsidRPr="0002762F" w:rsidRDefault="004C646F" w:rsidP="00371BF5">
            <w:pPr>
              <w:rPr>
                <w:rFonts w:ascii="Arial" w:hAnsi="Arial" w:cs="Arial"/>
                <w:sz w:val="20"/>
                <w:szCs w:val="20"/>
              </w:rPr>
            </w:pPr>
          </w:p>
        </w:tc>
        <w:tc>
          <w:tcPr>
            <w:tcW w:w="482" w:type="pct"/>
          </w:tcPr>
          <w:p w14:paraId="150D651B" w14:textId="77777777" w:rsidR="004C646F" w:rsidRPr="0002762F" w:rsidRDefault="004C646F" w:rsidP="00371BF5">
            <w:pPr>
              <w:rPr>
                <w:rFonts w:ascii="Arial" w:hAnsi="Arial" w:cs="Arial"/>
                <w:sz w:val="20"/>
                <w:szCs w:val="20"/>
              </w:rPr>
            </w:pPr>
          </w:p>
        </w:tc>
        <w:tc>
          <w:tcPr>
            <w:tcW w:w="504" w:type="pct"/>
          </w:tcPr>
          <w:p w14:paraId="3DEC7934" w14:textId="7C30D934" w:rsidR="004C646F" w:rsidRPr="0002762F" w:rsidRDefault="004C646F" w:rsidP="00371BF5">
            <w:pPr>
              <w:rPr>
                <w:rFonts w:ascii="Arial" w:hAnsi="Arial" w:cs="Arial"/>
                <w:sz w:val="20"/>
                <w:szCs w:val="20"/>
              </w:rPr>
            </w:pPr>
          </w:p>
        </w:tc>
      </w:tr>
      <w:tr w:rsidR="004C646F" w:rsidRPr="0002762F" w14:paraId="68EEDE9D" w14:textId="6AAD9BA0" w:rsidTr="004C646F">
        <w:tc>
          <w:tcPr>
            <w:tcW w:w="2089" w:type="pct"/>
          </w:tcPr>
          <w:p w14:paraId="383D047A" w14:textId="30BAA5F8" w:rsidR="004C646F" w:rsidRPr="0002762F" w:rsidRDefault="004C646F" w:rsidP="00371BF5">
            <w:pPr>
              <w:rPr>
                <w:rFonts w:ascii="Arial" w:hAnsi="Arial" w:cs="Arial"/>
                <w:b/>
                <w:bCs/>
                <w:sz w:val="20"/>
                <w:szCs w:val="20"/>
              </w:rPr>
            </w:pPr>
            <w:r w:rsidRPr="0002762F">
              <w:rPr>
                <w:rFonts w:ascii="Arial" w:hAnsi="Arial" w:cs="Arial"/>
                <w:b/>
                <w:bCs/>
                <w:sz w:val="20"/>
                <w:szCs w:val="20"/>
              </w:rPr>
              <w:t xml:space="preserve">Chronic Anal Pain Syndrome </w:t>
            </w:r>
          </w:p>
        </w:tc>
        <w:tc>
          <w:tcPr>
            <w:tcW w:w="480" w:type="pct"/>
          </w:tcPr>
          <w:p w14:paraId="0CDEB670" w14:textId="25E7C78D" w:rsidR="004C646F" w:rsidRPr="0002762F" w:rsidRDefault="004C646F" w:rsidP="00371BF5">
            <w:pPr>
              <w:rPr>
                <w:rFonts w:ascii="Arial" w:hAnsi="Arial" w:cs="Arial"/>
                <w:sz w:val="20"/>
                <w:szCs w:val="20"/>
              </w:rPr>
            </w:pPr>
          </w:p>
        </w:tc>
        <w:tc>
          <w:tcPr>
            <w:tcW w:w="481" w:type="pct"/>
          </w:tcPr>
          <w:p w14:paraId="17E17C03" w14:textId="769352DC" w:rsidR="004C646F" w:rsidRPr="0002762F" w:rsidRDefault="004C646F" w:rsidP="00371BF5">
            <w:pPr>
              <w:rPr>
                <w:rFonts w:ascii="Arial" w:hAnsi="Arial" w:cs="Arial"/>
                <w:sz w:val="20"/>
                <w:szCs w:val="20"/>
              </w:rPr>
            </w:pPr>
          </w:p>
        </w:tc>
        <w:tc>
          <w:tcPr>
            <w:tcW w:w="482" w:type="pct"/>
          </w:tcPr>
          <w:p w14:paraId="405F41B4" w14:textId="77777777" w:rsidR="004C646F" w:rsidRPr="0002762F" w:rsidRDefault="004C646F" w:rsidP="00371BF5">
            <w:pPr>
              <w:rPr>
                <w:rFonts w:ascii="Arial" w:hAnsi="Arial" w:cs="Arial"/>
                <w:sz w:val="20"/>
                <w:szCs w:val="20"/>
              </w:rPr>
            </w:pPr>
          </w:p>
        </w:tc>
        <w:tc>
          <w:tcPr>
            <w:tcW w:w="481" w:type="pct"/>
          </w:tcPr>
          <w:p w14:paraId="21685C3A" w14:textId="77777777" w:rsidR="004C646F" w:rsidRPr="0002762F" w:rsidRDefault="004C646F" w:rsidP="00371BF5">
            <w:pPr>
              <w:rPr>
                <w:rFonts w:ascii="Arial" w:hAnsi="Arial" w:cs="Arial"/>
                <w:sz w:val="20"/>
                <w:szCs w:val="20"/>
              </w:rPr>
            </w:pPr>
          </w:p>
        </w:tc>
        <w:tc>
          <w:tcPr>
            <w:tcW w:w="482" w:type="pct"/>
          </w:tcPr>
          <w:p w14:paraId="0B44C965" w14:textId="77777777" w:rsidR="004C646F" w:rsidRPr="0002762F" w:rsidRDefault="004C646F" w:rsidP="00371BF5">
            <w:pPr>
              <w:rPr>
                <w:rFonts w:ascii="Arial" w:hAnsi="Arial" w:cs="Arial"/>
                <w:sz w:val="20"/>
                <w:szCs w:val="20"/>
              </w:rPr>
            </w:pPr>
          </w:p>
        </w:tc>
        <w:tc>
          <w:tcPr>
            <w:tcW w:w="504" w:type="pct"/>
          </w:tcPr>
          <w:p w14:paraId="21383A45" w14:textId="77777777" w:rsidR="004C646F" w:rsidRPr="0002762F" w:rsidRDefault="004C646F" w:rsidP="00371BF5">
            <w:pPr>
              <w:rPr>
                <w:rFonts w:ascii="Arial" w:hAnsi="Arial" w:cs="Arial"/>
                <w:sz w:val="20"/>
                <w:szCs w:val="20"/>
              </w:rPr>
            </w:pPr>
          </w:p>
        </w:tc>
      </w:tr>
      <w:tr w:rsidR="004C646F" w:rsidRPr="0002762F" w14:paraId="0A66FEC2" w14:textId="05202730" w:rsidTr="004C646F">
        <w:tc>
          <w:tcPr>
            <w:tcW w:w="2089" w:type="pct"/>
          </w:tcPr>
          <w:p w14:paraId="3E3884C5" w14:textId="2E377DD6" w:rsidR="004C646F" w:rsidRPr="0002762F" w:rsidRDefault="004C646F" w:rsidP="00371BF5">
            <w:pPr>
              <w:rPr>
                <w:rFonts w:ascii="Arial" w:hAnsi="Arial" w:cs="Arial"/>
                <w:color w:val="000000"/>
                <w:sz w:val="20"/>
                <w:szCs w:val="20"/>
              </w:rPr>
            </w:pPr>
            <w:r w:rsidRPr="0002762F">
              <w:rPr>
                <w:rFonts w:ascii="Arial" w:hAnsi="Arial" w:cs="Arial"/>
                <w:color w:val="000000"/>
                <w:sz w:val="20"/>
                <w:szCs w:val="20"/>
              </w:rPr>
              <w:t>Inhaled salbutamol should be considered in the intermittent chronic anal pain syndrome.</w:t>
            </w:r>
          </w:p>
        </w:tc>
        <w:tc>
          <w:tcPr>
            <w:tcW w:w="480" w:type="pct"/>
          </w:tcPr>
          <w:p w14:paraId="2906F0EE" w14:textId="5B39695D" w:rsidR="004C646F" w:rsidRPr="0002762F" w:rsidRDefault="004C646F" w:rsidP="00371BF5">
            <w:pPr>
              <w:rPr>
                <w:rFonts w:ascii="Arial" w:hAnsi="Arial" w:cs="Arial"/>
                <w:sz w:val="20"/>
                <w:szCs w:val="20"/>
              </w:rPr>
            </w:pPr>
          </w:p>
        </w:tc>
        <w:tc>
          <w:tcPr>
            <w:tcW w:w="481" w:type="pct"/>
          </w:tcPr>
          <w:p w14:paraId="194A3CC8" w14:textId="5709AB8C" w:rsidR="004C646F" w:rsidRPr="0002762F" w:rsidRDefault="004C646F" w:rsidP="00371BF5">
            <w:pPr>
              <w:rPr>
                <w:rFonts w:ascii="Arial" w:hAnsi="Arial" w:cs="Arial"/>
                <w:sz w:val="20"/>
                <w:szCs w:val="20"/>
              </w:rPr>
            </w:pPr>
          </w:p>
        </w:tc>
        <w:tc>
          <w:tcPr>
            <w:tcW w:w="482" w:type="pct"/>
          </w:tcPr>
          <w:p w14:paraId="40FF218B" w14:textId="6DEF1EC2" w:rsidR="004C646F" w:rsidRDefault="004C646F" w:rsidP="00371BF5">
            <w:pPr>
              <w:rPr>
                <w:rFonts w:ascii="Arial" w:hAnsi="Arial" w:cs="Arial"/>
                <w:b/>
                <w:bCs/>
                <w:color w:val="000000"/>
                <w:sz w:val="20"/>
                <w:szCs w:val="20"/>
              </w:rPr>
            </w:pPr>
            <w:proofErr w:type="spellStart"/>
            <w:r>
              <w:rPr>
                <w:rFonts w:ascii="Arial" w:hAnsi="Arial" w:cs="Arial"/>
                <w:b/>
                <w:bCs/>
                <w:color w:val="000000"/>
                <w:sz w:val="20"/>
                <w:szCs w:val="20"/>
              </w:rPr>
              <w:t>LoE</w:t>
            </w:r>
            <w:proofErr w:type="spellEnd"/>
            <w:r>
              <w:rPr>
                <w:rFonts w:ascii="Arial" w:hAnsi="Arial" w:cs="Arial"/>
                <w:b/>
                <w:bCs/>
                <w:color w:val="000000"/>
                <w:sz w:val="20"/>
                <w:szCs w:val="20"/>
              </w:rPr>
              <w:t xml:space="preserve"> 3</w:t>
            </w:r>
          </w:p>
          <w:p w14:paraId="3C4AE68D" w14:textId="21E3418D" w:rsidR="004C646F" w:rsidRPr="0002762F" w:rsidRDefault="004C646F" w:rsidP="00371BF5">
            <w:pPr>
              <w:rPr>
                <w:rFonts w:ascii="Arial" w:hAnsi="Arial" w:cs="Arial"/>
                <w:b/>
                <w:bCs/>
                <w:color w:val="000000"/>
                <w:sz w:val="20"/>
                <w:szCs w:val="20"/>
              </w:rPr>
            </w:pPr>
            <w:r>
              <w:rPr>
                <w:rFonts w:ascii="Arial" w:hAnsi="Arial" w:cs="Arial"/>
                <w:b/>
                <w:bCs/>
                <w:color w:val="000000"/>
                <w:sz w:val="20"/>
                <w:szCs w:val="20"/>
              </w:rPr>
              <w:lastRenderedPageBreak/>
              <w:t xml:space="preserve">GR </w:t>
            </w:r>
            <w:r w:rsidRPr="0002762F">
              <w:rPr>
                <w:rFonts w:ascii="Arial" w:hAnsi="Arial" w:cs="Arial"/>
                <w:b/>
                <w:bCs/>
                <w:color w:val="000000"/>
                <w:sz w:val="20"/>
                <w:szCs w:val="20"/>
              </w:rPr>
              <w:t>C</w:t>
            </w:r>
            <w:r w:rsidRPr="0002762F">
              <w:rPr>
                <w:rFonts w:ascii="Arial" w:hAnsi="Arial" w:cs="Arial"/>
                <w:b/>
                <w:bCs/>
                <w:color w:val="000000"/>
                <w:sz w:val="20"/>
                <w:szCs w:val="20"/>
              </w:rPr>
              <w:br/>
            </w:r>
          </w:p>
        </w:tc>
        <w:tc>
          <w:tcPr>
            <w:tcW w:w="481" w:type="pct"/>
          </w:tcPr>
          <w:p w14:paraId="207B7F66" w14:textId="77777777" w:rsidR="004C646F" w:rsidRPr="0002762F" w:rsidRDefault="004C646F" w:rsidP="00371BF5">
            <w:pPr>
              <w:rPr>
                <w:rFonts w:ascii="Arial" w:hAnsi="Arial" w:cs="Arial"/>
                <w:sz w:val="20"/>
                <w:szCs w:val="20"/>
              </w:rPr>
            </w:pPr>
          </w:p>
        </w:tc>
        <w:tc>
          <w:tcPr>
            <w:tcW w:w="482" w:type="pct"/>
          </w:tcPr>
          <w:p w14:paraId="0C789E8B" w14:textId="77777777" w:rsidR="004C646F" w:rsidRPr="0002762F" w:rsidRDefault="004C646F" w:rsidP="00371BF5">
            <w:pPr>
              <w:rPr>
                <w:rFonts w:ascii="Arial" w:hAnsi="Arial" w:cs="Arial"/>
                <w:sz w:val="20"/>
                <w:szCs w:val="20"/>
              </w:rPr>
            </w:pPr>
          </w:p>
        </w:tc>
        <w:tc>
          <w:tcPr>
            <w:tcW w:w="504" w:type="pct"/>
          </w:tcPr>
          <w:p w14:paraId="3D8BFFCE" w14:textId="77777777" w:rsidR="004C646F" w:rsidRPr="0002762F" w:rsidRDefault="004C646F" w:rsidP="00371BF5">
            <w:pPr>
              <w:rPr>
                <w:rFonts w:ascii="Arial" w:hAnsi="Arial" w:cs="Arial"/>
                <w:sz w:val="20"/>
                <w:szCs w:val="20"/>
              </w:rPr>
            </w:pPr>
          </w:p>
        </w:tc>
      </w:tr>
      <w:tr w:rsidR="004C646F" w:rsidRPr="0002762F" w14:paraId="6C843955" w14:textId="3EE1517C" w:rsidTr="004C646F">
        <w:tc>
          <w:tcPr>
            <w:tcW w:w="2089" w:type="pct"/>
          </w:tcPr>
          <w:p w14:paraId="271B96E3" w14:textId="4B6AAF78" w:rsidR="004C646F" w:rsidRPr="0002762F" w:rsidRDefault="004C646F" w:rsidP="00371BF5">
            <w:pPr>
              <w:rPr>
                <w:rFonts w:ascii="Arial" w:hAnsi="Arial" w:cs="Arial"/>
                <w:color w:val="000000"/>
                <w:sz w:val="20"/>
                <w:szCs w:val="20"/>
              </w:rPr>
            </w:pPr>
            <w:r w:rsidRPr="0002762F">
              <w:rPr>
                <w:rFonts w:ascii="Arial" w:hAnsi="Arial" w:cs="Arial"/>
                <w:color w:val="000000"/>
                <w:sz w:val="20"/>
                <w:szCs w:val="20"/>
              </w:rPr>
              <w:t>Botulinum toxin A and electrogalvanic stimulation can be considered in the chronic anal pain</w:t>
            </w:r>
            <w:r>
              <w:rPr>
                <w:rFonts w:ascii="Arial" w:hAnsi="Arial" w:cs="Arial"/>
                <w:color w:val="000000"/>
                <w:sz w:val="20"/>
                <w:szCs w:val="20"/>
              </w:rPr>
              <w:t xml:space="preserve"> </w:t>
            </w:r>
            <w:r w:rsidRPr="0002762F">
              <w:rPr>
                <w:rFonts w:ascii="Arial" w:hAnsi="Arial" w:cs="Arial"/>
                <w:color w:val="000000"/>
                <w:sz w:val="20"/>
                <w:szCs w:val="20"/>
              </w:rPr>
              <w:t>syndrome</w:t>
            </w:r>
          </w:p>
        </w:tc>
        <w:tc>
          <w:tcPr>
            <w:tcW w:w="480" w:type="pct"/>
          </w:tcPr>
          <w:p w14:paraId="0F94BD77" w14:textId="4884B3D4" w:rsidR="004C646F" w:rsidRPr="0002762F" w:rsidRDefault="004C646F" w:rsidP="00371BF5">
            <w:pPr>
              <w:rPr>
                <w:rFonts w:ascii="Arial" w:hAnsi="Arial" w:cs="Arial"/>
                <w:sz w:val="20"/>
                <w:szCs w:val="20"/>
              </w:rPr>
            </w:pPr>
          </w:p>
        </w:tc>
        <w:tc>
          <w:tcPr>
            <w:tcW w:w="481" w:type="pct"/>
          </w:tcPr>
          <w:p w14:paraId="687838A3" w14:textId="0A55907D" w:rsidR="004C646F" w:rsidRPr="0002762F" w:rsidRDefault="004C646F" w:rsidP="00371BF5">
            <w:pPr>
              <w:rPr>
                <w:rFonts w:ascii="Arial" w:hAnsi="Arial" w:cs="Arial"/>
                <w:sz w:val="20"/>
                <w:szCs w:val="20"/>
              </w:rPr>
            </w:pPr>
          </w:p>
        </w:tc>
        <w:tc>
          <w:tcPr>
            <w:tcW w:w="482" w:type="pct"/>
          </w:tcPr>
          <w:p w14:paraId="58A9B69F" w14:textId="74369A93" w:rsidR="004C646F" w:rsidRDefault="004C646F" w:rsidP="00371BF5">
            <w:pPr>
              <w:rPr>
                <w:rFonts w:ascii="Arial" w:hAnsi="Arial" w:cs="Arial"/>
                <w:b/>
                <w:bCs/>
                <w:color w:val="000000"/>
                <w:sz w:val="20"/>
                <w:szCs w:val="20"/>
              </w:rPr>
            </w:pPr>
            <w:proofErr w:type="spellStart"/>
            <w:r>
              <w:rPr>
                <w:rFonts w:ascii="Arial" w:hAnsi="Arial" w:cs="Arial"/>
                <w:b/>
                <w:bCs/>
                <w:color w:val="000000"/>
                <w:sz w:val="20"/>
                <w:szCs w:val="20"/>
              </w:rPr>
              <w:t>LoE</w:t>
            </w:r>
            <w:proofErr w:type="spellEnd"/>
            <w:r>
              <w:rPr>
                <w:rFonts w:ascii="Arial" w:hAnsi="Arial" w:cs="Arial"/>
                <w:b/>
                <w:bCs/>
                <w:color w:val="000000"/>
                <w:sz w:val="20"/>
                <w:szCs w:val="20"/>
              </w:rPr>
              <w:t xml:space="preserve"> 1b</w:t>
            </w:r>
          </w:p>
          <w:p w14:paraId="11BFB82A" w14:textId="56DA60CA" w:rsidR="004C646F" w:rsidRPr="002375F4" w:rsidRDefault="004C646F" w:rsidP="00371BF5">
            <w:pPr>
              <w:rPr>
                <w:rFonts w:ascii="Arial" w:hAnsi="Arial" w:cs="Arial"/>
                <w:b/>
                <w:bCs/>
                <w:color w:val="000000"/>
                <w:sz w:val="20"/>
                <w:szCs w:val="20"/>
              </w:rPr>
            </w:pPr>
            <w:r>
              <w:rPr>
                <w:rFonts w:ascii="Arial" w:hAnsi="Arial" w:cs="Arial"/>
                <w:b/>
                <w:bCs/>
                <w:color w:val="000000"/>
                <w:sz w:val="20"/>
                <w:szCs w:val="20"/>
              </w:rPr>
              <w:t xml:space="preserve">GR </w:t>
            </w:r>
            <w:r w:rsidRPr="0002762F">
              <w:rPr>
                <w:rFonts w:ascii="Arial" w:hAnsi="Arial" w:cs="Arial"/>
                <w:b/>
                <w:bCs/>
                <w:color w:val="000000"/>
                <w:sz w:val="20"/>
                <w:szCs w:val="20"/>
              </w:rPr>
              <w:t>B</w:t>
            </w:r>
            <w:r w:rsidRPr="0002762F">
              <w:rPr>
                <w:rFonts w:ascii="Arial" w:hAnsi="Arial" w:cs="Arial"/>
                <w:b/>
                <w:bCs/>
                <w:color w:val="000000"/>
                <w:sz w:val="20"/>
                <w:szCs w:val="20"/>
              </w:rPr>
              <w:br/>
            </w:r>
          </w:p>
        </w:tc>
        <w:tc>
          <w:tcPr>
            <w:tcW w:w="481" w:type="pct"/>
          </w:tcPr>
          <w:p w14:paraId="0308D89C" w14:textId="77777777" w:rsidR="004C646F" w:rsidRPr="0002762F" w:rsidRDefault="004C646F" w:rsidP="00371BF5">
            <w:pPr>
              <w:rPr>
                <w:rFonts w:ascii="Arial" w:hAnsi="Arial" w:cs="Arial"/>
                <w:sz w:val="20"/>
                <w:szCs w:val="20"/>
              </w:rPr>
            </w:pPr>
          </w:p>
        </w:tc>
        <w:tc>
          <w:tcPr>
            <w:tcW w:w="482" w:type="pct"/>
          </w:tcPr>
          <w:p w14:paraId="657249C0" w14:textId="77777777" w:rsidR="004C646F" w:rsidRPr="0002762F" w:rsidRDefault="004C646F" w:rsidP="00371BF5">
            <w:pPr>
              <w:rPr>
                <w:rFonts w:ascii="Arial" w:hAnsi="Arial" w:cs="Arial"/>
                <w:sz w:val="20"/>
                <w:szCs w:val="20"/>
              </w:rPr>
            </w:pPr>
          </w:p>
        </w:tc>
        <w:tc>
          <w:tcPr>
            <w:tcW w:w="504" w:type="pct"/>
          </w:tcPr>
          <w:p w14:paraId="64FFDF1B" w14:textId="77777777" w:rsidR="004C646F" w:rsidRPr="0002762F" w:rsidRDefault="004C646F" w:rsidP="00371BF5">
            <w:pPr>
              <w:rPr>
                <w:rFonts w:ascii="Arial" w:hAnsi="Arial" w:cs="Arial"/>
                <w:sz w:val="20"/>
                <w:szCs w:val="20"/>
              </w:rPr>
            </w:pPr>
          </w:p>
        </w:tc>
      </w:tr>
      <w:tr w:rsidR="004C646F" w:rsidRPr="0002762F" w14:paraId="78CCFE76" w14:textId="471EFF93" w:rsidTr="004C646F">
        <w:tc>
          <w:tcPr>
            <w:tcW w:w="2089" w:type="pct"/>
          </w:tcPr>
          <w:p w14:paraId="1CA87509" w14:textId="77777777" w:rsidR="004C646F" w:rsidRPr="0002762F" w:rsidRDefault="004C646F" w:rsidP="00371BF5">
            <w:pPr>
              <w:rPr>
                <w:rFonts w:ascii="Arial" w:hAnsi="Arial" w:cs="Arial"/>
                <w:color w:val="000000"/>
                <w:sz w:val="20"/>
                <w:szCs w:val="20"/>
              </w:rPr>
            </w:pPr>
            <w:r w:rsidRPr="0002762F">
              <w:rPr>
                <w:rFonts w:ascii="Arial" w:hAnsi="Arial" w:cs="Arial"/>
                <w:color w:val="000000"/>
                <w:sz w:val="20"/>
                <w:szCs w:val="20"/>
              </w:rPr>
              <w:t>Percutaneous tibial nerve stimulation can be considered.</w:t>
            </w:r>
          </w:p>
          <w:p w14:paraId="059EA0DB" w14:textId="77777777" w:rsidR="004C646F" w:rsidRPr="0002762F" w:rsidRDefault="004C646F" w:rsidP="00371BF5">
            <w:pPr>
              <w:rPr>
                <w:rFonts w:ascii="Arial" w:hAnsi="Arial" w:cs="Arial"/>
                <w:sz w:val="20"/>
                <w:szCs w:val="20"/>
              </w:rPr>
            </w:pPr>
          </w:p>
        </w:tc>
        <w:tc>
          <w:tcPr>
            <w:tcW w:w="480" w:type="pct"/>
          </w:tcPr>
          <w:p w14:paraId="0DAF282F" w14:textId="1167BAA1" w:rsidR="004C646F" w:rsidRPr="0002762F" w:rsidRDefault="004C646F" w:rsidP="00371BF5">
            <w:pPr>
              <w:rPr>
                <w:rFonts w:ascii="Arial" w:hAnsi="Arial" w:cs="Arial"/>
                <w:sz w:val="20"/>
                <w:szCs w:val="20"/>
              </w:rPr>
            </w:pPr>
          </w:p>
        </w:tc>
        <w:tc>
          <w:tcPr>
            <w:tcW w:w="481" w:type="pct"/>
          </w:tcPr>
          <w:p w14:paraId="318DA915" w14:textId="58353E98" w:rsidR="004C646F" w:rsidRPr="0002762F" w:rsidRDefault="004C646F" w:rsidP="00371BF5">
            <w:pPr>
              <w:rPr>
                <w:rFonts w:ascii="Arial" w:hAnsi="Arial" w:cs="Arial"/>
                <w:sz w:val="20"/>
                <w:szCs w:val="20"/>
              </w:rPr>
            </w:pPr>
          </w:p>
        </w:tc>
        <w:tc>
          <w:tcPr>
            <w:tcW w:w="482" w:type="pct"/>
          </w:tcPr>
          <w:p w14:paraId="779AF0FC" w14:textId="6DD4DF27" w:rsidR="004C646F" w:rsidRDefault="004C646F" w:rsidP="00371BF5">
            <w:pPr>
              <w:rPr>
                <w:rFonts w:ascii="Arial" w:hAnsi="Arial" w:cs="Arial"/>
                <w:b/>
                <w:bCs/>
                <w:color w:val="000000"/>
                <w:sz w:val="20"/>
                <w:szCs w:val="20"/>
              </w:rPr>
            </w:pPr>
            <w:proofErr w:type="spellStart"/>
            <w:r>
              <w:rPr>
                <w:rFonts w:ascii="Arial" w:hAnsi="Arial" w:cs="Arial"/>
                <w:b/>
                <w:bCs/>
                <w:color w:val="000000"/>
                <w:sz w:val="20"/>
                <w:szCs w:val="20"/>
              </w:rPr>
              <w:t>LoE</w:t>
            </w:r>
            <w:proofErr w:type="spellEnd"/>
            <w:r>
              <w:rPr>
                <w:rFonts w:ascii="Arial" w:hAnsi="Arial" w:cs="Arial"/>
                <w:b/>
                <w:bCs/>
                <w:color w:val="000000"/>
                <w:sz w:val="20"/>
                <w:szCs w:val="20"/>
              </w:rPr>
              <w:t xml:space="preserve"> 1b</w:t>
            </w:r>
          </w:p>
          <w:p w14:paraId="229C54F6" w14:textId="3C5ED5C4" w:rsidR="004C646F" w:rsidRPr="0002762F" w:rsidRDefault="004C646F" w:rsidP="00371BF5">
            <w:pPr>
              <w:rPr>
                <w:rFonts w:ascii="Arial" w:hAnsi="Arial" w:cs="Arial"/>
                <w:b/>
                <w:bCs/>
                <w:color w:val="000000"/>
                <w:sz w:val="20"/>
                <w:szCs w:val="20"/>
              </w:rPr>
            </w:pPr>
            <w:r>
              <w:rPr>
                <w:rFonts w:ascii="Arial" w:hAnsi="Arial" w:cs="Arial"/>
                <w:b/>
                <w:bCs/>
                <w:color w:val="000000"/>
                <w:sz w:val="20"/>
                <w:szCs w:val="20"/>
              </w:rPr>
              <w:t xml:space="preserve">GR </w:t>
            </w:r>
            <w:r w:rsidRPr="0002762F">
              <w:rPr>
                <w:rFonts w:ascii="Arial" w:hAnsi="Arial" w:cs="Arial"/>
                <w:b/>
                <w:bCs/>
                <w:color w:val="000000"/>
                <w:sz w:val="20"/>
                <w:szCs w:val="20"/>
              </w:rPr>
              <w:t>B</w:t>
            </w:r>
            <w:r w:rsidRPr="0002762F">
              <w:rPr>
                <w:rFonts w:ascii="Arial" w:hAnsi="Arial" w:cs="Arial"/>
                <w:b/>
                <w:bCs/>
                <w:color w:val="000000"/>
                <w:sz w:val="20"/>
                <w:szCs w:val="20"/>
              </w:rPr>
              <w:br/>
            </w:r>
          </w:p>
          <w:p w14:paraId="62741C09" w14:textId="77777777" w:rsidR="004C646F" w:rsidRPr="0002762F" w:rsidRDefault="004C646F" w:rsidP="00371BF5">
            <w:pPr>
              <w:rPr>
                <w:rFonts w:ascii="Arial" w:hAnsi="Arial" w:cs="Arial"/>
                <w:sz w:val="20"/>
                <w:szCs w:val="20"/>
              </w:rPr>
            </w:pPr>
          </w:p>
        </w:tc>
        <w:tc>
          <w:tcPr>
            <w:tcW w:w="481" w:type="pct"/>
          </w:tcPr>
          <w:p w14:paraId="1B6467BA" w14:textId="77777777" w:rsidR="004C646F" w:rsidRPr="0002762F" w:rsidRDefault="004C646F" w:rsidP="00371BF5">
            <w:pPr>
              <w:rPr>
                <w:rFonts w:ascii="Arial" w:hAnsi="Arial" w:cs="Arial"/>
                <w:sz w:val="20"/>
                <w:szCs w:val="20"/>
              </w:rPr>
            </w:pPr>
          </w:p>
        </w:tc>
        <w:tc>
          <w:tcPr>
            <w:tcW w:w="482" w:type="pct"/>
          </w:tcPr>
          <w:p w14:paraId="7D607748" w14:textId="77777777" w:rsidR="004C646F" w:rsidRPr="0002762F" w:rsidRDefault="004C646F" w:rsidP="00371BF5">
            <w:pPr>
              <w:rPr>
                <w:rFonts w:ascii="Arial" w:hAnsi="Arial" w:cs="Arial"/>
                <w:sz w:val="20"/>
                <w:szCs w:val="20"/>
              </w:rPr>
            </w:pPr>
          </w:p>
        </w:tc>
        <w:tc>
          <w:tcPr>
            <w:tcW w:w="504" w:type="pct"/>
          </w:tcPr>
          <w:p w14:paraId="0B3F9268" w14:textId="77777777" w:rsidR="004C646F" w:rsidRPr="0002762F" w:rsidRDefault="004C646F" w:rsidP="00371BF5">
            <w:pPr>
              <w:rPr>
                <w:rFonts w:ascii="Arial" w:hAnsi="Arial" w:cs="Arial"/>
                <w:sz w:val="20"/>
                <w:szCs w:val="20"/>
              </w:rPr>
            </w:pPr>
          </w:p>
        </w:tc>
      </w:tr>
      <w:tr w:rsidR="004C646F" w:rsidRPr="0002762F" w14:paraId="31A4DDDE" w14:textId="20E057C1" w:rsidTr="004C646F">
        <w:tc>
          <w:tcPr>
            <w:tcW w:w="2089" w:type="pct"/>
          </w:tcPr>
          <w:p w14:paraId="361B801D" w14:textId="55978448" w:rsidR="004C646F" w:rsidRPr="00534ED0" w:rsidRDefault="004C646F" w:rsidP="00371BF5">
            <w:pPr>
              <w:rPr>
                <w:rFonts w:ascii="Arial" w:hAnsi="Arial" w:cs="Arial"/>
                <w:b/>
                <w:bCs/>
                <w:sz w:val="20"/>
                <w:szCs w:val="20"/>
              </w:rPr>
            </w:pPr>
            <w:r w:rsidRPr="0002762F">
              <w:rPr>
                <w:rFonts w:ascii="Arial" w:hAnsi="Arial" w:cs="Arial"/>
                <w:b/>
                <w:bCs/>
                <w:sz w:val="20"/>
                <w:szCs w:val="20"/>
              </w:rPr>
              <w:t>Bladder Pain Syndrome</w:t>
            </w:r>
          </w:p>
        </w:tc>
        <w:tc>
          <w:tcPr>
            <w:tcW w:w="480" w:type="pct"/>
          </w:tcPr>
          <w:p w14:paraId="49817F03" w14:textId="72099906" w:rsidR="004C646F" w:rsidRPr="0002762F" w:rsidRDefault="004C646F" w:rsidP="00371BF5">
            <w:pPr>
              <w:rPr>
                <w:rFonts w:ascii="Arial" w:hAnsi="Arial" w:cs="Arial"/>
                <w:sz w:val="20"/>
                <w:szCs w:val="20"/>
              </w:rPr>
            </w:pPr>
          </w:p>
        </w:tc>
        <w:tc>
          <w:tcPr>
            <w:tcW w:w="481" w:type="pct"/>
          </w:tcPr>
          <w:p w14:paraId="580EAD94" w14:textId="13A55A2F" w:rsidR="004C646F" w:rsidRPr="0002762F" w:rsidRDefault="004C646F" w:rsidP="00371BF5">
            <w:pPr>
              <w:rPr>
                <w:rFonts w:ascii="Arial" w:hAnsi="Arial" w:cs="Arial"/>
                <w:sz w:val="20"/>
                <w:szCs w:val="20"/>
              </w:rPr>
            </w:pPr>
          </w:p>
        </w:tc>
        <w:tc>
          <w:tcPr>
            <w:tcW w:w="482" w:type="pct"/>
          </w:tcPr>
          <w:p w14:paraId="4625E6D3" w14:textId="77777777" w:rsidR="004C646F" w:rsidRPr="0002762F" w:rsidRDefault="004C646F" w:rsidP="00371BF5">
            <w:pPr>
              <w:rPr>
                <w:rFonts w:ascii="Arial" w:hAnsi="Arial" w:cs="Arial"/>
                <w:b/>
                <w:bCs/>
                <w:color w:val="000000"/>
                <w:sz w:val="20"/>
                <w:szCs w:val="20"/>
              </w:rPr>
            </w:pPr>
          </w:p>
        </w:tc>
        <w:tc>
          <w:tcPr>
            <w:tcW w:w="481" w:type="pct"/>
          </w:tcPr>
          <w:p w14:paraId="3715013F" w14:textId="77777777" w:rsidR="004C646F" w:rsidRPr="0002762F" w:rsidRDefault="004C646F" w:rsidP="00371BF5">
            <w:pPr>
              <w:rPr>
                <w:rFonts w:ascii="Arial" w:hAnsi="Arial" w:cs="Arial"/>
                <w:sz w:val="20"/>
                <w:szCs w:val="20"/>
              </w:rPr>
            </w:pPr>
          </w:p>
        </w:tc>
        <w:tc>
          <w:tcPr>
            <w:tcW w:w="482" w:type="pct"/>
          </w:tcPr>
          <w:p w14:paraId="41E2B775" w14:textId="77777777" w:rsidR="004C646F" w:rsidRPr="0002762F" w:rsidRDefault="004C646F" w:rsidP="00371BF5">
            <w:pPr>
              <w:rPr>
                <w:rFonts w:ascii="Arial" w:hAnsi="Arial" w:cs="Arial"/>
                <w:sz w:val="20"/>
                <w:szCs w:val="20"/>
              </w:rPr>
            </w:pPr>
          </w:p>
        </w:tc>
        <w:tc>
          <w:tcPr>
            <w:tcW w:w="504" w:type="pct"/>
          </w:tcPr>
          <w:p w14:paraId="599354E3" w14:textId="77777777" w:rsidR="004C646F" w:rsidRPr="0002762F" w:rsidRDefault="004C646F" w:rsidP="00371BF5">
            <w:pPr>
              <w:rPr>
                <w:rFonts w:ascii="Arial" w:hAnsi="Arial" w:cs="Arial"/>
                <w:sz w:val="20"/>
                <w:szCs w:val="20"/>
              </w:rPr>
            </w:pPr>
          </w:p>
        </w:tc>
      </w:tr>
      <w:tr w:rsidR="004C646F" w:rsidRPr="0002762F" w14:paraId="66D81FD7" w14:textId="042C7723" w:rsidTr="004C646F">
        <w:tc>
          <w:tcPr>
            <w:tcW w:w="2089" w:type="pct"/>
          </w:tcPr>
          <w:p w14:paraId="68453433" w14:textId="77777777" w:rsidR="004C646F" w:rsidRPr="0002762F" w:rsidRDefault="004C646F" w:rsidP="00371BF5">
            <w:pPr>
              <w:rPr>
                <w:rFonts w:ascii="Arial" w:hAnsi="Arial" w:cs="Arial"/>
                <w:sz w:val="20"/>
                <w:szCs w:val="20"/>
              </w:rPr>
            </w:pPr>
            <w:r w:rsidRPr="0002762F">
              <w:rPr>
                <w:rFonts w:ascii="Arial" w:hAnsi="Arial" w:cs="Arial"/>
                <w:color w:val="000000"/>
                <w:sz w:val="20"/>
                <w:szCs w:val="20"/>
              </w:rPr>
              <w:t xml:space="preserve">Offer subtype and phenotype-oriented therapy </w:t>
            </w:r>
          </w:p>
        </w:tc>
        <w:tc>
          <w:tcPr>
            <w:tcW w:w="480" w:type="pct"/>
          </w:tcPr>
          <w:p w14:paraId="79D6D97A" w14:textId="42AB144D" w:rsidR="004C646F" w:rsidRPr="0002762F" w:rsidRDefault="004C646F" w:rsidP="00371BF5">
            <w:pPr>
              <w:rPr>
                <w:rFonts w:ascii="Arial" w:hAnsi="Arial" w:cs="Arial"/>
                <w:sz w:val="20"/>
                <w:szCs w:val="20"/>
              </w:rPr>
            </w:pPr>
          </w:p>
        </w:tc>
        <w:tc>
          <w:tcPr>
            <w:tcW w:w="481" w:type="pct"/>
          </w:tcPr>
          <w:p w14:paraId="41F07FBD" w14:textId="07F269F0" w:rsidR="004C646F" w:rsidRPr="0002762F" w:rsidRDefault="004C646F" w:rsidP="00371BF5">
            <w:pPr>
              <w:rPr>
                <w:rFonts w:ascii="Arial" w:hAnsi="Arial" w:cs="Arial"/>
                <w:sz w:val="20"/>
                <w:szCs w:val="20"/>
              </w:rPr>
            </w:pPr>
          </w:p>
        </w:tc>
        <w:tc>
          <w:tcPr>
            <w:tcW w:w="482" w:type="pct"/>
          </w:tcPr>
          <w:p w14:paraId="0F257A24" w14:textId="2D6D4FB4" w:rsidR="004C646F" w:rsidRDefault="004C646F" w:rsidP="00371BF5">
            <w:pPr>
              <w:rPr>
                <w:rFonts w:ascii="Arial" w:hAnsi="Arial" w:cs="Arial"/>
                <w:b/>
                <w:bCs/>
                <w:color w:val="000000"/>
                <w:sz w:val="20"/>
                <w:szCs w:val="20"/>
              </w:rPr>
            </w:pPr>
            <w:proofErr w:type="spellStart"/>
            <w:r>
              <w:rPr>
                <w:rFonts w:ascii="Arial" w:hAnsi="Arial" w:cs="Arial"/>
                <w:b/>
                <w:bCs/>
                <w:color w:val="000000"/>
                <w:sz w:val="20"/>
                <w:szCs w:val="20"/>
              </w:rPr>
              <w:t>LoE</w:t>
            </w:r>
            <w:proofErr w:type="spellEnd"/>
            <w:r>
              <w:rPr>
                <w:rFonts w:ascii="Arial" w:hAnsi="Arial" w:cs="Arial"/>
                <w:b/>
                <w:bCs/>
                <w:color w:val="000000"/>
                <w:sz w:val="20"/>
                <w:szCs w:val="20"/>
              </w:rPr>
              <w:t xml:space="preserve"> 4</w:t>
            </w:r>
          </w:p>
          <w:p w14:paraId="2A2553D2" w14:textId="26568AA7" w:rsidR="004C646F" w:rsidRPr="0002762F" w:rsidRDefault="004C646F" w:rsidP="00371BF5">
            <w:pPr>
              <w:rPr>
                <w:rFonts w:ascii="Arial" w:hAnsi="Arial" w:cs="Arial"/>
                <w:b/>
                <w:bCs/>
                <w:color w:val="000000"/>
                <w:sz w:val="20"/>
                <w:szCs w:val="20"/>
              </w:rPr>
            </w:pPr>
            <w:r>
              <w:rPr>
                <w:rFonts w:ascii="Arial" w:hAnsi="Arial" w:cs="Arial"/>
                <w:b/>
                <w:bCs/>
                <w:color w:val="000000"/>
                <w:sz w:val="20"/>
                <w:szCs w:val="20"/>
              </w:rPr>
              <w:t xml:space="preserve">GR </w:t>
            </w:r>
            <w:r w:rsidRPr="0002762F">
              <w:rPr>
                <w:rFonts w:ascii="Arial" w:hAnsi="Arial" w:cs="Arial"/>
                <w:b/>
                <w:bCs/>
                <w:color w:val="000000"/>
                <w:sz w:val="20"/>
                <w:szCs w:val="20"/>
              </w:rPr>
              <w:t>A</w:t>
            </w:r>
            <w:r w:rsidRPr="0002762F">
              <w:rPr>
                <w:rFonts w:ascii="Arial" w:hAnsi="Arial" w:cs="Arial"/>
                <w:b/>
                <w:bCs/>
                <w:color w:val="000000"/>
                <w:sz w:val="20"/>
                <w:szCs w:val="20"/>
              </w:rPr>
              <w:br/>
            </w:r>
          </w:p>
        </w:tc>
        <w:tc>
          <w:tcPr>
            <w:tcW w:w="481" w:type="pct"/>
          </w:tcPr>
          <w:p w14:paraId="750D66EB" w14:textId="77777777" w:rsidR="004C646F" w:rsidRPr="0002762F" w:rsidRDefault="004C646F" w:rsidP="00371BF5">
            <w:pPr>
              <w:rPr>
                <w:rFonts w:ascii="Arial" w:hAnsi="Arial" w:cs="Arial"/>
                <w:sz w:val="20"/>
                <w:szCs w:val="20"/>
              </w:rPr>
            </w:pPr>
          </w:p>
        </w:tc>
        <w:tc>
          <w:tcPr>
            <w:tcW w:w="482" w:type="pct"/>
          </w:tcPr>
          <w:p w14:paraId="079E816E" w14:textId="77777777" w:rsidR="004C646F" w:rsidRPr="0002762F" w:rsidRDefault="004C646F" w:rsidP="00371BF5">
            <w:pPr>
              <w:rPr>
                <w:rFonts w:ascii="Arial" w:hAnsi="Arial" w:cs="Arial"/>
                <w:sz w:val="20"/>
                <w:szCs w:val="20"/>
              </w:rPr>
            </w:pPr>
          </w:p>
        </w:tc>
        <w:tc>
          <w:tcPr>
            <w:tcW w:w="504" w:type="pct"/>
          </w:tcPr>
          <w:p w14:paraId="38E3380E" w14:textId="77777777" w:rsidR="004C646F" w:rsidRPr="0002762F" w:rsidRDefault="004C646F" w:rsidP="00371BF5">
            <w:pPr>
              <w:rPr>
                <w:rFonts w:ascii="Arial" w:hAnsi="Arial" w:cs="Arial"/>
                <w:sz w:val="20"/>
                <w:szCs w:val="20"/>
              </w:rPr>
            </w:pPr>
          </w:p>
        </w:tc>
      </w:tr>
      <w:tr w:rsidR="004C646F" w:rsidRPr="0002762F" w14:paraId="2E7ED233" w14:textId="7FEA4FB7" w:rsidTr="004C646F">
        <w:tc>
          <w:tcPr>
            <w:tcW w:w="2089" w:type="pct"/>
          </w:tcPr>
          <w:p w14:paraId="1F72227F" w14:textId="77777777" w:rsidR="004C646F" w:rsidRPr="0002762F" w:rsidRDefault="004C646F" w:rsidP="00371BF5">
            <w:pPr>
              <w:rPr>
                <w:rFonts w:ascii="Arial" w:hAnsi="Arial" w:cs="Arial"/>
                <w:color w:val="000000"/>
                <w:sz w:val="20"/>
                <w:szCs w:val="20"/>
              </w:rPr>
            </w:pPr>
            <w:r w:rsidRPr="0002762F">
              <w:rPr>
                <w:rFonts w:ascii="Arial" w:hAnsi="Arial" w:cs="Arial"/>
                <w:color w:val="000000"/>
                <w:sz w:val="20"/>
                <w:szCs w:val="20"/>
              </w:rPr>
              <w:t xml:space="preserve">Corticosteroids are not recommended for long-term treatment </w:t>
            </w:r>
          </w:p>
          <w:p w14:paraId="78A21E4D" w14:textId="77777777" w:rsidR="004C646F" w:rsidRPr="0002762F" w:rsidRDefault="004C646F" w:rsidP="00371BF5">
            <w:pPr>
              <w:rPr>
                <w:rFonts w:ascii="Arial" w:hAnsi="Arial" w:cs="Arial"/>
                <w:sz w:val="20"/>
                <w:szCs w:val="20"/>
              </w:rPr>
            </w:pPr>
          </w:p>
        </w:tc>
        <w:tc>
          <w:tcPr>
            <w:tcW w:w="480" w:type="pct"/>
          </w:tcPr>
          <w:p w14:paraId="46AC4B1A" w14:textId="240465E9" w:rsidR="004C646F" w:rsidRPr="0002762F" w:rsidRDefault="004C646F" w:rsidP="00371BF5">
            <w:pPr>
              <w:rPr>
                <w:rFonts w:ascii="Arial" w:hAnsi="Arial" w:cs="Arial"/>
                <w:sz w:val="20"/>
                <w:szCs w:val="20"/>
              </w:rPr>
            </w:pPr>
          </w:p>
        </w:tc>
        <w:tc>
          <w:tcPr>
            <w:tcW w:w="481" w:type="pct"/>
          </w:tcPr>
          <w:p w14:paraId="7E716AB4" w14:textId="42620D7D" w:rsidR="004C646F" w:rsidRPr="0002762F" w:rsidRDefault="004C646F" w:rsidP="00371BF5">
            <w:pPr>
              <w:rPr>
                <w:rFonts w:ascii="Arial" w:hAnsi="Arial" w:cs="Arial"/>
                <w:sz w:val="20"/>
                <w:szCs w:val="20"/>
              </w:rPr>
            </w:pPr>
          </w:p>
        </w:tc>
        <w:tc>
          <w:tcPr>
            <w:tcW w:w="482" w:type="pct"/>
          </w:tcPr>
          <w:p w14:paraId="082FD99C" w14:textId="1318DBC4" w:rsidR="004C646F" w:rsidRDefault="004C646F" w:rsidP="00371BF5">
            <w:pPr>
              <w:rPr>
                <w:rFonts w:ascii="Arial" w:hAnsi="Arial" w:cs="Arial"/>
                <w:b/>
                <w:bCs/>
                <w:color w:val="000000"/>
                <w:sz w:val="20"/>
                <w:szCs w:val="20"/>
              </w:rPr>
            </w:pPr>
            <w:proofErr w:type="spellStart"/>
            <w:r>
              <w:rPr>
                <w:rFonts w:ascii="Arial" w:hAnsi="Arial" w:cs="Arial"/>
                <w:b/>
                <w:bCs/>
                <w:color w:val="000000"/>
                <w:sz w:val="20"/>
                <w:szCs w:val="20"/>
              </w:rPr>
              <w:t>LoE</w:t>
            </w:r>
            <w:proofErr w:type="spellEnd"/>
            <w:r>
              <w:rPr>
                <w:rFonts w:ascii="Arial" w:hAnsi="Arial" w:cs="Arial"/>
                <w:b/>
                <w:bCs/>
                <w:color w:val="000000"/>
                <w:sz w:val="20"/>
                <w:szCs w:val="20"/>
              </w:rPr>
              <w:t xml:space="preserve"> 3</w:t>
            </w:r>
          </w:p>
          <w:p w14:paraId="7D3B6700" w14:textId="6111E6A2" w:rsidR="004C646F" w:rsidRPr="0002762F" w:rsidRDefault="004C646F" w:rsidP="00371BF5">
            <w:pPr>
              <w:rPr>
                <w:rFonts w:ascii="Arial" w:hAnsi="Arial" w:cs="Arial"/>
                <w:b/>
                <w:bCs/>
                <w:color w:val="000000"/>
                <w:sz w:val="20"/>
                <w:szCs w:val="20"/>
              </w:rPr>
            </w:pPr>
            <w:r>
              <w:rPr>
                <w:rFonts w:ascii="Arial" w:hAnsi="Arial" w:cs="Arial"/>
                <w:b/>
                <w:bCs/>
                <w:color w:val="000000"/>
                <w:sz w:val="20"/>
                <w:szCs w:val="20"/>
              </w:rPr>
              <w:t xml:space="preserve">GR </w:t>
            </w:r>
            <w:r w:rsidRPr="0002762F">
              <w:rPr>
                <w:rFonts w:ascii="Arial" w:hAnsi="Arial" w:cs="Arial"/>
                <w:b/>
                <w:bCs/>
                <w:color w:val="000000"/>
                <w:sz w:val="20"/>
                <w:szCs w:val="20"/>
              </w:rPr>
              <w:t>C</w:t>
            </w:r>
            <w:r w:rsidRPr="0002762F">
              <w:rPr>
                <w:rFonts w:ascii="Arial" w:hAnsi="Arial" w:cs="Arial"/>
                <w:b/>
                <w:bCs/>
                <w:color w:val="000000"/>
                <w:sz w:val="20"/>
                <w:szCs w:val="20"/>
              </w:rPr>
              <w:br/>
            </w:r>
          </w:p>
        </w:tc>
        <w:tc>
          <w:tcPr>
            <w:tcW w:w="481" w:type="pct"/>
          </w:tcPr>
          <w:p w14:paraId="6AEB6954" w14:textId="77777777" w:rsidR="004C646F" w:rsidRPr="0002762F" w:rsidRDefault="004C646F" w:rsidP="00371BF5">
            <w:pPr>
              <w:rPr>
                <w:rFonts w:ascii="Arial" w:hAnsi="Arial" w:cs="Arial"/>
                <w:sz w:val="20"/>
                <w:szCs w:val="20"/>
              </w:rPr>
            </w:pPr>
          </w:p>
        </w:tc>
        <w:tc>
          <w:tcPr>
            <w:tcW w:w="482" w:type="pct"/>
          </w:tcPr>
          <w:p w14:paraId="51C28540" w14:textId="77777777" w:rsidR="004C646F" w:rsidRPr="0002762F" w:rsidRDefault="004C646F" w:rsidP="00371BF5">
            <w:pPr>
              <w:rPr>
                <w:rFonts w:ascii="Arial" w:hAnsi="Arial" w:cs="Arial"/>
                <w:sz w:val="20"/>
                <w:szCs w:val="20"/>
              </w:rPr>
            </w:pPr>
          </w:p>
        </w:tc>
        <w:tc>
          <w:tcPr>
            <w:tcW w:w="504" w:type="pct"/>
          </w:tcPr>
          <w:p w14:paraId="5B012F7E" w14:textId="77777777" w:rsidR="004C646F" w:rsidRPr="0002762F" w:rsidRDefault="004C646F" w:rsidP="00371BF5">
            <w:pPr>
              <w:rPr>
                <w:rFonts w:ascii="Arial" w:hAnsi="Arial" w:cs="Arial"/>
                <w:sz w:val="20"/>
                <w:szCs w:val="20"/>
              </w:rPr>
            </w:pPr>
          </w:p>
        </w:tc>
      </w:tr>
      <w:tr w:rsidR="004C646F" w:rsidRPr="0002762F" w14:paraId="4A167C1F" w14:textId="5787D31B" w:rsidTr="004C646F">
        <w:tc>
          <w:tcPr>
            <w:tcW w:w="2089" w:type="pct"/>
          </w:tcPr>
          <w:p w14:paraId="4BF1DA6D" w14:textId="77777777" w:rsidR="004C646F" w:rsidRPr="0002762F" w:rsidRDefault="004C646F" w:rsidP="00371BF5">
            <w:pPr>
              <w:rPr>
                <w:rFonts w:ascii="Arial" w:hAnsi="Arial" w:cs="Arial"/>
                <w:sz w:val="20"/>
                <w:szCs w:val="20"/>
              </w:rPr>
            </w:pPr>
            <w:r w:rsidRPr="0002762F">
              <w:rPr>
                <w:rFonts w:ascii="Arial" w:hAnsi="Arial" w:cs="Arial"/>
                <w:sz w:val="20"/>
                <w:szCs w:val="20"/>
              </w:rPr>
              <w:t>Offer hydroxyzine for the treatment of BPS.</w:t>
            </w:r>
          </w:p>
        </w:tc>
        <w:tc>
          <w:tcPr>
            <w:tcW w:w="480" w:type="pct"/>
          </w:tcPr>
          <w:p w14:paraId="1315DDB8" w14:textId="6E26A64F" w:rsidR="004C646F" w:rsidRPr="0002762F" w:rsidRDefault="004C646F" w:rsidP="00371BF5">
            <w:pPr>
              <w:rPr>
                <w:rFonts w:ascii="Arial" w:hAnsi="Arial" w:cs="Arial"/>
                <w:sz w:val="20"/>
                <w:szCs w:val="20"/>
              </w:rPr>
            </w:pPr>
          </w:p>
        </w:tc>
        <w:tc>
          <w:tcPr>
            <w:tcW w:w="481" w:type="pct"/>
          </w:tcPr>
          <w:p w14:paraId="185559A6" w14:textId="5ACA045A" w:rsidR="004C646F" w:rsidRPr="0002762F" w:rsidRDefault="004C646F" w:rsidP="00371BF5">
            <w:pPr>
              <w:rPr>
                <w:rFonts w:ascii="Arial" w:hAnsi="Arial" w:cs="Arial"/>
                <w:sz w:val="20"/>
                <w:szCs w:val="20"/>
              </w:rPr>
            </w:pPr>
          </w:p>
        </w:tc>
        <w:tc>
          <w:tcPr>
            <w:tcW w:w="482" w:type="pct"/>
          </w:tcPr>
          <w:p w14:paraId="24E9D598" w14:textId="3BB3A474" w:rsidR="004C646F" w:rsidRDefault="004C646F" w:rsidP="00371BF5">
            <w:pPr>
              <w:rPr>
                <w:rFonts w:ascii="Arial" w:hAnsi="Arial" w:cs="Arial"/>
                <w:b/>
                <w:bCs/>
                <w:color w:val="000000"/>
                <w:sz w:val="20"/>
                <w:szCs w:val="20"/>
              </w:rPr>
            </w:pPr>
            <w:proofErr w:type="spellStart"/>
            <w:r>
              <w:rPr>
                <w:rFonts w:ascii="Arial" w:hAnsi="Arial" w:cs="Arial"/>
                <w:b/>
                <w:bCs/>
                <w:color w:val="000000"/>
                <w:sz w:val="20"/>
                <w:szCs w:val="20"/>
              </w:rPr>
              <w:t>LoE</w:t>
            </w:r>
            <w:proofErr w:type="spellEnd"/>
            <w:r>
              <w:rPr>
                <w:rFonts w:ascii="Arial" w:hAnsi="Arial" w:cs="Arial"/>
                <w:b/>
                <w:bCs/>
                <w:color w:val="000000"/>
                <w:sz w:val="20"/>
                <w:szCs w:val="20"/>
              </w:rPr>
              <w:t xml:space="preserve"> 1b</w:t>
            </w:r>
          </w:p>
          <w:p w14:paraId="1D5CE4D0" w14:textId="408435A0" w:rsidR="004C646F" w:rsidRPr="0002762F" w:rsidRDefault="004C646F" w:rsidP="00371BF5">
            <w:pPr>
              <w:rPr>
                <w:rFonts w:ascii="Arial" w:hAnsi="Arial" w:cs="Arial"/>
                <w:b/>
                <w:bCs/>
                <w:color w:val="000000"/>
                <w:sz w:val="20"/>
                <w:szCs w:val="20"/>
              </w:rPr>
            </w:pPr>
            <w:r>
              <w:rPr>
                <w:rFonts w:ascii="Arial" w:hAnsi="Arial" w:cs="Arial"/>
                <w:b/>
                <w:bCs/>
                <w:color w:val="000000"/>
                <w:sz w:val="20"/>
                <w:szCs w:val="20"/>
              </w:rPr>
              <w:t xml:space="preserve">GR </w:t>
            </w:r>
            <w:r w:rsidRPr="0002762F">
              <w:rPr>
                <w:rFonts w:ascii="Arial" w:hAnsi="Arial" w:cs="Arial"/>
                <w:b/>
                <w:bCs/>
                <w:color w:val="000000"/>
                <w:sz w:val="20"/>
                <w:szCs w:val="20"/>
              </w:rPr>
              <w:t>A</w:t>
            </w:r>
          </w:p>
          <w:p w14:paraId="0FC2B930" w14:textId="77777777" w:rsidR="004C646F" w:rsidRPr="0002762F" w:rsidRDefault="004C646F" w:rsidP="00371BF5">
            <w:pPr>
              <w:rPr>
                <w:rFonts w:ascii="Arial" w:hAnsi="Arial" w:cs="Arial"/>
                <w:sz w:val="20"/>
                <w:szCs w:val="20"/>
              </w:rPr>
            </w:pPr>
          </w:p>
        </w:tc>
        <w:tc>
          <w:tcPr>
            <w:tcW w:w="481" w:type="pct"/>
          </w:tcPr>
          <w:p w14:paraId="3C470DB3" w14:textId="77777777" w:rsidR="004C646F" w:rsidRPr="0002762F" w:rsidRDefault="004C646F" w:rsidP="00371BF5">
            <w:pPr>
              <w:rPr>
                <w:rFonts w:ascii="Arial" w:hAnsi="Arial" w:cs="Arial"/>
                <w:sz w:val="20"/>
                <w:szCs w:val="20"/>
              </w:rPr>
            </w:pPr>
          </w:p>
        </w:tc>
        <w:tc>
          <w:tcPr>
            <w:tcW w:w="482" w:type="pct"/>
          </w:tcPr>
          <w:p w14:paraId="588A3B6C" w14:textId="77777777" w:rsidR="004C646F" w:rsidRPr="0002762F" w:rsidRDefault="004C646F" w:rsidP="00371BF5">
            <w:pPr>
              <w:rPr>
                <w:rFonts w:ascii="Arial" w:hAnsi="Arial" w:cs="Arial"/>
                <w:sz w:val="20"/>
                <w:szCs w:val="20"/>
              </w:rPr>
            </w:pPr>
          </w:p>
        </w:tc>
        <w:tc>
          <w:tcPr>
            <w:tcW w:w="504" w:type="pct"/>
          </w:tcPr>
          <w:p w14:paraId="10BAA6F3" w14:textId="77777777" w:rsidR="004C646F" w:rsidRPr="0002762F" w:rsidRDefault="004C646F" w:rsidP="00371BF5">
            <w:pPr>
              <w:rPr>
                <w:rFonts w:ascii="Arial" w:hAnsi="Arial" w:cs="Arial"/>
                <w:sz w:val="20"/>
                <w:szCs w:val="20"/>
              </w:rPr>
            </w:pPr>
          </w:p>
        </w:tc>
      </w:tr>
      <w:tr w:rsidR="004C646F" w:rsidRPr="0002762F" w14:paraId="34D05FA0" w14:textId="63A38095" w:rsidTr="004C646F">
        <w:tc>
          <w:tcPr>
            <w:tcW w:w="2089" w:type="pct"/>
          </w:tcPr>
          <w:p w14:paraId="502630E3" w14:textId="77777777" w:rsidR="004C646F" w:rsidRPr="0002762F" w:rsidRDefault="004C646F" w:rsidP="00371BF5">
            <w:pPr>
              <w:rPr>
                <w:rFonts w:ascii="Arial" w:hAnsi="Arial" w:cs="Arial"/>
                <w:sz w:val="20"/>
                <w:szCs w:val="20"/>
              </w:rPr>
            </w:pPr>
            <w:r w:rsidRPr="0002762F">
              <w:rPr>
                <w:rFonts w:ascii="Arial" w:hAnsi="Arial" w:cs="Arial"/>
                <w:sz w:val="20"/>
                <w:szCs w:val="20"/>
              </w:rPr>
              <w:t>Consider cimetidine as a valid oral option before invasive treatments for BPS</w:t>
            </w:r>
          </w:p>
        </w:tc>
        <w:tc>
          <w:tcPr>
            <w:tcW w:w="480" w:type="pct"/>
          </w:tcPr>
          <w:p w14:paraId="78189B72" w14:textId="01C2C4F6" w:rsidR="004C646F" w:rsidRPr="0002762F" w:rsidRDefault="004C646F" w:rsidP="00371BF5">
            <w:pPr>
              <w:rPr>
                <w:rFonts w:ascii="Arial" w:hAnsi="Arial" w:cs="Arial"/>
                <w:sz w:val="20"/>
                <w:szCs w:val="20"/>
              </w:rPr>
            </w:pPr>
          </w:p>
        </w:tc>
        <w:tc>
          <w:tcPr>
            <w:tcW w:w="481" w:type="pct"/>
          </w:tcPr>
          <w:p w14:paraId="642E56EB" w14:textId="48E79A55" w:rsidR="004C646F" w:rsidRPr="0002762F" w:rsidRDefault="004C646F" w:rsidP="00371BF5">
            <w:pPr>
              <w:rPr>
                <w:rFonts w:ascii="Arial" w:hAnsi="Arial" w:cs="Arial"/>
                <w:sz w:val="20"/>
                <w:szCs w:val="20"/>
              </w:rPr>
            </w:pPr>
          </w:p>
        </w:tc>
        <w:tc>
          <w:tcPr>
            <w:tcW w:w="482" w:type="pct"/>
          </w:tcPr>
          <w:p w14:paraId="2F56EC0E" w14:textId="75B8BD18" w:rsidR="004C646F" w:rsidRDefault="004C646F" w:rsidP="00371BF5">
            <w:pPr>
              <w:rPr>
                <w:rFonts w:ascii="Arial" w:hAnsi="Arial" w:cs="Arial"/>
                <w:b/>
                <w:bCs/>
                <w:color w:val="000000"/>
                <w:sz w:val="20"/>
                <w:szCs w:val="20"/>
              </w:rPr>
            </w:pPr>
            <w:proofErr w:type="spellStart"/>
            <w:r>
              <w:rPr>
                <w:rFonts w:ascii="Arial" w:hAnsi="Arial" w:cs="Arial"/>
                <w:b/>
                <w:bCs/>
                <w:color w:val="000000"/>
                <w:sz w:val="20"/>
                <w:szCs w:val="20"/>
              </w:rPr>
              <w:t>LoE</w:t>
            </w:r>
            <w:proofErr w:type="spellEnd"/>
            <w:r>
              <w:rPr>
                <w:rFonts w:ascii="Arial" w:hAnsi="Arial" w:cs="Arial"/>
                <w:b/>
                <w:bCs/>
                <w:color w:val="000000"/>
                <w:sz w:val="20"/>
                <w:szCs w:val="20"/>
              </w:rPr>
              <w:t xml:space="preserve"> 2b</w:t>
            </w:r>
          </w:p>
          <w:p w14:paraId="29D32F8B" w14:textId="79A7F4C6" w:rsidR="004C646F" w:rsidRPr="0002762F" w:rsidRDefault="004C646F" w:rsidP="003E4627">
            <w:pPr>
              <w:rPr>
                <w:rFonts w:ascii="Arial" w:hAnsi="Arial" w:cs="Arial"/>
                <w:b/>
                <w:bCs/>
                <w:color w:val="000000"/>
                <w:sz w:val="20"/>
                <w:szCs w:val="20"/>
              </w:rPr>
            </w:pPr>
            <w:r>
              <w:rPr>
                <w:rFonts w:ascii="Arial" w:hAnsi="Arial" w:cs="Arial"/>
                <w:b/>
                <w:bCs/>
                <w:color w:val="000000"/>
                <w:sz w:val="20"/>
                <w:szCs w:val="20"/>
              </w:rPr>
              <w:t xml:space="preserve">GR </w:t>
            </w:r>
            <w:r w:rsidRPr="0002762F">
              <w:rPr>
                <w:rFonts w:ascii="Arial" w:hAnsi="Arial" w:cs="Arial"/>
                <w:b/>
                <w:bCs/>
                <w:color w:val="000000"/>
                <w:sz w:val="20"/>
                <w:szCs w:val="20"/>
              </w:rPr>
              <w:t>B</w:t>
            </w:r>
            <w:r w:rsidRPr="0002762F">
              <w:rPr>
                <w:rFonts w:ascii="Arial" w:hAnsi="Arial" w:cs="Arial"/>
                <w:b/>
                <w:bCs/>
                <w:color w:val="000000"/>
                <w:sz w:val="20"/>
                <w:szCs w:val="20"/>
              </w:rPr>
              <w:br/>
            </w:r>
          </w:p>
        </w:tc>
        <w:tc>
          <w:tcPr>
            <w:tcW w:w="481" w:type="pct"/>
          </w:tcPr>
          <w:p w14:paraId="25D3BA72" w14:textId="77777777" w:rsidR="004C646F" w:rsidRPr="0002762F" w:rsidRDefault="004C646F" w:rsidP="00371BF5">
            <w:pPr>
              <w:rPr>
                <w:rFonts w:ascii="Arial" w:hAnsi="Arial" w:cs="Arial"/>
                <w:sz w:val="20"/>
                <w:szCs w:val="20"/>
              </w:rPr>
            </w:pPr>
          </w:p>
        </w:tc>
        <w:tc>
          <w:tcPr>
            <w:tcW w:w="482" w:type="pct"/>
          </w:tcPr>
          <w:p w14:paraId="2AAFC975" w14:textId="77777777" w:rsidR="004C646F" w:rsidRPr="0002762F" w:rsidRDefault="004C646F" w:rsidP="00371BF5">
            <w:pPr>
              <w:rPr>
                <w:rFonts w:ascii="Arial" w:hAnsi="Arial" w:cs="Arial"/>
                <w:sz w:val="20"/>
                <w:szCs w:val="20"/>
              </w:rPr>
            </w:pPr>
          </w:p>
        </w:tc>
        <w:tc>
          <w:tcPr>
            <w:tcW w:w="504" w:type="pct"/>
          </w:tcPr>
          <w:p w14:paraId="1288B8D6" w14:textId="77777777" w:rsidR="004C646F" w:rsidRPr="0002762F" w:rsidRDefault="004C646F" w:rsidP="00371BF5">
            <w:pPr>
              <w:rPr>
                <w:rFonts w:ascii="Arial" w:hAnsi="Arial" w:cs="Arial"/>
                <w:sz w:val="20"/>
                <w:szCs w:val="20"/>
              </w:rPr>
            </w:pPr>
          </w:p>
        </w:tc>
      </w:tr>
      <w:tr w:rsidR="004C646F" w:rsidRPr="0002762F" w14:paraId="2426A398" w14:textId="2227A204" w:rsidTr="004C646F">
        <w:tc>
          <w:tcPr>
            <w:tcW w:w="2089" w:type="pct"/>
          </w:tcPr>
          <w:p w14:paraId="1E150E3B" w14:textId="77777777" w:rsidR="004C646F" w:rsidRPr="0002762F" w:rsidRDefault="004C646F" w:rsidP="00371BF5">
            <w:pPr>
              <w:rPr>
                <w:rFonts w:ascii="Arial" w:hAnsi="Arial" w:cs="Arial"/>
                <w:color w:val="000000"/>
                <w:sz w:val="20"/>
                <w:szCs w:val="20"/>
              </w:rPr>
            </w:pPr>
            <w:r w:rsidRPr="0002762F">
              <w:rPr>
                <w:rFonts w:ascii="Arial" w:hAnsi="Arial" w:cs="Arial"/>
                <w:color w:val="000000"/>
                <w:sz w:val="20"/>
                <w:szCs w:val="20"/>
              </w:rPr>
              <w:t>Administer amitriptyline for use in BPS</w:t>
            </w:r>
          </w:p>
          <w:p w14:paraId="28CFBB70" w14:textId="77777777" w:rsidR="004C646F" w:rsidRPr="0002762F" w:rsidRDefault="004C646F" w:rsidP="00371BF5">
            <w:pPr>
              <w:rPr>
                <w:rFonts w:ascii="Arial" w:hAnsi="Arial" w:cs="Arial"/>
                <w:b/>
                <w:bCs/>
                <w:sz w:val="20"/>
                <w:szCs w:val="20"/>
              </w:rPr>
            </w:pPr>
          </w:p>
        </w:tc>
        <w:tc>
          <w:tcPr>
            <w:tcW w:w="480" w:type="pct"/>
          </w:tcPr>
          <w:p w14:paraId="08132603" w14:textId="4195B3FA" w:rsidR="004C646F" w:rsidRPr="0002762F" w:rsidRDefault="004C646F" w:rsidP="00371BF5">
            <w:pPr>
              <w:rPr>
                <w:rFonts w:ascii="Arial" w:hAnsi="Arial" w:cs="Arial"/>
                <w:sz w:val="20"/>
                <w:szCs w:val="20"/>
              </w:rPr>
            </w:pPr>
          </w:p>
        </w:tc>
        <w:tc>
          <w:tcPr>
            <w:tcW w:w="481" w:type="pct"/>
          </w:tcPr>
          <w:p w14:paraId="44566E89" w14:textId="63106C2F" w:rsidR="004C646F" w:rsidRPr="0002762F" w:rsidRDefault="004C646F" w:rsidP="00371BF5">
            <w:pPr>
              <w:rPr>
                <w:rFonts w:ascii="Arial" w:hAnsi="Arial" w:cs="Arial"/>
                <w:sz w:val="20"/>
                <w:szCs w:val="20"/>
              </w:rPr>
            </w:pPr>
          </w:p>
        </w:tc>
        <w:tc>
          <w:tcPr>
            <w:tcW w:w="482" w:type="pct"/>
          </w:tcPr>
          <w:p w14:paraId="3F453908" w14:textId="097BFA1B" w:rsidR="004C646F" w:rsidRDefault="004C646F" w:rsidP="00371BF5">
            <w:pPr>
              <w:rPr>
                <w:rFonts w:ascii="Arial" w:hAnsi="Arial" w:cs="Arial"/>
                <w:b/>
                <w:bCs/>
                <w:color w:val="000000"/>
                <w:sz w:val="20"/>
                <w:szCs w:val="20"/>
              </w:rPr>
            </w:pPr>
            <w:proofErr w:type="spellStart"/>
            <w:r>
              <w:rPr>
                <w:rFonts w:ascii="Arial" w:hAnsi="Arial" w:cs="Arial"/>
                <w:b/>
                <w:bCs/>
                <w:color w:val="000000"/>
                <w:sz w:val="20"/>
                <w:szCs w:val="20"/>
              </w:rPr>
              <w:t>LoE</w:t>
            </w:r>
            <w:proofErr w:type="spellEnd"/>
            <w:r>
              <w:rPr>
                <w:rFonts w:ascii="Arial" w:hAnsi="Arial" w:cs="Arial"/>
                <w:b/>
                <w:bCs/>
                <w:color w:val="000000"/>
                <w:sz w:val="20"/>
                <w:szCs w:val="20"/>
              </w:rPr>
              <w:t xml:space="preserve"> 1b</w:t>
            </w:r>
          </w:p>
          <w:p w14:paraId="42DB561C" w14:textId="7651E2D8" w:rsidR="004C646F" w:rsidRPr="0002762F" w:rsidRDefault="004C646F" w:rsidP="00371BF5">
            <w:pPr>
              <w:rPr>
                <w:rFonts w:ascii="Arial" w:hAnsi="Arial" w:cs="Arial"/>
                <w:b/>
                <w:bCs/>
                <w:color w:val="000000"/>
                <w:sz w:val="20"/>
                <w:szCs w:val="20"/>
              </w:rPr>
            </w:pPr>
            <w:r>
              <w:rPr>
                <w:rFonts w:ascii="Arial" w:hAnsi="Arial" w:cs="Arial"/>
                <w:b/>
                <w:bCs/>
                <w:color w:val="000000"/>
                <w:sz w:val="20"/>
                <w:szCs w:val="20"/>
              </w:rPr>
              <w:t xml:space="preserve">GR </w:t>
            </w:r>
            <w:r w:rsidRPr="0002762F">
              <w:rPr>
                <w:rFonts w:ascii="Arial" w:hAnsi="Arial" w:cs="Arial"/>
                <w:b/>
                <w:bCs/>
                <w:color w:val="000000"/>
                <w:sz w:val="20"/>
                <w:szCs w:val="20"/>
              </w:rPr>
              <w:t>A</w:t>
            </w:r>
          </w:p>
          <w:p w14:paraId="0F9E3C8C" w14:textId="77777777" w:rsidR="004C646F" w:rsidRPr="0002762F" w:rsidRDefault="004C646F" w:rsidP="003E4627">
            <w:pPr>
              <w:rPr>
                <w:rFonts w:ascii="Arial" w:hAnsi="Arial" w:cs="Arial"/>
                <w:b/>
                <w:bCs/>
                <w:color w:val="000000"/>
                <w:sz w:val="20"/>
                <w:szCs w:val="20"/>
              </w:rPr>
            </w:pPr>
          </w:p>
        </w:tc>
        <w:tc>
          <w:tcPr>
            <w:tcW w:w="481" w:type="pct"/>
          </w:tcPr>
          <w:p w14:paraId="44858DAB" w14:textId="77777777" w:rsidR="004C646F" w:rsidRPr="0002762F" w:rsidRDefault="004C646F" w:rsidP="00371BF5">
            <w:pPr>
              <w:rPr>
                <w:rFonts w:ascii="Arial" w:hAnsi="Arial" w:cs="Arial"/>
                <w:sz w:val="20"/>
                <w:szCs w:val="20"/>
              </w:rPr>
            </w:pPr>
          </w:p>
        </w:tc>
        <w:tc>
          <w:tcPr>
            <w:tcW w:w="482" w:type="pct"/>
          </w:tcPr>
          <w:p w14:paraId="4513D030" w14:textId="77777777" w:rsidR="004C646F" w:rsidRPr="0002762F" w:rsidRDefault="004C646F" w:rsidP="00371BF5">
            <w:pPr>
              <w:rPr>
                <w:rFonts w:ascii="Arial" w:hAnsi="Arial" w:cs="Arial"/>
                <w:sz w:val="20"/>
                <w:szCs w:val="20"/>
              </w:rPr>
            </w:pPr>
          </w:p>
        </w:tc>
        <w:tc>
          <w:tcPr>
            <w:tcW w:w="504" w:type="pct"/>
          </w:tcPr>
          <w:p w14:paraId="657F36BD" w14:textId="77777777" w:rsidR="004C646F" w:rsidRPr="0002762F" w:rsidRDefault="004C646F" w:rsidP="00371BF5">
            <w:pPr>
              <w:rPr>
                <w:rFonts w:ascii="Arial" w:hAnsi="Arial" w:cs="Arial"/>
                <w:sz w:val="20"/>
                <w:szCs w:val="20"/>
              </w:rPr>
            </w:pPr>
          </w:p>
        </w:tc>
      </w:tr>
      <w:tr w:rsidR="004C646F" w:rsidRPr="0002762F" w14:paraId="59157D73" w14:textId="5C63CED8" w:rsidTr="004C646F">
        <w:tc>
          <w:tcPr>
            <w:tcW w:w="2089" w:type="pct"/>
          </w:tcPr>
          <w:p w14:paraId="4648CC7C" w14:textId="77777777" w:rsidR="004C646F" w:rsidRPr="0002762F" w:rsidRDefault="004C646F" w:rsidP="00371BF5">
            <w:pPr>
              <w:rPr>
                <w:rFonts w:ascii="Arial" w:hAnsi="Arial" w:cs="Arial"/>
                <w:sz w:val="20"/>
                <w:szCs w:val="20"/>
              </w:rPr>
            </w:pPr>
            <w:r w:rsidRPr="0002762F">
              <w:rPr>
                <w:rFonts w:ascii="Arial" w:hAnsi="Arial" w:cs="Arial"/>
                <w:sz w:val="20"/>
                <w:szCs w:val="20"/>
              </w:rPr>
              <w:t xml:space="preserve">Offer oral </w:t>
            </w:r>
            <w:proofErr w:type="spellStart"/>
            <w:r w:rsidRPr="0002762F">
              <w:rPr>
                <w:rFonts w:ascii="Arial" w:hAnsi="Arial" w:cs="Arial"/>
                <w:sz w:val="20"/>
                <w:szCs w:val="20"/>
              </w:rPr>
              <w:t>pentosanpolysulphate</w:t>
            </w:r>
            <w:proofErr w:type="spellEnd"/>
            <w:r w:rsidRPr="0002762F">
              <w:rPr>
                <w:rFonts w:ascii="Arial" w:hAnsi="Arial" w:cs="Arial"/>
                <w:sz w:val="20"/>
                <w:szCs w:val="20"/>
              </w:rPr>
              <w:t xml:space="preserve"> sodium for the treatment of BPS.</w:t>
            </w:r>
          </w:p>
        </w:tc>
        <w:tc>
          <w:tcPr>
            <w:tcW w:w="480" w:type="pct"/>
          </w:tcPr>
          <w:p w14:paraId="3770472B" w14:textId="05E97577" w:rsidR="004C646F" w:rsidRPr="0002762F" w:rsidRDefault="004C646F" w:rsidP="00371BF5">
            <w:pPr>
              <w:rPr>
                <w:rFonts w:ascii="Arial" w:hAnsi="Arial" w:cs="Arial"/>
                <w:sz w:val="20"/>
                <w:szCs w:val="20"/>
              </w:rPr>
            </w:pPr>
          </w:p>
        </w:tc>
        <w:tc>
          <w:tcPr>
            <w:tcW w:w="481" w:type="pct"/>
          </w:tcPr>
          <w:p w14:paraId="71D9827E" w14:textId="61A5F9E2" w:rsidR="004C646F" w:rsidRPr="0002762F" w:rsidRDefault="004C646F" w:rsidP="00371BF5">
            <w:pPr>
              <w:rPr>
                <w:rFonts w:ascii="Arial" w:hAnsi="Arial" w:cs="Arial"/>
                <w:sz w:val="20"/>
                <w:szCs w:val="20"/>
              </w:rPr>
            </w:pPr>
          </w:p>
        </w:tc>
        <w:tc>
          <w:tcPr>
            <w:tcW w:w="482" w:type="pct"/>
          </w:tcPr>
          <w:p w14:paraId="515B7203" w14:textId="4B3B4272" w:rsidR="004C646F" w:rsidRDefault="004C646F" w:rsidP="00371BF5">
            <w:pPr>
              <w:rPr>
                <w:rFonts w:ascii="Arial" w:hAnsi="Arial" w:cs="Arial"/>
                <w:b/>
                <w:bCs/>
                <w:color w:val="000000"/>
                <w:sz w:val="20"/>
                <w:szCs w:val="20"/>
              </w:rPr>
            </w:pPr>
            <w:proofErr w:type="spellStart"/>
            <w:r>
              <w:rPr>
                <w:rFonts w:ascii="Arial" w:hAnsi="Arial" w:cs="Arial"/>
                <w:b/>
                <w:bCs/>
                <w:color w:val="000000"/>
                <w:sz w:val="20"/>
                <w:szCs w:val="20"/>
              </w:rPr>
              <w:t>LoE</w:t>
            </w:r>
            <w:proofErr w:type="spellEnd"/>
            <w:r>
              <w:rPr>
                <w:rFonts w:ascii="Arial" w:hAnsi="Arial" w:cs="Arial"/>
                <w:b/>
                <w:bCs/>
                <w:color w:val="000000"/>
                <w:sz w:val="20"/>
                <w:szCs w:val="20"/>
              </w:rPr>
              <w:t xml:space="preserve"> 1a</w:t>
            </w:r>
          </w:p>
          <w:p w14:paraId="4070069F" w14:textId="3A7ABA7F" w:rsidR="004C646F" w:rsidRPr="0002762F" w:rsidRDefault="004C646F" w:rsidP="00371BF5">
            <w:pPr>
              <w:rPr>
                <w:rFonts w:ascii="Arial" w:hAnsi="Arial" w:cs="Arial"/>
                <w:b/>
                <w:bCs/>
                <w:color w:val="000000"/>
                <w:sz w:val="20"/>
                <w:szCs w:val="20"/>
              </w:rPr>
            </w:pPr>
            <w:r>
              <w:rPr>
                <w:rFonts w:ascii="Arial" w:hAnsi="Arial" w:cs="Arial"/>
                <w:b/>
                <w:bCs/>
                <w:color w:val="000000"/>
                <w:sz w:val="20"/>
                <w:szCs w:val="20"/>
              </w:rPr>
              <w:t xml:space="preserve">GR </w:t>
            </w:r>
            <w:r w:rsidRPr="0002762F">
              <w:rPr>
                <w:rFonts w:ascii="Arial" w:hAnsi="Arial" w:cs="Arial"/>
                <w:b/>
                <w:bCs/>
                <w:color w:val="000000"/>
                <w:sz w:val="20"/>
                <w:szCs w:val="20"/>
              </w:rPr>
              <w:t>A</w:t>
            </w:r>
          </w:p>
          <w:p w14:paraId="2FA9F311" w14:textId="77777777" w:rsidR="004C646F" w:rsidRPr="0002762F" w:rsidRDefault="004C646F" w:rsidP="003E4627">
            <w:pPr>
              <w:rPr>
                <w:rFonts w:ascii="Arial" w:hAnsi="Arial" w:cs="Arial"/>
                <w:b/>
                <w:bCs/>
                <w:color w:val="000000"/>
                <w:sz w:val="20"/>
                <w:szCs w:val="20"/>
              </w:rPr>
            </w:pPr>
          </w:p>
        </w:tc>
        <w:tc>
          <w:tcPr>
            <w:tcW w:w="481" w:type="pct"/>
          </w:tcPr>
          <w:p w14:paraId="25DEA17A" w14:textId="77777777" w:rsidR="004C646F" w:rsidRPr="0002762F" w:rsidRDefault="004C646F" w:rsidP="00371BF5">
            <w:pPr>
              <w:rPr>
                <w:rFonts w:ascii="Arial" w:hAnsi="Arial" w:cs="Arial"/>
                <w:sz w:val="20"/>
                <w:szCs w:val="20"/>
              </w:rPr>
            </w:pPr>
          </w:p>
        </w:tc>
        <w:tc>
          <w:tcPr>
            <w:tcW w:w="482" w:type="pct"/>
          </w:tcPr>
          <w:p w14:paraId="4B06A5DA" w14:textId="77777777" w:rsidR="004C646F" w:rsidRPr="0002762F" w:rsidRDefault="004C646F" w:rsidP="00371BF5">
            <w:pPr>
              <w:rPr>
                <w:rFonts w:ascii="Arial" w:hAnsi="Arial" w:cs="Arial"/>
                <w:sz w:val="20"/>
                <w:szCs w:val="20"/>
              </w:rPr>
            </w:pPr>
          </w:p>
        </w:tc>
        <w:tc>
          <w:tcPr>
            <w:tcW w:w="504" w:type="pct"/>
          </w:tcPr>
          <w:p w14:paraId="7C031AAB" w14:textId="77777777" w:rsidR="004C646F" w:rsidRPr="0002762F" w:rsidRDefault="004C646F" w:rsidP="00371BF5">
            <w:pPr>
              <w:rPr>
                <w:rFonts w:ascii="Arial" w:hAnsi="Arial" w:cs="Arial"/>
                <w:sz w:val="20"/>
                <w:szCs w:val="20"/>
              </w:rPr>
            </w:pPr>
          </w:p>
        </w:tc>
      </w:tr>
      <w:tr w:rsidR="004C646F" w:rsidRPr="0002762F" w14:paraId="56B3A86B" w14:textId="1E230909" w:rsidTr="004C646F">
        <w:tc>
          <w:tcPr>
            <w:tcW w:w="2089" w:type="pct"/>
          </w:tcPr>
          <w:p w14:paraId="02C4D21F" w14:textId="77777777" w:rsidR="004C646F" w:rsidRPr="0002762F" w:rsidRDefault="004C646F" w:rsidP="00371BF5">
            <w:pPr>
              <w:rPr>
                <w:rFonts w:ascii="Arial" w:hAnsi="Arial" w:cs="Arial"/>
                <w:sz w:val="20"/>
                <w:szCs w:val="20"/>
              </w:rPr>
            </w:pPr>
            <w:r w:rsidRPr="0002762F">
              <w:rPr>
                <w:rFonts w:ascii="Arial" w:hAnsi="Arial" w:cs="Arial"/>
                <w:sz w:val="20"/>
                <w:szCs w:val="20"/>
              </w:rPr>
              <w:t xml:space="preserve">Treatment with oral </w:t>
            </w:r>
            <w:proofErr w:type="spellStart"/>
            <w:r w:rsidRPr="0002762F">
              <w:rPr>
                <w:rFonts w:ascii="Arial" w:hAnsi="Arial" w:cs="Arial"/>
                <w:sz w:val="20"/>
                <w:szCs w:val="20"/>
              </w:rPr>
              <w:t>pentosanpolysulphate</w:t>
            </w:r>
            <w:proofErr w:type="spellEnd"/>
            <w:r w:rsidRPr="0002762F">
              <w:rPr>
                <w:rFonts w:ascii="Arial" w:hAnsi="Arial" w:cs="Arial"/>
                <w:sz w:val="20"/>
                <w:szCs w:val="20"/>
              </w:rPr>
              <w:t xml:space="preserve"> sodium plus subcutaneous heparin is recommended especially in low responders to </w:t>
            </w:r>
            <w:proofErr w:type="spellStart"/>
            <w:r w:rsidRPr="0002762F">
              <w:rPr>
                <w:rFonts w:ascii="Arial" w:hAnsi="Arial" w:cs="Arial"/>
                <w:sz w:val="20"/>
                <w:szCs w:val="20"/>
              </w:rPr>
              <w:t>pentosanpolysulphate</w:t>
            </w:r>
            <w:proofErr w:type="spellEnd"/>
            <w:r w:rsidRPr="0002762F">
              <w:rPr>
                <w:rFonts w:ascii="Arial" w:hAnsi="Arial" w:cs="Arial"/>
                <w:sz w:val="20"/>
                <w:szCs w:val="20"/>
              </w:rPr>
              <w:t xml:space="preserve"> sodium alone.</w:t>
            </w:r>
          </w:p>
        </w:tc>
        <w:tc>
          <w:tcPr>
            <w:tcW w:w="480" w:type="pct"/>
          </w:tcPr>
          <w:p w14:paraId="2F2988D4" w14:textId="4925AA87" w:rsidR="004C646F" w:rsidRPr="0002762F" w:rsidRDefault="004C646F" w:rsidP="00371BF5">
            <w:pPr>
              <w:rPr>
                <w:rFonts w:ascii="Arial" w:hAnsi="Arial" w:cs="Arial"/>
                <w:sz w:val="20"/>
                <w:szCs w:val="20"/>
              </w:rPr>
            </w:pPr>
          </w:p>
        </w:tc>
        <w:tc>
          <w:tcPr>
            <w:tcW w:w="481" w:type="pct"/>
          </w:tcPr>
          <w:p w14:paraId="53BD95D9" w14:textId="6966FDF5" w:rsidR="004C646F" w:rsidRPr="0002762F" w:rsidRDefault="004C646F" w:rsidP="00371BF5">
            <w:pPr>
              <w:rPr>
                <w:rFonts w:ascii="Arial" w:hAnsi="Arial" w:cs="Arial"/>
                <w:sz w:val="20"/>
                <w:szCs w:val="20"/>
              </w:rPr>
            </w:pPr>
          </w:p>
        </w:tc>
        <w:tc>
          <w:tcPr>
            <w:tcW w:w="482" w:type="pct"/>
          </w:tcPr>
          <w:p w14:paraId="423120FB" w14:textId="3B70EBA7" w:rsidR="004C646F" w:rsidRDefault="004C646F" w:rsidP="00371BF5">
            <w:pPr>
              <w:rPr>
                <w:rFonts w:ascii="Arial" w:hAnsi="Arial" w:cs="Arial"/>
                <w:b/>
                <w:bCs/>
                <w:color w:val="000000"/>
                <w:sz w:val="20"/>
                <w:szCs w:val="20"/>
              </w:rPr>
            </w:pPr>
            <w:proofErr w:type="spellStart"/>
            <w:r>
              <w:rPr>
                <w:rFonts w:ascii="Arial" w:hAnsi="Arial" w:cs="Arial"/>
                <w:b/>
                <w:bCs/>
                <w:color w:val="000000"/>
                <w:sz w:val="20"/>
                <w:szCs w:val="20"/>
              </w:rPr>
              <w:t>LoE</w:t>
            </w:r>
            <w:proofErr w:type="spellEnd"/>
            <w:r>
              <w:rPr>
                <w:rFonts w:ascii="Arial" w:hAnsi="Arial" w:cs="Arial"/>
                <w:b/>
                <w:bCs/>
                <w:color w:val="000000"/>
                <w:sz w:val="20"/>
                <w:szCs w:val="20"/>
              </w:rPr>
              <w:t xml:space="preserve"> 1b</w:t>
            </w:r>
          </w:p>
          <w:p w14:paraId="2B2A9494" w14:textId="3879A8C3" w:rsidR="004C646F" w:rsidRPr="0002762F" w:rsidRDefault="004C646F" w:rsidP="00371BF5">
            <w:pPr>
              <w:rPr>
                <w:rFonts w:ascii="Arial" w:hAnsi="Arial" w:cs="Arial"/>
                <w:b/>
                <w:bCs/>
                <w:color w:val="000000"/>
                <w:sz w:val="20"/>
                <w:szCs w:val="20"/>
              </w:rPr>
            </w:pPr>
            <w:r>
              <w:rPr>
                <w:rFonts w:ascii="Arial" w:hAnsi="Arial" w:cs="Arial"/>
                <w:b/>
                <w:bCs/>
                <w:color w:val="000000"/>
                <w:sz w:val="20"/>
                <w:szCs w:val="20"/>
              </w:rPr>
              <w:t xml:space="preserve">GR </w:t>
            </w:r>
            <w:r w:rsidRPr="0002762F">
              <w:rPr>
                <w:rFonts w:ascii="Arial" w:hAnsi="Arial" w:cs="Arial"/>
                <w:b/>
                <w:bCs/>
                <w:color w:val="000000"/>
                <w:sz w:val="20"/>
                <w:szCs w:val="20"/>
              </w:rPr>
              <w:t>A</w:t>
            </w:r>
            <w:r w:rsidRPr="0002762F">
              <w:rPr>
                <w:rFonts w:ascii="Arial" w:hAnsi="Arial" w:cs="Arial"/>
                <w:b/>
                <w:bCs/>
                <w:color w:val="000000"/>
                <w:sz w:val="20"/>
                <w:szCs w:val="20"/>
              </w:rPr>
              <w:br/>
            </w:r>
          </w:p>
          <w:p w14:paraId="1B92CE14" w14:textId="77777777" w:rsidR="004C646F" w:rsidRPr="0002762F" w:rsidRDefault="004C646F" w:rsidP="00371BF5">
            <w:pPr>
              <w:rPr>
                <w:rFonts w:ascii="Arial" w:hAnsi="Arial" w:cs="Arial"/>
                <w:b/>
                <w:bCs/>
                <w:color w:val="000000"/>
                <w:sz w:val="20"/>
                <w:szCs w:val="20"/>
              </w:rPr>
            </w:pPr>
          </w:p>
        </w:tc>
        <w:tc>
          <w:tcPr>
            <w:tcW w:w="481" w:type="pct"/>
          </w:tcPr>
          <w:p w14:paraId="69F8A6B6" w14:textId="77777777" w:rsidR="004C646F" w:rsidRPr="0002762F" w:rsidRDefault="004C646F" w:rsidP="00371BF5">
            <w:pPr>
              <w:rPr>
                <w:rFonts w:ascii="Arial" w:hAnsi="Arial" w:cs="Arial"/>
                <w:sz w:val="20"/>
                <w:szCs w:val="20"/>
              </w:rPr>
            </w:pPr>
          </w:p>
        </w:tc>
        <w:tc>
          <w:tcPr>
            <w:tcW w:w="482" w:type="pct"/>
          </w:tcPr>
          <w:p w14:paraId="10B3A452" w14:textId="77777777" w:rsidR="004C646F" w:rsidRPr="0002762F" w:rsidRDefault="004C646F" w:rsidP="00371BF5">
            <w:pPr>
              <w:rPr>
                <w:rFonts w:ascii="Arial" w:hAnsi="Arial" w:cs="Arial"/>
                <w:sz w:val="20"/>
                <w:szCs w:val="20"/>
              </w:rPr>
            </w:pPr>
          </w:p>
        </w:tc>
        <w:tc>
          <w:tcPr>
            <w:tcW w:w="504" w:type="pct"/>
          </w:tcPr>
          <w:p w14:paraId="411E5BF0" w14:textId="77777777" w:rsidR="004C646F" w:rsidRPr="0002762F" w:rsidRDefault="004C646F" w:rsidP="00371BF5">
            <w:pPr>
              <w:rPr>
                <w:rFonts w:ascii="Arial" w:hAnsi="Arial" w:cs="Arial"/>
                <w:sz w:val="20"/>
                <w:szCs w:val="20"/>
              </w:rPr>
            </w:pPr>
          </w:p>
        </w:tc>
      </w:tr>
      <w:tr w:rsidR="004C646F" w:rsidRPr="0002762F" w14:paraId="7D4EDD14" w14:textId="44B9CC78" w:rsidTr="004C646F">
        <w:tc>
          <w:tcPr>
            <w:tcW w:w="2089" w:type="pct"/>
          </w:tcPr>
          <w:p w14:paraId="4F3D17C7" w14:textId="77777777" w:rsidR="004C646F" w:rsidRPr="0002762F" w:rsidRDefault="004C646F" w:rsidP="00371BF5">
            <w:pPr>
              <w:rPr>
                <w:rFonts w:ascii="Arial" w:hAnsi="Arial" w:cs="Arial"/>
                <w:sz w:val="20"/>
                <w:szCs w:val="20"/>
              </w:rPr>
            </w:pPr>
            <w:r w:rsidRPr="0002762F">
              <w:rPr>
                <w:rFonts w:ascii="Arial" w:hAnsi="Arial" w:cs="Arial"/>
                <w:sz w:val="20"/>
                <w:szCs w:val="20"/>
              </w:rPr>
              <w:t>Antibiotics can be offered for BPS when infection is present or highly suspected.</w:t>
            </w:r>
          </w:p>
        </w:tc>
        <w:tc>
          <w:tcPr>
            <w:tcW w:w="480" w:type="pct"/>
          </w:tcPr>
          <w:p w14:paraId="4384699A" w14:textId="72DAA6C9" w:rsidR="004C646F" w:rsidRPr="0002762F" w:rsidRDefault="004C646F" w:rsidP="00371BF5">
            <w:pPr>
              <w:rPr>
                <w:rFonts w:ascii="Arial" w:hAnsi="Arial" w:cs="Arial"/>
                <w:sz w:val="20"/>
                <w:szCs w:val="20"/>
              </w:rPr>
            </w:pPr>
          </w:p>
        </w:tc>
        <w:tc>
          <w:tcPr>
            <w:tcW w:w="481" w:type="pct"/>
          </w:tcPr>
          <w:p w14:paraId="75C5FD04" w14:textId="67730B46" w:rsidR="004C646F" w:rsidRPr="0002762F" w:rsidRDefault="004C646F" w:rsidP="00371BF5">
            <w:pPr>
              <w:rPr>
                <w:rFonts w:ascii="Arial" w:hAnsi="Arial" w:cs="Arial"/>
                <w:sz w:val="20"/>
                <w:szCs w:val="20"/>
              </w:rPr>
            </w:pPr>
          </w:p>
        </w:tc>
        <w:tc>
          <w:tcPr>
            <w:tcW w:w="482" w:type="pct"/>
          </w:tcPr>
          <w:p w14:paraId="27D81E4E" w14:textId="760D3025" w:rsidR="004C646F" w:rsidRDefault="004C646F" w:rsidP="00371BF5">
            <w:pPr>
              <w:rPr>
                <w:rFonts w:ascii="Arial" w:hAnsi="Arial" w:cs="Arial"/>
                <w:b/>
                <w:bCs/>
                <w:color w:val="000000"/>
                <w:sz w:val="20"/>
                <w:szCs w:val="20"/>
              </w:rPr>
            </w:pPr>
            <w:proofErr w:type="spellStart"/>
            <w:r>
              <w:rPr>
                <w:rFonts w:ascii="Arial" w:hAnsi="Arial" w:cs="Arial"/>
                <w:b/>
                <w:bCs/>
                <w:color w:val="000000"/>
                <w:sz w:val="20"/>
                <w:szCs w:val="20"/>
              </w:rPr>
              <w:t>LoE</w:t>
            </w:r>
            <w:proofErr w:type="spellEnd"/>
            <w:r>
              <w:rPr>
                <w:rFonts w:ascii="Arial" w:hAnsi="Arial" w:cs="Arial"/>
                <w:b/>
                <w:bCs/>
                <w:color w:val="000000"/>
                <w:sz w:val="20"/>
                <w:szCs w:val="20"/>
              </w:rPr>
              <w:t xml:space="preserve"> 2b</w:t>
            </w:r>
          </w:p>
          <w:p w14:paraId="4788667B" w14:textId="7E30B7E3" w:rsidR="004C646F" w:rsidRPr="0002762F" w:rsidRDefault="004C646F" w:rsidP="00371BF5">
            <w:pPr>
              <w:rPr>
                <w:rFonts w:ascii="Arial" w:hAnsi="Arial" w:cs="Arial"/>
                <w:b/>
                <w:bCs/>
                <w:color w:val="000000"/>
                <w:sz w:val="20"/>
                <w:szCs w:val="20"/>
              </w:rPr>
            </w:pPr>
            <w:r>
              <w:rPr>
                <w:rFonts w:ascii="Arial" w:hAnsi="Arial" w:cs="Arial"/>
                <w:b/>
                <w:bCs/>
                <w:color w:val="000000"/>
                <w:sz w:val="20"/>
                <w:szCs w:val="20"/>
              </w:rPr>
              <w:t xml:space="preserve">GR </w:t>
            </w:r>
            <w:r w:rsidRPr="0002762F">
              <w:rPr>
                <w:rFonts w:ascii="Arial" w:hAnsi="Arial" w:cs="Arial"/>
                <w:b/>
                <w:bCs/>
                <w:color w:val="000000"/>
                <w:sz w:val="20"/>
                <w:szCs w:val="20"/>
              </w:rPr>
              <w:t xml:space="preserve">C </w:t>
            </w:r>
          </w:p>
          <w:p w14:paraId="56D06967" w14:textId="77777777" w:rsidR="004C646F" w:rsidRPr="0002762F" w:rsidRDefault="004C646F" w:rsidP="00371BF5">
            <w:pPr>
              <w:rPr>
                <w:rFonts w:ascii="Arial" w:hAnsi="Arial" w:cs="Arial"/>
                <w:b/>
                <w:bCs/>
                <w:color w:val="000000"/>
                <w:sz w:val="20"/>
                <w:szCs w:val="20"/>
              </w:rPr>
            </w:pPr>
          </w:p>
        </w:tc>
        <w:tc>
          <w:tcPr>
            <w:tcW w:w="481" w:type="pct"/>
          </w:tcPr>
          <w:p w14:paraId="146883C4" w14:textId="77777777" w:rsidR="004C646F" w:rsidRPr="0002762F" w:rsidRDefault="004C646F" w:rsidP="00371BF5">
            <w:pPr>
              <w:rPr>
                <w:rFonts w:ascii="Arial" w:hAnsi="Arial" w:cs="Arial"/>
                <w:sz w:val="20"/>
                <w:szCs w:val="20"/>
              </w:rPr>
            </w:pPr>
          </w:p>
        </w:tc>
        <w:tc>
          <w:tcPr>
            <w:tcW w:w="482" w:type="pct"/>
          </w:tcPr>
          <w:p w14:paraId="23688F51" w14:textId="77777777" w:rsidR="004C646F" w:rsidRPr="0002762F" w:rsidRDefault="004C646F" w:rsidP="00371BF5">
            <w:pPr>
              <w:rPr>
                <w:rFonts w:ascii="Arial" w:hAnsi="Arial" w:cs="Arial"/>
                <w:sz w:val="20"/>
                <w:szCs w:val="20"/>
              </w:rPr>
            </w:pPr>
          </w:p>
        </w:tc>
        <w:tc>
          <w:tcPr>
            <w:tcW w:w="504" w:type="pct"/>
          </w:tcPr>
          <w:p w14:paraId="26E5FFF9" w14:textId="77777777" w:rsidR="004C646F" w:rsidRPr="0002762F" w:rsidRDefault="004C646F" w:rsidP="00371BF5">
            <w:pPr>
              <w:rPr>
                <w:rFonts w:ascii="Arial" w:hAnsi="Arial" w:cs="Arial"/>
                <w:sz w:val="20"/>
                <w:szCs w:val="20"/>
              </w:rPr>
            </w:pPr>
          </w:p>
        </w:tc>
      </w:tr>
      <w:tr w:rsidR="004C646F" w:rsidRPr="0002762F" w14:paraId="2090E606" w14:textId="6099A7E8" w:rsidTr="004C646F">
        <w:tc>
          <w:tcPr>
            <w:tcW w:w="2089" w:type="pct"/>
          </w:tcPr>
          <w:p w14:paraId="50838267" w14:textId="77777777" w:rsidR="004C646F" w:rsidRPr="0002762F" w:rsidRDefault="004C646F" w:rsidP="00371BF5">
            <w:pPr>
              <w:rPr>
                <w:rFonts w:ascii="Arial" w:hAnsi="Arial" w:cs="Arial"/>
                <w:sz w:val="20"/>
                <w:szCs w:val="20"/>
              </w:rPr>
            </w:pPr>
            <w:r w:rsidRPr="0002762F">
              <w:rPr>
                <w:rFonts w:ascii="Arial" w:hAnsi="Arial" w:cs="Arial"/>
                <w:sz w:val="20"/>
                <w:szCs w:val="20"/>
              </w:rPr>
              <w:t>Prostaglandins are not recommended.</w:t>
            </w:r>
          </w:p>
        </w:tc>
        <w:tc>
          <w:tcPr>
            <w:tcW w:w="480" w:type="pct"/>
          </w:tcPr>
          <w:p w14:paraId="65DEF1D7" w14:textId="55A7E90A" w:rsidR="004C646F" w:rsidRPr="0002762F" w:rsidRDefault="004C646F" w:rsidP="00371BF5">
            <w:pPr>
              <w:rPr>
                <w:rFonts w:ascii="Arial" w:hAnsi="Arial" w:cs="Arial"/>
                <w:sz w:val="20"/>
                <w:szCs w:val="20"/>
              </w:rPr>
            </w:pPr>
          </w:p>
        </w:tc>
        <w:tc>
          <w:tcPr>
            <w:tcW w:w="481" w:type="pct"/>
          </w:tcPr>
          <w:p w14:paraId="602E98C3" w14:textId="49D4055F" w:rsidR="004C646F" w:rsidRPr="0002762F" w:rsidRDefault="004C646F" w:rsidP="00371BF5">
            <w:pPr>
              <w:rPr>
                <w:rFonts w:ascii="Arial" w:hAnsi="Arial" w:cs="Arial"/>
                <w:sz w:val="20"/>
                <w:szCs w:val="20"/>
              </w:rPr>
            </w:pPr>
          </w:p>
        </w:tc>
        <w:tc>
          <w:tcPr>
            <w:tcW w:w="482" w:type="pct"/>
          </w:tcPr>
          <w:p w14:paraId="5011CD5B" w14:textId="72FCEA68" w:rsidR="004C646F" w:rsidRDefault="004C646F" w:rsidP="00371BF5">
            <w:pPr>
              <w:rPr>
                <w:rFonts w:ascii="Arial" w:hAnsi="Arial" w:cs="Arial"/>
                <w:b/>
                <w:bCs/>
                <w:color w:val="000000"/>
                <w:sz w:val="20"/>
                <w:szCs w:val="20"/>
              </w:rPr>
            </w:pPr>
            <w:proofErr w:type="spellStart"/>
            <w:r>
              <w:rPr>
                <w:rFonts w:ascii="Arial" w:hAnsi="Arial" w:cs="Arial"/>
                <w:b/>
                <w:bCs/>
                <w:color w:val="000000"/>
                <w:sz w:val="20"/>
                <w:szCs w:val="20"/>
              </w:rPr>
              <w:t>LoE</w:t>
            </w:r>
            <w:proofErr w:type="spellEnd"/>
            <w:r>
              <w:rPr>
                <w:rFonts w:ascii="Arial" w:hAnsi="Arial" w:cs="Arial"/>
                <w:b/>
                <w:bCs/>
                <w:color w:val="000000"/>
                <w:sz w:val="20"/>
                <w:szCs w:val="20"/>
              </w:rPr>
              <w:t xml:space="preserve"> 3</w:t>
            </w:r>
          </w:p>
          <w:p w14:paraId="76A74787" w14:textId="5EFF2085" w:rsidR="004C646F" w:rsidRPr="0002762F" w:rsidRDefault="004C646F" w:rsidP="00371BF5">
            <w:pPr>
              <w:rPr>
                <w:rFonts w:ascii="Arial" w:hAnsi="Arial" w:cs="Arial"/>
                <w:b/>
                <w:bCs/>
                <w:color w:val="000000"/>
                <w:sz w:val="20"/>
                <w:szCs w:val="20"/>
              </w:rPr>
            </w:pPr>
            <w:r>
              <w:rPr>
                <w:rFonts w:ascii="Arial" w:hAnsi="Arial" w:cs="Arial"/>
                <w:b/>
                <w:bCs/>
                <w:color w:val="000000"/>
                <w:sz w:val="20"/>
                <w:szCs w:val="20"/>
              </w:rPr>
              <w:t xml:space="preserve">GR </w:t>
            </w:r>
            <w:r w:rsidRPr="0002762F">
              <w:rPr>
                <w:rFonts w:ascii="Arial" w:hAnsi="Arial" w:cs="Arial"/>
                <w:b/>
                <w:bCs/>
                <w:color w:val="000000"/>
                <w:sz w:val="20"/>
                <w:szCs w:val="20"/>
              </w:rPr>
              <w:t>C</w:t>
            </w:r>
            <w:r w:rsidRPr="0002762F">
              <w:rPr>
                <w:rFonts w:ascii="Arial" w:hAnsi="Arial" w:cs="Arial"/>
                <w:b/>
                <w:bCs/>
                <w:color w:val="000000"/>
                <w:sz w:val="20"/>
                <w:szCs w:val="20"/>
              </w:rPr>
              <w:br/>
            </w:r>
          </w:p>
          <w:p w14:paraId="0A700C51" w14:textId="77777777" w:rsidR="004C646F" w:rsidRPr="0002762F" w:rsidRDefault="004C646F" w:rsidP="00371BF5">
            <w:pPr>
              <w:rPr>
                <w:rFonts w:ascii="Arial" w:hAnsi="Arial" w:cs="Arial"/>
                <w:b/>
                <w:bCs/>
                <w:color w:val="000000"/>
                <w:sz w:val="20"/>
                <w:szCs w:val="20"/>
              </w:rPr>
            </w:pPr>
          </w:p>
        </w:tc>
        <w:tc>
          <w:tcPr>
            <w:tcW w:w="481" w:type="pct"/>
          </w:tcPr>
          <w:p w14:paraId="07954616" w14:textId="77777777" w:rsidR="004C646F" w:rsidRPr="0002762F" w:rsidRDefault="004C646F" w:rsidP="00371BF5">
            <w:pPr>
              <w:rPr>
                <w:rFonts w:ascii="Arial" w:hAnsi="Arial" w:cs="Arial"/>
                <w:sz w:val="20"/>
                <w:szCs w:val="20"/>
              </w:rPr>
            </w:pPr>
          </w:p>
        </w:tc>
        <w:tc>
          <w:tcPr>
            <w:tcW w:w="482" w:type="pct"/>
          </w:tcPr>
          <w:p w14:paraId="3450F341" w14:textId="77777777" w:rsidR="004C646F" w:rsidRPr="0002762F" w:rsidRDefault="004C646F" w:rsidP="00371BF5">
            <w:pPr>
              <w:rPr>
                <w:rFonts w:ascii="Arial" w:hAnsi="Arial" w:cs="Arial"/>
                <w:sz w:val="20"/>
                <w:szCs w:val="20"/>
              </w:rPr>
            </w:pPr>
          </w:p>
        </w:tc>
        <w:tc>
          <w:tcPr>
            <w:tcW w:w="504" w:type="pct"/>
          </w:tcPr>
          <w:p w14:paraId="01CB4ED2" w14:textId="77777777" w:rsidR="004C646F" w:rsidRPr="0002762F" w:rsidRDefault="004C646F" w:rsidP="00371BF5">
            <w:pPr>
              <w:rPr>
                <w:rFonts w:ascii="Arial" w:hAnsi="Arial" w:cs="Arial"/>
                <w:sz w:val="20"/>
                <w:szCs w:val="20"/>
              </w:rPr>
            </w:pPr>
          </w:p>
        </w:tc>
      </w:tr>
      <w:tr w:rsidR="004C646F" w:rsidRPr="0002762F" w14:paraId="6ECCFFA4" w14:textId="6F9B721A" w:rsidTr="004C646F">
        <w:tc>
          <w:tcPr>
            <w:tcW w:w="2089" w:type="pct"/>
          </w:tcPr>
          <w:p w14:paraId="1A22A0E9" w14:textId="77777777" w:rsidR="004C646F" w:rsidRPr="0002762F" w:rsidRDefault="004C646F" w:rsidP="00371BF5">
            <w:pPr>
              <w:rPr>
                <w:rFonts w:ascii="Arial" w:hAnsi="Arial" w:cs="Arial"/>
                <w:sz w:val="20"/>
                <w:szCs w:val="20"/>
              </w:rPr>
            </w:pPr>
            <w:r w:rsidRPr="0002762F">
              <w:rPr>
                <w:rFonts w:ascii="Arial" w:hAnsi="Arial" w:cs="Arial"/>
                <w:sz w:val="20"/>
                <w:szCs w:val="20"/>
              </w:rPr>
              <w:t>Cyclosporin A might be used in BPS but adverse effects are significant and should be carefully considered.</w:t>
            </w:r>
          </w:p>
        </w:tc>
        <w:tc>
          <w:tcPr>
            <w:tcW w:w="480" w:type="pct"/>
          </w:tcPr>
          <w:p w14:paraId="0F4D8D3C" w14:textId="1E946312" w:rsidR="004C646F" w:rsidRPr="0002762F" w:rsidRDefault="004C646F" w:rsidP="00371BF5">
            <w:pPr>
              <w:rPr>
                <w:rFonts w:ascii="Arial" w:hAnsi="Arial" w:cs="Arial"/>
                <w:sz w:val="20"/>
                <w:szCs w:val="20"/>
              </w:rPr>
            </w:pPr>
          </w:p>
        </w:tc>
        <w:tc>
          <w:tcPr>
            <w:tcW w:w="481" w:type="pct"/>
          </w:tcPr>
          <w:p w14:paraId="3D83D87F" w14:textId="34F0A743" w:rsidR="004C646F" w:rsidRPr="0002762F" w:rsidRDefault="004C646F" w:rsidP="00371BF5">
            <w:pPr>
              <w:rPr>
                <w:rFonts w:ascii="Arial" w:hAnsi="Arial" w:cs="Arial"/>
                <w:sz w:val="20"/>
                <w:szCs w:val="20"/>
              </w:rPr>
            </w:pPr>
          </w:p>
        </w:tc>
        <w:tc>
          <w:tcPr>
            <w:tcW w:w="482" w:type="pct"/>
          </w:tcPr>
          <w:p w14:paraId="52EF0991" w14:textId="6BB9986E" w:rsidR="004C646F" w:rsidRDefault="004C646F" w:rsidP="00371BF5">
            <w:pPr>
              <w:rPr>
                <w:rFonts w:ascii="Arial" w:hAnsi="Arial" w:cs="Arial"/>
                <w:b/>
                <w:bCs/>
                <w:color w:val="000000"/>
                <w:sz w:val="20"/>
                <w:szCs w:val="20"/>
              </w:rPr>
            </w:pPr>
            <w:proofErr w:type="spellStart"/>
            <w:r>
              <w:rPr>
                <w:rFonts w:ascii="Arial" w:hAnsi="Arial" w:cs="Arial"/>
                <w:b/>
                <w:bCs/>
                <w:color w:val="000000"/>
                <w:sz w:val="20"/>
                <w:szCs w:val="20"/>
              </w:rPr>
              <w:t>LoE</w:t>
            </w:r>
            <w:proofErr w:type="spellEnd"/>
            <w:r>
              <w:rPr>
                <w:rFonts w:ascii="Arial" w:hAnsi="Arial" w:cs="Arial"/>
                <w:b/>
                <w:bCs/>
                <w:color w:val="000000"/>
                <w:sz w:val="20"/>
                <w:szCs w:val="20"/>
              </w:rPr>
              <w:t xml:space="preserve"> 1b</w:t>
            </w:r>
          </w:p>
          <w:p w14:paraId="06154F6A" w14:textId="585C90D7" w:rsidR="004C646F" w:rsidRPr="0002762F" w:rsidRDefault="004C646F" w:rsidP="00371BF5">
            <w:pPr>
              <w:rPr>
                <w:rFonts w:ascii="Arial" w:hAnsi="Arial" w:cs="Arial"/>
                <w:b/>
                <w:bCs/>
                <w:color w:val="000000"/>
                <w:sz w:val="20"/>
                <w:szCs w:val="20"/>
              </w:rPr>
            </w:pPr>
            <w:r>
              <w:rPr>
                <w:rFonts w:ascii="Arial" w:hAnsi="Arial" w:cs="Arial"/>
                <w:b/>
                <w:bCs/>
                <w:color w:val="000000"/>
                <w:sz w:val="20"/>
                <w:szCs w:val="20"/>
              </w:rPr>
              <w:t xml:space="preserve">GR </w:t>
            </w:r>
            <w:r w:rsidRPr="0002762F">
              <w:rPr>
                <w:rFonts w:ascii="Arial" w:hAnsi="Arial" w:cs="Arial"/>
                <w:b/>
                <w:bCs/>
                <w:color w:val="000000"/>
                <w:sz w:val="20"/>
                <w:szCs w:val="20"/>
              </w:rPr>
              <w:t>B</w:t>
            </w:r>
            <w:r w:rsidRPr="0002762F">
              <w:rPr>
                <w:rFonts w:ascii="Arial" w:hAnsi="Arial" w:cs="Arial"/>
                <w:b/>
                <w:bCs/>
                <w:color w:val="000000"/>
                <w:sz w:val="20"/>
                <w:szCs w:val="20"/>
              </w:rPr>
              <w:br/>
            </w:r>
          </w:p>
          <w:p w14:paraId="7A944FB9" w14:textId="77777777" w:rsidR="004C646F" w:rsidRPr="0002762F" w:rsidRDefault="004C646F" w:rsidP="00371BF5">
            <w:pPr>
              <w:rPr>
                <w:rFonts w:ascii="Arial" w:hAnsi="Arial" w:cs="Arial"/>
                <w:b/>
                <w:bCs/>
                <w:color w:val="000000"/>
                <w:sz w:val="20"/>
                <w:szCs w:val="20"/>
              </w:rPr>
            </w:pPr>
          </w:p>
        </w:tc>
        <w:tc>
          <w:tcPr>
            <w:tcW w:w="481" w:type="pct"/>
          </w:tcPr>
          <w:p w14:paraId="26C37195" w14:textId="77777777" w:rsidR="004C646F" w:rsidRPr="0002762F" w:rsidRDefault="004C646F" w:rsidP="00371BF5">
            <w:pPr>
              <w:rPr>
                <w:rFonts w:ascii="Arial" w:hAnsi="Arial" w:cs="Arial"/>
                <w:sz w:val="20"/>
                <w:szCs w:val="20"/>
              </w:rPr>
            </w:pPr>
          </w:p>
        </w:tc>
        <w:tc>
          <w:tcPr>
            <w:tcW w:w="482" w:type="pct"/>
          </w:tcPr>
          <w:p w14:paraId="349FBAC6" w14:textId="77777777" w:rsidR="004C646F" w:rsidRPr="0002762F" w:rsidRDefault="004C646F" w:rsidP="00371BF5">
            <w:pPr>
              <w:rPr>
                <w:rFonts w:ascii="Arial" w:hAnsi="Arial" w:cs="Arial"/>
                <w:sz w:val="20"/>
                <w:szCs w:val="20"/>
              </w:rPr>
            </w:pPr>
          </w:p>
        </w:tc>
        <w:tc>
          <w:tcPr>
            <w:tcW w:w="504" w:type="pct"/>
          </w:tcPr>
          <w:p w14:paraId="397548E8" w14:textId="77777777" w:rsidR="004C646F" w:rsidRPr="0002762F" w:rsidRDefault="004C646F" w:rsidP="00371BF5">
            <w:pPr>
              <w:rPr>
                <w:rFonts w:ascii="Arial" w:hAnsi="Arial" w:cs="Arial"/>
                <w:sz w:val="20"/>
                <w:szCs w:val="20"/>
              </w:rPr>
            </w:pPr>
          </w:p>
        </w:tc>
      </w:tr>
      <w:tr w:rsidR="004C646F" w:rsidRPr="0002762F" w14:paraId="2A1FB6C9" w14:textId="637AC79E" w:rsidTr="004C646F">
        <w:tc>
          <w:tcPr>
            <w:tcW w:w="2089" w:type="pct"/>
          </w:tcPr>
          <w:p w14:paraId="1FD276C2" w14:textId="77777777" w:rsidR="004C646F" w:rsidRPr="0002762F" w:rsidRDefault="004C646F" w:rsidP="00371BF5">
            <w:pPr>
              <w:rPr>
                <w:rFonts w:ascii="Arial" w:hAnsi="Arial" w:cs="Arial"/>
                <w:b/>
                <w:bCs/>
                <w:sz w:val="20"/>
                <w:szCs w:val="20"/>
              </w:rPr>
            </w:pPr>
            <w:r w:rsidRPr="0002762F">
              <w:rPr>
                <w:rFonts w:ascii="Arial" w:hAnsi="Arial" w:cs="Arial"/>
                <w:color w:val="000000"/>
                <w:sz w:val="20"/>
                <w:szCs w:val="20"/>
              </w:rPr>
              <w:t xml:space="preserve">Duloxetine is not recommended </w:t>
            </w:r>
          </w:p>
        </w:tc>
        <w:tc>
          <w:tcPr>
            <w:tcW w:w="480" w:type="pct"/>
          </w:tcPr>
          <w:p w14:paraId="229A2CD6" w14:textId="2A27DD2A" w:rsidR="004C646F" w:rsidRPr="0002762F" w:rsidRDefault="004C646F" w:rsidP="00371BF5">
            <w:pPr>
              <w:rPr>
                <w:rFonts w:ascii="Arial" w:hAnsi="Arial" w:cs="Arial"/>
                <w:sz w:val="20"/>
                <w:szCs w:val="20"/>
              </w:rPr>
            </w:pPr>
          </w:p>
        </w:tc>
        <w:tc>
          <w:tcPr>
            <w:tcW w:w="481" w:type="pct"/>
          </w:tcPr>
          <w:p w14:paraId="6822B928" w14:textId="2D2FECBF" w:rsidR="004C646F" w:rsidRPr="0002762F" w:rsidRDefault="004C646F" w:rsidP="00371BF5">
            <w:pPr>
              <w:rPr>
                <w:rFonts w:ascii="Arial" w:hAnsi="Arial" w:cs="Arial"/>
                <w:sz w:val="20"/>
                <w:szCs w:val="20"/>
              </w:rPr>
            </w:pPr>
          </w:p>
        </w:tc>
        <w:tc>
          <w:tcPr>
            <w:tcW w:w="482" w:type="pct"/>
          </w:tcPr>
          <w:p w14:paraId="68D7F16F" w14:textId="4A19AF84" w:rsidR="004C646F" w:rsidRDefault="004C646F" w:rsidP="00371BF5">
            <w:pPr>
              <w:rPr>
                <w:rFonts w:ascii="Arial" w:hAnsi="Arial" w:cs="Arial"/>
                <w:b/>
                <w:bCs/>
                <w:color w:val="000000"/>
                <w:sz w:val="20"/>
                <w:szCs w:val="20"/>
              </w:rPr>
            </w:pPr>
            <w:proofErr w:type="spellStart"/>
            <w:r>
              <w:rPr>
                <w:rFonts w:ascii="Arial" w:hAnsi="Arial" w:cs="Arial"/>
                <w:b/>
                <w:bCs/>
                <w:color w:val="000000"/>
                <w:sz w:val="20"/>
                <w:szCs w:val="20"/>
              </w:rPr>
              <w:t>LoE</w:t>
            </w:r>
            <w:proofErr w:type="spellEnd"/>
            <w:r>
              <w:rPr>
                <w:rFonts w:ascii="Arial" w:hAnsi="Arial" w:cs="Arial"/>
                <w:b/>
                <w:bCs/>
                <w:color w:val="000000"/>
                <w:sz w:val="20"/>
                <w:szCs w:val="20"/>
              </w:rPr>
              <w:t xml:space="preserve"> 2b</w:t>
            </w:r>
          </w:p>
          <w:p w14:paraId="172614B7" w14:textId="6EE091C0" w:rsidR="004C646F" w:rsidRPr="0002762F" w:rsidRDefault="004C646F" w:rsidP="00371BF5">
            <w:pPr>
              <w:rPr>
                <w:rFonts w:ascii="Arial" w:hAnsi="Arial" w:cs="Arial"/>
                <w:b/>
                <w:bCs/>
                <w:color w:val="000000"/>
                <w:sz w:val="20"/>
                <w:szCs w:val="20"/>
              </w:rPr>
            </w:pPr>
            <w:r>
              <w:rPr>
                <w:rFonts w:ascii="Arial" w:hAnsi="Arial" w:cs="Arial"/>
                <w:b/>
                <w:bCs/>
                <w:color w:val="000000"/>
                <w:sz w:val="20"/>
                <w:szCs w:val="20"/>
              </w:rPr>
              <w:t xml:space="preserve">GR </w:t>
            </w:r>
            <w:r w:rsidRPr="0002762F">
              <w:rPr>
                <w:rFonts w:ascii="Arial" w:hAnsi="Arial" w:cs="Arial"/>
                <w:b/>
                <w:bCs/>
                <w:color w:val="000000"/>
                <w:sz w:val="20"/>
                <w:szCs w:val="20"/>
              </w:rPr>
              <w:t>C</w:t>
            </w:r>
            <w:r w:rsidRPr="0002762F">
              <w:rPr>
                <w:rFonts w:ascii="Arial" w:hAnsi="Arial" w:cs="Arial"/>
                <w:b/>
                <w:bCs/>
                <w:color w:val="000000"/>
                <w:sz w:val="20"/>
                <w:szCs w:val="20"/>
              </w:rPr>
              <w:br/>
            </w:r>
          </w:p>
          <w:p w14:paraId="2AF57A83" w14:textId="77777777" w:rsidR="004C646F" w:rsidRPr="0002762F" w:rsidRDefault="004C646F" w:rsidP="00371BF5">
            <w:pPr>
              <w:rPr>
                <w:rFonts w:ascii="Arial" w:hAnsi="Arial" w:cs="Arial"/>
                <w:b/>
                <w:bCs/>
                <w:color w:val="000000"/>
                <w:sz w:val="20"/>
                <w:szCs w:val="20"/>
              </w:rPr>
            </w:pPr>
          </w:p>
        </w:tc>
        <w:tc>
          <w:tcPr>
            <w:tcW w:w="481" w:type="pct"/>
          </w:tcPr>
          <w:p w14:paraId="2669B8C0" w14:textId="77777777" w:rsidR="004C646F" w:rsidRPr="0002762F" w:rsidRDefault="004C646F" w:rsidP="00371BF5">
            <w:pPr>
              <w:rPr>
                <w:rFonts w:ascii="Arial" w:hAnsi="Arial" w:cs="Arial"/>
                <w:sz w:val="20"/>
                <w:szCs w:val="20"/>
              </w:rPr>
            </w:pPr>
          </w:p>
        </w:tc>
        <w:tc>
          <w:tcPr>
            <w:tcW w:w="482" w:type="pct"/>
          </w:tcPr>
          <w:p w14:paraId="22B8E46C" w14:textId="77777777" w:rsidR="004C646F" w:rsidRPr="0002762F" w:rsidRDefault="004C646F" w:rsidP="00371BF5">
            <w:pPr>
              <w:rPr>
                <w:rFonts w:ascii="Arial" w:hAnsi="Arial" w:cs="Arial"/>
                <w:sz w:val="20"/>
                <w:szCs w:val="20"/>
              </w:rPr>
            </w:pPr>
          </w:p>
        </w:tc>
        <w:tc>
          <w:tcPr>
            <w:tcW w:w="504" w:type="pct"/>
          </w:tcPr>
          <w:p w14:paraId="7848E258" w14:textId="77777777" w:rsidR="004C646F" w:rsidRPr="0002762F" w:rsidRDefault="004C646F" w:rsidP="00371BF5">
            <w:pPr>
              <w:rPr>
                <w:rFonts w:ascii="Arial" w:hAnsi="Arial" w:cs="Arial"/>
                <w:sz w:val="20"/>
                <w:szCs w:val="20"/>
              </w:rPr>
            </w:pPr>
          </w:p>
        </w:tc>
      </w:tr>
      <w:tr w:rsidR="004C646F" w:rsidRPr="0002762F" w14:paraId="204747E4" w14:textId="1F204407" w:rsidTr="004C646F">
        <w:tc>
          <w:tcPr>
            <w:tcW w:w="2089" w:type="pct"/>
          </w:tcPr>
          <w:p w14:paraId="20AFC9AA" w14:textId="77777777" w:rsidR="004C646F" w:rsidRPr="0002762F" w:rsidRDefault="004C646F" w:rsidP="00371BF5">
            <w:pPr>
              <w:rPr>
                <w:rFonts w:ascii="Arial" w:hAnsi="Arial" w:cs="Arial"/>
                <w:b/>
                <w:bCs/>
                <w:sz w:val="20"/>
                <w:szCs w:val="20"/>
              </w:rPr>
            </w:pPr>
            <w:r w:rsidRPr="0002762F">
              <w:rPr>
                <w:rFonts w:ascii="Arial" w:hAnsi="Arial" w:cs="Arial"/>
                <w:color w:val="000000"/>
                <w:sz w:val="20"/>
                <w:szCs w:val="20"/>
              </w:rPr>
              <w:t xml:space="preserve">Oxybutynin might be considered </w:t>
            </w:r>
          </w:p>
        </w:tc>
        <w:tc>
          <w:tcPr>
            <w:tcW w:w="480" w:type="pct"/>
          </w:tcPr>
          <w:p w14:paraId="73ABD5A8" w14:textId="2F2452DB" w:rsidR="004C646F" w:rsidRPr="0002762F" w:rsidRDefault="004C646F" w:rsidP="00371BF5">
            <w:pPr>
              <w:rPr>
                <w:rFonts w:ascii="Arial" w:hAnsi="Arial" w:cs="Arial"/>
                <w:sz w:val="20"/>
                <w:szCs w:val="20"/>
              </w:rPr>
            </w:pPr>
          </w:p>
        </w:tc>
        <w:tc>
          <w:tcPr>
            <w:tcW w:w="481" w:type="pct"/>
          </w:tcPr>
          <w:p w14:paraId="12D84D5C" w14:textId="0FB6D23B" w:rsidR="004C646F" w:rsidRPr="0002762F" w:rsidRDefault="004C646F" w:rsidP="00371BF5">
            <w:pPr>
              <w:rPr>
                <w:rFonts w:ascii="Arial" w:hAnsi="Arial" w:cs="Arial"/>
                <w:sz w:val="20"/>
                <w:szCs w:val="20"/>
              </w:rPr>
            </w:pPr>
          </w:p>
        </w:tc>
        <w:tc>
          <w:tcPr>
            <w:tcW w:w="482" w:type="pct"/>
          </w:tcPr>
          <w:p w14:paraId="54AADF17" w14:textId="566F4906" w:rsidR="004C646F" w:rsidRDefault="004C646F" w:rsidP="00371BF5">
            <w:pPr>
              <w:rPr>
                <w:rFonts w:ascii="Arial" w:hAnsi="Arial" w:cs="Arial"/>
                <w:b/>
                <w:bCs/>
                <w:color w:val="000000"/>
                <w:sz w:val="20"/>
                <w:szCs w:val="20"/>
              </w:rPr>
            </w:pPr>
            <w:proofErr w:type="spellStart"/>
            <w:r>
              <w:rPr>
                <w:rFonts w:ascii="Arial" w:hAnsi="Arial" w:cs="Arial"/>
                <w:b/>
                <w:bCs/>
                <w:color w:val="000000"/>
                <w:sz w:val="20"/>
                <w:szCs w:val="20"/>
              </w:rPr>
              <w:t>LoE</w:t>
            </w:r>
            <w:proofErr w:type="spellEnd"/>
            <w:r>
              <w:rPr>
                <w:rFonts w:ascii="Arial" w:hAnsi="Arial" w:cs="Arial"/>
                <w:b/>
                <w:bCs/>
                <w:color w:val="000000"/>
                <w:sz w:val="20"/>
                <w:szCs w:val="20"/>
              </w:rPr>
              <w:t xml:space="preserve"> 3</w:t>
            </w:r>
          </w:p>
          <w:p w14:paraId="0F1C8AA8" w14:textId="4268993C" w:rsidR="004C646F" w:rsidRPr="0002762F" w:rsidRDefault="004C646F" w:rsidP="00371BF5">
            <w:pPr>
              <w:rPr>
                <w:rFonts w:ascii="Arial" w:hAnsi="Arial" w:cs="Arial"/>
                <w:b/>
                <w:bCs/>
                <w:color w:val="000000"/>
                <w:sz w:val="20"/>
                <w:szCs w:val="20"/>
              </w:rPr>
            </w:pPr>
            <w:r>
              <w:rPr>
                <w:rFonts w:ascii="Arial" w:hAnsi="Arial" w:cs="Arial"/>
                <w:b/>
                <w:bCs/>
                <w:color w:val="000000"/>
                <w:sz w:val="20"/>
                <w:szCs w:val="20"/>
              </w:rPr>
              <w:t xml:space="preserve">GR </w:t>
            </w:r>
            <w:r w:rsidRPr="0002762F">
              <w:rPr>
                <w:rFonts w:ascii="Arial" w:hAnsi="Arial" w:cs="Arial"/>
                <w:b/>
                <w:bCs/>
                <w:color w:val="000000"/>
                <w:sz w:val="20"/>
                <w:szCs w:val="20"/>
              </w:rPr>
              <w:t>C</w:t>
            </w:r>
            <w:r w:rsidRPr="0002762F">
              <w:rPr>
                <w:rFonts w:ascii="Arial" w:hAnsi="Arial" w:cs="Arial"/>
                <w:b/>
                <w:bCs/>
                <w:color w:val="000000"/>
                <w:sz w:val="20"/>
                <w:szCs w:val="20"/>
              </w:rPr>
              <w:br/>
            </w:r>
          </w:p>
          <w:p w14:paraId="55000667" w14:textId="77777777" w:rsidR="004C646F" w:rsidRPr="0002762F" w:rsidRDefault="004C646F" w:rsidP="00371BF5">
            <w:pPr>
              <w:rPr>
                <w:rFonts w:ascii="Arial" w:hAnsi="Arial" w:cs="Arial"/>
                <w:b/>
                <w:bCs/>
                <w:color w:val="000000"/>
                <w:sz w:val="20"/>
                <w:szCs w:val="20"/>
              </w:rPr>
            </w:pPr>
          </w:p>
        </w:tc>
        <w:tc>
          <w:tcPr>
            <w:tcW w:w="481" w:type="pct"/>
          </w:tcPr>
          <w:p w14:paraId="7D02802C" w14:textId="77777777" w:rsidR="004C646F" w:rsidRPr="0002762F" w:rsidRDefault="004C646F" w:rsidP="00371BF5">
            <w:pPr>
              <w:rPr>
                <w:rFonts w:ascii="Arial" w:hAnsi="Arial" w:cs="Arial"/>
                <w:sz w:val="20"/>
                <w:szCs w:val="20"/>
              </w:rPr>
            </w:pPr>
          </w:p>
        </w:tc>
        <w:tc>
          <w:tcPr>
            <w:tcW w:w="482" w:type="pct"/>
          </w:tcPr>
          <w:p w14:paraId="55C922C2" w14:textId="77777777" w:rsidR="004C646F" w:rsidRPr="0002762F" w:rsidRDefault="004C646F" w:rsidP="00371BF5">
            <w:pPr>
              <w:rPr>
                <w:rFonts w:ascii="Arial" w:hAnsi="Arial" w:cs="Arial"/>
                <w:sz w:val="20"/>
                <w:szCs w:val="20"/>
              </w:rPr>
            </w:pPr>
          </w:p>
        </w:tc>
        <w:tc>
          <w:tcPr>
            <w:tcW w:w="504" w:type="pct"/>
          </w:tcPr>
          <w:p w14:paraId="33DE9656" w14:textId="77777777" w:rsidR="004C646F" w:rsidRPr="0002762F" w:rsidRDefault="004C646F" w:rsidP="00371BF5">
            <w:pPr>
              <w:rPr>
                <w:rFonts w:ascii="Arial" w:hAnsi="Arial" w:cs="Arial"/>
                <w:sz w:val="20"/>
                <w:szCs w:val="20"/>
              </w:rPr>
            </w:pPr>
          </w:p>
        </w:tc>
      </w:tr>
      <w:tr w:rsidR="004C646F" w:rsidRPr="0002762F" w14:paraId="7EEE8835" w14:textId="7D3A3A41" w:rsidTr="004C646F">
        <w:tc>
          <w:tcPr>
            <w:tcW w:w="2089" w:type="pct"/>
          </w:tcPr>
          <w:p w14:paraId="63EA3F2C" w14:textId="77777777" w:rsidR="004C646F" w:rsidRPr="0002762F" w:rsidRDefault="004C646F" w:rsidP="00371BF5">
            <w:pPr>
              <w:rPr>
                <w:rFonts w:ascii="Arial" w:hAnsi="Arial" w:cs="Arial"/>
                <w:sz w:val="20"/>
                <w:szCs w:val="20"/>
              </w:rPr>
            </w:pPr>
            <w:r w:rsidRPr="0002762F">
              <w:rPr>
                <w:rFonts w:ascii="Arial" w:hAnsi="Arial" w:cs="Arial"/>
                <w:sz w:val="20"/>
                <w:szCs w:val="20"/>
              </w:rPr>
              <w:t>Gabapentin might be considered for oral treatment.</w:t>
            </w:r>
          </w:p>
        </w:tc>
        <w:tc>
          <w:tcPr>
            <w:tcW w:w="480" w:type="pct"/>
          </w:tcPr>
          <w:p w14:paraId="3985DFB9" w14:textId="41F314F2" w:rsidR="004C646F" w:rsidRPr="0002762F" w:rsidRDefault="004C646F" w:rsidP="00371BF5">
            <w:pPr>
              <w:rPr>
                <w:rFonts w:ascii="Arial" w:hAnsi="Arial" w:cs="Arial"/>
                <w:sz w:val="20"/>
                <w:szCs w:val="20"/>
              </w:rPr>
            </w:pPr>
          </w:p>
        </w:tc>
        <w:tc>
          <w:tcPr>
            <w:tcW w:w="481" w:type="pct"/>
          </w:tcPr>
          <w:p w14:paraId="2C867771" w14:textId="22307F06" w:rsidR="004C646F" w:rsidRPr="0002762F" w:rsidRDefault="004C646F" w:rsidP="00371BF5">
            <w:pPr>
              <w:rPr>
                <w:rFonts w:ascii="Arial" w:hAnsi="Arial" w:cs="Arial"/>
                <w:sz w:val="20"/>
                <w:szCs w:val="20"/>
              </w:rPr>
            </w:pPr>
          </w:p>
        </w:tc>
        <w:tc>
          <w:tcPr>
            <w:tcW w:w="482" w:type="pct"/>
          </w:tcPr>
          <w:p w14:paraId="51E2F899" w14:textId="06513E81" w:rsidR="004C646F" w:rsidRDefault="004C646F" w:rsidP="00371BF5">
            <w:pPr>
              <w:rPr>
                <w:rFonts w:ascii="Arial" w:hAnsi="Arial" w:cs="Arial"/>
                <w:b/>
                <w:bCs/>
                <w:color w:val="000000"/>
                <w:sz w:val="20"/>
                <w:szCs w:val="20"/>
              </w:rPr>
            </w:pPr>
            <w:proofErr w:type="spellStart"/>
            <w:r>
              <w:rPr>
                <w:rFonts w:ascii="Arial" w:hAnsi="Arial" w:cs="Arial"/>
                <w:b/>
                <w:bCs/>
                <w:color w:val="000000"/>
                <w:sz w:val="20"/>
                <w:szCs w:val="20"/>
              </w:rPr>
              <w:t>LoE</w:t>
            </w:r>
            <w:proofErr w:type="spellEnd"/>
            <w:r>
              <w:rPr>
                <w:rFonts w:ascii="Arial" w:hAnsi="Arial" w:cs="Arial"/>
                <w:b/>
                <w:bCs/>
                <w:color w:val="000000"/>
                <w:sz w:val="20"/>
                <w:szCs w:val="20"/>
              </w:rPr>
              <w:t xml:space="preserve"> 3</w:t>
            </w:r>
          </w:p>
          <w:p w14:paraId="636D0707" w14:textId="2373BA08" w:rsidR="004C646F" w:rsidRPr="0002762F" w:rsidRDefault="004C646F" w:rsidP="003E4627">
            <w:pPr>
              <w:rPr>
                <w:rFonts w:ascii="Arial" w:hAnsi="Arial" w:cs="Arial"/>
                <w:b/>
                <w:bCs/>
                <w:color w:val="000000"/>
                <w:sz w:val="20"/>
                <w:szCs w:val="20"/>
              </w:rPr>
            </w:pPr>
            <w:r>
              <w:rPr>
                <w:rFonts w:ascii="Arial" w:hAnsi="Arial" w:cs="Arial"/>
                <w:b/>
                <w:bCs/>
                <w:color w:val="000000"/>
                <w:sz w:val="20"/>
                <w:szCs w:val="20"/>
              </w:rPr>
              <w:t xml:space="preserve">GR </w:t>
            </w:r>
            <w:r w:rsidRPr="0002762F">
              <w:rPr>
                <w:rFonts w:ascii="Arial" w:hAnsi="Arial" w:cs="Arial"/>
                <w:b/>
                <w:bCs/>
                <w:color w:val="000000"/>
                <w:sz w:val="20"/>
                <w:szCs w:val="20"/>
              </w:rPr>
              <w:t>C</w:t>
            </w:r>
            <w:r w:rsidRPr="0002762F">
              <w:rPr>
                <w:rFonts w:ascii="Arial" w:hAnsi="Arial" w:cs="Arial"/>
                <w:b/>
                <w:bCs/>
                <w:color w:val="000000"/>
                <w:sz w:val="20"/>
                <w:szCs w:val="20"/>
              </w:rPr>
              <w:br/>
            </w:r>
          </w:p>
        </w:tc>
        <w:tc>
          <w:tcPr>
            <w:tcW w:w="481" w:type="pct"/>
          </w:tcPr>
          <w:p w14:paraId="68B37966" w14:textId="77777777" w:rsidR="004C646F" w:rsidRPr="0002762F" w:rsidRDefault="004C646F" w:rsidP="00371BF5">
            <w:pPr>
              <w:rPr>
                <w:rFonts w:ascii="Arial" w:hAnsi="Arial" w:cs="Arial"/>
                <w:sz w:val="20"/>
                <w:szCs w:val="20"/>
              </w:rPr>
            </w:pPr>
          </w:p>
        </w:tc>
        <w:tc>
          <w:tcPr>
            <w:tcW w:w="482" w:type="pct"/>
          </w:tcPr>
          <w:p w14:paraId="1EFA2F1F" w14:textId="77777777" w:rsidR="004C646F" w:rsidRPr="0002762F" w:rsidRDefault="004C646F" w:rsidP="00371BF5">
            <w:pPr>
              <w:rPr>
                <w:rFonts w:ascii="Arial" w:hAnsi="Arial" w:cs="Arial"/>
                <w:sz w:val="20"/>
                <w:szCs w:val="20"/>
              </w:rPr>
            </w:pPr>
          </w:p>
        </w:tc>
        <w:tc>
          <w:tcPr>
            <w:tcW w:w="504" w:type="pct"/>
          </w:tcPr>
          <w:p w14:paraId="3DD9C7B9" w14:textId="77777777" w:rsidR="004C646F" w:rsidRPr="0002762F" w:rsidRDefault="004C646F" w:rsidP="00371BF5">
            <w:pPr>
              <w:rPr>
                <w:rFonts w:ascii="Arial" w:hAnsi="Arial" w:cs="Arial"/>
                <w:sz w:val="20"/>
                <w:szCs w:val="20"/>
              </w:rPr>
            </w:pPr>
          </w:p>
        </w:tc>
      </w:tr>
      <w:tr w:rsidR="004C646F" w:rsidRPr="0002762F" w14:paraId="5238A084" w14:textId="66CFE4A3" w:rsidTr="004C646F">
        <w:tc>
          <w:tcPr>
            <w:tcW w:w="2089" w:type="pct"/>
          </w:tcPr>
          <w:p w14:paraId="44D381CC" w14:textId="77777777" w:rsidR="004C646F" w:rsidRPr="0002762F" w:rsidRDefault="004C646F" w:rsidP="00371BF5">
            <w:pPr>
              <w:rPr>
                <w:rFonts w:ascii="Arial" w:hAnsi="Arial" w:cs="Arial"/>
                <w:color w:val="000000"/>
                <w:sz w:val="20"/>
                <w:szCs w:val="20"/>
              </w:rPr>
            </w:pPr>
            <w:r w:rsidRPr="0002762F">
              <w:rPr>
                <w:rFonts w:ascii="Arial" w:hAnsi="Arial" w:cs="Arial"/>
                <w:color w:val="000000"/>
                <w:sz w:val="20"/>
                <w:szCs w:val="20"/>
              </w:rPr>
              <w:t>Opioids might be used in BPS in disease flare-ups. Long-term application only if all treatments have failed.</w:t>
            </w:r>
          </w:p>
          <w:p w14:paraId="1EA80BDB" w14:textId="77777777" w:rsidR="004C646F" w:rsidRPr="0002762F" w:rsidRDefault="004C646F" w:rsidP="00371BF5">
            <w:pPr>
              <w:rPr>
                <w:rFonts w:ascii="Arial" w:hAnsi="Arial" w:cs="Arial"/>
                <w:sz w:val="20"/>
                <w:szCs w:val="20"/>
              </w:rPr>
            </w:pPr>
          </w:p>
        </w:tc>
        <w:tc>
          <w:tcPr>
            <w:tcW w:w="480" w:type="pct"/>
          </w:tcPr>
          <w:p w14:paraId="5E2F499C" w14:textId="6F8F1F0D" w:rsidR="004C646F" w:rsidRPr="0002762F" w:rsidRDefault="004C646F" w:rsidP="00371BF5">
            <w:pPr>
              <w:rPr>
                <w:rFonts w:ascii="Arial" w:hAnsi="Arial" w:cs="Arial"/>
                <w:sz w:val="20"/>
                <w:szCs w:val="20"/>
              </w:rPr>
            </w:pPr>
          </w:p>
        </w:tc>
        <w:tc>
          <w:tcPr>
            <w:tcW w:w="481" w:type="pct"/>
          </w:tcPr>
          <w:p w14:paraId="2FDBA587" w14:textId="5FE48E2D" w:rsidR="004C646F" w:rsidRPr="0002762F" w:rsidRDefault="004C646F" w:rsidP="00371BF5">
            <w:pPr>
              <w:rPr>
                <w:rFonts w:ascii="Arial" w:hAnsi="Arial" w:cs="Arial"/>
                <w:sz w:val="20"/>
                <w:szCs w:val="20"/>
              </w:rPr>
            </w:pPr>
          </w:p>
        </w:tc>
        <w:tc>
          <w:tcPr>
            <w:tcW w:w="482" w:type="pct"/>
          </w:tcPr>
          <w:p w14:paraId="5CDEC73C" w14:textId="75D78DBD" w:rsidR="004C646F" w:rsidRDefault="004C646F" w:rsidP="00371BF5">
            <w:pPr>
              <w:rPr>
                <w:rFonts w:ascii="Arial" w:hAnsi="Arial" w:cs="Arial"/>
                <w:b/>
                <w:bCs/>
                <w:color w:val="000000"/>
                <w:sz w:val="20"/>
                <w:szCs w:val="20"/>
              </w:rPr>
            </w:pPr>
            <w:proofErr w:type="spellStart"/>
            <w:r>
              <w:rPr>
                <w:rFonts w:ascii="Arial" w:hAnsi="Arial" w:cs="Arial"/>
                <w:b/>
                <w:bCs/>
                <w:color w:val="000000"/>
                <w:sz w:val="20"/>
                <w:szCs w:val="20"/>
              </w:rPr>
              <w:t>LoE</w:t>
            </w:r>
            <w:proofErr w:type="spellEnd"/>
            <w:r>
              <w:rPr>
                <w:rFonts w:ascii="Arial" w:hAnsi="Arial" w:cs="Arial"/>
                <w:b/>
                <w:bCs/>
                <w:color w:val="000000"/>
                <w:sz w:val="20"/>
                <w:szCs w:val="20"/>
              </w:rPr>
              <w:t xml:space="preserve"> 2b</w:t>
            </w:r>
          </w:p>
          <w:p w14:paraId="186A0523" w14:textId="06C9B703" w:rsidR="004C646F" w:rsidRPr="0002762F" w:rsidRDefault="004C646F" w:rsidP="00371BF5">
            <w:pPr>
              <w:rPr>
                <w:rFonts w:ascii="Arial" w:hAnsi="Arial" w:cs="Arial"/>
                <w:b/>
                <w:bCs/>
                <w:color w:val="000000"/>
                <w:sz w:val="20"/>
                <w:szCs w:val="20"/>
              </w:rPr>
            </w:pPr>
            <w:r>
              <w:rPr>
                <w:rFonts w:ascii="Arial" w:hAnsi="Arial" w:cs="Arial"/>
                <w:b/>
                <w:bCs/>
                <w:color w:val="000000"/>
                <w:sz w:val="20"/>
                <w:szCs w:val="20"/>
              </w:rPr>
              <w:t xml:space="preserve">GR </w:t>
            </w:r>
            <w:r w:rsidRPr="0002762F">
              <w:rPr>
                <w:rFonts w:ascii="Arial" w:hAnsi="Arial" w:cs="Arial"/>
                <w:b/>
                <w:bCs/>
                <w:color w:val="000000"/>
                <w:sz w:val="20"/>
                <w:szCs w:val="20"/>
              </w:rPr>
              <w:t>C</w:t>
            </w:r>
            <w:r w:rsidRPr="0002762F">
              <w:rPr>
                <w:rFonts w:ascii="Arial" w:hAnsi="Arial" w:cs="Arial"/>
                <w:b/>
                <w:bCs/>
                <w:color w:val="000000"/>
                <w:sz w:val="20"/>
                <w:szCs w:val="20"/>
              </w:rPr>
              <w:br/>
            </w:r>
          </w:p>
        </w:tc>
        <w:tc>
          <w:tcPr>
            <w:tcW w:w="481" w:type="pct"/>
          </w:tcPr>
          <w:p w14:paraId="3653C211" w14:textId="77777777" w:rsidR="004C646F" w:rsidRPr="0002762F" w:rsidRDefault="004C646F" w:rsidP="00371BF5">
            <w:pPr>
              <w:rPr>
                <w:rFonts w:ascii="Arial" w:hAnsi="Arial" w:cs="Arial"/>
                <w:sz w:val="20"/>
                <w:szCs w:val="20"/>
              </w:rPr>
            </w:pPr>
          </w:p>
        </w:tc>
        <w:tc>
          <w:tcPr>
            <w:tcW w:w="482" w:type="pct"/>
          </w:tcPr>
          <w:p w14:paraId="7522C6FC" w14:textId="77777777" w:rsidR="004C646F" w:rsidRPr="0002762F" w:rsidRDefault="004C646F" w:rsidP="00371BF5">
            <w:pPr>
              <w:rPr>
                <w:rFonts w:ascii="Arial" w:hAnsi="Arial" w:cs="Arial"/>
                <w:sz w:val="20"/>
                <w:szCs w:val="20"/>
              </w:rPr>
            </w:pPr>
          </w:p>
        </w:tc>
        <w:tc>
          <w:tcPr>
            <w:tcW w:w="504" w:type="pct"/>
          </w:tcPr>
          <w:p w14:paraId="508338A6" w14:textId="77777777" w:rsidR="004C646F" w:rsidRPr="0002762F" w:rsidRDefault="004C646F" w:rsidP="00371BF5">
            <w:pPr>
              <w:rPr>
                <w:rFonts w:ascii="Arial" w:hAnsi="Arial" w:cs="Arial"/>
                <w:sz w:val="20"/>
                <w:szCs w:val="20"/>
              </w:rPr>
            </w:pPr>
          </w:p>
        </w:tc>
      </w:tr>
      <w:tr w:rsidR="004C646F" w:rsidRPr="0002762F" w14:paraId="0CC3068B" w14:textId="552126AC" w:rsidTr="004C646F">
        <w:tc>
          <w:tcPr>
            <w:tcW w:w="2089" w:type="pct"/>
          </w:tcPr>
          <w:p w14:paraId="4819DBDF" w14:textId="77777777" w:rsidR="004C646F" w:rsidRPr="0002762F" w:rsidRDefault="004C646F" w:rsidP="00371BF5">
            <w:pPr>
              <w:rPr>
                <w:rFonts w:ascii="Arial" w:hAnsi="Arial" w:cs="Arial"/>
                <w:sz w:val="20"/>
                <w:szCs w:val="20"/>
              </w:rPr>
            </w:pPr>
            <w:r w:rsidRPr="0002762F">
              <w:rPr>
                <w:rFonts w:ascii="Arial" w:hAnsi="Arial" w:cs="Arial"/>
                <w:sz w:val="20"/>
                <w:szCs w:val="20"/>
              </w:rPr>
              <w:t>Administer intravesical lidocaine plus sodium bicarbonate prior to more invasive methods for BPS</w:t>
            </w:r>
          </w:p>
        </w:tc>
        <w:tc>
          <w:tcPr>
            <w:tcW w:w="480" w:type="pct"/>
          </w:tcPr>
          <w:p w14:paraId="2C74A48C" w14:textId="071D95AF" w:rsidR="004C646F" w:rsidRPr="0002762F" w:rsidRDefault="004C646F" w:rsidP="00371BF5">
            <w:pPr>
              <w:rPr>
                <w:rFonts w:ascii="Arial" w:hAnsi="Arial" w:cs="Arial"/>
                <w:sz w:val="20"/>
                <w:szCs w:val="20"/>
              </w:rPr>
            </w:pPr>
          </w:p>
        </w:tc>
        <w:tc>
          <w:tcPr>
            <w:tcW w:w="481" w:type="pct"/>
          </w:tcPr>
          <w:p w14:paraId="2314CB16" w14:textId="5727C9C6" w:rsidR="004C646F" w:rsidRPr="0002762F" w:rsidRDefault="004C646F" w:rsidP="00371BF5">
            <w:pPr>
              <w:rPr>
                <w:rFonts w:ascii="Arial" w:hAnsi="Arial" w:cs="Arial"/>
                <w:sz w:val="20"/>
                <w:szCs w:val="20"/>
              </w:rPr>
            </w:pPr>
          </w:p>
        </w:tc>
        <w:tc>
          <w:tcPr>
            <w:tcW w:w="482" w:type="pct"/>
          </w:tcPr>
          <w:p w14:paraId="6F03ABDA" w14:textId="6965724F" w:rsidR="004C646F" w:rsidRDefault="004C646F" w:rsidP="00371BF5">
            <w:pPr>
              <w:rPr>
                <w:rFonts w:ascii="Arial" w:hAnsi="Arial" w:cs="Arial"/>
                <w:b/>
                <w:bCs/>
                <w:color w:val="000000"/>
                <w:sz w:val="20"/>
                <w:szCs w:val="20"/>
              </w:rPr>
            </w:pPr>
            <w:proofErr w:type="spellStart"/>
            <w:r>
              <w:rPr>
                <w:rFonts w:ascii="Arial" w:hAnsi="Arial" w:cs="Arial"/>
                <w:b/>
                <w:bCs/>
                <w:color w:val="000000"/>
                <w:sz w:val="20"/>
                <w:szCs w:val="20"/>
              </w:rPr>
              <w:t>LoE</w:t>
            </w:r>
            <w:proofErr w:type="spellEnd"/>
            <w:r>
              <w:rPr>
                <w:rFonts w:ascii="Arial" w:hAnsi="Arial" w:cs="Arial"/>
                <w:b/>
                <w:bCs/>
                <w:color w:val="000000"/>
                <w:sz w:val="20"/>
                <w:szCs w:val="20"/>
              </w:rPr>
              <w:t xml:space="preserve"> 1b</w:t>
            </w:r>
          </w:p>
          <w:p w14:paraId="2D0E6FD5" w14:textId="037E9F9F" w:rsidR="004C646F" w:rsidRPr="0002762F" w:rsidRDefault="004C646F" w:rsidP="00371BF5">
            <w:pPr>
              <w:rPr>
                <w:rFonts w:ascii="Arial" w:hAnsi="Arial" w:cs="Arial"/>
                <w:b/>
                <w:bCs/>
                <w:color w:val="000000"/>
                <w:sz w:val="20"/>
                <w:szCs w:val="20"/>
              </w:rPr>
            </w:pPr>
            <w:r>
              <w:rPr>
                <w:rFonts w:ascii="Arial" w:hAnsi="Arial" w:cs="Arial"/>
                <w:b/>
                <w:bCs/>
                <w:color w:val="000000"/>
                <w:sz w:val="20"/>
                <w:szCs w:val="20"/>
              </w:rPr>
              <w:t xml:space="preserve">GR </w:t>
            </w:r>
            <w:r w:rsidRPr="0002762F">
              <w:rPr>
                <w:rFonts w:ascii="Arial" w:hAnsi="Arial" w:cs="Arial"/>
                <w:b/>
                <w:bCs/>
                <w:color w:val="000000"/>
                <w:sz w:val="20"/>
                <w:szCs w:val="20"/>
              </w:rPr>
              <w:t>A</w:t>
            </w:r>
            <w:r w:rsidRPr="0002762F">
              <w:rPr>
                <w:rFonts w:ascii="Arial" w:hAnsi="Arial" w:cs="Arial"/>
                <w:b/>
                <w:bCs/>
                <w:color w:val="000000"/>
                <w:sz w:val="20"/>
                <w:szCs w:val="20"/>
              </w:rPr>
              <w:br/>
            </w:r>
          </w:p>
        </w:tc>
        <w:tc>
          <w:tcPr>
            <w:tcW w:w="481" w:type="pct"/>
          </w:tcPr>
          <w:p w14:paraId="1DE50723" w14:textId="77777777" w:rsidR="004C646F" w:rsidRPr="0002762F" w:rsidRDefault="004C646F" w:rsidP="00371BF5">
            <w:pPr>
              <w:rPr>
                <w:rFonts w:ascii="Arial" w:hAnsi="Arial" w:cs="Arial"/>
                <w:sz w:val="20"/>
                <w:szCs w:val="20"/>
              </w:rPr>
            </w:pPr>
          </w:p>
        </w:tc>
        <w:tc>
          <w:tcPr>
            <w:tcW w:w="482" w:type="pct"/>
          </w:tcPr>
          <w:p w14:paraId="64A799C5" w14:textId="77777777" w:rsidR="004C646F" w:rsidRPr="0002762F" w:rsidRDefault="004C646F" w:rsidP="00371BF5">
            <w:pPr>
              <w:rPr>
                <w:rFonts w:ascii="Arial" w:hAnsi="Arial" w:cs="Arial"/>
                <w:sz w:val="20"/>
                <w:szCs w:val="20"/>
              </w:rPr>
            </w:pPr>
          </w:p>
        </w:tc>
        <w:tc>
          <w:tcPr>
            <w:tcW w:w="504" w:type="pct"/>
          </w:tcPr>
          <w:p w14:paraId="73D583AD" w14:textId="77777777" w:rsidR="004C646F" w:rsidRPr="0002762F" w:rsidRDefault="004C646F" w:rsidP="00371BF5">
            <w:pPr>
              <w:rPr>
                <w:rFonts w:ascii="Arial" w:hAnsi="Arial" w:cs="Arial"/>
                <w:sz w:val="20"/>
                <w:szCs w:val="20"/>
              </w:rPr>
            </w:pPr>
          </w:p>
        </w:tc>
      </w:tr>
      <w:tr w:rsidR="004C646F" w:rsidRPr="0002762F" w14:paraId="2AE264FB" w14:textId="612972F7" w:rsidTr="004C646F">
        <w:tc>
          <w:tcPr>
            <w:tcW w:w="2089" w:type="pct"/>
          </w:tcPr>
          <w:p w14:paraId="697F5411" w14:textId="25785D49" w:rsidR="004C646F" w:rsidRPr="0002762F" w:rsidRDefault="004C646F" w:rsidP="00371BF5">
            <w:pPr>
              <w:rPr>
                <w:rFonts w:ascii="Arial" w:hAnsi="Arial" w:cs="Arial"/>
                <w:color w:val="000000"/>
                <w:sz w:val="20"/>
                <w:szCs w:val="20"/>
              </w:rPr>
            </w:pPr>
            <w:r w:rsidRPr="0002762F">
              <w:rPr>
                <w:rFonts w:ascii="Arial" w:hAnsi="Arial" w:cs="Arial"/>
                <w:color w:val="000000"/>
                <w:sz w:val="20"/>
                <w:szCs w:val="20"/>
              </w:rPr>
              <w:t xml:space="preserve">Administer intravesical </w:t>
            </w:r>
            <w:proofErr w:type="spellStart"/>
            <w:r w:rsidRPr="0002762F">
              <w:rPr>
                <w:rFonts w:ascii="Arial" w:hAnsi="Arial" w:cs="Arial"/>
                <w:color w:val="000000"/>
                <w:sz w:val="20"/>
                <w:szCs w:val="20"/>
              </w:rPr>
              <w:t>pentosanpolysulphate</w:t>
            </w:r>
            <w:proofErr w:type="spellEnd"/>
            <w:r w:rsidRPr="0002762F">
              <w:rPr>
                <w:rFonts w:ascii="Arial" w:hAnsi="Arial" w:cs="Arial"/>
                <w:color w:val="000000"/>
                <w:sz w:val="20"/>
                <w:szCs w:val="20"/>
              </w:rPr>
              <w:t xml:space="preserve"> sodium before more invasive treatment alone or combined with oral </w:t>
            </w:r>
            <w:proofErr w:type="spellStart"/>
            <w:r w:rsidRPr="0002762F">
              <w:rPr>
                <w:rFonts w:ascii="Arial" w:hAnsi="Arial" w:cs="Arial"/>
                <w:color w:val="000000"/>
                <w:sz w:val="20"/>
                <w:szCs w:val="20"/>
              </w:rPr>
              <w:t>pentosanpolysulphate</w:t>
            </w:r>
            <w:proofErr w:type="spellEnd"/>
            <w:r w:rsidRPr="0002762F">
              <w:rPr>
                <w:rFonts w:ascii="Arial" w:hAnsi="Arial" w:cs="Arial"/>
                <w:color w:val="000000"/>
                <w:sz w:val="20"/>
                <w:szCs w:val="20"/>
              </w:rPr>
              <w:t xml:space="preserve"> sodium.</w:t>
            </w:r>
          </w:p>
          <w:p w14:paraId="54C912B3" w14:textId="77777777" w:rsidR="004C646F" w:rsidRPr="0002762F" w:rsidRDefault="004C646F" w:rsidP="00371BF5">
            <w:pPr>
              <w:rPr>
                <w:rFonts w:ascii="Arial" w:hAnsi="Arial" w:cs="Arial"/>
                <w:b/>
                <w:bCs/>
                <w:sz w:val="20"/>
                <w:szCs w:val="20"/>
              </w:rPr>
            </w:pPr>
          </w:p>
        </w:tc>
        <w:tc>
          <w:tcPr>
            <w:tcW w:w="480" w:type="pct"/>
          </w:tcPr>
          <w:p w14:paraId="58623CF0" w14:textId="55AA90C4" w:rsidR="004C646F" w:rsidRPr="0002762F" w:rsidRDefault="004C646F" w:rsidP="00371BF5">
            <w:pPr>
              <w:rPr>
                <w:rFonts w:ascii="Arial" w:hAnsi="Arial" w:cs="Arial"/>
                <w:sz w:val="20"/>
                <w:szCs w:val="20"/>
              </w:rPr>
            </w:pPr>
          </w:p>
        </w:tc>
        <w:tc>
          <w:tcPr>
            <w:tcW w:w="481" w:type="pct"/>
          </w:tcPr>
          <w:p w14:paraId="40DF46E7" w14:textId="11D94CC1" w:rsidR="004C646F" w:rsidRPr="0002762F" w:rsidRDefault="004C646F" w:rsidP="00371BF5">
            <w:pPr>
              <w:rPr>
                <w:rFonts w:ascii="Arial" w:hAnsi="Arial" w:cs="Arial"/>
                <w:sz w:val="20"/>
                <w:szCs w:val="20"/>
              </w:rPr>
            </w:pPr>
          </w:p>
        </w:tc>
        <w:tc>
          <w:tcPr>
            <w:tcW w:w="482" w:type="pct"/>
          </w:tcPr>
          <w:p w14:paraId="121D6FFD" w14:textId="73DF3B34" w:rsidR="004C646F" w:rsidRDefault="004C646F" w:rsidP="00371BF5">
            <w:pPr>
              <w:rPr>
                <w:rFonts w:ascii="Arial" w:hAnsi="Arial" w:cs="Arial"/>
                <w:b/>
                <w:bCs/>
                <w:color w:val="000000"/>
                <w:sz w:val="20"/>
                <w:szCs w:val="20"/>
              </w:rPr>
            </w:pPr>
            <w:proofErr w:type="spellStart"/>
            <w:r>
              <w:rPr>
                <w:rFonts w:ascii="Arial" w:hAnsi="Arial" w:cs="Arial"/>
                <w:b/>
                <w:bCs/>
                <w:color w:val="000000"/>
                <w:sz w:val="20"/>
                <w:szCs w:val="20"/>
              </w:rPr>
              <w:t>LoE</w:t>
            </w:r>
            <w:proofErr w:type="spellEnd"/>
            <w:r>
              <w:rPr>
                <w:rFonts w:ascii="Arial" w:hAnsi="Arial" w:cs="Arial"/>
                <w:b/>
                <w:bCs/>
                <w:color w:val="000000"/>
                <w:sz w:val="20"/>
                <w:szCs w:val="20"/>
              </w:rPr>
              <w:t xml:space="preserve"> 1b</w:t>
            </w:r>
          </w:p>
          <w:p w14:paraId="05170BC9" w14:textId="44313C66" w:rsidR="004C646F" w:rsidRPr="0002762F" w:rsidRDefault="004C646F" w:rsidP="00371BF5">
            <w:pPr>
              <w:rPr>
                <w:rFonts w:ascii="Arial" w:hAnsi="Arial" w:cs="Arial"/>
                <w:b/>
                <w:bCs/>
                <w:color w:val="000000"/>
                <w:sz w:val="20"/>
                <w:szCs w:val="20"/>
              </w:rPr>
            </w:pPr>
            <w:r>
              <w:rPr>
                <w:rFonts w:ascii="Arial" w:hAnsi="Arial" w:cs="Arial"/>
                <w:b/>
                <w:bCs/>
                <w:color w:val="000000"/>
                <w:sz w:val="20"/>
                <w:szCs w:val="20"/>
              </w:rPr>
              <w:t xml:space="preserve">GR </w:t>
            </w:r>
            <w:r w:rsidRPr="0002762F">
              <w:rPr>
                <w:rFonts w:ascii="Arial" w:hAnsi="Arial" w:cs="Arial"/>
                <w:b/>
                <w:bCs/>
                <w:color w:val="000000"/>
                <w:sz w:val="20"/>
                <w:szCs w:val="20"/>
              </w:rPr>
              <w:t>A</w:t>
            </w:r>
            <w:r w:rsidRPr="0002762F">
              <w:rPr>
                <w:rFonts w:ascii="Arial" w:hAnsi="Arial" w:cs="Arial"/>
                <w:b/>
                <w:bCs/>
                <w:color w:val="000000"/>
                <w:sz w:val="20"/>
                <w:szCs w:val="20"/>
              </w:rPr>
              <w:br/>
            </w:r>
          </w:p>
        </w:tc>
        <w:tc>
          <w:tcPr>
            <w:tcW w:w="481" w:type="pct"/>
          </w:tcPr>
          <w:p w14:paraId="602BC954" w14:textId="77777777" w:rsidR="004C646F" w:rsidRPr="0002762F" w:rsidRDefault="004C646F" w:rsidP="00371BF5">
            <w:pPr>
              <w:rPr>
                <w:rFonts w:ascii="Arial" w:hAnsi="Arial" w:cs="Arial"/>
                <w:sz w:val="20"/>
                <w:szCs w:val="20"/>
              </w:rPr>
            </w:pPr>
          </w:p>
        </w:tc>
        <w:tc>
          <w:tcPr>
            <w:tcW w:w="482" w:type="pct"/>
          </w:tcPr>
          <w:p w14:paraId="06ACB683" w14:textId="77777777" w:rsidR="004C646F" w:rsidRPr="0002762F" w:rsidRDefault="004C646F" w:rsidP="00371BF5">
            <w:pPr>
              <w:rPr>
                <w:rFonts w:ascii="Arial" w:hAnsi="Arial" w:cs="Arial"/>
                <w:sz w:val="20"/>
                <w:szCs w:val="20"/>
              </w:rPr>
            </w:pPr>
          </w:p>
        </w:tc>
        <w:tc>
          <w:tcPr>
            <w:tcW w:w="504" w:type="pct"/>
          </w:tcPr>
          <w:p w14:paraId="0E2C55F6" w14:textId="77777777" w:rsidR="004C646F" w:rsidRPr="0002762F" w:rsidRDefault="004C646F" w:rsidP="00371BF5">
            <w:pPr>
              <w:rPr>
                <w:rFonts w:ascii="Arial" w:hAnsi="Arial" w:cs="Arial"/>
                <w:sz w:val="20"/>
                <w:szCs w:val="20"/>
              </w:rPr>
            </w:pPr>
          </w:p>
        </w:tc>
      </w:tr>
      <w:tr w:rsidR="004C646F" w:rsidRPr="0002762F" w14:paraId="162042A8" w14:textId="55EA64E1" w:rsidTr="004C646F">
        <w:trPr>
          <w:trHeight w:val="580"/>
        </w:trPr>
        <w:tc>
          <w:tcPr>
            <w:tcW w:w="2089" w:type="pct"/>
          </w:tcPr>
          <w:p w14:paraId="638DAEC6" w14:textId="77777777" w:rsidR="004C646F" w:rsidRPr="0002762F" w:rsidRDefault="004C646F" w:rsidP="00371BF5">
            <w:pPr>
              <w:rPr>
                <w:rFonts w:ascii="Arial" w:hAnsi="Arial" w:cs="Arial"/>
                <w:color w:val="000000"/>
                <w:sz w:val="20"/>
                <w:szCs w:val="20"/>
              </w:rPr>
            </w:pPr>
            <w:r w:rsidRPr="0002762F">
              <w:rPr>
                <w:rFonts w:ascii="Arial" w:hAnsi="Arial" w:cs="Arial"/>
                <w:color w:val="000000"/>
                <w:sz w:val="20"/>
                <w:szCs w:val="20"/>
              </w:rPr>
              <w:t>Consider intravesical heparin before more invasive measures alone or in combination treatment for BPS.</w:t>
            </w:r>
          </w:p>
          <w:p w14:paraId="4D76DCD0" w14:textId="77777777" w:rsidR="004C646F" w:rsidRPr="0002762F" w:rsidRDefault="004C646F" w:rsidP="00371BF5">
            <w:pPr>
              <w:rPr>
                <w:rFonts w:ascii="Arial" w:hAnsi="Arial" w:cs="Arial"/>
                <w:b/>
                <w:bCs/>
                <w:sz w:val="20"/>
                <w:szCs w:val="20"/>
              </w:rPr>
            </w:pPr>
          </w:p>
        </w:tc>
        <w:tc>
          <w:tcPr>
            <w:tcW w:w="480" w:type="pct"/>
          </w:tcPr>
          <w:p w14:paraId="6A904376" w14:textId="606076C6" w:rsidR="004C646F" w:rsidRPr="0002762F" w:rsidRDefault="004C646F" w:rsidP="00371BF5">
            <w:pPr>
              <w:rPr>
                <w:rFonts w:ascii="Arial" w:hAnsi="Arial" w:cs="Arial"/>
                <w:sz w:val="20"/>
                <w:szCs w:val="20"/>
              </w:rPr>
            </w:pPr>
          </w:p>
        </w:tc>
        <w:tc>
          <w:tcPr>
            <w:tcW w:w="481" w:type="pct"/>
          </w:tcPr>
          <w:p w14:paraId="6401ED34" w14:textId="4BC89F33" w:rsidR="004C646F" w:rsidRPr="0002762F" w:rsidRDefault="004C646F" w:rsidP="00371BF5">
            <w:pPr>
              <w:rPr>
                <w:rFonts w:ascii="Arial" w:hAnsi="Arial" w:cs="Arial"/>
                <w:sz w:val="20"/>
                <w:szCs w:val="20"/>
              </w:rPr>
            </w:pPr>
          </w:p>
        </w:tc>
        <w:tc>
          <w:tcPr>
            <w:tcW w:w="482" w:type="pct"/>
          </w:tcPr>
          <w:p w14:paraId="49FF34E4" w14:textId="55EF396B" w:rsidR="004C646F" w:rsidRDefault="004C646F" w:rsidP="00371BF5">
            <w:pPr>
              <w:rPr>
                <w:rFonts w:ascii="Arial" w:hAnsi="Arial" w:cs="Arial"/>
                <w:b/>
                <w:bCs/>
                <w:color w:val="000000"/>
                <w:sz w:val="20"/>
                <w:szCs w:val="20"/>
              </w:rPr>
            </w:pPr>
            <w:proofErr w:type="spellStart"/>
            <w:r>
              <w:rPr>
                <w:rFonts w:ascii="Arial" w:hAnsi="Arial" w:cs="Arial"/>
                <w:b/>
                <w:bCs/>
                <w:color w:val="000000"/>
                <w:sz w:val="20"/>
                <w:szCs w:val="20"/>
              </w:rPr>
              <w:t>LoE</w:t>
            </w:r>
            <w:proofErr w:type="spellEnd"/>
            <w:r>
              <w:rPr>
                <w:rFonts w:ascii="Arial" w:hAnsi="Arial" w:cs="Arial"/>
                <w:b/>
                <w:bCs/>
                <w:color w:val="000000"/>
                <w:sz w:val="20"/>
                <w:szCs w:val="20"/>
              </w:rPr>
              <w:t xml:space="preserve"> 3</w:t>
            </w:r>
          </w:p>
          <w:p w14:paraId="4A05F7DE" w14:textId="62C8960C" w:rsidR="004C646F" w:rsidRPr="0002762F" w:rsidRDefault="004C646F" w:rsidP="00371BF5">
            <w:pPr>
              <w:rPr>
                <w:rFonts w:ascii="Arial" w:hAnsi="Arial" w:cs="Arial"/>
                <w:b/>
                <w:bCs/>
                <w:color w:val="000000"/>
                <w:sz w:val="20"/>
                <w:szCs w:val="20"/>
              </w:rPr>
            </w:pPr>
            <w:r>
              <w:rPr>
                <w:rFonts w:ascii="Arial" w:hAnsi="Arial" w:cs="Arial"/>
                <w:b/>
                <w:bCs/>
                <w:color w:val="000000"/>
                <w:sz w:val="20"/>
                <w:szCs w:val="20"/>
              </w:rPr>
              <w:t xml:space="preserve">GR </w:t>
            </w:r>
            <w:r w:rsidRPr="0002762F">
              <w:rPr>
                <w:rFonts w:ascii="Arial" w:hAnsi="Arial" w:cs="Arial"/>
                <w:b/>
                <w:bCs/>
                <w:color w:val="000000"/>
                <w:sz w:val="20"/>
                <w:szCs w:val="20"/>
              </w:rPr>
              <w:t>C</w:t>
            </w:r>
            <w:r w:rsidRPr="0002762F">
              <w:rPr>
                <w:rFonts w:ascii="Arial" w:hAnsi="Arial" w:cs="Arial"/>
                <w:b/>
                <w:bCs/>
                <w:color w:val="000000"/>
                <w:sz w:val="20"/>
                <w:szCs w:val="20"/>
              </w:rPr>
              <w:br/>
            </w:r>
          </w:p>
        </w:tc>
        <w:tc>
          <w:tcPr>
            <w:tcW w:w="481" w:type="pct"/>
          </w:tcPr>
          <w:p w14:paraId="6202DF41" w14:textId="77777777" w:rsidR="004C646F" w:rsidRPr="0002762F" w:rsidRDefault="004C646F" w:rsidP="00371BF5">
            <w:pPr>
              <w:rPr>
                <w:rFonts w:ascii="Arial" w:hAnsi="Arial" w:cs="Arial"/>
                <w:sz w:val="20"/>
                <w:szCs w:val="20"/>
              </w:rPr>
            </w:pPr>
          </w:p>
        </w:tc>
        <w:tc>
          <w:tcPr>
            <w:tcW w:w="482" w:type="pct"/>
          </w:tcPr>
          <w:p w14:paraId="45137299" w14:textId="77777777" w:rsidR="004C646F" w:rsidRPr="0002762F" w:rsidRDefault="004C646F" w:rsidP="00371BF5">
            <w:pPr>
              <w:rPr>
                <w:rFonts w:ascii="Arial" w:hAnsi="Arial" w:cs="Arial"/>
                <w:sz w:val="20"/>
                <w:szCs w:val="20"/>
              </w:rPr>
            </w:pPr>
          </w:p>
        </w:tc>
        <w:tc>
          <w:tcPr>
            <w:tcW w:w="504" w:type="pct"/>
          </w:tcPr>
          <w:p w14:paraId="1C2CF384" w14:textId="77777777" w:rsidR="004C646F" w:rsidRPr="0002762F" w:rsidRDefault="004C646F" w:rsidP="00371BF5">
            <w:pPr>
              <w:rPr>
                <w:rFonts w:ascii="Arial" w:hAnsi="Arial" w:cs="Arial"/>
                <w:sz w:val="20"/>
                <w:szCs w:val="20"/>
              </w:rPr>
            </w:pPr>
          </w:p>
        </w:tc>
      </w:tr>
      <w:tr w:rsidR="004C646F" w:rsidRPr="0002762F" w14:paraId="0E12B88C" w14:textId="0386D863" w:rsidTr="004C646F">
        <w:trPr>
          <w:trHeight w:val="495"/>
        </w:trPr>
        <w:tc>
          <w:tcPr>
            <w:tcW w:w="2089" w:type="pct"/>
          </w:tcPr>
          <w:p w14:paraId="2DFEA16C" w14:textId="6731D548" w:rsidR="004C646F" w:rsidRPr="003E4627" w:rsidRDefault="004C646F" w:rsidP="00371BF5">
            <w:pPr>
              <w:rPr>
                <w:rFonts w:ascii="Arial" w:hAnsi="Arial" w:cs="Arial"/>
                <w:color w:val="000000"/>
                <w:sz w:val="20"/>
                <w:szCs w:val="20"/>
              </w:rPr>
            </w:pPr>
            <w:r w:rsidRPr="0002762F">
              <w:rPr>
                <w:rFonts w:ascii="Arial" w:hAnsi="Arial" w:cs="Arial"/>
                <w:color w:val="000000"/>
                <w:sz w:val="20"/>
                <w:szCs w:val="20"/>
              </w:rPr>
              <w:t>Consider intravesical hyaluronic acid before more invasive measures for BPS</w:t>
            </w:r>
            <w:r>
              <w:rPr>
                <w:rFonts w:ascii="Arial" w:hAnsi="Arial" w:cs="Arial"/>
                <w:color w:val="000000"/>
                <w:sz w:val="20"/>
                <w:szCs w:val="20"/>
              </w:rPr>
              <w:t>.</w:t>
            </w:r>
          </w:p>
        </w:tc>
        <w:tc>
          <w:tcPr>
            <w:tcW w:w="480" w:type="pct"/>
          </w:tcPr>
          <w:p w14:paraId="2C2FDA9E" w14:textId="39294C3A" w:rsidR="004C646F" w:rsidRPr="0002762F" w:rsidRDefault="004C646F" w:rsidP="00371BF5">
            <w:pPr>
              <w:rPr>
                <w:rFonts w:ascii="Arial" w:hAnsi="Arial" w:cs="Arial"/>
                <w:sz w:val="20"/>
                <w:szCs w:val="20"/>
              </w:rPr>
            </w:pPr>
          </w:p>
        </w:tc>
        <w:tc>
          <w:tcPr>
            <w:tcW w:w="481" w:type="pct"/>
          </w:tcPr>
          <w:p w14:paraId="1C837A9D" w14:textId="3B790133" w:rsidR="004C646F" w:rsidRPr="0002762F" w:rsidRDefault="004C646F" w:rsidP="00371BF5">
            <w:pPr>
              <w:rPr>
                <w:rFonts w:ascii="Arial" w:hAnsi="Arial" w:cs="Arial"/>
                <w:sz w:val="20"/>
                <w:szCs w:val="20"/>
              </w:rPr>
            </w:pPr>
          </w:p>
        </w:tc>
        <w:tc>
          <w:tcPr>
            <w:tcW w:w="482" w:type="pct"/>
          </w:tcPr>
          <w:p w14:paraId="1C6952BD" w14:textId="557A9DB4" w:rsidR="004C646F" w:rsidRDefault="004C646F" w:rsidP="00371BF5">
            <w:pPr>
              <w:rPr>
                <w:rFonts w:ascii="Arial" w:hAnsi="Arial" w:cs="Arial"/>
                <w:b/>
                <w:bCs/>
                <w:color w:val="000000"/>
                <w:sz w:val="20"/>
                <w:szCs w:val="20"/>
              </w:rPr>
            </w:pPr>
            <w:proofErr w:type="spellStart"/>
            <w:r>
              <w:rPr>
                <w:rFonts w:ascii="Arial" w:hAnsi="Arial" w:cs="Arial"/>
                <w:b/>
                <w:bCs/>
                <w:color w:val="000000"/>
                <w:sz w:val="20"/>
                <w:szCs w:val="20"/>
              </w:rPr>
              <w:t>LoE</w:t>
            </w:r>
            <w:proofErr w:type="spellEnd"/>
            <w:r>
              <w:rPr>
                <w:rFonts w:ascii="Arial" w:hAnsi="Arial" w:cs="Arial"/>
                <w:b/>
                <w:bCs/>
                <w:color w:val="000000"/>
                <w:sz w:val="20"/>
                <w:szCs w:val="20"/>
              </w:rPr>
              <w:t xml:space="preserve"> 2b</w:t>
            </w:r>
          </w:p>
          <w:p w14:paraId="522C8F85" w14:textId="0F0652B3" w:rsidR="004C646F" w:rsidRPr="0002762F" w:rsidRDefault="004C646F" w:rsidP="00371BF5">
            <w:pPr>
              <w:rPr>
                <w:rFonts w:ascii="Arial" w:hAnsi="Arial" w:cs="Arial"/>
                <w:b/>
                <w:bCs/>
                <w:color w:val="000000"/>
                <w:sz w:val="20"/>
                <w:szCs w:val="20"/>
              </w:rPr>
            </w:pPr>
            <w:r>
              <w:rPr>
                <w:rFonts w:ascii="Arial" w:hAnsi="Arial" w:cs="Arial"/>
                <w:b/>
                <w:bCs/>
                <w:color w:val="000000"/>
                <w:sz w:val="20"/>
                <w:szCs w:val="20"/>
              </w:rPr>
              <w:t xml:space="preserve">GR </w:t>
            </w:r>
            <w:r w:rsidRPr="0002762F">
              <w:rPr>
                <w:rFonts w:ascii="Arial" w:hAnsi="Arial" w:cs="Arial"/>
                <w:b/>
                <w:bCs/>
                <w:color w:val="000000"/>
                <w:sz w:val="20"/>
                <w:szCs w:val="20"/>
              </w:rPr>
              <w:t>B</w:t>
            </w:r>
            <w:r w:rsidRPr="0002762F">
              <w:rPr>
                <w:rFonts w:ascii="Arial" w:hAnsi="Arial" w:cs="Arial"/>
                <w:b/>
                <w:bCs/>
                <w:color w:val="000000"/>
                <w:sz w:val="20"/>
                <w:szCs w:val="20"/>
              </w:rPr>
              <w:br/>
            </w:r>
          </w:p>
        </w:tc>
        <w:tc>
          <w:tcPr>
            <w:tcW w:w="481" w:type="pct"/>
          </w:tcPr>
          <w:p w14:paraId="128AC2F3" w14:textId="77777777" w:rsidR="004C646F" w:rsidRPr="0002762F" w:rsidRDefault="004C646F" w:rsidP="00371BF5">
            <w:pPr>
              <w:rPr>
                <w:rFonts w:ascii="Arial" w:hAnsi="Arial" w:cs="Arial"/>
                <w:sz w:val="20"/>
                <w:szCs w:val="20"/>
              </w:rPr>
            </w:pPr>
          </w:p>
        </w:tc>
        <w:tc>
          <w:tcPr>
            <w:tcW w:w="482" w:type="pct"/>
          </w:tcPr>
          <w:p w14:paraId="08610BEA" w14:textId="77777777" w:rsidR="004C646F" w:rsidRPr="0002762F" w:rsidRDefault="004C646F" w:rsidP="00371BF5">
            <w:pPr>
              <w:rPr>
                <w:rFonts w:ascii="Arial" w:hAnsi="Arial" w:cs="Arial"/>
                <w:sz w:val="20"/>
                <w:szCs w:val="20"/>
              </w:rPr>
            </w:pPr>
          </w:p>
        </w:tc>
        <w:tc>
          <w:tcPr>
            <w:tcW w:w="504" w:type="pct"/>
          </w:tcPr>
          <w:p w14:paraId="672801BD" w14:textId="77777777" w:rsidR="004C646F" w:rsidRPr="0002762F" w:rsidRDefault="004C646F" w:rsidP="00371BF5">
            <w:pPr>
              <w:rPr>
                <w:rFonts w:ascii="Arial" w:hAnsi="Arial" w:cs="Arial"/>
                <w:sz w:val="20"/>
                <w:szCs w:val="20"/>
              </w:rPr>
            </w:pPr>
          </w:p>
        </w:tc>
      </w:tr>
      <w:tr w:rsidR="004C646F" w:rsidRPr="0002762F" w14:paraId="059180C4" w14:textId="04D79D36" w:rsidTr="004C646F">
        <w:tc>
          <w:tcPr>
            <w:tcW w:w="2089" w:type="pct"/>
          </w:tcPr>
          <w:p w14:paraId="52F22F7E" w14:textId="009F4C50" w:rsidR="004C646F" w:rsidRPr="003E4627" w:rsidRDefault="004C646F" w:rsidP="00371BF5">
            <w:pPr>
              <w:rPr>
                <w:rFonts w:ascii="Arial" w:hAnsi="Arial" w:cs="Arial"/>
                <w:color w:val="000000"/>
                <w:sz w:val="20"/>
                <w:szCs w:val="20"/>
              </w:rPr>
            </w:pPr>
            <w:r w:rsidRPr="0002762F">
              <w:rPr>
                <w:rFonts w:ascii="Arial" w:hAnsi="Arial" w:cs="Arial"/>
                <w:color w:val="000000"/>
                <w:sz w:val="20"/>
                <w:szCs w:val="20"/>
              </w:rPr>
              <w:t>Consider intravesical chondroitin sulphate before more invasive measures.</w:t>
            </w:r>
          </w:p>
        </w:tc>
        <w:tc>
          <w:tcPr>
            <w:tcW w:w="480" w:type="pct"/>
          </w:tcPr>
          <w:p w14:paraId="0EBE0CC6" w14:textId="35865BA6" w:rsidR="004C646F" w:rsidRPr="0002762F" w:rsidRDefault="004C646F" w:rsidP="00371BF5">
            <w:pPr>
              <w:rPr>
                <w:rFonts w:ascii="Arial" w:hAnsi="Arial" w:cs="Arial"/>
                <w:sz w:val="20"/>
                <w:szCs w:val="20"/>
              </w:rPr>
            </w:pPr>
          </w:p>
        </w:tc>
        <w:tc>
          <w:tcPr>
            <w:tcW w:w="481" w:type="pct"/>
          </w:tcPr>
          <w:p w14:paraId="3014D6EE" w14:textId="42E2B81D" w:rsidR="004C646F" w:rsidRPr="0002762F" w:rsidRDefault="004C646F" w:rsidP="00371BF5">
            <w:pPr>
              <w:rPr>
                <w:rFonts w:ascii="Arial" w:hAnsi="Arial" w:cs="Arial"/>
                <w:sz w:val="20"/>
                <w:szCs w:val="20"/>
              </w:rPr>
            </w:pPr>
          </w:p>
        </w:tc>
        <w:tc>
          <w:tcPr>
            <w:tcW w:w="482" w:type="pct"/>
          </w:tcPr>
          <w:p w14:paraId="7465F0BB" w14:textId="5C00E871" w:rsidR="004C646F" w:rsidRDefault="004C646F" w:rsidP="00371BF5">
            <w:pPr>
              <w:rPr>
                <w:rFonts w:ascii="Arial" w:hAnsi="Arial" w:cs="Arial"/>
                <w:b/>
                <w:bCs/>
                <w:color w:val="000000"/>
                <w:sz w:val="20"/>
                <w:szCs w:val="20"/>
              </w:rPr>
            </w:pPr>
            <w:proofErr w:type="spellStart"/>
            <w:r>
              <w:rPr>
                <w:rFonts w:ascii="Arial" w:hAnsi="Arial" w:cs="Arial"/>
                <w:b/>
                <w:bCs/>
                <w:color w:val="000000"/>
                <w:sz w:val="20"/>
                <w:szCs w:val="20"/>
              </w:rPr>
              <w:t>LoE</w:t>
            </w:r>
            <w:proofErr w:type="spellEnd"/>
            <w:r>
              <w:rPr>
                <w:rFonts w:ascii="Arial" w:hAnsi="Arial" w:cs="Arial"/>
                <w:b/>
                <w:bCs/>
                <w:color w:val="000000"/>
                <w:sz w:val="20"/>
                <w:szCs w:val="20"/>
              </w:rPr>
              <w:t xml:space="preserve"> 2b</w:t>
            </w:r>
          </w:p>
          <w:p w14:paraId="7B5F9901" w14:textId="2BBE4CB6" w:rsidR="004C646F" w:rsidRPr="0002762F" w:rsidRDefault="004C646F" w:rsidP="00371BF5">
            <w:pPr>
              <w:rPr>
                <w:rFonts w:ascii="Arial" w:hAnsi="Arial" w:cs="Arial"/>
                <w:b/>
                <w:bCs/>
                <w:color w:val="000000"/>
                <w:sz w:val="20"/>
                <w:szCs w:val="20"/>
              </w:rPr>
            </w:pPr>
            <w:r>
              <w:rPr>
                <w:rFonts w:ascii="Arial" w:hAnsi="Arial" w:cs="Arial"/>
                <w:b/>
                <w:bCs/>
                <w:color w:val="000000"/>
                <w:sz w:val="20"/>
                <w:szCs w:val="20"/>
              </w:rPr>
              <w:t xml:space="preserve">GR </w:t>
            </w:r>
            <w:r w:rsidRPr="0002762F">
              <w:rPr>
                <w:rFonts w:ascii="Arial" w:hAnsi="Arial" w:cs="Arial"/>
                <w:b/>
                <w:bCs/>
                <w:color w:val="000000"/>
                <w:sz w:val="20"/>
                <w:szCs w:val="20"/>
              </w:rPr>
              <w:t>B</w:t>
            </w:r>
            <w:r w:rsidRPr="0002762F">
              <w:rPr>
                <w:rFonts w:ascii="Arial" w:hAnsi="Arial" w:cs="Arial"/>
                <w:b/>
                <w:bCs/>
                <w:color w:val="000000"/>
                <w:sz w:val="20"/>
                <w:szCs w:val="20"/>
              </w:rPr>
              <w:br/>
            </w:r>
          </w:p>
        </w:tc>
        <w:tc>
          <w:tcPr>
            <w:tcW w:w="481" w:type="pct"/>
          </w:tcPr>
          <w:p w14:paraId="1D7DB32D" w14:textId="77777777" w:rsidR="004C646F" w:rsidRPr="0002762F" w:rsidRDefault="004C646F" w:rsidP="00371BF5">
            <w:pPr>
              <w:rPr>
                <w:rFonts w:ascii="Arial" w:hAnsi="Arial" w:cs="Arial"/>
                <w:sz w:val="20"/>
                <w:szCs w:val="20"/>
              </w:rPr>
            </w:pPr>
          </w:p>
        </w:tc>
        <w:tc>
          <w:tcPr>
            <w:tcW w:w="482" w:type="pct"/>
          </w:tcPr>
          <w:p w14:paraId="586A6AD6" w14:textId="77777777" w:rsidR="004C646F" w:rsidRPr="0002762F" w:rsidRDefault="004C646F" w:rsidP="00371BF5">
            <w:pPr>
              <w:rPr>
                <w:rFonts w:ascii="Arial" w:hAnsi="Arial" w:cs="Arial"/>
                <w:sz w:val="20"/>
                <w:szCs w:val="20"/>
              </w:rPr>
            </w:pPr>
          </w:p>
        </w:tc>
        <w:tc>
          <w:tcPr>
            <w:tcW w:w="504" w:type="pct"/>
          </w:tcPr>
          <w:p w14:paraId="5EB6C328" w14:textId="77777777" w:rsidR="004C646F" w:rsidRPr="0002762F" w:rsidRDefault="004C646F" w:rsidP="00371BF5">
            <w:pPr>
              <w:rPr>
                <w:rFonts w:ascii="Arial" w:hAnsi="Arial" w:cs="Arial"/>
                <w:sz w:val="20"/>
                <w:szCs w:val="20"/>
              </w:rPr>
            </w:pPr>
          </w:p>
        </w:tc>
      </w:tr>
      <w:tr w:rsidR="004C646F" w:rsidRPr="0002762F" w14:paraId="771EAD85" w14:textId="2469CB9F" w:rsidTr="004C646F">
        <w:tc>
          <w:tcPr>
            <w:tcW w:w="2089" w:type="pct"/>
          </w:tcPr>
          <w:p w14:paraId="047F7BE0" w14:textId="77777777" w:rsidR="004C646F" w:rsidRPr="0002762F" w:rsidRDefault="004C646F" w:rsidP="00371BF5">
            <w:pPr>
              <w:rPr>
                <w:rFonts w:ascii="Arial" w:hAnsi="Arial" w:cs="Arial"/>
                <w:color w:val="000000"/>
                <w:sz w:val="20"/>
                <w:szCs w:val="20"/>
              </w:rPr>
            </w:pPr>
            <w:r w:rsidRPr="0002762F">
              <w:rPr>
                <w:rFonts w:ascii="Arial" w:hAnsi="Arial" w:cs="Arial"/>
                <w:color w:val="000000"/>
                <w:sz w:val="20"/>
                <w:szCs w:val="20"/>
              </w:rPr>
              <w:t>Administer intravesical DMSO before more invasive measures</w:t>
            </w:r>
          </w:p>
          <w:p w14:paraId="29BFFB6C" w14:textId="77777777" w:rsidR="004C646F" w:rsidRPr="0002762F" w:rsidRDefault="004C646F" w:rsidP="00371BF5">
            <w:pPr>
              <w:rPr>
                <w:rFonts w:ascii="Arial" w:hAnsi="Arial" w:cs="Arial"/>
                <w:b/>
                <w:bCs/>
                <w:sz w:val="20"/>
                <w:szCs w:val="20"/>
              </w:rPr>
            </w:pPr>
          </w:p>
        </w:tc>
        <w:tc>
          <w:tcPr>
            <w:tcW w:w="480" w:type="pct"/>
          </w:tcPr>
          <w:p w14:paraId="1D20CEC1" w14:textId="2A83195E" w:rsidR="004C646F" w:rsidRPr="0002762F" w:rsidRDefault="004C646F" w:rsidP="00371BF5">
            <w:pPr>
              <w:rPr>
                <w:rFonts w:ascii="Arial" w:hAnsi="Arial" w:cs="Arial"/>
                <w:sz w:val="20"/>
                <w:szCs w:val="20"/>
              </w:rPr>
            </w:pPr>
          </w:p>
        </w:tc>
        <w:tc>
          <w:tcPr>
            <w:tcW w:w="481" w:type="pct"/>
          </w:tcPr>
          <w:p w14:paraId="451D16CE" w14:textId="2BFCD269" w:rsidR="004C646F" w:rsidRPr="0002762F" w:rsidRDefault="004C646F" w:rsidP="00371BF5">
            <w:pPr>
              <w:rPr>
                <w:rFonts w:ascii="Arial" w:hAnsi="Arial" w:cs="Arial"/>
                <w:sz w:val="20"/>
                <w:szCs w:val="20"/>
              </w:rPr>
            </w:pPr>
          </w:p>
        </w:tc>
        <w:tc>
          <w:tcPr>
            <w:tcW w:w="482" w:type="pct"/>
          </w:tcPr>
          <w:p w14:paraId="63A46FDD" w14:textId="29E22007" w:rsidR="004C646F" w:rsidRDefault="004C646F" w:rsidP="00371BF5">
            <w:pPr>
              <w:rPr>
                <w:rFonts w:ascii="Arial" w:hAnsi="Arial" w:cs="Arial"/>
                <w:b/>
                <w:bCs/>
                <w:color w:val="000000"/>
                <w:sz w:val="20"/>
                <w:szCs w:val="20"/>
              </w:rPr>
            </w:pPr>
            <w:proofErr w:type="spellStart"/>
            <w:r>
              <w:rPr>
                <w:rFonts w:ascii="Arial" w:hAnsi="Arial" w:cs="Arial"/>
                <w:b/>
                <w:bCs/>
                <w:color w:val="000000"/>
                <w:sz w:val="20"/>
                <w:szCs w:val="20"/>
              </w:rPr>
              <w:t>LoE</w:t>
            </w:r>
            <w:proofErr w:type="spellEnd"/>
            <w:r>
              <w:rPr>
                <w:rFonts w:ascii="Arial" w:hAnsi="Arial" w:cs="Arial"/>
                <w:b/>
                <w:bCs/>
                <w:color w:val="000000"/>
                <w:sz w:val="20"/>
                <w:szCs w:val="20"/>
              </w:rPr>
              <w:t xml:space="preserve"> 1b</w:t>
            </w:r>
          </w:p>
          <w:p w14:paraId="0800BC00" w14:textId="3E91B391" w:rsidR="004C646F" w:rsidRPr="0002762F" w:rsidRDefault="004C646F" w:rsidP="00371BF5">
            <w:pPr>
              <w:rPr>
                <w:rFonts w:ascii="Arial" w:hAnsi="Arial" w:cs="Arial"/>
                <w:b/>
                <w:bCs/>
                <w:color w:val="000000"/>
                <w:sz w:val="20"/>
                <w:szCs w:val="20"/>
              </w:rPr>
            </w:pPr>
            <w:r>
              <w:rPr>
                <w:rFonts w:ascii="Arial" w:hAnsi="Arial" w:cs="Arial"/>
                <w:b/>
                <w:bCs/>
                <w:color w:val="000000"/>
                <w:sz w:val="20"/>
                <w:szCs w:val="20"/>
              </w:rPr>
              <w:t xml:space="preserve">GR </w:t>
            </w:r>
            <w:r w:rsidRPr="0002762F">
              <w:rPr>
                <w:rFonts w:ascii="Arial" w:hAnsi="Arial" w:cs="Arial"/>
                <w:b/>
                <w:bCs/>
                <w:color w:val="000000"/>
                <w:sz w:val="20"/>
                <w:szCs w:val="20"/>
              </w:rPr>
              <w:t>A</w:t>
            </w:r>
          </w:p>
          <w:p w14:paraId="1F38F357" w14:textId="77777777" w:rsidR="004C646F" w:rsidRPr="0002762F" w:rsidRDefault="004C646F" w:rsidP="00371BF5">
            <w:pPr>
              <w:rPr>
                <w:rFonts w:ascii="Arial" w:hAnsi="Arial" w:cs="Arial"/>
                <w:b/>
                <w:bCs/>
                <w:color w:val="000000"/>
                <w:sz w:val="20"/>
                <w:szCs w:val="20"/>
              </w:rPr>
            </w:pPr>
          </w:p>
        </w:tc>
        <w:tc>
          <w:tcPr>
            <w:tcW w:w="481" w:type="pct"/>
          </w:tcPr>
          <w:p w14:paraId="66DC11F1" w14:textId="77777777" w:rsidR="004C646F" w:rsidRPr="0002762F" w:rsidRDefault="004C646F" w:rsidP="00371BF5">
            <w:pPr>
              <w:rPr>
                <w:rFonts w:ascii="Arial" w:hAnsi="Arial" w:cs="Arial"/>
                <w:sz w:val="20"/>
                <w:szCs w:val="20"/>
              </w:rPr>
            </w:pPr>
          </w:p>
        </w:tc>
        <w:tc>
          <w:tcPr>
            <w:tcW w:w="482" w:type="pct"/>
          </w:tcPr>
          <w:p w14:paraId="2D24C823" w14:textId="77777777" w:rsidR="004C646F" w:rsidRPr="0002762F" w:rsidRDefault="004C646F" w:rsidP="00371BF5">
            <w:pPr>
              <w:rPr>
                <w:rFonts w:ascii="Arial" w:hAnsi="Arial" w:cs="Arial"/>
                <w:sz w:val="20"/>
                <w:szCs w:val="20"/>
              </w:rPr>
            </w:pPr>
          </w:p>
        </w:tc>
        <w:tc>
          <w:tcPr>
            <w:tcW w:w="504" w:type="pct"/>
          </w:tcPr>
          <w:p w14:paraId="09B5506E" w14:textId="77777777" w:rsidR="004C646F" w:rsidRPr="0002762F" w:rsidRDefault="004C646F" w:rsidP="00371BF5">
            <w:pPr>
              <w:rPr>
                <w:rFonts w:ascii="Arial" w:hAnsi="Arial" w:cs="Arial"/>
                <w:sz w:val="20"/>
                <w:szCs w:val="20"/>
              </w:rPr>
            </w:pPr>
          </w:p>
        </w:tc>
      </w:tr>
      <w:tr w:rsidR="004C646F" w:rsidRPr="0002762F" w14:paraId="25746C72" w14:textId="0BDB523F" w:rsidTr="004C646F">
        <w:trPr>
          <w:trHeight w:val="824"/>
        </w:trPr>
        <w:tc>
          <w:tcPr>
            <w:tcW w:w="2089" w:type="pct"/>
          </w:tcPr>
          <w:p w14:paraId="17378224" w14:textId="216CF591" w:rsidR="004C646F" w:rsidRPr="0002762F" w:rsidRDefault="004C646F" w:rsidP="00371BF5">
            <w:pPr>
              <w:rPr>
                <w:rFonts w:ascii="Arial" w:hAnsi="Arial" w:cs="Arial"/>
                <w:color w:val="000000"/>
                <w:sz w:val="20"/>
                <w:szCs w:val="20"/>
              </w:rPr>
            </w:pPr>
            <w:r w:rsidRPr="0002762F">
              <w:rPr>
                <w:rFonts w:ascii="Arial" w:hAnsi="Arial" w:cs="Arial"/>
                <w:color w:val="000000"/>
                <w:sz w:val="20"/>
                <w:szCs w:val="20"/>
              </w:rPr>
              <w:lastRenderedPageBreak/>
              <w:t>Consider intravesical bladder wall and trigonal injection of BTX-A if intravesical instillation therapies</w:t>
            </w:r>
            <w:r>
              <w:rPr>
                <w:rFonts w:ascii="Arial" w:hAnsi="Arial" w:cs="Arial"/>
                <w:color w:val="000000"/>
                <w:sz w:val="20"/>
                <w:szCs w:val="20"/>
              </w:rPr>
              <w:t xml:space="preserve"> </w:t>
            </w:r>
            <w:r w:rsidRPr="0002762F">
              <w:rPr>
                <w:rFonts w:ascii="Arial" w:hAnsi="Arial" w:cs="Arial"/>
                <w:color w:val="000000"/>
                <w:sz w:val="20"/>
                <w:szCs w:val="20"/>
              </w:rPr>
              <w:t>have failed.</w:t>
            </w:r>
          </w:p>
          <w:p w14:paraId="47885AF2" w14:textId="77777777" w:rsidR="004C646F" w:rsidRPr="0002762F" w:rsidRDefault="004C646F" w:rsidP="00371BF5">
            <w:pPr>
              <w:rPr>
                <w:rFonts w:ascii="Arial" w:hAnsi="Arial" w:cs="Arial"/>
                <w:b/>
                <w:bCs/>
                <w:sz w:val="20"/>
                <w:szCs w:val="20"/>
              </w:rPr>
            </w:pPr>
          </w:p>
        </w:tc>
        <w:tc>
          <w:tcPr>
            <w:tcW w:w="480" w:type="pct"/>
          </w:tcPr>
          <w:p w14:paraId="6FC252E1" w14:textId="43C53BFF" w:rsidR="004C646F" w:rsidRPr="0002762F" w:rsidRDefault="004C646F" w:rsidP="00371BF5">
            <w:pPr>
              <w:rPr>
                <w:rFonts w:ascii="Arial" w:hAnsi="Arial" w:cs="Arial"/>
                <w:sz w:val="20"/>
                <w:szCs w:val="20"/>
              </w:rPr>
            </w:pPr>
          </w:p>
        </w:tc>
        <w:tc>
          <w:tcPr>
            <w:tcW w:w="481" w:type="pct"/>
          </w:tcPr>
          <w:p w14:paraId="5515D4C6" w14:textId="0EA875F8" w:rsidR="004C646F" w:rsidRPr="0002762F" w:rsidRDefault="004C646F" w:rsidP="00371BF5">
            <w:pPr>
              <w:rPr>
                <w:rFonts w:ascii="Arial" w:hAnsi="Arial" w:cs="Arial"/>
                <w:sz w:val="20"/>
                <w:szCs w:val="20"/>
              </w:rPr>
            </w:pPr>
          </w:p>
        </w:tc>
        <w:tc>
          <w:tcPr>
            <w:tcW w:w="482" w:type="pct"/>
          </w:tcPr>
          <w:p w14:paraId="427B5353" w14:textId="62F37260" w:rsidR="004C646F" w:rsidRDefault="004C646F" w:rsidP="00371BF5">
            <w:pPr>
              <w:rPr>
                <w:rFonts w:ascii="Arial" w:hAnsi="Arial" w:cs="Arial"/>
                <w:b/>
                <w:bCs/>
                <w:color w:val="000000"/>
                <w:sz w:val="20"/>
                <w:szCs w:val="20"/>
              </w:rPr>
            </w:pPr>
            <w:proofErr w:type="spellStart"/>
            <w:r>
              <w:rPr>
                <w:rFonts w:ascii="Arial" w:hAnsi="Arial" w:cs="Arial"/>
                <w:b/>
                <w:bCs/>
                <w:color w:val="000000"/>
                <w:sz w:val="20"/>
                <w:szCs w:val="20"/>
              </w:rPr>
              <w:t>LoE</w:t>
            </w:r>
            <w:proofErr w:type="spellEnd"/>
            <w:r>
              <w:rPr>
                <w:rFonts w:ascii="Arial" w:hAnsi="Arial" w:cs="Arial"/>
                <w:b/>
                <w:bCs/>
                <w:color w:val="000000"/>
                <w:sz w:val="20"/>
                <w:szCs w:val="20"/>
              </w:rPr>
              <w:t xml:space="preserve"> 3</w:t>
            </w:r>
          </w:p>
          <w:p w14:paraId="60C2DF15" w14:textId="76A28628" w:rsidR="004C646F" w:rsidRPr="0002762F" w:rsidRDefault="004C646F" w:rsidP="00371BF5">
            <w:pPr>
              <w:rPr>
                <w:rFonts w:ascii="Arial" w:hAnsi="Arial" w:cs="Arial"/>
                <w:b/>
                <w:bCs/>
                <w:color w:val="000000"/>
                <w:sz w:val="20"/>
                <w:szCs w:val="20"/>
              </w:rPr>
            </w:pPr>
            <w:r>
              <w:rPr>
                <w:rFonts w:ascii="Arial" w:hAnsi="Arial" w:cs="Arial"/>
                <w:b/>
                <w:bCs/>
                <w:color w:val="000000"/>
                <w:sz w:val="20"/>
                <w:szCs w:val="20"/>
              </w:rPr>
              <w:t xml:space="preserve">GR </w:t>
            </w:r>
            <w:r w:rsidRPr="0002762F">
              <w:rPr>
                <w:rFonts w:ascii="Arial" w:hAnsi="Arial" w:cs="Arial"/>
                <w:b/>
                <w:bCs/>
                <w:color w:val="000000"/>
                <w:sz w:val="20"/>
                <w:szCs w:val="20"/>
              </w:rPr>
              <w:t>C</w:t>
            </w:r>
            <w:r w:rsidRPr="0002762F">
              <w:rPr>
                <w:rFonts w:ascii="Arial" w:hAnsi="Arial" w:cs="Arial"/>
                <w:b/>
                <w:bCs/>
                <w:color w:val="000000"/>
                <w:sz w:val="20"/>
                <w:szCs w:val="20"/>
              </w:rPr>
              <w:br/>
            </w:r>
          </w:p>
        </w:tc>
        <w:tc>
          <w:tcPr>
            <w:tcW w:w="481" w:type="pct"/>
          </w:tcPr>
          <w:p w14:paraId="2EF50FF5" w14:textId="77777777" w:rsidR="004C646F" w:rsidRPr="0002762F" w:rsidRDefault="004C646F" w:rsidP="00371BF5">
            <w:pPr>
              <w:rPr>
                <w:rFonts w:ascii="Arial" w:hAnsi="Arial" w:cs="Arial"/>
                <w:sz w:val="20"/>
                <w:szCs w:val="20"/>
              </w:rPr>
            </w:pPr>
          </w:p>
        </w:tc>
        <w:tc>
          <w:tcPr>
            <w:tcW w:w="482" w:type="pct"/>
          </w:tcPr>
          <w:p w14:paraId="50108969" w14:textId="77777777" w:rsidR="004C646F" w:rsidRPr="0002762F" w:rsidRDefault="004C646F" w:rsidP="00371BF5">
            <w:pPr>
              <w:rPr>
                <w:rFonts w:ascii="Arial" w:hAnsi="Arial" w:cs="Arial"/>
                <w:sz w:val="20"/>
                <w:szCs w:val="20"/>
              </w:rPr>
            </w:pPr>
          </w:p>
        </w:tc>
        <w:tc>
          <w:tcPr>
            <w:tcW w:w="504" w:type="pct"/>
          </w:tcPr>
          <w:p w14:paraId="77EEFCE5" w14:textId="77777777" w:rsidR="004C646F" w:rsidRPr="0002762F" w:rsidRDefault="004C646F" w:rsidP="00371BF5">
            <w:pPr>
              <w:rPr>
                <w:rFonts w:ascii="Arial" w:hAnsi="Arial" w:cs="Arial"/>
                <w:sz w:val="20"/>
                <w:szCs w:val="20"/>
              </w:rPr>
            </w:pPr>
          </w:p>
        </w:tc>
      </w:tr>
      <w:tr w:rsidR="004C646F" w:rsidRPr="0002762F" w14:paraId="077B965E" w14:textId="2668DE5F" w:rsidTr="004C646F">
        <w:tc>
          <w:tcPr>
            <w:tcW w:w="2089" w:type="pct"/>
          </w:tcPr>
          <w:p w14:paraId="51766942" w14:textId="119A4BB3" w:rsidR="004C646F" w:rsidRPr="0002762F" w:rsidRDefault="004C646F" w:rsidP="00371BF5">
            <w:pPr>
              <w:rPr>
                <w:rFonts w:ascii="Arial" w:hAnsi="Arial" w:cs="Arial"/>
                <w:color w:val="000000"/>
                <w:sz w:val="20"/>
                <w:szCs w:val="20"/>
              </w:rPr>
            </w:pPr>
            <w:r w:rsidRPr="0002762F">
              <w:rPr>
                <w:rFonts w:ascii="Arial" w:hAnsi="Arial" w:cs="Arial"/>
                <w:color w:val="000000"/>
                <w:sz w:val="20"/>
                <w:szCs w:val="20"/>
              </w:rPr>
              <w:t>Administer submucosal injection of BTX-A plus hydrodistension if intravesical instillation therapies</w:t>
            </w:r>
            <w:r>
              <w:rPr>
                <w:rFonts w:ascii="Arial" w:hAnsi="Arial" w:cs="Arial"/>
                <w:color w:val="000000"/>
                <w:sz w:val="20"/>
                <w:szCs w:val="20"/>
              </w:rPr>
              <w:t xml:space="preserve"> </w:t>
            </w:r>
            <w:r w:rsidRPr="0002762F">
              <w:rPr>
                <w:rFonts w:ascii="Arial" w:hAnsi="Arial" w:cs="Arial"/>
                <w:color w:val="000000"/>
                <w:sz w:val="20"/>
                <w:szCs w:val="20"/>
              </w:rPr>
              <w:t>have failed.</w:t>
            </w:r>
          </w:p>
          <w:p w14:paraId="46B0E1EB" w14:textId="77777777" w:rsidR="004C646F" w:rsidRPr="0002762F" w:rsidRDefault="004C646F" w:rsidP="00371BF5">
            <w:pPr>
              <w:rPr>
                <w:rFonts w:ascii="Arial" w:hAnsi="Arial" w:cs="Arial"/>
                <w:b/>
                <w:bCs/>
                <w:sz w:val="20"/>
                <w:szCs w:val="20"/>
              </w:rPr>
            </w:pPr>
          </w:p>
        </w:tc>
        <w:tc>
          <w:tcPr>
            <w:tcW w:w="480" w:type="pct"/>
          </w:tcPr>
          <w:p w14:paraId="4B4810B6" w14:textId="6A310014" w:rsidR="004C646F" w:rsidRPr="0002762F" w:rsidRDefault="004C646F" w:rsidP="00371BF5">
            <w:pPr>
              <w:rPr>
                <w:rFonts w:ascii="Arial" w:hAnsi="Arial" w:cs="Arial"/>
                <w:sz w:val="20"/>
                <w:szCs w:val="20"/>
              </w:rPr>
            </w:pPr>
          </w:p>
        </w:tc>
        <w:tc>
          <w:tcPr>
            <w:tcW w:w="481" w:type="pct"/>
          </w:tcPr>
          <w:p w14:paraId="0AD7BF27" w14:textId="0CF26CE4" w:rsidR="004C646F" w:rsidRPr="0002762F" w:rsidRDefault="004C646F" w:rsidP="00371BF5">
            <w:pPr>
              <w:rPr>
                <w:rFonts w:ascii="Arial" w:hAnsi="Arial" w:cs="Arial"/>
                <w:sz w:val="20"/>
                <w:szCs w:val="20"/>
              </w:rPr>
            </w:pPr>
          </w:p>
        </w:tc>
        <w:tc>
          <w:tcPr>
            <w:tcW w:w="482" w:type="pct"/>
          </w:tcPr>
          <w:p w14:paraId="63DC4E99" w14:textId="3077B1CE" w:rsidR="004C646F" w:rsidRDefault="004C646F" w:rsidP="00371BF5">
            <w:pPr>
              <w:rPr>
                <w:rFonts w:ascii="Arial" w:hAnsi="Arial" w:cs="Arial"/>
                <w:b/>
                <w:bCs/>
                <w:color w:val="000000"/>
                <w:sz w:val="20"/>
                <w:szCs w:val="20"/>
              </w:rPr>
            </w:pPr>
            <w:proofErr w:type="spellStart"/>
            <w:r>
              <w:rPr>
                <w:rFonts w:ascii="Arial" w:hAnsi="Arial" w:cs="Arial"/>
                <w:b/>
                <w:bCs/>
                <w:color w:val="000000"/>
                <w:sz w:val="20"/>
                <w:szCs w:val="20"/>
              </w:rPr>
              <w:t>LoE</w:t>
            </w:r>
            <w:proofErr w:type="spellEnd"/>
            <w:r>
              <w:rPr>
                <w:rFonts w:ascii="Arial" w:hAnsi="Arial" w:cs="Arial"/>
                <w:b/>
                <w:bCs/>
                <w:color w:val="000000"/>
                <w:sz w:val="20"/>
                <w:szCs w:val="20"/>
              </w:rPr>
              <w:t xml:space="preserve"> 1b</w:t>
            </w:r>
          </w:p>
          <w:p w14:paraId="11CCF949" w14:textId="1936BC23" w:rsidR="004C646F" w:rsidRPr="0002762F" w:rsidRDefault="004C646F" w:rsidP="00371BF5">
            <w:pPr>
              <w:rPr>
                <w:rFonts w:ascii="Arial" w:hAnsi="Arial" w:cs="Arial"/>
                <w:b/>
                <w:bCs/>
                <w:color w:val="000000"/>
                <w:sz w:val="20"/>
                <w:szCs w:val="20"/>
              </w:rPr>
            </w:pPr>
            <w:r>
              <w:rPr>
                <w:rFonts w:ascii="Arial" w:hAnsi="Arial" w:cs="Arial"/>
                <w:b/>
                <w:bCs/>
                <w:color w:val="000000"/>
                <w:sz w:val="20"/>
                <w:szCs w:val="20"/>
              </w:rPr>
              <w:t xml:space="preserve">GR </w:t>
            </w:r>
            <w:r w:rsidRPr="0002762F">
              <w:rPr>
                <w:rFonts w:ascii="Arial" w:hAnsi="Arial" w:cs="Arial"/>
                <w:b/>
                <w:bCs/>
                <w:color w:val="000000"/>
                <w:sz w:val="20"/>
                <w:szCs w:val="20"/>
              </w:rPr>
              <w:t>A</w:t>
            </w:r>
          </w:p>
          <w:p w14:paraId="7F842F3F" w14:textId="77777777" w:rsidR="004C646F" w:rsidRPr="0002762F" w:rsidRDefault="004C646F" w:rsidP="00371BF5">
            <w:pPr>
              <w:rPr>
                <w:rFonts w:ascii="Arial" w:hAnsi="Arial" w:cs="Arial"/>
                <w:b/>
                <w:bCs/>
                <w:color w:val="000000"/>
                <w:sz w:val="20"/>
                <w:szCs w:val="20"/>
              </w:rPr>
            </w:pPr>
          </w:p>
        </w:tc>
        <w:tc>
          <w:tcPr>
            <w:tcW w:w="481" w:type="pct"/>
          </w:tcPr>
          <w:p w14:paraId="0D1579E7" w14:textId="77777777" w:rsidR="004C646F" w:rsidRPr="0002762F" w:rsidRDefault="004C646F" w:rsidP="00371BF5">
            <w:pPr>
              <w:rPr>
                <w:rFonts w:ascii="Arial" w:hAnsi="Arial" w:cs="Arial"/>
                <w:sz w:val="20"/>
                <w:szCs w:val="20"/>
              </w:rPr>
            </w:pPr>
          </w:p>
        </w:tc>
        <w:tc>
          <w:tcPr>
            <w:tcW w:w="482" w:type="pct"/>
          </w:tcPr>
          <w:p w14:paraId="6901DCAC" w14:textId="77777777" w:rsidR="004C646F" w:rsidRPr="0002762F" w:rsidRDefault="004C646F" w:rsidP="00371BF5">
            <w:pPr>
              <w:rPr>
                <w:rFonts w:ascii="Arial" w:hAnsi="Arial" w:cs="Arial"/>
                <w:sz w:val="20"/>
                <w:szCs w:val="20"/>
              </w:rPr>
            </w:pPr>
          </w:p>
        </w:tc>
        <w:tc>
          <w:tcPr>
            <w:tcW w:w="504" w:type="pct"/>
          </w:tcPr>
          <w:p w14:paraId="20279BAF" w14:textId="77777777" w:rsidR="004C646F" w:rsidRPr="0002762F" w:rsidRDefault="004C646F" w:rsidP="00371BF5">
            <w:pPr>
              <w:rPr>
                <w:rFonts w:ascii="Arial" w:hAnsi="Arial" w:cs="Arial"/>
                <w:sz w:val="20"/>
                <w:szCs w:val="20"/>
              </w:rPr>
            </w:pPr>
          </w:p>
        </w:tc>
      </w:tr>
      <w:tr w:rsidR="004C646F" w:rsidRPr="0002762F" w14:paraId="55D4B903" w14:textId="2A8C52C1" w:rsidTr="004C646F">
        <w:trPr>
          <w:trHeight w:val="86"/>
        </w:trPr>
        <w:tc>
          <w:tcPr>
            <w:tcW w:w="2089" w:type="pct"/>
          </w:tcPr>
          <w:p w14:paraId="76376E63" w14:textId="77777777" w:rsidR="004C646F" w:rsidRPr="0002762F" w:rsidRDefault="004C646F" w:rsidP="00371BF5">
            <w:pPr>
              <w:rPr>
                <w:rFonts w:ascii="Arial" w:hAnsi="Arial" w:cs="Arial"/>
                <w:color w:val="000000"/>
                <w:sz w:val="20"/>
                <w:szCs w:val="20"/>
              </w:rPr>
            </w:pPr>
            <w:r w:rsidRPr="0002762F">
              <w:rPr>
                <w:rFonts w:ascii="Arial" w:hAnsi="Arial" w:cs="Arial"/>
                <w:color w:val="000000"/>
                <w:sz w:val="20"/>
                <w:szCs w:val="20"/>
              </w:rPr>
              <w:t>Intravesical therapy with BCG is not recommended.</w:t>
            </w:r>
          </w:p>
          <w:p w14:paraId="4792CC64" w14:textId="77777777" w:rsidR="004C646F" w:rsidRPr="0002762F" w:rsidRDefault="004C646F" w:rsidP="00371BF5">
            <w:pPr>
              <w:rPr>
                <w:rFonts w:ascii="Arial" w:hAnsi="Arial" w:cs="Arial"/>
                <w:b/>
                <w:bCs/>
                <w:sz w:val="20"/>
                <w:szCs w:val="20"/>
              </w:rPr>
            </w:pPr>
          </w:p>
        </w:tc>
        <w:tc>
          <w:tcPr>
            <w:tcW w:w="480" w:type="pct"/>
          </w:tcPr>
          <w:p w14:paraId="2FD9D81D" w14:textId="58B5501B" w:rsidR="004C646F" w:rsidRPr="0002762F" w:rsidRDefault="004C646F" w:rsidP="00371BF5">
            <w:pPr>
              <w:rPr>
                <w:rFonts w:ascii="Arial" w:hAnsi="Arial" w:cs="Arial"/>
                <w:sz w:val="20"/>
                <w:szCs w:val="20"/>
              </w:rPr>
            </w:pPr>
          </w:p>
        </w:tc>
        <w:tc>
          <w:tcPr>
            <w:tcW w:w="481" w:type="pct"/>
          </w:tcPr>
          <w:p w14:paraId="65B7FF0E" w14:textId="26B60490" w:rsidR="004C646F" w:rsidRPr="0002762F" w:rsidRDefault="004C646F" w:rsidP="00371BF5">
            <w:pPr>
              <w:rPr>
                <w:rFonts w:ascii="Arial" w:hAnsi="Arial" w:cs="Arial"/>
                <w:sz w:val="20"/>
                <w:szCs w:val="20"/>
              </w:rPr>
            </w:pPr>
          </w:p>
        </w:tc>
        <w:tc>
          <w:tcPr>
            <w:tcW w:w="482" w:type="pct"/>
          </w:tcPr>
          <w:p w14:paraId="2FEF69E1" w14:textId="7AECF902" w:rsidR="004C646F" w:rsidRDefault="004C646F" w:rsidP="00371BF5">
            <w:pPr>
              <w:rPr>
                <w:rFonts w:ascii="Arial" w:hAnsi="Arial" w:cs="Arial"/>
                <w:b/>
                <w:bCs/>
                <w:color w:val="000000"/>
                <w:sz w:val="20"/>
                <w:szCs w:val="20"/>
              </w:rPr>
            </w:pPr>
            <w:proofErr w:type="spellStart"/>
            <w:r>
              <w:rPr>
                <w:rFonts w:ascii="Arial" w:hAnsi="Arial" w:cs="Arial"/>
                <w:b/>
                <w:bCs/>
                <w:color w:val="000000"/>
                <w:sz w:val="20"/>
                <w:szCs w:val="20"/>
              </w:rPr>
              <w:t>LoE</w:t>
            </w:r>
            <w:proofErr w:type="spellEnd"/>
            <w:r>
              <w:rPr>
                <w:rFonts w:ascii="Arial" w:hAnsi="Arial" w:cs="Arial"/>
                <w:b/>
                <w:bCs/>
                <w:color w:val="000000"/>
                <w:sz w:val="20"/>
                <w:szCs w:val="20"/>
              </w:rPr>
              <w:t xml:space="preserve"> 1b</w:t>
            </w:r>
          </w:p>
          <w:p w14:paraId="5EC0970C" w14:textId="2D2254D9" w:rsidR="004C646F" w:rsidRPr="0002762F" w:rsidRDefault="004C646F" w:rsidP="00371BF5">
            <w:pPr>
              <w:rPr>
                <w:rFonts w:ascii="Arial" w:hAnsi="Arial" w:cs="Arial"/>
                <w:b/>
                <w:bCs/>
                <w:color w:val="000000"/>
                <w:sz w:val="20"/>
                <w:szCs w:val="20"/>
              </w:rPr>
            </w:pPr>
            <w:r>
              <w:rPr>
                <w:rFonts w:ascii="Arial" w:hAnsi="Arial" w:cs="Arial"/>
                <w:b/>
                <w:bCs/>
                <w:color w:val="000000"/>
                <w:sz w:val="20"/>
                <w:szCs w:val="20"/>
              </w:rPr>
              <w:t xml:space="preserve">GR </w:t>
            </w:r>
            <w:r w:rsidRPr="0002762F">
              <w:rPr>
                <w:rFonts w:ascii="Arial" w:hAnsi="Arial" w:cs="Arial"/>
                <w:b/>
                <w:bCs/>
                <w:color w:val="000000"/>
                <w:sz w:val="20"/>
                <w:szCs w:val="20"/>
              </w:rPr>
              <w:t>A</w:t>
            </w:r>
          </w:p>
          <w:p w14:paraId="1D6F94D5" w14:textId="77777777" w:rsidR="004C646F" w:rsidRPr="0002762F" w:rsidRDefault="004C646F" w:rsidP="00371BF5">
            <w:pPr>
              <w:rPr>
                <w:rFonts w:ascii="Arial" w:hAnsi="Arial" w:cs="Arial"/>
                <w:b/>
                <w:bCs/>
                <w:color w:val="000000"/>
                <w:sz w:val="20"/>
                <w:szCs w:val="20"/>
              </w:rPr>
            </w:pPr>
          </w:p>
        </w:tc>
        <w:tc>
          <w:tcPr>
            <w:tcW w:w="481" w:type="pct"/>
          </w:tcPr>
          <w:p w14:paraId="5CAD7150" w14:textId="77777777" w:rsidR="004C646F" w:rsidRPr="0002762F" w:rsidRDefault="004C646F" w:rsidP="00371BF5">
            <w:pPr>
              <w:rPr>
                <w:rFonts w:ascii="Arial" w:hAnsi="Arial" w:cs="Arial"/>
                <w:sz w:val="20"/>
                <w:szCs w:val="20"/>
              </w:rPr>
            </w:pPr>
          </w:p>
        </w:tc>
        <w:tc>
          <w:tcPr>
            <w:tcW w:w="482" w:type="pct"/>
          </w:tcPr>
          <w:p w14:paraId="476DAEB9" w14:textId="77777777" w:rsidR="004C646F" w:rsidRPr="0002762F" w:rsidRDefault="004C646F" w:rsidP="00371BF5">
            <w:pPr>
              <w:rPr>
                <w:rFonts w:ascii="Arial" w:hAnsi="Arial" w:cs="Arial"/>
                <w:sz w:val="20"/>
                <w:szCs w:val="20"/>
              </w:rPr>
            </w:pPr>
          </w:p>
        </w:tc>
        <w:tc>
          <w:tcPr>
            <w:tcW w:w="504" w:type="pct"/>
          </w:tcPr>
          <w:p w14:paraId="644F8935" w14:textId="77777777" w:rsidR="004C646F" w:rsidRPr="0002762F" w:rsidRDefault="004C646F" w:rsidP="00371BF5">
            <w:pPr>
              <w:rPr>
                <w:rFonts w:ascii="Arial" w:hAnsi="Arial" w:cs="Arial"/>
                <w:sz w:val="20"/>
                <w:szCs w:val="20"/>
              </w:rPr>
            </w:pPr>
          </w:p>
        </w:tc>
      </w:tr>
      <w:tr w:rsidR="004C646F" w:rsidRPr="0002762F" w14:paraId="39F3BD72" w14:textId="5A4FA0F3" w:rsidTr="004C646F">
        <w:tc>
          <w:tcPr>
            <w:tcW w:w="2089" w:type="pct"/>
          </w:tcPr>
          <w:p w14:paraId="5F6BBEB1" w14:textId="77777777" w:rsidR="004C646F" w:rsidRPr="0002762F" w:rsidRDefault="004C646F" w:rsidP="00371BF5">
            <w:pPr>
              <w:rPr>
                <w:rFonts w:ascii="Arial" w:hAnsi="Arial" w:cs="Arial"/>
                <w:color w:val="000000"/>
                <w:sz w:val="20"/>
                <w:szCs w:val="20"/>
              </w:rPr>
            </w:pPr>
            <w:r w:rsidRPr="0002762F">
              <w:rPr>
                <w:rFonts w:ascii="Arial" w:hAnsi="Arial" w:cs="Arial"/>
                <w:color w:val="000000"/>
                <w:sz w:val="20"/>
                <w:szCs w:val="20"/>
              </w:rPr>
              <w:t xml:space="preserve">Intravesical therapy with </w:t>
            </w:r>
            <w:proofErr w:type="spellStart"/>
            <w:r w:rsidRPr="0002762F">
              <w:rPr>
                <w:rFonts w:ascii="Arial" w:hAnsi="Arial" w:cs="Arial"/>
                <w:color w:val="000000"/>
                <w:sz w:val="20"/>
                <w:szCs w:val="20"/>
              </w:rPr>
              <w:t>clorpactin</w:t>
            </w:r>
            <w:proofErr w:type="spellEnd"/>
            <w:r w:rsidRPr="0002762F">
              <w:rPr>
                <w:rFonts w:ascii="Arial" w:hAnsi="Arial" w:cs="Arial"/>
                <w:color w:val="000000"/>
                <w:sz w:val="20"/>
                <w:szCs w:val="20"/>
              </w:rPr>
              <w:t xml:space="preserve"> is not recommended.</w:t>
            </w:r>
          </w:p>
          <w:p w14:paraId="437F7D71" w14:textId="77777777" w:rsidR="004C646F" w:rsidRPr="0002762F" w:rsidRDefault="004C646F" w:rsidP="00371BF5">
            <w:pPr>
              <w:rPr>
                <w:rFonts w:ascii="Arial" w:hAnsi="Arial" w:cs="Arial"/>
                <w:b/>
                <w:bCs/>
                <w:sz w:val="20"/>
                <w:szCs w:val="20"/>
              </w:rPr>
            </w:pPr>
          </w:p>
        </w:tc>
        <w:tc>
          <w:tcPr>
            <w:tcW w:w="480" w:type="pct"/>
          </w:tcPr>
          <w:p w14:paraId="091B7B26" w14:textId="265C1FD7" w:rsidR="004C646F" w:rsidRPr="0002762F" w:rsidRDefault="004C646F" w:rsidP="00371BF5">
            <w:pPr>
              <w:rPr>
                <w:rFonts w:ascii="Arial" w:hAnsi="Arial" w:cs="Arial"/>
                <w:sz w:val="20"/>
                <w:szCs w:val="20"/>
              </w:rPr>
            </w:pPr>
          </w:p>
        </w:tc>
        <w:tc>
          <w:tcPr>
            <w:tcW w:w="481" w:type="pct"/>
          </w:tcPr>
          <w:p w14:paraId="0CFC3C88" w14:textId="5344952B" w:rsidR="004C646F" w:rsidRPr="0002762F" w:rsidRDefault="004C646F" w:rsidP="00371BF5">
            <w:pPr>
              <w:rPr>
                <w:rFonts w:ascii="Arial" w:hAnsi="Arial" w:cs="Arial"/>
                <w:sz w:val="20"/>
                <w:szCs w:val="20"/>
              </w:rPr>
            </w:pPr>
          </w:p>
        </w:tc>
        <w:tc>
          <w:tcPr>
            <w:tcW w:w="482" w:type="pct"/>
          </w:tcPr>
          <w:p w14:paraId="24E18589" w14:textId="7019C55F" w:rsidR="004C646F" w:rsidRDefault="004C646F" w:rsidP="00371BF5">
            <w:pPr>
              <w:rPr>
                <w:rFonts w:ascii="Arial" w:hAnsi="Arial" w:cs="Arial"/>
                <w:b/>
                <w:bCs/>
                <w:color w:val="000000"/>
                <w:sz w:val="20"/>
                <w:szCs w:val="20"/>
              </w:rPr>
            </w:pPr>
            <w:proofErr w:type="spellStart"/>
            <w:r>
              <w:rPr>
                <w:rFonts w:ascii="Arial" w:hAnsi="Arial" w:cs="Arial"/>
                <w:b/>
                <w:bCs/>
                <w:color w:val="000000"/>
                <w:sz w:val="20"/>
                <w:szCs w:val="20"/>
              </w:rPr>
              <w:t>LoE</w:t>
            </w:r>
            <w:proofErr w:type="spellEnd"/>
            <w:r>
              <w:rPr>
                <w:rFonts w:ascii="Arial" w:hAnsi="Arial" w:cs="Arial"/>
                <w:b/>
                <w:bCs/>
                <w:color w:val="000000"/>
                <w:sz w:val="20"/>
                <w:szCs w:val="20"/>
              </w:rPr>
              <w:t xml:space="preserve"> 3</w:t>
            </w:r>
          </w:p>
          <w:p w14:paraId="10D7C95E" w14:textId="3A10AF50" w:rsidR="004C646F" w:rsidRPr="0002762F" w:rsidRDefault="004C646F" w:rsidP="00371BF5">
            <w:pPr>
              <w:rPr>
                <w:rFonts w:ascii="Arial" w:hAnsi="Arial" w:cs="Arial"/>
                <w:b/>
                <w:bCs/>
                <w:color w:val="000000"/>
                <w:sz w:val="20"/>
                <w:szCs w:val="20"/>
              </w:rPr>
            </w:pPr>
            <w:r>
              <w:rPr>
                <w:rFonts w:ascii="Arial" w:hAnsi="Arial" w:cs="Arial"/>
                <w:b/>
                <w:bCs/>
                <w:color w:val="000000"/>
                <w:sz w:val="20"/>
                <w:szCs w:val="20"/>
              </w:rPr>
              <w:t xml:space="preserve">GR </w:t>
            </w:r>
            <w:r w:rsidRPr="0002762F">
              <w:rPr>
                <w:rFonts w:ascii="Arial" w:hAnsi="Arial" w:cs="Arial"/>
                <w:b/>
                <w:bCs/>
                <w:color w:val="000000"/>
                <w:sz w:val="20"/>
                <w:szCs w:val="20"/>
              </w:rPr>
              <w:t>A</w:t>
            </w:r>
            <w:r w:rsidRPr="0002762F">
              <w:rPr>
                <w:rFonts w:ascii="Arial" w:hAnsi="Arial" w:cs="Arial"/>
                <w:b/>
                <w:bCs/>
                <w:color w:val="000000"/>
                <w:sz w:val="20"/>
                <w:szCs w:val="20"/>
              </w:rPr>
              <w:br/>
            </w:r>
          </w:p>
        </w:tc>
        <w:tc>
          <w:tcPr>
            <w:tcW w:w="481" w:type="pct"/>
          </w:tcPr>
          <w:p w14:paraId="4154D1D9" w14:textId="77777777" w:rsidR="004C646F" w:rsidRPr="0002762F" w:rsidRDefault="004C646F" w:rsidP="00371BF5">
            <w:pPr>
              <w:rPr>
                <w:rFonts w:ascii="Arial" w:hAnsi="Arial" w:cs="Arial"/>
                <w:sz w:val="20"/>
                <w:szCs w:val="20"/>
              </w:rPr>
            </w:pPr>
          </w:p>
        </w:tc>
        <w:tc>
          <w:tcPr>
            <w:tcW w:w="482" w:type="pct"/>
          </w:tcPr>
          <w:p w14:paraId="0D2AB1CD" w14:textId="77777777" w:rsidR="004C646F" w:rsidRPr="0002762F" w:rsidRDefault="004C646F" w:rsidP="00371BF5">
            <w:pPr>
              <w:rPr>
                <w:rFonts w:ascii="Arial" w:hAnsi="Arial" w:cs="Arial"/>
                <w:sz w:val="20"/>
                <w:szCs w:val="20"/>
              </w:rPr>
            </w:pPr>
          </w:p>
        </w:tc>
        <w:tc>
          <w:tcPr>
            <w:tcW w:w="504" w:type="pct"/>
          </w:tcPr>
          <w:p w14:paraId="3BDE7D4B" w14:textId="77777777" w:rsidR="004C646F" w:rsidRPr="0002762F" w:rsidRDefault="004C646F" w:rsidP="00371BF5">
            <w:pPr>
              <w:rPr>
                <w:rFonts w:ascii="Arial" w:hAnsi="Arial" w:cs="Arial"/>
                <w:sz w:val="20"/>
                <w:szCs w:val="20"/>
              </w:rPr>
            </w:pPr>
          </w:p>
        </w:tc>
      </w:tr>
      <w:tr w:rsidR="004C646F" w:rsidRPr="0002762F" w14:paraId="5B0D99EE" w14:textId="6179791D" w:rsidTr="004C646F">
        <w:tc>
          <w:tcPr>
            <w:tcW w:w="2089" w:type="pct"/>
          </w:tcPr>
          <w:p w14:paraId="5A89FC1B" w14:textId="77777777" w:rsidR="004C646F" w:rsidRPr="0002762F" w:rsidRDefault="004C646F" w:rsidP="00371BF5">
            <w:pPr>
              <w:rPr>
                <w:rFonts w:ascii="Arial" w:hAnsi="Arial" w:cs="Arial"/>
                <w:color w:val="000000"/>
                <w:sz w:val="20"/>
                <w:szCs w:val="20"/>
              </w:rPr>
            </w:pPr>
            <w:r w:rsidRPr="0002762F">
              <w:rPr>
                <w:rFonts w:ascii="Arial" w:hAnsi="Arial" w:cs="Arial"/>
                <w:color w:val="000000"/>
                <w:sz w:val="20"/>
                <w:szCs w:val="20"/>
              </w:rPr>
              <w:t xml:space="preserve">Intravesical therapy with vanilloids is not recommended </w:t>
            </w:r>
          </w:p>
          <w:p w14:paraId="7A997C82" w14:textId="77777777" w:rsidR="004C646F" w:rsidRPr="0002762F" w:rsidRDefault="004C646F" w:rsidP="00371BF5">
            <w:pPr>
              <w:rPr>
                <w:rFonts w:ascii="Arial" w:hAnsi="Arial" w:cs="Arial"/>
                <w:b/>
                <w:bCs/>
                <w:sz w:val="20"/>
                <w:szCs w:val="20"/>
              </w:rPr>
            </w:pPr>
          </w:p>
        </w:tc>
        <w:tc>
          <w:tcPr>
            <w:tcW w:w="480" w:type="pct"/>
          </w:tcPr>
          <w:p w14:paraId="6362E617" w14:textId="681215DA" w:rsidR="004C646F" w:rsidRPr="0002762F" w:rsidRDefault="004C646F" w:rsidP="00371BF5">
            <w:pPr>
              <w:rPr>
                <w:rFonts w:ascii="Arial" w:hAnsi="Arial" w:cs="Arial"/>
                <w:sz w:val="20"/>
                <w:szCs w:val="20"/>
              </w:rPr>
            </w:pPr>
          </w:p>
        </w:tc>
        <w:tc>
          <w:tcPr>
            <w:tcW w:w="481" w:type="pct"/>
          </w:tcPr>
          <w:p w14:paraId="6D4A8C39" w14:textId="7E502330" w:rsidR="004C646F" w:rsidRPr="0002762F" w:rsidRDefault="004C646F" w:rsidP="00371BF5">
            <w:pPr>
              <w:rPr>
                <w:rFonts w:ascii="Arial" w:hAnsi="Arial" w:cs="Arial"/>
                <w:sz w:val="20"/>
                <w:szCs w:val="20"/>
              </w:rPr>
            </w:pPr>
          </w:p>
        </w:tc>
        <w:tc>
          <w:tcPr>
            <w:tcW w:w="482" w:type="pct"/>
          </w:tcPr>
          <w:p w14:paraId="74FA8A8D" w14:textId="27B5D343" w:rsidR="004C646F" w:rsidRDefault="004C646F" w:rsidP="00371BF5">
            <w:pPr>
              <w:rPr>
                <w:rFonts w:ascii="Arial" w:hAnsi="Arial" w:cs="Arial"/>
                <w:b/>
                <w:bCs/>
                <w:color w:val="000000"/>
                <w:sz w:val="20"/>
                <w:szCs w:val="20"/>
              </w:rPr>
            </w:pPr>
            <w:proofErr w:type="spellStart"/>
            <w:r>
              <w:rPr>
                <w:rFonts w:ascii="Arial" w:hAnsi="Arial" w:cs="Arial"/>
                <w:b/>
                <w:bCs/>
                <w:color w:val="000000"/>
                <w:sz w:val="20"/>
                <w:szCs w:val="20"/>
              </w:rPr>
              <w:t>LoE</w:t>
            </w:r>
            <w:proofErr w:type="spellEnd"/>
            <w:r>
              <w:rPr>
                <w:rFonts w:ascii="Arial" w:hAnsi="Arial" w:cs="Arial"/>
                <w:b/>
                <w:bCs/>
                <w:color w:val="000000"/>
                <w:sz w:val="20"/>
                <w:szCs w:val="20"/>
              </w:rPr>
              <w:t xml:space="preserve"> 1b</w:t>
            </w:r>
          </w:p>
          <w:p w14:paraId="6E047130" w14:textId="16468BD4" w:rsidR="004C646F" w:rsidRPr="0002762F" w:rsidRDefault="004C646F" w:rsidP="00371BF5">
            <w:pPr>
              <w:rPr>
                <w:rFonts w:ascii="Arial" w:hAnsi="Arial" w:cs="Arial"/>
                <w:b/>
                <w:bCs/>
                <w:color w:val="000000"/>
                <w:sz w:val="20"/>
                <w:szCs w:val="20"/>
              </w:rPr>
            </w:pPr>
            <w:r>
              <w:rPr>
                <w:rFonts w:ascii="Arial" w:hAnsi="Arial" w:cs="Arial"/>
                <w:b/>
                <w:bCs/>
                <w:color w:val="000000"/>
                <w:sz w:val="20"/>
                <w:szCs w:val="20"/>
              </w:rPr>
              <w:t xml:space="preserve">GR </w:t>
            </w:r>
            <w:r w:rsidRPr="0002762F">
              <w:rPr>
                <w:rFonts w:ascii="Arial" w:hAnsi="Arial" w:cs="Arial"/>
                <w:b/>
                <w:bCs/>
                <w:color w:val="000000"/>
                <w:sz w:val="20"/>
                <w:szCs w:val="20"/>
              </w:rPr>
              <w:t>C</w:t>
            </w:r>
            <w:r w:rsidRPr="0002762F">
              <w:rPr>
                <w:rFonts w:ascii="Arial" w:hAnsi="Arial" w:cs="Arial"/>
                <w:b/>
                <w:bCs/>
                <w:color w:val="000000"/>
                <w:sz w:val="20"/>
                <w:szCs w:val="20"/>
              </w:rPr>
              <w:br/>
            </w:r>
          </w:p>
        </w:tc>
        <w:tc>
          <w:tcPr>
            <w:tcW w:w="481" w:type="pct"/>
          </w:tcPr>
          <w:p w14:paraId="3B77277D" w14:textId="77777777" w:rsidR="004C646F" w:rsidRPr="0002762F" w:rsidRDefault="004C646F" w:rsidP="00371BF5">
            <w:pPr>
              <w:rPr>
                <w:rFonts w:ascii="Arial" w:hAnsi="Arial" w:cs="Arial"/>
                <w:sz w:val="20"/>
                <w:szCs w:val="20"/>
              </w:rPr>
            </w:pPr>
          </w:p>
        </w:tc>
        <w:tc>
          <w:tcPr>
            <w:tcW w:w="482" w:type="pct"/>
          </w:tcPr>
          <w:p w14:paraId="6517BF2A" w14:textId="77777777" w:rsidR="004C646F" w:rsidRPr="0002762F" w:rsidRDefault="004C646F" w:rsidP="00371BF5">
            <w:pPr>
              <w:rPr>
                <w:rFonts w:ascii="Arial" w:hAnsi="Arial" w:cs="Arial"/>
                <w:sz w:val="20"/>
                <w:szCs w:val="20"/>
              </w:rPr>
            </w:pPr>
          </w:p>
        </w:tc>
        <w:tc>
          <w:tcPr>
            <w:tcW w:w="504" w:type="pct"/>
          </w:tcPr>
          <w:p w14:paraId="0C2849B2" w14:textId="77777777" w:rsidR="004C646F" w:rsidRPr="0002762F" w:rsidRDefault="004C646F" w:rsidP="00371BF5">
            <w:pPr>
              <w:rPr>
                <w:rFonts w:ascii="Arial" w:hAnsi="Arial" w:cs="Arial"/>
                <w:sz w:val="20"/>
                <w:szCs w:val="20"/>
              </w:rPr>
            </w:pPr>
          </w:p>
        </w:tc>
      </w:tr>
      <w:tr w:rsidR="004C646F" w:rsidRPr="0002762F" w14:paraId="2CF4978E" w14:textId="009FE452" w:rsidTr="004C646F">
        <w:tc>
          <w:tcPr>
            <w:tcW w:w="2089" w:type="pct"/>
          </w:tcPr>
          <w:p w14:paraId="5E0C4F7B" w14:textId="77777777" w:rsidR="004C646F" w:rsidRPr="0002762F" w:rsidRDefault="004C646F" w:rsidP="00371BF5">
            <w:pPr>
              <w:rPr>
                <w:rFonts w:ascii="Arial" w:hAnsi="Arial" w:cs="Arial"/>
                <w:color w:val="000000"/>
                <w:sz w:val="20"/>
                <w:szCs w:val="20"/>
              </w:rPr>
            </w:pPr>
            <w:r w:rsidRPr="0002762F">
              <w:rPr>
                <w:rFonts w:ascii="Arial" w:hAnsi="Arial" w:cs="Arial"/>
                <w:color w:val="000000"/>
                <w:sz w:val="20"/>
                <w:szCs w:val="20"/>
              </w:rPr>
              <w:t>Bladder distension is not recommended as a treatment of BPS.</w:t>
            </w:r>
          </w:p>
          <w:p w14:paraId="1951FC59" w14:textId="77777777" w:rsidR="004C646F" w:rsidRPr="0002762F" w:rsidRDefault="004C646F" w:rsidP="00371BF5">
            <w:pPr>
              <w:rPr>
                <w:rFonts w:ascii="Arial" w:hAnsi="Arial" w:cs="Arial"/>
                <w:b/>
                <w:bCs/>
                <w:sz w:val="20"/>
                <w:szCs w:val="20"/>
              </w:rPr>
            </w:pPr>
          </w:p>
        </w:tc>
        <w:tc>
          <w:tcPr>
            <w:tcW w:w="480" w:type="pct"/>
          </w:tcPr>
          <w:p w14:paraId="0543193B" w14:textId="774DF5D6" w:rsidR="004C646F" w:rsidRPr="0002762F" w:rsidRDefault="004C646F" w:rsidP="00371BF5">
            <w:pPr>
              <w:rPr>
                <w:rFonts w:ascii="Arial" w:hAnsi="Arial" w:cs="Arial"/>
                <w:sz w:val="20"/>
                <w:szCs w:val="20"/>
              </w:rPr>
            </w:pPr>
          </w:p>
        </w:tc>
        <w:tc>
          <w:tcPr>
            <w:tcW w:w="481" w:type="pct"/>
          </w:tcPr>
          <w:p w14:paraId="794AB3ED" w14:textId="6421F1B8" w:rsidR="004C646F" w:rsidRPr="0002762F" w:rsidRDefault="004C646F" w:rsidP="00371BF5">
            <w:pPr>
              <w:rPr>
                <w:rFonts w:ascii="Arial" w:hAnsi="Arial" w:cs="Arial"/>
                <w:sz w:val="20"/>
                <w:szCs w:val="20"/>
              </w:rPr>
            </w:pPr>
          </w:p>
        </w:tc>
        <w:tc>
          <w:tcPr>
            <w:tcW w:w="482" w:type="pct"/>
          </w:tcPr>
          <w:p w14:paraId="7EF42ED2" w14:textId="05766DA9" w:rsidR="004C646F" w:rsidRDefault="004C646F" w:rsidP="00371BF5">
            <w:pPr>
              <w:rPr>
                <w:rFonts w:ascii="Arial" w:hAnsi="Arial" w:cs="Arial"/>
                <w:b/>
                <w:bCs/>
                <w:color w:val="000000"/>
                <w:sz w:val="20"/>
                <w:szCs w:val="20"/>
              </w:rPr>
            </w:pPr>
            <w:proofErr w:type="spellStart"/>
            <w:r>
              <w:rPr>
                <w:rFonts w:ascii="Arial" w:hAnsi="Arial" w:cs="Arial"/>
                <w:b/>
                <w:bCs/>
                <w:color w:val="000000"/>
                <w:sz w:val="20"/>
                <w:szCs w:val="20"/>
              </w:rPr>
              <w:t>LoE</w:t>
            </w:r>
            <w:proofErr w:type="spellEnd"/>
            <w:r>
              <w:rPr>
                <w:rFonts w:ascii="Arial" w:hAnsi="Arial" w:cs="Arial"/>
                <w:b/>
                <w:bCs/>
                <w:color w:val="000000"/>
                <w:sz w:val="20"/>
                <w:szCs w:val="20"/>
              </w:rPr>
              <w:t xml:space="preserve"> 3 </w:t>
            </w:r>
          </w:p>
          <w:p w14:paraId="1D014773" w14:textId="381FE13D" w:rsidR="004C646F" w:rsidRPr="0002762F" w:rsidRDefault="004C646F" w:rsidP="00371BF5">
            <w:pPr>
              <w:rPr>
                <w:rFonts w:ascii="Arial" w:hAnsi="Arial" w:cs="Arial"/>
                <w:b/>
                <w:bCs/>
                <w:color w:val="000000"/>
                <w:sz w:val="20"/>
                <w:szCs w:val="20"/>
              </w:rPr>
            </w:pPr>
            <w:r>
              <w:rPr>
                <w:rFonts w:ascii="Arial" w:hAnsi="Arial" w:cs="Arial"/>
                <w:b/>
                <w:bCs/>
                <w:color w:val="000000"/>
                <w:sz w:val="20"/>
                <w:szCs w:val="20"/>
              </w:rPr>
              <w:t xml:space="preserve">GR </w:t>
            </w:r>
            <w:r w:rsidRPr="0002762F">
              <w:rPr>
                <w:rFonts w:ascii="Arial" w:hAnsi="Arial" w:cs="Arial"/>
                <w:b/>
                <w:bCs/>
                <w:color w:val="000000"/>
                <w:sz w:val="20"/>
                <w:szCs w:val="20"/>
              </w:rPr>
              <w:t>C</w:t>
            </w:r>
            <w:r w:rsidRPr="0002762F">
              <w:rPr>
                <w:rFonts w:ascii="Arial" w:hAnsi="Arial" w:cs="Arial"/>
                <w:b/>
                <w:bCs/>
                <w:color w:val="000000"/>
                <w:sz w:val="20"/>
                <w:szCs w:val="20"/>
              </w:rPr>
              <w:br/>
            </w:r>
          </w:p>
        </w:tc>
        <w:tc>
          <w:tcPr>
            <w:tcW w:w="481" w:type="pct"/>
          </w:tcPr>
          <w:p w14:paraId="551ED227" w14:textId="77777777" w:rsidR="004C646F" w:rsidRPr="0002762F" w:rsidRDefault="004C646F" w:rsidP="00371BF5">
            <w:pPr>
              <w:rPr>
                <w:rFonts w:ascii="Arial" w:hAnsi="Arial" w:cs="Arial"/>
                <w:sz w:val="20"/>
                <w:szCs w:val="20"/>
              </w:rPr>
            </w:pPr>
          </w:p>
        </w:tc>
        <w:tc>
          <w:tcPr>
            <w:tcW w:w="482" w:type="pct"/>
          </w:tcPr>
          <w:p w14:paraId="7FB3BA07" w14:textId="77777777" w:rsidR="004C646F" w:rsidRPr="0002762F" w:rsidRDefault="004C646F" w:rsidP="00371BF5">
            <w:pPr>
              <w:rPr>
                <w:rFonts w:ascii="Arial" w:hAnsi="Arial" w:cs="Arial"/>
                <w:sz w:val="20"/>
                <w:szCs w:val="20"/>
              </w:rPr>
            </w:pPr>
          </w:p>
        </w:tc>
        <w:tc>
          <w:tcPr>
            <w:tcW w:w="504" w:type="pct"/>
          </w:tcPr>
          <w:p w14:paraId="1106C92D" w14:textId="77777777" w:rsidR="004C646F" w:rsidRPr="0002762F" w:rsidRDefault="004C646F" w:rsidP="00371BF5">
            <w:pPr>
              <w:rPr>
                <w:rFonts w:ascii="Arial" w:hAnsi="Arial" w:cs="Arial"/>
                <w:sz w:val="20"/>
                <w:szCs w:val="20"/>
              </w:rPr>
            </w:pPr>
          </w:p>
        </w:tc>
      </w:tr>
      <w:tr w:rsidR="004C646F" w:rsidRPr="0002762F" w14:paraId="3AAA2010" w14:textId="4C607D58" w:rsidTr="004C646F">
        <w:tc>
          <w:tcPr>
            <w:tcW w:w="2089" w:type="pct"/>
          </w:tcPr>
          <w:p w14:paraId="0C345E36" w14:textId="77777777" w:rsidR="004C646F" w:rsidRPr="0002762F" w:rsidRDefault="004C646F" w:rsidP="00371BF5">
            <w:pPr>
              <w:rPr>
                <w:rFonts w:ascii="Arial" w:hAnsi="Arial" w:cs="Arial"/>
                <w:color w:val="000000"/>
                <w:sz w:val="20"/>
                <w:szCs w:val="20"/>
              </w:rPr>
            </w:pPr>
            <w:r w:rsidRPr="0002762F">
              <w:rPr>
                <w:rFonts w:ascii="Arial" w:hAnsi="Arial" w:cs="Arial"/>
                <w:color w:val="000000"/>
                <w:sz w:val="20"/>
                <w:szCs w:val="20"/>
              </w:rPr>
              <w:t xml:space="preserve">Electromotive drug administration might be considered before more invasive measures </w:t>
            </w:r>
          </w:p>
          <w:p w14:paraId="500EE3C1" w14:textId="77777777" w:rsidR="004C646F" w:rsidRPr="0002762F" w:rsidRDefault="004C646F" w:rsidP="00371BF5">
            <w:pPr>
              <w:rPr>
                <w:rFonts w:ascii="Arial" w:hAnsi="Arial" w:cs="Arial"/>
                <w:b/>
                <w:bCs/>
                <w:sz w:val="20"/>
                <w:szCs w:val="20"/>
              </w:rPr>
            </w:pPr>
          </w:p>
        </w:tc>
        <w:tc>
          <w:tcPr>
            <w:tcW w:w="480" w:type="pct"/>
          </w:tcPr>
          <w:p w14:paraId="781DEE3E" w14:textId="2CC886B8" w:rsidR="004C646F" w:rsidRPr="0002762F" w:rsidRDefault="004C646F" w:rsidP="00371BF5">
            <w:pPr>
              <w:rPr>
                <w:rFonts w:ascii="Arial" w:hAnsi="Arial" w:cs="Arial"/>
                <w:sz w:val="20"/>
                <w:szCs w:val="20"/>
              </w:rPr>
            </w:pPr>
          </w:p>
        </w:tc>
        <w:tc>
          <w:tcPr>
            <w:tcW w:w="481" w:type="pct"/>
          </w:tcPr>
          <w:p w14:paraId="66444E69" w14:textId="7A2BA9CC" w:rsidR="004C646F" w:rsidRPr="0002762F" w:rsidRDefault="004C646F" w:rsidP="00371BF5">
            <w:pPr>
              <w:rPr>
                <w:rFonts w:ascii="Arial" w:hAnsi="Arial" w:cs="Arial"/>
                <w:sz w:val="20"/>
                <w:szCs w:val="20"/>
              </w:rPr>
            </w:pPr>
          </w:p>
        </w:tc>
        <w:tc>
          <w:tcPr>
            <w:tcW w:w="482" w:type="pct"/>
          </w:tcPr>
          <w:p w14:paraId="7AF7A075" w14:textId="2B59A857" w:rsidR="004C646F" w:rsidRDefault="004C646F" w:rsidP="00371BF5">
            <w:pPr>
              <w:rPr>
                <w:rFonts w:ascii="Arial" w:hAnsi="Arial" w:cs="Arial"/>
                <w:b/>
                <w:bCs/>
                <w:color w:val="000000"/>
                <w:sz w:val="20"/>
                <w:szCs w:val="20"/>
              </w:rPr>
            </w:pPr>
            <w:proofErr w:type="spellStart"/>
            <w:r>
              <w:rPr>
                <w:rFonts w:ascii="Arial" w:hAnsi="Arial" w:cs="Arial"/>
                <w:b/>
                <w:bCs/>
                <w:color w:val="000000"/>
                <w:sz w:val="20"/>
                <w:szCs w:val="20"/>
              </w:rPr>
              <w:t>LoE</w:t>
            </w:r>
            <w:proofErr w:type="spellEnd"/>
            <w:r>
              <w:rPr>
                <w:rFonts w:ascii="Arial" w:hAnsi="Arial" w:cs="Arial"/>
                <w:b/>
                <w:bCs/>
                <w:color w:val="000000"/>
                <w:sz w:val="20"/>
                <w:szCs w:val="20"/>
              </w:rPr>
              <w:t xml:space="preserve"> 3</w:t>
            </w:r>
          </w:p>
          <w:p w14:paraId="1E8AECFB" w14:textId="3D46B213" w:rsidR="004C646F" w:rsidRPr="0002762F" w:rsidRDefault="004C646F" w:rsidP="00371BF5">
            <w:pPr>
              <w:rPr>
                <w:rFonts w:ascii="Arial" w:hAnsi="Arial" w:cs="Arial"/>
                <w:b/>
                <w:bCs/>
                <w:color w:val="000000"/>
                <w:sz w:val="20"/>
                <w:szCs w:val="20"/>
              </w:rPr>
            </w:pPr>
            <w:r>
              <w:rPr>
                <w:rFonts w:ascii="Arial" w:hAnsi="Arial" w:cs="Arial"/>
                <w:b/>
                <w:bCs/>
                <w:color w:val="000000"/>
                <w:sz w:val="20"/>
                <w:szCs w:val="20"/>
              </w:rPr>
              <w:t xml:space="preserve">GR </w:t>
            </w:r>
            <w:r w:rsidRPr="0002762F">
              <w:rPr>
                <w:rFonts w:ascii="Arial" w:hAnsi="Arial" w:cs="Arial"/>
                <w:b/>
                <w:bCs/>
                <w:color w:val="000000"/>
                <w:sz w:val="20"/>
                <w:szCs w:val="20"/>
              </w:rPr>
              <w:t>C</w:t>
            </w:r>
            <w:r w:rsidRPr="0002762F">
              <w:rPr>
                <w:rFonts w:ascii="Arial" w:hAnsi="Arial" w:cs="Arial"/>
                <w:b/>
                <w:bCs/>
                <w:color w:val="000000"/>
                <w:sz w:val="20"/>
                <w:szCs w:val="20"/>
              </w:rPr>
              <w:br/>
            </w:r>
          </w:p>
        </w:tc>
        <w:tc>
          <w:tcPr>
            <w:tcW w:w="481" w:type="pct"/>
          </w:tcPr>
          <w:p w14:paraId="52B20B9C" w14:textId="77777777" w:rsidR="004C646F" w:rsidRPr="0002762F" w:rsidRDefault="004C646F" w:rsidP="00371BF5">
            <w:pPr>
              <w:rPr>
                <w:rFonts w:ascii="Arial" w:hAnsi="Arial" w:cs="Arial"/>
                <w:sz w:val="20"/>
                <w:szCs w:val="20"/>
              </w:rPr>
            </w:pPr>
          </w:p>
        </w:tc>
        <w:tc>
          <w:tcPr>
            <w:tcW w:w="482" w:type="pct"/>
          </w:tcPr>
          <w:p w14:paraId="6E367818" w14:textId="77777777" w:rsidR="004C646F" w:rsidRPr="0002762F" w:rsidRDefault="004C646F" w:rsidP="00371BF5">
            <w:pPr>
              <w:rPr>
                <w:rFonts w:ascii="Arial" w:hAnsi="Arial" w:cs="Arial"/>
                <w:sz w:val="20"/>
                <w:szCs w:val="20"/>
              </w:rPr>
            </w:pPr>
          </w:p>
        </w:tc>
        <w:tc>
          <w:tcPr>
            <w:tcW w:w="504" w:type="pct"/>
          </w:tcPr>
          <w:p w14:paraId="2CB56E93" w14:textId="77777777" w:rsidR="004C646F" w:rsidRPr="0002762F" w:rsidRDefault="004C646F" w:rsidP="00371BF5">
            <w:pPr>
              <w:rPr>
                <w:rFonts w:ascii="Arial" w:hAnsi="Arial" w:cs="Arial"/>
                <w:sz w:val="20"/>
                <w:szCs w:val="20"/>
              </w:rPr>
            </w:pPr>
          </w:p>
        </w:tc>
      </w:tr>
      <w:tr w:rsidR="004C646F" w:rsidRPr="0002762F" w14:paraId="0C97BE35" w14:textId="475FD837" w:rsidTr="004C646F">
        <w:tc>
          <w:tcPr>
            <w:tcW w:w="2089" w:type="pct"/>
          </w:tcPr>
          <w:p w14:paraId="3BC9E083" w14:textId="77777777" w:rsidR="004C646F" w:rsidRPr="0002762F" w:rsidRDefault="004C646F" w:rsidP="00371BF5">
            <w:pPr>
              <w:rPr>
                <w:rFonts w:ascii="Arial" w:hAnsi="Arial" w:cs="Arial"/>
                <w:color w:val="000000"/>
                <w:sz w:val="20"/>
                <w:szCs w:val="20"/>
              </w:rPr>
            </w:pPr>
            <w:r w:rsidRPr="0002762F">
              <w:rPr>
                <w:rFonts w:ascii="Arial" w:hAnsi="Arial" w:cs="Arial"/>
                <w:color w:val="000000"/>
                <w:sz w:val="20"/>
                <w:szCs w:val="20"/>
              </w:rPr>
              <w:t>Neuromodulation might be considered before more invasive interventions for BPS.</w:t>
            </w:r>
          </w:p>
          <w:p w14:paraId="4AB6E65E" w14:textId="77777777" w:rsidR="004C646F" w:rsidRPr="0002762F" w:rsidRDefault="004C646F" w:rsidP="00371BF5">
            <w:pPr>
              <w:rPr>
                <w:rFonts w:ascii="Arial" w:hAnsi="Arial" w:cs="Arial"/>
                <w:b/>
                <w:bCs/>
                <w:sz w:val="20"/>
                <w:szCs w:val="20"/>
              </w:rPr>
            </w:pPr>
          </w:p>
        </w:tc>
        <w:tc>
          <w:tcPr>
            <w:tcW w:w="480" w:type="pct"/>
          </w:tcPr>
          <w:p w14:paraId="3A5F7DBC" w14:textId="250176FC" w:rsidR="004C646F" w:rsidRPr="0002762F" w:rsidRDefault="004C646F" w:rsidP="00371BF5">
            <w:pPr>
              <w:rPr>
                <w:rFonts w:ascii="Arial" w:hAnsi="Arial" w:cs="Arial"/>
                <w:sz w:val="20"/>
                <w:szCs w:val="20"/>
              </w:rPr>
            </w:pPr>
          </w:p>
        </w:tc>
        <w:tc>
          <w:tcPr>
            <w:tcW w:w="481" w:type="pct"/>
          </w:tcPr>
          <w:p w14:paraId="65B089C0" w14:textId="2F49B989" w:rsidR="004C646F" w:rsidRPr="0002762F" w:rsidRDefault="004C646F" w:rsidP="00371BF5">
            <w:pPr>
              <w:rPr>
                <w:rFonts w:ascii="Arial" w:hAnsi="Arial" w:cs="Arial"/>
                <w:sz w:val="20"/>
                <w:szCs w:val="20"/>
              </w:rPr>
            </w:pPr>
          </w:p>
        </w:tc>
        <w:tc>
          <w:tcPr>
            <w:tcW w:w="482" w:type="pct"/>
          </w:tcPr>
          <w:p w14:paraId="65606C0F" w14:textId="299BD112" w:rsidR="004C646F" w:rsidRDefault="004C646F" w:rsidP="00371BF5">
            <w:pPr>
              <w:rPr>
                <w:rFonts w:ascii="Arial" w:hAnsi="Arial" w:cs="Arial"/>
                <w:b/>
                <w:bCs/>
                <w:color w:val="000000"/>
                <w:sz w:val="20"/>
                <w:szCs w:val="20"/>
              </w:rPr>
            </w:pPr>
            <w:proofErr w:type="spellStart"/>
            <w:r>
              <w:rPr>
                <w:rFonts w:ascii="Arial" w:hAnsi="Arial" w:cs="Arial"/>
                <w:b/>
                <w:bCs/>
                <w:color w:val="000000"/>
                <w:sz w:val="20"/>
                <w:szCs w:val="20"/>
              </w:rPr>
              <w:t>LoE</w:t>
            </w:r>
            <w:proofErr w:type="spellEnd"/>
            <w:r>
              <w:rPr>
                <w:rFonts w:ascii="Arial" w:hAnsi="Arial" w:cs="Arial"/>
                <w:b/>
                <w:bCs/>
                <w:color w:val="000000"/>
                <w:sz w:val="20"/>
                <w:szCs w:val="20"/>
              </w:rPr>
              <w:t xml:space="preserve"> 3</w:t>
            </w:r>
          </w:p>
          <w:p w14:paraId="0C5D325B" w14:textId="05862F07" w:rsidR="004C646F" w:rsidRPr="0002762F" w:rsidRDefault="004C646F" w:rsidP="00371BF5">
            <w:pPr>
              <w:rPr>
                <w:rFonts w:ascii="Arial" w:hAnsi="Arial" w:cs="Arial"/>
                <w:b/>
                <w:bCs/>
                <w:color w:val="000000"/>
                <w:sz w:val="20"/>
                <w:szCs w:val="20"/>
              </w:rPr>
            </w:pPr>
            <w:r>
              <w:rPr>
                <w:rFonts w:ascii="Arial" w:hAnsi="Arial" w:cs="Arial"/>
                <w:b/>
                <w:bCs/>
                <w:color w:val="000000"/>
                <w:sz w:val="20"/>
                <w:szCs w:val="20"/>
              </w:rPr>
              <w:t xml:space="preserve">GR </w:t>
            </w:r>
            <w:r w:rsidRPr="0002762F">
              <w:rPr>
                <w:rFonts w:ascii="Arial" w:hAnsi="Arial" w:cs="Arial"/>
                <w:b/>
                <w:bCs/>
                <w:color w:val="000000"/>
                <w:sz w:val="20"/>
                <w:szCs w:val="20"/>
              </w:rPr>
              <w:t>B</w:t>
            </w:r>
            <w:r w:rsidRPr="0002762F">
              <w:rPr>
                <w:rFonts w:ascii="Arial" w:hAnsi="Arial" w:cs="Arial"/>
                <w:b/>
                <w:bCs/>
                <w:color w:val="000000"/>
                <w:sz w:val="20"/>
                <w:szCs w:val="20"/>
              </w:rPr>
              <w:br/>
            </w:r>
          </w:p>
        </w:tc>
        <w:tc>
          <w:tcPr>
            <w:tcW w:w="481" w:type="pct"/>
          </w:tcPr>
          <w:p w14:paraId="6E618960" w14:textId="77777777" w:rsidR="004C646F" w:rsidRPr="0002762F" w:rsidRDefault="004C646F" w:rsidP="00371BF5">
            <w:pPr>
              <w:rPr>
                <w:rFonts w:ascii="Arial" w:hAnsi="Arial" w:cs="Arial"/>
                <w:sz w:val="20"/>
                <w:szCs w:val="20"/>
              </w:rPr>
            </w:pPr>
          </w:p>
        </w:tc>
        <w:tc>
          <w:tcPr>
            <w:tcW w:w="482" w:type="pct"/>
          </w:tcPr>
          <w:p w14:paraId="63F36C89" w14:textId="77777777" w:rsidR="004C646F" w:rsidRPr="0002762F" w:rsidRDefault="004C646F" w:rsidP="00371BF5">
            <w:pPr>
              <w:rPr>
                <w:rFonts w:ascii="Arial" w:hAnsi="Arial" w:cs="Arial"/>
                <w:sz w:val="20"/>
                <w:szCs w:val="20"/>
              </w:rPr>
            </w:pPr>
          </w:p>
        </w:tc>
        <w:tc>
          <w:tcPr>
            <w:tcW w:w="504" w:type="pct"/>
          </w:tcPr>
          <w:p w14:paraId="42F69584" w14:textId="77777777" w:rsidR="004C646F" w:rsidRPr="0002762F" w:rsidRDefault="004C646F" w:rsidP="00371BF5">
            <w:pPr>
              <w:rPr>
                <w:rFonts w:ascii="Arial" w:hAnsi="Arial" w:cs="Arial"/>
                <w:sz w:val="20"/>
                <w:szCs w:val="20"/>
              </w:rPr>
            </w:pPr>
          </w:p>
        </w:tc>
      </w:tr>
    </w:tbl>
    <w:p w14:paraId="60717B0A" w14:textId="13CE49CE" w:rsidR="00D15BA5" w:rsidRDefault="00D15BA5" w:rsidP="00D15BA5">
      <w:pPr>
        <w:spacing w:line="480" w:lineRule="auto"/>
      </w:pPr>
    </w:p>
    <w:p w14:paraId="43581402" w14:textId="77777777" w:rsidR="008A73A5" w:rsidRPr="00D36A79" w:rsidRDefault="008A73A5" w:rsidP="008A73A5">
      <w:pPr>
        <w:rPr>
          <w:rFonts w:ascii="Arial" w:hAnsi="Arial" w:cs="Arial"/>
          <w:b/>
          <w:bCs/>
          <w:sz w:val="20"/>
          <w:szCs w:val="20"/>
        </w:rPr>
      </w:pPr>
      <w:r w:rsidRPr="00D36A79">
        <w:rPr>
          <w:rFonts w:ascii="Arial" w:hAnsi="Arial" w:cs="Arial"/>
          <w:b/>
          <w:bCs/>
          <w:sz w:val="20"/>
          <w:szCs w:val="20"/>
        </w:rPr>
        <w:t xml:space="preserve">Abbreviations </w:t>
      </w:r>
    </w:p>
    <w:p w14:paraId="6CEF05AA" w14:textId="5787BA97" w:rsidR="001431BF" w:rsidRPr="00B85673" w:rsidRDefault="001431BF" w:rsidP="001431BF">
      <w:pPr>
        <w:rPr>
          <w:rFonts w:ascii="Arial" w:hAnsi="Arial" w:cs="Arial"/>
          <w:sz w:val="20"/>
          <w:szCs w:val="20"/>
        </w:rPr>
      </w:pPr>
      <w:r>
        <w:rPr>
          <w:rFonts w:ascii="Arial" w:hAnsi="Arial" w:cs="Arial"/>
          <w:sz w:val="20"/>
          <w:szCs w:val="20"/>
        </w:rPr>
        <w:t xml:space="preserve">ACOG; American College of Obstetricians and </w:t>
      </w:r>
      <w:proofErr w:type="spellStart"/>
      <w:r>
        <w:rPr>
          <w:rFonts w:ascii="Arial" w:hAnsi="Arial" w:cs="Arial"/>
          <w:sz w:val="20"/>
          <w:szCs w:val="20"/>
        </w:rPr>
        <w:t>Gynecologists</w:t>
      </w:r>
      <w:proofErr w:type="spellEnd"/>
      <w:r>
        <w:rPr>
          <w:rFonts w:ascii="Arial" w:hAnsi="Arial" w:cs="Arial"/>
          <w:sz w:val="20"/>
          <w:szCs w:val="20"/>
        </w:rPr>
        <w:t xml:space="preserve">, </w:t>
      </w:r>
      <w:r w:rsidRPr="00B85673">
        <w:rPr>
          <w:rFonts w:ascii="Arial" w:hAnsi="Arial" w:cs="Arial"/>
          <w:sz w:val="20"/>
          <w:szCs w:val="20"/>
        </w:rPr>
        <w:t xml:space="preserve">ASRM; American Society of Reproductive Medicine, BPS; Bladder Pain Syndrome, BSO; Bilateral salpingo-oophorectomy, CPP; Chronic Pelvic Pain, EAU; European Association of Urology, ISPOG; International Society of Psychosomatic Obstetrics and Gynecology, RCOG; Royal College of Obstetricians and Gynaecologists, SOGC; The Society of Obstetricians and Gynaecologists of Canada </w:t>
      </w:r>
    </w:p>
    <w:p w14:paraId="28B92E30" w14:textId="77777777" w:rsidR="001431BF" w:rsidRDefault="001431BF" w:rsidP="001431BF">
      <w:pPr>
        <w:rPr>
          <w:rFonts w:ascii="Arial" w:hAnsi="Arial" w:cs="Arial"/>
        </w:rPr>
      </w:pPr>
    </w:p>
    <w:p w14:paraId="632DC2C6" w14:textId="77777777" w:rsidR="001431BF" w:rsidRDefault="001431BF" w:rsidP="001431BF">
      <w:pPr>
        <w:rPr>
          <w:rFonts w:ascii="Arial" w:hAnsi="Arial" w:cs="Arial"/>
          <w:b/>
          <w:bCs/>
          <w:sz w:val="20"/>
          <w:szCs w:val="20"/>
        </w:rPr>
      </w:pPr>
      <w:r w:rsidRPr="00D36A79">
        <w:rPr>
          <w:rFonts w:ascii="Arial" w:hAnsi="Arial" w:cs="Arial"/>
          <w:b/>
          <w:bCs/>
          <w:sz w:val="20"/>
          <w:szCs w:val="20"/>
        </w:rPr>
        <w:t>Note</w:t>
      </w:r>
    </w:p>
    <w:p w14:paraId="30EBFE6F" w14:textId="77777777" w:rsidR="001431BF" w:rsidRPr="00990BF2" w:rsidRDefault="001431BF" w:rsidP="001431BF">
      <w:pPr>
        <w:pStyle w:val="ListParagraph"/>
        <w:numPr>
          <w:ilvl w:val="0"/>
          <w:numId w:val="2"/>
        </w:numPr>
        <w:rPr>
          <w:rFonts w:ascii="Arial" w:hAnsi="Arial" w:cs="Arial"/>
          <w:sz w:val="20"/>
          <w:szCs w:val="20"/>
        </w:rPr>
      </w:pPr>
      <w:r w:rsidRPr="0095402A">
        <w:rPr>
          <w:rFonts w:ascii="Arial" w:hAnsi="Arial" w:cs="Arial"/>
          <w:sz w:val="20"/>
          <w:szCs w:val="20"/>
        </w:rPr>
        <w:t xml:space="preserve">American College of Obstetricians and </w:t>
      </w:r>
      <w:proofErr w:type="spellStart"/>
      <w:r w:rsidRPr="0095402A">
        <w:rPr>
          <w:rFonts w:ascii="Arial" w:hAnsi="Arial" w:cs="Arial"/>
          <w:sz w:val="20"/>
          <w:szCs w:val="20"/>
        </w:rPr>
        <w:t>Gynecologists</w:t>
      </w:r>
      <w:proofErr w:type="spellEnd"/>
      <w:r w:rsidRPr="0095402A">
        <w:rPr>
          <w:rFonts w:ascii="Arial" w:hAnsi="Arial" w:cs="Arial"/>
          <w:sz w:val="20"/>
          <w:szCs w:val="20"/>
        </w:rPr>
        <w:t xml:space="preserve"> (ACOG) uses A-C to grade recommendations, </w:t>
      </w:r>
      <w:r w:rsidRPr="0095402A">
        <w:rPr>
          <w:rFonts w:ascii="Arial" w:eastAsiaTheme="minorHAnsi" w:hAnsi="Arial" w:cs="Arial"/>
          <w:color w:val="231F20"/>
          <w:sz w:val="20"/>
          <w:szCs w:val="20"/>
          <w:lang w:eastAsia="en-US"/>
        </w:rPr>
        <w:t>“A based on good and consistent scientific evidence, “B” based on limited or inconsistent scientific evidence, “C” based on consensus and expert opinion.</w:t>
      </w:r>
      <w:r w:rsidRPr="00990BF2">
        <w:rPr>
          <w:rFonts w:ascii="Arial" w:hAnsi="Arial" w:cs="Arial"/>
          <w:sz w:val="20"/>
          <w:szCs w:val="20"/>
          <w:lang w:val="en-US"/>
        </w:rPr>
        <w:t xml:space="preserve"> </w:t>
      </w:r>
      <w:r w:rsidRPr="0095402A">
        <w:rPr>
          <w:rFonts w:ascii="Arial" w:hAnsi="Arial" w:cs="Arial"/>
          <w:sz w:val="20"/>
          <w:szCs w:val="20"/>
          <w:lang w:val="en-US"/>
        </w:rPr>
        <w:t xml:space="preserve">Level of evidence were reported as “I” if evidence obtained from at least one properly designed RCT, “”II-1” if evidence from well-designed controlled trials without randomisation, “II-2” if </w:t>
      </w:r>
      <w:r w:rsidRPr="0095402A">
        <w:rPr>
          <w:rFonts w:ascii="Arial" w:hAnsi="Arial" w:cs="Arial"/>
          <w:sz w:val="20"/>
          <w:szCs w:val="20"/>
          <w:lang w:val="en-US"/>
        </w:rPr>
        <w:lastRenderedPageBreak/>
        <w:t>evidence from well-designed cohort or case-control studies, “II-3” if evidence from comparisons between times or places with or without the intervention, “III” opinions of respected authorities, based on clinical experience, descriptive studies, or reports or expert committees</w:t>
      </w:r>
    </w:p>
    <w:p w14:paraId="688CBE1D" w14:textId="77777777" w:rsidR="001431BF" w:rsidRPr="00802379" w:rsidRDefault="001431BF" w:rsidP="001431BF">
      <w:pPr>
        <w:pStyle w:val="ListParagraph"/>
        <w:numPr>
          <w:ilvl w:val="0"/>
          <w:numId w:val="2"/>
        </w:numPr>
        <w:rPr>
          <w:rFonts w:ascii="Arial" w:hAnsi="Arial" w:cs="Arial"/>
          <w:sz w:val="20"/>
          <w:szCs w:val="20"/>
        </w:rPr>
      </w:pPr>
      <w:r w:rsidRPr="0095402A">
        <w:rPr>
          <w:rFonts w:ascii="Arial" w:hAnsi="Arial" w:cs="Arial"/>
          <w:sz w:val="20"/>
          <w:szCs w:val="20"/>
        </w:rPr>
        <w:t>European Urology Association (EUA) uses A-C to grade recommendations, “A” based on evidence from at least one RCT, “B” recommendation based on evidence from well-conducted clinical studies but without randomisation, “C” recommendation made despite the absence of clinical studies. Level of evidence described a</w:t>
      </w:r>
      <w:r>
        <w:rPr>
          <w:rFonts w:ascii="Arial" w:hAnsi="Arial" w:cs="Arial"/>
          <w:sz w:val="20"/>
          <w:szCs w:val="20"/>
        </w:rPr>
        <w:t>s</w:t>
      </w:r>
      <w:r w:rsidRPr="0095402A">
        <w:rPr>
          <w:rFonts w:ascii="Arial" w:hAnsi="Arial" w:cs="Arial"/>
          <w:sz w:val="20"/>
          <w:szCs w:val="20"/>
        </w:rPr>
        <w:t xml:space="preserve"> ‘1a” evidence from meta-analysis of RCTs, “1b” evidence from at least one RCT, “2a” evidence from well-designed controlled study without randomisation, “2b” evidence from at least one other type of well-designed quasi-experimental study, “3” evidence from well-designed non-experimental studies, such as comparative studies, correlation studies and case-reports, “4” evidence from expert committee reports or opinions or clinical experience or respected authorities.</w:t>
      </w:r>
    </w:p>
    <w:p w14:paraId="7A665DE9" w14:textId="77777777" w:rsidR="001431BF" w:rsidRPr="00802379" w:rsidRDefault="001431BF" w:rsidP="001431BF">
      <w:pPr>
        <w:pStyle w:val="ListParagraph"/>
        <w:numPr>
          <w:ilvl w:val="0"/>
          <w:numId w:val="2"/>
        </w:numPr>
        <w:rPr>
          <w:rFonts w:ascii="Arial" w:hAnsi="Arial" w:cs="Arial"/>
          <w:sz w:val="20"/>
          <w:szCs w:val="20"/>
        </w:rPr>
      </w:pPr>
      <w:r w:rsidRPr="0095402A">
        <w:rPr>
          <w:rFonts w:ascii="Arial" w:hAnsi="Arial" w:cs="Arial"/>
          <w:sz w:val="20"/>
          <w:szCs w:val="20"/>
        </w:rPr>
        <w:t>Royal College of Obstetricians and Gynaecologists (RCOG) uses</w:t>
      </w:r>
      <w:r w:rsidRPr="0095402A">
        <w:rPr>
          <w:rFonts w:ascii="Arial" w:hAnsi="Arial" w:cs="Arial"/>
          <w:sz w:val="20"/>
          <w:szCs w:val="20"/>
          <w:lang w:val="en-US"/>
        </w:rPr>
        <w:t xml:space="preserve"> A-D,  ‘A’ as </w:t>
      </w:r>
      <w:r w:rsidRPr="0095402A">
        <w:rPr>
          <w:rFonts w:ascii="Arial" w:hAnsi="Arial" w:cs="Arial"/>
          <w:noProof/>
          <w:sz w:val="20"/>
          <w:szCs w:val="20"/>
          <w:lang w:val="en-US"/>
        </w:rPr>
        <w:t>high</w:t>
      </w:r>
      <w:r w:rsidRPr="0095402A">
        <w:rPr>
          <w:rFonts w:ascii="Arial" w:hAnsi="Arial" w:cs="Arial"/>
          <w:sz w:val="20"/>
          <w:szCs w:val="20"/>
          <w:lang w:val="en-US"/>
        </w:rPr>
        <w:t xml:space="preserve"> grade of recommendation and ‘D’ as very low and </w:t>
      </w:r>
      <w:r w:rsidRPr="0095402A">
        <w:rPr>
          <w:rFonts w:ascii="Arial" w:hAnsi="Arial" w:cs="Arial"/>
          <w:sz w:val="20"/>
          <w:szCs w:val="20"/>
        </w:rPr>
        <w:t xml:space="preserve">“Good Practice Point” and rated as “A” : ‘1++’ if at least one meta-analysis, systematic review </w:t>
      </w:r>
      <w:r w:rsidRPr="0095402A">
        <w:rPr>
          <w:rFonts w:ascii="Arial" w:hAnsi="Arial" w:cs="Arial"/>
          <w:noProof/>
          <w:sz w:val="20"/>
          <w:szCs w:val="20"/>
        </w:rPr>
        <w:t>or</w:t>
      </w:r>
      <w:r w:rsidRPr="0095402A">
        <w:rPr>
          <w:rFonts w:ascii="Arial" w:hAnsi="Arial" w:cs="Arial"/>
          <w:sz w:val="20"/>
          <w:szCs w:val="20"/>
        </w:rPr>
        <w:t xml:space="preserve"> randomised clinical trial, and as “1+” if a systematic review of randomised controlled trials or a body of evidence principally of “1+” studies, “B”:  as body of evidence including studies rated as “2++” if systematic reviews of case control or cohort studies or cohort studies with a low risk of bias/confounding factors or extrapolated evidence from studies as “1++’” or “1+”, ‘C’: as body of evidence including studies rated as “2+” if well-designed case-control or cohort study or extrapolated evidence from studies as “2++” and “D”: as evidence level 3 if case reports or case-series or 4, if expert opinion </w:t>
      </w:r>
      <w:r w:rsidRPr="0095402A">
        <w:rPr>
          <w:rFonts w:ascii="Arial" w:hAnsi="Arial" w:cs="Arial"/>
          <w:noProof/>
          <w:sz w:val="20"/>
          <w:szCs w:val="20"/>
        </w:rPr>
        <w:t>or</w:t>
      </w:r>
      <w:r w:rsidRPr="0095402A">
        <w:rPr>
          <w:rFonts w:ascii="Arial" w:hAnsi="Arial" w:cs="Arial"/>
          <w:sz w:val="20"/>
          <w:szCs w:val="20"/>
        </w:rPr>
        <w:t xml:space="preserve"> extrapolated evidence from studies as “2+”.</w:t>
      </w:r>
    </w:p>
    <w:p w14:paraId="442DABC1" w14:textId="77777777" w:rsidR="001431BF" w:rsidRPr="0095402A" w:rsidRDefault="001431BF" w:rsidP="001431BF">
      <w:pPr>
        <w:pStyle w:val="ListParagraph"/>
        <w:numPr>
          <w:ilvl w:val="0"/>
          <w:numId w:val="2"/>
        </w:numPr>
        <w:rPr>
          <w:rFonts w:ascii="Arial" w:hAnsi="Arial" w:cs="Arial"/>
          <w:sz w:val="20"/>
          <w:szCs w:val="20"/>
        </w:rPr>
      </w:pPr>
      <w:r w:rsidRPr="0095402A">
        <w:rPr>
          <w:rFonts w:ascii="Arial" w:hAnsi="Arial" w:cs="Arial"/>
          <w:sz w:val="20"/>
          <w:szCs w:val="20"/>
        </w:rPr>
        <w:t>Society of Obstetricians and Gynaecologists of Canada (SOGC)</w:t>
      </w:r>
      <w:r w:rsidRPr="0095402A">
        <w:rPr>
          <w:rFonts w:ascii="Arial" w:hAnsi="Arial" w:cs="Arial"/>
          <w:sz w:val="20"/>
          <w:szCs w:val="20"/>
          <w:lang w:val="en-US"/>
        </w:rPr>
        <w:t xml:space="preserve"> uses A-E to grade recommendations,  “A” suggests that there is good evidence to support the recommendation for a diagnostic test/ intervention /treatment and “E” as good evidence not to support the recommendation for a diagnostic test/ intervention /treatment. Level of evidence were reported as “I” if evidence obtained from at least one properly designed RCT, “”II-1” if evidence from well-designed controlled trials without randomisation, “II-2” if evidence from well-designed cohort or case-control studies, “II-3” if evidence from comparisons between times or places with or without the intervention, “III” opinions of respected authorities, based on clinical experience, descriptive studies, or reports or expert committees</w:t>
      </w:r>
    </w:p>
    <w:p w14:paraId="6BF223E6" w14:textId="77777777" w:rsidR="008A73A5" w:rsidRPr="00D15BA5" w:rsidRDefault="008A73A5" w:rsidP="005E6D4F">
      <w:pPr>
        <w:spacing w:line="480" w:lineRule="auto"/>
        <w:ind w:firstLine="720"/>
      </w:pPr>
    </w:p>
    <w:sectPr w:rsidR="008A73A5" w:rsidRPr="00D15BA5" w:rsidSect="0002762F">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E363E"/>
    <w:multiLevelType w:val="hybridMultilevel"/>
    <w:tmpl w:val="A4D289EC"/>
    <w:lvl w:ilvl="0" w:tplc="9C8665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706CC5"/>
    <w:multiLevelType w:val="hybridMultilevel"/>
    <w:tmpl w:val="06B4996C"/>
    <w:lvl w:ilvl="0" w:tplc="04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BA5"/>
    <w:rsid w:val="0002762F"/>
    <w:rsid w:val="00053EF7"/>
    <w:rsid w:val="000872E4"/>
    <w:rsid w:val="00124AF4"/>
    <w:rsid w:val="001431BF"/>
    <w:rsid w:val="00160C9F"/>
    <w:rsid w:val="001702F9"/>
    <w:rsid w:val="00196199"/>
    <w:rsid w:val="001A33A4"/>
    <w:rsid w:val="002015F2"/>
    <w:rsid w:val="002375F4"/>
    <w:rsid w:val="00267C99"/>
    <w:rsid w:val="00281DA5"/>
    <w:rsid w:val="002C033E"/>
    <w:rsid w:val="002F7E77"/>
    <w:rsid w:val="003220D6"/>
    <w:rsid w:val="0033233F"/>
    <w:rsid w:val="00332B62"/>
    <w:rsid w:val="00371BF5"/>
    <w:rsid w:val="003A3768"/>
    <w:rsid w:val="003A4DE9"/>
    <w:rsid w:val="003B6F83"/>
    <w:rsid w:val="003E4627"/>
    <w:rsid w:val="003F13E6"/>
    <w:rsid w:val="00421E7E"/>
    <w:rsid w:val="00436577"/>
    <w:rsid w:val="00443185"/>
    <w:rsid w:val="00460DF7"/>
    <w:rsid w:val="00466B26"/>
    <w:rsid w:val="004C1669"/>
    <w:rsid w:val="004C646F"/>
    <w:rsid w:val="004D69F6"/>
    <w:rsid w:val="005267EF"/>
    <w:rsid w:val="00534ED0"/>
    <w:rsid w:val="005644CC"/>
    <w:rsid w:val="005678C0"/>
    <w:rsid w:val="00582C8E"/>
    <w:rsid w:val="0058541C"/>
    <w:rsid w:val="005907EA"/>
    <w:rsid w:val="005C7CDB"/>
    <w:rsid w:val="005E6D4F"/>
    <w:rsid w:val="005F085E"/>
    <w:rsid w:val="00601EB0"/>
    <w:rsid w:val="00620CBF"/>
    <w:rsid w:val="0063576D"/>
    <w:rsid w:val="00655C79"/>
    <w:rsid w:val="00657EE0"/>
    <w:rsid w:val="006935A8"/>
    <w:rsid w:val="006C0D01"/>
    <w:rsid w:val="007071AC"/>
    <w:rsid w:val="00744547"/>
    <w:rsid w:val="00751652"/>
    <w:rsid w:val="00776CCE"/>
    <w:rsid w:val="007A730D"/>
    <w:rsid w:val="007B0A87"/>
    <w:rsid w:val="007C43F9"/>
    <w:rsid w:val="007F7D1D"/>
    <w:rsid w:val="00805F9D"/>
    <w:rsid w:val="00813302"/>
    <w:rsid w:val="00820E3B"/>
    <w:rsid w:val="00822411"/>
    <w:rsid w:val="00853853"/>
    <w:rsid w:val="0089362B"/>
    <w:rsid w:val="008A2D10"/>
    <w:rsid w:val="008A73A5"/>
    <w:rsid w:val="008D36FA"/>
    <w:rsid w:val="009458AA"/>
    <w:rsid w:val="0096409F"/>
    <w:rsid w:val="00982EFD"/>
    <w:rsid w:val="00984A48"/>
    <w:rsid w:val="00993919"/>
    <w:rsid w:val="009B024F"/>
    <w:rsid w:val="009B7C2A"/>
    <w:rsid w:val="009D172F"/>
    <w:rsid w:val="009D2893"/>
    <w:rsid w:val="009D2F2C"/>
    <w:rsid w:val="009D4C83"/>
    <w:rsid w:val="009E6FCB"/>
    <w:rsid w:val="00A321BE"/>
    <w:rsid w:val="00A46137"/>
    <w:rsid w:val="00A73652"/>
    <w:rsid w:val="00A95DBD"/>
    <w:rsid w:val="00AA4F85"/>
    <w:rsid w:val="00AE15C3"/>
    <w:rsid w:val="00B00235"/>
    <w:rsid w:val="00B10802"/>
    <w:rsid w:val="00B11745"/>
    <w:rsid w:val="00B323B9"/>
    <w:rsid w:val="00B47B78"/>
    <w:rsid w:val="00B805AD"/>
    <w:rsid w:val="00BA378C"/>
    <w:rsid w:val="00BA670C"/>
    <w:rsid w:val="00BE2F67"/>
    <w:rsid w:val="00BF0CD3"/>
    <w:rsid w:val="00C017D6"/>
    <w:rsid w:val="00C35D74"/>
    <w:rsid w:val="00C55575"/>
    <w:rsid w:val="00C5719E"/>
    <w:rsid w:val="00C87F37"/>
    <w:rsid w:val="00CA609D"/>
    <w:rsid w:val="00CC7567"/>
    <w:rsid w:val="00CF3B40"/>
    <w:rsid w:val="00CF4DBF"/>
    <w:rsid w:val="00CF771E"/>
    <w:rsid w:val="00D1129F"/>
    <w:rsid w:val="00D1349F"/>
    <w:rsid w:val="00D15BA5"/>
    <w:rsid w:val="00D36A79"/>
    <w:rsid w:val="00D760A1"/>
    <w:rsid w:val="00D933E1"/>
    <w:rsid w:val="00D93A0F"/>
    <w:rsid w:val="00DA102D"/>
    <w:rsid w:val="00DB43B0"/>
    <w:rsid w:val="00DB55AA"/>
    <w:rsid w:val="00DD6E20"/>
    <w:rsid w:val="00DE6038"/>
    <w:rsid w:val="00E17BE4"/>
    <w:rsid w:val="00E45966"/>
    <w:rsid w:val="00E71C3D"/>
    <w:rsid w:val="00E9762B"/>
    <w:rsid w:val="00EB2129"/>
    <w:rsid w:val="00EB79DF"/>
    <w:rsid w:val="00EC35C0"/>
    <w:rsid w:val="00ED38AD"/>
    <w:rsid w:val="00EE2C5A"/>
    <w:rsid w:val="00EF0437"/>
    <w:rsid w:val="00F00DC0"/>
    <w:rsid w:val="00F0280E"/>
    <w:rsid w:val="00F0477C"/>
    <w:rsid w:val="00F25332"/>
    <w:rsid w:val="00F32AC6"/>
    <w:rsid w:val="00F35FCF"/>
    <w:rsid w:val="00F37421"/>
    <w:rsid w:val="00F37C65"/>
    <w:rsid w:val="00F50C25"/>
    <w:rsid w:val="00F55257"/>
    <w:rsid w:val="00F55E90"/>
    <w:rsid w:val="00F56C15"/>
    <w:rsid w:val="00F609A7"/>
    <w:rsid w:val="00F72F21"/>
    <w:rsid w:val="00F81D44"/>
    <w:rsid w:val="00FF4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FE134F"/>
  <w15:chartTrackingRefBased/>
  <w15:docId w15:val="{90811E04-59F7-9744-828A-86A439CE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57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5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7E77"/>
    <w:rPr>
      <w:sz w:val="18"/>
      <w:szCs w:val="18"/>
    </w:rPr>
  </w:style>
  <w:style w:type="character" w:customStyle="1" w:styleId="BalloonTextChar">
    <w:name w:val="Balloon Text Char"/>
    <w:basedOn w:val="DefaultParagraphFont"/>
    <w:link w:val="BalloonText"/>
    <w:uiPriority w:val="99"/>
    <w:semiHidden/>
    <w:rsid w:val="002F7E77"/>
    <w:rPr>
      <w:rFonts w:ascii="Times New Roman" w:hAnsi="Times New Roman" w:cs="Times New Roman"/>
      <w:sz w:val="18"/>
      <w:szCs w:val="18"/>
    </w:rPr>
  </w:style>
  <w:style w:type="paragraph" w:styleId="ListParagraph">
    <w:name w:val="List Paragraph"/>
    <w:basedOn w:val="Normal"/>
    <w:uiPriority w:val="34"/>
    <w:qFormat/>
    <w:rsid w:val="00BA670C"/>
    <w:pPr>
      <w:ind w:left="720"/>
      <w:contextualSpacing/>
    </w:pPr>
  </w:style>
  <w:style w:type="paragraph" w:styleId="Revision">
    <w:name w:val="Revision"/>
    <w:hidden/>
    <w:uiPriority w:val="99"/>
    <w:semiHidden/>
    <w:rsid w:val="00C55575"/>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C55575"/>
    <w:rPr>
      <w:sz w:val="16"/>
      <w:szCs w:val="16"/>
    </w:rPr>
  </w:style>
  <w:style w:type="paragraph" w:styleId="CommentText">
    <w:name w:val="annotation text"/>
    <w:basedOn w:val="Normal"/>
    <w:link w:val="CommentTextChar"/>
    <w:uiPriority w:val="99"/>
    <w:semiHidden/>
    <w:unhideWhenUsed/>
    <w:rsid w:val="00C55575"/>
    <w:rPr>
      <w:sz w:val="20"/>
      <w:szCs w:val="20"/>
    </w:rPr>
  </w:style>
  <w:style w:type="character" w:customStyle="1" w:styleId="CommentTextChar">
    <w:name w:val="Comment Text Char"/>
    <w:basedOn w:val="DefaultParagraphFont"/>
    <w:link w:val="CommentText"/>
    <w:uiPriority w:val="99"/>
    <w:semiHidden/>
    <w:rsid w:val="00C5557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55575"/>
    <w:rPr>
      <w:b/>
      <w:bCs/>
    </w:rPr>
  </w:style>
  <w:style w:type="character" w:customStyle="1" w:styleId="CommentSubjectChar">
    <w:name w:val="Comment Subject Char"/>
    <w:basedOn w:val="CommentTextChar"/>
    <w:link w:val="CommentSubject"/>
    <w:uiPriority w:val="99"/>
    <w:semiHidden/>
    <w:rsid w:val="00C55575"/>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2974">
      <w:bodyDiv w:val="1"/>
      <w:marLeft w:val="0"/>
      <w:marRight w:val="0"/>
      <w:marTop w:val="0"/>
      <w:marBottom w:val="0"/>
      <w:divBdr>
        <w:top w:val="none" w:sz="0" w:space="0" w:color="auto"/>
        <w:left w:val="none" w:sz="0" w:space="0" w:color="auto"/>
        <w:bottom w:val="none" w:sz="0" w:space="0" w:color="auto"/>
        <w:right w:val="none" w:sz="0" w:space="0" w:color="auto"/>
      </w:divBdr>
    </w:div>
    <w:div w:id="212891630">
      <w:bodyDiv w:val="1"/>
      <w:marLeft w:val="0"/>
      <w:marRight w:val="0"/>
      <w:marTop w:val="0"/>
      <w:marBottom w:val="0"/>
      <w:divBdr>
        <w:top w:val="none" w:sz="0" w:space="0" w:color="auto"/>
        <w:left w:val="none" w:sz="0" w:space="0" w:color="auto"/>
        <w:bottom w:val="none" w:sz="0" w:space="0" w:color="auto"/>
        <w:right w:val="none" w:sz="0" w:space="0" w:color="auto"/>
      </w:divBdr>
    </w:div>
    <w:div w:id="290139801">
      <w:bodyDiv w:val="1"/>
      <w:marLeft w:val="0"/>
      <w:marRight w:val="0"/>
      <w:marTop w:val="0"/>
      <w:marBottom w:val="0"/>
      <w:divBdr>
        <w:top w:val="none" w:sz="0" w:space="0" w:color="auto"/>
        <w:left w:val="none" w:sz="0" w:space="0" w:color="auto"/>
        <w:bottom w:val="none" w:sz="0" w:space="0" w:color="auto"/>
        <w:right w:val="none" w:sz="0" w:space="0" w:color="auto"/>
      </w:divBdr>
    </w:div>
    <w:div w:id="293680405">
      <w:bodyDiv w:val="1"/>
      <w:marLeft w:val="0"/>
      <w:marRight w:val="0"/>
      <w:marTop w:val="0"/>
      <w:marBottom w:val="0"/>
      <w:divBdr>
        <w:top w:val="none" w:sz="0" w:space="0" w:color="auto"/>
        <w:left w:val="none" w:sz="0" w:space="0" w:color="auto"/>
        <w:bottom w:val="none" w:sz="0" w:space="0" w:color="auto"/>
        <w:right w:val="none" w:sz="0" w:space="0" w:color="auto"/>
      </w:divBdr>
    </w:div>
    <w:div w:id="355616163">
      <w:bodyDiv w:val="1"/>
      <w:marLeft w:val="0"/>
      <w:marRight w:val="0"/>
      <w:marTop w:val="0"/>
      <w:marBottom w:val="0"/>
      <w:divBdr>
        <w:top w:val="none" w:sz="0" w:space="0" w:color="auto"/>
        <w:left w:val="none" w:sz="0" w:space="0" w:color="auto"/>
        <w:bottom w:val="none" w:sz="0" w:space="0" w:color="auto"/>
        <w:right w:val="none" w:sz="0" w:space="0" w:color="auto"/>
      </w:divBdr>
    </w:div>
    <w:div w:id="358972467">
      <w:bodyDiv w:val="1"/>
      <w:marLeft w:val="0"/>
      <w:marRight w:val="0"/>
      <w:marTop w:val="0"/>
      <w:marBottom w:val="0"/>
      <w:divBdr>
        <w:top w:val="none" w:sz="0" w:space="0" w:color="auto"/>
        <w:left w:val="none" w:sz="0" w:space="0" w:color="auto"/>
        <w:bottom w:val="none" w:sz="0" w:space="0" w:color="auto"/>
        <w:right w:val="none" w:sz="0" w:space="0" w:color="auto"/>
      </w:divBdr>
    </w:div>
    <w:div w:id="464471500">
      <w:bodyDiv w:val="1"/>
      <w:marLeft w:val="0"/>
      <w:marRight w:val="0"/>
      <w:marTop w:val="0"/>
      <w:marBottom w:val="0"/>
      <w:divBdr>
        <w:top w:val="none" w:sz="0" w:space="0" w:color="auto"/>
        <w:left w:val="none" w:sz="0" w:space="0" w:color="auto"/>
        <w:bottom w:val="none" w:sz="0" w:space="0" w:color="auto"/>
        <w:right w:val="none" w:sz="0" w:space="0" w:color="auto"/>
      </w:divBdr>
    </w:div>
    <w:div w:id="475685067">
      <w:bodyDiv w:val="1"/>
      <w:marLeft w:val="0"/>
      <w:marRight w:val="0"/>
      <w:marTop w:val="0"/>
      <w:marBottom w:val="0"/>
      <w:divBdr>
        <w:top w:val="none" w:sz="0" w:space="0" w:color="auto"/>
        <w:left w:val="none" w:sz="0" w:space="0" w:color="auto"/>
        <w:bottom w:val="none" w:sz="0" w:space="0" w:color="auto"/>
        <w:right w:val="none" w:sz="0" w:space="0" w:color="auto"/>
      </w:divBdr>
    </w:div>
    <w:div w:id="546456500">
      <w:bodyDiv w:val="1"/>
      <w:marLeft w:val="0"/>
      <w:marRight w:val="0"/>
      <w:marTop w:val="0"/>
      <w:marBottom w:val="0"/>
      <w:divBdr>
        <w:top w:val="none" w:sz="0" w:space="0" w:color="auto"/>
        <w:left w:val="none" w:sz="0" w:space="0" w:color="auto"/>
        <w:bottom w:val="none" w:sz="0" w:space="0" w:color="auto"/>
        <w:right w:val="none" w:sz="0" w:space="0" w:color="auto"/>
      </w:divBdr>
    </w:div>
    <w:div w:id="573780121">
      <w:bodyDiv w:val="1"/>
      <w:marLeft w:val="0"/>
      <w:marRight w:val="0"/>
      <w:marTop w:val="0"/>
      <w:marBottom w:val="0"/>
      <w:divBdr>
        <w:top w:val="none" w:sz="0" w:space="0" w:color="auto"/>
        <w:left w:val="none" w:sz="0" w:space="0" w:color="auto"/>
        <w:bottom w:val="none" w:sz="0" w:space="0" w:color="auto"/>
        <w:right w:val="none" w:sz="0" w:space="0" w:color="auto"/>
      </w:divBdr>
    </w:div>
    <w:div w:id="586310834">
      <w:bodyDiv w:val="1"/>
      <w:marLeft w:val="0"/>
      <w:marRight w:val="0"/>
      <w:marTop w:val="0"/>
      <w:marBottom w:val="0"/>
      <w:divBdr>
        <w:top w:val="none" w:sz="0" w:space="0" w:color="auto"/>
        <w:left w:val="none" w:sz="0" w:space="0" w:color="auto"/>
        <w:bottom w:val="none" w:sz="0" w:space="0" w:color="auto"/>
        <w:right w:val="none" w:sz="0" w:space="0" w:color="auto"/>
      </w:divBdr>
    </w:div>
    <w:div w:id="587664727">
      <w:bodyDiv w:val="1"/>
      <w:marLeft w:val="0"/>
      <w:marRight w:val="0"/>
      <w:marTop w:val="0"/>
      <w:marBottom w:val="0"/>
      <w:divBdr>
        <w:top w:val="none" w:sz="0" w:space="0" w:color="auto"/>
        <w:left w:val="none" w:sz="0" w:space="0" w:color="auto"/>
        <w:bottom w:val="none" w:sz="0" w:space="0" w:color="auto"/>
        <w:right w:val="none" w:sz="0" w:space="0" w:color="auto"/>
      </w:divBdr>
    </w:div>
    <w:div w:id="664090446">
      <w:bodyDiv w:val="1"/>
      <w:marLeft w:val="0"/>
      <w:marRight w:val="0"/>
      <w:marTop w:val="0"/>
      <w:marBottom w:val="0"/>
      <w:divBdr>
        <w:top w:val="none" w:sz="0" w:space="0" w:color="auto"/>
        <w:left w:val="none" w:sz="0" w:space="0" w:color="auto"/>
        <w:bottom w:val="none" w:sz="0" w:space="0" w:color="auto"/>
        <w:right w:val="none" w:sz="0" w:space="0" w:color="auto"/>
      </w:divBdr>
    </w:div>
    <w:div w:id="675688722">
      <w:bodyDiv w:val="1"/>
      <w:marLeft w:val="0"/>
      <w:marRight w:val="0"/>
      <w:marTop w:val="0"/>
      <w:marBottom w:val="0"/>
      <w:divBdr>
        <w:top w:val="none" w:sz="0" w:space="0" w:color="auto"/>
        <w:left w:val="none" w:sz="0" w:space="0" w:color="auto"/>
        <w:bottom w:val="none" w:sz="0" w:space="0" w:color="auto"/>
        <w:right w:val="none" w:sz="0" w:space="0" w:color="auto"/>
      </w:divBdr>
    </w:div>
    <w:div w:id="694355716">
      <w:bodyDiv w:val="1"/>
      <w:marLeft w:val="0"/>
      <w:marRight w:val="0"/>
      <w:marTop w:val="0"/>
      <w:marBottom w:val="0"/>
      <w:divBdr>
        <w:top w:val="none" w:sz="0" w:space="0" w:color="auto"/>
        <w:left w:val="none" w:sz="0" w:space="0" w:color="auto"/>
        <w:bottom w:val="none" w:sz="0" w:space="0" w:color="auto"/>
        <w:right w:val="none" w:sz="0" w:space="0" w:color="auto"/>
      </w:divBdr>
    </w:div>
    <w:div w:id="726800932">
      <w:bodyDiv w:val="1"/>
      <w:marLeft w:val="0"/>
      <w:marRight w:val="0"/>
      <w:marTop w:val="0"/>
      <w:marBottom w:val="0"/>
      <w:divBdr>
        <w:top w:val="none" w:sz="0" w:space="0" w:color="auto"/>
        <w:left w:val="none" w:sz="0" w:space="0" w:color="auto"/>
        <w:bottom w:val="none" w:sz="0" w:space="0" w:color="auto"/>
        <w:right w:val="none" w:sz="0" w:space="0" w:color="auto"/>
      </w:divBdr>
    </w:div>
    <w:div w:id="866334783">
      <w:bodyDiv w:val="1"/>
      <w:marLeft w:val="0"/>
      <w:marRight w:val="0"/>
      <w:marTop w:val="0"/>
      <w:marBottom w:val="0"/>
      <w:divBdr>
        <w:top w:val="none" w:sz="0" w:space="0" w:color="auto"/>
        <w:left w:val="none" w:sz="0" w:space="0" w:color="auto"/>
        <w:bottom w:val="none" w:sz="0" w:space="0" w:color="auto"/>
        <w:right w:val="none" w:sz="0" w:space="0" w:color="auto"/>
      </w:divBdr>
    </w:div>
    <w:div w:id="901406304">
      <w:bodyDiv w:val="1"/>
      <w:marLeft w:val="0"/>
      <w:marRight w:val="0"/>
      <w:marTop w:val="0"/>
      <w:marBottom w:val="0"/>
      <w:divBdr>
        <w:top w:val="none" w:sz="0" w:space="0" w:color="auto"/>
        <w:left w:val="none" w:sz="0" w:space="0" w:color="auto"/>
        <w:bottom w:val="none" w:sz="0" w:space="0" w:color="auto"/>
        <w:right w:val="none" w:sz="0" w:space="0" w:color="auto"/>
      </w:divBdr>
    </w:div>
    <w:div w:id="921446818">
      <w:bodyDiv w:val="1"/>
      <w:marLeft w:val="0"/>
      <w:marRight w:val="0"/>
      <w:marTop w:val="0"/>
      <w:marBottom w:val="0"/>
      <w:divBdr>
        <w:top w:val="none" w:sz="0" w:space="0" w:color="auto"/>
        <w:left w:val="none" w:sz="0" w:space="0" w:color="auto"/>
        <w:bottom w:val="none" w:sz="0" w:space="0" w:color="auto"/>
        <w:right w:val="none" w:sz="0" w:space="0" w:color="auto"/>
      </w:divBdr>
    </w:div>
    <w:div w:id="940452444">
      <w:bodyDiv w:val="1"/>
      <w:marLeft w:val="0"/>
      <w:marRight w:val="0"/>
      <w:marTop w:val="0"/>
      <w:marBottom w:val="0"/>
      <w:divBdr>
        <w:top w:val="none" w:sz="0" w:space="0" w:color="auto"/>
        <w:left w:val="none" w:sz="0" w:space="0" w:color="auto"/>
        <w:bottom w:val="none" w:sz="0" w:space="0" w:color="auto"/>
        <w:right w:val="none" w:sz="0" w:space="0" w:color="auto"/>
      </w:divBdr>
    </w:div>
    <w:div w:id="1000694659">
      <w:bodyDiv w:val="1"/>
      <w:marLeft w:val="0"/>
      <w:marRight w:val="0"/>
      <w:marTop w:val="0"/>
      <w:marBottom w:val="0"/>
      <w:divBdr>
        <w:top w:val="none" w:sz="0" w:space="0" w:color="auto"/>
        <w:left w:val="none" w:sz="0" w:space="0" w:color="auto"/>
        <w:bottom w:val="none" w:sz="0" w:space="0" w:color="auto"/>
        <w:right w:val="none" w:sz="0" w:space="0" w:color="auto"/>
      </w:divBdr>
    </w:div>
    <w:div w:id="1040318777">
      <w:bodyDiv w:val="1"/>
      <w:marLeft w:val="0"/>
      <w:marRight w:val="0"/>
      <w:marTop w:val="0"/>
      <w:marBottom w:val="0"/>
      <w:divBdr>
        <w:top w:val="none" w:sz="0" w:space="0" w:color="auto"/>
        <w:left w:val="none" w:sz="0" w:space="0" w:color="auto"/>
        <w:bottom w:val="none" w:sz="0" w:space="0" w:color="auto"/>
        <w:right w:val="none" w:sz="0" w:space="0" w:color="auto"/>
      </w:divBdr>
    </w:div>
    <w:div w:id="1056971321">
      <w:bodyDiv w:val="1"/>
      <w:marLeft w:val="0"/>
      <w:marRight w:val="0"/>
      <w:marTop w:val="0"/>
      <w:marBottom w:val="0"/>
      <w:divBdr>
        <w:top w:val="none" w:sz="0" w:space="0" w:color="auto"/>
        <w:left w:val="none" w:sz="0" w:space="0" w:color="auto"/>
        <w:bottom w:val="none" w:sz="0" w:space="0" w:color="auto"/>
        <w:right w:val="none" w:sz="0" w:space="0" w:color="auto"/>
      </w:divBdr>
    </w:div>
    <w:div w:id="1196426106">
      <w:bodyDiv w:val="1"/>
      <w:marLeft w:val="0"/>
      <w:marRight w:val="0"/>
      <w:marTop w:val="0"/>
      <w:marBottom w:val="0"/>
      <w:divBdr>
        <w:top w:val="none" w:sz="0" w:space="0" w:color="auto"/>
        <w:left w:val="none" w:sz="0" w:space="0" w:color="auto"/>
        <w:bottom w:val="none" w:sz="0" w:space="0" w:color="auto"/>
        <w:right w:val="none" w:sz="0" w:space="0" w:color="auto"/>
      </w:divBdr>
    </w:div>
    <w:div w:id="1208758807">
      <w:bodyDiv w:val="1"/>
      <w:marLeft w:val="0"/>
      <w:marRight w:val="0"/>
      <w:marTop w:val="0"/>
      <w:marBottom w:val="0"/>
      <w:divBdr>
        <w:top w:val="none" w:sz="0" w:space="0" w:color="auto"/>
        <w:left w:val="none" w:sz="0" w:space="0" w:color="auto"/>
        <w:bottom w:val="none" w:sz="0" w:space="0" w:color="auto"/>
        <w:right w:val="none" w:sz="0" w:space="0" w:color="auto"/>
      </w:divBdr>
    </w:div>
    <w:div w:id="1243374952">
      <w:bodyDiv w:val="1"/>
      <w:marLeft w:val="0"/>
      <w:marRight w:val="0"/>
      <w:marTop w:val="0"/>
      <w:marBottom w:val="0"/>
      <w:divBdr>
        <w:top w:val="none" w:sz="0" w:space="0" w:color="auto"/>
        <w:left w:val="none" w:sz="0" w:space="0" w:color="auto"/>
        <w:bottom w:val="none" w:sz="0" w:space="0" w:color="auto"/>
        <w:right w:val="none" w:sz="0" w:space="0" w:color="auto"/>
      </w:divBdr>
    </w:div>
    <w:div w:id="1244755605">
      <w:bodyDiv w:val="1"/>
      <w:marLeft w:val="0"/>
      <w:marRight w:val="0"/>
      <w:marTop w:val="0"/>
      <w:marBottom w:val="0"/>
      <w:divBdr>
        <w:top w:val="none" w:sz="0" w:space="0" w:color="auto"/>
        <w:left w:val="none" w:sz="0" w:space="0" w:color="auto"/>
        <w:bottom w:val="none" w:sz="0" w:space="0" w:color="auto"/>
        <w:right w:val="none" w:sz="0" w:space="0" w:color="auto"/>
      </w:divBdr>
    </w:div>
    <w:div w:id="1264143512">
      <w:bodyDiv w:val="1"/>
      <w:marLeft w:val="0"/>
      <w:marRight w:val="0"/>
      <w:marTop w:val="0"/>
      <w:marBottom w:val="0"/>
      <w:divBdr>
        <w:top w:val="none" w:sz="0" w:space="0" w:color="auto"/>
        <w:left w:val="none" w:sz="0" w:space="0" w:color="auto"/>
        <w:bottom w:val="none" w:sz="0" w:space="0" w:color="auto"/>
        <w:right w:val="none" w:sz="0" w:space="0" w:color="auto"/>
      </w:divBdr>
    </w:div>
    <w:div w:id="1267039671">
      <w:bodyDiv w:val="1"/>
      <w:marLeft w:val="0"/>
      <w:marRight w:val="0"/>
      <w:marTop w:val="0"/>
      <w:marBottom w:val="0"/>
      <w:divBdr>
        <w:top w:val="none" w:sz="0" w:space="0" w:color="auto"/>
        <w:left w:val="none" w:sz="0" w:space="0" w:color="auto"/>
        <w:bottom w:val="none" w:sz="0" w:space="0" w:color="auto"/>
        <w:right w:val="none" w:sz="0" w:space="0" w:color="auto"/>
      </w:divBdr>
    </w:div>
    <w:div w:id="1297683813">
      <w:bodyDiv w:val="1"/>
      <w:marLeft w:val="0"/>
      <w:marRight w:val="0"/>
      <w:marTop w:val="0"/>
      <w:marBottom w:val="0"/>
      <w:divBdr>
        <w:top w:val="none" w:sz="0" w:space="0" w:color="auto"/>
        <w:left w:val="none" w:sz="0" w:space="0" w:color="auto"/>
        <w:bottom w:val="none" w:sz="0" w:space="0" w:color="auto"/>
        <w:right w:val="none" w:sz="0" w:space="0" w:color="auto"/>
      </w:divBdr>
    </w:div>
    <w:div w:id="1315453314">
      <w:bodyDiv w:val="1"/>
      <w:marLeft w:val="0"/>
      <w:marRight w:val="0"/>
      <w:marTop w:val="0"/>
      <w:marBottom w:val="0"/>
      <w:divBdr>
        <w:top w:val="none" w:sz="0" w:space="0" w:color="auto"/>
        <w:left w:val="none" w:sz="0" w:space="0" w:color="auto"/>
        <w:bottom w:val="none" w:sz="0" w:space="0" w:color="auto"/>
        <w:right w:val="none" w:sz="0" w:space="0" w:color="auto"/>
      </w:divBdr>
    </w:div>
    <w:div w:id="1382628352">
      <w:bodyDiv w:val="1"/>
      <w:marLeft w:val="0"/>
      <w:marRight w:val="0"/>
      <w:marTop w:val="0"/>
      <w:marBottom w:val="0"/>
      <w:divBdr>
        <w:top w:val="none" w:sz="0" w:space="0" w:color="auto"/>
        <w:left w:val="none" w:sz="0" w:space="0" w:color="auto"/>
        <w:bottom w:val="none" w:sz="0" w:space="0" w:color="auto"/>
        <w:right w:val="none" w:sz="0" w:space="0" w:color="auto"/>
      </w:divBdr>
    </w:div>
    <w:div w:id="1397123052">
      <w:bodyDiv w:val="1"/>
      <w:marLeft w:val="0"/>
      <w:marRight w:val="0"/>
      <w:marTop w:val="0"/>
      <w:marBottom w:val="0"/>
      <w:divBdr>
        <w:top w:val="none" w:sz="0" w:space="0" w:color="auto"/>
        <w:left w:val="none" w:sz="0" w:space="0" w:color="auto"/>
        <w:bottom w:val="none" w:sz="0" w:space="0" w:color="auto"/>
        <w:right w:val="none" w:sz="0" w:space="0" w:color="auto"/>
      </w:divBdr>
    </w:div>
    <w:div w:id="1410688112">
      <w:bodyDiv w:val="1"/>
      <w:marLeft w:val="0"/>
      <w:marRight w:val="0"/>
      <w:marTop w:val="0"/>
      <w:marBottom w:val="0"/>
      <w:divBdr>
        <w:top w:val="none" w:sz="0" w:space="0" w:color="auto"/>
        <w:left w:val="none" w:sz="0" w:space="0" w:color="auto"/>
        <w:bottom w:val="none" w:sz="0" w:space="0" w:color="auto"/>
        <w:right w:val="none" w:sz="0" w:space="0" w:color="auto"/>
      </w:divBdr>
    </w:div>
    <w:div w:id="1454790232">
      <w:bodyDiv w:val="1"/>
      <w:marLeft w:val="0"/>
      <w:marRight w:val="0"/>
      <w:marTop w:val="0"/>
      <w:marBottom w:val="0"/>
      <w:divBdr>
        <w:top w:val="none" w:sz="0" w:space="0" w:color="auto"/>
        <w:left w:val="none" w:sz="0" w:space="0" w:color="auto"/>
        <w:bottom w:val="none" w:sz="0" w:space="0" w:color="auto"/>
        <w:right w:val="none" w:sz="0" w:space="0" w:color="auto"/>
      </w:divBdr>
    </w:div>
    <w:div w:id="1564291713">
      <w:bodyDiv w:val="1"/>
      <w:marLeft w:val="0"/>
      <w:marRight w:val="0"/>
      <w:marTop w:val="0"/>
      <w:marBottom w:val="0"/>
      <w:divBdr>
        <w:top w:val="none" w:sz="0" w:space="0" w:color="auto"/>
        <w:left w:val="none" w:sz="0" w:space="0" w:color="auto"/>
        <w:bottom w:val="none" w:sz="0" w:space="0" w:color="auto"/>
        <w:right w:val="none" w:sz="0" w:space="0" w:color="auto"/>
      </w:divBdr>
    </w:div>
    <w:div w:id="1598560024">
      <w:bodyDiv w:val="1"/>
      <w:marLeft w:val="0"/>
      <w:marRight w:val="0"/>
      <w:marTop w:val="0"/>
      <w:marBottom w:val="0"/>
      <w:divBdr>
        <w:top w:val="none" w:sz="0" w:space="0" w:color="auto"/>
        <w:left w:val="none" w:sz="0" w:space="0" w:color="auto"/>
        <w:bottom w:val="none" w:sz="0" w:space="0" w:color="auto"/>
        <w:right w:val="none" w:sz="0" w:space="0" w:color="auto"/>
      </w:divBdr>
    </w:div>
    <w:div w:id="1683974807">
      <w:bodyDiv w:val="1"/>
      <w:marLeft w:val="0"/>
      <w:marRight w:val="0"/>
      <w:marTop w:val="0"/>
      <w:marBottom w:val="0"/>
      <w:divBdr>
        <w:top w:val="none" w:sz="0" w:space="0" w:color="auto"/>
        <w:left w:val="none" w:sz="0" w:space="0" w:color="auto"/>
        <w:bottom w:val="none" w:sz="0" w:space="0" w:color="auto"/>
        <w:right w:val="none" w:sz="0" w:space="0" w:color="auto"/>
      </w:divBdr>
    </w:div>
    <w:div w:id="1749377348">
      <w:bodyDiv w:val="1"/>
      <w:marLeft w:val="0"/>
      <w:marRight w:val="0"/>
      <w:marTop w:val="0"/>
      <w:marBottom w:val="0"/>
      <w:divBdr>
        <w:top w:val="none" w:sz="0" w:space="0" w:color="auto"/>
        <w:left w:val="none" w:sz="0" w:space="0" w:color="auto"/>
        <w:bottom w:val="none" w:sz="0" w:space="0" w:color="auto"/>
        <w:right w:val="none" w:sz="0" w:space="0" w:color="auto"/>
      </w:divBdr>
    </w:div>
    <w:div w:id="1774544870">
      <w:bodyDiv w:val="1"/>
      <w:marLeft w:val="0"/>
      <w:marRight w:val="0"/>
      <w:marTop w:val="0"/>
      <w:marBottom w:val="0"/>
      <w:divBdr>
        <w:top w:val="none" w:sz="0" w:space="0" w:color="auto"/>
        <w:left w:val="none" w:sz="0" w:space="0" w:color="auto"/>
        <w:bottom w:val="none" w:sz="0" w:space="0" w:color="auto"/>
        <w:right w:val="none" w:sz="0" w:space="0" w:color="auto"/>
      </w:divBdr>
    </w:div>
    <w:div w:id="1862667317">
      <w:bodyDiv w:val="1"/>
      <w:marLeft w:val="0"/>
      <w:marRight w:val="0"/>
      <w:marTop w:val="0"/>
      <w:marBottom w:val="0"/>
      <w:divBdr>
        <w:top w:val="none" w:sz="0" w:space="0" w:color="auto"/>
        <w:left w:val="none" w:sz="0" w:space="0" w:color="auto"/>
        <w:bottom w:val="none" w:sz="0" w:space="0" w:color="auto"/>
        <w:right w:val="none" w:sz="0" w:space="0" w:color="auto"/>
      </w:divBdr>
    </w:div>
    <w:div w:id="1882278203">
      <w:bodyDiv w:val="1"/>
      <w:marLeft w:val="0"/>
      <w:marRight w:val="0"/>
      <w:marTop w:val="0"/>
      <w:marBottom w:val="0"/>
      <w:divBdr>
        <w:top w:val="none" w:sz="0" w:space="0" w:color="auto"/>
        <w:left w:val="none" w:sz="0" w:space="0" w:color="auto"/>
        <w:bottom w:val="none" w:sz="0" w:space="0" w:color="auto"/>
        <w:right w:val="none" w:sz="0" w:space="0" w:color="auto"/>
      </w:divBdr>
    </w:div>
    <w:div w:id="1906064747">
      <w:bodyDiv w:val="1"/>
      <w:marLeft w:val="0"/>
      <w:marRight w:val="0"/>
      <w:marTop w:val="0"/>
      <w:marBottom w:val="0"/>
      <w:divBdr>
        <w:top w:val="none" w:sz="0" w:space="0" w:color="auto"/>
        <w:left w:val="none" w:sz="0" w:space="0" w:color="auto"/>
        <w:bottom w:val="none" w:sz="0" w:space="0" w:color="auto"/>
        <w:right w:val="none" w:sz="0" w:space="0" w:color="auto"/>
      </w:divBdr>
    </w:div>
    <w:div w:id="1935817053">
      <w:bodyDiv w:val="1"/>
      <w:marLeft w:val="0"/>
      <w:marRight w:val="0"/>
      <w:marTop w:val="0"/>
      <w:marBottom w:val="0"/>
      <w:divBdr>
        <w:top w:val="none" w:sz="0" w:space="0" w:color="auto"/>
        <w:left w:val="none" w:sz="0" w:space="0" w:color="auto"/>
        <w:bottom w:val="none" w:sz="0" w:space="0" w:color="auto"/>
        <w:right w:val="none" w:sz="0" w:space="0" w:color="auto"/>
      </w:divBdr>
    </w:div>
    <w:div w:id="1964920437">
      <w:bodyDiv w:val="1"/>
      <w:marLeft w:val="0"/>
      <w:marRight w:val="0"/>
      <w:marTop w:val="0"/>
      <w:marBottom w:val="0"/>
      <w:divBdr>
        <w:top w:val="none" w:sz="0" w:space="0" w:color="auto"/>
        <w:left w:val="none" w:sz="0" w:space="0" w:color="auto"/>
        <w:bottom w:val="none" w:sz="0" w:space="0" w:color="auto"/>
        <w:right w:val="none" w:sz="0" w:space="0" w:color="auto"/>
      </w:divBdr>
    </w:div>
    <w:div w:id="2015649483">
      <w:bodyDiv w:val="1"/>
      <w:marLeft w:val="0"/>
      <w:marRight w:val="0"/>
      <w:marTop w:val="0"/>
      <w:marBottom w:val="0"/>
      <w:divBdr>
        <w:top w:val="none" w:sz="0" w:space="0" w:color="auto"/>
        <w:left w:val="none" w:sz="0" w:space="0" w:color="auto"/>
        <w:bottom w:val="none" w:sz="0" w:space="0" w:color="auto"/>
        <w:right w:val="none" w:sz="0" w:space="0" w:color="auto"/>
      </w:divBdr>
    </w:div>
    <w:div w:id="2080669165">
      <w:bodyDiv w:val="1"/>
      <w:marLeft w:val="0"/>
      <w:marRight w:val="0"/>
      <w:marTop w:val="0"/>
      <w:marBottom w:val="0"/>
      <w:divBdr>
        <w:top w:val="none" w:sz="0" w:space="0" w:color="auto"/>
        <w:left w:val="none" w:sz="0" w:space="0" w:color="auto"/>
        <w:bottom w:val="none" w:sz="0" w:space="0" w:color="auto"/>
        <w:right w:val="none" w:sz="0" w:space="0" w:color="auto"/>
      </w:divBdr>
    </w:div>
    <w:div w:id="214554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9</Pages>
  <Words>2059</Words>
  <Characters>11202</Characters>
  <Application>Microsoft Office Word</Application>
  <DocSecurity>0</DocSecurity>
  <Lines>414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Vishalli Ghai</dc:creator>
  <cp:keywords/>
  <dc:description/>
  <cp:lastModifiedBy>Vishalli Ghai</cp:lastModifiedBy>
  <cp:revision>128</cp:revision>
  <dcterms:created xsi:type="dcterms:W3CDTF">2021-01-15T12:41:00Z</dcterms:created>
  <dcterms:modified xsi:type="dcterms:W3CDTF">2021-03-23T17:59:00Z</dcterms:modified>
</cp:coreProperties>
</file>