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C4D7" w14:textId="77777777" w:rsidR="00186C7D" w:rsidRDefault="00FC0FB4" w:rsidP="005035B6">
      <w:pPr>
        <w:spacing w:line="480" w:lineRule="auto"/>
        <w:jc w:val="both"/>
        <w:rPr>
          <w:rFonts w:cstheme="minorHAnsi"/>
          <w:b/>
          <w:bCs/>
          <w:sz w:val="24"/>
          <w:szCs w:val="24"/>
        </w:rPr>
      </w:pPr>
      <w:r w:rsidRPr="005035B6">
        <w:rPr>
          <w:rFonts w:cstheme="minorHAnsi"/>
          <w:b/>
          <w:bCs/>
          <w:sz w:val="24"/>
          <w:szCs w:val="24"/>
        </w:rPr>
        <w:t xml:space="preserve">Table </w:t>
      </w:r>
      <w:r w:rsidR="00186C7D">
        <w:rPr>
          <w:rFonts w:cstheme="minorHAnsi"/>
          <w:b/>
          <w:bCs/>
          <w:sz w:val="24"/>
          <w:szCs w:val="24"/>
        </w:rPr>
        <w:t>S</w:t>
      </w:r>
      <w:r w:rsidRPr="005035B6">
        <w:rPr>
          <w:rFonts w:cstheme="minorHAnsi"/>
          <w:b/>
          <w:bCs/>
          <w:sz w:val="24"/>
          <w:szCs w:val="24"/>
        </w:rPr>
        <w:t>1</w:t>
      </w:r>
    </w:p>
    <w:p w14:paraId="5141286F" w14:textId="2F641CB0" w:rsidR="005035B6" w:rsidRPr="008B7A81" w:rsidRDefault="00FC0FB4" w:rsidP="005035B6">
      <w:pPr>
        <w:spacing w:line="480" w:lineRule="auto"/>
        <w:jc w:val="both"/>
        <w:rPr>
          <w:rFonts w:cstheme="minorHAnsi"/>
          <w:sz w:val="24"/>
          <w:szCs w:val="24"/>
        </w:rPr>
      </w:pPr>
      <w:r w:rsidRPr="008B7A81">
        <w:rPr>
          <w:rFonts w:cstheme="minorHAnsi"/>
          <w:sz w:val="24"/>
          <w:szCs w:val="24"/>
        </w:rPr>
        <w:t>List of trial i</w:t>
      </w:r>
      <w:r w:rsidR="0066511B" w:rsidRPr="008B7A81">
        <w:rPr>
          <w:rFonts w:cstheme="minorHAnsi"/>
          <w:sz w:val="24"/>
          <w:szCs w:val="24"/>
        </w:rPr>
        <w:t xml:space="preserve">nclusion </w:t>
      </w:r>
      <w:r w:rsidRPr="008B7A81">
        <w:rPr>
          <w:rFonts w:cstheme="minorHAnsi"/>
          <w:sz w:val="24"/>
          <w:szCs w:val="24"/>
        </w:rPr>
        <w:t xml:space="preserve">and </w:t>
      </w:r>
      <w:r w:rsidR="0066511B" w:rsidRPr="008B7A81">
        <w:rPr>
          <w:rFonts w:cstheme="minorHAnsi"/>
          <w:sz w:val="24"/>
          <w:szCs w:val="24"/>
        </w:rPr>
        <w:t xml:space="preserve">exclusion criteria </w:t>
      </w:r>
      <w:r w:rsidRPr="008B7A81">
        <w:rPr>
          <w:rFonts w:cstheme="minorHAnsi"/>
          <w:sz w:val="24"/>
          <w:szCs w:val="24"/>
        </w:rPr>
        <w:t xml:space="preserve">for </w:t>
      </w:r>
      <w:r w:rsidR="0066511B" w:rsidRPr="008B7A81">
        <w:rPr>
          <w:rFonts w:cstheme="minorHAnsi"/>
          <w:sz w:val="24"/>
          <w:szCs w:val="24"/>
        </w:rPr>
        <w:t xml:space="preserve">COV-HCQ, RECOVERY and SOLIDARITY </w:t>
      </w:r>
      <w:r w:rsidRPr="008B7A81">
        <w:rPr>
          <w:rFonts w:cstheme="minorHAnsi"/>
          <w:sz w:val="24"/>
          <w:szCs w:val="24"/>
        </w:rPr>
        <w:t xml:space="preserve">clinical </w:t>
      </w:r>
      <w:proofErr w:type="spellStart"/>
      <w:r w:rsidRPr="008B7A81">
        <w:rPr>
          <w:rFonts w:cstheme="minorHAnsi"/>
          <w:sz w:val="24"/>
          <w:szCs w:val="24"/>
        </w:rPr>
        <w:t>trial</w:t>
      </w:r>
      <w:r w:rsidR="00186C7D" w:rsidRPr="008B7A81">
        <w:rPr>
          <w:rFonts w:cstheme="minorHAnsi"/>
          <w:sz w:val="24"/>
          <w:szCs w:val="24"/>
        </w:rPr>
        <w:t>s</w:t>
      </w:r>
      <w:r w:rsidR="008B7A81" w:rsidRPr="008B7A81">
        <w:rPr>
          <w:rFonts w:cstheme="minorHAnsi"/>
          <w:sz w:val="24"/>
          <w:szCs w:val="24"/>
          <w:vertAlign w:val="superscript"/>
        </w:rPr>
        <w:t>a</w:t>
      </w:r>
      <w:proofErr w:type="spellEnd"/>
    </w:p>
    <w:tbl>
      <w:tblPr>
        <w:tblStyle w:val="TableGrid"/>
        <w:tblW w:w="0" w:type="auto"/>
        <w:tblLook w:val="04A0" w:firstRow="1" w:lastRow="0" w:firstColumn="1" w:lastColumn="0" w:noHBand="0" w:noVBand="1"/>
      </w:tblPr>
      <w:tblGrid>
        <w:gridCol w:w="3116"/>
        <w:gridCol w:w="3117"/>
        <w:gridCol w:w="3117"/>
      </w:tblGrid>
      <w:tr w:rsidR="0066511B" w:rsidRPr="008B7A81" w14:paraId="03B1E7A9" w14:textId="77777777" w:rsidTr="0066511B">
        <w:tc>
          <w:tcPr>
            <w:tcW w:w="3116" w:type="dxa"/>
          </w:tcPr>
          <w:p w14:paraId="08B5D635" w14:textId="2EAD55F8" w:rsidR="0066511B" w:rsidRPr="008B7A81" w:rsidRDefault="00A9052F" w:rsidP="005035B6">
            <w:pPr>
              <w:spacing w:line="480" w:lineRule="auto"/>
              <w:rPr>
                <w:rFonts w:cstheme="minorHAnsi"/>
                <w:sz w:val="24"/>
                <w:szCs w:val="24"/>
              </w:rPr>
            </w:pPr>
            <w:r w:rsidRPr="008B7A81">
              <w:rPr>
                <w:rFonts w:cstheme="minorHAnsi"/>
                <w:sz w:val="24"/>
                <w:szCs w:val="24"/>
              </w:rPr>
              <w:t>COV-HCQ</w:t>
            </w:r>
          </w:p>
        </w:tc>
        <w:tc>
          <w:tcPr>
            <w:tcW w:w="3117" w:type="dxa"/>
          </w:tcPr>
          <w:p w14:paraId="42E76A4C" w14:textId="4AC7D041" w:rsidR="0066511B" w:rsidRPr="008B7A81" w:rsidRDefault="00E975DB" w:rsidP="005035B6">
            <w:pPr>
              <w:spacing w:line="480" w:lineRule="auto"/>
              <w:rPr>
                <w:rFonts w:cstheme="minorHAnsi"/>
                <w:sz w:val="24"/>
                <w:szCs w:val="24"/>
              </w:rPr>
            </w:pPr>
            <w:r w:rsidRPr="008B7A81">
              <w:rPr>
                <w:rFonts w:cstheme="minorHAnsi"/>
                <w:sz w:val="24"/>
                <w:szCs w:val="24"/>
              </w:rPr>
              <w:t>SOLIDARITY</w:t>
            </w:r>
          </w:p>
        </w:tc>
        <w:tc>
          <w:tcPr>
            <w:tcW w:w="3117" w:type="dxa"/>
          </w:tcPr>
          <w:p w14:paraId="42E5C48B" w14:textId="6E8D1A30" w:rsidR="0066511B" w:rsidRPr="008B7A81" w:rsidRDefault="0066511B" w:rsidP="005035B6">
            <w:pPr>
              <w:spacing w:line="480" w:lineRule="auto"/>
              <w:rPr>
                <w:rFonts w:cstheme="minorHAnsi"/>
                <w:sz w:val="24"/>
                <w:szCs w:val="24"/>
              </w:rPr>
            </w:pPr>
            <w:r w:rsidRPr="008B7A81">
              <w:rPr>
                <w:rFonts w:cstheme="minorHAnsi"/>
                <w:sz w:val="24"/>
                <w:szCs w:val="24"/>
              </w:rPr>
              <w:t>RECOVERY</w:t>
            </w:r>
          </w:p>
        </w:tc>
      </w:tr>
      <w:tr w:rsidR="00A9052F" w:rsidRPr="005035B6" w14:paraId="2BA85B04" w14:textId="77777777" w:rsidTr="00C95EFC">
        <w:tc>
          <w:tcPr>
            <w:tcW w:w="9350" w:type="dxa"/>
            <w:gridSpan w:val="3"/>
          </w:tcPr>
          <w:p w14:paraId="3C1C7B06" w14:textId="1D38CE46" w:rsidR="00A9052F" w:rsidRPr="005035B6" w:rsidRDefault="00A9052F" w:rsidP="005035B6">
            <w:pPr>
              <w:spacing w:line="480" w:lineRule="auto"/>
              <w:rPr>
                <w:rFonts w:cstheme="minorHAnsi"/>
                <w:sz w:val="24"/>
                <w:szCs w:val="24"/>
              </w:rPr>
            </w:pPr>
            <w:r w:rsidRPr="005035B6">
              <w:rPr>
                <w:rFonts w:cstheme="minorHAnsi"/>
                <w:sz w:val="24"/>
                <w:szCs w:val="24"/>
              </w:rPr>
              <w:t>Inclusion criteria</w:t>
            </w:r>
          </w:p>
        </w:tc>
      </w:tr>
      <w:tr w:rsidR="0066511B" w:rsidRPr="005035B6" w14:paraId="4EB93E00" w14:textId="77777777" w:rsidTr="0066511B">
        <w:tc>
          <w:tcPr>
            <w:tcW w:w="3116" w:type="dxa"/>
          </w:tcPr>
          <w:p w14:paraId="1DB3D1DC" w14:textId="00E2E47E" w:rsidR="00D37F0A"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D37F0A" w:rsidRPr="005035B6">
              <w:rPr>
                <w:rFonts w:cstheme="minorHAnsi"/>
                <w:sz w:val="24"/>
                <w:szCs w:val="24"/>
              </w:rPr>
              <w:t xml:space="preserve">Written informed consent </w:t>
            </w:r>
          </w:p>
          <w:p w14:paraId="33580E3E" w14:textId="786E13AB"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PCR</w:t>
            </w:r>
            <w:r w:rsidR="008B7A81">
              <w:rPr>
                <w:rFonts w:cstheme="minorHAnsi"/>
                <w:sz w:val="24"/>
                <w:szCs w:val="24"/>
              </w:rPr>
              <w:t>-</w:t>
            </w:r>
            <w:r w:rsidR="00A9052F" w:rsidRPr="005035B6">
              <w:rPr>
                <w:rFonts w:cstheme="minorHAnsi"/>
                <w:sz w:val="24"/>
                <w:szCs w:val="24"/>
              </w:rPr>
              <w:t>confirmed COVID-19</w:t>
            </w:r>
          </w:p>
          <w:p w14:paraId="01897EB7" w14:textId="5FBB4514" w:rsidR="00D37F0A"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Age </w:t>
            </w:r>
            <w:r w:rsidR="00D37F0A" w:rsidRPr="005035B6">
              <w:rPr>
                <w:rFonts w:cstheme="minorHAnsi"/>
                <w:color w:val="3C4245"/>
                <w:sz w:val="24"/>
                <w:szCs w:val="24"/>
              </w:rPr>
              <w:t>≥</w:t>
            </w:r>
            <w:r w:rsidR="00D37F0A" w:rsidRPr="005035B6">
              <w:rPr>
                <w:rFonts w:cstheme="minorHAnsi"/>
                <w:sz w:val="24"/>
                <w:szCs w:val="24"/>
              </w:rPr>
              <w:t xml:space="preserve">18 years </w:t>
            </w:r>
          </w:p>
          <w:p w14:paraId="255610D1" w14:textId="3AF938C7" w:rsidR="00D37F0A"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D37F0A" w:rsidRPr="005035B6">
              <w:rPr>
                <w:rFonts w:cstheme="minorHAnsi"/>
                <w:sz w:val="24"/>
                <w:szCs w:val="24"/>
              </w:rPr>
              <w:t xml:space="preserve">Women of childbearing age only: </w:t>
            </w:r>
            <w:r w:rsidR="008B7A81">
              <w:rPr>
                <w:rFonts w:cstheme="minorHAnsi"/>
                <w:sz w:val="24"/>
                <w:szCs w:val="24"/>
              </w:rPr>
              <w:t>m</w:t>
            </w:r>
            <w:r w:rsidR="00D37F0A" w:rsidRPr="005035B6">
              <w:rPr>
                <w:rFonts w:cstheme="minorHAnsi"/>
                <w:sz w:val="24"/>
                <w:szCs w:val="24"/>
              </w:rPr>
              <w:t xml:space="preserve">ust agree to practice continuous effective contraception for the duration of the study (a method which results in a failure rate </w:t>
            </w:r>
            <w:r w:rsidR="008B7A81">
              <w:rPr>
                <w:rFonts w:cstheme="minorHAnsi"/>
                <w:sz w:val="24"/>
                <w:szCs w:val="24"/>
              </w:rPr>
              <w:t>&lt;</w:t>
            </w:r>
            <w:r w:rsidR="00D37F0A" w:rsidRPr="005035B6">
              <w:rPr>
                <w:rFonts w:cstheme="minorHAnsi"/>
                <w:sz w:val="24"/>
                <w:szCs w:val="24"/>
              </w:rPr>
              <w:t xml:space="preserve">1% per year) </w:t>
            </w:r>
          </w:p>
          <w:p w14:paraId="4FBFF50E" w14:textId="2219F94B" w:rsidR="00D37F0A"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D37F0A" w:rsidRPr="005035B6">
              <w:rPr>
                <w:rFonts w:cstheme="minorHAnsi"/>
                <w:sz w:val="24"/>
                <w:szCs w:val="24"/>
              </w:rPr>
              <w:t xml:space="preserve">Disease severe enough to require hospitalization </w:t>
            </w:r>
          </w:p>
          <w:p w14:paraId="5B10E5BB" w14:textId="525AC4D9" w:rsidR="0066511B"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D37F0A" w:rsidRPr="005035B6">
              <w:rPr>
                <w:rFonts w:cstheme="minorHAnsi"/>
                <w:sz w:val="24"/>
                <w:szCs w:val="24"/>
              </w:rPr>
              <w:t xml:space="preserve">QTc interval </w:t>
            </w:r>
            <w:r w:rsidR="008B7A81">
              <w:rPr>
                <w:rFonts w:cstheme="minorHAnsi"/>
                <w:sz w:val="24"/>
                <w:szCs w:val="24"/>
              </w:rPr>
              <w:t>&lt;</w:t>
            </w:r>
            <w:r w:rsidR="00D37F0A" w:rsidRPr="005035B6">
              <w:rPr>
                <w:rFonts w:cstheme="minorHAnsi"/>
                <w:sz w:val="24"/>
                <w:szCs w:val="24"/>
              </w:rPr>
              <w:t xml:space="preserve">450 </w:t>
            </w:r>
            <w:proofErr w:type="spellStart"/>
            <w:r w:rsidR="00D37F0A" w:rsidRPr="005035B6">
              <w:rPr>
                <w:rFonts w:cstheme="minorHAnsi"/>
                <w:sz w:val="24"/>
                <w:szCs w:val="24"/>
              </w:rPr>
              <w:t>ms</w:t>
            </w:r>
            <w:proofErr w:type="spellEnd"/>
          </w:p>
        </w:tc>
        <w:tc>
          <w:tcPr>
            <w:tcW w:w="3117" w:type="dxa"/>
          </w:tcPr>
          <w:p w14:paraId="6187206E" w14:textId="1EB5F88E" w:rsidR="00492BD9"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C</w:t>
            </w:r>
            <w:r w:rsidR="001649BD" w:rsidRPr="005035B6">
              <w:rPr>
                <w:rFonts w:cstheme="minorHAnsi"/>
                <w:sz w:val="24"/>
                <w:szCs w:val="24"/>
              </w:rPr>
              <w:t>onsenting adults (age ≥18</w:t>
            </w:r>
            <w:r w:rsidR="00492BD9" w:rsidRPr="005035B6">
              <w:rPr>
                <w:rFonts w:cstheme="minorHAnsi"/>
                <w:sz w:val="24"/>
                <w:szCs w:val="24"/>
              </w:rPr>
              <w:t xml:space="preserve"> years</w:t>
            </w:r>
            <w:r w:rsidR="001649BD" w:rsidRPr="005035B6">
              <w:rPr>
                <w:rFonts w:cstheme="minorHAnsi"/>
                <w:sz w:val="24"/>
                <w:szCs w:val="24"/>
              </w:rPr>
              <w:t>)</w:t>
            </w:r>
          </w:p>
          <w:p w14:paraId="18CA2E69" w14:textId="337B4308" w:rsidR="00A36E76"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735F29" w:rsidRPr="005035B6">
              <w:rPr>
                <w:rFonts w:cstheme="minorHAnsi"/>
                <w:sz w:val="24"/>
                <w:szCs w:val="24"/>
              </w:rPr>
              <w:t>H</w:t>
            </w:r>
            <w:r w:rsidR="001649BD" w:rsidRPr="005035B6">
              <w:rPr>
                <w:rFonts w:cstheme="minorHAnsi"/>
                <w:sz w:val="24"/>
                <w:szCs w:val="24"/>
              </w:rPr>
              <w:t>ospitali</w:t>
            </w:r>
            <w:r w:rsidR="008B7A81">
              <w:rPr>
                <w:rFonts w:cstheme="minorHAnsi"/>
                <w:sz w:val="24"/>
                <w:szCs w:val="24"/>
              </w:rPr>
              <w:t>z</w:t>
            </w:r>
            <w:r w:rsidR="001649BD" w:rsidRPr="005035B6">
              <w:rPr>
                <w:rFonts w:cstheme="minorHAnsi"/>
                <w:sz w:val="24"/>
                <w:szCs w:val="24"/>
              </w:rPr>
              <w:t>ed</w:t>
            </w:r>
            <w:r w:rsidR="00A36E76" w:rsidRPr="005035B6">
              <w:rPr>
                <w:rFonts w:cstheme="minorHAnsi"/>
                <w:sz w:val="24"/>
                <w:szCs w:val="24"/>
              </w:rPr>
              <w:t xml:space="preserve"> with definite COVID-19</w:t>
            </w:r>
            <w:r w:rsidR="001649BD" w:rsidRPr="005035B6">
              <w:rPr>
                <w:rFonts w:cstheme="minorHAnsi"/>
                <w:sz w:val="24"/>
                <w:szCs w:val="24"/>
              </w:rPr>
              <w:t xml:space="preserve"> </w:t>
            </w:r>
          </w:p>
          <w:p w14:paraId="5F06408D" w14:textId="6A95D2BC" w:rsidR="00A36E76" w:rsidRPr="005035B6" w:rsidRDefault="00DF7DB3" w:rsidP="005035B6">
            <w:pPr>
              <w:spacing w:line="480" w:lineRule="auto"/>
              <w:rPr>
                <w:rFonts w:cstheme="minorHAnsi"/>
                <w:sz w:val="24"/>
                <w:szCs w:val="24"/>
              </w:rPr>
            </w:pPr>
            <w:r>
              <w:rPr>
                <w:rFonts w:cstheme="minorHAnsi"/>
                <w:sz w:val="24"/>
                <w:szCs w:val="24"/>
              </w:rPr>
              <w:t>–</w:t>
            </w:r>
            <w:r w:rsidR="008B7A81">
              <w:rPr>
                <w:rFonts w:cstheme="minorHAnsi"/>
                <w:sz w:val="24"/>
                <w:szCs w:val="24"/>
              </w:rPr>
              <w:t xml:space="preserve"> </w:t>
            </w:r>
            <w:r w:rsidR="00735F29" w:rsidRPr="005035B6">
              <w:rPr>
                <w:rFonts w:cstheme="minorHAnsi"/>
                <w:sz w:val="24"/>
                <w:szCs w:val="24"/>
              </w:rPr>
              <w:t>N</w:t>
            </w:r>
            <w:r w:rsidR="001649BD" w:rsidRPr="005035B6">
              <w:rPr>
                <w:rFonts w:cstheme="minorHAnsi"/>
                <w:sz w:val="24"/>
                <w:szCs w:val="24"/>
              </w:rPr>
              <w:t xml:space="preserve">ot already receiving any of the study drugs </w:t>
            </w:r>
          </w:p>
          <w:p w14:paraId="2FDAAA53" w14:textId="0C0D036C" w:rsidR="00A36E76" w:rsidRPr="005035B6" w:rsidRDefault="00DF7DB3" w:rsidP="005035B6">
            <w:pPr>
              <w:spacing w:line="480" w:lineRule="auto"/>
              <w:rPr>
                <w:rFonts w:cstheme="minorHAnsi"/>
                <w:sz w:val="24"/>
                <w:szCs w:val="24"/>
              </w:rPr>
            </w:pPr>
            <w:r>
              <w:rPr>
                <w:rFonts w:cstheme="minorHAnsi"/>
                <w:sz w:val="24"/>
                <w:szCs w:val="24"/>
              </w:rPr>
              <w:t>–</w:t>
            </w:r>
            <w:r w:rsidR="008B7A81">
              <w:rPr>
                <w:rFonts w:cstheme="minorHAnsi"/>
                <w:sz w:val="24"/>
                <w:szCs w:val="24"/>
              </w:rPr>
              <w:t xml:space="preserve"> </w:t>
            </w:r>
            <w:r w:rsidR="00735F29" w:rsidRPr="005035B6">
              <w:rPr>
                <w:rFonts w:cstheme="minorHAnsi"/>
                <w:sz w:val="24"/>
                <w:szCs w:val="24"/>
              </w:rPr>
              <w:t>W</w:t>
            </w:r>
            <w:r w:rsidR="001649BD" w:rsidRPr="005035B6">
              <w:rPr>
                <w:rFonts w:cstheme="minorHAnsi"/>
                <w:sz w:val="24"/>
                <w:szCs w:val="24"/>
              </w:rPr>
              <w:t>ithout known allergy or contra-indications to any of them (in the view of the physician responsible for their care</w:t>
            </w:r>
            <w:r w:rsidR="00A36E76" w:rsidRPr="005035B6">
              <w:rPr>
                <w:rFonts w:cstheme="minorHAnsi"/>
                <w:sz w:val="24"/>
                <w:szCs w:val="24"/>
              </w:rPr>
              <w:t xml:space="preserve">, </w:t>
            </w:r>
            <w:proofErr w:type="gramStart"/>
            <w:r w:rsidR="00A36E76" w:rsidRPr="005035B6">
              <w:rPr>
                <w:rFonts w:cstheme="minorHAnsi"/>
                <w:sz w:val="24"/>
                <w:szCs w:val="24"/>
              </w:rPr>
              <w:t>e</w:t>
            </w:r>
            <w:r w:rsidR="00735F29" w:rsidRPr="005035B6">
              <w:rPr>
                <w:rFonts w:cstheme="minorHAnsi"/>
                <w:sz w:val="24"/>
                <w:szCs w:val="24"/>
              </w:rPr>
              <w:t>.</w:t>
            </w:r>
            <w:r w:rsidR="00A36E76" w:rsidRPr="005035B6">
              <w:rPr>
                <w:rFonts w:cstheme="minorHAnsi"/>
                <w:sz w:val="24"/>
                <w:szCs w:val="24"/>
              </w:rPr>
              <w:t>g</w:t>
            </w:r>
            <w:r w:rsidR="00735F29" w:rsidRPr="005035B6">
              <w:rPr>
                <w:rFonts w:cstheme="minorHAnsi"/>
                <w:sz w:val="24"/>
                <w:szCs w:val="24"/>
              </w:rPr>
              <w:t>.</w:t>
            </w:r>
            <w:proofErr w:type="gramEnd"/>
            <w:r w:rsidR="00A36E76" w:rsidRPr="005035B6">
              <w:rPr>
                <w:rFonts w:cstheme="minorHAnsi"/>
                <w:sz w:val="24"/>
                <w:szCs w:val="24"/>
              </w:rPr>
              <w:t xml:space="preserve"> serious chronic liver or heart disease or pregnancy</w:t>
            </w:r>
            <w:r w:rsidR="001649BD" w:rsidRPr="005035B6">
              <w:rPr>
                <w:rFonts w:cstheme="minorHAnsi"/>
                <w:sz w:val="24"/>
                <w:szCs w:val="24"/>
              </w:rPr>
              <w:t>)</w:t>
            </w:r>
          </w:p>
          <w:p w14:paraId="57DE5BC2" w14:textId="03B62A4F" w:rsidR="00A36E76" w:rsidRDefault="00DF7DB3" w:rsidP="005035B6">
            <w:pPr>
              <w:spacing w:line="480" w:lineRule="auto"/>
              <w:rPr>
                <w:rFonts w:cstheme="minorHAnsi"/>
                <w:sz w:val="24"/>
                <w:szCs w:val="24"/>
              </w:rPr>
            </w:pPr>
            <w:r>
              <w:rPr>
                <w:rFonts w:cstheme="minorHAnsi"/>
                <w:sz w:val="24"/>
                <w:szCs w:val="24"/>
              </w:rPr>
              <w:t>–</w:t>
            </w:r>
            <w:r w:rsidR="008B7A81">
              <w:rPr>
                <w:rFonts w:cstheme="minorHAnsi"/>
                <w:sz w:val="24"/>
                <w:szCs w:val="24"/>
              </w:rPr>
              <w:t xml:space="preserve"> </w:t>
            </w:r>
            <w:r w:rsidR="00735F29" w:rsidRPr="005035B6">
              <w:rPr>
                <w:rFonts w:cstheme="minorHAnsi"/>
                <w:sz w:val="24"/>
                <w:szCs w:val="24"/>
              </w:rPr>
              <w:t>W</w:t>
            </w:r>
            <w:r w:rsidR="001649BD" w:rsidRPr="005035B6">
              <w:rPr>
                <w:rFonts w:cstheme="minorHAnsi"/>
                <w:sz w:val="24"/>
                <w:szCs w:val="24"/>
              </w:rPr>
              <w:t>ithout anticipated transfer within 72 h to a non-study hospital</w:t>
            </w:r>
          </w:p>
          <w:p w14:paraId="324A1EA3" w14:textId="78FB32F2" w:rsidR="005035B6" w:rsidRPr="005035B6" w:rsidRDefault="005035B6" w:rsidP="005035B6">
            <w:pPr>
              <w:spacing w:line="480" w:lineRule="auto"/>
              <w:rPr>
                <w:rFonts w:cstheme="minorHAnsi"/>
                <w:sz w:val="24"/>
                <w:szCs w:val="24"/>
              </w:rPr>
            </w:pPr>
          </w:p>
        </w:tc>
        <w:tc>
          <w:tcPr>
            <w:tcW w:w="3117" w:type="dxa"/>
          </w:tcPr>
          <w:p w14:paraId="608615AD" w14:textId="77777777" w:rsidR="00994A61" w:rsidRPr="005035B6" w:rsidRDefault="00994A61" w:rsidP="005035B6">
            <w:pPr>
              <w:spacing w:line="480" w:lineRule="auto"/>
              <w:rPr>
                <w:rFonts w:cstheme="minorHAnsi"/>
                <w:sz w:val="24"/>
                <w:szCs w:val="24"/>
              </w:rPr>
            </w:pPr>
            <w:r w:rsidRPr="005035B6">
              <w:rPr>
                <w:rFonts w:cstheme="minorHAnsi"/>
                <w:sz w:val="24"/>
                <w:szCs w:val="24"/>
              </w:rPr>
              <w:t xml:space="preserve">Patients are eligible for the study if all of the following are true: </w:t>
            </w:r>
          </w:p>
          <w:p w14:paraId="12FA6C1C" w14:textId="73A82841" w:rsidR="00994A61"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994A61" w:rsidRPr="005035B6">
              <w:rPr>
                <w:rFonts w:cstheme="minorHAnsi"/>
                <w:sz w:val="24"/>
                <w:szCs w:val="24"/>
              </w:rPr>
              <w:t xml:space="preserve">Aged </w:t>
            </w:r>
            <w:r w:rsidR="008B7A81">
              <w:rPr>
                <w:rFonts w:cstheme="minorHAnsi"/>
                <w:sz w:val="24"/>
                <w:szCs w:val="24"/>
              </w:rPr>
              <w:t>≥</w:t>
            </w:r>
            <w:r w:rsidR="00994A61" w:rsidRPr="005035B6">
              <w:rPr>
                <w:rFonts w:cstheme="minorHAnsi"/>
                <w:sz w:val="24"/>
                <w:szCs w:val="24"/>
              </w:rPr>
              <w:t xml:space="preserve">18 years </w:t>
            </w:r>
          </w:p>
          <w:p w14:paraId="2C1234FB" w14:textId="0AD2DC0E" w:rsidR="00994A61"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994A61" w:rsidRPr="005035B6">
              <w:rPr>
                <w:rFonts w:cstheme="minorHAnsi"/>
                <w:sz w:val="24"/>
                <w:szCs w:val="24"/>
              </w:rPr>
              <w:t>Hospitali</w:t>
            </w:r>
            <w:r w:rsidR="008B7A81">
              <w:rPr>
                <w:rFonts w:cstheme="minorHAnsi"/>
                <w:sz w:val="24"/>
                <w:szCs w:val="24"/>
              </w:rPr>
              <w:t>z</w:t>
            </w:r>
            <w:r w:rsidR="00994A61" w:rsidRPr="005035B6">
              <w:rPr>
                <w:rFonts w:cstheme="minorHAnsi"/>
                <w:sz w:val="24"/>
                <w:szCs w:val="24"/>
              </w:rPr>
              <w:t xml:space="preserve">ed </w:t>
            </w:r>
          </w:p>
          <w:p w14:paraId="37ED5B2D" w14:textId="485E6473" w:rsidR="00492BD9"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994A61" w:rsidRPr="005035B6">
              <w:rPr>
                <w:rFonts w:cstheme="minorHAnsi"/>
                <w:sz w:val="24"/>
                <w:szCs w:val="24"/>
              </w:rPr>
              <w:t xml:space="preserve">SARS-CoV-2 infection </w:t>
            </w:r>
          </w:p>
          <w:p w14:paraId="51874D9C" w14:textId="0C3351B5" w:rsidR="0066511B"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994A61" w:rsidRPr="005035B6">
              <w:rPr>
                <w:rFonts w:cstheme="minorHAnsi"/>
                <w:sz w:val="24"/>
                <w:szCs w:val="24"/>
              </w:rPr>
              <w:t xml:space="preserve">No medical history that might, in the opinion of the attending clinician, put the patient at significant risk if he/she were to participate in the trial </w:t>
            </w:r>
          </w:p>
        </w:tc>
      </w:tr>
      <w:tr w:rsidR="00A9052F" w:rsidRPr="005035B6" w14:paraId="5F0290EA" w14:textId="77777777" w:rsidTr="008F6E6F">
        <w:tc>
          <w:tcPr>
            <w:tcW w:w="9350" w:type="dxa"/>
            <w:gridSpan w:val="3"/>
          </w:tcPr>
          <w:p w14:paraId="043421D5" w14:textId="689EE26A" w:rsidR="00A9052F" w:rsidRPr="005035B6" w:rsidRDefault="00A9052F" w:rsidP="005035B6">
            <w:pPr>
              <w:spacing w:line="480" w:lineRule="auto"/>
              <w:rPr>
                <w:rFonts w:cstheme="minorHAnsi"/>
                <w:sz w:val="24"/>
                <w:szCs w:val="24"/>
              </w:rPr>
            </w:pPr>
            <w:r w:rsidRPr="005035B6">
              <w:rPr>
                <w:rFonts w:cstheme="minorHAnsi"/>
                <w:sz w:val="24"/>
                <w:szCs w:val="24"/>
              </w:rPr>
              <w:lastRenderedPageBreak/>
              <w:t>Exclusion criteria</w:t>
            </w:r>
          </w:p>
        </w:tc>
      </w:tr>
      <w:tr w:rsidR="0066511B" w:rsidRPr="005035B6" w14:paraId="1E9B7043" w14:textId="77777777" w:rsidTr="0066511B">
        <w:tc>
          <w:tcPr>
            <w:tcW w:w="3116" w:type="dxa"/>
          </w:tcPr>
          <w:p w14:paraId="3AA1BE3E" w14:textId="258D5EE8"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Respiratory rate &gt;24</w:t>
            </w:r>
            <w:r w:rsidR="00E17639">
              <w:rPr>
                <w:rFonts w:cstheme="minorHAnsi"/>
                <w:sz w:val="24"/>
                <w:szCs w:val="24"/>
              </w:rPr>
              <w:t xml:space="preserve"> breaths</w:t>
            </w:r>
            <w:r w:rsidR="00A9052F" w:rsidRPr="005035B6">
              <w:rPr>
                <w:rFonts w:cstheme="minorHAnsi"/>
                <w:sz w:val="24"/>
                <w:szCs w:val="24"/>
              </w:rPr>
              <w:t>/min</w:t>
            </w:r>
          </w:p>
          <w:p w14:paraId="529081FF" w14:textId="1A20FA99"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 xml:space="preserve">Pregnancy (tested with a pregnancy test) or lactation </w:t>
            </w:r>
          </w:p>
          <w:p w14:paraId="5362ACC6" w14:textId="4210E39F" w:rsidR="0066511B"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Weight &lt;50 kg</w:t>
            </w:r>
          </w:p>
          <w:p w14:paraId="1988ACAF" w14:textId="09FFD218"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proofErr w:type="spellStart"/>
            <w:r w:rsidR="00A9052F" w:rsidRPr="005035B6">
              <w:rPr>
                <w:rFonts w:cstheme="minorHAnsi"/>
                <w:sz w:val="24"/>
                <w:szCs w:val="24"/>
              </w:rPr>
              <w:t>H</w:t>
            </w:r>
            <w:r w:rsidR="00E17639">
              <w:rPr>
                <w:rFonts w:cstheme="minorHAnsi"/>
                <w:sz w:val="24"/>
                <w:szCs w:val="24"/>
              </w:rPr>
              <w:t>a</w:t>
            </w:r>
            <w:r w:rsidR="00A9052F" w:rsidRPr="005035B6">
              <w:rPr>
                <w:rFonts w:cstheme="minorHAnsi"/>
                <w:sz w:val="24"/>
                <w:szCs w:val="24"/>
              </w:rPr>
              <w:t>emodynamic</w:t>
            </w:r>
            <w:proofErr w:type="spellEnd"/>
            <w:r w:rsidR="00A9052F" w:rsidRPr="005035B6">
              <w:rPr>
                <w:rFonts w:cstheme="minorHAnsi"/>
                <w:sz w:val="24"/>
                <w:szCs w:val="24"/>
              </w:rPr>
              <w:t xml:space="preserve">/rhythm instability </w:t>
            </w:r>
          </w:p>
          <w:p w14:paraId="0AA57B9E" w14:textId="7CADC822"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Pr>
                <w:rFonts w:cstheme="minorHAnsi"/>
                <w:sz w:val="24"/>
                <w:szCs w:val="24"/>
              </w:rPr>
              <w:t>Type 1 a</w:t>
            </w:r>
            <w:r w:rsidR="00A9052F" w:rsidRPr="005035B6">
              <w:rPr>
                <w:rFonts w:cstheme="minorHAnsi"/>
                <w:sz w:val="24"/>
                <w:szCs w:val="24"/>
              </w:rPr>
              <w:t xml:space="preserve">cute myocardial infarction </w:t>
            </w:r>
          </w:p>
          <w:p w14:paraId="6D13BBF2" w14:textId="7472EFCA"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 xml:space="preserve">Use of concomitant medications that prolong the QT/QTc interval. </w:t>
            </w:r>
          </w:p>
          <w:p w14:paraId="04FDEA46" w14:textId="725009CA"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 xml:space="preserve">Any regular concomitant medication which is contraindicated </w:t>
            </w:r>
            <w:r w:rsidR="00E17639">
              <w:rPr>
                <w:rFonts w:cstheme="minorHAnsi"/>
                <w:sz w:val="24"/>
                <w:szCs w:val="24"/>
              </w:rPr>
              <w:t>for</w:t>
            </w:r>
            <w:r w:rsidR="00A9052F" w:rsidRPr="005035B6">
              <w:rPr>
                <w:rFonts w:cstheme="minorHAnsi"/>
                <w:sz w:val="24"/>
                <w:szCs w:val="24"/>
              </w:rPr>
              <w:t xml:space="preserve"> use together with </w:t>
            </w:r>
            <w:r w:rsidR="00E17639">
              <w:rPr>
                <w:rFonts w:cstheme="minorHAnsi"/>
                <w:sz w:val="24"/>
                <w:szCs w:val="24"/>
              </w:rPr>
              <w:t>h</w:t>
            </w:r>
            <w:r w:rsidR="00E17639" w:rsidRPr="005035B6">
              <w:rPr>
                <w:rFonts w:cstheme="minorHAnsi"/>
                <w:sz w:val="24"/>
                <w:szCs w:val="24"/>
              </w:rPr>
              <w:t>ydroxychloroquine</w:t>
            </w:r>
          </w:p>
          <w:p w14:paraId="58C6F7E1" w14:textId="6B4944CA" w:rsidR="00A9052F" w:rsidRPr="005035B6" w:rsidRDefault="00DF7DB3" w:rsidP="005035B6">
            <w:pPr>
              <w:spacing w:line="480" w:lineRule="auto"/>
              <w:rPr>
                <w:rFonts w:cstheme="minorHAnsi"/>
                <w:sz w:val="24"/>
                <w:szCs w:val="24"/>
              </w:rPr>
            </w:pPr>
            <w:r>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 xml:space="preserve">Hypersensitivity to </w:t>
            </w:r>
            <w:r w:rsidR="00E17639">
              <w:rPr>
                <w:rFonts w:cstheme="minorHAnsi"/>
                <w:sz w:val="24"/>
                <w:szCs w:val="24"/>
              </w:rPr>
              <w:t>h</w:t>
            </w:r>
            <w:r w:rsidR="00A9052F" w:rsidRPr="005035B6">
              <w:rPr>
                <w:rFonts w:cstheme="minorHAnsi"/>
                <w:sz w:val="24"/>
                <w:szCs w:val="24"/>
              </w:rPr>
              <w:t xml:space="preserve">ydroxychloroquine, </w:t>
            </w:r>
            <w:r w:rsidR="00E17639">
              <w:rPr>
                <w:rFonts w:cstheme="minorHAnsi"/>
                <w:sz w:val="24"/>
                <w:szCs w:val="24"/>
              </w:rPr>
              <w:t>c</w:t>
            </w:r>
            <w:r w:rsidR="00A9052F" w:rsidRPr="005035B6">
              <w:rPr>
                <w:rFonts w:cstheme="minorHAnsi"/>
                <w:sz w:val="24"/>
                <w:szCs w:val="24"/>
              </w:rPr>
              <w:t>hloroquine or other 4-</w:t>
            </w:r>
            <w:r w:rsidR="00E17639">
              <w:rPr>
                <w:rFonts w:cstheme="minorHAnsi"/>
                <w:sz w:val="24"/>
                <w:szCs w:val="24"/>
              </w:rPr>
              <w:t>a</w:t>
            </w:r>
            <w:r w:rsidR="00A9052F" w:rsidRPr="005035B6">
              <w:rPr>
                <w:rFonts w:cstheme="minorHAnsi"/>
                <w:sz w:val="24"/>
                <w:szCs w:val="24"/>
              </w:rPr>
              <w:t xml:space="preserve">minoquinolines </w:t>
            </w:r>
          </w:p>
          <w:p w14:paraId="455A849F" w14:textId="2304CFE0" w:rsidR="00A9052F" w:rsidRPr="005035B6" w:rsidRDefault="00BB1296" w:rsidP="005035B6">
            <w:pPr>
              <w:spacing w:line="480" w:lineRule="auto"/>
              <w:rPr>
                <w:rFonts w:cstheme="minorHAnsi"/>
                <w:sz w:val="24"/>
                <w:szCs w:val="24"/>
              </w:rPr>
            </w:pPr>
            <w:r w:rsidRPr="005035B6">
              <w:rPr>
                <w:rFonts w:cstheme="minorHAnsi"/>
                <w:sz w:val="24"/>
                <w:szCs w:val="24"/>
              </w:rPr>
              <w:lastRenderedPageBreak/>
              <w:t>-</w:t>
            </w:r>
            <w:r w:rsidR="00492BD9" w:rsidRPr="005035B6">
              <w:rPr>
                <w:rFonts w:cstheme="minorHAnsi"/>
                <w:sz w:val="24"/>
                <w:szCs w:val="24"/>
              </w:rPr>
              <w:t xml:space="preserve"> </w:t>
            </w:r>
            <w:r w:rsidR="00A9052F" w:rsidRPr="005035B6">
              <w:rPr>
                <w:rFonts w:cstheme="minorHAnsi"/>
                <w:sz w:val="24"/>
                <w:szCs w:val="24"/>
              </w:rPr>
              <w:t>Pre-existing retinopathy or maculopathy</w:t>
            </w:r>
          </w:p>
          <w:p w14:paraId="7B35802D" w14:textId="375D161B" w:rsidR="00A9052F" w:rsidRPr="005035B6" w:rsidRDefault="00BB1296" w:rsidP="005035B6">
            <w:pPr>
              <w:spacing w:line="480" w:lineRule="auto"/>
              <w:rPr>
                <w:rFonts w:cstheme="minorHAnsi"/>
                <w:sz w:val="24"/>
                <w:szCs w:val="24"/>
              </w:rPr>
            </w:pPr>
            <w:r w:rsidRPr="005035B6">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 xml:space="preserve">Known </w:t>
            </w:r>
            <w:r w:rsidR="00E17639">
              <w:rPr>
                <w:rFonts w:cstheme="minorHAnsi"/>
                <w:sz w:val="24"/>
                <w:szCs w:val="24"/>
              </w:rPr>
              <w:t>g</w:t>
            </w:r>
            <w:r w:rsidR="00A9052F" w:rsidRPr="005035B6">
              <w:rPr>
                <w:rFonts w:cstheme="minorHAnsi"/>
                <w:sz w:val="24"/>
                <w:szCs w:val="24"/>
              </w:rPr>
              <w:t>lucose-6-phosphate dehydrogenase deficiency (</w:t>
            </w:r>
            <w:proofErr w:type="spellStart"/>
            <w:r w:rsidR="00A9052F" w:rsidRPr="005035B6">
              <w:rPr>
                <w:rFonts w:cstheme="minorHAnsi"/>
                <w:sz w:val="24"/>
                <w:szCs w:val="24"/>
              </w:rPr>
              <w:t>haemolytic</w:t>
            </w:r>
            <w:proofErr w:type="spellEnd"/>
            <w:r w:rsidR="00A9052F" w:rsidRPr="005035B6">
              <w:rPr>
                <w:rFonts w:cstheme="minorHAnsi"/>
                <w:sz w:val="24"/>
                <w:szCs w:val="24"/>
              </w:rPr>
              <w:t xml:space="preserve"> </w:t>
            </w:r>
            <w:proofErr w:type="spellStart"/>
            <w:r w:rsidR="00A9052F" w:rsidRPr="005035B6">
              <w:rPr>
                <w:rFonts w:cstheme="minorHAnsi"/>
                <w:sz w:val="24"/>
                <w:szCs w:val="24"/>
              </w:rPr>
              <w:t>anaemia</w:t>
            </w:r>
            <w:proofErr w:type="spellEnd"/>
            <w:r w:rsidR="00A9052F" w:rsidRPr="005035B6">
              <w:rPr>
                <w:rFonts w:cstheme="minorHAnsi"/>
                <w:sz w:val="24"/>
                <w:szCs w:val="24"/>
              </w:rPr>
              <w:t xml:space="preserve">, </w:t>
            </w:r>
            <w:r w:rsidR="0073276C">
              <w:rPr>
                <w:rFonts w:cstheme="minorHAnsi"/>
                <w:sz w:val="24"/>
                <w:szCs w:val="24"/>
              </w:rPr>
              <w:t>f</w:t>
            </w:r>
            <w:r w:rsidR="00A9052F" w:rsidRPr="005035B6">
              <w:rPr>
                <w:rFonts w:cstheme="minorHAnsi"/>
                <w:sz w:val="24"/>
                <w:szCs w:val="24"/>
              </w:rPr>
              <w:t xml:space="preserve">avism) </w:t>
            </w:r>
          </w:p>
          <w:p w14:paraId="1A4E8CA1" w14:textId="0925E034" w:rsidR="00A9052F" w:rsidRPr="005035B6" w:rsidRDefault="00BB1296" w:rsidP="005035B6">
            <w:pPr>
              <w:spacing w:line="480" w:lineRule="auto"/>
              <w:rPr>
                <w:rFonts w:cstheme="minorHAnsi"/>
                <w:sz w:val="24"/>
                <w:szCs w:val="24"/>
              </w:rPr>
            </w:pPr>
            <w:r w:rsidRPr="005035B6">
              <w:rPr>
                <w:rFonts w:cstheme="minorHAnsi"/>
                <w:sz w:val="24"/>
                <w:szCs w:val="24"/>
              </w:rPr>
              <w:t>-</w:t>
            </w:r>
            <w:r w:rsidR="00492BD9" w:rsidRPr="005035B6">
              <w:rPr>
                <w:rFonts w:cstheme="minorHAnsi"/>
                <w:sz w:val="24"/>
                <w:szCs w:val="24"/>
              </w:rPr>
              <w:t xml:space="preserve"> </w:t>
            </w:r>
            <w:proofErr w:type="spellStart"/>
            <w:r w:rsidR="00A9052F" w:rsidRPr="005035B6">
              <w:rPr>
                <w:rFonts w:cstheme="minorHAnsi"/>
                <w:sz w:val="24"/>
                <w:szCs w:val="24"/>
              </w:rPr>
              <w:t>Haematopoietic</w:t>
            </w:r>
            <w:proofErr w:type="spellEnd"/>
            <w:r w:rsidR="00A9052F" w:rsidRPr="005035B6">
              <w:rPr>
                <w:rFonts w:cstheme="minorHAnsi"/>
                <w:sz w:val="24"/>
                <w:szCs w:val="24"/>
              </w:rPr>
              <w:t xml:space="preserve"> system diseases </w:t>
            </w:r>
          </w:p>
          <w:p w14:paraId="0AC9676E" w14:textId="6CA7FF6A" w:rsidR="00A9052F" w:rsidRPr="005035B6" w:rsidRDefault="00BB1296" w:rsidP="005035B6">
            <w:pPr>
              <w:spacing w:line="480" w:lineRule="auto"/>
              <w:rPr>
                <w:rFonts w:cstheme="minorHAnsi"/>
                <w:sz w:val="24"/>
                <w:szCs w:val="24"/>
              </w:rPr>
            </w:pPr>
            <w:r w:rsidRPr="005035B6">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 xml:space="preserve">Myasthenia gravis </w:t>
            </w:r>
          </w:p>
          <w:p w14:paraId="338C6828" w14:textId="03FE74B5" w:rsidR="00A9052F" w:rsidRPr="005035B6" w:rsidRDefault="00BB1296" w:rsidP="005035B6">
            <w:pPr>
              <w:spacing w:line="480" w:lineRule="auto"/>
              <w:rPr>
                <w:rFonts w:cstheme="minorHAnsi"/>
                <w:sz w:val="24"/>
                <w:szCs w:val="24"/>
              </w:rPr>
            </w:pPr>
            <w:r w:rsidRPr="005035B6">
              <w:rPr>
                <w:rFonts w:cstheme="minorHAnsi"/>
                <w:sz w:val="24"/>
                <w:szCs w:val="24"/>
              </w:rPr>
              <w:t>-</w:t>
            </w:r>
            <w:r w:rsidR="00492BD9" w:rsidRPr="005035B6">
              <w:rPr>
                <w:rFonts w:cstheme="minorHAnsi"/>
                <w:sz w:val="24"/>
                <w:szCs w:val="24"/>
              </w:rPr>
              <w:t xml:space="preserve"> </w:t>
            </w:r>
            <w:r w:rsidR="00A9052F" w:rsidRPr="005035B6">
              <w:rPr>
                <w:rFonts w:cstheme="minorHAnsi"/>
                <w:sz w:val="24"/>
                <w:szCs w:val="24"/>
              </w:rPr>
              <w:t>Any other significant disease, disorder or finding which, in the opinion of the investigator, may significantly increase the risk to the volunteer because of participation in the study, affect the ability of the volunteer to participate in the study or impair interpretation of the study data</w:t>
            </w:r>
          </w:p>
        </w:tc>
        <w:tc>
          <w:tcPr>
            <w:tcW w:w="3117" w:type="dxa"/>
          </w:tcPr>
          <w:p w14:paraId="60030601" w14:textId="18B967E5" w:rsidR="00466779" w:rsidRPr="005035B6" w:rsidRDefault="00466779" w:rsidP="005035B6">
            <w:pPr>
              <w:spacing w:line="480" w:lineRule="auto"/>
              <w:rPr>
                <w:rFonts w:cstheme="minorHAnsi"/>
                <w:sz w:val="24"/>
                <w:szCs w:val="24"/>
              </w:rPr>
            </w:pPr>
            <w:r w:rsidRPr="005035B6">
              <w:rPr>
                <w:rFonts w:cstheme="minorHAnsi"/>
                <w:sz w:val="24"/>
                <w:szCs w:val="24"/>
              </w:rPr>
              <w:lastRenderedPageBreak/>
              <w:t>Exclusion from study entry: Patients will not be randomi</w:t>
            </w:r>
            <w:r w:rsidR="00DF7DB3">
              <w:rPr>
                <w:rFonts w:cstheme="minorHAnsi"/>
                <w:sz w:val="24"/>
                <w:szCs w:val="24"/>
              </w:rPr>
              <w:t>z</w:t>
            </w:r>
            <w:r w:rsidRPr="005035B6">
              <w:rPr>
                <w:rFonts w:cstheme="minorHAnsi"/>
                <w:sz w:val="24"/>
                <w:szCs w:val="24"/>
              </w:rPr>
              <w:t>ed if, in the view of the randomi</w:t>
            </w:r>
            <w:r w:rsidR="00DF7DB3">
              <w:rPr>
                <w:rFonts w:cstheme="minorHAnsi"/>
                <w:sz w:val="24"/>
                <w:szCs w:val="24"/>
              </w:rPr>
              <w:t>z</w:t>
            </w:r>
            <w:r w:rsidRPr="005035B6">
              <w:rPr>
                <w:rFonts w:cstheme="minorHAnsi"/>
                <w:sz w:val="24"/>
                <w:szCs w:val="24"/>
              </w:rPr>
              <w:t>ing doctor, ANY of the AVAILABLE study drugs are contra-indicated (</w:t>
            </w:r>
            <w:proofErr w:type="gramStart"/>
            <w:r w:rsidR="00492BD9" w:rsidRPr="005035B6">
              <w:rPr>
                <w:rFonts w:cstheme="minorHAnsi"/>
                <w:sz w:val="24"/>
                <w:szCs w:val="24"/>
              </w:rPr>
              <w:t>e.g.</w:t>
            </w:r>
            <w:proofErr w:type="gramEnd"/>
            <w:r w:rsidRPr="005035B6">
              <w:rPr>
                <w:rFonts w:cstheme="minorHAnsi"/>
                <w:sz w:val="24"/>
                <w:szCs w:val="24"/>
              </w:rPr>
              <w:t xml:space="preserve"> because of patient characteristics, chronic liver or heart disease, or some concurrent medication)</w:t>
            </w:r>
          </w:p>
          <w:p w14:paraId="4676CD3E" w14:textId="77777777" w:rsidR="00466779" w:rsidRPr="005035B6" w:rsidRDefault="00466779" w:rsidP="005035B6">
            <w:pPr>
              <w:spacing w:line="480" w:lineRule="auto"/>
              <w:rPr>
                <w:rFonts w:cstheme="minorHAnsi"/>
                <w:sz w:val="24"/>
                <w:szCs w:val="24"/>
              </w:rPr>
            </w:pPr>
          </w:p>
          <w:p w14:paraId="2C849E6C" w14:textId="4C6F98E1" w:rsidR="0066511B" w:rsidRPr="005035B6" w:rsidRDefault="0066511B" w:rsidP="005035B6">
            <w:pPr>
              <w:spacing w:line="480" w:lineRule="auto"/>
              <w:rPr>
                <w:rFonts w:cstheme="minorHAnsi"/>
                <w:sz w:val="24"/>
                <w:szCs w:val="24"/>
              </w:rPr>
            </w:pPr>
          </w:p>
        </w:tc>
        <w:tc>
          <w:tcPr>
            <w:tcW w:w="3117" w:type="dxa"/>
          </w:tcPr>
          <w:p w14:paraId="76BE718B" w14:textId="70FD11A6" w:rsidR="00E34DEB" w:rsidRPr="005035B6" w:rsidRDefault="00E34DEB" w:rsidP="005035B6">
            <w:pPr>
              <w:spacing w:line="480" w:lineRule="auto"/>
              <w:rPr>
                <w:rFonts w:cstheme="minorHAnsi"/>
                <w:sz w:val="24"/>
                <w:szCs w:val="24"/>
              </w:rPr>
            </w:pPr>
            <w:r w:rsidRPr="005035B6">
              <w:rPr>
                <w:rFonts w:cstheme="minorHAnsi"/>
                <w:sz w:val="24"/>
                <w:szCs w:val="24"/>
              </w:rPr>
              <w:t>Hydroxychloroquine</w:t>
            </w:r>
            <w:r w:rsidR="00735F29" w:rsidRPr="005035B6">
              <w:rPr>
                <w:rFonts w:cstheme="minorHAnsi"/>
                <w:sz w:val="24"/>
                <w:szCs w:val="24"/>
              </w:rPr>
              <w:t>:</w:t>
            </w:r>
            <w:r w:rsidRPr="005035B6">
              <w:rPr>
                <w:rFonts w:cstheme="minorHAnsi"/>
                <w:sz w:val="24"/>
                <w:szCs w:val="24"/>
              </w:rPr>
              <w:t xml:space="preserve"> </w:t>
            </w:r>
          </w:p>
          <w:p w14:paraId="120BDE09" w14:textId="0B24431A" w:rsidR="00910919" w:rsidRPr="005035B6" w:rsidRDefault="00DF7DB3" w:rsidP="005035B6">
            <w:pPr>
              <w:spacing w:line="480" w:lineRule="auto"/>
              <w:rPr>
                <w:rFonts w:cstheme="minorHAnsi"/>
                <w:sz w:val="24"/>
                <w:szCs w:val="24"/>
              </w:rPr>
            </w:pPr>
            <w:r>
              <w:rPr>
                <w:rFonts w:cstheme="minorHAnsi"/>
                <w:sz w:val="24"/>
                <w:szCs w:val="24"/>
              </w:rPr>
              <w:t>– K</w:t>
            </w:r>
            <w:r w:rsidR="00E34DEB" w:rsidRPr="005035B6">
              <w:rPr>
                <w:rFonts w:cstheme="minorHAnsi"/>
                <w:sz w:val="24"/>
                <w:szCs w:val="24"/>
              </w:rPr>
              <w:t>nown prolonged QTc interval</w:t>
            </w:r>
          </w:p>
          <w:p w14:paraId="0316D94F" w14:textId="14C7DE4C" w:rsidR="0066511B" w:rsidRPr="005035B6" w:rsidRDefault="00DF7DB3" w:rsidP="005035B6">
            <w:pPr>
              <w:spacing w:line="480" w:lineRule="auto"/>
              <w:rPr>
                <w:rFonts w:cstheme="minorHAnsi"/>
                <w:sz w:val="24"/>
                <w:szCs w:val="24"/>
              </w:rPr>
            </w:pPr>
            <w:r>
              <w:rPr>
                <w:rFonts w:cstheme="minorHAnsi"/>
                <w:sz w:val="24"/>
                <w:szCs w:val="24"/>
              </w:rPr>
              <w:t xml:space="preserve">– </w:t>
            </w:r>
            <w:r w:rsidR="00E34DEB" w:rsidRPr="005035B6">
              <w:rPr>
                <w:rFonts w:cstheme="minorHAnsi"/>
                <w:sz w:val="24"/>
                <w:szCs w:val="24"/>
              </w:rPr>
              <w:t xml:space="preserve">Caution: </w:t>
            </w:r>
            <w:r>
              <w:rPr>
                <w:rFonts w:cstheme="minorHAnsi"/>
                <w:sz w:val="24"/>
                <w:szCs w:val="24"/>
              </w:rPr>
              <w:t>c</w:t>
            </w:r>
            <w:r w:rsidR="00E34DEB" w:rsidRPr="005035B6">
              <w:rPr>
                <w:rFonts w:cstheme="minorHAnsi"/>
                <w:sz w:val="24"/>
                <w:szCs w:val="24"/>
              </w:rPr>
              <w:t>o-administration with medications that prolong the QT interval (</w:t>
            </w:r>
            <w:proofErr w:type="gramStart"/>
            <w:r w:rsidR="00E34DEB" w:rsidRPr="005035B6">
              <w:rPr>
                <w:rFonts w:cstheme="minorHAnsi"/>
                <w:sz w:val="24"/>
                <w:szCs w:val="24"/>
              </w:rPr>
              <w:t>e.g.</w:t>
            </w:r>
            <w:proofErr w:type="gramEnd"/>
            <w:r w:rsidR="00E34DEB" w:rsidRPr="005035B6">
              <w:rPr>
                <w:rFonts w:cstheme="minorHAnsi"/>
                <w:sz w:val="24"/>
                <w:szCs w:val="24"/>
              </w:rPr>
              <w:t xml:space="preserve"> macrolides, quinolones) is not an absolute contraindication, but it may be appropriate to check the QT interval by performing an </w:t>
            </w:r>
            <w:r>
              <w:rPr>
                <w:rFonts w:cstheme="minorHAnsi"/>
                <w:sz w:val="24"/>
                <w:szCs w:val="24"/>
              </w:rPr>
              <w:t>electrocardiogram</w:t>
            </w:r>
            <w:r w:rsidR="00E34DEB" w:rsidRPr="005035B6">
              <w:rPr>
                <w:rFonts w:cstheme="minorHAnsi"/>
                <w:sz w:val="24"/>
                <w:szCs w:val="24"/>
              </w:rPr>
              <w:t xml:space="preserve"> </w:t>
            </w:r>
          </w:p>
        </w:tc>
      </w:tr>
    </w:tbl>
    <w:p w14:paraId="2DEE0E2B" w14:textId="69170AB7" w:rsidR="00AB2DF4" w:rsidRPr="005035B6" w:rsidRDefault="00E17639" w:rsidP="005035B6">
      <w:pPr>
        <w:spacing w:line="480" w:lineRule="auto"/>
        <w:rPr>
          <w:rFonts w:cstheme="minorHAnsi"/>
          <w:sz w:val="24"/>
          <w:szCs w:val="24"/>
        </w:rPr>
      </w:pPr>
      <w:r>
        <w:rPr>
          <w:rFonts w:cstheme="minorHAnsi"/>
          <w:sz w:val="24"/>
          <w:szCs w:val="24"/>
        </w:rPr>
        <w:lastRenderedPageBreak/>
        <w:t>PCR, polymerase chain reaction; COVID-19, coronavirus disease 2019; SARS-CoV-2, severe acute respiratory syndrome coronavirus-2.</w:t>
      </w:r>
    </w:p>
    <w:p w14:paraId="4E7EACBA" w14:textId="653B4F75" w:rsidR="00A75C92" w:rsidRPr="005035B6" w:rsidRDefault="008B7A81" w:rsidP="005035B6">
      <w:pPr>
        <w:spacing w:line="480" w:lineRule="auto"/>
        <w:rPr>
          <w:rFonts w:cstheme="minorHAnsi"/>
          <w:sz w:val="24"/>
          <w:szCs w:val="24"/>
        </w:rPr>
      </w:pPr>
      <w:proofErr w:type="spellStart"/>
      <w:r w:rsidRPr="008B7A81">
        <w:rPr>
          <w:rFonts w:cstheme="minorHAnsi"/>
          <w:sz w:val="24"/>
          <w:szCs w:val="24"/>
          <w:vertAlign w:val="superscript"/>
        </w:rPr>
        <w:t>a</w:t>
      </w:r>
      <w:r w:rsidR="0042297D" w:rsidRPr="005035B6">
        <w:rPr>
          <w:rFonts w:cstheme="minorHAnsi"/>
          <w:sz w:val="24"/>
          <w:szCs w:val="24"/>
        </w:rPr>
        <w:t>Criteria</w:t>
      </w:r>
      <w:proofErr w:type="spellEnd"/>
      <w:r w:rsidR="0042297D" w:rsidRPr="005035B6">
        <w:rPr>
          <w:rFonts w:cstheme="minorHAnsi"/>
          <w:sz w:val="24"/>
          <w:szCs w:val="24"/>
        </w:rPr>
        <w:t xml:space="preserve"> for the respective clinical trials were obtained from the following sources: </w:t>
      </w:r>
    </w:p>
    <w:p w14:paraId="410440ED" w14:textId="0747EA78" w:rsidR="0042297D" w:rsidRPr="005035B6" w:rsidRDefault="0042297D" w:rsidP="005035B6">
      <w:pPr>
        <w:spacing w:line="480" w:lineRule="auto"/>
        <w:rPr>
          <w:rStyle w:val="Hyperlink"/>
          <w:rFonts w:cstheme="minorHAnsi"/>
          <w:color w:val="000000" w:themeColor="text1"/>
          <w:sz w:val="24"/>
          <w:szCs w:val="24"/>
          <w:u w:val="none"/>
        </w:rPr>
      </w:pPr>
      <w:r w:rsidRPr="005035B6">
        <w:rPr>
          <w:rFonts w:cstheme="minorHAnsi"/>
          <w:sz w:val="24"/>
          <w:szCs w:val="24"/>
        </w:rPr>
        <w:t>COV-HCQ:</w:t>
      </w:r>
      <w:r w:rsidRPr="005035B6">
        <w:rPr>
          <w:rFonts w:cstheme="minorHAnsi"/>
          <w:color w:val="000000" w:themeColor="text1"/>
          <w:sz w:val="24"/>
          <w:szCs w:val="24"/>
        </w:rPr>
        <w:t xml:space="preserve"> </w:t>
      </w:r>
      <w:hyperlink r:id="rId6" w:history="1">
        <w:r w:rsidR="002E7B30" w:rsidRPr="005035B6">
          <w:rPr>
            <w:rStyle w:val="Hyperlink"/>
            <w:rFonts w:cstheme="minorHAnsi"/>
            <w:color w:val="000000" w:themeColor="text1"/>
            <w:sz w:val="24"/>
            <w:szCs w:val="24"/>
            <w:u w:val="none"/>
          </w:rPr>
          <w:t>https://www.clinicaltrials.gov/ct2/show/NCT04342221?term=2020-001224-33&amp;cond=Covid19&amp;draw=2&amp;rank=1</w:t>
        </w:r>
      </w:hyperlink>
    </w:p>
    <w:p w14:paraId="44C53D3E" w14:textId="6CFAB929" w:rsidR="002E7B30" w:rsidRPr="005035B6" w:rsidRDefault="002E7B30" w:rsidP="005035B6">
      <w:pPr>
        <w:spacing w:line="480" w:lineRule="auto"/>
        <w:rPr>
          <w:rFonts w:cstheme="minorHAnsi"/>
          <w:sz w:val="24"/>
          <w:szCs w:val="24"/>
        </w:rPr>
      </w:pPr>
      <w:r w:rsidRPr="005035B6">
        <w:rPr>
          <w:rFonts w:cstheme="minorHAnsi"/>
          <w:sz w:val="24"/>
          <w:szCs w:val="24"/>
        </w:rPr>
        <w:t>SOLIDA</w:t>
      </w:r>
      <w:r w:rsidR="00783520" w:rsidRPr="005035B6">
        <w:rPr>
          <w:rFonts w:cstheme="minorHAnsi"/>
          <w:sz w:val="24"/>
          <w:szCs w:val="24"/>
        </w:rPr>
        <w:t>R</w:t>
      </w:r>
      <w:r w:rsidRPr="005035B6">
        <w:rPr>
          <w:rFonts w:cstheme="minorHAnsi"/>
          <w:sz w:val="24"/>
          <w:szCs w:val="24"/>
        </w:rPr>
        <w:t>ITY: https:// www.who.int/publications/m/item/ a-coordinated-global-research-roadmap</w:t>
      </w:r>
    </w:p>
    <w:p w14:paraId="5880CE0F" w14:textId="670CBA45" w:rsidR="00783520" w:rsidRPr="005035B6" w:rsidRDefault="00783520" w:rsidP="005035B6">
      <w:pPr>
        <w:spacing w:line="480" w:lineRule="auto"/>
        <w:rPr>
          <w:rFonts w:cstheme="minorHAnsi"/>
          <w:sz w:val="24"/>
          <w:szCs w:val="24"/>
        </w:rPr>
      </w:pPr>
      <w:r w:rsidRPr="005035B6">
        <w:rPr>
          <w:rFonts w:cstheme="minorHAnsi"/>
          <w:sz w:val="24"/>
          <w:szCs w:val="24"/>
        </w:rPr>
        <w:fldChar w:fldCharType="begin" w:fldLock="1"/>
      </w:r>
      <w:r w:rsidRPr="005035B6">
        <w:rPr>
          <w:rFonts w:cstheme="minorHAnsi"/>
          <w:sz w:val="24"/>
          <w:szCs w:val="24"/>
        </w:rPr>
        <w:instrText>ADDIN CSL_CITATION {"citationItems":[{"id":"ITEM-1","itemData":{"DOI":"10.1056/NEJMoa2023184","ISSN":"0028-4793","abstract":"BACKGROUND World Health Organization expert groups recommended mortality trials of four repurposed antiviral drugs - remdesivir, hydroxychloroquine, lopinavir, and interferon beta-1a - in patients hospitalized with coronavirus disease 2019 (Covid-19). METHODS We randomly assigned inpatients with Covid-19 equally between one of the trial drug regimens that was locally available and open control (up to five options, four active and the local standard of care). The intention-to-treat primary analyses examined in-hospital mortality in the four pairwise comparisons of each trial drug and its control (drug available but patient assigned to the same care without that drug). Rate ratios for death were calculated with stratification according to age and status regarding mechanical ventilation at trial entry. RESULTS At 405 hospitals in 30 countries, 11,330 adults underwent randomization; 2750 were assigned to receive remdesivir, 954 to hydroxychloroquine, 1411 to lopinavir (without interferon), 2063 to interferon (including 651 to interferon plus lopinavir), and 4088 to no trial drug. Adherence was 94 to 96% midway through treatment, with 2 to 6% crossover. In total, 1253 deaths were reported (median day of death, day 8; interquartile range, 4 to 14). The Kaplan-Meier 28-day mortality was 11.8% (39.0% if the patient was already receiving ventilation at randomization and 9.5% otherwise). Death occurred in 301 of 2743 patients receiving remdesivir and in 303 of 2708 receiving its control (rate ratio, 0.95; 95% confidence interval [CI], 0.81 to 1.11; P = 0.50), in 104 of 947 patients receiving hydroxychloroquine and in 84 of 906 receiving its control (rate ratio, 1.19; 95% CI, 0.89 to 1.59; P = 0.23), in 148 of 1399 patients receiving lopinavir and in 146 of 1372 receiving its control (rate ratio, 1.00; 95% CI, 0.79 to 1.25; P = 0.97), and in 243 of 2050 patients receiving interferon and in 216 of 2050 receiving its control (rate ratio, 1.16; 95% CI, 0.96 to 1.39; P = 0.11). No drug definitely reduced mortality, overall or in any subgroup, or reduced initiation of ventilation or hospitalization duration. CONCLUSIONS These remdesivir, hydroxychloroquine, lopinavir, and interferon regimens had little or no effect on hospitalized patients with Covid-19, as indicated by overall mortality, initiation of ventilation, and duration of hospital stay. (Funded by the World Health Organization; ISRCTN Registry number, ISRCTN83971151; ClinicalTrials.gov number, NCT04315948.).","container-title":"New England Journal of Medicine","id":"ITEM-1","issue":"6","issued":{"date-parts":[["2021","2","11"]]},"page":"497-511","publisher":"Massachusetts Medical Society","title":"Repurposed Antiviral Drugs for Covid-19 — Interim WHO Solidarity Trial Results","type":"article-journal","volume":"384"},"uris":["http://www.mendeley.com/documents/?uuid=af901c1f-d1ea-39e0-b4b9-98a538358280"]}],"mendeley":{"formattedCitation":"(Repurposed Antiviral Drugs for Covid-19 — Interim WHO Solidarity Trial Results, 2021)","plainTextFormattedCitation":"(Repurposed Antiviral Drugs for Covid-19 — Interim WHO Solidarity Trial Results, 2021)","previouslyFormattedCitation":"(“Repurposed Antiviral Drugs for Covid-19 — Interim WHO Solidarity Trial Results,” 2021)"},"properties":{"noteIndex":0},"schema":"https://github.com/citation-style-language/schema/raw/master/csl-citation.json"}</w:instrText>
      </w:r>
      <w:r w:rsidRPr="005035B6">
        <w:rPr>
          <w:rFonts w:cstheme="minorHAnsi"/>
          <w:sz w:val="24"/>
          <w:szCs w:val="24"/>
        </w:rPr>
        <w:fldChar w:fldCharType="separate"/>
      </w:r>
      <w:r w:rsidRPr="005035B6">
        <w:rPr>
          <w:rFonts w:cstheme="minorHAnsi"/>
          <w:noProof/>
          <w:sz w:val="24"/>
          <w:szCs w:val="24"/>
        </w:rPr>
        <w:t>(Repurposed Antiviral Drugs for Covid-19 — Interim WHO Solidarity Trial Results, 2021)</w:t>
      </w:r>
      <w:r w:rsidRPr="005035B6">
        <w:rPr>
          <w:rFonts w:cstheme="minorHAnsi"/>
          <w:sz w:val="24"/>
          <w:szCs w:val="24"/>
        </w:rPr>
        <w:fldChar w:fldCharType="end"/>
      </w:r>
    </w:p>
    <w:p w14:paraId="2F687DD3" w14:textId="7F765697" w:rsidR="00A75C92" w:rsidRPr="005035B6" w:rsidRDefault="00BF12FB" w:rsidP="005035B6">
      <w:pPr>
        <w:spacing w:line="480" w:lineRule="auto"/>
        <w:rPr>
          <w:rFonts w:cstheme="minorHAnsi"/>
          <w:sz w:val="24"/>
          <w:szCs w:val="24"/>
        </w:rPr>
      </w:pPr>
      <w:r w:rsidRPr="005035B6">
        <w:rPr>
          <w:rFonts w:cstheme="minorHAnsi"/>
          <w:sz w:val="24"/>
          <w:szCs w:val="24"/>
        </w:rPr>
        <w:t>RECOVERY</w:t>
      </w:r>
      <w:r w:rsidR="0042297D" w:rsidRPr="005035B6">
        <w:rPr>
          <w:rFonts w:cstheme="minorHAnsi"/>
          <w:sz w:val="24"/>
          <w:szCs w:val="24"/>
        </w:rPr>
        <w:t>:</w:t>
      </w:r>
      <w:r w:rsidR="00A75C92" w:rsidRPr="005035B6">
        <w:rPr>
          <w:rFonts w:cstheme="minorHAnsi"/>
          <w:sz w:val="24"/>
          <w:szCs w:val="24"/>
        </w:rPr>
        <w:t xml:space="preserve"> </w:t>
      </w:r>
      <w:r w:rsidR="00783520" w:rsidRPr="005035B6">
        <w:rPr>
          <w:rFonts w:cstheme="minorHAnsi"/>
          <w:sz w:val="24"/>
          <w:szCs w:val="24"/>
        </w:rPr>
        <w:t>https://clinicaltrials.gov/ct2/show/NCT04381936</w:t>
      </w:r>
      <w:r w:rsidRPr="005035B6">
        <w:rPr>
          <w:rFonts w:cstheme="minorHAnsi"/>
          <w:sz w:val="24"/>
          <w:szCs w:val="24"/>
        </w:rPr>
        <w:t xml:space="preserve"> </w:t>
      </w:r>
    </w:p>
    <w:p w14:paraId="5D8948DF" w14:textId="20C85997" w:rsidR="005035B6" w:rsidRDefault="00783520" w:rsidP="005035B6">
      <w:pPr>
        <w:spacing w:line="480" w:lineRule="auto"/>
        <w:rPr>
          <w:rFonts w:cstheme="minorHAnsi"/>
          <w:sz w:val="24"/>
          <w:szCs w:val="24"/>
        </w:rPr>
      </w:pPr>
      <w:r w:rsidRPr="005035B6">
        <w:rPr>
          <w:rFonts w:cstheme="minorHAnsi"/>
          <w:sz w:val="24"/>
          <w:szCs w:val="24"/>
        </w:rPr>
        <w:fldChar w:fldCharType="begin" w:fldLock="1"/>
      </w:r>
      <w:r w:rsidRPr="005035B6">
        <w:rPr>
          <w:rFonts w:cstheme="minorHAnsi"/>
          <w:sz w:val="24"/>
          <w:szCs w:val="24"/>
        </w:rPr>
        <w:instrText>ADDIN CSL_CITATION {"citationItems":[{"id":"ITEM-1","itemData":{"DOI":"10.1056/NEJMoa2022926","ISSN":"0028-4793","abstract":"BACKGROUND Hydroxychloroquine and chloroquine have been proposed as treatments for coronavirus disease 2019 (Covid-19) on the basis of in vitro activity and data from uncontrolled studies and small, randomized trials. METHODS In this randomized, controlled, open-label platform trial comparing a range of possible treatments with usual care in patients hospitalized with Covid-19, we randomly assigned 1561 patients to receive hydroxychloroquine and 3155 to receive usual care. The primary outcome was 28-day mortality. RESULTS The enrollment of patients in the hydroxychloroquine group was closed on June 5, 2020, after an interim analysis determined that there was a lack of efficacy. Death within 28 days occurred in 421 patients (27.0%) in the hydroxychloroquine group and in 790 (25.0%) in the usual-care group (rate ratio, 1.09; 95% confidence interval [CI], 0.97 to 1.23; P = 0.15). Consistent results were seen in all prespecified subgroups of patients. The results suggest that patients in the hydroxychloroquine group were less likely to be discharged from the hospital alive within 28 days than those in the usual-care group (59.6% vs. 62.9%; rate ratio, 0.90; 95% CI, 0.83 to 0.98). Among the patients who were not undergoing mechanical ventilation at baseline, those in the hydroxychloroquine group had a higher frequency of invasive mechanical ventilation or death (30.7% vs. 26.9%; risk ratio, 1.14; 95% CI, 1.03 to 1.27). There was a small numerical excess of cardiac deaths (0.4 percentage points) but no difference in the incidence of new major cardiac arrhythmia among the patients who received hydroxychloroquine. CONCLUSIONS Among patients hospitalized with Covid-19, those who received hydroxychloroquine did not have a lower incidence of death at 28 days than those who received usual care. (Funded by UK Research and Innovation and National Institute for Health Research and others; RECOVERY ISRCTN number, ISRCTN50189673; ClinicalTrials.gov number, NCT04381936.).","author":[{"dropping-particle":"","family":"RECOVERY Collaborative Group","given":"","non-dropping-particle":"","parse-names":false,"suffix":""},{"dropping-particle":"","family":"Horby","given":"Peter","non-dropping-particle":"","parse-names":false,"suffix":""},{"dropping-particle":"","family":"Mafham","given":"Marion","non-dropping-particle":"","parse-names":false,"suffix":""},{"dropping-particle":"","family":"Linsell","given":"Louise","non-dropping-particle":"","parse-names":false,"suffix":""},{"dropping-particle":"","family":"Bell","given":"Jennifer L","non-dropping-particle":"","parse-names":false,"suffix":""},{"dropping-particle":"","family":"Staplin","given":"Natalie","non-dropping-particle":"","parse-names":false,"suffix":""},{"dropping-particle":"","family":"Emberson","given":"Jonathan R","non-dropping-particle":"","parse-names":false,"suffix":""},{"dropping-particle":"","family":"Wiselka","given":"Martin","non-dropping-particle":"","parse-names":false,"suffix":""},{"dropping-particle":"","family":"Ustianowski","given":"Andrew","non-dropping-particle":"","parse-names":false,"suffix":""},{"dropping-particle":"","family":"Elmahi","given":"Einas","non-dropping-particle":"","parse-names":false,"suffix":""},{"dropping-particle":"","family":"Prudon","given":"Benjamin","non-dropping-particle":"","parse-names":false,"suffix":""},{"dropping-particle":"","family":"Whitehouse","given":"Tony","non-dropping-particle":"","parse-names":false,"suffix":""},{"dropping-particle":"","family":"Felton","given":"Timothy","non-dropping-particle":"","parse-names":false,"suffix":""},{"dropping-particle":"","family":"Williams","given":"John","non-dropping-particle":"","parse-names":false,"suffix":""},{"dropping-particle":"","family":"Faccenda","given":"Jakki","non-dropping-particle":"","parse-names":false,"suffix":""},{"dropping-particle":"","family":"Underwood","given":"Jonathan","non-dropping-particle":"","parse-names":false,"suffix":""},{"dropping-particle":"","family":"Baillie","given":"J Kenneth","non-dropping-particle":"","parse-names":false,"suffix":""},{"dropping-particle":"","family":"Chappell","given":"Lucy C","non-dropping-particle":"","parse-names":false,"suffix":""},{"dropping-particle":"","family":"Faust","given":"Saul N","non-dropping-particle":"","parse-names":false,"suffix":""},{"dropping-particle":"","family":"Jaki","given":"Thomas","non-dropping-particle":"","parse-names":false,"suffix":""},{"dropping-particle":"","family":"Jeffery","given":"Katie","non-dropping-particle":"","parse-names":false,"suffix":""},{"dropping-particle":"","family":"Lim","given":"Wei Shen","non-dropping-particle":"","parse-names":false,"suffix":""},{"dropping-particle":"","family":"Montgomery","given":"Alan","non-dropping-particle":"","parse-names":false,"suffix":""},{"dropping-particle":"","family":"Rowan","given":"Kathryn","non-dropping-particle":"","parse-names":false,"suffix":""},{"dropping-particle":"","family":"Tarning","given":"Joel","non-dropping-particle":"","parse-names":false,"suffix":""},{"dropping-particle":"","family":"Watson","given":"James A","non-dropping-particle":"","parse-names":false,"suffix":""},{"dropping-particle":"","family":"White","given":"Nicholas J","non-dropping-particle":"","parse-names":false,"suffix":""},{"dropping-particle":"","family":"Juszczak","given":"Edmund","non-dropping-particle":"","parse-names":false,"suffix":""},{"dropping-particle":"","family":"Haynes","given":"Richard","non-dropping-particle":"","parse-names":false,"suffix":""},{"dropping-particle":"","family":"Landray","given":"Martin J","non-dropping-particle":"","parse-names":false,"suffix":""}],"container-title":"New England Journal of Medicine","id":"ITEM-1","issued":{"date-parts":[["2020","10","8"]]},"page":"NEJMoa2022926","publisher":"Massachusetts Medical Society","title":"Effect of Hydroxychloroquine in Hospitalized Patients with Covid-19","type":"article-journal"},"uris":["http://www.mendeley.com/documents/?uuid=857887b2-ba32-34a4-b7c1-cf2509abe105"]}],"mendeley":{"formattedCitation":"(RECOVERY Collaborative Group et al., 2020)","plainTextFormattedCitation":"(RECOVERY Collaborative Group et al., 2020)","previouslyFormattedCitation":"(RECOVERY Collaborative Group et al., 2020)"},"properties":{"noteIndex":0},"schema":"https://github.com/citation-style-language/schema/raw/master/csl-citation.json"}</w:instrText>
      </w:r>
      <w:r w:rsidRPr="005035B6">
        <w:rPr>
          <w:rFonts w:cstheme="minorHAnsi"/>
          <w:sz w:val="24"/>
          <w:szCs w:val="24"/>
        </w:rPr>
        <w:fldChar w:fldCharType="separate"/>
      </w:r>
      <w:r w:rsidRPr="005035B6">
        <w:rPr>
          <w:rFonts w:cstheme="minorHAnsi"/>
          <w:noProof/>
          <w:sz w:val="24"/>
          <w:szCs w:val="24"/>
        </w:rPr>
        <w:t>(RECOVERY Collaborative Group et al., 2020)</w:t>
      </w:r>
      <w:r w:rsidRPr="005035B6">
        <w:rPr>
          <w:rFonts w:cstheme="minorHAnsi"/>
          <w:sz w:val="24"/>
          <w:szCs w:val="24"/>
        </w:rPr>
        <w:fldChar w:fldCharType="end"/>
      </w:r>
    </w:p>
    <w:p w14:paraId="5C677478" w14:textId="07EC0653" w:rsidR="005035B6" w:rsidRDefault="005035B6" w:rsidP="005035B6">
      <w:pPr>
        <w:spacing w:line="480" w:lineRule="auto"/>
        <w:rPr>
          <w:rFonts w:cstheme="minorHAnsi"/>
          <w:sz w:val="24"/>
          <w:szCs w:val="24"/>
        </w:rPr>
      </w:pPr>
    </w:p>
    <w:p w14:paraId="04BB52C2" w14:textId="77777777" w:rsidR="005035B6" w:rsidRPr="005035B6" w:rsidRDefault="005035B6" w:rsidP="005035B6">
      <w:pPr>
        <w:spacing w:line="480" w:lineRule="auto"/>
        <w:rPr>
          <w:rFonts w:cstheme="minorHAnsi"/>
          <w:sz w:val="24"/>
          <w:szCs w:val="24"/>
        </w:rPr>
      </w:pPr>
    </w:p>
    <w:p w14:paraId="3FA9B929" w14:textId="1B1494D1" w:rsidR="00783520" w:rsidRPr="005035B6" w:rsidRDefault="00783520" w:rsidP="005035B6">
      <w:pPr>
        <w:spacing w:line="480" w:lineRule="auto"/>
        <w:rPr>
          <w:rFonts w:cstheme="minorHAnsi"/>
          <w:sz w:val="24"/>
          <w:szCs w:val="24"/>
        </w:rPr>
      </w:pPr>
    </w:p>
    <w:sectPr w:rsidR="00783520" w:rsidRPr="00503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1B0"/>
    <w:multiLevelType w:val="hybridMultilevel"/>
    <w:tmpl w:val="D0C22228"/>
    <w:lvl w:ilvl="0" w:tplc="227A00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253E0"/>
    <w:multiLevelType w:val="multilevel"/>
    <w:tmpl w:val="DAE6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8650E"/>
    <w:multiLevelType w:val="multilevel"/>
    <w:tmpl w:val="084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1B"/>
    <w:rsid w:val="001649BD"/>
    <w:rsid w:val="00186C7D"/>
    <w:rsid w:val="00187DD6"/>
    <w:rsid w:val="001E05D3"/>
    <w:rsid w:val="00297F49"/>
    <w:rsid w:val="002E7B30"/>
    <w:rsid w:val="003F72D1"/>
    <w:rsid w:val="0042297D"/>
    <w:rsid w:val="00441876"/>
    <w:rsid w:val="00466779"/>
    <w:rsid w:val="00492BD9"/>
    <w:rsid w:val="005035B6"/>
    <w:rsid w:val="00570908"/>
    <w:rsid w:val="00650F68"/>
    <w:rsid w:val="0066511B"/>
    <w:rsid w:val="006C48D9"/>
    <w:rsid w:val="0073276C"/>
    <w:rsid w:val="00735F29"/>
    <w:rsid w:val="007534BB"/>
    <w:rsid w:val="00783520"/>
    <w:rsid w:val="007C22D8"/>
    <w:rsid w:val="007F1D27"/>
    <w:rsid w:val="00840DEA"/>
    <w:rsid w:val="00894514"/>
    <w:rsid w:val="008B7A81"/>
    <w:rsid w:val="00910919"/>
    <w:rsid w:val="00921096"/>
    <w:rsid w:val="00953940"/>
    <w:rsid w:val="00993362"/>
    <w:rsid w:val="00994A61"/>
    <w:rsid w:val="009A040F"/>
    <w:rsid w:val="009B6BED"/>
    <w:rsid w:val="009F6AF9"/>
    <w:rsid w:val="00A36E76"/>
    <w:rsid w:val="00A75C92"/>
    <w:rsid w:val="00A9052F"/>
    <w:rsid w:val="00AB2DF4"/>
    <w:rsid w:val="00BB1296"/>
    <w:rsid w:val="00BE1D86"/>
    <w:rsid w:val="00BF12FB"/>
    <w:rsid w:val="00C92E83"/>
    <w:rsid w:val="00D37F0A"/>
    <w:rsid w:val="00D94E8D"/>
    <w:rsid w:val="00DF7DB3"/>
    <w:rsid w:val="00E00586"/>
    <w:rsid w:val="00E17639"/>
    <w:rsid w:val="00E34DEB"/>
    <w:rsid w:val="00E35424"/>
    <w:rsid w:val="00E42841"/>
    <w:rsid w:val="00E975DB"/>
    <w:rsid w:val="00EB7DEF"/>
    <w:rsid w:val="00F72C5A"/>
    <w:rsid w:val="00FC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FA5F"/>
  <w15:chartTrackingRefBased/>
  <w15:docId w15:val="{801E7258-9E1A-44BC-B11E-6BC25C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511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511B"/>
    <w:rPr>
      <w:sz w:val="16"/>
      <w:szCs w:val="16"/>
    </w:rPr>
  </w:style>
  <w:style w:type="paragraph" w:styleId="CommentText">
    <w:name w:val="annotation text"/>
    <w:basedOn w:val="Normal"/>
    <w:link w:val="CommentTextChar"/>
    <w:uiPriority w:val="99"/>
    <w:unhideWhenUsed/>
    <w:rsid w:val="0066511B"/>
    <w:pPr>
      <w:spacing w:line="240" w:lineRule="auto"/>
    </w:pPr>
    <w:rPr>
      <w:sz w:val="20"/>
      <w:szCs w:val="20"/>
    </w:rPr>
  </w:style>
  <w:style w:type="character" w:customStyle="1" w:styleId="CommentTextChar">
    <w:name w:val="Comment Text Char"/>
    <w:basedOn w:val="DefaultParagraphFont"/>
    <w:link w:val="CommentText"/>
    <w:uiPriority w:val="99"/>
    <w:rsid w:val="0066511B"/>
    <w:rPr>
      <w:sz w:val="20"/>
      <w:szCs w:val="20"/>
    </w:rPr>
  </w:style>
  <w:style w:type="paragraph" w:styleId="CommentSubject">
    <w:name w:val="annotation subject"/>
    <w:basedOn w:val="CommentText"/>
    <w:next w:val="CommentText"/>
    <w:link w:val="CommentSubjectChar"/>
    <w:uiPriority w:val="99"/>
    <w:semiHidden/>
    <w:unhideWhenUsed/>
    <w:rsid w:val="0066511B"/>
    <w:rPr>
      <w:b/>
      <w:bCs/>
    </w:rPr>
  </w:style>
  <w:style w:type="character" w:customStyle="1" w:styleId="CommentSubjectChar">
    <w:name w:val="Comment Subject Char"/>
    <w:basedOn w:val="CommentTextChar"/>
    <w:link w:val="CommentSubject"/>
    <w:uiPriority w:val="99"/>
    <w:semiHidden/>
    <w:rsid w:val="0066511B"/>
    <w:rPr>
      <w:b/>
      <w:bCs/>
      <w:sz w:val="20"/>
      <w:szCs w:val="20"/>
    </w:rPr>
  </w:style>
  <w:style w:type="paragraph" w:styleId="BalloonText">
    <w:name w:val="Balloon Text"/>
    <w:basedOn w:val="Normal"/>
    <w:link w:val="BalloonTextChar"/>
    <w:uiPriority w:val="99"/>
    <w:semiHidden/>
    <w:unhideWhenUsed/>
    <w:rsid w:val="0066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1B"/>
    <w:rPr>
      <w:rFonts w:ascii="Segoe UI" w:hAnsi="Segoe UI" w:cs="Segoe UI"/>
      <w:sz w:val="18"/>
      <w:szCs w:val="18"/>
    </w:rPr>
  </w:style>
  <w:style w:type="paragraph" w:styleId="ListParagraph">
    <w:name w:val="List Paragraph"/>
    <w:basedOn w:val="Normal"/>
    <w:uiPriority w:val="34"/>
    <w:qFormat/>
    <w:rsid w:val="00994A61"/>
    <w:pPr>
      <w:ind w:left="720"/>
      <w:contextualSpacing/>
    </w:pPr>
  </w:style>
  <w:style w:type="character" w:styleId="Strong">
    <w:name w:val="Strong"/>
    <w:basedOn w:val="DefaultParagraphFont"/>
    <w:uiPriority w:val="22"/>
    <w:qFormat/>
    <w:rsid w:val="00E35424"/>
    <w:rPr>
      <w:b/>
      <w:bCs/>
    </w:rPr>
  </w:style>
  <w:style w:type="character" w:styleId="Hyperlink">
    <w:name w:val="Hyperlink"/>
    <w:basedOn w:val="DefaultParagraphFont"/>
    <w:uiPriority w:val="99"/>
    <w:unhideWhenUsed/>
    <w:rsid w:val="002E7B30"/>
    <w:rPr>
      <w:color w:val="0563C1" w:themeColor="hyperlink"/>
      <w:u w:val="single"/>
    </w:rPr>
  </w:style>
  <w:style w:type="character" w:customStyle="1" w:styleId="UnresolvedMention1">
    <w:name w:val="Unresolved Mention1"/>
    <w:basedOn w:val="DefaultParagraphFont"/>
    <w:uiPriority w:val="99"/>
    <w:semiHidden/>
    <w:unhideWhenUsed/>
    <w:rsid w:val="00993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9249">
      <w:bodyDiv w:val="1"/>
      <w:marLeft w:val="0"/>
      <w:marRight w:val="0"/>
      <w:marTop w:val="0"/>
      <w:marBottom w:val="0"/>
      <w:divBdr>
        <w:top w:val="none" w:sz="0" w:space="0" w:color="auto"/>
        <w:left w:val="none" w:sz="0" w:space="0" w:color="auto"/>
        <w:bottom w:val="none" w:sz="0" w:space="0" w:color="auto"/>
        <w:right w:val="none" w:sz="0" w:space="0" w:color="auto"/>
      </w:divBdr>
    </w:div>
    <w:div w:id="18794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inicaltrials.gov/ct2/show/NCT04342221?term=2020-001224-33&amp;cond=Covid19&amp;draw=2&amp;ra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6BBE-4726-4735-84AF-5D6FBF71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11331</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dc:creator>
  <cp:keywords/>
  <dc:description/>
  <cp:lastModifiedBy>Anna Walker</cp:lastModifiedBy>
  <cp:revision>2</cp:revision>
  <dcterms:created xsi:type="dcterms:W3CDTF">2021-04-09T13:16:00Z</dcterms:created>
  <dcterms:modified xsi:type="dcterms:W3CDTF">2021-04-09T13:16:00Z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http://www.zotero.org/styles/international-journal-of-infectious-diseases</vt:lpwstr>
  </property>
  <property fmtid="{D5CDD505-2E9C-101B-9397-08002B2CF9AE}" pid="17" name="Mendeley Recent Style Name 7_1">
    <vt:lpwstr>International Journal of Infectious Diseases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9b3fa3a4-ccb4-31ae-8265-ab6b78d2e188</vt:lpwstr>
  </property>
  <property fmtid="{D5CDD505-2E9C-101B-9397-08002B2CF9AE}" pid="24" name="Mendeley Citation Style_1">
    <vt:lpwstr>http://www.zotero.org/styles/international-journal-of-infectious-diseases</vt:lpwstr>
  </property>
</Properties>
</file>