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833AB" w14:textId="5219D3C1" w:rsidR="00C56171" w:rsidRPr="0072140C" w:rsidRDefault="00463C87" w:rsidP="00DF0484">
      <w:pPr>
        <w:pStyle w:val="Heading5"/>
        <w:spacing w:after="120" w:line="360" w:lineRule="auto"/>
        <w:rPr>
          <w:rFonts w:ascii="Times New Roman" w:hAnsi="Times New Roman"/>
          <w:b w:val="0"/>
          <w:bCs/>
          <w:smallCaps/>
          <w:sz w:val="28"/>
          <w:szCs w:val="28"/>
          <w:lang w:val="en-GB"/>
        </w:rPr>
      </w:pPr>
      <w:r w:rsidRPr="0072140C">
        <w:rPr>
          <w:rFonts w:ascii="Times New Roman" w:hAnsi="Times New Roman"/>
          <w:b w:val="0"/>
          <w:bCs/>
          <w:smallCaps/>
          <w:sz w:val="28"/>
          <w:szCs w:val="28"/>
          <w:lang w:val="en-GB"/>
        </w:rPr>
        <w:t>ORIGINAL ARTICLE</w:t>
      </w:r>
    </w:p>
    <w:p w14:paraId="280A7F32" w14:textId="77777777" w:rsidR="0072140C" w:rsidRDefault="0072140C" w:rsidP="00707CE2">
      <w:pPr>
        <w:spacing w:line="360" w:lineRule="auto"/>
        <w:jc w:val="center"/>
        <w:rPr>
          <w:b/>
          <w:sz w:val="36"/>
          <w:lang w:val="x-none" w:eastAsia="x-none"/>
        </w:rPr>
      </w:pPr>
    </w:p>
    <w:p w14:paraId="7B742C4A" w14:textId="77777777" w:rsidR="0048021B" w:rsidRDefault="00275F44" w:rsidP="00707CE2">
      <w:pPr>
        <w:spacing w:line="360" w:lineRule="auto"/>
        <w:jc w:val="center"/>
        <w:rPr>
          <w:b/>
          <w:sz w:val="36"/>
          <w:lang w:val="x-none" w:eastAsia="x-none"/>
        </w:rPr>
      </w:pPr>
      <w:r w:rsidRPr="00275F44">
        <w:rPr>
          <w:b/>
          <w:sz w:val="36"/>
          <w:lang w:val="x-none" w:eastAsia="x-none"/>
        </w:rPr>
        <w:t>High-</w:t>
      </w:r>
      <w:r>
        <w:rPr>
          <w:b/>
          <w:sz w:val="36"/>
          <w:lang w:eastAsia="x-none"/>
        </w:rPr>
        <w:t>s</w:t>
      </w:r>
      <w:r w:rsidRPr="00275F44">
        <w:rPr>
          <w:b/>
          <w:sz w:val="36"/>
          <w:lang w:val="x-none" w:eastAsia="x-none"/>
        </w:rPr>
        <w:t xml:space="preserve">ensitivity cardiac </w:t>
      </w:r>
      <w:r>
        <w:rPr>
          <w:b/>
          <w:sz w:val="36"/>
          <w:lang w:eastAsia="x-none"/>
        </w:rPr>
        <w:t>t</w:t>
      </w:r>
      <w:r w:rsidRPr="00275F44">
        <w:rPr>
          <w:b/>
          <w:sz w:val="36"/>
          <w:lang w:val="x-none" w:eastAsia="x-none"/>
        </w:rPr>
        <w:t xml:space="preserve">roponin </w:t>
      </w:r>
      <w:r>
        <w:rPr>
          <w:b/>
          <w:sz w:val="36"/>
          <w:lang w:eastAsia="x-none"/>
        </w:rPr>
        <w:t>o</w:t>
      </w:r>
      <w:r w:rsidRPr="00275F44">
        <w:rPr>
          <w:b/>
          <w:sz w:val="36"/>
          <w:lang w:val="x-none" w:eastAsia="x-none"/>
        </w:rPr>
        <w:t xml:space="preserve">n presentation </w:t>
      </w:r>
    </w:p>
    <w:p w14:paraId="0BD07179" w14:textId="77777777" w:rsidR="0048021B" w:rsidRDefault="00275F44" w:rsidP="00707CE2">
      <w:pPr>
        <w:spacing w:line="360" w:lineRule="auto"/>
        <w:jc w:val="center"/>
        <w:rPr>
          <w:b/>
          <w:sz w:val="36"/>
          <w:lang w:eastAsia="x-none"/>
        </w:rPr>
      </w:pPr>
      <w:r w:rsidRPr="00275F44">
        <w:rPr>
          <w:b/>
          <w:sz w:val="36"/>
          <w:lang w:val="x-none" w:eastAsia="x-none"/>
        </w:rPr>
        <w:t xml:space="preserve">to </w:t>
      </w:r>
      <w:r>
        <w:rPr>
          <w:b/>
          <w:sz w:val="36"/>
          <w:lang w:eastAsia="x-none"/>
        </w:rPr>
        <w:t>r</w:t>
      </w:r>
      <w:r w:rsidRPr="00275F44">
        <w:rPr>
          <w:b/>
          <w:sz w:val="36"/>
          <w:lang w:val="x-none" w:eastAsia="x-none"/>
        </w:rPr>
        <w:t xml:space="preserve">ule out myocardial </w:t>
      </w:r>
      <w:r>
        <w:rPr>
          <w:b/>
          <w:sz w:val="36"/>
          <w:lang w:eastAsia="x-none"/>
        </w:rPr>
        <w:t>i</w:t>
      </w:r>
      <w:r w:rsidRPr="00275F44">
        <w:rPr>
          <w:b/>
          <w:sz w:val="36"/>
          <w:lang w:val="x-none" w:eastAsia="x-none"/>
        </w:rPr>
        <w:t>nfar</w:t>
      </w:r>
      <w:r>
        <w:rPr>
          <w:b/>
          <w:sz w:val="36"/>
          <w:lang w:eastAsia="x-none"/>
        </w:rPr>
        <w:t>c</w:t>
      </w:r>
      <w:r w:rsidRPr="00275F44">
        <w:rPr>
          <w:b/>
          <w:sz w:val="36"/>
          <w:lang w:val="x-none" w:eastAsia="x-none"/>
        </w:rPr>
        <w:t>tion</w:t>
      </w:r>
      <w:r w:rsidR="00D8044D">
        <w:rPr>
          <w:b/>
          <w:sz w:val="36"/>
          <w:lang w:eastAsia="x-none"/>
        </w:rPr>
        <w:t xml:space="preserve">: </w:t>
      </w:r>
      <w:r w:rsidR="001E75A3">
        <w:rPr>
          <w:b/>
          <w:sz w:val="36"/>
          <w:lang w:eastAsia="x-none"/>
        </w:rPr>
        <w:t>a</w:t>
      </w:r>
      <w:r w:rsidR="00215E42">
        <w:rPr>
          <w:b/>
          <w:sz w:val="36"/>
          <w:lang w:eastAsia="x-none"/>
        </w:rPr>
        <w:t xml:space="preserve"> stepped-wedge </w:t>
      </w:r>
    </w:p>
    <w:p w14:paraId="5DA7805E" w14:textId="32D40BAB" w:rsidR="00275F44" w:rsidRPr="00707CE2" w:rsidRDefault="00215E42" w:rsidP="00707CE2">
      <w:pPr>
        <w:spacing w:line="360" w:lineRule="auto"/>
        <w:jc w:val="center"/>
        <w:rPr>
          <w:b/>
          <w:sz w:val="36"/>
          <w:lang w:eastAsia="x-none"/>
        </w:rPr>
      </w:pPr>
      <w:r>
        <w:rPr>
          <w:b/>
          <w:sz w:val="36"/>
          <w:lang w:eastAsia="x-none"/>
        </w:rPr>
        <w:t>cluster random</w:t>
      </w:r>
      <w:r w:rsidR="00320221">
        <w:rPr>
          <w:b/>
          <w:sz w:val="36"/>
          <w:lang w:eastAsia="x-none"/>
        </w:rPr>
        <w:t>ize</w:t>
      </w:r>
      <w:r>
        <w:rPr>
          <w:b/>
          <w:sz w:val="36"/>
          <w:lang w:eastAsia="x-none"/>
        </w:rPr>
        <w:t>d controlled trial</w:t>
      </w:r>
      <w:r w:rsidR="00275F44" w:rsidRPr="00275F44">
        <w:rPr>
          <w:b/>
          <w:sz w:val="36"/>
          <w:lang w:val="x-none" w:eastAsia="x-none"/>
        </w:rPr>
        <w:t xml:space="preserve"> </w:t>
      </w:r>
    </w:p>
    <w:p w14:paraId="7DF47EAC" w14:textId="77777777" w:rsidR="00275F44" w:rsidRDefault="00275F44" w:rsidP="00275F44">
      <w:pPr>
        <w:rPr>
          <w:b/>
          <w:sz w:val="36"/>
          <w:lang w:val="x-none" w:eastAsia="x-none"/>
        </w:rPr>
      </w:pPr>
    </w:p>
    <w:p w14:paraId="1E1A563E" w14:textId="42F0CED9" w:rsidR="001E4498" w:rsidRPr="00D32F99" w:rsidRDefault="00275F44" w:rsidP="00D32F99">
      <w:pPr>
        <w:jc w:val="center"/>
      </w:pPr>
      <w:r w:rsidRPr="00DE4F77">
        <w:t>Atul Anand, M.D.</w:t>
      </w:r>
      <w:r w:rsidR="00C25330">
        <w:t xml:space="preserve"> </w:t>
      </w:r>
      <w:r w:rsidR="00426673">
        <w:t>Ph.D.</w:t>
      </w:r>
      <w:r w:rsidRPr="00DE4F77">
        <w:t xml:space="preserve">, </w:t>
      </w:r>
      <w:r w:rsidR="00D32F99">
        <w:t xml:space="preserve">et al. </w:t>
      </w:r>
      <w:r w:rsidR="00952580" w:rsidRPr="00DE4F77">
        <w:rPr>
          <w:rFonts w:eastAsiaTheme="minorEastAsia"/>
          <w:i/>
          <w:lang w:eastAsia="en-US"/>
        </w:rPr>
        <w:t xml:space="preserve">on behalf of the </w:t>
      </w:r>
      <w:r w:rsidR="00AD07F8">
        <w:rPr>
          <w:rFonts w:eastAsiaTheme="minorEastAsia"/>
          <w:i/>
          <w:lang w:eastAsia="en-US"/>
        </w:rPr>
        <w:t>HiSTORIC</w:t>
      </w:r>
      <w:r w:rsidR="00952580" w:rsidRPr="00DE4F77">
        <w:rPr>
          <w:rFonts w:eastAsiaTheme="minorEastAsia"/>
          <w:i/>
          <w:lang w:eastAsia="en-US"/>
        </w:rPr>
        <w:t xml:space="preserve"> Investigators</w:t>
      </w:r>
      <w:r w:rsidR="001E4498" w:rsidRPr="00DE4F77">
        <w:rPr>
          <w:vertAlign w:val="superscript"/>
          <w:lang w:eastAsia="en-US"/>
        </w:rPr>
        <w:t>†</w:t>
      </w:r>
    </w:p>
    <w:p w14:paraId="1C9E7CFB" w14:textId="77777777" w:rsidR="004624AE" w:rsidRPr="00DE4F77" w:rsidRDefault="004624AE" w:rsidP="001E4498">
      <w:pPr>
        <w:jc w:val="both"/>
        <w:rPr>
          <w:sz w:val="20"/>
          <w:szCs w:val="20"/>
        </w:rPr>
      </w:pPr>
    </w:p>
    <w:p w14:paraId="7EDB9AB9" w14:textId="77777777" w:rsidR="00D32F99" w:rsidRDefault="00D32F99" w:rsidP="00CB1DC8">
      <w:pPr>
        <w:jc w:val="both"/>
        <w:rPr>
          <w:sz w:val="20"/>
          <w:szCs w:val="20"/>
        </w:rPr>
      </w:pPr>
    </w:p>
    <w:p w14:paraId="4FEF7A43" w14:textId="3BD8804A" w:rsidR="00D32F99" w:rsidRPr="00CB1DC8" w:rsidRDefault="00D32F99" w:rsidP="00D32F99">
      <w:pPr>
        <w:jc w:val="center"/>
        <w:rPr>
          <w:b/>
          <w:bCs/>
        </w:rPr>
      </w:pPr>
      <w:r w:rsidRPr="00CB1DC8">
        <w:rPr>
          <w:b/>
          <w:bCs/>
          <w:lang w:eastAsia="en-US"/>
        </w:rPr>
        <w:t>Running title:</w:t>
      </w:r>
      <w:r>
        <w:rPr>
          <w:b/>
          <w:bCs/>
          <w:lang w:eastAsia="en-US"/>
        </w:rPr>
        <w:t xml:space="preserve"> </w:t>
      </w:r>
      <w:r w:rsidRPr="00D32F99">
        <w:rPr>
          <w:lang w:eastAsia="en-US"/>
        </w:rPr>
        <w:t xml:space="preserve">The </w:t>
      </w:r>
      <w:r w:rsidRPr="00CB1DC8">
        <w:rPr>
          <w:lang w:eastAsia="en-US"/>
        </w:rPr>
        <w:t xml:space="preserve">HiSTORIC trial </w:t>
      </w:r>
    </w:p>
    <w:p w14:paraId="26506353" w14:textId="77777777" w:rsidR="00D32F99" w:rsidRDefault="00D32F99" w:rsidP="00CB1DC8">
      <w:pPr>
        <w:jc w:val="both"/>
        <w:rPr>
          <w:sz w:val="20"/>
          <w:szCs w:val="20"/>
        </w:rPr>
      </w:pPr>
    </w:p>
    <w:p w14:paraId="7AF2358B" w14:textId="77777777" w:rsidR="00D32F99" w:rsidRDefault="00D32F99" w:rsidP="00CB1DC8">
      <w:pPr>
        <w:jc w:val="both"/>
        <w:rPr>
          <w:sz w:val="20"/>
          <w:szCs w:val="20"/>
        </w:rPr>
      </w:pPr>
    </w:p>
    <w:p w14:paraId="4D45960D" w14:textId="10140CC6" w:rsidR="00DF0484" w:rsidRDefault="00DF0484" w:rsidP="00DF0484">
      <w:pPr>
        <w:rPr>
          <w:sz w:val="20"/>
          <w:szCs w:val="20"/>
          <w:lang w:eastAsia="en-US"/>
        </w:rPr>
      </w:pPr>
    </w:p>
    <w:p w14:paraId="6C3AC871" w14:textId="26287FF4" w:rsidR="00D32F99" w:rsidRDefault="00D32F99" w:rsidP="00DF0484">
      <w:pPr>
        <w:rPr>
          <w:sz w:val="20"/>
          <w:szCs w:val="20"/>
          <w:lang w:eastAsia="en-US"/>
        </w:rPr>
      </w:pPr>
    </w:p>
    <w:p w14:paraId="7AC17281" w14:textId="6A52A7E9" w:rsidR="00D32F99" w:rsidRDefault="00D32F99" w:rsidP="00DF0484">
      <w:pPr>
        <w:rPr>
          <w:sz w:val="20"/>
          <w:szCs w:val="20"/>
          <w:lang w:eastAsia="en-US"/>
        </w:rPr>
      </w:pPr>
    </w:p>
    <w:p w14:paraId="000088F7" w14:textId="2F930DC0" w:rsidR="00D32F99" w:rsidRDefault="00D32F99" w:rsidP="00DF0484">
      <w:pPr>
        <w:rPr>
          <w:sz w:val="20"/>
          <w:szCs w:val="20"/>
          <w:lang w:eastAsia="en-US"/>
        </w:rPr>
      </w:pPr>
    </w:p>
    <w:p w14:paraId="37834410" w14:textId="41D6DBC0" w:rsidR="00D32F99" w:rsidRDefault="00D32F99" w:rsidP="00DF0484">
      <w:pPr>
        <w:rPr>
          <w:sz w:val="20"/>
          <w:szCs w:val="20"/>
          <w:lang w:eastAsia="en-US"/>
        </w:rPr>
      </w:pPr>
    </w:p>
    <w:p w14:paraId="6AB92898" w14:textId="5C5732DF" w:rsidR="00D32F99" w:rsidRDefault="00D32F99" w:rsidP="00DF0484">
      <w:pPr>
        <w:rPr>
          <w:sz w:val="20"/>
          <w:szCs w:val="20"/>
          <w:lang w:eastAsia="en-US"/>
        </w:rPr>
      </w:pPr>
    </w:p>
    <w:p w14:paraId="1847852F" w14:textId="0ACD0C55" w:rsidR="00D32F99" w:rsidRDefault="00D32F99" w:rsidP="00DF0484">
      <w:pPr>
        <w:rPr>
          <w:sz w:val="20"/>
          <w:szCs w:val="20"/>
          <w:lang w:eastAsia="en-US"/>
        </w:rPr>
      </w:pPr>
    </w:p>
    <w:p w14:paraId="775ECB74" w14:textId="0AB01249" w:rsidR="00D32F99" w:rsidRDefault="00D32F99" w:rsidP="00DF0484">
      <w:pPr>
        <w:rPr>
          <w:sz w:val="20"/>
          <w:szCs w:val="20"/>
          <w:lang w:eastAsia="en-US"/>
        </w:rPr>
      </w:pPr>
    </w:p>
    <w:p w14:paraId="1FBA38CA" w14:textId="46214EB0" w:rsidR="00D32F99" w:rsidRDefault="00D32F99" w:rsidP="00DF0484">
      <w:pPr>
        <w:rPr>
          <w:sz w:val="20"/>
          <w:szCs w:val="20"/>
          <w:lang w:eastAsia="en-US"/>
        </w:rPr>
      </w:pPr>
    </w:p>
    <w:p w14:paraId="06D47D59" w14:textId="77777777" w:rsidR="00D32F99" w:rsidRPr="00DE4F77" w:rsidRDefault="00D32F99" w:rsidP="00DF0484">
      <w:pPr>
        <w:rPr>
          <w:sz w:val="20"/>
          <w:szCs w:val="20"/>
          <w:lang w:eastAsia="en-US"/>
        </w:rPr>
      </w:pPr>
    </w:p>
    <w:p w14:paraId="51AE9A04" w14:textId="77777777" w:rsidR="00D32F99" w:rsidRDefault="00D32F99" w:rsidP="00DF0484">
      <w:pPr>
        <w:tabs>
          <w:tab w:val="left" w:pos="6537"/>
        </w:tabs>
        <w:jc w:val="both"/>
        <w:rPr>
          <w:b/>
        </w:rPr>
      </w:pPr>
    </w:p>
    <w:p w14:paraId="5F87CC63" w14:textId="77777777" w:rsidR="00D32F99" w:rsidRDefault="00D32F99" w:rsidP="00DF0484">
      <w:pPr>
        <w:tabs>
          <w:tab w:val="left" w:pos="6537"/>
        </w:tabs>
        <w:jc w:val="both"/>
        <w:rPr>
          <w:b/>
        </w:rPr>
      </w:pPr>
    </w:p>
    <w:p w14:paraId="6B63F58A" w14:textId="77777777" w:rsidR="00D32F99" w:rsidRPr="00DE4F77" w:rsidRDefault="00D32F99" w:rsidP="00D32F99">
      <w:pPr>
        <w:jc w:val="both"/>
        <w:rPr>
          <w:sz w:val="20"/>
          <w:szCs w:val="20"/>
        </w:rPr>
      </w:pPr>
      <w:r w:rsidRPr="00DE4F77">
        <w:rPr>
          <w:sz w:val="20"/>
          <w:szCs w:val="20"/>
          <w:vertAlign w:val="superscript"/>
          <w:lang w:eastAsia="en-US"/>
        </w:rPr>
        <w:t>†</w:t>
      </w:r>
      <w:r w:rsidRPr="00DE4F77">
        <w:rPr>
          <w:sz w:val="20"/>
          <w:szCs w:val="20"/>
          <w:lang w:eastAsia="en-US"/>
        </w:rPr>
        <w:t xml:space="preserve">Listed in the </w:t>
      </w:r>
      <w:r>
        <w:rPr>
          <w:sz w:val="20"/>
          <w:szCs w:val="20"/>
          <w:lang w:eastAsia="en-US"/>
        </w:rPr>
        <w:t>Supplement</w:t>
      </w:r>
    </w:p>
    <w:p w14:paraId="6568F126" w14:textId="77777777" w:rsidR="00D32F99" w:rsidRDefault="00D32F99" w:rsidP="00DF0484">
      <w:pPr>
        <w:tabs>
          <w:tab w:val="left" w:pos="6537"/>
        </w:tabs>
        <w:jc w:val="both"/>
        <w:rPr>
          <w:b/>
        </w:rPr>
      </w:pPr>
    </w:p>
    <w:p w14:paraId="1B7430FE" w14:textId="77777777" w:rsidR="00D32F99" w:rsidRDefault="00D32F99" w:rsidP="00DF0484">
      <w:pPr>
        <w:tabs>
          <w:tab w:val="left" w:pos="6537"/>
        </w:tabs>
        <w:jc w:val="both"/>
        <w:rPr>
          <w:b/>
        </w:rPr>
      </w:pPr>
    </w:p>
    <w:p w14:paraId="019A4792" w14:textId="05F82370" w:rsidR="00C56171" w:rsidRPr="00DE4F77" w:rsidRDefault="00C56171" w:rsidP="00DF0484">
      <w:pPr>
        <w:tabs>
          <w:tab w:val="left" w:pos="6537"/>
        </w:tabs>
        <w:jc w:val="both"/>
        <w:rPr>
          <w:b/>
        </w:rPr>
      </w:pPr>
      <w:r w:rsidRPr="00DE4F77">
        <w:rPr>
          <w:b/>
        </w:rPr>
        <w:t>Corresponding Author:</w:t>
      </w:r>
      <w:r w:rsidR="00034A59" w:rsidRPr="00DE4F77">
        <w:rPr>
          <w:b/>
        </w:rPr>
        <w:tab/>
      </w:r>
    </w:p>
    <w:p w14:paraId="16B84D29" w14:textId="77777777" w:rsidR="00096E03" w:rsidRPr="00DE4F77" w:rsidRDefault="00096E03" w:rsidP="00DF0484">
      <w:pPr>
        <w:widowControl w:val="0"/>
        <w:autoSpaceDE w:val="0"/>
        <w:autoSpaceDN w:val="0"/>
        <w:adjustRightInd w:val="0"/>
      </w:pPr>
      <w:r w:rsidRPr="00DE4F77">
        <w:t>Professor Nicholas L Mills</w:t>
      </w:r>
    </w:p>
    <w:p w14:paraId="3774DC50" w14:textId="77777777" w:rsidR="00096E03" w:rsidRPr="00DE4F77" w:rsidRDefault="00096E03" w:rsidP="00DF0484">
      <w:pPr>
        <w:widowControl w:val="0"/>
        <w:autoSpaceDE w:val="0"/>
        <w:autoSpaceDN w:val="0"/>
        <w:adjustRightInd w:val="0"/>
      </w:pPr>
      <w:r w:rsidRPr="00DE4F77">
        <w:t>BHF/University Centre for Cardiovascular Science</w:t>
      </w:r>
    </w:p>
    <w:p w14:paraId="1934B3CE" w14:textId="77777777" w:rsidR="00096E03" w:rsidRPr="00DE4F77" w:rsidRDefault="00096E03" w:rsidP="00096E03">
      <w:pPr>
        <w:widowControl w:val="0"/>
        <w:autoSpaceDE w:val="0"/>
        <w:autoSpaceDN w:val="0"/>
        <w:adjustRightInd w:val="0"/>
      </w:pPr>
      <w:r w:rsidRPr="00DE4F77">
        <w:t>The University of Edinburgh</w:t>
      </w:r>
    </w:p>
    <w:p w14:paraId="15E2B39D" w14:textId="77777777" w:rsidR="00096E03" w:rsidRPr="00DE4F77" w:rsidRDefault="00096E03" w:rsidP="00096E03">
      <w:pPr>
        <w:widowControl w:val="0"/>
        <w:autoSpaceDE w:val="0"/>
        <w:autoSpaceDN w:val="0"/>
        <w:adjustRightInd w:val="0"/>
      </w:pPr>
      <w:r w:rsidRPr="00DE4F77">
        <w:t>Edinburgh EH16 4SA</w:t>
      </w:r>
    </w:p>
    <w:p w14:paraId="35115658" w14:textId="77777777" w:rsidR="00096E03" w:rsidRPr="00DE4F77" w:rsidRDefault="00096E03" w:rsidP="00096E03">
      <w:pPr>
        <w:widowControl w:val="0"/>
        <w:autoSpaceDE w:val="0"/>
        <w:autoSpaceDN w:val="0"/>
        <w:adjustRightInd w:val="0"/>
      </w:pPr>
      <w:r w:rsidRPr="00DE4F77">
        <w:t xml:space="preserve">United Kingdom </w:t>
      </w:r>
    </w:p>
    <w:p w14:paraId="752A2C4E" w14:textId="77777777" w:rsidR="00096E03" w:rsidRPr="00DE4F77" w:rsidRDefault="00096E03" w:rsidP="00096E03">
      <w:pPr>
        <w:widowControl w:val="0"/>
        <w:autoSpaceDE w:val="0"/>
        <w:autoSpaceDN w:val="0"/>
        <w:adjustRightInd w:val="0"/>
      </w:pPr>
      <w:r w:rsidRPr="00DE4F77">
        <w:t>Telephone: 0044 131 242 6515</w:t>
      </w:r>
    </w:p>
    <w:p w14:paraId="6DF2B155" w14:textId="77777777" w:rsidR="00096E03" w:rsidRPr="00DE4F77" w:rsidRDefault="00096E03" w:rsidP="00096E03">
      <w:pPr>
        <w:widowControl w:val="0"/>
        <w:autoSpaceDE w:val="0"/>
        <w:autoSpaceDN w:val="0"/>
        <w:adjustRightInd w:val="0"/>
      </w:pPr>
      <w:r w:rsidRPr="00DE4F77">
        <w:t>Fax: 0044 131 242 6379</w:t>
      </w:r>
    </w:p>
    <w:p w14:paraId="1289F39B" w14:textId="77777777" w:rsidR="00096E03" w:rsidRPr="00DE4F77" w:rsidRDefault="00096E03" w:rsidP="00096E03">
      <w:pPr>
        <w:widowControl w:val="0"/>
        <w:autoSpaceDE w:val="0"/>
        <w:autoSpaceDN w:val="0"/>
        <w:adjustRightInd w:val="0"/>
        <w:rPr>
          <w:rStyle w:val="Hyperlink"/>
        </w:rPr>
      </w:pPr>
      <w:r w:rsidRPr="00DE4F77">
        <w:t xml:space="preserve">E-mail: </w:t>
      </w:r>
      <w:hyperlink r:id="rId8" w:history="1">
        <w:r w:rsidRPr="00DE4F77">
          <w:rPr>
            <w:rStyle w:val="Hyperlink"/>
          </w:rPr>
          <w:t>nick.mills@ed.ac.uk</w:t>
        </w:r>
      </w:hyperlink>
    </w:p>
    <w:p w14:paraId="5153402C" w14:textId="77777777" w:rsidR="00F57E65" w:rsidRPr="00DE4F77" w:rsidRDefault="00F57E65" w:rsidP="00D32F99">
      <w:pPr>
        <w:spacing w:line="480" w:lineRule="auto"/>
        <w:jc w:val="both"/>
        <w:rPr>
          <w:b/>
        </w:rPr>
      </w:pPr>
    </w:p>
    <w:p w14:paraId="01D1C10A" w14:textId="6CA88610" w:rsidR="001E2B22" w:rsidRPr="00DE4F77" w:rsidRDefault="001E2B22" w:rsidP="00D32F99">
      <w:pPr>
        <w:spacing w:line="480" w:lineRule="auto"/>
        <w:jc w:val="both"/>
      </w:pPr>
      <w:r w:rsidRPr="00DE4F77">
        <w:rPr>
          <w:b/>
        </w:rPr>
        <w:t>Abstract</w:t>
      </w:r>
      <w:r w:rsidRPr="00DE4F77">
        <w:tab/>
      </w:r>
      <w:r w:rsidRPr="00DE4F77">
        <w:tab/>
      </w:r>
      <w:r w:rsidR="0057356B">
        <w:t>3</w:t>
      </w:r>
      <w:r w:rsidR="00320221">
        <w:t>48</w:t>
      </w:r>
      <w:r w:rsidR="0057356B">
        <w:t xml:space="preserve"> </w:t>
      </w:r>
    </w:p>
    <w:p w14:paraId="66E74312" w14:textId="712D20C0" w:rsidR="001E2B22" w:rsidRPr="00DE4F77" w:rsidRDefault="0006196D" w:rsidP="00D32F99">
      <w:pPr>
        <w:spacing w:line="480" w:lineRule="auto"/>
        <w:jc w:val="both"/>
      </w:pPr>
      <w:r>
        <w:rPr>
          <w:b/>
        </w:rPr>
        <w:t>Total w</w:t>
      </w:r>
      <w:r w:rsidR="001E2B22" w:rsidRPr="00DE4F77">
        <w:rPr>
          <w:b/>
        </w:rPr>
        <w:t>ord count</w:t>
      </w:r>
      <w:r w:rsidR="001E2B22" w:rsidRPr="00DE4F77">
        <w:tab/>
      </w:r>
      <w:r w:rsidR="0002377C">
        <w:t>7,</w:t>
      </w:r>
      <w:r w:rsidR="00B05593">
        <w:t>5</w:t>
      </w:r>
      <w:r w:rsidR="000F1E7C">
        <w:t>8</w:t>
      </w:r>
      <w:r w:rsidR="00E5511E">
        <w:t>0</w:t>
      </w:r>
      <w:r w:rsidR="00B05593">
        <w:t xml:space="preserve"> </w:t>
      </w:r>
      <w:r>
        <w:t>(main</w:t>
      </w:r>
      <w:r w:rsidR="00EA0C80">
        <w:t xml:space="preserve"> </w:t>
      </w:r>
      <w:r>
        <w:t>manuscript</w:t>
      </w:r>
      <w:r w:rsidR="00072F56">
        <w:t xml:space="preserve"> 3,</w:t>
      </w:r>
      <w:r w:rsidR="000F1E7C">
        <w:t>74</w:t>
      </w:r>
      <w:r w:rsidR="00E5511E">
        <w:t>0</w:t>
      </w:r>
      <w:r>
        <w:t>)</w:t>
      </w:r>
    </w:p>
    <w:p w14:paraId="5F22550A" w14:textId="730CEE8D" w:rsidR="00D8044D" w:rsidRPr="003A43D8" w:rsidRDefault="001E2B22" w:rsidP="00D32F99">
      <w:pPr>
        <w:spacing w:line="480" w:lineRule="auto"/>
        <w:jc w:val="both"/>
      </w:pPr>
      <w:r w:rsidRPr="00DE4F77">
        <w:rPr>
          <w:b/>
        </w:rPr>
        <w:t xml:space="preserve">Tables </w:t>
      </w:r>
      <w:r w:rsidR="00846D01" w:rsidRPr="00DE4F77">
        <w:rPr>
          <w:b/>
        </w:rPr>
        <w:t>&amp;</w:t>
      </w:r>
      <w:r w:rsidRPr="00DE4F77">
        <w:rPr>
          <w:b/>
        </w:rPr>
        <w:t xml:space="preserve"> Figure</w:t>
      </w:r>
      <w:r w:rsidR="003B751B" w:rsidRPr="00DE4F77">
        <w:rPr>
          <w:b/>
        </w:rPr>
        <w:t>s</w:t>
      </w:r>
      <w:r w:rsidRPr="00DE4F77">
        <w:tab/>
      </w:r>
      <w:r w:rsidR="00072F56">
        <w:t>6</w:t>
      </w:r>
      <w:r w:rsidR="000E26E9" w:rsidRPr="00DE4F77">
        <w:t xml:space="preserve"> </w:t>
      </w:r>
    </w:p>
    <w:p w14:paraId="2E32BC06" w14:textId="77777777" w:rsidR="00D32F99" w:rsidRDefault="00D32F99">
      <w:pPr>
        <w:rPr>
          <w:b/>
          <w:sz w:val="36"/>
          <w:szCs w:val="36"/>
        </w:rPr>
      </w:pPr>
      <w:r>
        <w:rPr>
          <w:b/>
          <w:sz w:val="36"/>
          <w:szCs w:val="36"/>
        </w:rPr>
        <w:br w:type="page"/>
      </w:r>
    </w:p>
    <w:p w14:paraId="2BEFA12A" w14:textId="538847AE" w:rsidR="004A0EA4" w:rsidRPr="00DE4F77" w:rsidRDefault="00C56171" w:rsidP="0057356B">
      <w:pPr>
        <w:spacing w:line="480" w:lineRule="auto"/>
        <w:rPr>
          <w:b/>
          <w:sz w:val="36"/>
          <w:szCs w:val="36"/>
        </w:rPr>
      </w:pPr>
      <w:r w:rsidRPr="00DE4F77">
        <w:rPr>
          <w:b/>
          <w:sz w:val="36"/>
          <w:szCs w:val="36"/>
        </w:rPr>
        <w:lastRenderedPageBreak/>
        <w:t>Abstract</w:t>
      </w:r>
    </w:p>
    <w:p w14:paraId="36717320" w14:textId="7FDD8BFC" w:rsidR="00D8044D" w:rsidRPr="00D8044D" w:rsidRDefault="007F50E4" w:rsidP="0057356B">
      <w:pPr>
        <w:widowControl w:val="0"/>
        <w:autoSpaceDE w:val="0"/>
        <w:autoSpaceDN w:val="0"/>
        <w:adjustRightInd w:val="0"/>
        <w:spacing w:after="240" w:line="480" w:lineRule="auto"/>
        <w:rPr>
          <w:rFonts w:cs="Arial"/>
          <w:lang w:val="en-US"/>
        </w:rPr>
      </w:pPr>
      <w:r>
        <w:rPr>
          <w:rFonts w:cs="Arial"/>
          <w:b/>
          <w:bCs/>
          <w:lang w:val="en-US"/>
        </w:rPr>
        <w:t>Background</w:t>
      </w:r>
      <w:r w:rsidR="001E2B22" w:rsidRPr="00DE4F77">
        <w:rPr>
          <w:rFonts w:cs="Arial"/>
          <w:b/>
          <w:bCs/>
          <w:lang w:val="en-US"/>
        </w:rPr>
        <w:t>:</w:t>
      </w:r>
      <w:r w:rsidR="00D313C3" w:rsidRPr="00DE4F77">
        <w:rPr>
          <w:rFonts w:cs="Arial"/>
          <w:b/>
          <w:bCs/>
          <w:lang w:val="en-US"/>
        </w:rPr>
        <w:t xml:space="preserve"> </w:t>
      </w:r>
      <w:r w:rsidR="002659B9" w:rsidRPr="002659B9">
        <w:rPr>
          <w:rFonts w:cs="Arial"/>
          <w:lang w:val="en-US"/>
        </w:rPr>
        <w:t xml:space="preserve">High-sensitivity cardiac troponin assays enable myocardial infarction to be ruled out earlier, but the safety </w:t>
      </w:r>
      <w:r>
        <w:rPr>
          <w:rFonts w:cs="Arial"/>
          <w:lang w:val="en-US"/>
        </w:rPr>
        <w:t xml:space="preserve">and efficacy </w:t>
      </w:r>
      <w:r w:rsidR="002659B9" w:rsidRPr="002659B9">
        <w:rPr>
          <w:rFonts w:cs="Arial"/>
          <w:lang w:val="en-US"/>
        </w:rPr>
        <w:t>of this approach is uncertain.</w:t>
      </w:r>
      <w:r w:rsidR="00AB62BD">
        <w:rPr>
          <w:rFonts w:cs="Arial"/>
          <w:lang w:val="en-US"/>
        </w:rPr>
        <w:t xml:space="preserve"> We investigated</w:t>
      </w:r>
      <w:r w:rsidR="00D8044D">
        <w:rPr>
          <w:rFonts w:cs="Arial"/>
          <w:lang w:val="en-US"/>
        </w:rPr>
        <w:t xml:space="preserve"> whether an early-rule out pathway </w:t>
      </w:r>
      <w:r w:rsidR="00985962">
        <w:rPr>
          <w:rFonts w:cs="Arial"/>
          <w:lang w:val="en-US"/>
        </w:rPr>
        <w:t>i</w:t>
      </w:r>
      <w:r w:rsidR="00D8044D">
        <w:rPr>
          <w:rFonts w:cs="Arial"/>
          <w:lang w:val="en-US"/>
        </w:rPr>
        <w:t>s safe and effective for patients with suspected acute coronary syndrome.</w:t>
      </w:r>
    </w:p>
    <w:p w14:paraId="4E606374" w14:textId="6908AAD3" w:rsidR="002659B9" w:rsidRPr="007F50E4" w:rsidRDefault="007F50E4" w:rsidP="0057356B">
      <w:pPr>
        <w:widowControl w:val="0"/>
        <w:autoSpaceDE w:val="0"/>
        <w:autoSpaceDN w:val="0"/>
        <w:adjustRightInd w:val="0"/>
        <w:spacing w:after="240" w:line="480" w:lineRule="auto"/>
        <w:rPr>
          <w:rFonts w:cs="Arial"/>
          <w:lang w:val="en-US"/>
        </w:rPr>
      </w:pPr>
      <w:r>
        <w:rPr>
          <w:rFonts w:cs="Arial"/>
          <w:b/>
          <w:bCs/>
          <w:lang w:val="en-US"/>
        </w:rPr>
        <w:t>Methods</w:t>
      </w:r>
      <w:r w:rsidR="00D8044D">
        <w:rPr>
          <w:rFonts w:cs="Arial"/>
          <w:b/>
          <w:bCs/>
          <w:lang w:val="en-US"/>
        </w:rPr>
        <w:t xml:space="preserve">: </w:t>
      </w:r>
      <w:r>
        <w:rPr>
          <w:rFonts w:cs="Arial"/>
          <w:lang w:val="en-US"/>
        </w:rPr>
        <w:t xml:space="preserve">We performed a </w:t>
      </w:r>
      <w:r w:rsidR="00D8044D" w:rsidRPr="002659B9">
        <w:rPr>
          <w:rFonts w:cs="Arial"/>
          <w:lang w:val="en-US"/>
        </w:rPr>
        <w:t>stepped-wedge cluster random</w:t>
      </w:r>
      <w:r w:rsidR="00320221">
        <w:rPr>
          <w:rFonts w:cs="Arial"/>
          <w:lang w:val="en-US"/>
        </w:rPr>
        <w:t>ize</w:t>
      </w:r>
      <w:r w:rsidR="00D8044D" w:rsidRPr="002659B9">
        <w:rPr>
          <w:rFonts w:cs="Arial"/>
          <w:lang w:val="en-US"/>
        </w:rPr>
        <w:t>d controlled trial</w:t>
      </w:r>
      <w:r>
        <w:rPr>
          <w:rFonts w:cs="Arial"/>
          <w:lang w:val="en-US"/>
        </w:rPr>
        <w:t xml:space="preserve"> in the Emergency Departments of s</w:t>
      </w:r>
      <w:r w:rsidR="00D26BAA">
        <w:rPr>
          <w:rFonts w:cs="Arial"/>
          <w:lang w:val="en-US"/>
        </w:rPr>
        <w:t>even</w:t>
      </w:r>
      <w:r w:rsidR="00547CCF">
        <w:rPr>
          <w:rFonts w:cs="Arial"/>
          <w:lang w:val="en-US"/>
        </w:rPr>
        <w:t xml:space="preserve"> </w:t>
      </w:r>
      <w:r w:rsidR="00D8044D">
        <w:rPr>
          <w:rFonts w:cs="Arial"/>
          <w:lang w:val="en-US"/>
        </w:rPr>
        <w:t xml:space="preserve">acute care </w:t>
      </w:r>
      <w:r w:rsidR="00547CCF" w:rsidRPr="002659B9">
        <w:rPr>
          <w:rFonts w:cs="Arial"/>
          <w:lang w:val="en-US"/>
        </w:rPr>
        <w:t>hospitals</w:t>
      </w:r>
      <w:r w:rsidR="00D8044D">
        <w:rPr>
          <w:rFonts w:cs="Arial"/>
          <w:lang w:val="en-US"/>
        </w:rPr>
        <w:t xml:space="preserve"> in Scotland.</w:t>
      </w:r>
      <w:r>
        <w:rPr>
          <w:rFonts w:cs="Arial"/>
          <w:lang w:val="en-US"/>
        </w:rPr>
        <w:t xml:space="preserve"> </w:t>
      </w:r>
      <w:r w:rsidRPr="007F50E4">
        <w:rPr>
          <w:rFonts w:cs="Arial"/>
          <w:lang w:val="en-US"/>
        </w:rPr>
        <w:t>Consecutive</w:t>
      </w:r>
      <w:r>
        <w:rPr>
          <w:rFonts w:cs="Arial"/>
          <w:b/>
          <w:bCs/>
          <w:lang w:val="en-US"/>
        </w:rPr>
        <w:t xml:space="preserve"> </w:t>
      </w:r>
      <w:r w:rsidR="00D8044D">
        <w:rPr>
          <w:rFonts w:cs="Arial"/>
          <w:lang w:val="en-US"/>
        </w:rPr>
        <w:t>patients</w:t>
      </w:r>
      <w:r>
        <w:rPr>
          <w:rFonts w:cs="Arial"/>
          <w:lang w:val="en-US"/>
        </w:rPr>
        <w:t xml:space="preserve"> presenting</w:t>
      </w:r>
      <w:r w:rsidR="00D8044D">
        <w:rPr>
          <w:rFonts w:cs="Arial"/>
          <w:lang w:val="en-US"/>
        </w:rPr>
        <w:t xml:space="preserve"> with suspected acute coronary syndrome between December 2014 </w:t>
      </w:r>
      <w:r>
        <w:rPr>
          <w:rFonts w:cs="Arial"/>
          <w:lang w:val="en-US"/>
        </w:rPr>
        <w:t>and</w:t>
      </w:r>
      <w:r w:rsidR="00D8044D">
        <w:rPr>
          <w:rFonts w:cs="Arial"/>
          <w:lang w:val="en-US"/>
        </w:rPr>
        <w:t xml:space="preserve"> December 2016</w:t>
      </w:r>
      <w:r>
        <w:rPr>
          <w:rFonts w:cs="Arial"/>
          <w:lang w:val="en-US"/>
        </w:rPr>
        <w:t xml:space="preserve"> were included</w:t>
      </w:r>
      <w:r w:rsidR="00D8044D">
        <w:rPr>
          <w:rFonts w:cs="Arial"/>
          <w:lang w:val="en-US"/>
        </w:rPr>
        <w:t xml:space="preserve">. Sites </w:t>
      </w:r>
      <w:r w:rsidR="00D8044D" w:rsidRPr="002659B9">
        <w:rPr>
          <w:rFonts w:cs="Arial"/>
          <w:lang w:val="en-US"/>
        </w:rPr>
        <w:t xml:space="preserve">were </w:t>
      </w:r>
      <w:r w:rsidR="00D8044D">
        <w:rPr>
          <w:rFonts w:cs="Arial"/>
          <w:lang w:val="en-US"/>
        </w:rPr>
        <w:t>random</w:t>
      </w:r>
      <w:r w:rsidR="00320221">
        <w:rPr>
          <w:rFonts w:cs="Arial"/>
          <w:lang w:val="en-US"/>
        </w:rPr>
        <w:t>ize</w:t>
      </w:r>
      <w:r w:rsidR="00D8044D">
        <w:rPr>
          <w:rFonts w:cs="Arial"/>
          <w:lang w:val="en-US"/>
        </w:rPr>
        <w:t>d</w:t>
      </w:r>
      <w:r w:rsidR="00D8044D" w:rsidRPr="002659B9">
        <w:rPr>
          <w:rFonts w:cs="Arial"/>
          <w:lang w:val="en-US"/>
        </w:rPr>
        <w:t xml:space="preserve"> to </w:t>
      </w:r>
      <w:r w:rsidR="00D8044D">
        <w:rPr>
          <w:rFonts w:cs="Arial"/>
          <w:lang w:val="en-US"/>
        </w:rPr>
        <w:t>implement a</w:t>
      </w:r>
      <w:r w:rsidR="00430FD0">
        <w:rPr>
          <w:rFonts w:cs="Arial"/>
          <w:lang w:val="en-US"/>
        </w:rPr>
        <w:t>n early rule-out</w:t>
      </w:r>
      <w:r w:rsidR="00D8044D">
        <w:rPr>
          <w:rFonts w:cs="Arial"/>
          <w:lang w:val="en-US"/>
        </w:rPr>
        <w:t xml:space="preserve"> </w:t>
      </w:r>
      <w:r w:rsidR="00D8044D" w:rsidRPr="002659B9">
        <w:rPr>
          <w:rFonts w:cs="Arial"/>
          <w:lang w:val="en-US"/>
        </w:rPr>
        <w:t>pathway</w:t>
      </w:r>
      <w:r w:rsidR="00D8044D">
        <w:rPr>
          <w:rFonts w:cs="Arial"/>
          <w:lang w:val="en-US"/>
        </w:rPr>
        <w:t xml:space="preserve"> where myocardial infarction was </w:t>
      </w:r>
      <w:r>
        <w:rPr>
          <w:rFonts w:cs="Arial"/>
          <w:lang w:val="en-US"/>
        </w:rPr>
        <w:t>excluded</w:t>
      </w:r>
      <w:r w:rsidR="00D8044D">
        <w:rPr>
          <w:rFonts w:cs="Arial"/>
          <w:lang w:val="en-US"/>
        </w:rPr>
        <w:t xml:space="preserve"> if </w:t>
      </w:r>
      <w:r w:rsidR="00985962">
        <w:rPr>
          <w:rFonts w:cs="Arial"/>
          <w:lang w:val="en-US"/>
        </w:rPr>
        <w:t xml:space="preserve">high-sensitivity cardiac </w:t>
      </w:r>
      <w:r w:rsidR="00D8044D">
        <w:rPr>
          <w:rFonts w:cs="Arial"/>
          <w:lang w:val="en-US"/>
        </w:rPr>
        <w:t>troponin</w:t>
      </w:r>
      <w:r w:rsidR="00985962">
        <w:rPr>
          <w:rFonts w:cs="Arial"/>
          <w:lang w:val="en-US"/>
        </w:rPr>
        <w:t xml:space="preserve"> I</w:t>
      </w:r>
      <w:r w:rsidR="00D8044D">
        <w:rPr>
          <w:rFonts w:cs="Arial"/>
          <w:lang w:val="en-US"/>
        </w:rPr>
        <w:t xml:space="preserve"> concentrations were </w:t>
      </w:r>
      <w:r w:rsidR="00D8044D" w:rsidRPr="002659B9">
        <w:rPr>
          <w:rFonts w:cs="Arial"/>
          <w:lang w:val="en-US"/>
        </w:rPr>
        <w:t>&lt;5</w:t>
      </w:r>
      <w:r w:rsidR="00D8044D">
        <w:rPr>
          <w:rFonts w:cs="Arial"/>
          <w:lang w:val="en-US"/>
        </w:rPr>
        <w:t xml:space="preserve"> </w:t>
      </w:r>
      <w:r w:rsidR="00D8044D" w:rsidRPr="002659B9">
        <w:rPr>
          <w:rFonts w:cs="Arial"/>
          <w:lang w:val="en-US"/>
        </w:rPr>
        <w:t>ng/L</w:t>
      </w:r>
      <w:r w:rsidR="00D8044D" w:rsidRPr="00FA6A8C">
        <w:rPr>
          <w:rFonts w:cs="Arial"/>
          <w:lang w:val="en-US"/>
        </w:rPr>
        <w:t xml:space="preserve"> </w:t>
      </w:r>
      <w:r w:rsidR="00D8044D" w:rsidRPr="002659B9">
        <w:rPr>
          <w:rFonts w:cs="Arial"/>
          <w:lang w:val="en-US"/>
        </w:rPr>
        <w:t>at presentation</w:t>
      </w:r>
      <w:r w:rsidR="00D8044D">
        <w:rPr>
          <w:rFonts w:cs="Arial"/>
          <w:lang w:val="en-US"/>
        </w:rPr>
        <w:t xml:space="preserve">. </w:t>
      </w:r>
      <w:r w:rsidR="008124F9" w:rsidRPr="00DE4F77">
        <w:rPr>
          <w:rFonts w:cs="Arial"/>
          <w:lang w:val="en-US"/>
        </w:rPr>
        <w:t>During a</w:t>
      </w:r>
      <w:r w:rsidR="00D8044D">
        <w:rPr>
          <w:rFonts w:cs="Arial"/>
          <w:lang w:val="en-US"/>
        </w:rPr>
        <w:t xml:space="preserve"> prior</w:t>
      </w:r>
      <w:r w:rsidR="008124F9" w:rsidRPr="00DE4F77">
        <w:rPr>
          <w:rFonts w:cs="Arial"/>
          <w:lang w:val="en-US"/>
        </w:rPr>
        <w:t xml:space="preserve"> validation phase</w:t>
      </w:r>
      <w:r w:rsidR="008124F9">
        <w:rPr>
          <w:rFonts w:cs="Arial"/>
          <w:lang w:val="en-US"/>
        </w:rPr>
        <w:t>,</w:t>
      </w:r>
      <w:r w:rsidR="008124F9" w:rsidRPr="002659B9">
        <w:rPr>
          <w:rFonts w:cs="Arial"/>
          <w:lang w:val="en-US"/>
        </w:rPr>
        <w:t xml:space="preserve"> </w:t>
      </w:r>
      <w:r w:rsidR="00DF2608">
        <w:rPr>
          <w:rFonts w:cs="Arial"/>
          <w:lang w:val="en-US"/>
        </w:rPr>
        <w:t xml:space="preserve">myocardial infarction was ruled out </w:t>
      </w:r>
      <w:r w:rsidR="00FE363B">
        <w:rPr>
          <w:rFonts w:cs="Arial"/>
          <w:lang w:val="en-US"/>
        </w:rPr>
        <w:t>where</w:t>
      </w:r>
      <w:r w:rsidR="00DF2608">
        <w:rPr>
          <w:rFonts w:cs="Arial"/>
          <w:lang w:val="en-US"/>
        </w:rPr>
        <w:t xml:space="preserve"> </w:t>
      </w:r>
      <w:r w:rsidR="008D1270">
        <w:rPr>
          <w:rFonts w:cs="Arial"/>
          <w:lang w:val="en-US"/>
        </w:rPr>
        <w:t>troponin</w:t>
      </w:r>
      <w:r w:rsidR="00D26BAA">
        <w:rPr>
          <w:rFonts w:cs="Arial"/>
          <w:lang w:val="en-US"/>
        </w:rPr>
        <w:t xml:space="preserve"> </w:t>
      </w:r>
      <w:r w:rsidR="000427D6">
        <w:rPr>
          <w:rFonts w:cs="Arial"/>
          <w:lang w:val="en-US"/>
        </w:rPr>
        <w:t xml:space="preserve">concentrations were </w:t>
      </w:r>
      <w:r w:rsidR="00DF2608">
        <w:rPr>
          <w:rFonts w:cs="Arial"/>
          <w:lang w:val="en-US"/>
        </w:rPr>
        <w:t>&lt;99</w:t>
      </w:r>
      <w:r w:rsidR="00DF2608" w:rsidRPr="00DF2608">
        <w:rPr>
          <w:rFonts w:cs="Arial"/>
          <w:vertAlign w:val="superscript"/>
          <w:lang w:val="en-US"/>
        </w:rPr>
        <w:t>th</w:t>
      </w:r>
      <w:r w:rsidR="00DF2608">
        <w:rPr>
          <w:rFonts w:cs="Arial"/>
          <w:lang w:val="en-US"/>
        </w:rPr>
        <w:t xml:space="preserve"> centile</w:t>
      </w:r>
      <w:r w:rsidR="00DF2608" w:rsidRPr="002659B9">
        <w:rPr>
          <w:rFonts w:cs="Arial"/>
          <w:lang w:val="en-US"/>
        </w:rPr>
        <w:t xml:space="preserve"> </w:t>
      </w:r>
      <w:r w:rsidR="00492BE0">
        <w:rPr>
          <w:rFonts w:cs="Arial"/>
          <w:lang w:val="en-US"/>
        </w:rPr>
        <w:t xml:space="preserve">at </w:t>
      </w:r>
      <w:r w:rsidR="00DF2608" w:rsidRPr="002659B9">
        <w:rPr>
          <w:rFonts w:cs="Arial"/>
          <w:lang w:val="en-US"/>
        </w:rPr>
        <w:t>6</w:t>
      </w:r>
      <w:r w:rsidR="00985962">
        <w:rPr>
          <w:rFonts w:cs="Arial"/>
          <w:lang w:val="en-US"/>
        </w:rPr>
        <w:t>–</w:t>
      </w:r>
      <w:r w:rsidR="00DF2608" w:rsidRPr="002659B9">
        <w:rPr>
          <w:rFonts w:cs="Arial"/>
          <w:lang w:val="en-US"/>
        </w:rPr>
        <w:t>12 h</w:t>
      </w:r>
      <w:r w:rsidR="007C2DF0">
        <w:rPr>
          <w:rFonts w:cs="Arial"/>
          <w:lang w:val="en-US"/>
        </w:rPr>
        <w:t>ou</w:t>
      </w:r>
      <w:r w:rsidR="00DF2608" w:rsidRPr="002659B9">
        <w:rPr>
          <w:rFonts w:cs="Arial"/>
          <w:lang w:val="en-US"/>
        </w:rPr>
        <w:t>rs after symptom onset</w:t>
      </w:r>
      <w:r w:rsidR="002659B9" w:rsidRPr="002659B9">
        <w:rPr>
          <w:rFonts w:cs="Arial"/>
          <w:lang w:val="en-US"/>
        </w:rPr>
        <w:t xml:space="preserve">. </w:t>
      </w:r>
      <w:r w:rsidR="008824D0">
        <w:rPr>
          <w:rFonts w:cs="Arial"/>
          <w:lang w:val="en-US"/>
        </w:rPr>
        <w:t xml:space="preserve">The co-primary outcome </w:t>
      </w:r>
      <w:r w:rsidR="00FE363B">
        <w:rPr>
          <w:rFonts w:cs="Arial"/>
          <w:lang w:val="en-US"/>
        </w:rPr>
        <w:t>was</w:t>
      </w:r>
      <w:r w:rsidR="008824D0">
        <w:rPr>
          <w:rFonts w:cs="Arial"/>
          <w:lang w:val="en-US"/>
        </w:rPr>
        <w:t xml:space="preserve"> </w:t>
      </w:r>
      <w:r w:rsidR="008824D0" w:rsidRPr="002659B9">
        <w:rPr>
          <w:rFonts w:cs="Arial"/>
          <w:lang w:val="en-US"/>
        </w:rPr>
        <w:t>length of stay</w:t>
      </w:r>
      <w:r w:rsidR="008824D0">
        <w:rPr>
          <w:rFonts w:cs="Arial"/>
          <w:lang w:val="en-US"/>
        </w:rPr>
        <w:t xml:space="preserve"> (efficacy)</w:t>
      </w:r>
      <w:r w:rsidR="00492BE0">
        <w:rPr>
          <w:rFonts w:cs="Arial"/>
          <w:lang w:val="en-US"/>
        </w:rPr>
        <w:t>,</w:t>
      </w:r>
      <w:r w:rsidR="008824D0" w:rsidRPr="002659B9">
        <w:rPr>
          <w:rFonts w:cs="Arial"/>
          <w:lang w:val="en-US"/>
        </w:rPr>
        <w:t xml:space="preserve"> and myocardial infarction or cardiac death </w:t>
      </w:r>
      <w:r w:rsidR="008824D0">
        <w:rPr>
          <w:rFonts w:cs="Arial"/>
          <w:lang w:val="en-US"/>
        </w:rPr>
        <w:t>after</w:t>
      </w:r>
      <w:r w:rsidR="008824D0" w:rsidRPr="002659B9">
        <w:rPr>
          <w:rFonts w:cs="Arial"/>
          <w:lang w:val="en-US"/>
        </w:rPr>
        <w:t xml:space="preserve"> discharge</w:t>
      </w:r>
      <w:r w:rsidR="008824D0">
        <w:rPr>
          <w:rFonts w:cs="Arial"/>
          <w:lang w:val="en-US"/>
        </w:rPr>
        <w:t xml:space="preserve"> at 30 days (safety).</w:t>
      </w:r>
      <w:r w:rsidR="00002077">
        <w:rPr>
          <w:rFonts w:cs="Arial"/>
          <w:lang w:val="en-US"/>
        </w:rPr>
        <w:t xml:space="preserve"> Patients were followed for 1 year to evaluate safety and other secondary outcomes</w:t>
      </w:r>
      <w:r w:rsidR="00D22853">
        <w:rPr>
          <w:rFonts w:cs="Arial"/>
          <w:lang w:val="en-US"/>
        </w:rPr>
        <w:t>.</w:t>
      </w:r>
      <w:r w:rsidR="00002077">
        <w:rPr>
          <w:rFonts w:cs="Arial"/>
          <w:lang w:val="en-US"/>
        </w:rPr>
        <w:t xml:space="preserve"> </w:t>
      </w:r>
    </w:p>
    <w:p w14:paraId="510D93D7" w14:textId="4653F558" w:rsidR="00073F6B" w:rsidRPr="004A64F0" w:rsidRDefault="00D8044D" w:rsidP="0057356B">
      <w:pPr>
        <w:widowControl w:val="0"/>
        <w:autoSpaceDE w:val="0"/>
        <w:autoSpaceDN w:val="0"/>
        <w:adjustRightInd w:val="0"/>
        <w:spacing w:after="240" w:line="480" w:lineRule="auto"/>
        <w:rPr>
          <w:rFonts w:cs="Arial"/>
          <w:lang w:val="en-US"/>
        </w:rPr>
      </w:pPr>
      <w:r>
        <w:rPr>
          <w:rFonts w:cs="Arial"/>
          <w:b/>
          <w:bCs/>
          <w:lang w:val="en-US"/>
        </w:rPr>
        <w:t>Results</w:t>
      </w:r>
      <w:r w:rsidR="001E2B22" w:rsidRPr="00DE4F77">
        <w:rPr>
          <w:rFonts w:cs="Arial"/>
          <w:b/>
          <w:bCs/>
          <w:lang w:val="en-US"/>
        </w:rPr>
        <w:t>:</w:t>
      </w:r>
      <w:r w:rsidR="00D313C3" w:rsidRPr="00DE4F77">
        <w:rPr>
          <w:rFonts w:cs="Arial"/>
          <w:b/>
          <w:bCs/>
          <w:lang w:val="en-US"/>
        </w:rPr>
        <w:t xml:space="preserve"> </w:t>
      </w:r>
      <w:r w:rsidR="00CA4908" w:rsidRPr="00DE4F77">
        <w:rPr>
          <w:rFonts w:cs="Arial"/>
          <w:bCs/>
          <w:lang w:val="en-US"/>
        </w:rPr>
        <w:t>W</w:t>
      </w:r>
      <w:r w:rsidR="00E548A1" w:rsidRPr="00DE4F77">
        <w:rPr>
          <w:rFonts w:cs="Arial"/>
          <w:bCs/>
          <w:lang w:val="en-US"/>
        </w:rPr>
        <w:t xml:space="preserve">e </w:t>
      </w:r>
      <w:r w:rsidR="0060364F" w:rsidRPr="00DE4F77">
        <w:rPr>
          <w:rFonts w:cs="Arial"/>
          <w:bCs/>
          <w:lang w:val="en-US"/>
        </w:rPr>
        <w:t>enrolled</w:t>
      </w:r>
      <w:r w:rsidR="00287E98" w:rsidRPr="00DE4F77">
        <w:rPr>
          <w:rFonts w:cs="Arial"/>
          <w:bCs/>
          <w:lang w:val="en-US"/>
        </w:rPr>
        <w:t xml:space="preserve"> </w:t>
      </w:r>
      <w:r w:rsidR="008124F9">
        <w:rPr>
          <w:rFonts w:cs="Arial"/>
          <w:bCs/>
          <w:lang w:val="en-US"/>
        </w:rPr>
        <w:t>31</w:t>
      </w:r>
      <w:r w:rsidR="00E548A1" w:rsidRPr="00DE4F77">
        <w:rPr>
          <w:rFonts w:cs="Arial"/>
          <w:bCs/>
          <w:lang w:val="en-US"/>
        </w:rPr>
        <w:t>,</w:t>
      </w:r>
      <w:r w:rsidR="008124F9">
        <w:rPr>
          <w:rFonts w:cs="Arial"/>
          <w:bCs/>
          <w:lang w:val="en-US"/>
        </w:rPr>
        <w:t>4</w:t>
      </w:r>
      <w:r w:rsidR="00E10476">
        <w:rPr>
          <w:rFonts w:cs="Arial"/>
          <w:bCs/>
          <w:lang w:val="en-US"/>
        </w:rPr>
        <w:t>9</w:t>
      </w:r>
      <w:r w:rsidR="008124F9">
        <w:rPr>
          <w:rFonts w:cs="Arial"/>
          <w:bCs/>
          <w:lang w:val="en-US"/>
        </w:rPr>
        <w:t>2</w:t>
      </w:r>
      <w:r w:rsidR="00E548A1" w:rsidRPr="00DE4F77">
        <w:rPr>
          <w:rFonts w:cs="Arial"/>
          <w:bCs/>
          <w:lang w:val="en-US"/>
        </w:rPr>
        <w:t xml:space="preserve"> patients </w:t>
      </w:r>
      <w:r w:rsidR="000427D6" w:rsidRPr="00DE4F77">
        <w:rPr>
          <w:rFonts w:cs="Arial"/>
          <w:bCs/>
          <w:lang w:val="en-US"/>
        </w:rPr>
        <w:t>(</w:t>
      </w:r>
      <w:r w:rsidR="000427D6">
        <w:rPr>
          <w:rFonts w:cs="Arial"/>
          <w:bCs/>
          <w:lang w:val="en-US"/>
        </w:rPr>
        <w:t>59</w:t>
      </w:r>
      <w:r w:rsidR="000427D6" w:rsidRPr="00DE4F77">
        <w:rPr>
          <w:rFonts w:cs="Arial"/>
          <w:bCs/>
          <w:lang w:val="en-US"/>
        </w:rPr>
        <w:t>±17 years</w:t>
      </w:r>
      <w:r w:rsidR="00B21459">
        <w:rPr>
          <w:rFonts w:cs="Arial"/>
          <w:bCs/>
          <w:lang w:val="en-US"/>
        </w:rPr>
        <w:t>, 45% women</w:t>
      </w:r>
      <w:r w:rsidR="000427D6" w:rsidRPr="00DE4F77">
        <w:rPr>
          <w:rFonts w:cs="Arial"/>
          <w:bCs/>
          <w:lang w:val="en-US"/>
        </w:rPr>
        <w:t>)</w:t>
      </w:r>
      <w:r w:rsidR="000427D6">
        <w:rPr>
          <w:rFonts w:cs="Arial"/>
          <w:bCs/>
          <w:lang w:val="en-US"/>
        </w:rPr>
        <w:t xml:space="preserve"> </w:t>
      </w:r>
      <w:r w:rsidR="000427D6">
        <w:rPr>
          <w:rFonts w:cs="Arial"/>
          <w:lang w:val="en-US"/>
        </w:rPr>
        <w:t xml:space="preserve">with </w:t>
      </w:r>
      <w:r w:rsidR="008D1270">
        <w:rPr>
          <w:rFonts w:cs="Arial"/>
          <w:lang w:val="en-US"/>
        </w:rPr>
        <w:t>troponin</w:t>
      </w:r>
      <w:r w:rsidR="000427D6">
        <w:rPr>
          <w:rFonts w:cs="Arial"/>
          <w:lang w:val="en-US"/>
        </w:rPr>
        <w:t xml:space="preserve"> concentrations &lt;99</w:t>
      </w:r>
      <w:r w:rsidR="000427D6" w:rsidRPr="008124F9">
        <w:rPr>
          <w:rFonts w:cs="Arial"/>
          <w:vertAlign w:val="superscript"/>
          <w:lang w:val="en-US"/>
        </w:rPr>
        <w:t>th</w:t>
      </w:r>
      <w:r w:rsidR="000427D6">
        <w:rPr>
          <w:rFonts w:cs="Arial"/>
          <w:lang w:val="en-US"/>
        </w:rPr>
        <w:t xml:space="preserve"> centile</w:t>
      </w:r>
      <w:r w:rsidR="000427D6" w:rsidRPr="002659B9">
        <w:rPr>
          <w:rFonts w:cs="Arial"/>
          <w:lang w:val="en-US"/>
        </w:rPr>
        <w:t xml:space="preserve"> </w:t>
      </w:r>
      <w:r w:rsidR="000427D6">
        <w:rPr>
          <w:rFonts w:cs="Arial"/>
          <w:lang w:val="en-US"/>
        </w:rPr>
        <w:t>at presentation</w:t>
      </w:r>
      <w:r w:rsidR="008124F9">
        <w:rPr>
          <w:rFonts w:cs="Arial"/>
          <w:bCs/>
          <w:lang w:val="en-US"/>
        </w:rPr>
        <w:t xml:space="preserve">. </w:t>
      </w:r>
      <w:r w:rsidR="007F50E4">
        <w:rPr>
          <w:rFonts w:cs="Arial"/>
          <w:bCs/>
          <w:lang w:val="en-US"/>
        </w:rPr>
        <w:t>L</w:t>
      </w:r>
      <w:r w:rsidR="00492BE0">
        <w:rPr>
          <w:rFonts w:cs="Arial"/>
          <w:bCs/>
          <w:lang w:val="en-US"/>
        </w:rPr>
        <w:t xml:space="preserve">ength </w:t>
      </w:r>
      <w:r w:rsidR="008824D0">
        <w:rPr>
          <w:rFonts w:cs="Arial"/>
          <w:bCs/>
          <w:lang w:val="en-US"/>
        </w:rPr>
        <w:t>of stay was reduced from 10</w:t>
      </w:r>
      <w:r>
        <w:rPr>
          <w:rFonts w:cs="Arial"/>
          <w:bCs/>
          <w:lang w:val="en-US"/>
        </w:rPr>
        <w:t>.</w:t>
      </w:r>
      <w:r w:rsidR="008824D0">
        <w:rPr>
          <w:rFonts w:cs="Arial"/>
          <w:bCs/>
          <w:lang w:val="en-US"/>
        </w:rPr>
        <w:t>1±4</w:t>
      </w:r>
      <w:r>
        <w:rPr>
          <w:rFonts w:cs="Arial"/>
          <w:bCs/>
          <w:lang w:val="en-US"/>
        </w:rPr>
        <w:t>.</w:t>
      </w:r>
      <w:r w:rsidR="008824D0">
        <w:rPr>
          <w:rFonts w:cs="Arial"/>
          <w:bCs/>
          <w:lang w:val="en-US"/>
        </w:rPr>
        <w:t>1 to 6</w:t>
      </w:r>
      <w:r>
        <w:rPr>
          <w:rFonts w:cs="Arial"/>
          <w:bCs/>
          <w:lang w:val="en-US"/>
        </w:rPr>
        <w:t>.</w:t>
      </w:r>
      <w:r w:rsidR="008824D0">
        <w:rPr>
          <w:rFonts w:cs="Arial"/>
          <w:bCs/>
          <w:lang w:val="en-US"/>
        </w:rPr>
        <w:t>8±3</w:t>
      </w:r>
      <w:r>
        <w:rPr>
          <w:rFonts w:cs="Arial"/>
          <w:bCs/>
          <w:lang w:val="en-US"/>
        </w:rPr>
        <w:t>.</w:t>
      </w:r>
      <w:r w:rsidR="008824D0">
        <w:rPr>
          <w:rFonts w:cs="Arial"/>
          <w:bCs/>
          <w:lang w:val="en-US"/>
        </w:rPr>
        <w:t>9 h</w:t>
      </w:r>
      <w:r w:rsidR="00FE363B">
        <w:rPr>
          <w:rFonts w:cs="Arial"/>
          <w:bCs/>
          <w:lang w:val="en-US"/>
        </w:rPr>
        <w:t>our</w:t>
      </w:r>
      <w:r w:rsidR="008824D0">
        <w:rPr>
          <w:rFonts w:cs="Arial"/>
          <w:bCs/>
          <w:lang w:val="en-US"/>
        </w:rPr>
        <w:t>s (adjusted geometric mean ratio 0</w:t>
      </w:r>
      <w:r>
        <w:rPr>
          <w:rFonts w:cs="Arial"/>
          <w:bCs/>
          <w:lang w:val="en-US"/>
        </w:rPr>
        <w:t>.</w:t>
      </w:r>
      <w:r w:rsidR="008824D0">
        <w:rPr>
          <w:rFonts w:cs="Arial"/>
          <w:bCs/>
          <w:lang w:val="en-US"/>
        </w:rPr>
        <w:t>78, 95% confidence interval [CI] 0</w:t>
      </w:r>
      <w:r>
        <w:rPr>
          <w:rFonts w:cs="Arial"/>
          <w:bCs/>
          <w:lang w:val="en-US"/>
        </w:rPr>
        <w:t>.</w:t>
      </w:r>
      <w:r w:rsidR="008824D0">
        <w:rPr>
          <w:rFonts w:cs="Arial"/>
          <w:bCs/>
          <w:lang w:val="en-US"/>
        </w:rPr>
        <w:t>73</w:t>
      </w:r>
      <w:r w:rsidR="00AB62BD">
        <w:rPr>
          <w:rFonts w:cs="Arial"/>
          <w:bCs/>
          <w:lang w:val="en-US"/>
        </w:rPr>
        <w:t xml:space="preserve"> to </w:t>
      </w:r>
      <w:r w:rsidR="008824D0">
        <w:rPr>
          <w:rFonts w:cs="Arial"/>
          <w:bCs/>
          <w:lang w:val="en-US"/>
        </w:rPr>
        <w:t>0</w:t>
      </w:r>
      <w:r>
        <w:rPr>
          <w:rFonts w:cs="Arial"/>
          <w:bCs/>
          <w:lang w:val="en-US"/>
        </w:rPr>
        <w:t>.</w:t>
      </w:r>
      <w:r w:rsidR="008824D0">
        <w:rPr>
          <w:rFonts w:cs="Arial"/>
          <w:bCs/>
          <w:lang w:val="en-US"/>
        </w:rPr>
        <w:t>83, P&lt;0</w:t>
      </w:r>
      <w:r>
        <w:rPr>
          <w:rFonts w:cs="Arial"/>
          <w:bCs/>
          <w:lang w:val="en-US"/>
        </w:rPr>
        <w:t>.</w:t>
      </w:r>
      <w:r w:rsidR="008824D0">
        <w:rPr>
          <w:rFonts w:cs="Arial"/>
          <w:bCs/>
          <w:lang w:val="en-US"/>
        </w:rPr>
        <w:t>001) following implementation</w:t>
      </w:r>
      <w:r w:rsidR="00B21459">
        <w:rPr>
          <w:rFonts w:cs="Arial"/>
          <w:bCs/>
          <w:lang w:val="en-US"/>
        </w:rPr>
        <w:t>,</w:t>
      </w:r>
      <w:r w:rsidR="008824D0">
        <w:rPr>
          <w:rFonts w:cs="Arial"/>
          <w:bCs/>
          <w:lang w:val="en-US"/>
        </w:rPr>
        <w:t xml:space="preserve"> and the proportion of patients discharged increased from 50% to 71% (adjusted </w:t>
      </w:r>
      <w:r w:rsidR="00073F6B">
        <w:rPr>
          <w:rFonts w:cs="Arial"/>
          <w:bCs/>
          <w:lang w:val="en-US"/>
        </w:rPr>
        <w:t>odds</w:t>
      </w:r>
      <w:r w:rsidR="008824D0">
        <w:rPr>
          <w:rFonts w:cs="Arial"/>
          <w:bCs/>
          <w:lang w:val="en-US"/>
        </w:rPr>
        <w:t xml:space="preserve"> ratio</w:t>
      </w:r>
      <w:r w:rsidR="00C32191">
        <w:rPr>
          <w:rFonts w:cs="Arial"/>
          <w:bCs/>
          <w:lang w:val="en-US"/>
        </w:rPr>
        <w:t xml:space="preserve"> [aOR]</w:t>
      </w:r>
      <w:r w:rsidR="008824D0">
        <w:rPr>
          <w:rFonts w:cs="Arial"/>
          <w:bCs/>
          <w:lang w:val="en-US"/>
        </w:rPr>
        <w:t xml:space="preserve"> 1</w:t>
      </w:r>
      <w:r>
        <w:rPr>
          <w:rFonts w:cs="Arial"/>
          <w:bCs/>
          <w:lang w:val="en-US"/>
        </w:rPr>
        <w:t>.</w:t>
      </w:r>
      <w:r w:rsidR="008824D0">
        <w:rPr>
          <w:rFonts w:cs="Arial"/>
          <w:bCs/>
          <w:lang w:val="en-US"/>
        </w:rPr>
        <w:t>59, 95%</w:t>
      </w:r>
      <w:r w:rsidR="00FE363B">
        <w:rPr>
          <w:rFonts w:cs="Arial"/>
          <w:bCs/>
          <w:lang w:val="en-US"/>
        </w:rPr>
        <w:t xml:space="preserve"> </w:t>
      </w:r>
      <w:r w:rsidR="008824D0">
        <w:rPr>
          <w:rFonts w:cs="Arial"/>
          <w:bCs/>
          <w:lang w:val="en-US"/>
        </w:rPr>
        <w:t>CI 1</w:t>
      </w:r>
      <w:r>
        <w:rPr>
          <w:rFonts w:cs="Arial"/>
          <w:bCs/>
          <w:lang w:val="en-US"/>
        </w:rPr>
        <w:t>.</w:t>
      </w:r>
      <w:r w:rsidR="008824D0">
        <w:rPr>
          <w:rFonts w:cs="Arial"/>
          <w:bCs/>
          <w:lang w:val="en-US"/>
        </w:rPr>
        <w:t>45</w:t>
      </w:r>
      <w:r w:rsidR="00AB62BD">
        <w:rPr>
          <w:rFonts w:cs="Arial"/>
          <w:bCs/>
          <w:lang w:val="en-US"/>
        </w:rPr>
        <w:t xml:space="preserve"> to </w:t>
      </w:r>
      <w:r w:rsidR="008824D0">
        <w:rPr>
          <w:rFonts w:cs="Arial"/>
          <w:bCs/>
          <w:lang w:val="en-US"/>
        </w:rPr>
        <w:t>1</w:t>
      </w:r>
      <w:r>
        <w:rPr>
          <w:rFonts w:cs="Arial"/>
          <w:bCs/>
          <w:lang w:val="en-US"/>
        </w:rPr>
        <w:t>.</w:t>
      </w:r>
      <w:r w:rsidR="008824D0">
        <w:rPr>
          <w:rFonts w:cs="Arial"/>
          <w:bCs/>
          <w:lang w:val="en-US"/>
        </w:rPr>
        <w:t xml:space="preserve">75). </w:t>
      </w:r>
      <w:r w:rsidR="00C32191">
        <w:t>N</w:t>
      </w:r>
      <w:r w:rsidR="00D22853" w:rsidRPr="001921B4">
        <w:t>on-inferiority was not</w:t>
      </w:r>
      <w:r w:rsidR="00C32191">
        <w:t xml:space="preserve"> </w:t>
      </w:r>
      <w:r w:rsidR="00D22853" w:rsidRPr="001921B4">
        <w:t>demonstrated</w:t>
      </w:r>
      <w:r w:rsidR="00D22853">
        <w:t xml:space="preserve"> for the </w:t>
      </w:r>
      <w:r w:rsidR="00C32191">
        <w:t xml:space="preserve">30-day </w:t>
      </w:r>
      <w:r w:rsidR="00D22853">
        <w:t>safety outcome (</w:t>
      </w:r>
      <w:r w:rsidR="00D22853" w:rsidRPr="00373D60">
        <w:t>upper limit of one-sided 95% CI for adjusted risk difference 0.70%, non-inferiority margin 0.50%, P=0.068</w:t>
      </w:r>
      <w:r w:rsidR="00D22853">
        <w:t>)</w:t>
      </w:r>
      <w:r w:rsidR="00D22853" w:rsidRPr="001921B4">
        <w:t xml:space="preserve">, </w:t>
      </w:r>
      <w:r w:rsidR="00C32191">
        <w:t xml:space="preserve">but </w:t>
      </w:r>
      <w:r w:rsidR="00D22853" w:rsidRPr="001921B4">
        <w:t xml:space="preserve">the observed differences favoured the early rule-out </w:t>
      </w:r>
      <w:r w:rsidR="00D22853">
        <w:t xml:space="preserve">pathway </w:t>
      </w:r>
      <w:r w:rsidR="00D22853" w:rsidRPr="001A144A">
        <w:t xml:space="preserve">(0.4% </w:t>
      </w:r>
      <w:r w:rsidR="00D22853" w:rsidRPr="001A144A">
        <w:rPr>
          <w:lang w:val="en-US"/>
        </w:rPr>
        <w:t>[</w:t>
      </w:r>
      <w:r w:rsidR="00D22853" w:rsidRPr="001A144A">
        <w:rPr>
          <w:bCs/>
          <w:lang w:val="en-US"/>
        </w:rPr>
        <w:t xml:space="preserve">57/14,700] </w:t>
      </w:r>
      <w:r w:rsidR="00D22853" w:rsidRPr="001A144A">
        <w:rPr>
          <w:i/>
          <w:iCs/>
          <w:lang w:val="en-US"/>
        </w:rPr>
        <w:t>versus</w:t>
      </w:r>
      <w:r w:rsidR="00D22853" w:rsidRPr="001A144A">
        <w:rPr>
          <w:lang w:val="en-US"/>
        </w:rPr>
        <w:t xml:space="preserve"> 0.3% [</w:t>
      </w:r>
      <w:r w:rsidR="00D22853" w:rsidRPr="001A144A">
        <w:rPr>
          <w:bCs/>
          <w:lang w:val="en-US"/>
        </w:rPr>
        <w:t>56/16,792</w:t>
      </w:r>
      <w:r w:rsidR="00D22853">
        <w:rPr>
          <w:bCs/>
          <w:lang w:val="en-US"/>
        </w:rPr>
        <w:t>])</w:t>
      </w:r>
      <w:r w:rsidR="00D22853">
        <w:t xml:space="preserve">. </w:t>
      </w:r>
      <w:r w:rsidR="00672900">
        <w:rPr>
          <w:rFonts w:cs="Arial"/>
          <w:lang w:val="en-US"/>
        </w:rPr>
        <w:t>A</w:t>
      </w:r>
      <w:r w:rsidR="004A64F0">
        <w:rPr>
          <w:rFonts w:cs="Arial"/>
          <w:lang w:val="en-US"/>
        </w:rPr>
        <w:t xml:space="preserve">t </w:t>
      </w:r>
      <w:r w:rsidR="000A528D">
        <w:rPr>
          <w:rFonts w:cs="Arial"/>
          <w:lang w:val="en-US"/>
        </w:rPr>
        <w:t xml:space="preserve">1 </w:t>
      </w:r>
      <w:r w:rsidR="004A64F0">
        <w:rPr>
          <w:rFonts w:cs="Arial"/>
          <w:lang w:val="en-US"/>
        </w:rPr>
        <w:t xml:space="preserve">year, </w:t>
      </w:r>
      <w:r w:rsidR="00002077">
        <w:rPr>
          <w:rFonts w:cs="Arial"/>
          <w:lang w:val="en-US"/>
        </w:rPr>
        <w:t>the safety outcome occurred in</w:t>
      </w:r>
      <w:r w:rsidR="004A64F0">
        <w:rPr>
          <w:rFonts w:cs="Arial"/>
          <w:lang w:val="en-US"/>
        </w:rPr>
        <w:t xml:space="preserve"> </w:t>
      </w:r>
      <w:r w:rsidR="008346AA">
        <w:rPr>
          <w:rFonts w:cs="Arial"/>
          <w:lang w:val="en-US"/>
        </w:rPr>
        <w:t>2</w:t>
      </w:r>
      <w:r>
        <w:rPr>
          <w:rFonts w:cs="Arial"/>
          <w:lang w:val="en-US"/>
        </w:rPr>
        <w:t>.</w:t>
      </w:r>
      <w:r w:rsidR="008346AA">
        <w:rPr>
          <w:rFonts w:cs="Arial"/>
          <w:lang w:val="en-US"/>
        </w:rPr>
        <w:t>7% (</w:t>
      </w:r>
      <w:r w:rsidR="008346AA">
        <w:rPr>
          <w:rFonts w:cs="Arial"/>
          <w:bCs/>
          <w:lang w:val="en-US"/>
        </w:rPr>
        <w:t>396/14,700) and</w:t>
      </w:r>
      <w:r w:rsidR="008346AA">
        <w:rPr>
          <w:rFonts w:cs="Arial"/>
          <w:lang w:val="en-US"/>
        </w:rPr>
        <w:t xml:space="preserve"> 1</w:t>
      </w:r>
      <w:r>
        <w:rPr>
          <w:rFonts w:cs="Arial"/>
          <w:lang w:val="en-US"/>
        </w:rPr>
        <w:t>.</w:t>
      </w:r>
      <w:r w:rsidR="008346AA">
        <w:rPr>
          <w:rFonts w:cs="Arial"/>
          <w:lang w:val="en-US"/>
        </w:rPr>
        <w:t>8% (</w:t>
      </w:r>
      <w:r w:rsidR="008346AA">
        <w:rPr>
          <w:rFonts w:cs="Arial"/>
          <w:bCs/>
          <w:lang w:val="en-US"/>
        </w:rPr>
        <w:t>307/16,792</w:t>
      </w:r>
      <w:r w:rsidR="008346AA">
        <w:rPr>
          <w:rFonts w:cs="Arial"/>
          <w:lang w:val="en-US"/>
        </w:rPr>
        <w:t>)</w:t>
      </w:r>
      <w:r w:rsidR="00D22853" w:rsidRPr="00D22853">
        <w:rPr>
          <w:rFonts w:cs="Arial"/>
          <w:lang w:val="en-US"/>
        </w:rPr>
        <w:t xml:space="preserve"> </w:t>
      </w:r>
      <w:r w:rsidR="00D22853">
        <w:rPr>
          <w:rFonts w:cs="Arial"/>
          <w:lang w:val="en-US"/>
        </w:rPr>
        <w:t xml:space="preserve">of </w:t>
      </w:r>
      <w:r w:rsidR="00D22853">
        <w:rPr>
          <w:rFonts w:cs="Arial"/>
          <w:lang w:val="en-US"/>
        </w:rPr>
        <w:lastRenderedPageBreak/>
        <w:t>patients before and after implementation</w:t>
      </w:r>
      <w:r w:rsidR="004A64F0">
        <w:rPr>
          <w:rFonts w:cs="Arial"/>
          <w:lang w:val="en-US"/>
        </w:rPr>
        <w:t xml:space="preserve"> (</w:t>
      </w:r>
      <w:r w:rsidR="00C32191">
        <w:rPr>
          <w:rFonts w:cs="Arial"/>
          <w:lang w:val="en-US"/>
        </w:rPr>
        <w:t>aOR</w:t>
      </w:r>
      <w:r w:rsidR="008346AA">
        <w:rPr>
          <w:rFonts w:cs="Arial"/>
          <w:lang w:val="en-US"/>
        </w:rPr>
        <w:t xml:space="preserve"> 1</w:t>
      </w:r>
      <w:r>
        <w:rPr>
          <w:rFonts w:cs="Arial"/>
          <w:lang w:val="en-US"/>
        </w:rPr>
        <w:t>.</w:t>
      </w:r>
      <w:r w:rsidR="008346AA">
        <w:rPr>
          <w:rFonts w:cs="Arial"/>
          <w:lang w:val="en-US"/>
        </w:rPr>
        <w:t>02, 95%</w:t>
      </w:r>
      <w:r w:rsidR="00FE363B">
        <w:rPr>
          <w:rFonts w:cs="Arial"/>
          <w:lang w:val="en-US"/>
        </w:rPr>
        <w:t xml:space="preserve"> </w:t>
      </w:r>
      <w:r w:rsidR="008346AA">
        <w:rPr>
          <w:rFonts w:cs="Arial"/>
          <w:lang w:val="en-US"/>
        </w:rPr>
        <w:t>CI 0</w:t>
      </w:r>
      <w:r>
        <w:rPr>
          <w:rFonts w:cs="Arial"/>
          <w:lang w:val="en-US"/>
        </w:rPr>
        <w:t>.</w:t>
      </w:r>
      <w:r w:rsidR="008346AA">
        <w:rPr>
          <w:rFonts w:cs="Arial"/>
          <w:lang w:val="en-US"/>
        </w:rPr>
        <w:t>74</w:t>
      </w:r>
      <w:r w:rsidR="00AB62BD">
        <w:rPr>
          <w:rFonts w:cs="Arial"/>
          <w:lang w:val="en-US"/>
        </w:rPr>
        <w:t xml:space="preserve"> to </w:t>
      </w:r>
      <w:r w:rsidR="008346AA">
        <w:rPr>
          <w:rFonts w:cs="Arial"/>
          <w:lang w:val="en-US"/>
        </w:rPr>
        <w:t>1</w:t>
      </w:r>
      <w:r>
        <w:rPr>
          <w:rFonts w:cs="Arial"/>
          <w:lang w:val="en-US"/>
        </w:rPr>
        <w:t>.</w:t>
      </w:r>
      <w:r w:rsidR="008346AA">
        <w:rPr>
          <w:rFonts w:cs="Arial"/>
          <w:lang w:val="en-US"/>
        </w:rPr>
        <w:t>40, P=0</w:t>
      </w:r>
      <w:r>
        <w:rPr>
          <w:rFonts w:cs="Arial"/>
          <w:lang w:val="en-US"/>
        </w:rPr>
        <w:t>.</w:t>
      </w:r>
      <w:r w:rsidR="008346AA">
        <w:rPr>
          <w:rFonts w:cs="Arial"/>
          <w:lang w:val="en-US"/>
        </w:rPr>
        <w:t>894)</w:t>
      </w:r>
      <w:r w:rsidR="00002077">
        <w:rPr>
          <w:rFonts w:cs="Arial"/>
          <w:lang w:val="en-US"/>
        </w:rPr>
        <w:t xml:space="preserve">, and there </w:t>
      </w:r>
      <w:r w:rsidR="007D768C">
        <w:rPr>
          <w:rFonts w:cs="Arial"/>
          <w:lang w:val="en-US"/>
        </w:rPr>
        <w:t>were no differences</w:t>
      </w:r>
      <w:r w:rsidR="00002077">
        <w:rPr>
          <w:rFonts w:cs="Arial"/>
          <w:lang w:val="en-US"/>
        </w:rPr>
        <w:t xml:space="preserve"> in hospital reattendance or all-cause mortality</w:t>
      </w:r>
      <w:r w:rsidR="008346AA">
        <w:rPr>
          <w:rFonts w:cs="Arial"/>
          <w:lang w:val="en-US"/>
        </w:rPr>
        <w:t>.</w:t>
      </w:r>
      <w:r w:rsidR="00FE363B" w:rsidRPr="00FE363B">
        <w:rPr>
          <w:rFonts w:cs="Arial"/>
          <w:lang w:val="en-US"/>
        </w:rPr>
        <w:t xml:space="preserve"> </w:t>
      </w:r>
    </w:p>
    <w:p w14:paraId="6FF32712" w14:textId="65F1899A" w:rsidR="00133482" w:rsidRPr="00D35897" w:rsidRDefault="00D8044D" w:rsidP="00D35897">
      <w:pPr>
        <w:widowControl w:val="0"/>
        <w:autoSpaceDE w:val="0"/>
        <w:autoSpaceDN w:val="0"/>
        <w:adjustRightInd w:val="0"/>
        <w:spacing w:after="240" w:line="480" w:lineRule="auto"/>
        <w:rPr>
          <w:rFonts w:cs="Arial"/>
          <w:bCs/>
          <w:lang w:val="en-US"/>
        </w:rPr>
      </w:pPr>
      <w:r>
        <w:rPr>
          <w:rFonts w:cs="Arial"/>
          <w:b/>
          <w:bCs/>
          <w:lang w:val="en-US"/>
        </w:rPr>
        <w:t>Conclusio</w:t>
      </w:r>
      <w:r w:rsidR="00AB62BD">
        <w:rPr>
          <w:rFonts w:cs="Arial"/>
          <w:b/>
          <w:bCs/>
          <w:lang w:val="en-US"/>
        </w:rPr>
        <w:t>ns</w:t>
      </w:r>
      <w:r w:rsidR="001E2B22" w:rsidRPr="00DE4F77">
        <w:rPr>
          <w:rFonts w:cs="Arial"/>
          <w:b/>
          <w:bCs/>
          <w:lang w:val="en-US"/>
        </w:rPr>
        <w:t>:</w:t>
      </w:r>
      <w:r w:rsidR="00341FE7" w:rsidRPr="00DE4F77">
        <w:rPr>
          <w:rFonts w:cs="Arial"/>
          <w:b/>
          <w:bCs/>
          <w:lang w:val="en-US"/>
        </w:rPr>
        <w:t xml:space="preserve"> </w:t>
      </w:r>
      <w:r w:rsidR="00286F4D">
        <w:rPr>
          <w:rFonts w:cs="Arial"/>
          <w:bCs/>
          <w:lang w:val="en-US"/>
        </w:rPr>
        <w:t>I</w:t>
      </w:r>
      <w:r w:rsidR="00286F4D" w:rsidRPr="00286F4D">
        <w:rPr>
          <w:rFonts w:cs="Arial"/>
          <w:bCs/>
          <w:lang w:val="en-US"/>
        </w:rPr>
        <w:t xml:space="preserve">mplementation of </w:t>
      </w:r>
      <w:r w:rsidR="00286F4D">
        <w:rPr>
          <w:rFonts w:cs="Arial"/>
          <w:bCs/>
          <w:lang w:val="en-US"/>
        </w:rPr>
        <w:t>an early rule</w:t>
      </w:r>
      <w:r w:rsidR="00F1356E">
        <w:rPr>
          <w:rFonts w:cs="Arial"/>
          <w:bCs/>
          <w:lang w:val="en-US"/>
        </w:rPr>
        <w:t>-</w:t>
      </w:r>
      <w:r w:rsidR="00286F4D">
        <w:rPr>
          <w:rFonts w:cs="Arial"/>
          <w:bCs/>
          <w:lang w:val="en-US"/>
        </w:rPr>
        <w:t xml:space="preserve">out </w:t>
      </w:r>
      <w:r w:rsidR="00286F4D" w:rsidRPr="00286F4D">
        <w:rPr>
          <w:rFonts w:cs="Arial"/>
          <w:bCs/>
          <w:lang w:val="en-US"/>
        </w:rPr>
        <w:t>pathway</w:t>
      </w:r>
      <w:r w:rsidR="00F1356E">
        <w:rPr>
          <w:rFonts w:cs="Arial"/>
          <w:bCs/>
          <w:lang w:val="en-US"/>
        </w:rPr>
        <w:t xml:space="preserve"> for myocardial infarction reduced length of stay and </w:t>
      </w:r>
      <w:r w:rsidR="00286F4D">
        <w:rPr>
          <w:rFonts w:cs="Arial"/>
          <w:bCs/>
          <w:lang w:val="en-US"/>
        </w:rPr>
        <w:t>hospital admission</w:t>
      </w:r>
      <w:r w:rsidR="00D35897">
        <w:rPr>
          <w:rFonts w:cs="Arial"/>
          <w:bCs/>
          <w:lang w:val="en-US"/>
        </w:rPr>
        <w:t xml:space="preserve">. Whilst non-inferiority </w:t>
      </w:r>
      <w:r w:rsidR="00672900">
        <w:rPr>
          <w:rFonts w:cs="Arial"/>
          <w:bCs/>
          <w:lang w:val="en-US"/>
        </w:rPr>
        <w:t xml:space="preserve">for the safety outcome </w:t>
      </w:r>
      <w:r w:rsidR="00D35897">
        <w:rPr>
          <w:rFonts w:cs="Arial"/>
          <w:bCs/>
          <w:lang w:val="en-US"/>
        </w:rPr>
        <w:t xml:space="preserve">was not </w:t>
      </w:r>
      <w:r w:rsidR="00430FD0">
        <w:rPr>
          <w:rFonts w:cs="Arial"/>
          <w:bCs/>
          <w:lang w:val="en-US"/>
        </w:rPr>
        <w:t>demonstrated at 30 days</w:t>
      </w:r>
      <w:r w:rsidR="00D35897">
        <w:rPr>
          <w:rFonts w:cs="Arial"/>
          <w:bCs/>
          <w:lang w:val="en-US"/>
        </w:rPr>
        <w:t xml:space="preserve">, there was no increase in </w:t>
      </w:r>
      <w:r w:rsidR="00672900">
        <w:rPr>
          <w:rFonts w:cs="Arial"/>
          <w:bCs/>
          <w:lang w:val="en-US"/>
        </w:rPr>
        <w:t xml:space="preserve">cardiac </w:t>
      </w:r>
      <w:r w:rsidR="00D35897">
        <w:rPr>
          <w:rFonts w:cs="Arial"/>
          <w:bCs/>
          <w:lang w:val="en-US"/>
        </w:rPr>
        <w:t>events</w:t>
      </w:r>
      <w:r w:rsidR="00672900">
        <w:rPr>
          <w:rFonts w:cs="Arial"/>
          <w:bCs/>
          <w:lang w:val="en-US"/>
        </w:rPr>
        <w:t xml:space="preserve"> at 1 year</w:t>
      </w:r>
      <w:r w:rsidR="00D35897">
        <w:rPr>
          <w:rFonts w:cs="Arial"/>
          <w:bCs/>
          <w:lang w:val="en-US"/>
        </w:rPr>
        <w:t xml:space="preserve">. </w:t>
      </w:r>
      <w:r w:rsidR="00D35897">
        <w:rPr>
          <w:rFonts w:cs="Arial"/>
          <w:bCs/>
        </w:rPr>
        <w:t>Adoption</w:t>
      </w:r>
      <w:r w:rsidR="00D35897" w:rsidRPr="00D35897">
        <w:rPr>
          <w:rFonts w:cs="Arial"/>
          <w:bCs/>
        </w:rPr>
        <w:t xml:space="preserve"> of this </w:t>
      </w:r>
      <w:r w:rsidR="00D35897">
        <w:rPr>
          <w:rFonts w:cs="Arial"/>
          <w:bCs/>
        </w:rPr>
        <w:t>pathway</w:t>
      </w:r>
      <w:r w:rsidR="00D35897" w:rsidRPr="00D35897">
        <w:rPr>
          <w:rFonts w:cs="Arial"/>
          <w:bCs/>
        </w:rPr>
        <w:t xml:space="preserve"> </w:t>
      </w:r>
      <w:r w:rsidR="00320221">
        <w:rPr>
          <w:rFonts w:cs="Arial"/>
          <w:bCs/>
        </w:rPr>
        <w:t>would</w:t>
      </w:r>
      <w:r w:rsidR="00D35897" w:rsidRPr="00D35897">
        <w:rPr>
          <w:rFonts w:cs="Arial"/>
          <w:bCs/>
        </w:rPr>
        <w:t xml:space="preserve"> </w:t>
      </w:r>
      <w:r w:rsidR="00D35897">
        <w:rPr>
          <w:rFonts w:cs="Arial"/>
          <w:bCs/>
        </w:rPr>
        <w:t>have major benefits for</w:t>
      </w:r>
      <w:r w:rsidR="00D35897" w:rsidRPr="00D35897">
        <w:rPr>
          <w:rFonts w:cs="Arial"/>
          <w:bCs/>
        </w:rPr>
        <w:t xml:space="preserve"> patients and healthcare providers.</w:t>
      </w:r>
    </w:p>
    <w:p w14:paraId="199604A2" w14:textId="5B13F3D0" w:rsidR="00F6282D" w:rsidRDefault="00974C0C" w:rsidP="0057356B">
      <w:pPr>
        <w:spacing w:after="240" w:line="480" w:lineRule="auto"/>
      </w:pPr>
      <w:r w:rsidRPr="00DE4F77">
        <w:rPr>
          <w:b/>
        </w:rPr>
        <w:t>Trial registration:</w:t>
      </w:r>
      <w:r w:rsidR="001E2B22" w:rsidRPr="00DE4F77">
        <w:rPr>
          <w:b/>
        </w:rPr>
        <w:t xml:space="preserve"> </w:t>
      </w:r>
      <w:r w:rsidR="001E2B22" w:rsidRPr="00DE4F77">
        <w:t xml:space="preserve">ClinicalTrials.gov number, </w:t>
      </w:r>
      <w:r w:rsidR="00286F4D" w:rsidRPr="00286F4D">
        <w:t>NCT03005158</w:t>
      </w:r>
    </w:p>
    <w:p w14:paraId="277D5731" w14:textId="380BEDFE" w:rsidR="003E05A3" w:rsidRDefault="00BB712F" w:rsidP="0057356B">
      <w:pPr>
        <w:spacing w:after="240" w:line="480" w:lineRule="auto"/>
        <w:rPr>
          <w:rFonts w:cs="Arial"/>
          <w:lang w:val="en-US"/>
        </w:rPr>
      </w:pPr>
      <w:r w:rsidRPr="00BB712F">
        <w:rPr>
          <w:b/>
          <w:bCs/>
        </w:rPr>
        <w:t>Keywords:</w:t>
      </w:r>
      <w:r w:rsidRPr="00BB712F">
        <w:t xml:space="preserve"> high-sensitivity cardiac troponin, </w:t>
      </w:r>
      <w:r>
        <w:t xml:space="preserve">early rule-out pathway, </w:t>
      </w:r>
      <w:r w:rsidRPr="00BB712F">
        <w:t>myocardial infarction</w:t>
      </w:r>
      <w:r>
        <w:t xml:space="preserve">, </w:t>
      </w:r>
      <w:r w:rsidRPr="002659B9">
        <w:rPr>
          <w:rFonts w:cs="Arial"/>
          <w:lang w:val="en-US"/>
        </w:rPr>
        <w:t>stepped-wedge cluster random</w:t>
      </w:r>
      <w:r>
        <w:rPr>
          <w:rFonts w:cs="Arial"/>
          <w:lang w:val="en-US"/>
        </w:rPr>
        <w:t>ize</w:t>
      </w:r>
      <w:r w:rsidRPr="002659B9">
        <w:rPr>
          <w:rFonts w:cs="Arial"/>
          <w:lang w:val="en-US"/>
        </w:rPr>
        <w:t>d controlled trial</w:t>
      </w:r>
    </w:p>
    <w:p w14:paraId="3CB5EBA9" w14:textId="77777777" w:rsidR="003E05A3" w:rsidRDefault="003E05A3">
      <w:pPr>
        <w:rPr>
          <w:rFonts w:cs="Arial"/>
          <w:lang w:val="en-US"/>
        </w:rPr>
      </w:pPr>
      <w:r>
        <w:rPr>
          <w:rFonts w:cs="Arial"/>
          <w:lang w:val="en-US"/>
        </w:rPr>
        <w:br w:type="page"/>
      </w:r>
    </w:p>
    <w:p w14:paraId="4A5EF5E3" w14:textId="2070E7F1" w:rsidR="00BB712F" w:rsidRDefault="003E05A3" w:rsidP="0057356B">
      <w:pPr>
        <w:spacing w:after="240" w:line="480" w:lineRule="auto"/>
        <w:rPr>
          <w:b/>
          <w:bCs/>
          <w:sz w:val="36"/>
          <w:szCs w:val="36"/>
        </w:rPr>
      </w:pPr>
      <w:r w:rsidRPr="003E05A3">
        <w:rPr>
          <w:b/>
          <w:bCs/>
          <w:sz w:val="36"/>
          <w:szCs w:val="36"/>
        </w:rPr>
        <w:lastRenderedPageBreak/>
        <w:t>Non-standard Abbreviations and Acronyms</w:t>
      </w:r>
    </w:p>
    <w:p w14:paraId="0F090F34" w14:textId="6CC3D725" w:rsidR="003E05A3" w:rsidRDefault="003E05A3" w:rsidP="003E05A3">
      <w:pPr>
        <w:spacing w:after="240" w:line="480" w:lineRule="auto"/>
        <w:ind w:left="2160" w:hanging="2160"/>
        <w:rPr>
          <w:bCs/>
          <w:iCs/>
          <w:color w:val="000000"/>
          <w:lang w:val="en-US"/>
        </w:rPr>
      </w:pPr>
      <w:r w:rsidRPr="003E05A3">
        <w:rPr>
          <w:bCs/>
          <w:iCs/>
          <w:color w:val="000000"/>
          <w:lang w:val="en-US"/>
        </w:rPr>
        <w:t>HiSTORIC</w:t>
      </w:r>
      <w:r>
        <w:rPr>
          <w:bCs/>
          <w:iCs/>
          <w:color w:val="000000"/>
          <w:lang w:val="en-US"/>
        </w:rPr>
        <w:t xml:space="preserve"> </w:t>
      </w:r>
      <w:r w:rsidRPr="003E05A3">
        <w:rPr>
          <w:bCs/>
          <w:iCs/>
          <w:color w:val="000000"/>
          <w:lang w:val="en-US"/>
        </w:rPr>
        <w:t xml:space="preserve"> </w:t>
      </w:r>
      <w:r>
        <w:rPr>
          <w:bCs/>
          <w:color w:val="000000"/>
          <w:lang w:val="en-US"/>
        </w:rPr>
        <w:tab/>
      </w:r>
      <w:r w:rsidRPr="003E05A3">
        <w:rPr>
          <w:bCs/>
          <w:iCs/>
          <w:color w:val="000000"/>
          <w:lang w:val="en-US"/>
        </w:rPr>
        <w:t xml:space="preserve">High-Sensitivity cardiac Troponin On presentation to Rule out myocardial InfarCtion </w:t>
      </w:r>
      <w:r>
        <w:rPr>
          <w:bCs/>
          <w:iCs/>
          <w:color w:val="000000"/>
          <w:lang w:val="en-US"/>
        </w:rPr>
        <w:t xml:space="preserve">trial </w:t>
      </w:r>
    </w:p>
    <w:p w14:paraId="2EA96E36" w14:textId="7EA8880F" w:rsidR="003E05A3" w:rsidRDefault="003E05A3" w:rsidP="003E05A3">
      <w:pPr>
        <w:spacing w:after="240" w:line="480" w:lineRule="auto"/>
        <w:ind w:left="2160" w:hanging="2160"/>
      </w:pPr>
      <w:r>
        <w:t>High-STEACS</w:t>
      </w:r>
      <w:r>
        <w:tab/>
      </w:r>
      <w:r w:rsidRPr="003E05A3">
        <w:rPr>
          <w:iCs/>
        </w:rPr>
        <w:t>High-Sensitivity Troponin in the Evaluation of patients with suspected Acute Coronary Syndrome</w:t>
      </w:r>
      <w:r>
        <w:t xml:space="preserve"> early rule-out pathway</w:t>
      </w:r>
    </w:p>
    <w:p w14:paraId="2278A4CE" w14:textId="329B6F2C" w:rsidR="003E05A3" w:rsidRDefault="003E05A3" w:rsidP="003E05A3">
      <w:pPr>
        <w:spacing w:after="240" w:line="480" w:lineRule="auto"/>
        <w:ind w:left="2160" w:hanging="2160"/>
      </w:pPr>
      <w:r>
        <w:t>LoDED</w:t>
      </w:r>
      <w:r>
        <w:tab/>
      </w:r>
      <w:r>
        <w:rPr>
          <w:color w:val="000000"/>
        </w:rPr>
        <w:t xml:space="preserve">Limit of Detection and ECG Discharge trial </w:t>
      </w:r>
    </w:p>
    <w:p w14:paraId="267ED86D" w14:textId="4CA67E81" w:rsidR="003E05A3" w:rsidRDefault="003E05A3" w:rsidP="003E05A3">
      <w:pPr>
        <w:spacing w:after="240" w:line="480" w:lineRule="auto"/>
      </w:pPr>
      <w:r w:rsidRPr="00DE4F77">
        <w:t>NHS</w:t>
      </w:r>
      <w:r>
        <w:tab/>
      </w:r>
      <w:r>
        <w:tab/>
      </w:r>
      <w:r>
        <w:tab/>
        <w:t>National Health Service</w:t>
      </w:r>
    </w:p>
    <w:p w14:paraId="341A3D7A" w14:textId="06742E6E" w:rsidR="003E05A3" w:rsidRPr="003E05A3" w:rsidRDefault="003E05A3" w:rsidP="003E05A3">
      <w:pPr>
        <w:spacing w:line="480" w:lineRule="auto"/>
        <w:ind w:left="2160" w:hanging="2160"/>
      </w:pPr>
      <w:r>
        <w:rPr>
          <w:rFonts w:cs="Arial"/>
          <w:lang w:val="en-US"/>
        </w:rPr>
        <w:t>RAPID-TnT</w:t>
      </w:r>
      <w:r>
        <w:rPr>
          <w:rFonts w:cs="Arial"/>
          <w:lang w:val="en-US"/>
        </w:rPr>
        <w:tab/>
      </w:r>
      <w:r w:rsidRPr="003E05A3">
        <w:t xml:space="preserve">Rapid </w:t>
      </w:r>
      <w:r>
        <w:t>a</w:t>
      </w:r>
      <w:r w:rsidRPr="003E05A3">
        <w:t xml:space="preserve">ssessment of </w:t>
      </w:r>
      <w:r>
        <w:t>p</w:t>
      </w:r>
      <w:r w:rsidRPr="003E05A3">
        <w:t xml:space="preserve">ossible </w:t>
      </w:r>
      <w:r>
        <w:t>acute coronary syndrome</w:t>
      </w:r>
      <w:r w:rsidRPr="003E05A3">
        <w:t xml:space="preserve"> in the </w:t>
      </w:r>
      <w:r>
        <w:t>e</w:t>
      </w:r>
      <w:r w:rsidRPr="003E05A3">
        <w:t xml:space="preserve">mergency </w:t>
      </w:r>
      <w:r>
        <w:t>d</w:t>
      </w:r>
      <w:r w:rsidRPr="003E05A3">
        <w:t xml:space="preserve">epartment with </w:t>
      </w:r>
      <w:r>
        <w:t>h</w:t>
      </w:r>
      <w:r w:rsidRPr="003E05A3">
        <w:t>igh-</w:t>
      </w:r>
      <w:r>
        <w:t>s</w:t>
      </w:r>
      <w:r w:rsidRPr="003E05A3">
        <w:t>ensitivity Troponin T</w:t>
      </w:r>
      <w:r>
        <w:t xml:space="preserve"> trial </w:t>
      </w:r>
    </w:p>
    <w:p w14:paraId="2A50033D" w14:textId="6DB53D72" w:rsidR="003E05A3" w:rsidRDefault="003E05A3" w:rsidP="0057356B">
      <w:pPr>
        <w:spacing w:after="240" w:line="480" w:lineRule="auto"/>
      </w:pPr>
    </w:p>
    <w:p w14:paraId="22615FEE" w14:textId="77777777" w:rsidR="003E05A3" w:rsidRDefault="003E05A3" w:rsidP="0057356B">
      <w:pPr>
        <w:spacing w:after="240" w:line="480" w:lineRule="auto"/>
      </w:pPr>
    </w:p>
    <w:p w14:paraId="70CA83AE" w14:textId="77777777" w:rsidR="003E05A3" w:rsidRPr="003E05A3" w:rsidRDefault="003E05A3" w:rsidP="0057356B">
      <w:pPr>
        <w:spacing w:after="240" w:line="480" w:lineRule="auto"/>
        <w:rPr>
          <w:b/>
          <w:bCs/>
          <w:sz w:val="36"/>
          <w:szCs w:val="36"/>
        </w:rPr>
      </w:pPr>
    </w:p>
    <w:p w14:paraId="28E9A0CB" w14:textId="77777777" w:rsidR="003E05A3" w:rsidRPr="003E05A3" w:rsidRDefault="003E05A3" w:rsidP="0057356B">
      <w:pPr>
        <w:spacing w:after="240" w:line="480" w:lineRule="auto"/>
        <w:rPr>
          <w:b/>
          <w:bCs/>
        </w:rPr>
      </w:pPr>
    </w:p>
    <w:p w14:paraId="10F8EE4A" w14:textId="431ADC37" w:rsidR="00B175A8" w:rsidRDefault="00C56171" w:rsidP="0057356B">
      <w:pPr>
        <w:spacing w:line="480" w:lineRule="auto"/>
        <w:rPr>
          <w:b/>
        </w:rPr>
      </w:pPr>
      <w:r w:rsidRPr="00DE4F77">
        <w:rPr>
          <w:b/>
        </w:rPr>
        <w:br w:type="page"/>
      </w:r>
    </w:p>
    <w:p w14:paraId="0E691C25" w14:textId="77777777" w:rsidR="002102EB" w:rsidRDefault="002102EB">
      <w:pPr>
        <w:rPr>
          <w:b/>
          <w:sz w:val="36"/>
          <w:szCs w:val="36"/>
        </w:rPr>
      </w:pPr>
      <w:r>
        <w:rPr>
          <w:b/>
          <w:sz w:val="36"/>
          <w:szCs w:val="36"/>
        </w:rPr>
        <w:lastRenderedPageBreak/>
        <w:t>Clinical Perspective</w:t>
      </w:r>
    </w:p>
    <w:p w14:paraId="4FDC968A" w14:textId="77777777" w:rsidR="002102EB" w:rsidRDefault="002102EB">
      <w:pPr>
        <w:rPr>
          <w:b/>
          <w:sz w:val="36"/>
          <w:szCs w:val="36"/>
        </w:rPr>
      </w:pPr>
    </w:p>
    <w:p w14:paraId="7A6F1FAD" w14:textId="77777777" w:rsidR="002102EB" w:rsidRDefault="002102EB">
      <w:pPr>
        <w:rPr>
          <w:b/>
        </w:rPr>
      </w:pPr>
      <w:r>
        <w:rPr>
          <w:b/>
        </w:rPr>
        <w:t>What is new?</w:t>
      </w:r>
    </w:p>
    <w:p w14:paraId="4C2A5DCC" w14:textId="27CFECE9" w:rsidR="002102EB" w:rsidRDefault="002102EB">
      <w:pPr>
        <w:rPr>
          <w:b/>
        </w:rPr>
      </w:pPr>
    </w:p>
    <w:p w14:paraId="3B06D6F4" w14:textId="2BEA0AB0" w:rsidR="002102EB" w:rsidRDefault="002102EB" w:rsidP="002102EB">
      <w:pPr>
        <w:pStyle w:val="ListParagraph"/>
        <w:numPr>
          <w:ilvl w:val="0"/>
          <w:numId w:val="50"/>
        </w:numPr>
        <w:spacing w:line="480" w:lineRule="auto"/>
        <w:ind w:left="714" w:hanging="357"/>
        <w:rPr>
          <w:bCs/>
        </w:rPr>
      </w:pPr>
      <w:r>
        <w:rPr>
          <w:bCs/>
        </w:rPr>
        <w:t>Patients with suspected acute coronary syndrome frequently attend Emergency Departments, but the majority do not have myocardial infarction.</w:t>
      </w:r>
    </w:p>
    <w:p w14:paraId="6EC076E4" w14:textId="57F70850" w:rsidR="002102EB" w:rsidRDefault="002102EB" w:rsidP="002102EB">
      <w:pPr>
        <w:pStyle w:val="ListParagraph"/>
        <w:numPr>
          <w:ilvl w:val="0"/>
          <w:numId w:val="50"/>
        </w:numPr>
        <w:spacing w:line="480" w:lineRule="auto"/>
        <w:ind w:left="714" w:hanging="357"/>
        <w:rPr>
          <w:bCs/>
        </w:rPr>
      </w:pPr>
      <w:r w:rsidRPr="002102EB">
        <w:rPr>
          <w:bCs/>
        </w:rPr>
        <w:t xml:space="preserve">Across 31,492 consecutive patients presenting to seven hospitals, implementation of an early rule-out pathway </w:t>
      </w:r>
      <w:r>
        <w:rPr>
          <w:bCs/>
        </w:rPr>
        <w:t xml:space="preserve">for patients with suspected acute coronary syndrome </w:t>
      </w:r>
      <w:r w:rsidRPr="002102EB">
        <w:rPr>
          <w:bCs/>
        </w:rPr>
        <w:t>reduced length of stay by 3.3 hours and hospital admissions by 59%.</w:t>
      </w:r>
    </w:p>
    <w:p w14:paraId="4422BDA6" w14:textId="0D6D9FFA" w:rsidR="002102EB" w:rsidRPr="000024DB" w:rsidRDefault="002102EB" w:rsidP="002102EB">
      <w:pPr>
        <w:pStyle w:val="ListParagraph"/>
        <w:numPr>
          <w:ilvl w:val="0"/>
          <w:numId w:val="50"/>
        </w:numPr>
        <w:spacing w:line="480" w:lineRule="auto"/>
        <w:rPr>
          <w:bCs/>
        </w:rPr>
      </w:pPr>
      <w:r>
        <w:t>Non-inferiority was not demonstrated, but observed differences in myocardial infarction or cardiac death at 30 days and 1 year favoured the early rule-out pathway over standard care</w:t>
      </w:r>
      <w:r w:rsidRPr="000024DB">
        <w:rPr>
          <w:rFonts w:cs="Arial"/>
          <w:lang w:val="en-US"/>
        </w:rPr>
        <w:t>.</w:t>
      </w:r>
    </w:p>
    <w:p w14:paraId="2F0F230A" w14:textId="77777777" w:rsidR="002102EB" w:rsidRPr="002102EB" w:rsidRDefault="002102EB" w:rsidP="002102EB">
      <w:pPr>
        <w:spacing w:line="480" w:lineRule="auto"/>
        <w:rPr>
          <w:bCs/>
        </w:rPr>
      </w:pPr>
    </w:p>
    <w:p w14:paraId="68A054FE" w14:textId="77777777" w:rsidR="002102EB" w:rsidRDefault="002102EB">
      <w:pPr>
        <w:rPr>
          <w:b/>
        </w:rPr>
      </w:pPr>
    </w:p>
    <w:p w14:paraId="363EFF11" w14:textId="77777777" w:rsidR="002102EB" w:rsidRDefault="002102EB" w:rsidP="002102EB">
      <w:pPr>
        <w:spacing w:line="480" w:lineRule="auto"/>
        <w:rPr>
          <w:b/>
        </w:rPr>
      </w:pPr>
      <w:r>
        <w:rPr>
          <w:b/>
        </w:rPr>
        <w:t>What are the clinical implications?</w:t>
      </w:r>
    </w:p>
    <w:p w14:paraId="5104FEC9" w14:textId="11A3228C" w:rsidR="002102EB" w:rsidRDefault="002102EB" w:rsidP="002102EB">
      <w:pPr>
        <w:pStyle w:val="ListParagraph"/>
        <w:numPr>
          <w:ilvl w:val="0"/>
          <w:numId w:val="50"/>
        </w:numPr>
        <w:spacing w:line="480" w:lineRule="auto"/>
        <w:rPr>
          <w:bCs/>
        </w:rPr>
      </w:pPr>
      <w:r>
        <w:rPr>
          <w:bCs/>
        </w:rPr>
        <w:t>Existing early rule-out pathways for myocardial infarction are largely based on observational studies or small trials of selected patients.</w:t>
      </w:r>
    </w:p>
    <w:p w14:paraId="3A7101BE" w14:textId="7E20944C" w:rsidR="002102EB" w:rsidRDefault="002102EB" w:rsidP="002102EB">
      <w:pPr>
        <w:pStyle w:val="ListParagraph"/>
        <w:numPr>
          <w:ilvl w:val="0"/>
          <w:numId w:val="50"/>
        </w:numPr>
        <w:spacing w:line="480" w:lineRule="auto"/>
        <w:rPr>
          <w:bCs/>
        </w:rPr>
      </w:pPr>
      <w:r>
        <w:rPr>
          <w:bCs/>
        </w:rPr>
        <w:t>This trial provides evidence in consecutive patients with suspected acute coronary syndrome that the use of an early rule-out pathway is both safe and effective.</w:t>
      </w:r>
    </w:p>
    <w:p w14:paraId="63E8CF3F" w14:textId="77777777" w:rsidR="002102EB" w:rsidRPr="000024DB" w:rsidRDefault="002102EB" w:rsidP="002102EB">
      <w:pPr>
        <w:pStyle w:val="ListParagraph"/>
        <w:numPr>
          <w:ilvl w:val="0"/>
          <w:numId w:val="50"/>
        </w:numPr>
        <w:spacing w:line="480" w:lineRule="auto"/>
        <w:rPr>
          <w:b/>
        </w:rPr>
      </w:pPr>
      <w:r w:rsidRPr="000024DB">
        <w:rPr>
          <w:rFonts w:cs="Arial"/>
          <w:bCs/>
          <w:lang w:val="en-US"/>
        </w:rPr>
        <w:t>Adoption of an early-rule out pathway for myocardial infarction would have major benefits for both patients and healthcare providers.</w:t>
      </w:r>
    </w:p>
    <w:p w14:paraId="3CC512C4" w14:textId="77777777" w:rsidR="002102EB" w:rsidRPr="002102EB" w:rsidRDefault="002102EB" w:rsidP="002102EB">
      <w:pPr>
        <w:spacing w:line="480" w:lineRule="auto"/>
        <w:rPr>
          <w:bCs/>
        </w:rPr>
      </w:pPr>
    </w:p>
    <w:p w14:paraId="65F1B382" w14:textId="247BA393" w:rsidR="002102EB" w:rsidRPr="002102EB" w:rsidRDefault="002102EB" w:rsidP="002102EB">
      <w:pPr>
        <w:pStyle w:val="ListParagraph"/>
        <w:numPr>
          <w:ilvl w:val="0"/>
          <w:numId w:val="50"/>
        </w:numPr>
        <w:rPr>
          <w:b/>
          <w:sz w:val="36"/>
          <w:szCs w:val="36"/>
        </w:rPr>
      </w:pPr>
      <w:r w:rsidRPr="002102EB">
        <w:rPr>
          <w:b/>
          <w:sz w:val="36"/>
          <w:szCs w:val="36"/>
        </w:rPr>
        <w:br w:type="page"/>
      </w:r>
    </w:p>
    <w:p w14:paraId="2B3C7705" w14:textId="3ED75557" w:rsidR="007A7385" w:rsidRPr="007A7385" w:rsidRDefault="00361192" w:rsidP="0057356B">
      <w:pPr>
        <w:spacing w:line="480" w:lineRule="auto"/>
        <w:rPr>
          <w:b/>
          <w:sz w:val="36"/>
          <w:szCs w:val="36"/>
        </w:rPr>
      </w:pPr>
      <w:r w:rsidRPr="00DE4F77">
        <w:rPr>
          <w:b/>
          <w:sz w:val="36"/>
          <w:szCs w:val="36"/>
        </w:rPr>
        <w:lastRenderedPageBreak/>
        <w:t>Introduction</w:t>
      </w:r>
    </w:p>
    <w:p w14:paraId="49AECF2F" w14:textId="6FE0E480" w:rsidR="007A7385" w:rsidRDefault="007A7385" w:rsidP="0057356B">
      <w:pPr>
        <w:spacing w:line="480" w:lineRule="auto"/>
      </w:pPr>
      <w:r>
        <w:rPr>
          <w:color w:val="000000" w:themeColor="text1"/>
        </w:rPr>
        <w:t>T</w:t>
      </w:r>
      <w:r w:rsidR="00E36325">
        <w:rPr>
          <w:color w:val="000000" w:themeColor="text1"/>
        </w:rPr>
        <w:t xml:space="preserve">here are </w:t>
      </w:r>
      <w:r w:rsidR="00605E8B">
        <w:rPr>
          <w:color w:val="000000" w:themeColor="text1"/>
        </w:rPr>
        <w:t xml:space="preserve">over </w:t>
      </w:r>
      <w:r w:rsidR="00E36325">
        <w:rPr>
          <w:color w:val="000000" w:themeColor="text1"/>
        </w:rPr>
        <w:t xml:space="preserve">20 million presentations </w:t>
      </w:r>
      <w:r w:rsidR="00605E8B">
        <w:rPr>
          <w:color w:val="000000" w:themeColor="text1"/>
        </w:rPr>
        <w:t xml:space="preserve">with suspected acute coronary syndrome </w:t>
      </w:r>
      <w:r w:rsidR="00E36325">
        <w:rPr>
          <w:rFonts w:cs="Arial"/>
          <w:bCs/>
          <w:lang w:val="en-US"/>
        </w:rPr>
        <w:t>each year in the US alone</w:t>
      </w:r>
      <w:r w:rsidR="00055768">
        <w:rPr>
          <w:rFonts w:cs="Arial"/>
          <w:bCs/>
          <w:lang w:val="en-US"/>
        </w:rPr>
        <w:t>,</w:t>
      </w:r>
      <w:r w:rsidR="00C72FD3" w:rsidRPr="00804CFA">
        <w:rPr>
          <w:rFonts w:cs="Arial"/>
          <w:bCs/>
          <w:vertAlign w:val="superscript"/>
          <w:lang w:val="en-US"/>
        </w:rPr>
        <w:t>1</w:t>
      </w:r>
      <w:r w:rsidR="00605E8B">
        <w:rPr>
          <w:rFonts w:cs="Arial"/>
          <w:bCs/>
          <w:lang w:val="en-US"/>
        </w:rPr>
        <w:t xml:space="preserve"> accounting for </w:t>
      </w:r>
      <w:r w:rsidR="00605E8B">
        <w:t>up to a</w:t>
      </w:r>
      <w:r w:rsidR="00E36325" w:rsidRPr="00E36325">
        <w:t xml:space="preserve"> tenth of </w:t>
      </w:r>
      <w:r w:rsidR="00605E8B">
        <w:t xml:space="preserve">hospital </w:t>
      </w:r>
      <w:r w:rsidR="005476F3">
        <w:t>visits</w:t>
      </w:r>
      <w:r w:rsidR="00E36325" w:rsidRPr="00E36325">
        <w:t xml:space="preserve"> and 40 percent of un</w:t>
      </w:r>
      <w:r w:rsidR="00494860">
        <w:t>scheduled</w:t>
      </w:r>
      <w:r w:rsidR="00E36325" w:rsidRPr="00E36325">
        <w:t xml:space="preserve"> admissions</w:t>
      </w:r>
      <w:r w:rsidR="00E36325">
        <w:t>.</w:t>
      </w:r>
      <w:r w:rsidR="00C72FD3" w:rsidRPr="00804CFA">
        <w:rPr>
          <w:vertAlign w:val="superscript"/>
        </w:rPr>
        <w:t>2</w:t>
      </w:r>
      <w:r>
        <w:t xml:space="preserve"> Given </w:t>
      </w:r>
      <w:r w:rsidR="007C2DF0">
        <w:t>that most</w:t>
      </w:r>
      <w:r w:rsidR="00605E8B">
        <w:t xml:space="preserve"> </w:t>
      </w:r>
      <w:r w:rsidR="00E36325" w:rsidRPr="00E36325">
        <w:t>patients do not have myocardial infarction</w:t>
      </w:r>
      <w:r>
        <w:t>,</w:t>
      </w:r>
      <w:r w:rsidR="00C72FD3" w:rsidRPr="00804CFA">
        <w:rPr>
          <w:vertAlign w:val="superscript"/>
        </w:rPr>
        <w:t>3</w:t>
      </w:r>
      <w:r>
        <w:t xml:space="preserve"> the adoption of effective and safe </w:t>
      </w:r>
      <w:r>
        <w:rPr>
          <w:rFonts w:cs="Arial"/>
          <w:bCs/>
          <w:lang w:val="en-US"/>
        </w:rPr>
        <w:t xml:space="preserve">pathways </w:t>
      </w:r>
      <w:r w:rsidR="003F449C">
        <w:rPr>
          <w:rFonts w:cs="Arial"/>
          <w:bCs/>
          <w:lang w:val="en-US"/>
        </w:rPr>
        <w:t>to</w:t>
      </w:r>
      <w:r>
        <w:rPr>
          <w:rFonts w:cs="Arial"/>
          <w:bCs/>
          <w:lang w:val="en-US"/>
        </w:rPr>
        <w:t xml:space="preserve"> rule out myocardial infarction in the Emergency Department and avoid hospital admission would have a major impact on patient care and healthcare provision.</w:t>
      </w:r>
      <w:r w:rsidR="00E36325" w:rsidRPr="00E36325">
        <w:t xml:space="preserve"> </w:t>
      </w:r>
    </w:p>
    <w:p w14:paraId="524F2C25" w14:textId="77777777" w:rsidR="00C52F62" w:rsidRDefault="00C52F62" w:rsidP="0057356B">
      <w:pPr>
        <w:spacing w:line="480" w:lineRule="auto"/>
        <w:rPr>
          <w:color w:val="000000"/>
        </w:rPr>
      </w:pPr>
    </w:p>
    <w:p w14:paraId="425D5AC3" w14:textId="47F1B81B" w:rsidR="00476E6F" w:rsidRDefault="00C52F62" w:rsidP="0057356B">
      <w:pPr>
        <w:spacing w:line="480" w:lineRule="auto"/>
      </w:pPr>
      <w:r>
        <w:t xml:space="preserve">Cardiac troponin testing is an integral component of the assessment of patients with </w:t>
      </w:r>
      <w:r w:rsidR="00236D64">
        <w:t>suspected acute coronary syndrome</w:t>
      </w:r>
      <w:r w:rsidR="00836831">
        <w:t>, with guidelines recommending serial testing</w:t>
      </w:r>
      <w:r w:rsidR="00F24E26">
        <w:t xml:space="preserve"> to rule in and rule out myocardial infarction</w:t>
      </w:r>
      <w:r w:rsidR="00C72FD3">
        <w:t>.</w:t>
      </w:r>
      <w:r w:rsidR="00C72FD3" w:rsidRPr="00804CFA">
        <w:rPr>
          <w:vertAlign w:val="superscript"/>
        </w:rPr>
        <w:t>4</w:t>
      </w:r>
      <w:r w:rsidR="00836831">
        <w:t xml:space="preserve"> The development of high-sensitivity </w:t>
      </w:r>
      <w:r w:rsidR="004C51F4">
        <w:t xml:space="preserve">cardiac troponin </w:t>
      </w:r>
      <w:r w:rsidR="00836831">
        <w:t>assays with enhanced precision at very low concentrations permits quantification well below the 99</w:t>
      </w:r>
      <w:r w:rsidR="00836831" w:rsidRPr="000E0DC9">
        <w:rPr>
          <w:vertAlign w:val="superscript"/>
        </w:rPr>
        <w:t>th</w:t>
      </w:r>
      <w:r w:rsidR="00836831">
        <w:t xml:space="preserve"> centile diagnostic threshold for myocardial infarction</w:t>
      </w:r>
      <w:r w:rsidR="00C72FD3">
        <w:t>.</w:t>
      </w:r>
      <w:r w:rsidR="00C72FD3" w:rsidRPr="00804CFA">
        <w:rPr>
          <w:vertAlign w:val="superscript"/>
        </w:rPr>
        <w:t>5</w:t>
      </w:r>
      <w:r w:rsidR="00836831">
        <w:t xml:space="preserve"> This advance has </w:t>
      </w:r>
      <w:r w:rsidR="00303E7C">
        <w:t>led</w:t>
      </w:r>
      <w:r w:rsidR="00836831">
        <w:t xml:space="preserve"> to innovative </w:t>
      </w:r>
      <w:r w:rsidR="003F449C">
        <w:t>pathways</w:t>
      </w:r>
      <w:r w:rsidR="00836831">
        <w:t xml:space="preserve"> </w:t>
      </w:r>
      <w:r w:rsidR="00471FA2">
        <w:t>to rule out myocardial infarction</w:t>
      </w:r>
      <w:r w:rsidR="00E26034">
        <w:t xml:space="preserve"> more rapidly</w:t>
      </w:r>
      <w:r w:rsidR="003F449C">
        <w:t>,</w:t>
      </w:r>
      <w:r w:rsidR="00471FA2">
        <w:t xml:space="preserve"> </w:t>
      </w:r>
      <w:r w:rsidR="003F449C">
        <w:t xml:space="preserve">either </w:t>
      </w:r>
      <w:r w:rsidR="00471FA2">
        <w:t>at presentation or within 3 hours</w:t>
      </w:r>
      <w:r w:rsidR="000F6B75">
        <w:t xml:space="preserve"> that have been incorporated into clinical practice guidelines</w:t>
      </w:r>
      <w:r w:rsidR="00C72FD3">
        <w:t>.</w:t>
      </w:r>
      <w:r w:rsidR="00C72FD3" w:rsidRPr="00804CFA">
        <w:rPr>
          <w:vertAlign w:val="superscript"/>
        </w:rPr>
        <w:t>6-</w:t>
      </w:r>
      <w:r w:rsidR="005E6A04">
        <w:rPr>
          <w:vertAlign w:val="superscript"/>
        </w:rPr>
        <w:t>14</w:t>
      </w:r>
      <w:r w:rsidR="00471FA2">
        <w:t xml:space="preserve"> However, </w:t>
      </w:r>
      <w:r w:rsidR="004C51F4">
        <w:t xml:space="preserve">these </w:t>
      </w:r>
      <w:r w:rsidR="00476E6F">
        <w:t xml:space="preserve">studies </w:t>
      </w:r>
      <w:r w:rsidR="004C51F4">
        <w:t>were</w:t>
      </w:r>
      <w:r w:rsidR="00476E6F">
        <w:t xml:space="preserve"> observational</w:t>
      </w:r>
      <w:r w:rsidR="004C51F4">
        <w:t>,</w:t>
      </w:r>
      <w:r w:rsidR="00476E6F">
        <w:t xml:space="preserve"> and </w:t>
      </w:r>
      <w:r w:rsidR="00D1503D">
        <w:t xml:space="preserve">there are few examples where </w:t>
      </w:r>
      <w:r w:rsidR="00476E6F">
        <w:t>the pathway</w:t>
      </w:r>
      <w:r w:rsidR="00D1503D">
        <w:t xml:space="preserve"> </w:t>
      </w:r>
      <w:r w:rsidR="0038077A">
        <w:t>guide</w:t>
      </w:r>
      <w:r w:rsidR="004B73EB">
        <w:t>d</w:t>
      </w:r>
      <w:r w:rsidR="0038077A">
        <w:t xml:space="preserve"> patient care</w:t>
      </w:r>
      <w:r w:rsidR="00C72FD3">
        <w:t>.</w:t>
      </w:r>
      <w:r w:rsidR="005E6A04" w:rsidRPr="00804CFA">
        <w:rPr>
          <w:vertAlign w:val="superscript"/>
        </w:rPr>
        <w:t>1</w:t>
      </w:r>
      <w:r w:rsidR="005E6A04">
        <w:rPr>
          <w:vertAlign w:val="superscript"/>
        </w:rPr>
        <w:t>5</w:t>
      </w:r>
      <w:r w:rsidR="00C72FD3" w:rsidRPr="00804CFA">
        <w:rPr>
          <w:vertAlign w:val="superscript"/>
        </w:rPr>
        <w:t>,1</w:t>
      </w:r>
      <w:r w:rsidR="005E6A04">
        <w:rPr>
          <w:vertAlign w:val="superscript"/>
        </w:rPr>
        <w:t>6</w:t>
      </w:r>
      <w:r w:rsidR="00476E6F">
        <w:t xml:space="preserve"> </w:t>
      </w:r>
      <w:r w:rsidR="00D1503D">
        <w:t>T</w:t>
      </w:r>
      <w:r w:rsidR="00966BB0">
        <w:t>he majority</w:t>
      </w:r>
      <w:r w:rsidR="004C51F4">
        <w:t xml:space="preserve"> </w:t>
      </w:r>
      <w:r w:rsidR="00D1503D">
        <w:t>were modest in size, or enrolled</w:t>
      </w:r>
      <w:r w:rsidR="00476E6F">
        <w:t xml:space="preserve"> selected </w:t>
      </w:r>
      <w:r w:rsidR="004C51F4">
        <w:t xml:space="preserve">low-risk </w:t>
      </w:r>
      <w:r w:rsidR="00476E6F">
        <w:t>patients, and</w:t>
      </w:r>
      <w:r w:rsidR="004C51F4">
        <w:t xml:space="preserve"> therefore the </w:t>
      </w:r>
      <w:r w:rsidR="001E6282">
        <w:t xml:space="preserve">true </w:t>
      </w:r>
      <w:r w:rsidR="00B24680">
        <w:t xml:space="preserve">efficacy and </w:t>
      </w:r>
      <w:r w:rsidR="004C51F4">
        <w:t xml:space="preserve">safety of introducing these pathways into </w:t>
      </w:r>
      <w:r w:rsidR="005D61F0">
        <w:t xml:space="preserve">clinical </w:t>
      </w:r>
      <w:r w:rsidR="004C51F4">
        <w:t xml:space="preserve">practice </w:t>
      </w:r>
      <w:r w:rsidR="005D61F0">
        <w:rPr>
          <w:color w:val="000000"/>
        </w:rPr>
        <w:t>remains</w:t>
      </w:r>
      <w:r w:rsidR="00D1503D">
        <w:rPr>
          <w:color w:val="000000"/>
        </w:rPr>
        <w:t xml:space="preserve"> uncertain</w:t>
      </w:r>
      <w:r w:rsidR="004C51F4">
        <w:t xml:space="preserve">. </w:t>
      </w:r>
    </w:p>
    <w:p w14:paraId="126FC415" w14:textId="77777777" w:rsidR="00476E6F" w:rsidRDefault="00476E6F" w:rsidP="0057356B">
      <w:pPr>
        <w:spacing w:line="480" w:lineRule="auto"/>
      </w:pPr>
    </w:p>
    <w:p w14:paraId="64C219EA" w14:textId="77777777" w:rsidR="00162104" w:rsidRPr="00C85C13" w:rsidRDefault="00E00F9C" w:rsidP="0057356B">
      <w:pPr>
        <w:pStyle w:val="BodyTextIndent"/>
        <w:spacing w:after="0" w:line="480" w:lineRule="auto"/>
        <w:ind w:left="0"/>
        <w:rPr>
          <w:sz w:val="24"/>
          <w:lang w:val="en-GB"/>
        </w:rPr>
      </w:pPr>
      <w:r w:rsidRPr="00DE4F77">
        <w:rPr>
          <w:sz w:val="24"/>
          <w:lang w:val="en-GB"/>
        </w:rPr>
        <w:t>Our aim was</w:t>
      </w:r>
      <w:r w:rsidRPr="00DE4F77">
        <w:rPr>
          <w:sz w:val="24"/>
        </w:rPr>
        <w:t xml:space="preserve"> to determine </w:t>
      </w:r>
      <w:r w:rsidR="004C51F4" w:rsidRPr="004C51F4">
        <w:rPr>
          <w:sz w:val="24"/>
        </w:rPr>
        <w:t xml:space="preserve">the </w:t>
      </w:r>
      <w:r w:rsidR="00E26034">
        <w:rPr>
          <w:sz w:val="24"/>
          <w:lang w:val="en-GB"/>
        </w:rPr>
        <w:t xml:space="preserve">efficacy </w:t>
      </w:r>
      <w:r w:rsidR="004C51F4">
        <w:rPr>
          <w:sz w:val="24"/>
          <w:lang w:val="en-GB"/>
        </w:rPr>
        <w:t xml:space="preserve">and safety of </w:t>
      </w:r>
      <w:r w:rsidR="00162104">
        <w:rPr>
          <w:sz w:val="24"/>
          <w:lang w:val="en-GB"/>
        </w:rPr>
        <w:t>implementing</w:t>
      </w:r>
      <w:r w:rsidR="004C51F4" w:rsidRPr="004C51F4">
        <w:rPr>
          <w:sz w:val="24"/>
        </w:rPr>
        <w:t xml:space="preserve"> </w:t>
      </w:r>
      <w:r w:rsidR="00E26034">
        <w:rPr>
          <w:sz w:val="24"/>
          <w:lang w:val="en-GB"/>
        </w:rPr>
        <w:t>a</w:t>
      </w:r>
      <w:r w:rsidR="0038077A">
        <w:rPr>
          <w:sz w:val="24"/>
          <w:lang w:val="en-GB"/>
        </w:rPr>
        <w:t>n accelerated</w:t>
      </w:r>
      <w:r w:rsidR="00E26034">
        <w:rPr>
          <w:sz w:val="24"/>
          <w:lang w:val="en-GB"/>
        </w:rPr>
        <w:t xml:space="preserve"> </w:t>
      </w:r>
      <w:r w:rsidR="004C51F4" w:rsidRPr="004C51F4">
        <w:rPr>
          <w:sz w:val="24"/>
        </w:rPr>
        <w:t xml:space="preserve">pathway </w:t>
      </w:r>
      <w:r w:rsidR="00162104">
        <w:rPr>
          <w:sz w:val="24"/>
          <w:lang w:val="en-GB"/>
        </w:rPr>
        <w:t>where</w:t>
      </w:r>
      <w:r w:rsidR="004C51F4">
        <w:rPr>
          <w:sz w:val="24"/>
          <w:lang w:val="en-GB"/>
        </w:rPr>
        <w:t xml:space="preserve"> </w:t>
      </w:r>
      <w:r w:rsidR="00162104">
        <w:rPr>
          <w:sz w:val="24"/>
          <w:lang w:val="en-GB"/>
        </w:rPr>
        <w:t xml:space="preserve">high-sensitivity cardiac troponin testing </w:t>
      </w:r>
      <w:r w:rsidR="00E26034">
        <w:rPr>
          <w:sz w:val="24"/>
          <w:lang w:val="en-GB"/>
        </w:rPr>
        <w:t xml:space="preserve">is used to rule out myocardial infarction at presentation </w:t>
      </w:r>
      <w:r w:rsidR="00162104">
        <w:rPr>
          <w:sz w:val="24"/>
          <w:lang w:val="en-GB"/>
        </w:rPr>
        <w:t xml:space="preserve">in consecutive </w:t>
      </w:r>
      <w:r w:rsidR="00162104" w:rsidRPr="004C51F4">
        <w:rPr>
          <w:sz w:val="24"/>
        </w:rPr>
        <w:t>patients with suspected acute coronary syndrome</w:t>
      </w:r>
      <w:r w:rsidR="00C85C13">
        <w:rPr>
          <w:sz w:val="24"/>
          <w:lang w:val="en-GB"/>
        </w:rPr>
        <w:t>.</w:t>
      </w:r>
    </w:p>
    <w:p w14:paraId="0569205F" w14:textId="77777777" w:rsidR="001E6282" w:rsidRDefault="001E6282" w:rsidP="0057356B">
      <w:pPr>
        <w:rPr>
          <w:lang w:eastAsia="x-none"/>
        </w:rPr>
      </w:pPr>
      <w:r>
        <w:br w:type="page"/>
      </w:r>
    </w:p>
    <w:p w14:paraId="2D0B8161" w14:textId="77777777" w:rsidR="003B0883" w:rsidRPr="001E6282" w:rsidRDefault="00C56171" w:rsidP="0057356B">
      <w:pPr>
        <w:pStyle w:val="BodyTextIndent"/>
        <w:spacing w:after="0" w:line="480" w:lineRule="auto"/>
        <w:ind w:left="0"/>
        <w:rPr>
          <w:sz w:val="24"/>
          <w:lang w:val="en-GB"/>
        </w:rPr>
      </w:pPr>
      <w:r w:rsidRPr="00DE4F77">
        <w:rPr>
          <w:b/>
          <w:sz w:val="36"/>
          <w:szCs w:val="36"/>
        </w:rPr>
        <w:lastRenderedPageBreak/>
        <w:t xml:space="preserve">Methods </w:t>
      </w:r>
    </w:p>
    <w:p w14:paraId="2D6F27CD" w14:textId="77777777" w:rsidR="009A7744" w:rsidRPr="00DE4F77" w:rsidRDefault="00546374" w:rsidP="0057356B">
      <w:pPr>
        <w:pStyle w:val="BodyText3"/>
        <w:spacing w:line="480" w:lineRule="auto"/>
        <w:rPr>
          <w:b/>
          <w:sz w:val="24"/>
          <w:szCs w:val="24"/>
          <w:lang w:val="en-GB"/>
        </w:rPr>
      </w:pPr>
      <w:r w:rsidRPr="00DE4F77">
        <w:rPr>
          <w:b/>
          <w:sz w:val="24"/>
          <w:szCs w:val="24"/>
          <w:lang w:val="en-GB"/>
        </w:rPr>
        <w:t>Trial</w:t>
      </w:r>
      <w:r w:rsidR="009A7744" w:rsidRPr="00DE4F77">
        <w:rPr>
          <w:b/>
          <w:sz w:val="24"/>
          <w:szCs w:val="24"/>
        </w:rPr>
        <w:t xml:space="preserve"> </w:t>
      </w:r>
      <w:r w:rsidRPr="00DE4F77">
        <w:rPr>
          <w:b/>
          <w:sz w:val="24"/>
          <w:szCs w:val="24"/>
          <w:lang w:val="en-GB"/>
        </w:rPr>
        <w:t xml:space="preserve">Design </w:t>
      </w:r>
      <w:r w:rsidR="009A7744" w:rsidRPr="00DE4F77">
        <w:rPr>
          <w:b/>
          <w:sz w:val="24"/>
          <w:szCs w:val="24"/>
        </w:rPr>
        <w:t xml:space="preserve">and </w:t>
      </w:r>
      <w:r w:rsidRPr="00DE4F77">
        <w:rPr>
          <w:b/>
          <w:sz w:val="24"/>
          <w:szCs w:val="24"/>
          <w:lang w:val="en-GB"/>
        </w:rPr>
        <w:t>Oversight</w:t>
      </w:r>
    </w:p>
    <w:p w14:paraId="1C56BAD7" w14:textId="5B5C2234" w:rsidR="00804AE9" w:rsidRDefault="00321EE6" w:rsidP="0057356B">
      <w:pPr>
        <w:pStyle w:val="BodyText3"/>
        <w:spacing w:line="480" w:lineRule="auto"/>
        <w:rPr>
          <w:sz w:val="24"/>
          <w:szCs w:val="24"/>
          <w:lang w:val="en-GB"/>
        </w:rPr>
      </w:pPr>
      <w:r w:rsidRPr="00321EE6">
        <w:rPr>
          <w:bCs/>
          <w:i/>
          <w:color w:val="000000"/>
          <w:sz w:val="24"/>
          <w:szCs w:val="24"/>
          <w:lang w:val="en-US"/>
        </w:rPr>
        <w:t>Hi</w:t>
      </w:r>
      <w:r w:rsidRPr="00321EE6">
        <w:rPr>
          <w:bCs/>
          <w:color w:val="000000"/>
          <w:sz w:val="24"/>
          <w:szCs w:val="24"/>
          <w:lang w:val="en-US"/>
        </w:rPr>
        <w:t>gh-</w:t>
      </w:r>
      <w:r w:rsidRPr="00321EE6">
        <w:rPr>
          <w:bCs/>
          <w:i/>
          <w:color w:val="000000"/>
          <w:sz w:val="24"/>
          <w:szCs w:val="24"/>
          <w:lang w:val="en-US"/>
        </w:rPr>
        <w:t>S</w:t>
      </w:r>
      <w:r w:rsidRPr="00321EE6">
        <w:rPr>
          <w:bCs/>
          <w:color w:val="000000"/>
          <w:sz w:val="24"/>
          <w:szCs w:val="24"/>
          <w:lang w:val="en-US"/>
        </w:rPr>
        <w:t xml:space="preserve">ensitivity cardiac </w:t>
      </w:r>
      <w:r w:rsidRPr="00321EE6">
        <w:rPr>
          <w:bCs/>
          <w:i/>
          <w:color w:val="000000"/>
          <w:sz w:val="24"/>
          <w:szCs w:val="24"/>
          <w:lang w:val="en-US"/>
        </w:rPr>
        <w:t>T</w:t>
      </w:r>
      <w:r w:rsidRPr="00321EE6">
        <w:rPr>
          <w:bCs/>
          <w:color w:val="000000"/>
          <w:sz w:val="24"/>
          <w:szCs w:val="24"/>
          <w:lang w:val="en-US"/>
        </w:rPr>
        <w:t xml:space="preserve">roponin </w:t>
      </w:r>
      <w:r w:rsidRPr="00321EE6">
        <w:rPr>
          <w:bCs/>
          <w:i/>
          <w:color w:val="000000"/>
          <w:sz w:val="24"/>
          <w:szCs w:val="24"/>
          <w:lang w:val="en-US"/>
        </w:rPr>
        <w:t>O</w:t>
      </w:r>
      <w:r w:rsidRPr="00321EE6">
        <w:rPr>
          <w:bCs/>
          <w:color w:val="000000"/>
          <w:sz w:val="24"/>
          <w:szCs w:val="24"/>
          <w:lang w:val="en-US"/>
        </w:rPr>
        <w:t xml:space="preserve">n presentation to </w:t>
      </w:r>
      <w:r w:rsidRPr="00321EE6">
        <w:rPr>
          <w:bCs/>
          <w:i/>
          <w:color w:val="000000"/>
          <w:sz w:val="24"/>
          <w:szCs w:val="24"/>
          <w:lang w:val="en-US"/>
        </w:rPr>
        <w:t>R</w:t>
      </w:r>
      <w:r w:rsidRPr="00321EE6">
        <w:rPr>
          <w:bCs/>
          <w:color w:val="000000"/>
          <w:sz w:val="24"/>
          <w:szCs w:val="24"/>
          <w:lang w:val="en-US"/>
        </w:rPr>
        <w:t xml:space="preserve">ule out myocardial </w:t>
      </w:r>
      <w:r w:rsidRPr="00321EE6">
        <w:rPr>
          <w:bCs/>
          <w:i/>
          <w:color w:val="000000"/>
          <w:sz w:val="24"/>
          <w:szCs w:val="24"/>
          <w:lang w:val="en-US"/>
        </w:rPr>
        <w:t>I</w:t>
      </w:r>
      <w:r w:rsidRPr="00321EE6">
        <w:rPr>
          <w:bCs/>
          <w:color w:val="000000"/>
          <w:sz w:val="24"/>
          <w:szCs w:val="24"/>
          <w:lang w:val="en-US"/>
        </w:rPr>
        <w:t>nfar</w:t>
      </w:r>
      <w:r w:rsidRPr="00321EE6">
        <w:rPr>
          <w:bCs/>
          <w:i/>
          <w:color w:val="000000"/>
          <w:sz w:val="24"/>
          <w:szCs w:val="24"/>
          <w:lang w:val="en-US"/>
        </w:rPr>
        <w:t>C</w:t>
      </w:r>
      <w:r w:rsidRPr="00321EE6">
        <w:rPr>
          <w:bCs/>
          <w:color w:val="000000"/>
          <w:sz w:val="24"/>
          <w:szCs w:val="24"/>
          <w:lang w:val="en-US"/>
        </w:rPr>
        <w:t>tion (</w:t>
      </w:r>
      <w:r w:rsidRPr="00321EE6">
        <w:rPr>
          <w:bCs/>
          <w:i/>
          <w:color w:val="000000"/>
          <w:sz w:val="24"/>
          <w:szCs w:val="24"/>
          <w:lang w:val="en-US"/>
        </w:rPr>
        <w:t>HiSTORIC</w:t>
      </w:r>
      <w:r w:rsidRPr="00321EE6">
        <w:rPr>
          <w:bCs/>
          <w:color w:val="000000"/>
          <w:sz w:val="24"/>
          <w:szCs w:val="24"/>
          <w:lang w:val="en-US"/>
        </w:rPr>
        <w:t xml:space="preserve">) is a stepped-wedge cluster </w:t>
      </w:r>
      <w:r w:rsidR="00742F47">
        <w:rPr>
          <w:bCs/>
          <w:color w:val="000000"/>
          <w:sz w:val="24"/>
          <w:szCs w:val="24"/>
          <w:lang w:val="en-US"/>
        </w:rPr>
        <w:t>random</w:t>
      </w:r>
      <w:r w:rsidR="00320221">
        <w:rPr>
          <w:bCs/>
          <w:color w:val="000000"/>
          <w:sz w:val="24"/>
          <w:szCs w:val="24"/>
          <w:lang w:val="en-US"/>
        </w:rPr>
        <w:t>ize</w:t>
      </w:r>
      <w:r w:rsidR="00742F47">
        <w:rPr>
          <w:bCs/>
          <w:color w:val="000000"/>
          <w:sz w:val="24"/>
          <w:szCs w:val="24"/>
          <w:lang w:val="en-US"/>
        </w:rPr>
        <w:t>d</w:t>
      </w:r>
      <w:r w:rsidRPr="00321EE6">
        <w:rPr>
          <w:bCs/>
          <w:color w:val="000000"/>
          <w:sz w:val="24"/>
          <w:szCs w:val="24"/>
          <w:lang w:val="en-US"/>
        </w:rPr>
        <w:t xml:space="preserve"> controlled trial</w:t>
      </w:r>
      <w:r>
        <w:rPr>
          <w:i/>
          <w:sz w:val="24"/>
          <w:szCs w:val="24"/>
          <w:lang w:val="en-GB"/>
        </w:rPr>
        <w:t xml:space="preserve"> </w:t>
      </w:r>
      <w:r w:rsidR="00164648">
        <w:rPr>
          <w:sz w:val="24"/>
          <w:lang w:val="en-GB"/>
        </w:rPr>
        <w:t xml:space="preserve">enrolling </w:t>
      </w:r>
      <w:r>
        <w:rPr>
          <w:sz w:val="24"/>
          <w:lang w:val="en-GB"/>
        </w:rPr>
        <w:t xml:space="preserve">consecutive </w:t>
      </w:r>
      <w:r w:rsidRPr="00321EE6">
        <w:rPr>
          <w:sz w:val="24"/>
          <w:lang w:val="en-GB"/>
        </w:rPr>
        <w:t xml:space="preserve">patients with suspected acute coronary syndrome </w:t>
      </w:r>
      <w:r w:rsidRPr="00DE4F77">
        <w:rPr>
          <w:sz w:val="24"/>
          <w:lang w:val="en-GB"/>
        </w:rPr>
        <w:t xml:space="preserve">across </w:t>
      </w:r>
      <w:r w:rsidR="00B24680">
        <w:rPr>
          <w:sz w:val="24"/>
          <w:lang w:val="en-GB"/>
        </w:rPr>
        <w:t xml:space="preserve">seven </w:t>
      </w:r>
      <w:r w:rsidR="004B73EB">
        <w:rPr>
          <w:sz w:val="24"/>
          <w:lang w:val="en-GB"/>
        </w:rPr>
        <w:t>acute</w:t>
      </w:r>
      <w:r w:rsidRPr="00DE4F77">
        <w:rPr>
          <w:sz w:val="24"/>
          <w:lang w:val="en-GB"/>
        </w:rPr>
        <w:t xml:space="preserve"> hospitals in Scotland</w:t>
      </w:r>
      <w:r>
        <w:rPr>
          <w:sz w:val="24"/>
          <w:lang w:val="en-GB"/>
        </w:rPr>
        <w:t xml:space="preserve">. </w:t>
      </w:r>
      <w:r w:rsidR="009E0F02" w:rsidRPr="00DE4F77">
        <w:rPr>
          <w:sz w:val="24"/>
          <w:szCs w:val="24"/>
        </w:rPr>
        <w:t xml:space="preserve">In this trial, the </w:t>
      </w:r>
      <w:r w:rsidR="009E0F02" w:rsidRPr="00DE4F77">
        <w:rPr>
          <w:sz w:val="24"/>
          <w:szCs w:val="24"/>
          <w:lang w:val="en-GB"/>
        </w:rPr>
        <w:t>hospital site</w:t>
      </w:r>
      <w:r w:rsidR="009E0F02" w:rsidRPr="00DE4F77">
        <w:rPr>
          <w:sz w:val="24"/>
          <w:szCs w:val="24"/>
        </w:rPr>
        <w:t xml:space="preserve"> was the unit of randomi</w:t>
      </w:r>
      <w:r w:rsidR="00AF759F">
        <w:rPr>
          <w:sz w:val="24"/>
          <w:szCs w:val="24"/>
          <w:lang w:val="en-GB"/>
        </w:rPr>
        <w:t>z</w:t>
      </w:r>
      <w:r w:rsidR="009E0F02" w:rsidRPr="00DE4F77">
        <w:rPr>
          <w:sz w:val="24"/>
          <w:szCs w:val="24"/>
        </w:rPr>
        <w:t>ation</w:t>
      </w:r>
      <w:r w:rsidR="0089375C">
        <w:rPr>
          <w:sz w:val="24"/>
          <w:szCs w:val="24"/>
          <w:lang w:val="en-GB"/>
        </w:rPr>
        <w:t xml:space="preserve"> and therefore individual patient consent was not sought</w:t>
      </w:r>
      <w:r w:rsidR="009E0F02" w:rsidRPr="00DE4F77">
        <w:rPr>
          <w:sz w:val="24"/>
          <w:szCs w:val="24"/>
          <w:lang w:val="en-GB"/>
        </w:rPr>
        <w:t>.</w:t>
      </w:r>
      <w:r w:rsidR="0089375C">
        <w:rPr>
          <w:sz w:val="24"/>
          <w:szCs w:val="24"/>
          <w:lang w:val="en-GB"/>
        </w:rPr>
        <w:t xml:space="preserve"> Cluster randomization was necessary to avoid the risk of clinical error due to simultaneous use of different diagnostic pathways. </w:t>
      </w:r>
      <w:r w:rsidR="00FF507B" w:rsidRPr="00DE4F77">
        <w:rPr>
          <w:sz w:val="24"/>
          <w:szCs w:val="24"/>
          <w:lang w:val="en-GB"/>
        </w:rPr>
        <w:t xml:space="preserve">The </w:t>
      </w:r>
      <w:r w:rsidR="00FF507B">
        <w:rPr>
          <w:sz w:val="24"/>
          <w:szCs w:val="24"/>
          <w:lang w:val="en-GB"/>
        </w:rPr>
        <w:t>trial</w:t>
      </w:r>
      <w:r w:rsidR="00FF507B" w:rsidRPr="00DE4F77">
        <w:rPr>
          <w:sz w:val="24"/>
          <w:szCs w:val="24"/>
          <w:lang w:val="en-GB"/>
        </w:rPr>
        <w:t xml:space="preserve"> was approved by the Scotland A Research Ethics Committee </w:t>
      </w:r>
      <w:r w:rsidR="00FF507B">
        <w:rPr>
          <w:sz w:val="24"/>
          <w:szCs w:val="24"/>
          <w:lang w:val="en-GB"/>
        </w:rPr>
        <w:t>and t</w:t>
      </w:r>
      <w:r w:rsidR="00546374" w:rsidRPr="00DE4F77">
        <w:rPr>
          <w:sz w:val="24"/>
          <w:szCs w:val="24"/>
          <w:lang w:val="en-GB"/>
        </w:rPr>
        <w:t xml:space="preserve">he conduct of the trial was </w:t>
      </w:r>
      <w:r w:rsidR="004B73EB">
        <w:rPr>
          <w:sz w:val="24"/>
          <w:szCs w:val="24"/>
          <w:lang w:val="en-GB"/>
        </w:rPr>
        <w:t xml:space="preserve">periodically </w:t>
      </w:r>
      <w:r w:rsidR="00546374" w:rsidRPr="00DE4F77">
        <w:rPr>
          <w:sz w:val="24"/>
          <w:szCs w:val="24"/>
          <w:lang w:val="en-GB"/>
        </w:rPr>
        <w:t xml:space="preserve">reviewed by an independent </w:t>
      </w:r>
      <w:r w:rsidR="007C2DF0">
        <w:rPr>
          <w:sz w:val="24"/>
          <w:szCs w:val="24"/>
          <w:lang w:val="en-GB"/>
        </w:rPr>
        <w:t xml:space="preserve">trial </w:t>
      </w:r>
      <w:r w:rsidR="00872973">
        <w:rPr>
          <w:sz w:val="24"/>
          <w:szCs w:val="24"/>
          <w:lang w:val="en-GB"/>
        </w:rPr>
        <w:t>steering</w:t>
      </w:r>
      <w:r w:rsidR="00546374" w:rsidRPr="00DE4F77">
        <w:rPr>
          <w:sz w:val="24"/>
          <w:szCs w:val="24"/>
          <w:lang w:val="en-GB"/>
        </w:rPr>
        <w:t xml:space="preserve"> </w:t>
      </w:r>
      <w:r w:rsidR="007C1D70" w:rsidRPr="00DE4F77">
        <w:rPr>
          <w:sz w:val="24"/>
          <w:szCs w:val="24"/>
          <w:lang w:val="en-GB"/>
        </w:rPr>
        <w:t>committee</w:t>
      </w:r>
      <w:r w:rsidR="00546374" w:rsidRPr="00DE4F77">
        <w:rPr>
          <w:sz w:val="24"/>
          <w:szCs w:val="24"/>
          <w:lang w:val="en-GB"/>
        </w:rPr>
        <w:t>.</w:t>
      </w:r>
      <w:r>
        <w:rPr>
          <w:sz w:val="24"/>
          <w:szCs w:val="24"/>
          <w:lang w:val="en-GB"/>
        </w:rPr>
        <w:t xml:space="preserve"> </w:t>
      </w:r>
      <w:r w:rsidR="007F6BD3">
        <w:rPr>
          <w:sz w:val="24"/>
          <w:szCs w:val="24"/>
          <w:lang w:val="en-GB"/>
        </w:rPr>
        <w:t>A</w:t>
      </w:r>
      <w:r w:rsidR="00546374" w:rsidRPr="00DE4F77">
        <w:rPr>
          <w:sz w:val="24"/>
          <w:szCs w:val="24"/>
          <w:lang w:val="en-GB"/>
        </w:rPr>
        <w:t xml:space="preserve">ll data </w:t>
      </w:r>
      <w:r w:rsidR="007B6756" w:rsidRPr="00DE4F77">
        <w:rPr>
          <w:sz w:val="24"/>
          <w:szCs w:val="24"/>
          <w:lang w:val="en-GB"/>
        </w:rPr>
        <w:t>were</w:t>
      </w:r>
      <w:r w:rsidR="00546374" w:rsidRPr="00DE4F77">
        <w:rPr>
          <w:sz w:val="24"/>
          <w:szCs w:val="24"/>
          <w:lang w:val="en-GB"/>
        </w:rPr>
        <w:t xml:space="preserve"> collected from the patient record</w:t>
      </w:r>
      <w:r w:rsidR="00240184">
        <w:rPr>
          <w:sz w:val="24"/>
          <w:szCs w:val="24"/>
          <w:lang w:val="en-GB"/>
        </w:rPr>
        <w:t xml:space="preserve"> </w:t>
      </w:r>
      <w:r w:rsidR="00240184" w:rsidRPr="00DE4F77">
        <w:rPr>
          <w:sz w:val="24"/>
          <w:lang w:val="en-US"/>
        </w:rPr>
        <w:t>and national registries</w:t>
      </w:r>
      <w:r w:rsidR="00546374" w:rsidRPr="00DE4F77">
        <w:rPr>
          <w:sz w:val="24"/>
          <w:szCs w:val="24"/>
          <w:lang w:val="en-GB"/>
        </w:rPr>
        <w:t xml:space="preserve">, deidentified and linked </w:t>
      </w:r>
      <w:r w:rsidR="00240184">
        <w:rPr>
          <w:sz w:val="24"/>
          <w:szCs w:val="24"/>
          <w:lang w:val="en-GB"/>
        </w:rPr>
        <w:t xml:space="preserve">in a data repository (DataLoch, Edinburgh, UK) within </w:t>
      </w:r>
      <w:r w:rsidR="000547C0" w:rsidRPr="00DE4F77">
        <w:rPr>
          <w:sz w:val="24"/>
          <w:szCs w:val="24"/>
          <w:lang w:val="en-GB"/>
        </w:rPr>
        <w:t xml:space="preserve">secure </w:t>
      </w:r>
      <w:r w:rsidR="00804AE9" w:rsidRPr="00DE4F77">
        <w:rPr>
          <w:sz w:val="24"/>
          <w:szCs w:val="24"/>
          <w:lang w:val="en-GB"/>
        </w:rPr>
        <w:t xml:space="preserve">NHS </w:t>
      </w:r>
      <w:r w:rsidR="00546374" w:rsidRPr="00DE4F77">
        <w:rPr>
          <w:sz w:val="24"/>
          <w:szCs w:val="24"/>
          <w:lang w:val="en-GB"/>
        </w:rPr>
        <w:t>safe haven</w:t>
      </w:r>
      <w:r w:rsidR="007B6756" w:rsidRPr="00DE4F77">
        <w:rPr>
          <w:sz w:val="24"/>
          <w:szCs w:val="24"/>
          <w:lang w:val="en-GB"/>
        </w:rPr>
        <w:t>s</w:t>
      </w:r>
      <w:r w:rsidR="00C72FD3">
        <w:rPr>
          <w:sz w:val="24"/>
          <w:szCs w:val="24"/>
          <w:lang w:val="en-GB"/>
        </w:rPr>
        <w:t>.</w:t>
      </w:r>
      <w:r w:rsidR="00C72FD3" w:rsidRPr="00804CFA">
        <w:rPr>
          <w:sz w:val="24"/>
          <w:szCs w:val="24"/>
          <w:vertAlign w:val="superscript"/>
          <w:lang w:val="en-GB"/>
        </w:rPr>
        <w:t>1</w:t>
      </w:r>
      <w:r w:rsidR="005E6A04">
        <w:rPr>
          <w:sz w:val="24"/>
          <w:szCs w:val="24"/>
          <w:vertAlign w:val="superscript"/>
          <w:lang w:val="en-GB"/>
        </w:rPr>
        <w:t>7</w:t>
      </w:r>
      <w:r w:rsidR="00546374" w:rsidRPr="00DE4F77">
        <w:rPr>
          <w:sz w:val="24"/>
          <w:szCs w:val="24"/>
          <w:lang w:val="en-GB"/>
        </w:rPr>
        <w:t xml:space="preserve"> </w:t>
      </w:r>
    </w:p>
    <w:p w14:paraId="464A9C01" w14:textId="77777777" w:rsidR="00321EE6" w:rsidRPr="00DE4F77" w:rsidRDefault="00321EE6" w:rsidP="0057356B">
      <w:pPr>
        <w:pStyle w:val="BodyText3"/>
        <w:spacing w:line="480" w:lineRule="auto"/>
        <w:rPr>
          <w:sz w:val="24"/>
          <w:szCs w:val="24"/>
          <w:lang w:val="en-GB"/>
        </w:rPr>
      </w:pPr>
    </w:p>
    <w:p w14:paraId="374F9A4C" w14:textId="77777777" w:rsidR="00546374" w:rsidRPr="00DE4F77" w:rsidRDefault="00546374" w:rsidP="0057356B">
      <w:pPr>
        <w:pStyle w:val="BodyText3"/>
        <w:spacing w:line="480" w:lineRule="auto"/>
        <w:rPr>
          <w:b/>
          <w:sz w:val="24"/>
          <w:szCs w:val="24"/>
          <w:lang w:val="en-GB"/>
        </w:rPr>
      </w:pPr>
      <w:r w:rsidRPr="00DE4F77">
        <w:rPr>
          <w:b/>
          <w:sz w:val="24"/>
          <w:szCs w:val="24"/>
          <w:lang w:val="en-GB"/>
        </w:rPr>
        <w:t xml:space="preserve">Trial Population </w:t>
      </w:r>
    </w:p>
    <w:p w14:paraId="03DF177A" w14:textId="0BB4230E" w:rsidR="0008165B" w:rsidRDefault="0008165B" w:rsidP="0057356B">
      <w:pPr>
        <w:pStyle w:val="BodyText3"/>
        <w:spacing w:line="480" w:lineRule="auto"/>
        <w:rPr>
          <w:sz w:val="24"/>
          <w:szCs w:val="24"/>
          <w:lang w:val="en-GB"/>
        </w:rPr>
      </w:pPr>
      <w:r w:rsidRPr="00DE4F77">
        <w:rPr>
          <w:sz w:val="24"/>
          <w:szCs w:val="24"/>
          <w:lang w:val="en-GB"/>
        </w:rPr>
        <w:t xml:space="preserve">Sites were eligible if they had the capacity to </w:t>
      </w:r>
      <w:r w:rsidR="00236D64">
        <w:rPr>
          <w:sz w:val="24"/>
          <w:szCs w:val="24"/>
          <w:lang w:val="en-GB"/>
        </w:rPr>
        <w:t>introduce the early rule-out pathway</w:t>
      </w:r>
      <w:r w:rsidRPr="00DE4F77">
        <w:rPr>
          <w:sz w:val="24"/>
          <w:szCs w:val="24"/>
          <w:lang w:val="en-GB"/>
        </w:rPr>
        <w:t xml:space="preserve"> and returned data to </w:t>
      </w:r>
      <w:r w:rsidR="004B71B5" w:rsidRPr="00DE4F77">
        <w:rPr>
          <w:sz w:val="24"/>
          <w:szCs w:val="24"/>
          <w:lang w:val="en-GB"/>
        </w:rPr>
        <w:t>the</w:t>
      </w:r>
      <w:r w:rsidRPr="00DE4F77">
        <w:rPr>
          <w:sz w:val="24"/>
          <w:szCs w:val="24"/>
          <w:lang w:val="en-GB"/>
        </w:rPr>
        <w:t xml:space="preserve"> </w:t>
      </w:r>
      <w:r w:rsidR="00E601C3" w:rsidRPr="00DE4F77">
        <w:rPr>
          <w:sz w:val="24"/>
          <w:lang w:val="en-US"/>
        </w:rPr>
        <w:t>national registr</w:t>
      </w:r>
      <w:r w:rsidR="00E601C3">
        <w:rPr>
          <w:sz w:val="24"/>
          <w:lang w:val="en-US"/>
        </w:rPr>
        <w:t>y</w:t>
      </w:r>
      <w:r w:rsidRPr="00DE4F77">
        <w:rPr>
          <w:sz w:val="24"/>
          <w:szCs w:val="24"/>
          <w:lang w:val="en-GB"/>
        </w:rPr>
        <w:t xml:space="preserve">. </w:t>
      </w:r>
      <w:r w:rsidR="00E73DA0">
        <w:rPr>
          <w:sz w:val="24"/>
          <w:szCs w:val="24"/>
          <w:lang w:val="en-GB"/>
        </w:rPr>
        <w:t>A</w:t>
      </w:r>
      <w:r w:rsidR="00546374" w:rsidRPr="00DE4F77">
        <w:rPr>
          <w:sz w:val="24"/>
          <w:szCs w:val="24"/>
          <w:lang w:val="en-GB"/>
        </w:rPr>
        <w:t xml:space="preserve">ll patients </w:t>
      </w:r>
      <w:r w:rsidR="00020017" w:rsidRPr="00DE4F77">
        <w:rPr>
          <w:sz w:val="24"/>
          <w:szCs w:val="24"/>
          <w:lang w:val="en-GB"/>
        </w:rPr>
        <w:t xml:space="preserve">were </w:t>
      </w:r>
      <w:r w:rsidR="00D66950">
        <w:rPr>
          <w:sz w:val="24"/>
          <w:szCs w:val="24"/>
          <w:lang w:val="en-GB"/>
        </w:rPr>
        <w:t>identified</w:t>
      </w:r>
      <w:r w:rsidR="00020017" w:rsidRPr="00DE4F77">
        <w:rPr>
          <w:sz w:val="24"/>
          <w:szCs w:val="24"/>
          <w:lang w:val="en-GB"/>
        </w:rPr>
        <w:t xml:space="preserve"> by the attending clinician </w:t>
      </w:r>
      <w:r w:rsidR="00E601C3" w:rsidRPr="00DE4F77">
        <w:rPr>
          <w:sz w:val="24"/>
          <w:szCs w:val="24"/>
          <w:lang w:val="en-GB"/>
        </w:rPr>
        <w:t>using a</w:t>
      </w:r>
      <w:r w:rsidR="00E601C3">
        <w:rPr>
          <w:sz w:val="24"/>
          <w:szCs w:val="24"/>
          <w:lang w:val="en-GB"/>
        </w:rPr>
        <w:t>n</w:t>
      </w:r>
      <w:r w:rsidR="00E601C3" w:rsidRPr="00DE4F77">
        <w:rPr>
          <w:sz w:val="24"/>
          <w:szCs w:val="24"/>
          <w:lang w:val="en-GB"/>
        </w:rPr>
        <w:t xml:space="preserve"> electronic form integrated into the care pathway </w:t>
      </w:r>
      <w:r w:rsidR="00020017" w:rsidRPr="00DE4F77">
        <w:rPr>
          <w:sz w:val="24"/>
          <w:szCs w:val="24"/>
          <w:lang w:val="en-GB"/>
        </w:rPr>
        <w:t xml:space="preserve">at the time troponin was </w:t>
      </w:r>
      <w:r w:rsidR="00457202" w:rsidRPr="00DE4F77">
        <w:rPr>
          <w:sz w:val="24"/>
          <w:szCs w:val="24"/>
          <w:lang w:val="en-GB"/>
        </w:rPr>
        <w:t>requested</w:t>
      </w:r>
      <w:r w:rsidR="00020017" w:rsidRPr="00DE4F77">
        <w:rPr>
          <w:sz w:val="24"/>
          <w:szCs w:val="24"/>
          <w:lang w:val="en-GB"/>
        </w:rPr>
        <w:t xml:space="preserve">. </w:t>
      </w:r>
      <w:r w:rsidR="004B71B5" w:rsidRPr="00DE4F77">
        <w:rPr>
          <w:sz w:val="24"/>
          <w:szCs w:val="24"/>
          <w:lang w:val="en-GB"/>
        </w:rPr>
        <w:t>P</w:t>
      </w:r>
      <w:r w:rsidR="000B2204" w:rsidRPr="00DE4F77">
        <w:rPr>
          <w:sz w:val="24"/>
          <w:szCs w:val="24"/>
          <w:lang w:val="en-GB"/>
        </w:rPr>
        <w:t xml:space="preserve">atients were eligible for </w:t>
      </w:r>
      <w:r w:rsidR="00457202" w:rsidRPr="00DE4F77">
        <w:rPr>
          <w:sz w:val="24"/>
          <w:szCs w:val="24"/>
          <w:lang w:val="en-GB"/>
        </w:rPr>
        <w:t>inclusion</w:t>
      </w:r>
      <w:r w:rsidR="000B2204" w:rsidRPr="00DE4F77">
        <w:rPr>
          <w:sz w:val="24"/>
          <w:szCs w:val="24"/>
          <w:lang w:val="en-GB"/>
        </w:rPr>
        <w:t xml:space="preserve"> if they presented </w:t>
      </w:r>
      <w:r w:rsidR="000220F9">
        <w:rPr>
          <w:sz w:val="24"/>
          <w:szCs w:val="24"/>
          <w:lang w:val="en-GB"/>
        </w:rPr>
        <w:t>to the</w:t>
      </w:r>
      <w:r w:rsidR="0034318E" w:rsidRPr="00DE4F77">
        <w:rPr>
          <w:sz w:val="24"/>
          <w:szCs w:val="24"/>
          <w:lang w:val="en-GB"/>
        </w:rPr>
        <w:t xml:space="preserve"> Emergency Department </w:t>
      </w:r>
      <w:r w:rsidR="0034318E">
        <w:rPr>
          <w:sz w:val="24"/>
          <w:szCs w:val="24"/>
          <w:lang w:val="en-GB"/>
        </w:rPr>
        <w:t xml:space="preserve">or Acute Medical </w:t>
      </w:r>
      <w:r w:rsidR="00426673">
        <w:rPr>
          <w:sz w:val="24"/>
          <w:szCs w:val="24"/>
          <w:lang w:val="en-GB"/>
        </w:rPr>
        <w:t>Receiving</w:t>
      </w:r>
      <w:r w:rsidR="0034318E">
        <w:rPr>
          <w:sz w:val="24"/>
          <w:szCs w:val="24"/>
          <w:lang w:val="en-GB"/>
        </w:rPr>
        <w:t xml:space="preserve"> Unit </w:t>
      </w:r>
      <w:r w:rsidR="000B2204" w:rsidRPr="00DE4F77">
        <w:rPr>
          <w:sz w:val="24"/>
          <w:szCs w:val="24"/>
          <w:lang w:val="en-GB"/>
        </w:rPr>
        <w:t xml:space="preserve">with suspected acute coronary syndrome and </w:t>
      </w:r>
      <w:r w:rsidR="00C85C13">
        <w:rPr>
          <w:sz w:val="24"/>
          <w:szCs w:val="24"/>
          <w:lang w:val="en-GB"/>
        </w:rPr>
        <w:t xml:space="preserve">had a </w:t>
      </w:r>
      <w:r w:rsidR="0089375C">
        <w:rPr>
          <w:sz w:val="24"/>
          <w:szCs w:val="24"/>
          <w:lang w:val="en-GB"/>
        </w:rPr>
        <w:t xml:space="preserve">high-sensitivity cardiac </w:t>
      </w:r>
      <w:r w:rsidR="00321EE6">
        <w:rPr>
          <w:sz w:val="24"/>
          <w:szCs w:val="24"/>
          <w:lang w:val="en-GB"/>
        </w:rPr>
        <w:t xml:space="preserve">troponin </w:t>
      </w:r>
      <w:r w:rsidR="000220F9">
        <w:rPr>
          <w:sz w:val="24"/>
          <w:szCs w:val="24"/>
          <w:lang w:val="en-GB"/>
        </w:rPr>
        <w:t xml:space="preserve">I </w:t>
      </w:r>
      <w:r w:rsidR="00321EE6">
        <w:rPr>
          <w:sz w:val="24"/>
          <w:szCs w:val="24"/>
          <w:lang w:val="en-GB"/>
        </w:rPr>
        <w:t>concentration within the normal reference range</w:t>
      </w:r>
      <w:r w:rsidR="00E26034" w:rsidRPr="00E26034">
        <w:rPr>
          <w:sz w:val="24"/>
          <w:szCs w:val="24"/>
          <w:lang w:val="en-GB"/>
        </w:rPr>
        <w:t xml:space="preserve"> </w:t>
      </w:r>
      <w:r w:rsidR="0089375C">
        <w:rPr>
          <w:sz w:val="24"/>
          <w:szCs w:val="24"/>
          <w:lang w:val="en-GB"/>
        </w:rPr>
        <w:t>(less than the sex-specific 99</w:t>
      </w:r>
      <w:r w:rsidR="0089375C" w:rsidRPr="00C00B7C">
        <w:rPr>
          <w:sz w:val="24"/>
          <w:szCs w:val="24"/>
          <w:vertAlign w:val="superscript"/>
          <w:lang w:val="en-GB"/>
        </w:rPr>
        <w:t>th</w:t>
      </w:r>
      <w:r w:rsidR="0089375C">
        <w:rPr>
          <w:sz w:val="24"/>
          <w:szCs w:val="24"/>
          <w:lang w:val="en-GB"/>
        </w:rPr>
        <w:t xml:space="preserve"> centile upper reference limit) </w:t>
      </w:r>
      <w:r w:rsidR="00E26034">
        <w:rPr>
          <w:sz w:val="24"/>
          <w:szCs w:val="24"/>
          <w:lang w:val="en-GB"/>
        </w:rPr>
        <w:t>at presentation</w:t>
      </w:r>
      <w:r w:rsidR="00321EE6">
        <w:rPr>
          <w:sz w:val="24"/>
          <w:szCs w:val="24"/>
          <w:lang w:val="en-GB"/>
        </w:rPr>
        <w:t xml:space="preserve">. </w:t>
      </w:r>
      <w:r w:rsidR="007C1D70" w:rsidRPr="00DE4F77">
        <w:rPr>
          <w:sz w:val="24"/>
          <w:szCs w:val="24"/>
          <w:lang w:val="en-GB"/>
        </w:rPr>
        <w:t xml:space="preserve">Patients were excluded if they </w:t>
      </w:r>
      <w:r w:rsidR="00C85C13">
        <w:rPr>
          <w:sz w:val="24"/>
          <w:szCs w:val="24"/>
          <w:lang w:val="en-GB"/>
        </w:rPr>
        <w:t xml:space="preserve">presented with an out-of-hospital cardiac arrest or </w:t>
      </w:r>
      <w:r w:rsidR="00321EE6">
        <w:rPr>
          <w:sz w:val="24"/>
          <w:szCs w:val="24"/>
          <w:lang w:val="en-GB"/>
        </w:rPr>
        <w:t xml:space="preserve">ST-segment elevation </w:t>
      </w:r>
      <w:r w:rsidR="00F03B77">
        <w:rPr>
          <w:sz w:val="24"/>
          <w:szCs w:val="24"/>
          <w:lang w:val="en-GB"/>
        </w:rPr>
        <w:t>myocardial infarction</w:t>
      </w:r>
      <w:r w:rsidR="00321EE6">
        <w:rPr>
          <w:sz w:val="24"/>
          <w:szCs w:val="24"/>
          <w:lang w:val="en-GB"/>
        </w:rPr>
        <w:t xml:space="preserve">, </w:t>
      </w:r>
      <w:r w:rsidR="007C1D70" w:rsidRPr="00DE4F77">
        <w:rPr>
          <w:sz w:val="24"/>
          <w:szCs w:val="24"/>
          <w:lang w:val="en-GB"/>
        </w:rPr>
        <w:t xml:space="preserve">had been admitted previously during the </w:t>
      </w:r>
      <w:r w:rsidR="0098358F" w:rsidRPr="00DE4F77">
        <w:rPr>
          <w:sz w:val="24"/>
          <w:szCs w:val="24"/>
          <w:lang w:val="en-GB"/>
        </w:rPr>
        <w:t>trial</w:t>
      </w:r>
      <w:r w:rsidR="007C1D70" w:rsidRPr="00DE4F77">
        <w:rPr>
          <w:sz w:val="24"/>
          <w:szCs w:val="24"/>
          <w:lang w:val="en-GB"/>
        </w:rPr>
        <w:t xml:space="preserve"> or </w:t>
      </w:r>
      <w:r w:rsidR="00457202" w:rsidRPr="00DE4F77">
        <w:rPr>
          <w:sz w:val="24"/>
          <w:szCs w:val="24"/>
          <w:lang w:val="en-GB"/>
        </w:rPr>
        <w:t>were not resident</w:t>
      </w:r>
      <w:r w:rsidR="007C1D70" w:rsidRPr="00DE4F77">
        <w:rPr>
          <w:sz w:val="24"/>
          <w:szCs w:val="24"/>
          <w:lang w:val="en-GB"/>
        </w:rPr>
        <w:t xml:space="preserve"> in Scotland. </w:t>
      </w:r>
    </w:p>
    <w:p w14:paraId="2351C5B2" w14:textId="77777777" w:rsidR="00A74B8F" w:rsidRDefault="00A74B8F" w:rsidP="0057356B">
      <w:pPr>
        <w:pStyle w:val="BodyText3"/>
        <w:spacing w:line="480" w:lineRule="auto"/>
        <w:rPr>
          <w:b/>
          <w:sz w:val="24"/>
          <w:szCs w:val="24"/>
          <w:lang w:val="en-GB"/>
        </w:rPr>
      </w:pPr>
    </w:p>
    <w:p w14:paraId="26FFBFF6" w14:textId="1A957E7C" w:rsidR="00546374" w:rsidRPr="00DE4F77" w:rsidRDefault="00546374" w:rsidP="0057356B">
      <w:pPr>
        <w:pStyle w:val="BodyText3"/>
        <w:spacing w:line="480" w:lineRule="auto"/>
        <w:rPr>
          <w:b/>
          <w:sz w:val="24"/>
          <w:szCs w:val="24"/>
          <w:lang w:val="en-GB"/>
        </w:rPr>
      </w:pPr>
      <w:r w:rsidRPr="00DE4F77">
        <w:rPr>
          <w:b/>
          <w:sz w:val="24"/>
          <w:szCs w:val="24"/>
          <w:lang w:val="en-GB"/>
        </w:rPr>
        <w:lastRenderedPageBreak/>
        <w:t>Randomi</w:t>
      </w:r>
      <w:r w:rsidR="00AF759F">
        <w:rPr>
          <w:b/>
          <w:sz w:val="24"/>
          <w:szCs w:val="24"/>
          <w:lang w:val="en-GB"/>
        </w:rPr>
        <w:t>z</w:t>
      </w:r>
      <w:r w:rsidRPr="00DE4F77">
        <w:rPr>
          <w:b/>
          <w:sz w:val="24"/>
          <w:szCs w:val="24"/>
          <w:lang w:val="en-GB"/>
        </w:rPr>
        <w:t xml:space="preserve">ation </w:t>
      </w:r>
    </w:p>
    <w:p w14:paraId="3C741A82" w14:textId="3F17C1DF" w:rsidR="00A974BF" w:rsidRDefault="00A974BF" w:rsidP="0057356B">
      <w:pPr>
        <w:pStyle w:val="BodyText3"/>
        <w:spacing w:line="480" w:lineRule="auto"/>
        <w:rPr>
          <w:sz w:val="24"/>
          <w:szCs w:val="24"/>
          <w:lang w:val="en-GB"/>
        </w:rPr>
      </w:pPr>
      <w:r>
        <w:rPr>
          <w:sz w:val="24"/>
          <w:szCs w:val="24"/>
          <w:lang w:val="en-GB"/>
        </w:rPr>
        <w:t>The trial was conducted across three phases</w:t>
      </w:r>
      <w:r w:rsidR="00135B85">
        <w:rPr>
          <w:sz w:val="24"/>
          <w:szCs w:val="24"/>
          <w:lang w:val="en-GB"/>
        </w:rPr>
        <w:t xml:space="preserve"> (</w:t>
      </w:r>
      <w:r w:rsidR="00135B85" w:rsidRPr="00135B85">
        <w:rPr>
          <w:b/>
          <w:bCs/>
          <w:i/>
          <w:iCs/>
          <w:sz w:val="24"/>
          <w:szCs w:val="24"/>
          <w:lang w:val="en-GB"/>
        </w:rPr>
        <w:t>Figure 1</w:t>
      </w:r>
      <w:r w:rsidR="00FF5AC0">
        <w:rPr>
          <w:b/>
          <w:bCs/>
          <w:i/>
          <w:iCs/>
          <w:sz w:val="24"/>
          <w:szCs w:val="24"/>
          <w:lang w:val="en-GB"/>
        </w:rPr>
        <w:t>a</w:t>
      </w:r>
      <w:r w:rsidR="00135B85">
        <w:rPr>
          <w:sz w:val="24"/>
          <w:szCs w:val="24"/>
          <w:lang w:val="en-GB"/>
        </w:rPr>
        <w:t>)</w:t>
      </w:r>
      <w:r>
        <w:rPr>
          <w:sz w:val="24"/>
          <w:szCs w:val="24"/>
          <w:lang w:val="en-GB"/>
        </w:rPr>
        <w:t xml:space="preserve">. </w:t>
      </w:r>
      <w:r w:rsidR="00E50CE2">
        <w:rPr>
          <w:sz w:val="24"/>
          <w:szCs w:val="24"/>
          <w:lang w:val="en-GB"/>
        </w:rPr>
        <w:t>During all phases of the trial a</w:t>
      </w:r>
      <w:r w:rsidR="00E50CE2" w:rsidRPr="00E50CE2">
        <w:rPr>
          <w:sz w:val="24"/>
          <w:szCs w:val="24"/>
          <w:lang w:val="en-GB"/>
        </w:rPr>
        <w:t xml:space="preserve"> high-sensitivity cardiac troponin I assay with sex-specific 99</w:t>
      </w:r>
      <w:r w:rsidR="00E50CE2" w:rsidRPr="00B05593">
        <w:rPr>
          <w:sz w:val="24"/>
          <w:szCs w:val="24"/>
          <w:vertAlign w:val="superscript"/>
          <w:lang w:val="en-GB"/>
        </w:rPr>
        <w:t>th</w:t>
      </w:r>
      <w:r w:rsidR="00E50CE2" w:rsidRPr="00E50CE2">
        <w:rPr>
          <w:sz w:val="24"/>
          <w:szCs w:val="24"/>
          <w:lang w:val="en-GB"/>
        </w:rPr>
        <w:t xml:space="preserve"> centile thresholds was used to guide care and rule-in myocardial infarction </w:t>
      </w:r>
      <w:r w:rsidR="00E50CE2">
        <w:rPr>
          <w:sz w:val="24"/>
          <w:szCs w:val="24"/>
          <w:lang w:val="en-GB"/>
        </w:rPr>
        <w:t>according to the</w:t>
      </w:r>
      <w:r w:rsidR="005A1DD6">
        <w:rPr>
          <w:sz w:val="24"/>
          <w:szCs w:val="24"/>
          <w:lang w:val="en-GB"/>
        </w:rPr>
        <w:t xml:space="preserve"> Universal Definition of Myocardial Infarction.</w:t>
      </w:r>
      <w:r w:rsidR="00DB18EE" w:rsidRPr="00B05593">
        <w:rPr>
          <w:sz w:val="24"/>
          <w:szCs w:val="24"/>
          <w:vertAlign w:val="superscript"/>
          <w:lang w:val="en-GB"/>
        </w:rPr>
        <w:t>4</w:t>
      </w:r>
      <w:r w:rsidR="005A1DD6">
        <w:rPr>
          <w:sz w:val="24"/>
          <w:szCs w:val="24"/>
          <w:lang w:val="en-GB"/>
        </w:rPr>
        <w:t xml:space="preserve"> </w:t>
      </w:r>
      <w:r w:rsidR="00D266BD" w:rsidRPr="00D266BD">
        <w:rPr>
          <w:sz w:val="24"/>
          <w:szCs w:val="24"/>
          <w:lang w:val="en-GB"/>
        </w:rPr>
        <w:t>During a validation phase</w:t>
      </w:r>
      <w:r w:rsidR="00D266BD">
        <w:rPr>
          <w:sz w:val="24"/>
          <w:szCs w:val="24"/>
          <w:lang w:val="en-GB"/>
        </w:rPr>
        <w:t xml:space="preserve"> </w:t>
      </w:r>
      <w:r w:rsidR="00DA5A7E">
        <w:rPr>
          <w:sz w:val="24"/>
          <w:szCs w:val="24"/>
          <w:lang w:val="en-GB"/>
        </w:rPr>
        <w:t>o</w:t>
      </w:r>
      <w:r w:rsidR="00D266BD">
        <w:rPr>
          <w:sz w:val="24"/>
          <w:szCs w:val="24"/>
          <w:lang w:val="en-GB"/>
        </w:rPr>
        <w:t>f 6</w:t>
      </w:r>
      <w:r w:rsidR="00164648">
        <w:rPr>
          <w:sz w:val="24"/>
          <w:szCs w:val="24"/>
          <w:lang w:val="en-GB"/>
        </w:rPr>
        <w:t>-9</w:t>
      </w:r>
      <w:r w:rsidR="00D266BD">
        <w:rPr>
          <w:sz w:val="24"/>
          <w:szCs w:val="24"/>
          <w:lang w:val="en-GB"/>
        </w:rPr>
        <w:t xml:space="preserve"> months</w:t>
      </w:r>
      <w:r w:rsidR="00D266BD" w:rsidRPr="00D266BD">
        <w:rPr>
          <w:sz w:val="24"/>
          <w:szCs w:val="24"/>
          <w:lang w:val="en-GB"/>
        </w:rPr>
        <w:t xml:space="preserve">, </w:t>
      </w:r>
      <w:r w:rsidR="00E70DDC" w:rsidRPr="00DE4F77">
        <w:rPr>
          <w:sz w:val="24"/>
          <w:szCs w:val="24"/>
        </w:rPr>
        <w:t xml:space="preserve">troponin testing was </w:t>
      </w:r>
      <w:r w:rsidR="00E70DDC" w:rsidRPr="00DE4F77">
        <w:rPr>
          <w:sz w:val="24"/>
          <w:szCs w:val="24"/>
          <w:lang w:val="en-GB"/>
        </w:rPr>
        <w:t>performed</w:t>
      </w:r>
      <w:r w:rsidR="00E70DDC" w:rsidRPr="00DE4F77">
        <w:rPr>
          <w:sz w:val="24"/>
          <w:szCs w:val="24"/>
        </w:rPr>
        <w:t xml:space="preserve"> </w:t>
      </w:r>
      <w:r w:rsidR="000345E1" w:rsidRPr="00DE4F77">
        <w:rPr>
          <w:sz w:val="24"/>
          <w:szCs w:val="24"/>
          <w:lang w:val="en-GB"/>
        </w:rPr>
        <w:t>at presentation and repeated 6</w:t>
      </w:r>
      <w:r w:rsidR="000345E1">
        <w:rPr>
          <w:sz w:val="24"/>
          <w:szCs w:val="24"/>
          <w:lang w:val="en-GB"/>
        </w:rPr>
        <w:t>-</w:t>
      </w:r>
      <w:r w:rsidR="000345E1" w:rsidRPr="00DE4F77">
        <w:rPr>
          <w:sz w:val="24"/>
          <w:szCs w:val="24"/>
          <w:lang w:val="en-GB"/>
        </w:rPr>
        <w:t>12 h</w:t>
      </w:r>
      <w:r w:rsidR="007C2DF0">
        <w:rPr>
          <w:sz w:val="24"/>
          <w:szCs w:val="24"/>
          <w:lang w:val="en-GB"/>
        </w:rPr>
        <w:t>ou</w:t>
      </w:r>
      <w:r w:rsidR="000345E1">
        <w:rPr>
          <w:sz w:val="24"/>
          <w:szCs w:val="24"/>
          <w:lang w:val="en-GB"/>
        </w:rPr>
        <w:t>rs</w:t>
      </w:r>
      <w:r w:rsidR="000345E1" w:rsidRPr="00DE4F77">
        <w:rPr>
          <w:sz w:val="24"/>
          <w:szCs w:val="24"/>
          <w:lang w:val="en-GB"/>
        </w:rPr>
        <w:t xml:space="preserve"> after the onset of symptoms</w:t>
      </w:r>
      <w:r w:rsidR="000345E1">
        <w:rPr>
          <w:sz w:val="24"/>
          <w:szCs w:val="24"/>
          <w:lang w:val="en-GB"/>
        </w:rPr>
        <w:t xml:space="preserve"> if indicated</w:t>
      </w:r>
      <w:r w:rsidR="00E70DDC" w:rsidRPr="00DE4F77">
        <w:rPr>
          <w:sz w:val="24"/>
          <w:szCs w:val="24"/>
          <w:lang w:val="en-GB"/>
        </w:rPr>
        <w:t xml:space="preserve"> </w:t>
      </w:r>
      <w:r w:rsidR="00875257">
        <w:rPr>
          <w:sz w:val="24"/>
          <w:szCs w:val="24"/>
          <w:lang w:val="en-GB"/>
        </w:rPr>
        <w:t>(</w:t>
      </w:r>
      <w:r w:rsidR="00875257" w:rsidRPr="00D266BD">
        <w:rPr>
          <w:sz w:val="24"/>
          <w:szCs w:val="24"/>
          <w:lang w:val="en-GB"/>
        </w:rPr>
        <w:t>standard care</w:t>
      </w:r>
      <w:r w:rsidR="00875257">
        <w:rPr>
          <w:sz w:val="24"/>
          <w:szCs w:val="24"/>
          <w:lang w:val="en-GB"/>
        </w:rPr>
        <w:t>)</w:t>
      </w:r>
      <w:r w:rsidR="00494860">
        <w:rPr>
          <w:sz w:val="24"/>
          <w:szCs w:val="24"/>
          <w:lang w:val="en-GB"/>
        </w:rPr>
        <w:t xml:space="preserve">. </w:t>
      </w:r>
      <w:r w:rsidR="000345E1">
        <w:rPr>
          <w:sz w:val="24"/>
          <w:szCs w:val="24"/>
          <w:lang w:val="en-GB"/>
        </w:rPr>
        <w:t>I</w:t>
      </w:r>
      <w:r w:rsidR="000345E1" w:rsidRPr="00DE4F77">
        <w:rPr>
          <w:sz w:val="24"/>
          <w:szCs w:val="24"/>
          <w:lang w:val="en-GB"/>
        </w:rPr>
        <w:t>n accordance with guidelines</w:t>
      </w:r>
      <w:r w:rsidR="000345E1">
        <w:rPr>
          <w:sz w:val="24"/>
          <w:szCs w:val="24"/>
          <w:lang w:val="en-GB"/>
        </w:rPr>
        <w:t xml:space="preserve"> at the time of </w:t>
      </w:r>
      <w:r w:rsidR="00C72FD3">
        <w:rPr>
          <w:sz w:val="24"/>
          <w:szCs w:val="24"/>
          <w:lang w:val="en-GB"/>
        </w:rPr>
        <w:t>enrolment,</w:t>
      </w:r>
      <w:r w:rsidR="00C72FD3" w:rsidRPr="00804CFA">
        <w:rPr>
          <w:sz w:val="24"/>
          <w:szCs w:val="24"/>
          <w:vertAlign w:val="superscript"/>
          <w:lang w:val="en-GB"/>
        </w:rPr>
        <w:t>4,1</w:t>
      </w:r>
      <w:r w:rsidR="005E6A04">
        <w:rPr>
          <w:sz w:val="24"/>
          <w:szCs w:val="24"/>
          <w:vertAlign w:val="superscript"/>
          <w:lang w:val="en-GB"/>
        </w:rPr>
        <w:t>8</w:t>
      </w:r>
      <w:r w:rsidR="000345E1">
        <w:rPr>
          <w:sz w:val="24"/>
          <w:szCs w:val="24"/>
          <w:lang w:val="en-GB"/>
        </w:rPr>
        <w:t xml:space="preserve"> m</w:t>
      </w:r>
      <w:r w:rsidR="00BC7901" w:rsidRPr="00D266BD">
        <w:rPr>
          <w:sz w:val="24"/>
          <w:szCs w:val="24"/>
          <w:lang w:val="en-GB"/>
        </w:rPr>
        <w:t xml:space="preserve">yocardial infarction </w:t>
      </w:r>
      <w:r w:rsidR="000345E1">
        <w:rPr>
          <w:sz w:val="24"/>
          <w:szCs w:val="24"/>
          <w:lang w:val="en-GB"/>
        </w:rPr>
        <w:t xml:space="preserve">was ruled out where </w:t>
      </w:r>
      <w:r w:rsidR="00F24E26">
        <w:rPr>
          <w:sz w:val="24"/>
          <w:szCs w:val="24"/>
          <w:lang w:val="en-GB"/>
        </w:rPr>
        <w:t xml:space="preserve">high-sensitivity cardiac </w:t>
      </w:r>
      <w:r w:rsidR="00BC7901">
        <w:rPr>
          <w:sz w:val="24"/>
          <w:szCs w:val="24"/>
          <w:lang w:val="en-GB"/>
        </w:rPr>
        <w:t xml:space="preserve">troponin </w:t>
      </w:r>
      <w:r w:rsidR="00BC7901" w:rsidRPr="00D266BD">
        <w:rPr>
          <w:sz w:val="24"/>
          <w:szCs w:val="24"/>
          <w:lang w:val="en-GB"/>
        </w:rPr>
        <w:t>concentration</w:t>
      </w:r>
      <w:r w:rsidR="000345E1">
        <w:rPr>
          <w:sz w:val="24"/>
          <w:szCs w:val="24"/>
          <w:lang w:val="en-GB"/>
        </w:rPr>
        <w:t>s</w:t>
      </w:r>
      <w:r w:rsidR="00BC7901" w:rsidRPr="00D266BD">
        <w:rPr>
          <w:sz w:val="24"/>
          <w:szCs w:val="24"/>
          <w:lang w:val="en-GB"/>
        </w:rPr>
        <w:t xml:space="preserve"> </w:t>
      </w:r>
      <w:r w:rsidR="000345E1">
        <w:rPr>
          <w:sz w:val="24"/>
          <w:szCs w:val="24"/>
          <w:lang w:val="en-GB"/>
        </w:rPr>
        <w:t>were</w:t>
      </w:r>
      <w:r w:rsidR="00BC7901" w:rsidRPr="00D266BD">
        <w:rPr>
          <w:sz w:val="24"/>
          <w:szCs w:val="24"/>
          <w:lang w:val="en-GB"/>
        </w:rPr>
        <w:t xml:space="preserve"> </w:t>
      </w:r>
      <w:r w:rsidR="00BC7901">
        <w:rPr>
          <w:sz w:val="24"/>
          <w:szCs w:val="24"/>
          <w:lang w:val="en-GB"/>
        </w:rPr>
        <w:t xml:space="preserve">less than the </w:t>
      </w:r>
      <w:r w:rsidR="00BC7901" w:rsidRPr="00D266BD">
        <w:rPr>
          <w:sz w:val="24"/>
          <w:szCs w:val="24"/>
          <w:lang w:val="en-GB"/>
        </w:rPr>
        <w:t>99</w:t>
      </w:r>
      <w:r w:rsidR="00BC7901" w:rsidRPr="007F6BD3">
        <w:rPr>
          <w:sz w:val="24"/>
          <w:szCs w:val="24"/>
          <w:vertAlign w:val="superscript"/>
          <w:lang w:val="en-GB"/>
        </w:rPr>
        <w:t>th</w:t>
      </w:r>
      <w:r w:rsidR="00BC7901" w:rsidRPr="00D266BD">
        <w:rPr>
          <w:sz w:val="24"/>
          <w:szCs w:val="24"/>
          <w:lang w:val="en-GB"/>
        </w:rPr>
        <w:t xml:space="preserve"> centile </w:t>
      </w:r>
      <w:r w:rsidR="000345E1">
        <w:rPr>
          <w:sz w:val="24"/>
          <w:szCs w:val="24"/>
          <w:lang w:val="en-GB"/>
        </w:rPr>
        <w:t xml:space="preserve">at presentation </w:t>
      </w:r>
      <w:r w:rsidR="004B73EB">
        <w:rPr>
          <w:sz w:val="24"/>
          <w:szCs w:val="24"/>
          <w:lang w:val="en-GB"/>
        </w:rPr>
        <w:t>if</w:t>
      </w:r>
      <w:r w:rsidR="000345E1">
        <w:rPr>
          <w:sz w:val="24"/>
          <w:szCs w:val="24"/>
          <w:lang w:val="en-GB"/>
        </w:rPr>
        <w:t xml:space="preserve"> symptom onset was &gt;6 h</w:t>
      </w:r>
      <w:r w:rsidR="007C2DF0">
        <w:rPr>
          <w:sz w:val="24"/>
          <w:szCs w:val="24"/>
          <w:lang w:val="en-GB"/>
        </w:rPr>
        <w:t>ou</w:t>
      </w:r>
      <w:r w:rsidR="000345E1">
        <w:rPr>
          <w:sz w:val="24"/>
          <w:szCs w:val="24"/>
          <w:lang w:val="en-GB"/>
        </w:rPr>
        <w:t>rs from presentation, or following serial testing 6-12 hours from symptom onset</w:t>
      </w:r>
      <w:r w:rsidR="00E50CE2">
        <w:rPr>
          <w:sz w:val="24"/>
          <w:szCs w:val="24"/>
          <w:lang w:val="en-GB"/>
        </w:rPr>
        <w:t xml:space="preserve"> </w:t>
      </w:r>
      <w:r w:rsidR="00E50CE2" w:rsidRPr="00E50CE2">
        <w:rPr>
          <w:sz w:val="24"/>
          <w:szCs w:val="24"/>
          <w:lang w:val="en-GB"/>
        </w:rPr>
        <w:t>in those presenting earlier</w:t>
      </w:r>
      <w:r w:rsidR="000345E1">
        <w:rPr>
          <w:sz w:val="24"/>
          <w:szCs w:val="24"/>
          <w:lang w:val="en-GB"/>
        </w:rPr>
        <w:t xml:space="preserve">. </w:t>
      </w:r>
      <w:r w:rsidR="00D266BD" w:rsidRPr="00D266BD">
        <w:rPr>
          <w:sz w:val="24"/>
          <w:szCs w:val="24"/>
          <w:lang w:val="en-GB"/>
        </w:rPr>
        <w:t xml:space="preserve">Sites </w:t>
      </w:r>
      <w:r w:rsidRPr="00DE4F77">
        <w:rPr>
          <w:sz w:val="24"/>
          <w:szCs w:val="24"/>
          <w:lang w:val="en-GB"/>
        </w:rPr>
        <w:t xml:space="preserve">were paired based on </w:t>
      </w:r>
      <w:r>
        <w:rPr>
          <w:sz w:val="24"/>
          <w:szCs w:val="24"/>
          <w:lang w:val="en-GB"/>
        </w:rPr>
        <w:t xml:space="preserve">the </w:t>
      </w:r>
      <w:r w:rsidRPr="00DE4F77">
        <w:rPr>
          <w:sz w:val="24"/>
          <w:szCs w:val="24"/>
          <w:lang w:val="en-GB"/>
        </w:rPr>
        <w:t xml:space="preserve">expected number of patients and </w:t>
      </w:r>
      <w:r w:rsidR="00742F47">
        <w:rPr>
          <w:sz w:val="24"/>
          <w:szCs w:val="24"/>
          <w:lang w:val="en-GB"/>
        </w:rPr>
        <w:t>random</w:t>
      </w:r>
      <w:r w:rsidR="00320221">
        <w:rPr>
          <w:sz w:val="24"/>
          <w:szCs w:val="24"/>
          <w:lang w:val="en-GB"/>
        </w:rPr>
        <w:t>ize</w:t>
      </w:r>
      <w:r w:rsidR="00742F47">
        <w:rPr>
          <w:sz w:val="24"/>
          <w:szCs w:val="24"/>
          <w:lang w:val="en-GB"/>
        </w:rPr>
        <w:t>d</w:t>
      </w:r>
      <w:r w:rsidRPr="00DE4F77">
        <w:rPr>
          <w:sz w:val="24"/>
          <w:szCs w:val="24"/>
          <w:lang w:val="en-GB"/>
        </w:rPr>
        <w:t xml:space="preserve"> </w:t>
      </w:r>
      <w:r w:rsidR="00D266BD" w:rsidRPr="00D266BD">
        <w:rPr>
          <w:sz w:val="24"/>
          <w:szCs w:val="24"/>
          <w:lang w:val="en-GB"/>
        </w:rPr>
        <w:t xml:space="preserve">to implement </w:t>
      </w:r>
      <w:r>
        <w:rPr>
          <w:sz w:val="24"/>
          <w:szCs w:val="24"/>
          <w:lang w:val="en-GB"/>
        </w:rPr>
        <w:t>the</w:t>
      </w:r>
      <w:r w:rsidR="00D266BD">
        <w:rPr>
          <w:sz w:val="24"/>
          <w:szCs w:val="24"/>
          <w:lang w:val="en-GB"/>
        </w:rPr>
        <w:t xml:space="preserve"> early rule</w:t>
      </w:r>
      <w:r w:rsidR="00875257">
        <w:rPr>
          <w:sz w:val="24"/>
          <w:szCs w:val="24"/>
          <w:lang w:val="en-GB"/>
        </w:rPr>
        <w:t>-</w:t>
      </w:r>
      <w:r w:rsidR="00D266BD">
        <w:rPr>
          <w:sz w:val="24"/>
          <w:szCs w:val="24"/>
          <w:lang w:val="en-GB"/>
        </w:rPr>
        <w:t xml:space="preserve">out pathway </w:t>
      </w:r>
      <w:r>
        <w:rPr>
          <w:sz w:val="24"/>
          <w:szCs w:val="24"/>
          <w:lang w:val="en-GB"/>
        </w:rPr>
        <w:t xml:space="preserve">(intervention) in one of three steps during a </w:t>
      </w:r>
      <w:r w:rsidR="00303E7C">
        <w:rPr>
          <w:sz w:val="24"/>
          <w:szCs w:val="24"/>
          <w:lang w:val="en-GB"/>
        </w:rPr>
        <w:t>6-month</w:t>
      </w:r>
      <w:r>
        <w:rPr>
          <w:sz w:val="24"/>
          <w:szCs w:val="24"/>
          <w:lang w:val="en-GB"/>
        </w:rPr>
        <w:t xml:space="preserve"> randomi</w:t>
      </w:r>
      <w:r w:rsidR="00AF759F">
        <w:rPr>
          <w:sz w:val="24"/>
          <w:szCs w:val="24"/>
          <w:lang w:val="en-GB"/>
        </w:rPr>
        <w:t>z</w:t>
      </w:r>
      <w:r>
        <w:rPr>
          <w:sz w:val="24"/>
          <w:szCs w:val="24"/>
          <w:lang w:val="en-GB"/>
        </w:rPr>
        <w:t>ation phase. Finally, all sites completed an implementation phase of 6</w:t>
      </w:r>
      <w:r w:rsidR="00164648">
        <w:rPr>
          <w:sz w:val="24"/>
          <w:szCs w:val="24"/>
          <w:lang w:val="en-GB"/>
        </w:rPr>
        <w:t>-9</w:t>
      </w:r>
      <w:r>
        <w:rPr>
          <w:sz w:val="24"/>
          <w:szCs w:val="24"/>
          <w:lang w:val="en-GB"/>
        </w:rPr>
        <w:t xml:space="preserve"> months </w:t>
      </w:r>
      <w:r w:rsidR="00303E7C">
        <w:rPr>
          <w:sz w:val="24"/>
          <w:szCs w:val="24"/>
          <w:lang w:val="en-GB"/>
        </w:rPr>
        <w:t>calendar</w:t>
      </w:r>
      <w:r>
        <w:rPr>
          <w:sz w:val="24"/>
          <w:szCs w:val="24"/>
          <w:lang w:val="en-GB"/>
        </w:rPr>
        <w:t xml:space="preserve"> matched to the </w:t>
      </w:r>
      <w:r w:rsidR="00E315E4">
        <w:rPr>
          <w:sz w:val="24"/>
          <w:szCs w:val="24"/>
          <w:lang w:val="en-GB"/>
        </w:rPr>
        <w:t>validation phase where care</w:t>
      </w:r>
      <w:r w:rsidR="00DA5A7E">
        <w:rPr>
          <w:sz w:val="24"/>
          <w:szCs w:val="24"/>
          <w:lang w:val="en-GB"/>
        </w:rPr>
        <w:t xml:space="preserve"> was guided by the early rule-out pathway</w:t>
      </w:r>
      <w:r w:rsidR="00E315E4">
        <w:rPr>
          <w:sz w:val="24"/>
          <w:szCs w:val="24"/>
          <w:lang w:val="en-GB"/>
        </w:rPr>
        <w:t xml:space="preserve">. </w:t>
      </w:r>
    </w:p>
    <w:p w14:paraId="4D29B468" w14:textId="77777777" w:rsidR="00D266BD" w:rsidRPr="00DE4F77" w:rsidRDefault="00D266BD" w:rsidP="0057356B">
      <w:pPr>
        <w:pStyle w:val="BodyText3"/>
        <w:spacing w:line="480" w:lineRule="auto"/>
        <w:rPr>
          <w:sz w:val="24"/>
          <w:szCs w:val="24"/>
          <w:lang w:val="en-GB"/>
        </w:rPr>
      </w:pPr>
    </w:p>
    <w:p w14:paraId="53FAE90D" w14:textId="77777777" w:rsidR="0008165B" w:rsidRDefault="0008165B" w:rsidP="0057356B">
      <w:pPr>
        <w:pStyle w:val="BodyText3"/>
        <w:spacing w:line="480" w:lineRule="auto"/>
        <w:rPr>
          <w:b/>
          <w:sz w:val="24"/>
          <w:szCs w:val="24"/>
          <w:lang w:val="en-GB"/>
        </w:rPr>
      </w:pPr>
      <w:r w:rsidRPr="00DE4F77">
        <w:rPr>
          <w:b/>
          <w:sz w:val="24"/>
          <w:szCs w:val="24"/>
          <w:lang w:val="en-GB"/>
        </w:rPr>
        <w:t>Intervention</w:t>
      </w:r>
    </w:p>
    <w:p w14:paraId="5BCB6772" w14:textId="73E587FF" w:rsidR="00D532DF" w:rsidRPr="00804CFA" w:rsidRDefault="00E73DA0" w:rsidP="0057356B">
      <w:pPr>
        <w:spacing w:line="480" w:lineRule="auto"/>
      </w:pPr>
      <w:r>
        <w:rPr>
          <w:bCs/>
        </w:rPr>
        <w:t xml:space="preserve">The </w:t>
      </w:r>
      <w:r w:rsidR="007D7151" w:rsidRPr="00DE4F77">
        <w:rPr>
          <w:i/>
        </w:rPr>
        <w:t>High</w:t>
      </w:r>
      <w:r w:rsidR="007D7151" w:rsidRPr="00DE4F77">
        <w:t>-</w:t>
      </w:r>
      <w:r w:rsidR="007D7151" w:rsidRPr="00DE4F77">
        <w:rPr>
          <w:i/>
        </w:rPr>
        <w:t>S</w:t>
      </w:r>
      <w:r w:rsidR="007D7151" w:rsidRPr="00DE4F77">
        <w:t xml:space="preserve">ensitivity </w:t>
      </w:r>
      <w:r w:rsidR="007D7151" w:rsidRPr="00DE4F77">
        <w:rPr>
          <w:i/>
        </w:rPr>
        <w:t>T</w:t>
      </w:r>
      <w:r w:rsidR="007D7151" w:rsidRPr="00DE4F77">
        <w:t xml:space="preserve">roponin in the </w:t>
      </w:r>
      <w:r w:rsidR="007D7151" w:rsidRPr="00DE4F77">
        <w:rPr>
          <w:i/>
        </w:rPr>
        <w:t>E</w:t>
      </w:r>
      <w:r w:rsidR="007D7151" w:rsidRPr="00DE4F77">
        <w:t xml:space="preserve">valuation of patients with suspected </w:t>
      </w:r>
      <w:r w:rsidR="007D7151" w:rsidRPr="00DE4F77">
        <w:rPr>
          <w:i/>
        </w:rPr>
        <w:t>A</w:t>
      </w:r>
      <w:r w:rsidR="007D7151" w:rsidRPr="00DE4F77">
        <w:t xml:space="preserve">cute </w:t>
      </w:r>
      <w:r w:rsidR="007D7151" w:rsidRPr="00DE4F77">
        <w:rPr>
          <w:i/>
        </w:rPr>
        <w:t>C</w:t>
      </w:r>
      <w:r w:rsidR="007D7151" w:rsidRPr="00DE4F77">
        <w:t xml:space="preserve">oronary </w:t>
      </w:r>
      <w:r w:rsidR="007D7151" w:rsidRPr="00DE4F77">
        <w:rPr>
          <w:i/>
        </w:rPr>
        <w:t>S</w:t>
      </w:r>
      <w:r w:rsidR="007D7151" w:rsidRPr="00DE4F77">
        <w:t>yndrome (</w:t>
      </w:r>
      <w:r w:rsidR="007D7151" w:rsidRPr="00DE4F77">
        <w:rPr>
          <w:i/>
        </w:rPr>
        <w:t>High-STEACS</w:t>
      </w:r>
      <w:r w:rsidR="007D7151" w:rsidRPr="00DE4F77">
        <w:t>)</w:t>
      </w:r>
      <w:r w:rsidR="007D7151">
        <w:t xml:space="preserve"> early rule-out </w:t>
      </w:r>
      <w:r>
        <w:rPr>
          <w:bCs/>
        </w:rPr>
        <w:t xml:space="preserve">pathway </w:t>
      </w:r>
      <w:r w:rsidR="0028680C">
        <w:rPr>
          <w:bCs/>
        </w:rPr>
        <w:t>(</w:t>
      </w:r>
      <w:r w:rsidR="0028680C" w:rsidRPr="0028680C">
        <w:rPr>
          <w:b/>
          <w:i/>
          <w:iCs/>
        </w:rPr>
        <w:t xml:space="preserve">Figure </w:t>
      </w:r>
      <w:r w:rsidR="0028680C">
        <w:rPr>
          <w:b/>
          <w:i/>
          <w:iCs/>
        </w:rPr>
        <w:t>1</w:t>
      </w:r>
      <w:r w:rsidR="00FF5AC0">
        <w:rPr>
          <w:b/>
          <w:i/>
          <w:iCs/>
        </w:rPr>
        <w:t>b</w:t>
      </w:r>
      <w:r w:rsidR="0028680C">
        <w:rPr>
          <w:bCs/>
        </w:rPr>
        <w:t>)</w:t>
      </w:r>
      <w:r w:rsidR="007D7151" w:rsidRPr="007D7151">
        <w:rPr>
          <w:bCs/>
        </w:rPr>
        <w:t xml:space="preserve"> </w:t>
      </w:r>
      <w:r w:rsidR="007D7151">
        <w:rPr>
          <w:bCs/>
        </w:rPr>
        <w:t>has been described</w:t>
      </w:r>
      <w:r w:rsidR="004B73EB">
        <w:rPr>
          <w:bCs/>
        </w:rPr>
        <w:t xml:space="preserve"> </w:t>
      </w:r>
      <w:r w:rsidR="007D7151">
        <w:rPr>
          <w:bCs/>
        </w:rPr>
        <w:t>previously</w:t>
      </w:r>
      <w:r w:rsidR="00C72FD3">
        <w:rPr>
          <w:bCs/>
        </w:rPr>
        <w:t>.</w:t>
      </w:r>
      <w:r w:rsidR="00C72FD3" w:rsidRPr="00804CFA">
        <w:rPr>
          <w:bCs/>
          <w:vertAlign w:val="superscript"/>
        </w:rPr>
        <w:t>1</w:t>
      </w:r>
      <w:r w:rsidR="005E6A04">
        <w:rPr>
          <w:bCs/>
          <w:vertAlign w:val="superscript"/>
        </w:rPr>
        <w:t>9</w:t>
      </w:r>
      <w:r w:rsidR="00C72FD3" w:rsidRPr="00804CFA">
        <w:rPr>
          <w:bCs/>
          <w:vertAlign w:val="superscript"/>
        </w:rPr>
        <w:t>,</w:t>
      </w:r>
      <w:r w:rsidR="005E6A04">
        <w:rPr>
          <w:bCs/>
          <w:vertAlign w:val="superscript"/>
        </w:rPr>
        <w:t>20</w:t>
      </w:r>
      <w:r w:rsidR="005E6A04">
        <w:t xml:space="preserve"> </w:t>
      </w:r>
      <w:r w:rsidR="0028680C">
        <w:t xml:space="preserve">Myocardial infarction is ruled out in patients </w:t>
      </w:r>
      <w:r w:rsidR="0028680C">
        <w:rPr>
          <w:color w:val="040404"/>
        </w:rPr>
        <w:t xml:space="preserve">with troponin concentrations </w:t>
      </w:r>
      <w:r w:rsidR="007C2DF0">
        <w:rPr>
          <w:color w:val="040404"/>
        </w:rPr>
        <w:t>&lt;</w:t>
      </w:r>
      <w:r w:rsidR="0028680C">
        <w:rPr>
          <w:color w:val="040404"/>
        </w:rPr>
        <w:t>5 ng/L at presentation, unless they present within 2 h</w:t>
      </w:r>
      <w:r w:rsidR="007C2DF0">
        <w:rPr>
          <w:color w:val="040404"/>
        </w:rPr>
        <w:t>ou</w:t>
      </w:r>
      <w:r w:rsidR="0028680C">
        <w:rPr>
          <w:color w:val="040404"/>
        </w:rPr>
        <w:t>rs of symptom onset where testing is repeated 3 h</w:t>
      </w:r>
      <w:r w:rsidR="005D61F0">
        <w:rPr>
          <w:color w:val="040404"/>
        </w:rPr>
        <w:t>ours</w:t>
      </w:r>
      <w:r w:rsidR="0028680C">
        <w:rPr>
          <w:color w:val="040404"/>
        </w:rPr>
        <w:t xml:space="preserve"> from presentation. Patients with troponin concentrations ≥5 ng/L at presentation are retested 3 h</w:t>
      </w:r>
      <w:r w:rsidR="00473BEF">
        <w:rPr>
          <w:color w:val="040404"/>
        </w:rPr>
        <w:t>ou</w:t>
      </w:r>
      <w:r w:rsidR="0028680C">
        <w:rPr>
          <w:color w:val="040404"/>
        </w:rPr>
        <w:t xml:space="preserve">rs after presentation, and myocardial infarction </w:t>
      </w:r>
      <w:r w:rsidR="0057567D">
        <w:rPr>
          <w:color w:val="040404"/>
        </w:rPr>
        <w:t xml:space="preserve">is </w:t>
      </w:r>
      <w:r w:rsidR="0028680C">
        <w:rPr>
          <w:color w:val="040404"/>
        </w:rPr>
        <w:t xml:space="preserve">ruled out if concentrations are unchanged (delta &lt;3 ng/L) and remain </w:t>
      </w:r>
      <w:r w:rsidR="00502EE0">
        <w:rPr>
          <w:color w:val="040404"/>
        </w:rPr>
        <w:t xml:space="preserve">below the </w:t>
      </w:r>
      <w:r w:rsidR="0028680C">
        <w:rPr>
          <w:color w:val="040404"/>
        </w:rPr>
        <w:t>99</w:t>
      </w:r>
      <w:r w:rsidR="0028680C">
        <w:rPr>
          <w:color w:val="040404"/>
          <w:vertAlign w:val="superscript"/>
        </w:rPr>
        <w:t>th</w:t>
      </w:r>
      <w:r w:rsidR="0028680C">
        <w:rPr>
          <w:color w:val="040404"/>
        </w:rPr>
        <w:t xml:space="preserve"> centile. </w:t>
      </w:r>
      <w:r w:rsidR="00955BBB" w:rsidRPr="005B1C84">
        <w:t>To support implementation, we provided educational material and presentations at each site</w:t>
      </w:r>
      <w:r w:rsidR="00955BBB">
        <w:t xml:space="preserve">, a webapp </w:t>
      </w:r>
      <w:r w:rsidR="00955BBB">
        <w:lastRenderedPageBreak/>
        <w:t>(</w:t>
      </w:r>
      <w:hyperlink r:id="rId9" w:history="1">
        <w:r w:rsidR="00955BBB" w:rsidRPr="00336085">
          <w:rPr>
            <w:rStyle w:val="Hyperlink"/>
          </w:rPr>
          <w:t>www.highsteacs.com</w:t>
        </w:r>
      </w:hyperlink>
      <w:r w:rsidR="00955BBB">
        <w:t xml:space="preserve">), and formal </w:t>
      </w:r>
      <w:r w:rsidR="00955BBB" w:rsidRPr="005B1C84">
        <w:t>training for clinical staff</w:t>
      </w:r>
      <w:r w:rsidR="00955BBB">
        <w:t xml:space="preserve"> in the Emergency Department</w:t>
      </w:r>
      <w:r w:rsidR="00EF393C">
        <w:t xml:space="preserve"> </w:t>
      </w:r>
      <w:r w:rsidR="00EF393C" w:rsidRPr="00EF393C">
        <w:t>(</w:t>
      </w:r>
      <w:r w:rsidR="0057356B">
        <w:rPr>
          <w:b/>
          <w:bCs/>
          <w:i/>
          <w:iCs/>
        </w:rPr>
        <w:t>Supplement</w:t>
      </w:r>
      <w:r w:rsidR="00F61103">
        <w:rPr>
          <w:b/>
          <w:bCs/>
          <w:i/>
          <w:iCs/>
        </w:rPr>
        <w:t>al Material</w:t>
      </w:r>
      <w:r w:rsidR="00955BBB" w:rsidRPr="00EF393C">
        <w:t>)</w:t>
      </w:r>
      <w:r w:rsidR="00955BBB" w:rsidRPr="005B1C84">
        <w:t>.</w:t>
      </w:r>
      <w:r w:rsidR="00EF393C">
        <w:t xml:space="preserve"> </w:t>
      </w:r>
      <w:r w:rsidR="001D1764">
        <w:rPr>
          <w:bCs/>
        </w:rPr>
        <w:t>Through</w:t>
      </w:r>
      <w:r w:rsidR="00240184">
        <w:rPr>
          <w:bCs/>
        </w:rPr>
        <w:t>ou</w:t>
      </w:r>
      <w:r w:rsidR="001D1764">
        <w:rPr>
          <w:bCs/>
        </w:rPr>
        <w:t>t the trial</w:t>
      </w:r>
      <w:r w:rsidR="00E26034">
        <w:rPr>
          <w:bCs/>
        </w:rPr>
        <w:t>,</w:t>
      </w:r>
      <w:r w:rsidR="001D1764">
        <w:rPr>
          <w:bCs/>
        </w:rPr>
        <w:t xml:space="preserve"> all sites</w:t>
      </w:r>
      <w:r w:rsidR="00BC7901">
        <w:rPr>
          <w:bCs/>
        </w:rPr>
        <w:t xml:space="preserve"> </w:t>
      </w:r>
      <w:r w:rsidR="001D1764">
        <w:rPr>
          <w:bCs/>
        </w:rPr>
        <w:t xml:space="preserve">used the Abbott </w:t>
      </w:r>
      <w:r w:rsidR="001D1764" w:rsidRPr="00DE4F77">
        <w:t>ARCHITECT</w:t>
      </w:r>
      <w:r w:rsidR="001D1764" w:rsidRPr="00DE4F77">
        <w:rPr>
          <w:i/>
          <w:vertAlign w:val="subscript"/>
        </w:rPr>
        <w:t>STAT</w:t>
      </w:r>
      <w:r w:rsidR="001D1764" w:rsidRPr="00DE4F77">
        <w:t xml:space="preserve"> high-sensitive troponin I assay</w:t>
      </w:r>
      <w:r w:rsidR="001D1764">
        <w:rPr>
          <w:bCs/>
        </w:rPr>
        <w:t xml:space="preserve"> </w:t>
      </w:r>
      <w:r w:rsidR="00D532DF" w:rsidRPr="00DE4F77">
        <w:t>to guide clinical decisions</w:t>
      </w:r>
      <w:r w:rsidR="009A7744" w:rsidRPr="00DE4F77">
        <w:t xml:space="preserve">. </w:t>
      </w:r>
      <w:r w:rsidR="008C5D82" w:rsidRPr="00DE4F77">
        <w:t xml:space="preserve">This </w:t>
      </w:r>
      <w:r w:rsidR="009A7744" w:rsidRPr="00DE4F77">
        <w:t xml:space="preserve">assay has an inter-assay coefficient of variation </w:t>
      </w:r>
      <w:r w:rsidR="008C5D82" w:rsidRPr="00DE4F77">
        <w:t xml:space="preserve">of </w:t>
      </w:r>
      <w:r w:rsidR="009A7744" w:rsidRPr="00DE4F77">
        <w:t>less than 10% at 4</w:t>
      </w:r>
      <w:r w:rsidR="0057356B">
        <w:t>.</w:t>
      </w:r>
      <w:r w:rsidR="009A7744" w:rsidRPr="00DE4F77">
        <w:t>7 ng/L</w:t>
      </w:r>
      <w:r w:rsidR="00C72FD3">
        <w:t>,</w:t>
      </w:r>
      <w:r w:rsidR="00C72FD3" w:rsidRPr="00804CFA">
        <w:rPr>
          <w:vertAlign w:val="superscript"/>
        </w:rPr>
        <w:t>8,2</w:t>
      </w:r>
      <w:r w:rsidR="005E6A04">
        <w:rPr>
          <w:vertAlign w:val="superscript"/>
        </w:rPr>
        <w:t>1</w:t>
      </w:r>
      <w:r w:rsidR="001A3296" w:rsidRPr="00DE4F77">
        <w:t xml:space="preserve"> and </w:t>
      </w:r>
      <w:r w:rsidR="008C5D82" w:rsidRPr="00DE4F77">
        <w:t xml:space="preserve">a </w:t>
      </w:r>
      <w:r w:rsidR="009A7744" w:rsidRPr="00DE4F77">
        <w:t>99</w:t>
      </w:r>
      <w:r w:rsidR="009A7744" w:rsidRPr="00DE4F77">
        <w:rPr>
          <w:vertAlign w:val="superscript"/>
        </w:rPr>
        <w:t>th</w:t>
      </w:r>
      <w:r w:rsidR="009A7744" w:rsidRPr="00DE4F77">
        <w:t xml:space="preserve"> centile </w:t>
      </w:r>
      <w:r w:rsidR="008C5D82" w:rsidRPr="00DE4F77">
        <w:t>of</w:t>
      </w:r>
      <w:r w:rsidR="009A7744" w:rsidRPr="00DE4F77">
        <w:t xml:space="preserve"> 16 ng/L in women</w:t>
      </w:r>
      <w:r w:rsidR="00D532DF" w:rsidRPr="00DE4F77">
        <w:t xml:space="preserve"> </w:t>
      </w:r>
      <w:r w:rsidR="002756EA">
        <w:t xml:space="preserve">and </w:t>
      </w:r>
      <w:r w:rsidR="002756EA" w:rsidRPr="00DE4F77">
        <w:t>34 ng/L in men</w:t>
      </w:r>
      <w:r w:rsidR="00C72FD3">
        <w:t>.</w:t>
      </w:r>
      <w:r w:rsidR="00C72FD3" w:rsidRPr="00804CFA">
        <w:rPr>
          <w:vertAlign w:val="superscript"/>
        </w:rPr>
        <w:t>2</w:t>
      </w:r>
      <w:r w:rsidR="005E6A04">
        <w:rPr>
          <w:vertAlign w:val="superscript"/>
        </w:rPr>
        <w:t>2</w:t>
      </w:r>
      <w:r w:rsidR="008C5D82" w:rsidRPr="00DE4F77">
        <w:t xml:space="preserve"> </w:t>
      </w:r>
    </w:p>
    <w:p w14:paraId="254C6472" w14:textId="77777777" w:rsidR="001A3296" w:rsidRPr="00DE4F77" w:rsidRDefault="001A3296" w:rsidP="0057356B">
      <w:pPr>
        <w:pStyle w:val="BodyText3"/>
        <w:spacing w:line="480" w:lineRule="auto"/>
        <w:rPr>
          <w:sz w:val="24"/>
          <w:szCs w:val="24"/>
        </w:rPr>
      </w:pPr>
    </w:p>
    <w:p w14:paraId="7EB62FB1" w14:textId="77777777" w:rsidR="00A72488" w:rsidRPr="00DE4F77" w:rsidRDefault="001A3296" w:rsidP="0057356B">
      <w:pPr>
        <w:pStyle w:val="BodyText2"/>
        <w:numPr>
          <w:ilvl w:val="12"/>
          <w:numId w:val="0"/>
        </w:numPr>
        <w:rPr>
          <w:b/>
          <w:sz w:val="24"/>
          <w:lang w:val="en-GB"/>
        </w:rPr>
      </w:pPr>
      <w:r w:rsidRPr="00DE4F77">
        <w:rPr>
          <w:b/>
          <w:sz w:val="24"/>
          <w:lang w:val="en-GB"/>
        </w:rPr>
        <w:t>Trial</w:t>
      </w:r>
      <w:r w:rsidR="00B15646" w:rsidRPr="00DE4F77">
        <w:rPr>
          <w:b/>
          <w:sz w:val="24"/>
          <w:lang w:val="en-GB"/>
        </w:rPr>
        <w:t xml:space="preserve"> </w:t>
      </w:r>
      <w:r w:rsidRPr="00DE4F77">
        <w:rPr>
          <w:b/>
          <w:sz w:val="24"/>
          <w:lang w:val="en-GB"/>
        </w:rPr>
        <w:t>O</w:t>
      </w:r>
      <w:r w:rsidR="00A72488" w:rsidRPr="00DE4F77">
        <w:rPr>
          <w:b/>
          <w:sz w:val="24"/>
          <w:lang w:val="en-GB"/>
        </w:rPr>
        <w:t xml:space="preserve">utcomes </w:t>
      </w:r>
    </w:p>
    <w:p w14:paraId="2E50A80A" w14:textId="1BDFC5BA" w:rsidR="00087E59" w:rsidRPr="00087E59" w:rsidRDefault="00B15646" w:rsidP="0057356B">
      <w:pPr>
        <w:pStyle w:val="BodyText2"/>
        <w:numPr>
          <w:ilvl w:val="12"/>
          <w:numId w:val="0"/>
        </w:numPr>
        <w:rPr>
          <w:sz w:val="24"/>
          <w:lang w:val="en-US"/>
        </w:rPr>
      </w:pPr>
      <w:r w:rsidRPr="00DE4F77">
        <w:rPr>
          <w:sz w:val="24"/>
          <w:lang w:val="en-US"/>
        </w:rPr>
        <w:t xml:space="preserve">We used regional and national registries to follow-up the </w:t>
      </w:r>
      <w:r w:rsidR="00E33328" w:rsidRPr="00DE4F77">
        <w:rPr>
          <w:sz w:val="24"/>
          <w:lang w:val="en-US"/>
        </w:rPr>
        <w:t>trial</w:t>
      </w:r>
      <w:r w:rsidRPr="00DE4F77">
        <w:rPr>
          <w:sz w:val="24"/>
          <w:lang w:val="en-US"/>
        </w:rPr>
        <w:t xml:space="preserve"> population.</w:t>
      </w:r>
      <w:r w:rsidR="005E6A04" w:rsidRPr="00804CFA">
        <w:rPr>
          <w:sz w:val="24"/>
          <w:vertAlign w:val="superscript"/>
          <w:lang w:val="en-US"/>
        </w:rPr>
        <w:t>1</w:t>
      </w:r>
      <w:r w:rsidR="005E6A04">
        <w:rPr>
          <w:sz w:val="24"/>
          <w:vertAlign w:val="superscript"/>
          <w:lang w:val="en-US"/>
        </w:rPr>
        <w:t>7</w:t>
      </w:r>
      <w:r w:rsidR="00C72FD3" w:rsidRPr="00804CFA">
        <w:rPr>
          <w:sz w:val="24"/>
          <w:vertAlign w:val="superscript"/>
          <w:lang w:val="en-US"/>
        </w:rPr>
        <w:t>,</w:t>
      </w:r>
      <w:r w:rsidR="005E6A04" w:rsidRPr="00804CFA">
        <w:rPr>
          <w:sz w:val="24"/>
          <w:vertAlign w:val="superscript"/>
          <w:lang w:val="en-US"/>
        </w:rPr>
        <w:t>2</w:t>
      </w:r>
      <w:r w:rsidR="005E6A04">
        <w:rPr>
          <w:sz w:val="24"/>
          <w:vertAlign w:val="superscript"/>
          <w:lang w:val="en-US"/>
        </w:rPr>
        <w:t>3</w:t>
      </w:r>
      <w:r w:rsidR="00C72FD3" w:rsidRPr="00804CFA">
        <w:rPr>
          <w:sz w:val="24"/>
          <w:vertAlign w:val="superscript"/>
          <w:lang w:val="en-US"/>
        </w:rPr>
        <w:t>-2</w:t>
      </w:r>
      <w:r w:rsidR="005E6A04">
        <w:rPr>
          <w:sz w:val="24"/>
          <w:vertAlign w:val="superscript"/>
          <w:lang w:val="en-US"/>
        </w:rPr>
        <w:t>4</w:t>
      </w:r>
      <w:r w:rsidR="00C72FD3" w:rsidRPr="00DE4F77">
        <w:rPr>
          <w:sz w:val="24"/>
          <w:lang w:val="en-US"/>
        </w:rPr>
        <w:t xml:space="preserve"> </w:t>
      </w:r>
      <w:r w:rsidR="00FA6A8C" w:rsidRPr="00FA6A8C">
        <w:rPr>
          <w:sz w:val="24"/>
          <w:lang w:val="en-US"/>
        </w:rPr>
        <w:t>Sequential hypothesis testing evaluate</w:t>
      </w:r>
      <w:r w:rsidR="0037155C">
        <w:rPr>
          <w:sz w:val="24"/>
          <w:lang w:val="en-US"/>
        </w:rPr>
        <w:t>d</w:t>
      </w:r>
      <w:r w:rsidR="00FA6A8C" w:rsidRPr="00FA6A8C">
        <w:rPr>
          <w:sz w:val="24"/>
          <w:lang w:val="en-US"/>
        </w:rPr>
        <w:t xml:space="preserve"> two co-primary </w:t>
      </w:r>
      <w:r w:rsidR="00380189">
        <w:rPr>
          <w:sz w:val="24"/>
          <w:lang w:val="en-US"/>
        </w:rPr>
        <w:t>outcomes</w:t>
      </w:r>
      <w:r w:rsidR="00FA6A8C" w:rsidRPr="00FA6A8C">
        <w:rPr>
          <w:sz w:val="24"/>
          <w:lang w:val="en-US"/>
        </w:rPr>
        <w:t xml:space="preserve"> in an </w:t>
      </w:r>
      <w:r w:rsidR="00FA6A8C" w:rsidRPr="00FA6A8C">
        <w:rPr>
          <w:i/>
          <w:iCs/>
          <w:sz w:val="24"/>
          <w:lang w:val="en-US"/>
        </w:rPr>
        <w:t>a-priori</w:t>
      </w:r>
      <w:r w:rsidR="00FA6A8C" w:rsidRPr="00FA6A8C">
        <w:rPr>
          <w:sz w:val="24"/>
          <w:lang w:val="en-US"/>
        </w:rPr>
        <w:t xml:space="preserve"> defined hierarchical order: </w:t>
      </w:r>
      <w:r w:rsidR="00FA6A8C">
        <w:rPr>
          <w:sz w:val="24"/>
          <w:lang w:val="en-US"/>
        </w:rPr>
        <w:t xml:space="preserve">the primary efficacy outcome followed by the primary safety outcome. </w:t>
      </w:r>
      <w:r w:rsidR="00E10476" w:rsidRPr="00E10476">
        <w:rPr>
          <w:sz w:val="24"/>
          <w:lang w:val="en-US"/>
        </w:rPr>
        <w:t xml:space="preserve">The primary efficacy </w:t>
      </w:r>
      <w:r w:rsidR="00FA6A8C">
        <w:rPr>
          <w:sz w:val="24"/>
          <w:lang w:val="en-US"/>
        </w:rPr>
        <w:t>outcome</w:t>
      </w:r>
      <w:r w:rsidR="00E10476" w:rsidRPr="00E10476">
        <w:rPr>
          <w:sz w:val="24"/>
          <w:lang w:val="en-US"/>
        </w:rPr>
        <w:t xml:space="preserve"> was length of stay, </w:t>
      </w:r>
      <w:r w:rsidR="00FA6A8C" w:rsidRPr="00FA6A8C">
        <w:rPr>
          <w:sz w:val="24"/>
          <w:lang w:val="en-US"/>
        </w:rPr>
        <w:t>defined as the length of time from presentation to the Emergency Department until discharge from hospital</w:t>
      </w:r>
      <w:r w:rsidR="00FA6A8C">
        <w:rPr>
          <w:sz w:val="24"/>
          <w:lang w:val="en-US"/>
        </w:rPr>
        <w:t xml:space="preserve">. </w:t>
      </w:r>
      <w:r w:rsidR="00A51E62">
        <w:rPr>
          <w:sz w:val="24"/>
          <w:lang w:val="en-US"/>
        </w:rPr>
        <w:t>The safety outcome was m</w:t>
      </w:r>
      <w:r w:rsidR="00E10476" w:rsidRPr="00E10476">
        <w:rPr>
          <w:sz w:val="24"/>
          <w:lang w:val="en-US"/>
        </w:rPr>
        <w:t xml:space="preserve">yocardial infarction </w:t>
      </w:r>
      <w:r w:rsidR="00E10476" w:rsidRPr="00DE4F77">
        <w:rPr>
          <w:sz w:val="24"/>
          <w:lang w:val="en-GB"/>
        </w:rPr>
        <w:t>(type 1</w:t>
      </w:r>
      <w:r w:rsidR="00E10476">
        <w:rPr>
          <w:sz w:val="24"/>
          <w:lang w:val="en-GB"/>
        </w:rPr>
        <w:t>,</w:t>
      </w:r>
      <w:r w:rsidR="00E10476" w:rsidRPr="00DE4F77">
        <w:rPr>
          <w:sz w:val="24"/>
          <w:lang w:val="en-GB"/>
        </w:rPr>
        <w:t xml:space="preserve"> type 4b</w:t>
      </w:r>
      <w:r w:rsidR="00E10476">
        <w:rPr>
          <w:sz w:val="24"/>
          <w:lang w:val="en-GB"/>
        </w:rPr>
        <w:t xml:space="preserve"> or type 4c</w:t>
      </w:r>
      <w:r w:rsidR="00E10476" w:rsidRPr="00DE4F77">
        <w:rPr>
          <w:sz w:val="24"/>
          <w:lang w:val="en-GB"/>
        </w:rPr>
        <w:t xml:space="preserve">) </w:t>
      </w:r>
      <w:r w:rsidR="00E10476" w:rsidRPr="00E10476">
        <w:rPr>
          <w:sz w:val="24"/>
          <w:lang w:val="en-US"/>
        </w:rPr>
        <w:t xml:space="preserve">or cardiac death </w:t>
      </w:r>
      <w:r w:rsidR="00FA6A8C" w:rsidRPr="00FA6A8C">
        <w:rPr>
          <w:sz w:val="24"/>
          <w:lang w:val="en-US"/>
        </w:rPr>
        <w:t xml:space="preserve">after discharge </w:t>
      </w:r>
      <w:r w:rsidR="00A51E62">
        <w:rPr>
          <w:sz w:val="24"/>
          <w:lang w:val="en-US"/>
        </w:rPr>
        <w:t>which was</w:t>
      </w:r>
      <w:r w:rsidR="001D6B4C">
        <w:rPr>
          <w:sz w:val="24"/>
          <w:lang w:val="en-US"/>
        </w:rPr>
        <w:t xml:space="preserve"> evaluated </w:t>
      </w:r>
      <w:r w:rsidR="00202919">
        <w:rPr>
          <w:sz w:val="24"/>
          <w:lang w:val="en-US"/>
        </w:rPr>
        <w:t xml:space="preserve">at </w:t>
      </w:r>
      <w:r w:rsidR="00FA6A8C" w:rsidRPr="00FA6A8C">
        <w:rPr>
          <w:sz w:val="24"/>
          <w:lang w:val="en-US"/>
        </w:rPr>
        <w:t xml:space="preserve">30 days </w:t>
      </w:r>
      <w:r w:rsidR="00202919">
        <w:rPr>
          <w:sz w:val="24"/>
          <w:lang w:val="en-US"/>
        </w:rPr>
        <w:t xml:space="preserve">(primary) and 1 year (secondary) </w:t>
      </w:r>
      <w:r w:rsidR="001D6B4C">
        <w:rPr>
          <w:sz w:val="24"/>
          <w:lang w:val="en-US"/>
        </w:rPr>
        <w:t>following</w:t>
      </w:r>
      <w:r w:rsidR="00FA6A8C" w:rsidRPr="00FA6A8C">
        <w:rPr>
          <w:sz w:val="24"/>
          <w:lang w:val="en-US"/>
        </w:rPr>
        <w:t xml:space="preserve"> presentation</w:t>
      </w:r>
      <w:r w:rsidR="00E10476" w:rsidRPr="00E10476">
        <w:rPr>
          <w:sz w:val="24"/>
          <w:lang w:val="en-US"/>
        </w:rPr>
        <w:t>.</w:t>
      </w:r>
      <w:r w:rsidR="00202919">
        <w:rPr>
          <w:sz w:val="24"/>
          <w:lang w:val="en-US"/>
        </w:rPr>
        <w:t xml:space="preserve"> </w:t>
      </w:r>
      <w:r w:rsidR="00202919">
        <w:rPr>
          <w:sz w:val="24"/>
          <w:lang w:val="en-GB"/>
        </w:rPr>
        <w:t>These events</w:t>
      </w:r>
      <w:r w:rsidR="00087E59" w:rsidRPr="00FA6A8C">
        <w:rPr>
          <w:sz w:val="24"/>
          <w:lang w:val="en-US"/>
        </w:rPr>
        <w:t xml:space="preserve"> </w:t>
      </w:r>
      <w:r w:rsidR="00202919">
        <w:rPr>
          <w:sz w:val="24"/>
          <w:lang w:val="en-US"/>
        </w:rPr>
        <w:t>were</w:t>
      </w:r>
      <w:r w:rsidR="00087E59" w:rsidRPr="00FA6A8C">
        <w:rPr>
          <w:sz w:val="24"/>
          <w:lang w:val="en-US"/>
        </w:rPr>
        <w:t xml:space="preserve"> adjudicated by a panel blind to the study phase.</w:t>
      </w:r>
      <w:r w:rsidR="00087E59">
        <w:rPr>
          <w:sz w:val="24"/>
          <w:lang w:val="en-US"/>
        </w:rPr>
        <w:t xml:space="preserve"> </w:t>
      </w:r>
      <w:r w:rsidR="00087E59" w:rsidRPr="00DE4F77">
        <w:rPr>
          <w:sz w:val="24"/>
          <w:lang w:val="en-GB"/>
        </w:rPr>
        <w:t xml:space="preserve">All </w:t>
      </w:r>
      <w:r w:rsidR="002756EA">
        <w:rPr>
          <w:sz w:val="24"/>
          <w:lang w:val="en-GB"/>
        </w:rPr>
        <w:t xml:space="preserve">subsequent </w:t>
      </w:r>
      <w:r w:rsidR="00087E59">
        <w:rPr>
          <w:sz w:val="24"/>
          <w:lang w:val="en-GB"/>
        </w:rPr>
        <w:t xml:space="preserve">presentations where </w:t>
      </w:r>
      <w:r w:rsidR="002756EA">
        <w:rPr>
          <w:sz w:val="24"/>
          <w:lang w:val="en-GB"/>
        </w:rPr>
        <w:t xml:space="preserve">any </w:t>
      </w:r>
      <w:r w:rsidR="0057567D">
        <w:rPr>
          <w:sz w:val="24"/>
          <w:lang w:val="en-GB"/>
        </w:rPr>
        <w:t>troponin</w:t>
      </w:r>
      <w:r w:rsidR="00087E59" w:rsidRPr="00DE4F77">
        <w:rPr>
          <w:sz w:val="24"/>
          <w:lang w:val="en-GB"/>
        </w:rPr>
        <w:t xml:space="preserve"> </w:t>
      </w:r>
      <w:r w:rsidR="002756EA">
        <w:rPr>
          <w:sz w:val="24"/>
          <w:lang w:val="en-GB"/>
        </w:rPr>
        <w:t>concentration</w:t>
      </w:r>
      <w:r w:rsidR="00087E59">
        <w:rPr>
          <w:sz w:val="24"/>
          <w:lang w:val="en-GB"/>
        </w:rPr>
        <w:t xml:space="preserve"> </w:t>
      </w:r>
      <w:r w:rsidR="002756EA">
        <w:rPr>
          <w:sz w:val="24"/>
          <w:lang w:val="en-GB"/>
        </w:rPr>
        <w:t xml:space="preserve">was </w:t>
      </w:r>
      <w:r w:rsidR="00087E59">
        <w:rPr>
          <w:sz w:val="24"/>
          <w:lang w:val="en-GB"/>
        </w:rPr>
        <w:t>&gt;</w:t>
      </w:r>
      <w:r w:rsidR="00087E59" w:rsidRPr="00DE4F77">
        <w:rPr>
          <w:sz w:val="24"/>
          <w:lang w:val="en-GB"/>
        </w:rPr>
        <w:t>99</w:t>
      </w:r>
      <w:r w:rsidR="00087E59" w:rsidRPr="00DE4F77">
        <w:rPr>
          <w:sz w:val="24"/>
          <w:vertAlign w:val="superscript"/>
          <w:lang w:val="en-GB"/>
        </w:rPr>
        <w:t>th</w:t>
      </w:r>
      <w:r w:rsidR="00087E59" w:rsidRPr="00DE4F77">
        <w:rPr>
          <w:sz w:val="24"/>
          <w:lang w:val="en-GB"/>
        </w:rPr>
        <w:t xml:space="preserve"> centile</w:t>
      </w:r>
      <w:r w:rsidR="00087E59">
        <w:rPr>
          <w:sz w:val="24"/>
          <w:lang w:val="en-GB"/>
        </w:rPr>
        <w:t xml:space="preserve"> were reviewed and </w:t>
      </w:r>
      <w:r w:rsidR="00087E59" w:rsidRPr="00DE4F77">
        <w:rPr>
          <w:sz w:val="24"/>
          <w:lang w:val="en-GB"/>
        </w:rPr>
        <w:t xml:space="preserve">adjudicated as described previously </w:t>
      </w:r>
      <w:r w:rsidR="0037155C" w:rsidRPr="00B57A5B">
        <w:rPr>
          <w:sz w:val="24"/>
          <w:lang w:val="en-GB"/>
        </w:rPr>
        <w:t>(</w:t>
      </w:r>
      <w:r w:rsidR="0057356B" w:rsidRPr="0057356B">
        <w:rPr>
          <w:b/>
          <w:bCs/>
          <w:i/>
          <w:iCs/>
          <w:sz w:val="24"/>
          <w:lang w:val="en-GB"/>
        </w:rPr>
        <w:t>Supplement</w:t>
      </w:r>
      <w:r w:rsidR="00F61103">
        <w:rPr>
          <w:b/>
          <w:bCs/>
          <w:i/>
          <w:iCs/>
          <w:sz w:val="24"/>
          <w:lang w:val="en-GB"/>
        </w:rPr>
        <w:t>al Material</w:t>
      </w:r>
      <w:r w:rsidR="0037155C" w:rsidRPr="00B57A5B">
        <w:rPr>
          <w:sz w:val="24"/>
          <w:lang w:val="en-GB"/>
        </w:rPr>
        <w:t>)</w:t>
      </w:r>
      <w:r w:rsidR="00087E59" w:rsidRPr="00DE4F77">
        <w:rPr>
          <w:sz w:val="24"/>
          <w:lang w:val="en-GB"/>
        </w:rPr>
        <w:t>.</w:t>
      </w:r>
      <w:r w:rsidR="00C72FD3" w:rsidRPr="00804CFA">
        <w:rPr>
          <w:sz w:val="24"/>
          <w:vertAlign w:val="superscript"/>
          <w:lang w:val="en-GB"/>
        </w:rPr>
        <w:t>1</w:t>
      </w:r>
      <w:r w:rsidR="005E6A04">
        <w:rPr>
          <w:sz w:val="24"/>
          <w:vertAlign w:val="superscript"/>
          <w:lang w:val="en-GB"/>
        </w:rPr>
        <w:t>7</w:t>
      </w:r>
      <w:r w:rsidR="00C72FD3" w:rsidRPr="00804CFA">
        <w:rPr>
          <w:sz w:val="24"/>
          <w:vertAlign w:val="superscript"/>
          <w:lang w:val="en-GB"/>
        </w:rPr>
        <w:t>,2</w:t>
      </w:r>
      <w:r w:rsidR="005E6A04">
        <w:rPr>
          <w:sz w:val="24"/>
          <w:vertAlign w:val="superscript"/>
          <w:lang w:val="en-GB"/>
        </w:rPr>
        <w:t>5-</w:t>
      </w:r>
      <w:r w:rsidR="00C72FD3" w:rsidRPr="00804CFA">
        <w:rPr>
          <w:sz w:val="24"/>
          <w:vertAlign w:val="superscript"/>
          <w:lang w:val="en-GB"/>
        </w:rPr>
        <w:t>2</w:t>
      </w:r>
      <w:r w:rsidR="005E6A04">
        <w:rPr>
          <w:sz w:val="24"/>
          <w:vertAlign w:val="superscript"/>
          <w:lang w:val="en-GB"/>
        </w:rPr>
        <w:t>6</w:t>
      </w:r>
      <w:r w:rsidR="00C72FD3">
        <w:rPr>
          <w:sz w:val="24"/>
          <w:lang w:val="en-GB"/>
        </w:rPr>
        <w:t xml:space="preserve"> </w:t>
      </w:r>
      <w:r w:rsidR="00087E59" w:rsidRPr="00DE4F77">
        <w:rPr>
          <w:sz w:val="24"/>
          <w:lang w:val="en-GB"/>
        </w:rPr>
        <w:t xml:space="preserve"> </w:t>
      </w:r>
    </w:p>
    <w:p w14:paraId="674B6285" w14:textId="77777777" w:rsidR="00087E59" w:rsidRDefault="00087E59" w:rsidP="0057356B">
      <w:pPr>
        <w:pStyle w:val="BodyText2"/>
        <w:numPr>
          <w:ilvl w:val="12"/>
          <w:numId w:val="0"/>
        </w:numPr>
        <w:rPr>
          <w:sz w:val="24"/>
          <w:lang w:val="en-US"/>
        </w:rPr>
      </w:pPr>
    </w:p>
    <w:p w14:paraId="520F6ED1" w14:textId="3B6D6A35" w:rsidR="006F6E1D" w:rsidRPr="00FA6A8C" w:rsidRDefault="001D6B4C" w:rsidP="0057356B">
      <w:pPr>
        <w:pStyle w:val="BodyText2"/>
        <w:numPr>
          <w:ilvl w:val="12"/>
          <w:numId w:val="0"/>
        </w:numPr>
        <w:rPr>
          <w:sz w:val="24"/>
          <w:lang w:val="en-US"/>
        </w:rPr>
      </w:pPr>
      <w:r w:rsidRPr="00FA6A8C">
        <w:rPr>
          <w:sz w:val="24"/>
          <w:lang w:val="en-US"/>
        </w:rPr>
        <w:t xml:space="preserve">The secondary efficacy outcome </w:t>
      </w:r>
      <w:r w:rsidR="00875257">
        <w:rPr>
          <w:sz w:val="24"/>
          <w:lang w:val="en-US"/>
        </w:rPr>
        <w:t xml:space="preserve">measure </w:t>
      </w:r>
      <w:r w:rsidRPr="00FA6A8C">
        <w:rPr>
          <w:sz w:val="24"/>
          <w:lang w:val="en-US"/>
        </w:rPr>
        <w:t xml:space="preserve">was the proportion of patients discharged from the Emergency Department. </w:t>
      </w:r>
      <w:r w:rsidR="00202919">
        <w:rPr>
          <w:sz w:val="24"/>
          <w:lang w:val="en-US"/>
        </w:rPr>
        <w:t xml:space="preserve">Other </w:t>
      </w:r>
      <w:r w:rsidR="00322610">
        <w:rPr>
          <w:sz w:val="24"/>
          <w:lang w:val="en-GB"/>
        </w:rPr>
        <w:t xml:space="preserve">safety </w:t>
      </w:r>
      <w:r w:rsidR="00FA6A8C">
        <w:rPr>
          <w:sz w:val="24"/>
          <w:lang w:val="en-GB"/>
        </w:rPr>
        <w:t>outcome</w:t>
      </w:r>
      <w:r w:rsidR="00875257">
        <w:rPr>
          <w:sz w:val="24"/>
          <w:lang w:val="en-GB"/>
        </w:rPr>
        <w:t xml:space="preserve"> measures</w:t>
      </w:r>
      <w:r w:rsidR="00322610">
        <w:rPr>
          <w:sz w:val="24"/>
          <w:lang w:val="en-GB"/>
        </w:rPr>
        <w:t xml:space="preserve"> </w:t>
      </w:r>
      <w:r>
        <w:rPr>
          <w:sz w:val="24"/>
          <w:lang w:val="en-GB"/>
        </w:rPr>
        <w:t xml:space="preserve">included </w:t>
      </w:r>
      <w:r w:rsidR="00322610" w:rsidRPr="00DE4F77">
        <w:rPr>
          <w:sz w:val="24"/>
          <w:lang w:val="en-GB"/>
        </w:rPr>
        <w:t xml:space="preserve">myocardial infarction, </w:t>
      </w:r>
      <w:r w:rsidR="00322610">
        <w:rPr>
          <w:sz w:val="24"/>
          <w:lang w:val="en-GB"/>
        </w:rPr>
        <w:t xml:space="preserve">cardiac death, cardiovascular death, </w:t>
      </w:r>
      <w:r w:rsidR="00322610" w:rsidRPr="00DE4F77">
        <w:rPr>
          <w:sz w:val="24"/>
          <w:lang w:val="en-GB"/>
        </w:rPr>
        <w:t xml:space="preserve">all-cause death, </w:t>
      </w:r>
      <w:r w:rsidR="00322610" w:rsidRPr="00FA6A8C">
        <w:rPr>
          <w:sz w:val="24"/>
          <w:lang w:val="en-GB"/>
        </w:rPr>
        <w:t xml:space="preserve">unplanned coronary </w:t>
      </w:r>
      <w:r w:rsidR="00742F47">
        <w:rPr>
          <w:sz w:val="24"/>
          <w:lang w:val="en-GB"/>
        </w:rPr>
        <w:t>revasculari</w:t>
      </w:r>
      <w:r w:rsidR="00F55AB2">
        <w:rPr>
          <w:sz w:val="24"/>
          <w:lang w:val="en-GB"/>
        </w:rPr>
        <w:t>s</w:t>
      </w:r>
      <w:r w:rsidR="00742F47">
        <w:rPr>
          <w:sz w:val="24"/>
          <w:lang w:val="en-GB"/>
        </w:rPr>
        <w:t>ation</w:t>
      </w:r>
      <w:r w:rsidR="00322610" w:rsidRPr="00FA6A8C">
        <w:rPr>
          <w:sz w:val="24"/>
          <w:lang w:val="en-GB"/>
        </w:rPr>
        <w:t xml:space="preserve"> and </w:t>
      </w:r>
      <w:r w:rsidR="002F2B2D">
        <w:rPr>
          <w:sz w:val="24"/>
          <w:lang w:val="en-GB"/>
        </w:rPr>
        <w:t>reattendances</w:t>
      </w:r>
      <w:r w:rsidR="002F2B2D" w:rsidRPr="00FA6A8C">
        <w:rPr>
          <w:sz w:val="24"/>
          <w:lang w:val="en-GB"/>
        </w:rPr>
        <w:t xml:space="preserve"> </w:t>
      </w:r>
      <w:r w:rsidR="00322610" w:rsidRPr="00FA6A8C">
        <w:rPr>
          <w:sz w:val="24"/>
          <w:lang w:val="en-GB"/>
        </w:rPr>
        <w:t>for any reason</w:t>
      </w:r>
      <w:r w:rsidR="001E36E7">
        <w:rPr>
          <w:sz w:val="24"/>
          <w:lang w:val="en-GB"/>
        </w:rPr>
        <w:t xml:space="preserve"> after discharge at </w:t>
      </w:r>
      <w:r w:rsidR="000A528D">
        <w:rPr>
          <w:sz w:val="24"/>
          <w:lang w:val="en-GB"/>
        </w:rPr>
        <w:t xml:space="preserve">1 </w:t>
      </w:r>
      <w:r w:rsidR="001E36E7">
        <w:rPr>
          <w:sz w:val="24"/>
          <w:lang w:val="en-GB"/>
        </w:rPr>
        <w:t>year</w:t>
      </w:r>
      <w:r w:rsidR="00322610" w:rsidRPr="00FA6A8C">
        <w:rPr>
          <w:sz w:val="24"/>
          <w:lang w:val="en-GB"/>
        </w:rPr>
        <w:t xml:space="preserve">. </w:t>
      </w:r>
      <w:r w:rsidR="00BF4F33">
        <w:rPr>
          <w:sz w:val="24"/>
          <w:lang w:val="en-GB"/>
        </w:rPr>
        <w:t>A</w:t>
      </w:r>
      <w:r w:rsidR="00303E7C" w:rsidRPr="00FA6A8C">
        <w:rPr>
          <w:sz w:val="24"/>
        </w:rPr>
        <w:t>dherence</w:t>
      </w:r>
      <w:r w:rsidR="006F6E1D" w:rsidRPr="00FA6A8C">
        <w:rPr>
          <w:sz w:val="24"/>
        </w:rPr>
        <w:t xml:space="preserve"> was evaluated for three </w:t>
      </w:r>
      <w:r w:rsidR="0003027B">
        <w:rPr>
          <w:sz w:val="24"/>
          <w:lang w:val="en-GB"/>
        </w:rPr>
        <w:t>prespecified</w:t>
      </w:r>
      <w:r w:rsidR="00526C98">
        <w:rPr>
          <w:sz w:val="24"/>
          <w:lang w:val="en-GB"/>
        </w:rPr>
        <w:t xml:space="preserve"> components</w:t>
      </w:r>
      <w:r w:rsidR="006F6E1D" w:rsidRPr="00FA6A8C">
        <w:rPr>
          <w:sz w:val="24"/>
        </w:rPr>
        <w:t xml:space="preserve"> of the early rule-out pathway</w:t>
      </w:r>
      <w:r w:rsidR="009D19ED">
        <w:rPr>
          <w:sz w:val="24"/>
          <w:lang w:val="en-GB"/>
        </w:rPr>
        <w:t xml:space="preserve"> </w:t>
      </w:r>
      <w:r w:rsidR="009D19ED" w:rsidRPr="00B57A5B">
        <w:rPr>
          <w:sz w:val="24"/>
          <w:lang w:val="en-GB"/>
        </w:rPr>
        <w:t>(</w:t>
      </w:r>
      <w:r w:rsidR="0057356B" w:rsidRPr="0057356B">
        <w:rPr>
          <w:b/>
          <w:bCs/>
          <w:i/>
          <w:iCs/>
          <w:sz w:val="24"/>
          <w:lang w:val="en-GB"/>
        </w:rPr>
        <w:t>Supplement</w:t>
      </w:r>
      <w:r w:rsidR="00F61103">
        <w:rPr>
          <w:b/>
          <w:bCs/>
          <w:i/>
          <w:iCs/>
          <w:sz w:val="24"/>
          <w:lang w:val="en-GB"/>
        </w:rPr>
        <w:t>al Material</w:t>
      </w:r>
      <w:r w:rsidR="009D19ED" w:rsidRPr="00B57A5B">
        <w:rPr>
          <w:sz w:val="24"/>
          <w:lang w:val="en-GB"/>
        </w:rPr>
        <w:t>)</w:t>
      </w:r>
      <w:r w:rsidR="006F6E1D" w:rsidRPr="00FA6A8C">
        <w:rPr>
          <w:sz w:val="24"/>
        </w:rPr>
        <w:t>.</w:t>
      </w:r>
    </w:p>
    <w:p w14:paraId="351B3459" w14:textId="77777777" w:rsidR="006F6E1D" w:rsidRPr="00DE4F77" w:rsidRDefault="006F6E1D" w:rsidP="0057356B">
      <w:pPr>
        <w:spacing w:line="480" w:lineRule="auto"/>
        <w:outlineLvl w:val="0"/>
        <w:rPr>
          <w:b/>
          <w:color w:val="040404"/>
        </w:rPr>
      </w:pPr>
    </w:p>
    <w:p w14:paraId="6FB40DCD" w14:textId="77777777" w:rsidR="00700CDA" w:rsidRPr="00DE4F77" w:rsidRDefault="00700CDA" w:rsidP="0057356B">
      <w:pPr>
        <w:spacing w:line="480" w:lineRule="auto"/>
        <w:outlineLvl w:val="0"/>
        <w:rPr>
          <w:b/>
          <w:color w:val="040404"/>
        </w:rPr>
      </w:pPr>
      <w:r w:rsidRPr="00DE4F77">
        <w:rPr>
          <w:b/>
          <w:color w:val="040404"/>
        </w:rPr>
        <w:lastRenderedPageBreak/>
        <w:t xml:space="preserve">Statistical </w:t>
      </w:r>
      <w:r w:rsidR="001A3296" w:rsidRPr="00DE4F77">
        <w:rPr>
          <w:b/>
          <w:color w:val="040404"/>
        </w:rPr>
        <w:t>A</w:t>
      </w:r>
      <w:r w:rsidRPr="00DE4F77">
        <w:rPr>
          <w:b/>
          <w:color w:val="040404"/>
        </w:rPr>
        <w:t>nalysis</w:t>
      </w:r>
    </w:p>
    <w:p w14:paraId="698258A6" w14:textId="5C6D320E" w:rsidR="000E4310" w:rsidRDefault="0063178A" w:rsidP="0057356B">
      <w:pPr>
        <w:spacing w:line="480" w:lineRule="auto"/>
        <w:rPr>
          <w:color w:val="040404"/>
        </w:rPr>
      </w:pPr>
      <w:r>
        <w:rPr>
          <w:color w:val="040404"/>
        </w:rPr>
        <w:t xml:space="preserve">The primary efficacy outcome was </w:t>
      </w:r>
      <w:r w:rsidR="00761A00">
        <w:rPr>
          <w:color w:val="040404"/>
        </w:rPr>
        <w:t>analy</w:t>
      </w:r>
      <w:r w:rsidR="00F55AB2">
        <w:rPr>
          <w:color w:val="040404"/>
        </w:rPr>
        <w:t>s</w:t>
      </w:r>
      <w:r w:rsidR="00761A00">
        <w:rPr>
          <w:color w:val="040404"/>
        </w:rPr>
        <w:t xml:space="preserve">ed </w:t>
      </w:r>
      <w:r w:rsidR="007969FA" w:rsidRPr="00A534D5">
        <w:rPr>
          <w:color w:val="040404"/>
        </w:rPr>
        <w:t xml:space="preserve">using a </w:t>
      </w:r>
      <w:r w:rsidR="00F36E43" w:rsidRPr="00F36E43">
        <w:rPr>
          <w:color w:val="040404"/>
        </w:rPr>
        <w:t>linear mixed-effects regression model, adjusting for hospital site</w:t>
      </w:r>
      <w:r w:rsidR="00EA66C0">
        <w:rPr>
          <w:color w:val="040404"/>
        </w:rPr>
        <w:t xml:space="preserve"> (random effect)</w:t>
      </w:r>
      <w:r w:rsidR="00F36E43" w:rsidRPr="00F36E43">
        <w:rPr>
          <w:color w:val="040404"/>
        </w:rPr>
        <w:t xml:space="preserve">, season, time of presentation since start of study, and an indicator variable for whether the </w:t>
      </w:r>
      <w:r w:rsidR="00F36E43">
        <w:rPr>
          <w:color w:val="040404"/>
        </w:rPr>
        <w:t>early rule-out</w:t>
      </w:r>
      <w:r w:rsidR="00F36E43" w:rsidRPr="00F36E43">
        <w:rPr>
          <w:color w:val="040404"/>
        </w:rPr>
        <w:t xml:space="preserve"> pathway </w:t>
      </w:r>
      <w:r w:rsidR="00F36E43">
        <w:rPr>
          <w:color w:val="040404"/>
        </w:rPr>
        <w:t>had</w:t>
      </w:r>
      <w:r w:rsidR="00F36E43" w:rsidRPr="00F36E43">
        <w:rPr>
          <w:color w:val="040404"/>
        </w:rPr>
        <w:t xml:space="preserve"> been implemented.</w:t>
      </w:r>
      <w:r w:rsidR="00F36E43">
        <w:rPr>
          <w:color w:val="040404"/>
        </w:rPr>
        <w:t xml:space="preserve"> </w:t>
      </w:r>
      <w:r>
        <w:rPr>
          <w:color w:val="040404"/>
        </w:rPr>
        <w:t xml:space="preserve">The primary safety outcome was analysed using a </w:t>
      </w:r>
      <w:r w:rsidRPr="0063178A">
        <w:rPr>
          <w:color w:val="040404"/>
        </w:rPr>
        <w:t>logistic</w:t>
      </w:r>
      <w:r>
        <w:rPr>
          <w:color w:val="040404"/>
        </w:rPr>
        <w:t xml:space="preserve"> mixed-effects regression model adjusting for the same covariates.</w:t>
      </w:r>
      <w:r w:rsidRPr="0063178A">
        <w:rPr>
          <w:color w:val="040404"/>
        </w:rPr>
        <w:t xml:space="preserve"> </w:t>
      </w:r>
      <w:r>
        <w:rPr>
          <w:color w:val="040404"/>
        </w:rPr>
        <w:t>For the primary efficacy analysis, l</w:t>
      </w:r>
      <w:r w:rsidR="009A1AFC" w:rsidRPr="009A1AFC">
        <w:rPr>
          <w:color w:val="040404"/>
        </w:rPr>
        <w:t xml:space="preserve">ength of stay </w:t>
      </w:r>
      <w:r w:rsidR="009A1AFC">
        <w:rPr>
          <w:color w:val="040404"/>
        </w:rPr>
        <w:t>was</w:t>
      </w:r>
      <w:r w:rsidR="009A1AFC" w:rsidRPr="009A1AFC">
        <w:rPr>
          <w:color w:val="040404"/>
        </w:rPr>
        <w:t xml:space="preserve"> log-transformed </w:t>
      </w:r>
      <w:r w:rsidR="00EA66C0">
        <w:rPr>
          <w:color w:val="040404"/>
        </w:rPr>
        <w:t xml:space="preserve">prior to analysis </w:t>
      </w:r>
      <w:r w:rsidR="009A1AFC">
        <w:rPr>
          <w:color w:val="040404"/>
        </w:rPr>
        <w:t>and</w:t>
      </w:r>
      <w:r w:rsidR="009A1AFC" w:rsidRPr="009A1AFC">
        <w:rPr>
          <w:color w:val="040404"/>
        </w:rPr>
        <w:t xml:space="preserve"> </w:t>
      </w:r>
      <w:r w:rsidR="00EA66C0">
        <w:rPr>
          <w:color w:val="040404"/>
        </w:rPr>
        <w:t xml:space="preserve">results </w:t>
      </w:r>
      <w:r w:rsidR="009A1AFC" w:rsidRPr="009A1AFC">
        <w:rPr>
          <w:color w:val="040404"/>
        </w:rPr>
        <w:t xml:space="preserve">expressed as </w:t>
      </w:r>
      <w:r w:rsidR="009A1AFC">
        <w:rPr>
          <w:color w:val="040404"/>
        </w:rPr>
        <w:t xml:space="preserve">a </w:t>
      </w:r>
      <w:r w:rsidR="009A1AFC" w:rsidRPr="009A1AFC">
        <w:rPr>
          <w:color w:val="040404"/>
        </w:rPr>
        <w:t xml:space="preserve">geometric mean </w:t>
      </w:r>
      <w:r w:rsidR="0086754F">
        <w:rPr>
          <w:color w:val="040404"/>
        </w:rPr>
        <w:t>ratio</w:t>
      </w:r>
      <w:r w:rsidR="009A1AFC" w:rsidRPr="009A1AFC">
        <w:rPr>
          <w:color w:val="040404"/>
        </w:rPr>
        <w:t>.</w:t>
      </w:r>
      <w:r w:rsidR="0086754F">
        <w:rPr>
          <w:color w:val="040404"/>
        </w:rPr>
        <w:t xml:space="preserve"> </w:t>
      </w:r>
      <w:r w:rsidR="0086754F" w:rsidRPr="0086754F">
        <w:rPr>
          <w:color w:val="040404"/>
        </w:rPr>
        <w:t xml:space="preserve">If the </w:t>
      </w:r>
      <w:r w:rsidR="00FC6B1F">
        <w:rPr>
          <w:color w:val="040404"/>
        </w:rPr>
        <w:t xml:space="preserve">analysis of the </w:t>
      </w:r>
      <w:r w:rsidR="0086754F" w:rsidRPr="0086754F">
        <w:rPr>
          <w:color w:val="040404"/>
        </w:rPr>
        <w:t xml:space="preserve">primary efficacy outcome </w:t>
      </w:r>
      <w:r w:rsidR="0086754F">
        <w:rPr>
          <w:color w:val="040404"/>
        </w:rPr>
        <w:t xml:space="preserve">was </w:t>
      </w:r>
      <w:r w:rsidR="0086754F" w:rsidRPr="0086754F">
        <w:rPr>
          <w:color w:val="040404"/>
        </w:rPr>
        <w:t xml:space="preserve">significant at the 5% level, then we </w:t>
      </w:r>
      <w:r w:rsidR="0086754F">
        <w:rPr>
          <w:color w:val="040404"/>
        </w:rPr>
        <w:t>planned to</w:t>
      </w:r>
      <w:r w:rsidR="0086754F" w:rsidRPr="0086754F">
        <w:rPr>
          <w:color w:val="040404"/>
        </w:rPr>
        <w:t xml:space="preserve"> perform a non-inferiority analysis o</w:t>
      </w:r>
      <w:r w:rsidR="0086754F">
        <w:rPr>
          <w:color w:val="040404"/>
        </w:rPr>
        <w:t>f</w:t>
      </w:r>
      <w:r w:rsidR="0086754F" w:rsidRPr="0086754F">
        <w:rPr>
          <w:color w:val="040404"/>
        </w:rPr>
        <w:t xml:space="preserve"> the primary safety outcome</w:t>
      </w:r>
      <w:r w:rsidR="00FC6B1F">
        <w:rPr>
          <w:color w:val="040404"/>
        </w:rPr>
        <w:t xml:space="preserve"> reporting </w:t>
      </w:r>
      <w:r w:rsidR="0043500D">
        <w:rPr>
          <w:color w:val="040404"/>
        </w:rPr>
        <w:t xml:space="preserve">a </w:t>
      </w:r>
      <w:r w:rsidR="00945A99">
        <w:rPr>
          <w:color w:val="040404"/>
        </w:rPr>
        <w:t xml:space="preserve">risk difference </w:t>
      </w:r>
      <w:r w:rsidR="009302A2">
        <w:rPr>
          <w:color w:val="040404"/>
        </w:rPr>
        <w:t>(intervention</w:t>
      </w:r>
      <w:r w:rsidR="00EA79C9">
        <w:rPr>
          <w:color w:val="040404"/>
        </w:rPr>
        <w:t>–</w:t>
      </w:r>
      <w:r w:rsidR="009302A2">
        <w:rPr>
          <w:color w:val="040404"/>
        </w:rPr>
        <w:t xml:space="preserve">standard care) </w:t>
      </w:r>
      <w:r w:rsidR="00945A99">
        <w:rPr>
          <w:color w:val="040404"/>
        </w:rPr>
        <w:t xml:space="preserve">and </w:t>
      </w:r>
      <w:r w:rsidR="0086754F" w:rsidRPr="0086754F">
        <w:rPr>
          <w:color w:val="040404"/>
        </w:rPr>
        <w:t xml:space="preserve">one-sided 95% confidence interval. If the upper limit of the one-sided 95% confidence interval </w:t>
      </w:r>
      <w:r w:rsidR="00875257">
        <w:rPr>
          <w:color w:val="040404"/>
        </w:rPr>
        <w:t>was</w:t>
      </w:r>
      <w:r w:rsidR="0086754F" w:rsidRPr="0086754F">
        <w:rPr>
          <w:color w:val="040404"/>
        </w:rPr>
        <w:t xml:space="preserve"> below </w:t>
      </w:r>
      <w:r w:rsidR="00875257">
        <w:rPr>
          <w:color w:val="040404"/>
        </w:rPr>
        <w:t>a</w:t>
      </w:r>
      <w:r w:rsidR="0086754F" w:rsidRPr="0086754F">
        <w:rPr>
          <w:color w:val="040404"/>
        </w:rPr>
        <w:t xml:space="preserve"> 0</w:t>
      </w:r>
      <w:r w:rsidR="0057356B">
        <w:rPr>
          <w:color w:val="040404"/>
        </w:rPr>
        <w:t>.</w:t>
      </w:r>
      <w:r w:rsidR="0086754F" w:rsidRPr="0086754F">
        <w:rPr>
          <w:color w:val="040404"/>
        </w:rPr>
        <w:t xml:space="preserve">5% non-inferiority </w:t>
      </w:r>
      <w:r w:rsidR="00303E7C" w:rsidRPr="0086754F">
        <w:rPr>
          <w:color w:val="040404"/>
        </w:rPr>
        <w:t>margin,</w:t>
      </w:r>
      <w:r w:rsidR="0086754F" w:rsidRPr="0086754F">
        <w:rPr>
          <w:color w:val="040404"/>
        </w:rPr>
        <w:t xml:space="preserve"> then non-inferiority </w:t>
      </w:r>
      <w:r w:rsidR="00761A00">
        <w:rPr>
          <w:color w:val="040404"/>
        </w:rPr>
        <w:t xml:space="preserve">was </w:t>
      </w:r>
      <w:r w:rsidR="0086754F" w:rsidRPr="0086754F">
        <w:rPr>
          <w:color w:val="040404"/>
        </w:rPr>
        <w:t>established</w:t>
      </w:r>
      <w:r w:rsidR="0037155C">
        <w:rPr>
          <w:color w:val="040404"/>
        </w:rPr>
        <w:t xml:space="preserve">, and if it was </w:t>
      </w:r>
      <w:r w:rsidR="0086754F" w:rsidRPr="0086754F">
        <w:rPr>
          <w:color w:val="040404"/>
        </w:rPr>
        <w:t xml:space="preserve">below 0% then superiority </w:t>
      </w:r>
      <w:r w:rsidR="0037155C">
        <w:rPr>
          <w:color w:val="040404"/>
        </w:rPr>
        <w:t>was</w:t>
      </w:r>
      <w:r w:rsidR="0086754F" w:rsidRPr="0086754F">
        <w:rPr>
          <w:color w:val="040404"/>
        </w:rPr>
        <w:t xml:space="preserve"> </w:t>
      </w:r>
      <w:r w:rsidR="00FC6B1F">
        <w:rPr>
          <w:color w:val="040404"/>
        </w:rPr>
        <w:t>established</w:t>
      </w:r>
      <w:r w:rsidR="0086754F" w:rsidRPr="0086754F">
        <w:rPr>
          <w:color w:val="040404"/>
        </w:rPr>
        <w:t>.</w:t>
      </w:r>
      <w:r w:rsidR="00FC6B1F">
        <w:rPr>
          <w:color w:val="040404"/>
        </w:rPr>
        <w:t xml:space="preserve"> </w:t>
      </w:r>
      <w:r w:rsidR="0043500D">
        <w:rPr>
          <w:color w:val="040404"/>
        </w:rPr>
        <w:t xml:space="preserve">A </w:t>
      </w:r>
      <w:r w:rsidR="00FC6B1F" w:rsidRPr="00FC6B1F">
        <w:rPr>
          <w:color w:val="040404"/>
        </w:rPr>
        <w:t>sensitivity analysis compar</w:t>
      </w:r>
      <w:r w:rsidR="0043500D">
        <w:rPr>
          <w:color w:val="040404"/>
        </w:rPr>
        <w:t>ed</w:t>
      </w:r>
      <w:r w:rsidR="00FC6B1F" w:rsidRPr="00FC6B1F">
        <w:rPr>
          <w:color w:val="040404"/>
        </w:rPr>
        <w:t xml:space="preserve"> </w:t>
      </w:r>
      <w:r w:rsidR="006E1CBA">
        <w:rPr>
          <w:color w:val="040404"/>
        </w:rPr>
        <w:t xml:space="preserve">outcomes during </w:t>
      </w:r>
      <w:r w:rsidR="0043500D">
        <w:rPr>
          <w:color w:val="040404"/>
        </w:rPr>
        <w:t>the</w:t>
      </w:r>
      <w:r w:rsidR="006E1CBA">
        <w:rPr>
          <w:color w:val="040404"/>
        </w:rPr>
        <w:t xml:space="preserve"> </w:t>
      </w:r>
      <w:r w:rsidR="00303E7C">
        <w:rPr>
          <w:color w:val="040404"/>
        </w:rPr>
        <w:t>calendar</w:t>
      </w:r>
      <w:r w:rsidR="00FC6B1F">
        <w:rPr>
          <w:color w:val="040404"/>
        </w:rPr>
        <w:t xml:space="preserve"> matched </w:t>
      </w:r>
      <w:r w:rsidR="0057567D">
        <w:rPr>
          <w:color w:val="040404"/>
        </w:rPr>
        <w:t xml:space="preserve">period </w:t>
      </w:r>
      <w:r w:rsidR="006E1CBA">
        <w:rPr>
          <w:color w:val="040404"/>
        </w:rPr>
        <w:t>in</w:t>
      </w:r>
      <w:r w:rsidR="0057567D">
        <w:rPr>
          <w:color w:val="040404"/>
        </w:rPr>
        <w:t xml:space="preserve"> the </w:t>
      </w:r>
      <w:r w:rsidR="00FC6B1F" w:rsidRPr="00FC6B1F">
        <w:rPr>
          <w:color w:val="040404"/>
        </w:rPr>
        <w:t xml:space="preserve">validation and implementation phases </w:t>
      </w:r>
      <w:r w:rsidR="00FC6B1F">
        <w:rPr>
          <w:color w:val="040404"/>
        </w:rPr>
        <w:t>using the same</w:t>
      </w:r>
      <w:r w:rsidR="00FC6B1F" w:rsidRPr="00FC6B1F">
        <w:rPr>
          <w:color w:val="040404"/>
        </w:rPr>
        <w:t xml:space="preserve"> regression </w:t>
      </w:r>
      <w:r w:rsidR="00FC6B1F">
        <w:rPr>
          <w:color w:val="040404"/>
        </w:rPr>
        <w:t>model</w:t>
      </w:r>
      <w:r w:rsidR="005F315D">
        <w:rPr>
          <w:color w:val="040404"/>
        </w:rPr>
        <w:t xml:space="preserve"> as for the primary analysis</w:t>
      </w:r>
      <w:r w:rsidR="00FC6B1F" w:rsidRPr="00FC6B1F">
        <w:rPr>
          <w:color w:val="040404"/>
        </w:rPr>
        <w:t xml:space="preserve">, but without adjustment for time or season. </w:t>
      </w:r>
      <w:r w:rsidR="0043500D">
        <w:rPr>
          <w:color w:val="040404"/>
        </w:rPr>
        <w:t xml:space="preserve">A number of other sensitivity analyses were performed </w:t>
      </w:r>
      <w:r w:rsidR="0043500D" w:rsidRPr="00B57A5B">
        <w:rPr>
          <w:color w:val="040404"/>
        </w:rPr>
        <w:t>(</w:t>
      </w:r>
      <w:r w:rsidR="00F61103">
        <w:rPr>
          <w:b/>
          <w:bCs/>
          <w:i/>
          <w:iCs/>
        </w:rPr>
        <w:t>Supplemental Material</w:t>
      </w:r>
      <w:r w:rsidR="0043500D" w:rsidRPr="00B57A5B">
        <w:rPr>
          <w:color w:val="040404"/>
        </w:rPr>
        <w:t>)</w:t>
      </w:r>
      <w:r w:rsidR="003F6C00">
        <w:rPr>
          <w:color w:val="040404"/>
        </w:rPr>
        <w:t>.</w:t>
      </w:r>
      <w:r w:rsidR="0043500D">
        <w:rPr>
          <w:color w:val="040404"/>
        </w:rPr>
        <w:t xml:space="preserve"> </w:t>
      </w:r>
    </w:p>
    <w:p w14:paraId="2A2DFEC1" w14:textId="4192F58D" w:rsidR="003A43D8" w:rsidRDefault="003A43D8" w:rsidP="0057356B">
      <w:pPr>
        <w:spacing w:line="480" w:lineRule="auto"/>
        <w:rPr>
          <w:color w:val="040404"/>
        </w:rPr>
      </w:pPr>
    </w:p>
    <w:p w14:paraId="13AD10DF" w14:textId="189FBCCE" w:rsidR="003A43D8" w:rsidRPr="00DE4F77" w:rsidRDefault="003A43D8" w:rsidP="003A43D8">
      <w:pPr>
        <w:spacing w:line="480" w:lineRule="auto"/>
        <w:outlineLvl w:val="0"/>
        <w:rPr>
          <w:b/>
          <w:color w:val="040404"/>
        </w:rPr>
      </w:pPr>
      <w:r>
        <w:rPr>
          <w:b/>
          <w:color w:val="040404"/>
        </w:rPr>
        <w:t>Patient and public involvement</w:t>
      </w:r>
    </w:p>
    <w:p w14:paraId="3DE2E7FB" w14:textId="41898968" w:rsidR="003A43D8" w:rsidRDefault="00744964" w:rsidP="0057356B">
      <w:pPr>
        <w:spacing w:line="480" w:lineRule="auto"/>
        <w:rPr>
          <w:color w:val="040404"/>
        </w:rPr>
      </w:pPr>
      <w:r>
        <w:rPr>
          <w:color w:val="040404"/>
        </w:rPr>
        <w:t>A patient review panel was consulted throughout the trial programme and provided input on the educational advice provided to clinicians following introduction of the new pathway. Qualitative research capturing the views and experiences of patients treated within these pathways will follow in a separate publication. Patients were not involved in the conception or design of the trial.</w:t>
      </w:r>
    </w:p>
    <w:p w14:paraId="13D1B36A" w14:textId="77777777" w:rsidR="00D343A5" w:rsidRDefault="00D343A5" w:rsidP="00D343A5">
      <w:pPr>
        <w:spacing w:line="480" w:lineRule="auto"/>
        <w:rPr>
          <w:b/>
        </w:rPr>
      </w:pPr>
    </w:p>
    <w:p w14:paraId="20C15E3F" w14:textId="77777777" w:rsidR="00D343A5" w:rsidRDefault="00D343A5">
      <w:pPr>
        <w:rPr>
          <w:b/>
        </w:rPr>
      </w:pPr>
      <w:r>
        <w:rPr>
          <w:b/>
        </w:rPr>
        <w:br w:type="page"/>
      </w:r>
    </w:p>
    <w:p w14:paraId="6342875D" w14:textId="6EDC9EB4" w:rsidR="00D343A5" w:rsidRPr="00D343A5" w:rsidRDefault="00D343A5" w:rsidP="00D343A5">
      <w:pPr>
        <w:spacing w:line="480" w:lineRule="auto"/>
        <w:rPr>
          <w:b/>
        </w:rPr>
      </w:pPr>
      <w:r w:rsidRPr="00D343A5">
        <w:rPr>
          <w:b/>
        </w:rPr>
        <w:lastRenderedPageBreak/>
        <w:t>Data Sharing</w:t>
      </w:r>
    </w:p>
    <w:p w14:paraId="0A4FDEF8" w14:textId="35BCC723" w:rsidR="00D343A5" w:rsidRDefault="00D343A5" w:rsidP="00D343A5">
      <w:pPr>
        <w:spacing w:line="480" w:lineRule="auto"/>
        <w:rPr>
          <w:b/>
          <w:sz w:val="32"/>
          <w:szCs w:val="32"/>
        </w:rPr>
      </w:pPr>
      <w:r>
        <w:rPr>
          <w:color w:val="000000"/>
          <w:lang w:val="en-US" w:eastAsia="ar-SA"/>
        </w:rPr>
        <w:t>The HiSTORIC trial</w:t>
      </w:r>
      <w:r w:rsidRPr="00CA32BB">
        <w:rPr>
          <w:color w:val="000000"/>
          <w:lang w:val="en-US" w:eastAsia="ar-SA"/>
        </w:rPr>
        <w:t xml:space="preserve"> makes use of multiple routine electronic health care data sources </w:t>
      </w:r>
      <w:r>
        <w:rPr>
          <w:color w:val="000000"/>
          <w:lang w:val="en-US" w:eastAsia="ar-SA"/>
        </w:rPr>
        <w:t>that are</w:t>
      </w:r>
      <w:r w:rsidRPr="00CA32BB">
        <w:rPr>
          <w:color w:val="000000"/>
          <w:lang w:val="en-US" w:eastAsia="ar-SA"/>
        </w:rPr>
        <w:t xml:space="preserve"> linked, deidentified and </w:t>
      </w:r>
      <w:r>
        <w:rPr>
          <w:color w:val="000000"/>
          <w:lang w:val="en-US" w:eastAsia="ar-SA"/>
        </w:rPr>
        <w:t>held in</w:t>
      </w:r>
      <w:r w:rsidRPr="00CA32BB">
        <w:rPr>
          <w:color w:val="000000"/>
          <w:lang w:val="en-US" w:eastAsia="ar-SA"/>
        </w:rPr>
        <w:t xml:space="preserve"> </w:t>
      </w:r>
      <w:r>
        <w:rPr>
          <w:color w:val="000000"/>
          <w:lang w:val="en-US" w:eastAsia="ar-SA"/>
        </w:rPr>
        <w:t>the NHS</w:t>
      </w:r>
      <w:r w:rsidRPr="00CA32BB">
        <w:rPr>
          <w:color w:val="000000"/>
          <w:lang w:val="en-US" w:eastAsia="ar-SA"/>
        </w:rPr>
        <w:t xml:space="preserve"> national safe haven, which is accessible by approved individuals who have undertaken the necessary governance training. </w:t>
      </w:r>
      <w:r>
        <w:rPr>
          <w:color w:val="000000"/>
          <w:lang w:val="en-US" w:eastAsia="ar-SA"/>
        </w:rPr>
        <w:t>S</w:t>
      </w:r>
      <w:r w:rsidRPr="00CA32BB">
        <w:rPr>
          <w:color w:val="000000"/>
          <w:lang w:val="en-US" w:eastAsia="ar-SA"/>
        </w:rPr>
        <w:t xml:space="preserve">ummary data </w:t>
      </w:r>
      <w:r>
        <w:rPr>
          <w:color w:val="000000"/>
          <w:lang w:val="en-US" w:eastAsia="ar-SA"/>
        </w:rPr>
        <w:t xml:space="preserve">can be made available upon request to the corresponding author. </w:t>
      </w:r>
    </w:p>
    <w:p w14:paraId="546935D1" w14:textId="77777777" w:rsidR="00D343A5" w:rsidRPr="006F6E1D" w:rsidRDefault="00D343A5" w:rsidP="0057356B">
      <w:pPr>
        <w:spacing w:line="480" w:lineRule="auto"/>
        <w:rPr>
          <w:color w:val="040404"/>
        </w:rPr>
      </w:pPr>
    </w:p>
    <w:p w14:paraId="55AFF11B" w14:textId="77777777" w:rsidR="00133482" w:rsidRDefault="00133482" w:rsidP="0057356B">
      <w:pPr>
        <w:spacing w:line="480" w:lineRule="auto"/>
        <w:rPr>
          <w:b/>
        </w:rPr>
      </w:pPr>
    </w:p>
    <w:p w14:paraId="488FB6CA" w14:textId="5C8D510D" w:rsidR="009D63C2" w:rsidRPr="00133482" w:rsidRDefault="009D63C2" w:rsidP="0057356B">
      <w:pPr>
        <w:spacing w:line="480" w:lineRule="auto"/>
        <w:rPr>
          <w:b/>
        </w:rPr>
      </w:pPr>
      <w:r w:rsidRPr="00133482">
        <w:rPr>
          <w:b/>
        </w:rPr>
        <w:br w:type="page"/>
      </w:r>
    </w:p>
    <w:p w14:paraId="4C643F18" w14:textId="77777777" w:rsidR="00C411E9" w:rsidRPr="00DE4F77" w:rsidRDefault="00986587" w:rsidP="0057356B">
      <w:pPr>
        <w:spacing w:line="480" w:lineRule="auto"/>
      </w:pPr>
      <w:r w:rsidRPr="00DE4F77">
        <w:rPr>
          <w:b/>
          <w:sz w:val="36"/>
          <w:szCs w:val="36"/>
        </w:rPr>
        <w:lastRenderedPageBreak/>
        <w:t>Results</w:t>
      </w:r>
    </w:p>
    <w:p w14:paraId="3CD56225" w14:textId="77777777" w:rsidR="009E0F02" w:rsidRPr="00DE4F77" w:rsidRDefault="009E0F02" w:rsidP="0057356B">
      <w:pPr>
        <w:spacing w:line="480" w:lineRule="auto"/>
        <w:rPr>
          <w:b/>
        </w:rPr>
      </w:pPr>
      <w:r w:rsidRPr="00DE4F77">
        <w:rPr>
          <w:b/>
        </w:rPr>
        <w:t xml:space="preserve">Trial Sites and </w:t>
      </w:r>
      <w:r w:rsidR="00D66DDD" w:rsidRPr="00DE4F77">
        <w:rPr>
          <w:b/>
        </w:rPr>
        <w:t>Population</w:t>
      </w:r>
    </w:p>
    <w:p w14:paraId="61230AE5" w14:textId="2602EFF6" w:rsidR="00B63328" w:rsidRPr="00DE4F77" w:rsidRDefault="00D26BAA" w:rsidP="0057356B">
      <w:pPr>
        <w:spacing w:line="480" w:lineRule="auto"/>
      </w:pPr>
      <w:r>
        <w:t>Seven</w:t>
      </w:r>
      <w:r w:rsidR="009E0F02" w:rsidRPr="00DE4F77">
        <w:t xml:space="preserve"> </w:t>
      </w:r>
      <w:r w:rsidR="002756EA">
        <w:t xml:space="preserve">acute </w:t>
      </w:r>
      <w:r w:rsidR="009E0F02" w:rsidRPr="00DE4F77">
        <w:t xml:space="preserve">hospitals </w:t>
      </w:r>
      <w:r w:rsidR="001D199A" w:rsidRPr="00DE4F77">
        <w:t xml:space="preserve">were eligible and </w:t>
      </w:r>
      <w:r w:rsidR="00F73458">
        <w:t>all</w:t>
      </w:r>
      <w:r w:rsidR="001D199A" w:rsidRPr="00DE4F77">
        <w:t xml:space="preserve"> </w:t>
      </w:r>
      <w:r w:rsidR="009E0F02" w:rsidRPr="00DE4F77">
        <w:t xml:space="preserve">participated </w:t>
      </w:r>
      <w:r w:rsidR="00866FB9" w:rsidRPr="00DE4F77">
        <w:t>(</w:t>
      </w:r>
      <w:r w:rsidR="00F61103" w:rsidRPr="00F61103">
        <w:rPr>
          <w:b/>
          <w:bCs/>
          <w:i/>
          <w:iCs/>
          <w:color w:val="000000"/>
        </w:rPr>
        <w:t>Table</w:t>
      </w:r>
      <w:r w:rsidR="00F61103" w:rsidRPr="00F61103">
        <w:rPr>
          <w:b/>
          <w:bCs/>
          <w:i/>
          <w:iCs/>
          <w:color w:val="000000"/>
        </w:rPr>
        <w:t xml:space="preserve"> I in the Supplement</w:t>
      </w:r>
      <w:r w:rsidR="00866FB9" w:rsidRPr="00DE4F77">
        <w:t>)</w:t>
      </w:r>
      <w:r w:rsidR="009E0F02" w:rsidRPr="00DE4F77">
        <w:t xml:space="preserve">. </w:t>
      </w:r>
      <w:r w:rsidR="00FC77B1" w:rsidRPr="00DE4F77">
        <w:t>Between</w:t>
      </w:r>
      <w:r w:rsidR="002D6DD5" w:rsidRPr="00DE4F77">
        <w:t xml:space="preserve"> </w:t>
      </w:r>
      <w:r>
        <w:t>December</w:t>
      </w:r>
      <w:r w:rsidR="00C411E9" w:rsidRPr="00DE4F77">
        <w:t xml:space="preserve">, </w:t>
      </w:r>
      <w:r w:rsidR="00831C7E" w:rsidRPr="00DE4F77">
        <w:t>201</w:t>
      </w:r>
      <w:r>
        <w:t>4</w:t>
      </w:r>
      <w:r w:rsidR="00997C81" w:rsidRPr="00DE4F77">
        <w:t>,</w:t>
      </w:r>
      <w:r w:rsidR="00831C7E" w:rsidRPr="00DE4F77">
        <w:t xml:space="preserve"> </w:t>
      </w:r>
      <w:r w:rsidR="00C411E9" w:rsidRPr="00DE4F77">
        <w:t>and</w:t>
      </w:r>
      <w:r w:rsidR="00831C7E" w:rsidRPr="00DE4F77">
        <w:t xml:space="preserve"> </w:t>
      </w:r>
      <w:r>
        <w:t>December</w:t>
      </w:r>
      <w:r w:rsidR="0042666E" w:rsidRPr="00DE4F77">
        <w:t>, 2016,</w:t>
      </w:r>
      <w:r w:rsidR="00831C7E" w:rsidRPr="00DE4F77">
        <w:t xml:space="preserve"> a total of </w:t>
      </w:r>
      <w:r w:rsidR="00DA168B">
        <w:t>31</w:t>
      </w:r>
      <w:r w:rsidR="00831C7E" w:rsidRPr="00DE4F77">
        <w:t>,</w:t>
      </w:r>
      <w:r w:rsidR="00DA168B">
        <w:t>492</w:t>
      </w:r>
      <w:r w:rsidR="00831C7E" w:rsidRPr="00DE4F77">
        <w:t xml:space="preserve"> consecutive patients with suspected acute coronary syndrome </w:t>
      </w:r>
      <w:r w:rsidR="00B63328" w:rsidRPr="00DE4F77">
        <w:t>(</w:t>
      </w:r>
      <w:r w:rsidR="00DA168B">
        <w:t>59</w:t>
      </w:r>
      <w:r w:rsidR="00B63328" w:rsidRPr="00DE4F77">
        <w:t>±17 years, 4</w:t>
      </w:r>
      <w:r w:rsidR="006A4FA8">
        <w:t>5</w:t>
      </w:r>
      <w:r w:rsidR="00B63328" w:rsidRPr="00DE4F77">
        <w:t xml:space="preserve">% women) </w:t>
      </w:r>
      <w:r w:rsidR="00831C7E" w:rsidRPr="00DE4F77">
        <w:t xml:space="preserve">met the inclusion </w:t>
      </w:r>
      <w:r w:rsidR="002C5E98" w:rsidRPr="00DE4F77">
        <w:t>c</w:t>
      </w:r>
      <w:r w:rsidR="00831C7E" w:rsidRPr="00DE4F77">
        <w:t>riteria (</w:t>
      </w:r>
      <w:r w:rsidR="009A6BE9" w:rsidRPr="0028680C">
        <w:rPr>
          <w:b/>
          <w:i/>
          <w:iCs/>
        </w:rPr>
        <w:t xml:space="preserve">Figure </w:t>
      </w:r>
      <w:r w:rsidR="00795D44">
        <w:rPr>
          <w:b/>
          <w:i/>
          <w:iCs/>
        </w:rPr>
        <w:t>2</w:t>
      </w:r>
      <w:r w:rsidR="00866FB9" w:rsidRPr="00DE4F77">
        <w:t xml:space="preserve">). </w:t>
      </w:r>
      <w:r w:rsidR="009A6BE9" w:rsidRPr="00DE4F77">
        <w:t xml:space="preserve">There were </w:t>
      </w:r>
      <w:r w:rsidR="009A6BE9">
        <w:t>14,700</w:t>
      </w:r>
      <w:r w:rsidR="009A6BE9" w:rsidRPr="00DE4F77">
        <w:t xml:space="preserve"> (</w:t>
      </w:r>
      <w:r w:rsidR="009A6BE9">
        <w:t>47</w:t>
      </w:r>
      <w:r w:rsidR="009A6BE9" w:rsidRPr="00DE4F77">
        <w:t xml:space="preserve">%) and </w:t>
      </w:r>
      <w:r w:rsidR="009A6BE9">
        <w:t>16,792</w:t>
      </w:r>
      <w:r w:rsidR="009A6BE9" w:rsidRPr="00DE4F77">
        <w:t xml:space="preserve"> (</w:t>
      </w:r>
      <w:r w:rsidR="009A6BE9">
        <w:t>53</w:t>
      </w:r>
      <w:r w:rsidR="009A6BE9" w:rsidRPr="00DE4F77">
        <w:t xml:space="preserve">%) patients </w:t>
      </w:r>
      <w:r w:rsidR="00E24BD9">
        <w:t>assessed</w:t>
      </w:r>
      <w:r w:rsidR="009A6BE9" w:rsidRPr="00DE4F77">
        <w:t xml:space="preserve"> </w:t>
      </w:r>
      <w:r w:rsidR="009A6BE9">
        <w:t>before and after implementation of the early rule-out pathway</w:t>
      </w:r>
      <w:r w:rsidR="000B1BB0">
        <w:t>,</w:t>
      </w:r>
      <w:r w:rsidR="009A6BE9" w:rsidRPr="00DE4F77">
        <w:t xml:space="preserve"> respectively. Clinical characteristics were similar </w:t>
      </w:r>
      <w:r w:rsidR="009A6BE9">
        <w:t>before and after implementation (</w:t>
      </w:r>
      <w:r w:rsidR="009A6BE9" w:rsidRPr="009A6BE9">
        <w:rPr>
          <w:b/>
          <w:bCs/>
          <w:i/>
          <w:iCs/>
        </w:rPr>
        <w:t>Table 1</w:t>
      </w:r>
      <w:r w:rsidR="009A6BE9">
        <w:t>) and across all three phases of the trial (</w:t>
      </w:r>
      <w:r w:rsidR="00F61103" w:rsidRPr="00F61103">
        <w:rPr>
          <w:b/>
          <w:bCs/>
          <w:i/>
          <w:iCs/>
          <w:color w:val="000000"/>
        </w:rPr>
        <w:t xml:space="preserve">Table </w:t>
      </w:r>
      <w:r w:rsidR="00F61103">
        <w:rPr>
          <w:b/>
          <w:bCs/>
          <w:i/>
          <w:iCs/>
          <w:color w:val="000000"/>
        </w:rPr>
        <w:t>I</w:t>
      </w:r>
      <w:r w:rsidR="00F61103" w:rsidRPr="00F61103">
        <w:rPr>
          <w:b/>
          <w:bCs/>
          <w:i/>
          <w:iCs/>
          <w:color w:val="000000"/>
        </w:rPr>
        <w:t>I in the Supplement</w:t>
      </w:r>
      <w:r w:rsidR="009A6BE9">
        <w:t>).</w:t>
      </w:r>
      <w:r w:rsidR="00F05906">
        <w:t xml:space="preserve"> </w:t>
      </w:r>
      <w:r w:rsidR="002D6DD5" w:rsidRPr="00DE4F77">
        <w:t xml:space="preserve">The trial concluded in </w:t>
      </w:r>
      <w:r>
        <w:t>December</w:t>
      </w:r>
      <w:r w:rsidR="000A2423" w:rsidRPr="00DE4F77">
        <w:t>,</w:t>
      </w:r>
      <w:r w:rsidR="008463C7" w:rsidRPr="00DE4F77">
        <w:t xml:space="preserve"> 2017 </w:t>
      </w:r>
      <w:r w:rsidR="00DD32C7">
        <w:t>with 1 year of follow up available in 31</w:t>
      </w:r>
      <w:r w:rsidR="00DD32C7" w:rsidRPr="00DE4F77">
        <w:t>,</w:t>
      </w:r>
      <w:r w:rsidR="00DD32C7">
        <w:t>42</w:t>
      </w:r>
      <w:r w:rsidR="00380189">
        <w:t>8</w:t>
      </w:r>
      <w:r w:rsidR="00DD32C7">
        <w:t xml:space="preserve"> (99</w:t>
      </w:r>
      <w:r w:rsidR="0057356B">
        <w:t>.</w:t>
      </w:r>
      <w:r w:rsidR="00DD32C7">
        <w:t>8%) patients</w:t>
      </w:r>
      <w:r w:rsidR="008463C7" w:rsidRPr="00DE4F77">
        <w:t>.</w:t>
      </w:r>
      <w:r w:rsidR="002463EA" w:rsidRPr="00DE4F77">
        <w:t xml:space="preserve"> </w:t>
      </w:r>
    </w:p>
    <w:p w14:paraId="1865CAC9" w14:textId="77777777" w:rsidR="00E65122" w:rsidRPr="00DE4F77" w:rsidRDefault="00E65122" w:rsidP="0057356B">
      <w:pPr>
        <w:spacing w:line="480" w:lineRule="auto"/>
      </w:pPr>
    </w:p>
    <w:p w14:paraId="14214176" w14:textId="77777777" w:rsidR="00007C2A" w:rsidRPr="00DE4F77" w:rsidRDefault="00C16731" w:rsidP="0057356B">
      <w:pPr>
        <w:spacing w:line="480" w:lineRule="auto"/>
        <w:rPr>
          <w:b/>
        </w:rPr>
      </w:pPr>
      <w:r w:rsidRPr="00DE4F77">
        <w:rPr>
          <w:b/>
        </w:rPr>
        <w:t xml:space="preserve">Primary </w:t>
      </w:r>
      <w:r w:rsidR="009A6BE9">
        <w:rPr>
          <w:b/>
        </w:rPr>
        <w:t>and Secondary Efficacy</w:t>
      </w:r>
      <w:r w:rsidRPr="00DE4F77">
        <w:rPr>
          <w:b/>
        </w:rPr>
        <w:t xml:space="preserve"> Outcome</w:t>
      </w:r>
      <w:r w:rsidR="009A6BE9">
        <w:rPr>
          <w:b/>
        </w:rPr>
        <w:t>s</w:t>
      </w:r>
    </w:p>
    <w:p w14:paraId="5AD9076F" w14:textId="0D6E4801" w:rsidR="009A6BE9" w:rsidRDefault="00162E4C" w:rsidP="0057356B">
      <w:pPr>
        <w:spacing w:line="480" w:lineRule="auto"/>
        <w:rPr>
          <w:rFonts w:cs="Arial"/>
          <w:bCs/>
          <w:lang w:val="en-US"/>
        </w:rPr>
      </w:pPr>
      <w:r>
        <w:rPr>
          <w:rFonts w:cs="Arial"/>
          <w:bCs/>
          <w:lang w:val="en-US"/>
        </w:rPr>
        <w:t>Length of stay was reduced from 10</w:t>
      </w:r>
      <w:r w:rsidR="0057356B">
        <w:rPr>
          <w:rFonts w:cs="Arial"/>
          <w:bCs/>
          <w:lang w:val="en-US"/>
        </w:rPr>
        <w:t>.</w:t>
      </w:r>
      <w:r>
        <w:rPr>
          <w:rFonts w:cs="Arial"/>
          <w:bCs/>
          <w:lang w:val="en-US"/>
        </w:rPr>
        <w:t>1±4</w:t>
      </w:r>
      <w:r w:rsidR="0057356B">
        <w:rPr>
          <w:rFonts w:cs="Arial"/>
          <w:bCs/>
          <w:lang w:val="en-US"/>
        </w:rPr>
        <w:t>.</w:t>
      </w:r>
      <w:r>
        <w:rPr>
          <w:rFonts w:cs="Arial"/>
          <w:bCs/>
          <w:lang w:val="en-US"/>
        </w:rPr>
        <w:t>1 to 6</w:t>
      </w:r>
      <w:r w:rsidR="0057356B">
        <w:rPr>
          <w:rFonts w:cs="Arial"/>
          <w:bCs/>
          <w:lang w:val="en-US"/>
        </w:rPr>
        <w:t>.</w:t>
      </w:r>
      <w:r>
        <w:rPr>
          <w:rFonts w:cs="Arial"/>
          <w:bCs/>
          <w:lang w:val="en-US"/>
        </w:rPr>
        <w:t>8±3</w:t>
      </w:r>
      <w:r w:rsidR="0057356B">
        <w:rPr>
          <w:rFonts w:cs="Arial"/>
          <w:bCs/>
          <w:lang w:val="en-US"/>
        </w:rPr>
        <w:t>.</w:t>
      </w:r>
      <w:r>
        <w:rPr>
          <w:rFonts w:cs="Arial"/>
          <w:bCs/>
          <w:lang w:val="en-US"/>
        </w:rPr>
        <w:t>9 hours (adjusted geometric mean ratio 0</w:t>
      </w:r>
      <w:r w:rsidR="0057356B">
        <w:rPr>
          <w:rFonts w:cs="Arial"/>
          <w:bCs/>
          <w:lang w:val="en-US"/>
        </w:rPr>
        <w:t>.</w:t>
      </w:r>
      <w:r>
        <w:rPr>
          <w:rFonts w:cs="Arial"/>
          <w:bCs/>
          <w:lang w:val="en-US"/>
        </w:rPr>
        <w:t>78, 95% confidence interval [CI] 0</w:t>
      </w:r>
      <w:r w:rsidR="0057356B">
        <w:rPr>
          <w:rFonts w:cs="Arial"/>
          <w:bCs/>
          <w:lang w:val="en-US"/>
        </w:rPr>
        <w:t>.</w:t>
      </w:r>
      <w:r>
        <w:rPr>
          <w:rFonts w:cs="Arial"/>
          <w:bCs/>
          <w:lang w:val="en-US"/>
        </w:rPr>
        <w:t>73 to 0</w:t>
      </w:r>
      <w:r w:rsidR="0057356B">
        <w:rPr>
          <w:rFonts w:cs="Arial"/>
          <w:bCs/>
          <w:lang w:val="en-US"/>
        </w:rPr>
        <w:t>.</w:t>
      </w:r>
      <w:r>
        <w:rPr>
          <w:rFonts w:cs="Arial"/>
          <w:bCs/>
          <w:lang w:val="en-US"/>
        </w:rPr>
        <w:t>83, P&lt;0</w:t>
      </w:r>
      <w:r w:rsidR="0057356B">
        <w:rPr>
          <w:rFonts w:cs="Arial"/>
          <w:bCs/>
          <w:lang w:val="en-US"/>
        </w:rPr>
        <w:t>.</w:t>
      </w:r>
      <w:r>
        <w:rPr>
          <w:rFonts w:cs="Arial"/>
          <w:bCs/>
          <w:lang w:val="en-US"/>
        </w:rPr>
        <w:t xml:space="preserve">001) </w:t>
      </w:r>
      <w:r w:rsidR="0003027B">
        <w:rPr>
          <w:rFonts w:cs="Arial"/>
          <w:bCs/>
          <w:lang w:val="en-US"/>
        </w:rPr>
        <w:t>following</w:t>
      </w:r>
      <w:r w:rsidR="001119D7">
        <w:rPr>
          <w:rFonts w:cs="Arial"/>
          <w:bCs/>
          <w:lang w:val="en-US"/>
        </w:rPr>
        <w:t xml:space="preserve"> implementation of the early rule-out pathway </w:t>
      </w:r>
      <w:r>
        <w:rPr>
          <w:rFonts w:cs="Arial"/>
          <w:bCs/>
          <w:lang w:val="en-US"/>
        </w:rPr>
        <w:t>(</w:t>
      </w:r>
      <w:r w:rsidR="001119D7" w:rsidRPr="001119D7">
        <w:rPr>
          <w:rFonts w:cs="Arial"/>
          <w:b/>
          <w:i/>
          <w:iCs/>
          <w:lang w:val="en-US"/>
        </w:rPr>
        <w:t>Table 2</w:t>
      </w:r>
      <w:r w:rsidR="00135B85">
        <w:rPr>
          <w:rFonts w:cs="Arial"/>
          <w:b/>
          <w:i/>
          <w:iCs/>
          <w:lang w:val="en-US"/>
        </w:rPr>
        <w:t xml:space="preserve">, Figure </w:t>
      </w:r>
      <w:r w:rsidR="00795D44">
        <w:rPr>
          <w:rFonts w:cs="Arial"/>
          <w:b/>
          <w:i/>
          <w:iCs/>
          <w:lang w:val="en-US"/>
        </w:rPr>
        <w:t>3</w:t>
      </w:r>
      <w:r w:rsidR="001119D7">
        <w:rPr>
          <w:rFonts w:cs="Arial"/>
          <w:bCs/>
          <w:lang w:val="en-US"/>
        </w:rPr>
        <w:t>). The proportion of patients discharged from the Emergency Department without hospital admission increased from 5</w:t>
      </w:r>
      <w:r w:rsidR="003F6C00">
        <w:rPr>
          <w:rFonts w:cs="Arial"/>
          <w:bCs/>
          <w:lang w:val="en-US"/>
        </w:rPr>
        <w:t>0</w:t>
      </w:r>
      <w:r w:rsidR="001119D7">
        <w:rPr>
          <w:rFonts w:cs="Arial"/>
          <w:bCs/>
          <w:lang w:val="en-US"/>
        </w:rPr>
        <w:t>% to 7</w:t>
      </w:r>
      <w:r w:rsidR="003F6C00">
        <w:rPr>
          <w:rFonts w:cs="Arial"/>
          <w:bCs/>
          <w:lang w:val="en-US"/>
        </w:rPr>
        <w:t>1</w:t>
      </w:r>
      <w:r w:rsidR="001119D7">
        <w:rPr>
          <w:rFonts w:cs="Arial"/>
          <w:bCs/>
          <w:lang w:val="en-US"/>
        </w:rPr>
        <w:t>% (</w:t>
      </w:r>
      <w:r w:rsidR="003F6C00">
        <w:rPr>
          <w:rFonts w:cs="Arial"/>
          <w:bCs/>
          <w:lang w:val="en-US"/>
        </w:rPr>
        <w:t xml:space="preserve">adjusted </w:t>
      </w:r>
      <w:r w:rsidR="00560CFD">
        <w:rPr>
          <w:rFonts w:cs="Arial"/>
          <w:bCs/>
          <w:lang w:val="en-US"/>
        </w:rPr>
        <w:t>odds</w:t>
      </w:r>
      <w:r w:rsidR="003F6C00">
        <w:rPr>
          <w:rFonts w:cs="Arial"/>
          <w:bCs/>
          <w:lang w:val="en-US"/>
        </w:rPr>
        <w:t xml:space="preserve"> ratio 1</w:t>
      </w:r>
      <w:r w:rsidR="0057356B">
        <w:rPr>
          <w:rFonts w:cs="Arial"/>
          <w:bCs/>
          <w:lang w:val="en-US"/>
        </w:rPr>
        <w:t>.</w:t>
      </w:r>
      <w:r w:rsidR="003F6C00">
        <w:rPr>
          <w:rFonts w:cs="Arial"/>
          <w:bCs/>
          <w:lang w:val="en-US"/>
        </w:rPr>
        <w:t>59, 95%</w:t>
      </w:r>
      <w:r w:rsidR="00C24BFA">
        <w:rPr>
          <w:rFonts w:cs="Arial"/>
          <w:bCs/>
          <w:lang w:val="en-US"/>
        </w:rPr>
        <w:t xml:space="preserve"> </w:t>
      </w:r>
      <w:r w:rsidR="003F6C00">
        <w:rPr>
          <w:rFonts w:cs="Arial"/>
          <w:bCs/>
          <w:lang w:val="en-US"/>
        </w:rPr>
        <w:t>CI 1</w:t>
      </w:r>
      <w:r w:rsidR="0057356B">
        <w:rPr>
          <w:rFonts w:cs="Arial"/>
          <w:bCs/>
          <w:lang w:val="en-US"/>
        </w:rPr>
        <w:t>.</w:t>
      </w:r>
      <w:r w:rsidR="003F6C00">
        <w:rPr>
          <w:rFonts w:cs="Arial"/>
          <w:bCs/>
          <w:lang w:val="en-US"/>
        </w:rPr>
        <w:t>45 to 1</w:t>
      </w:r>
      <w:r w:rsidR="0057356B">
        <w:rPr>
          <w:rFonts w:cs="Arial"/>
          <w:bCs/>
          <w:lang w:val="en-US"/>
        </w:rPr>
        <w:t>.</w:t>
      </w:r>
      <w:r w:rsidR="003F6C00">
        <w:rPr>
          <w:rFonts w:cs="Arial"/>
          <w:bCs/>
          <w:lang w:val="en-US"/>
        </w:rPr>
        <w:t>75</w:t>
      </w:r>
      <w:r w:rsidR="001119D7">
        <w:rPr>
          <w:rFonts w:cs="Arial"/>
          <w:bCs/>
          <w:lang w:val="en-US"/>
        </w:rPr>
        <w:t>).</w:t>
      </w:r>
      <w:r w:rsidR="00F05906" w:rsidRPr="00F05906">
        <w:t xml:space="preserve"> </w:t>
      </w:r>
      <w:r w:rsidR="00F60D29">
        <w:t>A</w:t>
      </w:r>
      <w:r w:rsidR="007A2242" w:rsidRPr="00FA6A8C">
        <w:t xml:space="preserve">dherence </w:t>
      </w:r>
      <w:r w:rsidR="00F05906">
        <w:t xml:space="preserve">to </w:t>
      </w:r>
      <w:r w:rsidR="00F60D29">
        <w:t xml:space="preserve">all </w:t>
      </w:r>
      <w:r w:rsidR="00F05906">
        <w:t xml:space="preserve">three </w:t>
      </w:r>
      <w:r w:rsidR="0003027B">
        <w:t>prespecified</w:t>
      </w:r>
      <w:r w:rsidR="00F05906">
        <w:t xml:space="preserve"> components of the </w:t>
      </w:r>
      <w:r w:rsidR="00F05906" w:rsidRPr="00FA6A8C">
        <w:t xml:space="preserve">early rule-out pathway was </w:t>
      </w:r>
      <w:r w:rsidR="00F05906">
        <w:t xml:space="preserve">observed in </w:t>
      </w:r>
      <w:r w:rsidR="007A2242">
        <w:t>11,600/16,792 (69%) of patients</w:t>
      </w:r>
      <w:r w:rsidR="00F05906">
        <w:t>.</w:t>
      </w:r>
      <w:r w:rsidR="00CF1AC8">
        <w:t xml:space="preserve"> </w:t>
      </w:r>
    </w:p>
    <w:p w14:paraId="52FF16AC" w14:textId="77777777" w:rsidR="001119D7" w:rsidRDefault="001119D7" w:rsidP="0057356B">
      <w:pPr>
        <w:spacing w:line="480" w:lineRule="auto"/>
        <w:rPr>
          <w:rFonts w:cs="Arial"/>
          <w:bCs/>
          <w:lang w:val="en-US"/>
        </w:rPr>
      </w:pPr>
    </w:p>
    <w:p w14:paraId="1F15AD29" w14:textId="77777777" w:rsidR="001119D7" w:rsidRPr="00DE4F77" w:rsidRDefault="001119D7" w:rsidP="0057356B">
      <w:pPr>
        <w:spacing w:line="480" w:lineRule="auto"/>
        <w:rPr>
          <w:b/>
        </w:rPr>
      </w:pPr>
      <w:r w:rsidRPr="00DE4F77">
        <w:rPr>
          <w:b/>
        </w:rPr>
        <w:t xml:space="preserve">Primary </w:t>
      </w:r>
      <w:r>
        <w:rPr>
          <w:b/>
        </w:rPr>
        <w:t>and Secondary Safety</w:t>
      </w:r>
      <w:r w:rsidRPr="00DE4F77">
        <w:rPr>
          <w:b/>
        </w:rPr>
        <w:t xml:space="preserve"> Outcome</w:t>
      </w:r>
      <w:r>
        <w:rPr>
          <w:b/>
        </w:rPr>
        <w:t>s</w:t>
      </w:r>
    </w:p>
    <w:p w14:paraId="1DA0CE38" w14:textId="4E4CE58B" w:rsidR="00825A66" w:rsidRPr="00F21AC6" w:rsidRDefault="001119D7" w:rsidP="0057356B">
      <w:pPr>
        <w:spacing w:line="480" w:lineRule="auto"/>
        <w:rPr>
          <w:rFonts w:cs="Arial"/>
          <w:lang w:val="en-US"/>
        </w:rPr>
      </w:pPr>
      <w:r>
        <w:rPr>
          <w:rFonts w:cs="Arial"/>
          <w:bCs/>
          <w:lang w:val="en-US"/>
        </w:rPr>
        <w:t>Before and after implementation of the early rule-out pathway</w:t>
      </w:r>
      <w:r w:rsidR="00B92C3A">
        <w:rPr>
          <w:rFonts w:cs="Arial"/>
          <w:bCs/>
          <w:lang w:val="en-US"/>
        </w:rPr>
        <w:t>,</w:t>
      </w:r>
      <w:r>
        <w:rPr>
          <w:rFonts w:cs="Arial"/>
          <w:bCs/>
          <w:lang w:val="en-US"/>
        </w:rPr>
        <w:t xml:space="preserve"> </w:t>
      </w:r>
      <w:r w:rsidR="000A528D">
        <w:rPr>
          <w:rFonts w:cs="Arial"/>
          <w:bCs/>
          <w:lang w:val="en-US"/>
        </w:rPr>
        <w:t>the primary safety outcome of m</w:t>
      </w:r>
      <w:r w:rsidR="000A528D" w:rsidRPr="002659B9">
        <w:rPr>
          <w:rFonts w:cs="Arial"/>
          <w:lang w:val="en-US"/>
        </w:rPr>
        <w:t>yocardial infarct</w:t>
      </w:r>
      <w:r w:rsidR="000A528D">
        <w:rPr>
          <w:rFonts w:cs="Arial"/>
          <w:lang w:val="en-US"/>
        </w:rPr>
        <w:t>ion</w:t>
      </w:r>
      <w:r w:rsidR="000A528D" w:rsidRPr="002659B9">
        <w:rPr>
          <w:rFonts w:cs="Arial"/>
          <w:lang w:val="en-US"/>
        </w:rPr>
        <w:t xml:space="preserve"> or cardiac death </w:t>
      </w:r>
      <w:r w:rsidR="000A528D">
        <w:rPr>
          <w:rFonts w:cs="Arial"/>
          <w:lang w:val="en-US"/>
        </w:rPr>
        <w:t xml:space="preserve">following discharge at 30 days occurred in </w:t>
      </w:r>
      <w:r>
        <w:rPr>
          <w:rFonts w:cs="Arial"/>
          <w:bCs/>
          <w:lang w:val="en-US"/>
        </w:rPr>
        <w:t>57/14,</w:t>
      </w:r>
      <w:r w:rsidR="00825A66">
        <w:rPr>
          <w:rFonts w:cs="Arial"/>
          <w:bCs/>
          <w:lang w:val="en-US"/>
        </w:rPr>
        <w:t>700</w:t>
      </w:r>
      <w:r>
        <w:rPr>
          <w:rFonts w:cs="Arial"/>
          <w:bCs/>
          <w:lang w:val="en-US"/>
        </w:rPr>
        <w:t xml:space="preserve"> (</w:t>
      </w:r>
      <w:r w:rsidR="00825A66">
        <w:rPr>
          <w:rFonts w:cs="Arial"/>
          <w:bCs/>
          <w:lang w:val="en-US"/>
        </w:rPr>
        <w:t>0</w:t>
      </w:r>
      <w:r w:rsidR="0057356B">
        <w:rPr>
          <w:rFonts w:cs="Arial"/>
          <w:bCs/>
          <w:lang w:val="en-US"/>
        </w:rPr>
        <w:t>.</w:t>
      </w:r>
      <w:r w:rsidR="00825A66">
        <w:rPr>
          <w:rFonts w:cs="Arial"/>
          <w:bCs/>
          <w:lang w:val="en-US"/>
        </w:rPr>
        <w:t>4%</w:t>
      </w:r>
      <w:r>
        <w:rPr>
          <w:rFonts w:cs="Arial"/>
          <w:bCs/>
          <w:lang w:val="en-US"/>
        </w:rPr>
        <w:t>) and 56/</w:t>
      </w:r>
      <w:r w:rsidR="00825A66">
        <w:rPr>
          <w:rFonts w:cs="Arial"/>
          <w:bCs/>
          <w:lang w:val="en-US"/>
        </w:rPr>
        <w:t>16,792</w:t>
      </w:r>
      <w:r>
        <w:rPr>
          <w:rFonts w:cs="Arial"/>
          <w:bCs/>
          <w:lang w:val="en-US"/>
        </w:rPr>
        <w:t xml:space="preserve"> (</w:t>
      </w:r>
      <w:r w:rsidR="00825A66">
        <w:rPr>
          <w:rFonts w:cs="Arial"/>
          <w:bCs/>
          <w:lang w:val="en-US"/>
        </w:rPr>
        <w:t>0</w:t>
      </w:r>
      <w:r w:rsidR="0057356B">
        <w:rPr>
          <w:rFonts w:cs="Arial"/>
          <w:bCs/>
          <w:lang w:val="en-US"/>
        </w:rPr>
        <w:t>.</w:t>
      </w:r>
      <w:r w:rsidR="00825A66">
        <w:rPr>
          <w:rFonts w:cs="Arial"/>
          <w:bCs/>
          <w:lang w:val="en-US"/>
        </w:rPr>
        <w:t>3%</w:t>
      </w:r>
      <w:r>
        <w:rPr>
          <w:rFonts w:cs="Arial"/>
          <w:bCs/>
          <w:lang w:val="en-US"/>
        </w:rPr>
        <w:t xml:space="preserve">) patients </w:t>
      </w:r>
      <w:r w:rsidR="003F6C00">
        <w:rPr>
          <w:rFonts w:cs="Arial"/>
          <w:lang w:val="en-US"/>
        </w:rPr>
        <w:t>respectively (</w:t>
      </w:r>
      <w:r w:rsidR="003F6C00" w:rsidRPr="00FA2A0E">
        <w:rPr>
          <w:rFonts w:cs="Arial"/>
          <w:b/>
          <w:bCs/>
          <w:i/>
          <w:iCs/>
          <w:lang w:val="en-US"/>
        </w:rPr>
        <w:t>Table 2</w:t>
      </w:r>
      <w:r w:rsidR="003F6C00" w:rsidRPr="00560CFD">
        <w:rPr>
          <w:rFonts w:cs="Arial"/>
          <w:i/>
          <w:iCs/>
          <w:lang w:val="en-US"/>
        </w:rPr>
        <w:t>)</w:t>
      </w:r>
      <w:r w:rsidR="00B75C46">
        <w:rPr>
          <w:rFonts w:cs="Arial"/>
          <w:i/>
          <w:iCs/>
          <w:lang w:val="en-US"/>
        </w:rPr>
        <w:t xml:space="preserve"> </w:t>
      </w:r>
      <w:r w:rsidR="00B75C46">
        <w:rPr>
          <w:rFonts w:cs="Arial"/>
          <w:lang w:val="en-US"/>
        </w:rPr>
        <w:t xml:space="preserve">with an adjusted </w:t>
      </w:r>
      <w:r w:rsidR="00923DB2">
        <w:rPr>
          <w:rFonts w:cs="Arial"/>
          <w:lang w:val="en-US"/>
        </w:rPr>
        <w:t>odds ratio</w:t>
      </w:r>
      <w:r w:rsidR="00B75C46">
        <w:rPr>
          <w:rFonts w:cs="Arial"/>
          <w:lang w:val="en-US"/>
        </w:rPr>
        <w:t xml:space="preserve"> of </w:t>
      </w:r>
      <w:r w:rsidR="00923DB2">
        <w:rPr>
          <w:rFonts w:cs="Arial"/>
          <w:lang w:val="en-US"/>
        </w:rPr>
        <w:t>1</w:t>
      </w:r>
      <w:r w:rsidR="0057356B">
        <w:rPr>
          <w:rFonts w:cs="Arial"/>
          <w:lang w:val="en-US"/>
        </w:rPr>
        <w:t>.</w:t>
      </w:r>
      <w:r w:rsidR="00923DB2">
        <w:rPr>
          <w:rFonts w:cs="Arial"/>
          <w:lang w:val="en-US"/>
        </w:rPr>
        <w:t>97 (95</w:t>
      </w:r>
      <w:r w:rsidR="00B75C46">
        <w:rPr>
          <w:rFonts w:cs="Arial"/>
          <w:lang w:val="en-US"/>
        </w:rPr>
        <w:t>% CI 0</w:t>
      </w:r>
      <w:r w:rsidR="0057356B">
        <w:rPr>
          <w:rFonts w:cs="Arial"/>
          <w:lang w:val="en-US"/>
        </w:rPr>
        <w:t>.</w:t>
      </w:r>
      <w:r w:rsidR="00923DB2">
        <w:rPr>
          <w:rFonts w:cs="Arial"/>
          <w:lang w:val="en-US"/>
        </w:rPr>
        <w:t>95</w:t>
      </w:r>
      <w:r w:rsidR="00B75C46" w:rsidRPr="00F64A8C">
        <w:rPr>
          <w:rFonts w:cs="Arial"/>
          <w:lang w:val="en-US"/>
        </w:rPr>
        <w:t xml:space="preserve"> to</w:t>
      </w:r>
      <w:r w:rsidR="00B75C46">
        <w:rPr>
          <w:rFonts w:cs="Arial"/>
          <w:lang w:val="en-US"/>
        </w:rPr>
        <w:t xml:space="preserve"> </w:t>
      </w:r>
      <w:r w:rsidR="00923DB2">
        <w:rPr>
          <w:rFonts w:cs="Arial"/>
          <w:lang w:val="en-US"/>
        </w:rPr>
        <w:t>4</w:t>
      </w:r>
      <w:r w:rsidR="0057356B">
        <w:rPr>
          <w:rFonts w:cs="Arial"/>
          <w:lang w:val="en-US"/>
        </w:rPr>
        <w:t>.</w:t>
      </w:r>
      <w:r w:rsidR="00923DB2">
        <w:rPr>
          <w:rFonts w:cs="Arial"/>
          <w:lang w:val="en-US"/>
        </w:rPr>
        <w:t>08,</w:t>
      </w:r>
      <w:r w:rsidR="008B6CF0">
        <w:rPr>
          <w:rFonts w:cs="Arial"/>
          <w:lang w:val="en-US"/>
        </w:rPr>
        <w:t xml:space="preserve"> P=0</w:t>
      </w:r>
      <w:r w:rsidR="0057356B">
        <w:rPr>
          <w:rFonts w:cs="Arial"/>
          <w:lang w:val="en-US"/>
        </w:rPr>
        <w:t>.</w:t>
      </w:r>
      <w:r w:rsidR="008B6CF0">
        <w:rPr>
          <w:rFonts w:cs="Arial"/>
          <w:lang w:val="en-US"/>
        </w:rPr>
        <w:t>068</w:t>
      </w:r>
      <w:r w:rsidR="00B75C46">
        <w:rPr>
          <w:rFonts w:cs="Arial"/>
          <w:lang w:val="en-US"/>
        </w:rPr>
        <w:t>)</w:t>
      </w:r>
      <w:r w:rsidR="00560CFD">
        <w:rPr>
          <w:rFonts w:cs="Arial"/>
          <w:i/>
          <w:iCs/>
          <w:lang w:val="en-US"/>
        </w:rPr>
        <w:t>.</w:t>
      </w:r>
      <w:r w:rsidR="00560CFD">
        <w:rPr>
          <w:rFonts w:cs="Arial"/>
          <w:lang w:val="en-US"/>
        </w:rPr>
        <w:t xml:space="preserve"> </w:t>
      </w:r>
      <w:r w:rsidR="0003027B">
        <w:rPr>
          <w:rFonts w:cs="Arial"/>
          <w:lang w:val="en-US"/>
        </w:rPr>
        <w:t>Comparing the rate of the primary safety outcome after implementation to the rate before, t</w:t>
      </w:r>
      <w:r w:rsidR="00B75C46">
        <w:rPr>
          <w:rFonts w:cs="Arial"/>
          <w:lang w:val="en-US"/>
        </w:rPr>
        <w:t>he</w:t>
      </w:r>
      <w:r w:rsidR="00514410">
        <w:rPr>
          <w:rFonts w:cs="Arial"/>
          <w:lang w:val="en-US"/>
        </w:rPr>
        <w:t xml:space="preserve"> upper limit of </w:t>
      </w:r>
      <w:r w:rsidR="00B75C46">
        <w:rPr>
          <w:rFonts w:cs="Arial"/>
          <w:lang w:val="en-US"/>
        </w:rPr>
        <w:t xml:space="preserve">our </w:t>
      </w:r>
      <w:r w:rsidR="00DA2BA4">
        <w:rPr>
          <w:rFonts w:cs="Arial"/>
          <w:lang w:val="en-US"/>
        </w:rPr>
        <w:t xml:space="preserve">one-sided 95% </w:t>
      </w:r>
      <w:r w:rsidR="00B75C46">
        <w:rPr>
          <w:rFonts w:cs="Arial"/>
          <w:lang w:val="en-US"/>
        </w:rPr>
        <w:t xml:space="preserve">confidence interval </w:t>
      </w:r>
      <w:r w:rsidR="00B75C46">
        <w:rPr>
          <w:rFonts w:cs="Arial"/>
          <w:lang w:val="en-US"/>
        </w:rPr>
        <w:lastRenderedPageBreak/>
        <w:t xml:space="preserve">for the adjusted risk difference </w:t>
      </w:r>
      <w:r w:rsidR="00DA2BA4">
        <w:rPr>
          <w:rFonts w:cs="Arial"/>
          <w:lang w:val="en-US"/>
        </w:rPr>
        <w:t>was 0</w:t>
      </w:r>
      <w:r w:rsidR="0057356B">
        <w:rPr>
          <w:rFonts w:cs="Arial"/>
          <w:lang w:val="en-US"/>
        </w:rPr>
        <w:t>.</w:t>
      </w:r>
      <w:r w:rsidR="00DA2BA4">
        <w:rPr>
          <w:rFonts w:cs="Arial"/>
          <w:lang w:val="en-US"/>
        </w:rPr>
        <w:t xml:space="preserve">70%, </w:t>
      </w:r>
      <w:r w:rsidR="00514410">
        <w:rPr>
          <w:rFonts w:cs="Arial"/>
          <w:lang w:val="en-US"/>
        </w:rPr>
        <w:t>exceed</w:t>
      </w:r>
      <w:r w:rsidR="00DA2BA4">
        <w:rPr>
          <w:rFonts w:cs="Arial"/>
          <w:lang w:val="en-US"/>
        </w:rPr>
        <w:t>ing</w:t>
      </w:r>
      <w:r w:rsidR="00514410">
        <w:rPr>
          <w:rFonts w:cs="Arial"/>
          <w:lang w:val="en-US"/>
        </w:rPr>
        <w:t xml:space="preserve"> our prespecified non-inferiority margin of 0</w:t>
      </w:r>
      <w:r w:rsidR="0057356B">
        <w:rPr>
          <w:rFonts w:cs="Arial"/>
          <w:lang w:val="en-US"/>
        </w:rPr>
        <w:t>.</w:t>
      </w:r>
      <w:r w:rsidR="00514410">
        <w:rPr>
          <w:rFonts w:cs="Arial"/>
          <w:lang w:val="en-US"/>
        </w:rPr>
        <w:t>50%</w:t>
      </w:r>
      <w:r>
        <w:rPr>
          <w:rFonts w:cs="Arial"/>
          <w:lang w:val="en-US"/>
        </w:rPr>
        <w:t>.</w:t>
      </w:r>
      <w:r w:rsidR="00825A66">
        <w:rPr>
          <w:rFonts w:cs="Arial"/>
          <w:lang w:val="en-US"/>
        </w:rPr>
        <w:t xml:space="preserve"> </w:t>
      </w:r>
      <w:r w:rsidR="008B6CF0" w:rsidRPr="00BD4875">
        <w:rPr>
          <w:rFonts w:cs="Arial"/>
          <w:lang w:val="en-US"/>
        </w:rPr>
        <w:t>T</w:t>
      </w:r>
      <w:r w:rsidR="00825A66" w:rsidRPr="00BD4875">
        <w:rPr>
          <w:rFonts w:cs="Arial"/>
          <w:lang w:val="en-US"/>
        </w:rPr>
        <w:t xml:space="preserve">he event rate </w:t>
      </w:r>
      <w:r w:rsidR="00825A66" w:rsidRPr="00CF6B04">
        <w:rPr>
          <w:rFonts w:cs="Arial"/>
          <w:lang w:val="en-US"/>
        </w:rPr>
        <w:t xml:space="preserve">at 30 days </w:t>
      </w:r>
      <w:r w:rsidR="00825A66" w:rsidRPr="00D822E1">
        <w:rPr>
          <w:rFonts w:cs="Arial"/>
          <w:lang w:val="en-US"/>
        </w:rPr>
        <w:t>was lower than anticipated,</w:t>
      </w:r>
      <w:r w:rsidR="00825A66">
        <w:rPr>
          <w:rFonts w:cs="Arial"/>
          <w:lang w:val="en-US"/>
        </w:rPr>
        <w:t xml:space="preserve"> and our</w:t>
      </w:r>
      <w:r w:rsidR="00825A66" w:rsidRPr="00825A66">
        <w:rPr>
          <w:rFonts w:cs="Arial"/>
          <w:lang w:val="en-US"/>
        </w:rPr>
        <w:t xml:space="preserve"> regression model and </w:t>
      </w:r>
      <w:r w:rsidR="0003027B">
        <w:rPr>
          <w:rFonts w:cs="Arial"/>
          <w:lang w:val="en-US"/>
        </w:rPr>
        <w:t>prespecified</w:t>
      </w:r>
      <w:r w:rsidR="00825A66" w:rsidRPr="00825A66">
        <w:rPr>
          <w:rFonts w:cs="Arial"/>
          <w:lang w:val="en-US"/>
        </w:rPr>
        <w:t xml:space="preserve"> sensitivity analyses gave divergent results (</w:t>
      </w:r>
      <w:r w:rsidR="00F61103" w:rsidRPr="00F61103">
        <w:rPr>
          <w:b/>
          <w:bCs/>
          <w:i/>
          <w:iCs/>
          <w:color w:val="000000"/>
        </w:rPr>
        <w:t xml:space="preserve">Table </w:t>
      </w:r>
      <w:r w:rsidR="00F61103">
        <w:rPr>
          <w:b/>
          <w:bCs/>
          <w:i/>
          <w:iCs/>
          <w:color w:val="000000"/>
        </w:rPr>
        <w:t>II</w:t>
      </w:r>
      <w:r w:rsidR="00F61103" w:rsidRPr="00F61103">
        <w:rPr>
          <w:b/>
          <w:bCs/>
          <w:i/>
          <w:iCs/>
          <w:color w:val="000000"/>
        </w:rPr>
        <w:t>I in the Supplement</w:t>
      </w:r>
      <w:r w:rsidR="00825A66" w:rsidRPr="00825A66">
        <w:rPr>
          <w:rFonts w:cs="Arial"/>
          <w:lang w:val="en-US"/>
        </w:rPr>
        <w:t>).</w:t>
      </w:r>
      <w:r w:rsidR="00B60136">
        <w:rPr>
          <w:rFonts w:cs="Arial"/>
          <w:lang w:val="en-US"/>
        </w:rPr>
        <w:t xml:space="preserve"> </w:t>
      </w:r>
      <w:r w:rsidR="008B6CF0">
        <w:rPr>
          <w:rFonts w:cs="Arial"/>
          <w:lang w:val="en-US"/>
        </w:rPr>
        <w:t>However, t</w:t>
      </w:r>
      <w:r w:rsidR="00825A66" w:rsidRPr="00825A66">
        <w:rPr>
          <w:rFonts w:cs="Arial"/>
          <w:lang w:val="en-US"/>
        </w:rPr>
        <w:t xml:space="preserve">here were </w:t>
      </w:r>
      <w:r w:rsidR="00825A66">
        <w:rPr>
          <w:rFonts w:cs="Arial"/>
          <w:lang w:val="en-US"/>
        </w:rPr>
        <w:t>703</w:t>
      </w:r>
      <w:r w:rsidR="00825A66" w:rsidRPr="00825A66">
        <w:rPr>
          <w:rFonts w:cs="Arial"/>
          <w:lang w:val="en-US"/>
        </w:rPr>
        <w:t xml:space="preserve"> (</w:t>
      </w:r>
      <w:r w:rsidR="00825A66">
        <w:rPr>
          <w:rFonts w:cs="Arial"/>
          <w:lang w:val="en-US"/>
        </w:rPr>
        <w:t>2</w:t>
      </w:r>
      <w:r w:rsidR="0057356B">
        <w:rPr>
          <w:rFonts w:cs="Arial"/>
          <w:lang w:val="en-US"/>
        </w:rPr>
        <w:t>.</w:t>
      </w:r>
      <w:r w:rsidR="00825A66">
        <w:rPr>
          <w:rFonts w:cs="Arial"/>
          <w:lang w:val="en-US"/>
        </w:rPr>
        <w:t>2</w:t>
      </w:r>
      <w:r w:rsidR="00825A66" w:rsidRPr="00825A66">
        <w:rPr>
          <w:rFonts w:cs="Arial"/>
          <w:lang w:val="en-US"/>
        </w:rPr>
        <w:t xml:space="preserve">%) </w:t>
      </w:r>
      <w:r w:rsidR="00825A66">
        <w:rPr>
          <w:rFonts w:cs="Arial"/>
          <w:lang w:val="en-US"/>
        </w:rPr>
        <w:t xml:space="preserve">patients with </w:t>
      </w:r>
      <w:r w:rsidR="00825A66" w:rsidRPr="00825A66">
        <w:rPr>
          <w:rFonts w:cs="Arial"/>
          <w:lang w:val="en-US"/>
        </w:rPr>
        <w:t>myocardial infarc</w:t>
      </w:r>
      <w:r w:rsidR="00825A66">
        <w:rPr>
          <w:rFonts w:cs="Arial"/>
          <w:lang w:val="en-US"/>
        </w:rPr>
        <w:t>tion</w:t>
      </w:r>
      <w:r w:rsidR="00825A66" w:rsidRPr="00825A66">
        <w:rPr>
          <w:rFonts w:cs="Arial"/>
          <w:lang w:val="en-US"/>
        </w:rPr>
        <w:t xml:space="preserve"> or cardiac death </w:t>
      </w:r>
      <w:r w:rsidR="00825A66">
        <w:rPr>
          <w:rFonts w:cs="Arial"/>
          <w:lang w:val="en-US"/>
        </w:rPr>
        <w:t xml:space="preserve">following discharge at </w:t>
      </w:r>
      <w:r w:rsidR="00825A66" w:rsidRPr="00825A66">
        <w:rPr>
          <w:rFonts w:cs="Arial"/>
          <w:lang w:val="en-US"/>
        </w:rPr>
        <w:t xml:space="preserve">1 year </w:t>
      </w:r>
      <w:r w:rsidR="00FA2A0E">
        <w:rPr>
          <w:rFonts w:cs="Arial"/>
          <w:lang w:val="en-US"/>
        </w:rPr>
        <w:t>(</w:t>
      </w:r>
      <w:r w:rsidR="00FA2A0E">
        <w:rPr>
          <w:rFonts w:cs="Arial"/>
          <w:b/>
          <w:i/>
          <w:iCs/>
          <w:lang w:val="en-US"/>
        </w:rPr>
        <w:t xml:space="preserve">Figure </w:t>
      </w:r>
      <w:r w:rsidR="00795D44">
        <w:rPr>
          <w:rFonts w:cs="Arial"/>
          <w:b/>
          <w:i/>
          <w:iCs/>
          <w:lang w:val="en-US"/>
        </w:rPr>
        <w:t>4</w:t>
      </w:r>
      <w:r w:rsidR="00FA2A0E">
        <w:rPr>
          <w:rFonts w:cs="Arial"/>
          <w:lang w:val="en-US"/>
        </w:rPr>
        <w:t>)</w:t>
      </w:r>
      <w:r w:rsidR="00F21AC6">
        <w:rPr>
          <w:rFonts w:cs="Arial"/>
          <w:lang w:val="en-US"/>
        </w:rPr>
        <w:t xml:space="preserve">. </w:t>
      </w:r>
      <w:r w:rsidR="00F21AC6">
        <w:rPr>
          <w:rFonts w:cs="Arial"/>
          <w:bCs/>
          <w:lang w:val="en-US"/>
        </w:rPr>
        <w:t>Before and after implementation</w:t>
      </w:r>
      <w:r w:rsidR="00B92C3A">
        <w:rPr>
          <w:rFonts w:cs="Arial"/>
          <w:bCs/>
          <w:lang w:val="en-US"/>
        </w:rPr>
        <w:t>,</w:t>
      </w:r>
      <w:r w:rsidR="00F21AC6">
        <w:rPr>
          <w:rFonts w:cs="Arial"/>
          <w:bCs/>
          <w:lang w:val="en-US"/>
        </w:rPr>
        <w:t xml:space="preserve"> </w:t>
      </w:r>
      <w:r w:rsidR="00F21AC6">
        <w:rPr>
          <w:rFonts w:cs="Arial"/>
          <w:lang w:val="en-US"/>
        </w:rPr>
        <w:t xml:space="preserve">the </w:t>
      </w:r>
      <w:r w:rsidR="000A528D">
        <w:rPr>
          <w:rFonts w:cs="Arial"/>
          <w:lang w:val="en-US"/>
        </w:rPr>
        <w:t>secondary</w:t>
      </w:r>
      <w:r w:rsidR="00F21AC6">
        <w:rPr>
          <w:rFonts w:cs="Arial"/>
          <w:lang w:val="en-US"/>
        </w:rPr>
        <w:t xml:space="preserve"> </w:t>
      </w:r>
      <w:r w:rsidR="008B6CF0">
        <w:rPr>
          <w:rFonts w:cs="Arial"/>
          <w:lang w:val="en-US"/>
        </w:rPr>
        <w:t xml:space="preserve">safety </w:t>
      </w:r>
      <w:r w:rsidR="00F21AC6">
        <w:rPr>
          <w:rFonts w:cs="Arial"/>
          <w:lang w:val="en-US"/>
        </w:rPr>
        <w:t xml:space="preserve">outcome measure occurred in </w:t>
      </w:r>
      <w:r w:rsidR="00F21AC6">
        <w:rPr>
          <w:rFonts w:cs="Arial"/>
          <w:bCs/>
          <w:lang w:val="en-US"/>
        </w:rPr>
        <w:t>396/14,700 (2</w:t>
      </w:r>
      <w:r w:rsidR="0057356B">
        <w:rPr>
          <w:rFonts w:cs="Arial"/>
          <w:bCs/>
          <w:lang w:val="en-US"/>
        </w:rPr>
        <w:t>.</w:t>
      </w:r>
      <w:r w:rsidR="00560CFD">
        <w:rPr>
          <w:rFonts w:cs="Arial"/>
          <w:bCs/>
          <w:lang w:val="en-US"/>
        </w:rPr>
        <w:t>7</w:t>
      </w:r>
      <w:r w:rsidR="00F21AC6">
        <w:rPr>
          <w:rFonts w:cs="Arial"/>
          <w:bCs/>
          <w:lang w:val="en-US"/>
        </w:rPr>
        <w:t>%) and 307/16,792 (1</w:t>
      </w:r>
      <w:r w:rsidR="0057356B">
        <w:rPr>
          <w:rFonts w:cs="Arial"/>
          <w:bCs/>
          <w:lang w:val="en-US"/>
        </w:rPr>
        <w:t>.</w:t>
      </w:r>
      <w:r w:rsidR="00F21AC6">
        <w:rPr>
          <w:rFonts w:cs="Arial"/>
          <w:bCs/>
          <w:lang w:val="en-US"/>
        </w:rPr>
        <w:t xml:space="preserve">8%) patients, respectively </w:t>
      </w:r>
      <w:r w:rsidR="0063228A">
        <w:rPr>
          <w:rFonts w:cs="Arial"/>
          <w:lang w:val="en-US"/>
        </w:rPr>
        <w:t>(adjusted odds ratio 1</w:t>
      </w:r>
      <w:r w:rsidR="0057356B">
        <w:rPr>
          <w:rFonts w:cs="Arial"/>
          <w:lang w:val="en-US"/>
        </w:rPr>
        <w:t>.</w:t>
      </w:r>
      <w:r w:rsidR="0063228A">
        <w:rPr>
          <w:rFonts w:cs="Arial"/>
          <w:lang w:val="en-US"/>
        </w:rPr>
        <w:t>02, 95%</w:t>
      </w:r>
      <w:r w:rsidR="009C507F">
        <w:rPr>
          <w:rFonts w:cs="Arial"/>
          <w:lang w:val="en-US"/>
        </w:rPr>
        <w:t xml:space="preserve"> </w:t>
      </w:r>
      <w:r w:rsidR="0063228A">
        <w:rPr>
          <w:rFonts w:cs="Arial"/>
          <w:lang w:val="en-US"/>
        </w:rPr>
        <w:t>CI 0</w:t>
      </w:r>
      <w:r w:rsidR="0057356B">
        <w:rPr>
          <w:rFonts w:cs="Arial"/>
          <w:lang w:val="en-US"/>
        </w:rPr>
        <w:t>.</w:t>
      </w:r>
      <w:r w:rsidR="0063228A">
        <w:rPr>
          <w:rFonts w:cs="Arial"/>
          <w:lang w:val="en-US"/>
        </w:rPr>
        <w:t>74 to 1</w:t>
      </w:r>
      <w:r w:rsidR="0057356B">
        <w:rPr>
          <w:rFonts w:cs="Arial"/>
          <w:lang w:val="en-US"/>
        </w:rPr>
        <w:t>.</w:t>
      </w:r>
      <w:r w:rsidR="0063228A">
        <w:rPr>
          <w:rFonts w:cs="Arial"/>
          <w:lang w:val="en-US"/>
        </w:rPr>
        <w:t>40, P=0</w:t>
      </w:r>
      <w:r w:rsidR="0057356B">
        <w:rPr>
          <w:rFonts w:cs="Arial"/>
          <w:lang w:val="en-US"/>
        </w:rPr>
        <w:t>.</w:t>
      </w:r>
      <w:r w:rsidR="0063228A">
        <w:rPr>
          <w:rFonts w:cs="Arial"/>
          <w:lang w:val="en-US"/>
        </w:rPr>
        <w:t>894</w:t>
      </w:r>
      <w:r w:rsidR="00F21AC6">
        <w:rPr>
          <w:rFonts w:cs="Arial"/>
          <w:bCs/>
          <w:lang w:val="en-US"/>
        </w:rPr>
        <w:t xml:space="preserve">). </w:t>
      </w:r>
      <w:r w:rsidR="005E6A04">
        <w:rPr>
          <w:color w:val="000000"/>
        </w:rPr>
        <w:t>This comprised</w:t>
      </w:r>
      <w:r w:rsidR="005E6A04" w:rsidRPr="004059AC">
        <w:rPr>
          <w:color w:val="000000"/>
        </w:rPr>
        <w:t xml:space="preserve"> 238 (1.6%) </w:t>
      </w:r>
      <w:r w:rsidR="005E6A04">
        <w:rPr>
          <w:color w:val="000000"/>
        </w:rPr>
        <w:t xml:space="preserve">patients with </w:t>
      </w:r>
      <w:r w:rsidR="005E6A04" w:rsidRPr="004059AC">
        <w:rPr>
          <w:color w:val="000000"/>
        </w:rPr>
        <w:t xml:space="preserve">myocardial </w:t>
      </w:r>
      <w:r w:rsidR="005E6A04">
        <w:rPr>
          <w:color w:val="000000"/>
        </w:rPr>
        <w:t xml:space="preserve">infarction </w:t>
      </w:r>
      <w:r w:rsidR="005E6A04" w:rsidRPr="004059AC">
        <w:rPr>
          <w:color w:val="000000"/>
        </w:rPr>
        <w:t>and 176 cardiac deaths (1.2%) during standard care</w:t>
      </w:r>
      <w:r w:rsidR="005E6A04">
        <w:rPr>
          <w:color w:val="000000"/>
        </w:rPr>
        <w:t xml:space="preserve">, with </w:t>
      </w:r>
      <w:r w:rsidR="005E6A04" w:rsidRPr="004059AC">
        <w:rPr>
          <w:color w:val="000000"/>
        </w:rPr>
        <w:t>184 (1.1%)</w:t>
      </w:r>
      <w:r w:rsidR="005E6A04">
        <w:rPr>
          <w:color w:val="000000"/>
        </w:rPr>
        <w:t xml:space="preserve"> patients with</w:t>
      </w:r>
      <w:r w:rsidR="005E6A04" w:rsidRPr="004059AC">
        <w:rPr>
          <w:color w:val="000000"/>
        </w:rPr>
        <w:t xml:space="preserve"> </w:t>
      </w:r>
      <w:r w:rsidR="005E6A04">
        <w:rPr>
          <w:color w:val="000000"/>
        </w:rPr>
        <w:t>myocardial infarction</w:t>
      </w:r>
      <w:r w:rsidR="005E6A04" w:rsidRPr="004059AC">
        <w:rPr>
          <w:color w:val="000000"/>
        </w:rPr>
        <w:t xml:space="preserve"> and 143 (0.9%) cardiac deaths</w:t>
      </w:r>
      <w:r w:rsidR="005E6A04">
        <w:rPr>
          <w:color w:val="000000"/>
        </w:rPr>
        <w:t xml:space="preserve"> after implementation of the early rule-out pathway</w:t>
      </w:r>
      <w:r w:rsidR="005E6A04" w:rsidRPr="004059AC">
        <w:rPr>
          <w:color w:val="000000"/>
        </w:rPr>
        <w:t xml:space="preserve">. </w:t>
      </w:r>
      <w:r w:rsidR="00825A66" w:rsidRPr="00825A66">
        <w:rPr>
          <w:rFonts w:cs="Arial"/>
          <w:lang w:val="en-US"/>
        </w:rPr>
        <w:t xml:space="preserve">Furthermore, the rate of </w:t>
      </w:r>
      <w:r w:rsidR="00E24BD9">
        <w:rPr>
          <w:rFonts w:cs="Arial"/>
          <w:lang w:val="en-US"/>
        </w:rPr>
        <w:t>all</w:t>
      </w:r>
      <w:r w:rsidR="007641DC">
        <w:rPr>
          <w:rFonts w:cs="Arial"/>
          <w:lang w:val="en-US"/>
        </w:rPr>
        <w:t xml:space="preserve"> </w:t>
      </w:r>
      <w:r w:rsidR="009C507F">
        <w:rPr>
          <w:rFonts w:cs="Arial"/>
          <w:lang w:val="en-US"/>
        </w:rPr>
        <w:t xml:space="preserve">other </w:t>
      </w:r>
      <w:r w:rsidR="00825A66" w:rsidRPr="00825A66">
        <w:rPr>
          <w:rFonts w:cs="Arial"/>
          <w:lang w:val="en-US"/>
        </w:rPr>
        <w:t>safety outcome</w:t>
      </w:r>
      <w:r w:rsidR="00380189">
        <w:rPr>
          <w:rFonts w:cs="Arial"/>
          <w:lang w:val="en-US"/>
        </w:rPr>
        <w:t xml:space="preserve"> measures</w:t>
      </w:r>
      <w:r w:rsidR="00825A66" w:rsidRPr="00825A66">
        <w:rPr>
          <w:rFonts w:cs="Arial"/>
          <w:lang w:val="en-US"/>
        </w:rPr>
        <w:t xml:space="preserve"> at </w:t>
      </w:r>
      <w:r w:rsidR="000A528D">
        <w:rPr>
          <w:rFonts w:cs="Arial"/>
          <w:lang w:val="en-US"/>
        </w:rPr>
        <w:t>1</w:t>
      </w:r>
      <w:r w:rsidR="00825A66" w:rsidRPr="00825A66">
        <w:rPr>
          <w:rFonts w:cs="Arial"/>
          <w:lang w:val="en-US"/>
        </w:rPr>
        <w:t xml:space="preserve"> year </w:t>
      </w:r>
      <w:r w:rsidR="00135B85">
        <w:rPr>
          <w:rFonts w:cs="Arial"/>
          <w:lang w:val="en-US"/>
        </w:rPr>
        <w:t xml:space="preserve">did not differ before and after implementation </w:t>
      </w:r>
      <w:r w:rsidR="00825A66" w:rsidRPr="00825A66">
        <w:rPr>
          <w:rFonts w:cs="Arial"/>
          <w:lang w:val="en-US"/>
        </w:rPr>
        <w:t>(</w:t>
      </w:r>
      <w:r w:rsidR="00825A66" w:rsidRPr="00F21AC6">
        <w:rPr>
          <w:rFonts w:cs="Arial"/>
          <w:b/>
          <w:bCs/>
          <w:i/>
          <w:iCs/>
          <w:lang w:val="en-US"/>
        </w:rPr>
        <w:t>Table</w:t>
      </w:r>
      <w:r w:rsidR="00F21AC6" w:rsidRPr="00F21AC6">
        <w:rPr>
          <w:rFonts w:cs="Arial"/>
          <w:b/>
          <w:bCs/>
          <w:i/>
          <w:iCs/>
          <w:lang w:val="en-US"/>
        </w:rPr>
        <w:t xml:space="preserve"> 2</w:t>
      </w:r>
      <w:r w:rsidR="00825A66" w:rsidRPr="00825A66">
        <w:rPr>
          <w:rFonts w:cs="Arial"/>
          <w:lang w:val="en-US"/>
        </w:rPr>
        <w:t>).</w:t>
      </w:r>
      <w:r w:rsidR="0032623B">
        <w:rPr>
          <w:rFonts w:cs="Arial"/>
          <w:lang w:val="en-US"/>
        </w:rPr>
        <w:t xml:space="preserve"> </w:t>
      </w:r>
      <w:r w:rsidR="002A3E19">
        <w:rPr>
          <w:rFonts w:cs="Arial"/>
          <w:lang w:val="en-US"/>
        </w:rPr>
        <w:t xml:space="preserve">The findings were consistent in a </w:t>
      </w:r>
      <w:r w:rsidR="002A3E19" w:rsidRPr="00E03AF4">
        <w:rPr>
          <w:rFonts w:cs="Arial"/>
          <w:i/>
          <w:iCs/>
          <w:lang w:val="en-US"/>
        </w:rPr>
        <w:t>post hoc</w:t>
      </w:r>
      <w:r w:rsidR="002A3E19">
        <w:rPr>
          <w:rFonts w:cs="Arial"/>
          <w:lang w:val="en-US"/>
        </w:rPr>
        <w:t xml:space="preserve"> analysis of the safety outcome which included</w:t>
      </w:r>
      <w:r w:rsidR="0032623B">
        <w:rPr>
          <w:rFonts w:cs="Arial"/>
          <w:lang w:val="en-US"/>
        </w:rPr>
        <w:t xml:space="preserve"> type 2 myocardial infarction events (</w:t>
      </w:r>
      <w:r w:rsidR="00F61103" w:rsidRPr="00F61103">
        <w:rPr>
          <w:b/>
          <w:bCs/>
          <w:i/>
          <w:iCs/>
          <w:color w:val="000000"/>
        </w:rPr>
        <w:t xml:space="preserve">Table </w:t>
      </w:r>
      <w:r w:rsidR="00F61103">
        <w:rPr>
          <w:b/>
          <w:bCs/>
          <w:i/>
          <w:iCs/>
          <w:color w:val="000000"/>
        </w:rPr>
        <w:t>I</w:t>
      </w:r>
      <w:r w:rsidR="00F61103">
        <w:rPr>
          <w:b/>
          <w:bCs/>
          <w:i/>
          <w:iCs/>
          <w:color w:val="000000"/>
        </w:rPr>
        <w:t>V</w:t>
      </w:r>
      <w:r w:rsidR="00F61103" w:rsidRPr="00F61103">
        <w:rPr>
          <w:b/>
          <w:bCs/>
          <w:i/>
          <w:iCs/>
          <w:color w:val="000000"/>
        </w:rPr>
        <w:t xml:space="preserve"> </w:t>
      </w:r>
      <w:r w:rsidR="00F61103" w:rsidRPr="00F61103">
        <w:rPr>
          <w:rFonts w:cs="Arial"/>
          <w:b/>
          <w:bCs/>
          <w:i/>
          <w:iCs/>
          <w:lang w:val="en-US"/>
        </w:rPr>
        <w:t xml:space="preserve">and </w:t>
      </w:r>
      <w:r w:rsidR="00F61103" w:rsidRPr="00E03AF4">
        <w:rPr>
          <w:rFonts w:cs="Arial"/>
          <w:b/>
          <w:bCs/>
          <w:i/>
          <w:iCs/>
          <w:lang w:val="en-US"/>
        </w:rPr>
        <w:t xml:space="preserve">Figure </w:t>
      </w:r>
      <w:r w:rsidR="00F61103">
        <w:rPr>
          <w:rFonts w:cs="Arial"/>
          <w:b/>
          <w:bCs/>
          <w:i/>
          <w:iCs/>
          <w:lang w:val="en-US"/>
        </w:rPr>
        <w:t>I</w:t>
      </w:r>
      <w:r w:rsidR="00F61103" w:rsidRPr="00F61103">
        <w:rPr>
          <w:b/>
          <w:bCs/>
          <w:i/>
          <w:iCs/>
          <w:color w:val="000000"/>
        </w:rPr>
        <w:t xml:space="preserve"> </w:t>
      </w:r>
      <w:r w:rsidR="00F61103" w:rsidRPr="00F61103">
        <w:rPr>
          <w:b/>
          <w:bCs/>
          <w:i/>
          <w:iCs/>
          <w:color w:val="000000"/>
        </w:rPr>
        <w:t>in the Supplement</w:t>
      </w:r>
      <w:r w:rsidR="0032623B">
        <w:rPr>
          <w:rFonts w:cs="Arial"/>
          <w:lang w:val="en-US"/>
        </w:rPr>
        <w:t>).</w:t>
      </w:r>
    </w:p>
    <w:p w14:paraId="3D140965" w14:textId="77777777" w:rsidR="00825A66" w:rsidRDefault="00825A66" w:rsidP="0057356B">
      <w:pPr>
        <w:spacing w:line="480" w:lineRule="auto"/>
        <w:rPr>
          <w:rFonts w:cs="Arial"/>
          <w:lang w:val="en-US"/>
        </w:rPr>
      </w:pPr>
    </w:p>
    <w:p w14:paraId="44B9335E" w14:textId="77777777" w:rsidR="00F21AC6" w:rsidRPr="00F21AC6" w:rsidRDefault="00F21AC6" w:rsidP="0057356B">
      <w:pPr>
        <w:spacing w:line="480" w:lineRule="auto"/>
        <w:rPr>
          <w:rFonts w:cs="Arial"/>
          <w:b/>
          <w:bCs/>
          <w:lang w:val="en-US"/>
        </w:rPr>
      </w:pPr>
      <w:r w:rsidRPr="00F21AC6">
        <w:rPr>
          <w:rFonts w:cs="Arial"/>
          <w:b/>
          <w:bCs/>
          <w:lang w:val="en-US"/>
        </w:rPr>
        <w:t xml:space="preserve">Sensitivity </w:t>
      </w:r>
      <w:r>
        <w:rPr>
          <w:rFonts w:cs="Arial"/>
          <w:b/>
          <w:bCs/>
          <w:lang w:val="en-US"/>
        </w:rPr>
        <w:t>A</w:t>
      </w:r>
      <w:r w:rsidRPr="00F21AC6">
        <w:rPr>
          <w:rFonts w:cs="Arial"/>
          <w:b/>
          <w:bCs/>
          <w:lang w:val="en-US"/>
        </w:rPr>
        <w:t>nalysis</w:t>
      </w:r>
      <w:r>
        <w:rPr>
          <w:rFonts w:cs="Arial"/>
          <w:b/>
          <w:bCs/>
          <w:lang w:val="en-US"/>
        </w:rPr>
        <w:t xml:space="preserve"> </w:t>
      </w:r>
      <w:r w:rsidR="00945A99">
        <w:rPr>
          <w:rFonts w:cs="Arial"/>
          <w:b/>
          <w:bCs/>
          <w:lang w:val="en-US"/>
        </w:rPr>
        <w:t>in</w:t>
      </w:r>
      <w:r>
        <w:rPr>
          <w:rFonts w:cs="Arial"/>
          <w:b/>
          <w:bCs/>
          <w:lang w:val="en-US"/>
        </w:rPr>
        <w:t xml:space="preserve"> </w:t>
      </w:r>
      <w:r w:rsidR="00303E7C">
        <w:rPr>
          <w:rFonts w:cs="Arial"/>
          <w:b/>
          <w:bCs/>
          <w:lang w:val="en-US"/>
        </w:rPr>
        <w:t>C</w:t>
      </w:r>
      <w:r w:rsidR="00303E7C" w:rsidRPr="00945A99">
        <w:rPr>
          <w:rFonts w:cs="Arial"/>
          <w:b/>
          <w:bCs/>
          <w:lang w:val="en-US"/>
        </w:rPr>
        <w:t>alendar</w:t>
      </w:r>
      <w:r w:rsidR="00945A99" w:rsidRPr="00945A99">
        <w:rPr>
          <w:rFonts w:cs="Arial"/>
          <w:b/>
          <w:bCs/>
          <w:lang w:val="en-US"/>
        </w:rPr>
        <w:t xml:space="preserve"> </w:t>
      </w:r>
      <w:r w:rsidR="00945A99">
        <w:rPr>
          <w:rFonts w:cs="Arial"/>
          <w:b/>
          <w:bCs/>
          <w:lang w:val="en-US"/>
        </w:rPr>
        <w:t>M</w:t>
      </w:r>
      <w:r w:rsidR="00945A99" w:rsidRPr="00945A99">
        <w:rPr>
          <w:rFonts w:cs="Arial"/>
          <w:b/>
          <w:bCs/>
          <w:lang w:val="en-US"/>
        </w:rPr>
        <w:t xml:space="preserve">atched </w:t>
      </w:r>
      <w:r w:rsidR="00945A99">
        <w:rPr>
          <w:rFonts w:cs="Arial"/>
          <w:b/>
          <w:bCs/>
          <w:lang w:val="en-US"/>
        </w:rPr>
        <w:t>V</w:t>
      </w:r>
      <w:r w:rsidR="00945A99" w:rsidRPr="00945A99">
        <w:rPr>
          <w:rFonts w:cs="Arial"/>
          <w:b/>
          <w:bCs/>
          <w:lang w:val="en-US"/>
        </w:rPr>
        <w:t xml:space="preserve">alidation and </w:t>
      </w:r>
      <w:r w:rsidR="00945A99">
        <w:rPr>
          <w:rFonts w:cs="Arial"/>
          <w:b/>
          <w:bCs/>
          <w:lang w:val="en-US"/>
        </w:rPr>
        <w:t>I</w:t>
      </w:r>
      <w:r w:rsidR="00945A99" w:rsidRPr="00945A99">
        <w:rPr>
          <w:rFonts w:cs="Arial"/>
          <w:b/>
          <w:bCs/>
          <w:lang w:val="en-US"/>
        </w:rPr>
        <w:t xml:space="preserve">mplementation </w:t>
      </w:r>
      <w:r w:rsidR="00945A99">
        <w:rPr>
          <w:rFonts w:cs="Arial"/>
          <w:b/>
          <w:bCs/>
          <w:lang w:val="en-US"/>
        </w:rPr>
        <w:t>P</w:t>
      </w:r>
      <w:r w:rsidR="00945A99" w:rsidRPr="00945A99">
        <w:rPr>
          <w:rFonts w:cs="Arial"/>
          <w:b/>
          <w:bCs/>
          <w:lang w:val="en-US"/>
        </w:rPr>
        <w:t>hases</w:t>
      </w:r>
    </w:p>
    <w:p w14:paraId="33263B52" w14:textId="35A168CA" w:rsidR="00DE3254" w:rsidRPr="00DE4F77" w:rsidRDefault="006A4FA8" w:rsidP="0057356B">
      <w:pPr>
        <w:spacing w:line="480" w:lineRule="auto"/>
        <w:rPr>
          <w:b/>
          <w:sz w:val="36"/>
          <w:szCs w:val="36"/>
        </w:rPr>
      </w:pPr>
      <w:r>
        <w:t>In total</w:t>
      </w:r>
      <w:r w:rsidRPr="00DE4F77">
        <w:t xml:space="preserve"> </w:t>
      </w:r>
      <w:r>
        <w:t>18,241 (58%) patients attended during the calendar-matched phases with 8,673 (48%)</w:t>
      </w:r>
      <w:r w:rsidRPr="00DE4F77">
        <w:t xml:space="preserve"> and </w:t>
      </w:r>
      <w:r>
        <w:t xml:space="preserve">9,568 (52%) </w:t>
      </w:r>
      <w:r w:rsidR="00D45D9C">
        <w:t>evaluated</w:t>
      </w:r>
      <w:r w:rsidR="003424DE" w:rsidRPr="00DE4F77">
        <w:t xml:space="preserve"> </w:t>
      </w:r>
      <w:r w:rsidR="003424DE">
        <w:t>during the</w:t>
      </w:r>
      <w:r w:rsidR="00D45D9C" w:rsidRPr="00D45D9C">
        <w:t xml:space="preserve"> </w:t>
      </w:r>
      <w:r w:rsidR="00D45D9C">
        <w:t>validation and implementation phase</w:t>
      </w:r>
      <w:r w:rsidR="003424DE" w:rsidRPr="00DE4F77">
        <w:t xml:space="preserve"> respectively</w:t>
      </w:r>
      <w:r w:rsidR="00A26790">
        <w:t xml:space="preserve"> (</w:t>
      </w:r>
      <w:r w:rsidR="00F61103" w:rsidRPr="00F61103">
        <w:rPr>
          <w:b/>
          <w:bCs/>
          <w:i/>
          <w:iCs/>
          <w:color w:val="000000"/>
        </w:rPr>
        <w:t xml:space="preserve">Table </w:t>
      </w:r>
      <w:r w:rsidR="00F61103">
        <w:rPr>
          <w:b/>
          <w:bCs/>
          <w:i/>
          <w:iCs/>
          <w:color w:val="000000"/>
        </w:rPr>
        <w:t>II</w:t>
      </w:r>
      <w:r w:rsidR="00F61103" w:rsidRPr="00F61103">
        <w:rPr>
          <w:b/>
          <w:bCs/>
          <w:i/>
          <w:iCs/>
          <w:color w:val="000000"/>
        </w:rPr>
        <w:t>I in the Supplement</w:t>
      </w:r>
      <w:r w:rsidR="00A26790">
        <w:t>)</w:t>
      </w:r>
      <w:r w:rsidR="003424DE">
        <w:t xml:space="preserve">. </w:t>
      </w:r>
      <w:r w:rsidR="00162E4C">
        <w:rPr>
          <w:rFonts w:cs="Arial"/>
          <w:bCs/>
          <w:lang w:val="en-US"/>
        </w:rPr>
        <w:t xml:space="preserve">Length of stay was reduced </w:t>
      </w:r>
      <w:r w:rsidR="00162E4C" w:rsidRPr="00B75C46">
        <w:rPr>
          <w:rFonts w:cs="Arial"/>
          <w:bCs/>
          <w:lang w:val="en-US"/>
        </w:rPr>
        <w:t>from 10</w:t>
      </w:r>
      <w:r w:rsidR="0057356B">
        <w:rPr>
          <w:rFonts w:cs="Arial"/>
          <w:bCs/>
          <w:lang w:val="en-US"/>
        </w:rPr>
        <w:t>.</w:t>
      </w:r>
      <w:r w:rsidR="00B75C46" w:rsidRPr="00B75C46">
        <w:rPr>
          <w:rFonts w:cs="Arial"/>
          <w:bCs/>
          <w:lang w:val="en-US"/>
        </w:rPr>
        <w:t>6</w:t>
      </w:r>
      <w:r w:rsidR="00162E4C" w:rsidRPr="00B75C46">
        <w:rPr>
          <w:rFonts w:cs="Arial"/>
          <w:bCs/>
          <w:lang w:val="en-US"/>
        </w:rPr>
        <w:t>±4</w:t>
      </w:r>
      <w:r w:rsidR="0057356B">
        <w:rPr>
          <w:rFonts w:cs="Arial"/>
          <w:bCs/>
          <w:lang w:val="en-US"/>
        </w:rPr>
        <w:t>.</w:t>
      </w:r>
      <w:r w:rsidR="00162E4C" w:rsidRPr="00B75C46">
        <w:rPr>
          <w:rFonts w:cs="Arial"/>
          <w:bCs/>
          <w:lang w:val="en-US"/>
        </w:rPr>
        <w:t>1 to 6</w:t>
      </w:r>
      <w:r w:rsidR="0057356B">
        <w:rPr>
          <w:rFonts w:cs="Arial"/>
          <w:bCs/>
          <w:lang w:val="en-US"/>
        </w:rPr>
        <w:t>.</w:t>
      </w:r>
      <w:r w:rsidR="00B75C46" w:rsidRPr="00B75C46">
        <w:rPr>
          <w:rFonts w:cs="Arial"/>
          <w:bCs/>
          <w:lang w:val="en-US"/>
        </w:rPr>
        <w:t>8</w:t>
      </w:r>
      <w:r w:rsidR="00162E4C" w:rsidRPr="00B75C46">
        <w:rPr>
          <w:rFonts w:cs="Arial"/>
          <w:bCs/>
          <w:lang w:val="en-US"/>
        </w:rPr>
        <w:t>±</w:t>
      </w:r>
      <w:r w:rsidR="00B75C46" w:rsidRPr="00B75C46">
        <w:rPr>
          <w:rFonts w:cs="Arial"/>
          <w:bCs/>
          <w:lang w:val="en-US"/>
        </w:rPr>
        <w:t>4</w:t>
      </w:r>
      <w:r w:rsidR="0057356B">
        <w:rPr>
          <w:rFonts w:cs="Arial"/>
          <w:bCs/>
          <w:lang w:val="en-US"/>
        </w:rPr>
        <w:t>.</w:t>
      </w:r>
      <w:r w:rsidR="00B75C46" w:rsidRPr="00B75C46">
        <w:rPr>
          <w:rFonts w:cs="Arial"/>
          <w:bCs/>
          <w:lang w:val="en-US"/>
        </w:rPr>
        <w:t>0</w:t>
      </w:r>
      <w:r w:rsidR="00162E4C" w:rsidRPr="00B75C46">
        <w:rPr>
          <w:rFonts w:cs="Arial"/>
          <w:bCs/>
          <w:lang w:val="en-US"/>
        </w:rPr>
        <w:t xml:space="preserve"> hours</w:t>
      </w:r>
      <w:r w:rsidR="00162E4C">
        <w:rPr>
          <w:rFonts w:cs="Arial"/>
          <w:bCs/>
          <w:lang w:val="en-US"/>
        </w:rPr>
        <w:t xml:space="preserve"> (adjusted geometric mean ratio 0</w:t>
      </w:r>
      <w:r w:rsidR="0057356B">
        <w:rPr>
          <w:rFonts w:cs="Arial"/>
          <w:bCs/>
          <w:lang w:val="en-US"/>
        </w:rPr>
        <w:t>.</w:t>
      </w:r>
      <w:r w:rsidR="00162E4C">
        <w:rPr>
          <w:rFonts w:cs="Arial"/>
          <w:bCs/>
          <w:lang w:val="en-US"/>
        </w:rPr>
        <w:t>65, 95% CI 0</w:t>
      </w:r>
      <w:r w:rsidR="0057356B">
        <w:rPr>
          <w:rFonts w:cs="Arial"/>
          <w:bCs/>
          <w:lang w:val="en-US"/>
        </w:rPr>
        <w:t>.</w:t>
      </w:r>
      <w:r w:rsidR="00162E4C">
        <w:rPr>
          <w:rFonts w:cs="Arial"/>
          <w:bCs/>
          <w:lang w:val="en-US"/>
        </w:rPr>
        <w:t>62 to 0</w:t>
      </w:r>
      <w:r w:rsidR="0057356B">
        <w:rPr>
          <w:rFonts w:cs="Arial"/>
          <w:bCs/>
          <w:lang w:val="en-US"/>
        </w:rPr>
        <w:t>.</w:t>
      </w:r>
      <w:r w:rsidR="00162E4C">
        <w:rPr>
          <w:rFonts w:cs="Arial"/>
          <w:bCs/>
          <w:lang w:val="en-US"/>
        </w:rPr>
        <w:t xml:space="preserve">68) before and after implementation of the early rule-out pathway. </w:t>
      </w:r>
      <w:r>
        <w:rPr>
          <w:rFonts w:cs="Arial"/>
          <w:bCs/>
          <w:lang w:val="en-US"/>
        </w:rPr>
        <w:t>The primary safety outcome occurred in 43/8,</w:t>
      </w:r>
      <w:r w:rsidR="00B75C46">
        <w:rPr>
          <w:rFonts w:cs="Arial"/>
          <w:bCs/>
          <w:lang w:val="en-US"/>
        </w:rPr>
        <w:t>673</w:t>
      </w:r>
      <w:r>
        <w:rPr>
          <w:rFonts w:cs="Arial"/>
          <w:bCs/>
          <w:lang w:val="en-US"/>
        </w:rPr>
        <w:t xml:space="preserve"> (0</w:t>
      </w:r>
      <w:r w:rsidR="0057356B">
        <w:rPr>
          <w:rFonts w:cs="Arial"/>
          <w:bCs/>
          <w:lang w:val="en-US"/>
        </w:rPr>
        <w:t>.</w:t>
      </w:r>
      <w:r>
        <w:rPr>
          <w:rFonts w:cs="Arial"/>
          <w:bCs/>
          <w:lang w:val="en-US"/>
        </w:rPr>
        <w:t>5%) and 23/9,568</w:t>
      </w:r>
      <w:r w:rsidRPr="00DE4F77">
        <w:t xml:space="preserve"> </w:t>
      </w:r>
      <w:r>
        <w:rPr>
          <w:rFonts w:cs="Arial"/>
          <w:bCs/>
          <w:lang w:val="en-US"/>
        </w:rPr>
        <w:t>(0</w:t>
      </w:r>
      <w:r w:rsidR="0057356B">
        <w:rPr>
          <w:rFonts w:cs="Arial"/>
          <w:bCs/>
          <w:lang w:val="en-US"/>
        </w:rPr>
        <w:t>.</w:t>
      </w:r>
      <w:r>
        <w:rPr>
          <w:rFonts w:cs="Arial"/>
          <w:bCs/>
          <w:lang w:val="en-US"/>
        </w:rPr>
        <w:t xml:space="preserve">2%) patients at </w:t>
      </w:r>
      <w:r>
        <w:rPr>
          <w:rFonts w:cs="Arial"/>
          <w:lang w:val="en-US"/>
        </w:rPr>
        <w:t>30 days</w:t>
      </w:r>
      <w:r w:rsidR="008824D0">
        <w:rPr>
          <w:rFonts w:cs="Arial"/>
          <w:lang w:val="en-US"/>
        </w:rPr>
        <w:t>,</w:t>
      </w:r>
      <w:r w:rsidR="000B1BB0">
        <w:rPr>
          <w:rFonts w:cs="Arial"/>
          <w:lang w:val="en-US"/>
        </w:rPr>
        <w:t xml:space="preserve"> </w:t>
      </w:r>
      <w:r w:rsidR="00F64A8C">
        <w:rPr>
          <w:rFonts w:cs="Arial"/>
          <w:lang w:val="en-US"/>
        </w:rPr>
        <w:t xml:space="preserve">with an </w:t>
      </w:r>
      <w:r w:rsidR="000B1BB0">
        <w:rPr>
          <w:rFonts w:cs="Arial"/>
          <w:lang w:val="en-US"/>
        </w:rPr>
        <w:t xml:space="preserve">adjusted </w:t>
      </w:r>
      <w:r w:rsidR="00923DB2">
        <w:rPr>
          <w:rFonts w:cs="Arial"/>
          <w:lang w:val="en-US"/>
        </w:rPr>
        <w:t>odds ratio of 0</w:t>
      </w:r>
      <w:r w:rsidR="0057356B">
        <w:rPr>
          <w:rFonts w:cs="Arial"/>
          <w:lang w:val="en-US"/>
        </w:rPr>
        <w:t>.</w:t>
      </w:r>
      <w:r w:rsidR="00923DB2">
        <w:rPr>
          <w:rFonts w:cs="Arial"/>
          <w:lang w:val="en-US"/>
        </w:rPr>
        <w:t>48 (95% CI 0</w:t>
      </w:r>
      <w:r w:rsidR="0057356B">
        <w:rPr>
          <w:rFonts w:cs="Arial"/>
          <w:lang w:val="en-US"/>
        </w:rPr>
        <w:t>.</w:t>
      </w:r>
      <w:r w:rsidR="00923DB2">
        <w:rPr>
          <w:rFonts w:cs="Arial"/>
          <w:lang w:val="en-US"/>
        </w:rPr>
        <w:t>29 to 0</w:t>
      </w:r>
      <w:r w:rsidR="0057356B">
        <w:rPr>
          <w:rFonts w:cs="Arial"/>
          <w:lang w:val="en-US"/>
        </w:rPr>
        <w:t>.</w:t>
      </w:r>
      <w:r w:rsidR="00923DB2">
        <w:rPr>
          <w:rFonts w:cs="Arial"/>
          <w:lang w:val="en-US"/>
        </w:rPr>
        <w:t>80</w:t>
      </w:r>
      <w:r w:rsidR="00E473D0">
        <w:rPr>
          <w:rFonts w:cs="Arial"/>
          <w:lang w:val="en-US"/>
        </w:rPr>
        <w:t>, P=0</w:t>
      </w:r>
      <w:r w:rsidR="0057356B">
        <w:rPr>
          <w:rFonts w:cs="Arial"/>
          <w:lang w:val="en-US"/>
        </w:rPr>
        <w:t>.</w:t>
      </w:r>
      <w:r w:rsidR="00E473D0">
        <w:rPr>
          <w:rFonts w:cs="Arial"/>
          <w:lang w:val="en-US"/>
        </w:rPr>
        <w:t>005</w:t>
      </w:r>
      <w:r w:rsidR="00923DB2">
        <w:rPr>
          <w:rFonts w:cs="Arial"/>
          <w:lang w:val="en-US"/>
        </w:rPr>
        <w:t xml:space="preserve">). </w:t>
      </w:r>
      <w:r w:rsidR="007870DB">
        <w:rPr>
          <w:rFonts w:cs="Arial"/>
          <w:lang w:val="en-US"/>
        </w:rPr>
        <w:t>T</w:t>
      </w:r>
      <w:r w:rsidR="00923DB2">
        <w:rPr>
          <w:rFonts w:cs="Arial"/>
          <w:lang w:val="en-US"/>
        </w:rPr>
        <w:t>he upper limit of our one-sided 95% confidence interval for the adjusted risk difference was -</w:t>
      </w:r>
      <w:r w:rsidR="00F64A8C" w:rsidRPr="00F64A8C">
        <w:rPr>
          <w:rFonts w:cs="Arial"/>
          <w:lang w:val="en-US"/>
        </w:rPr>
        <w:t>0</w:t>
      </w:r>
      <w:r w:rsidR="0057356B">
        <w:rPr>
          <w:rFonts w:cs="Arial"/>
          <w:lang w:val="en-US"/>
        </w:rPr>
        <w:t>.</w:t>
      </w:r>
      <w:r w:rsidR="00F64A8C" w:rsidRPr="00F64A8C">
        <w:rPr>
          <w:rFonts w:cs="Arial"/>
          <w:lang w:val="en-US"/>
        </w:rPr>
        <w:t>13%</w:t>
      </w:r>
      <w:r w:rsidR="00923DB2">
        <w:rPr>
          <w:rFonts w:cs="Arial"/>
          <w:lang w:val="en-US"/>
        </w:rPr>
        <w:t xml:space="preserve">, which was </w:t>
      </w:r>
      <w:r w:rsidR="0031753E">
        <w:rPr>
          <w:rFonts w:cs="Arial"/>
          <w:lang w:val="en-US"/>
        </w:rPr>
        <w:t>below</w:t>
      </w:r>
      <w:r w:rsidR="00923DB2">
        <w:rPr>
          <w:rFonts w:cs="Arial"/>
          <w:lang w:val="en-US"/>
        </w:rPr>
        <w:t xml:space="preserve"> our superiority margin of 0%.</w:t>
      </w:r>
      <w:r w:rsidR="007E7C17">
        <w:rPr>
          <w:rFonts w:cs="Arial"/>
          <w:lang w:val="en-US"/>
        </w:rPr>
        <w:t xml:space="preserve"> The secondary safety outcome </w:t>
      </w:r>
      <w:r w:rsidR="00A711AE">
        <w:rPr>
          <w:rFonts w:cs="Arial"/>
          <w:lang w:val="en-US"/>
        </w:rPr>
        <w:t>occurred</w:t>
      </w:r>
      <w:r w:rsidRPr="00A94FB7">
        <w:rPr>
          <w:rFonts w:cs="Arial"/>
          <w:bCs/>
          <w:lang w:val="en-US"/>
        </w:rPr>
        <w:t xml:space="preserve"> </w:t>
      </w:r>
      <w:r w:rsidR="00F64A8C">
        <w:rPr>
          <w:rFonts w:cs="Arial"/>
          <w:bCs/>
          <w:lang w:val="en-US"/>
        </w:rPr>
        <w:t xml:space="preserve">in </w:t>
      </w:r>
      <w:r>
        <w:rPr>
          <w:rFonts w:cs="Arial"/>
          <w:bCs/>
          <w:lang w:val="en-US"/>
        </w:rPr>
        <w:t>251/</w:t>
      </w:r>
      <w:r>
        <w:t>8,673</w:t>
      </w:r>
      <w:r>
        <w:rPr>
          <w:rFonts w:cs="Arial"/>
          <w:bCs/>
          <w:lang w:val="en-US"/>
        </w:rPr>
        <w:t xml:space="preserve"> (2</w:t>
      </w:r>
      <w:r w:rsidR="0057356B">
        <w:rPr>
          <w:rFonts w:cs="Arial"/>
          <w:bCs/>
          <w:lang w:val="en-US"/>
        </w:rPr>
        <w:t>.</w:t>
      </w:r>
      <w:r>
        <w:rPr>
          <w:rFonts w:cs="Arial"/>
          <w:bCs/>
          <w:lang w:val="en-US"/>
        </w:rPr>
        <w:t xml:space="preserve">9%) and </w:t>
      </w:r>
      <w:r>
        <w:t>161/9,568</w:t>
      </w:r>
      <w:r w:rsidRPr="00DE4F77">
        <w:t xml:space="preserve"> </w:t>
      </w:r>
      <w:r>
        <w:rPr>
          <w:rFonts w:cs="Arial"/>
          <w:bCs/>
          <w:lang w:val="en-US"/>
        </w:rPr>
        <w:t>(1</w:t>
      </w:r>
      <w:r w:rsidR="0057356B">
        <w:rPr>
          <w:rFonts w:cs="Arial"/>
          <w:bCs/>
          <w:lang w:val="en-US"/>
        </w:rPr>
        <w:t>.</w:t>
      </w:r>
      <w:r>
        <w:rPr>
          <w:rFonts w:cs="Arial"/>
          <w:bCs/>
          <w:lang w:val="en-US"/>
        </w:rPr>
        <w:t xml:space="preserve">7%) patients at </w:t>
      </w:r>
      <w:r w:rsidR="006C78C7">
        <w:rPr>
          <w:rFonts w:cs="Arial"/>
          <w:bCs/>
          <w:lang w:val="en-US"/>
        </w:rPr>
        <w:t>1</w:t>
      </w:r>
      <w:r>
        <w:rPr>
          <w:rFonts w:cs="Arial"/>
          <w:bCs/>
          <w:lang w:val="en-US"/>
        </w:rPr>
        <w:t xml:space="preserve"> year</w:t>
      </w:r>
      <w:r w:rsidR="000B1BB0">
        <w:rPr>
          <w:rFonts w:cs="Arial"/>
          <w:bCs/>
          <w:lang w:val="en-US"/>
        </w:rPr>
        <w:t xml:space="preserve"> </w:t>
      </w:r>
      <w:r w:rsidR="000B1BB0">
        <w:rPr>
          <w:rFonts w:cs="Arial"/>
          <w:lang w:val="en-US"/>
        </w:rPr>
        <w:t>(adjusted odds ratio 0</w:t>
      </w:r>
      <w:r w:rsidR="0057356B">
        <w:rPr>
          <w:rFonts w:cs="Arial"/>
          <w:lang w:val="en-US"/>
        </w:rPr>
        <w:t>.</w:t>
      </w:r>
      <w:r w:rsidR="000B1BB0">
        <w:rPr>
          <w:rFonts w:cs="Arial"/>
          <w:lang w:val="en-US"/>
        </w:rPr>
        <w:t>58</w:t>
      </w:r>
      <w:r w:rsidR="000B1BB0" w:rsidRPr="0063228A">
        <w:rPr>
          <w:rFonts w:cs="Arial"/>
          <w:lang w:val="en-US"/>
        </w:rPr>
        <w:t>, 95%</w:t>
      </w:r>
      <w:r w:rsidR="000B1BB0">
        <w:rPr>
          <w:rFonts w:cs="Arial"/>
          <w:lang w:val="en-US"/>
        </w:rPr>
        <w:t xml:space="preserve"> </w:t>
      </w:r>
      <w:r w:rsidR="000B1BB0" w:rsidRPr="0063228A">
        <w:rPr>
          <w:rFonts w:cs="Arial"/>
          <w:lang w:val="en-US"/>
        </w:rPr>
        <w:t xml:space="preserve">CI </w:t>
      </w:r>
      <w:r w:rsidR="000B1BB0">
        <w:rPr>
          <w:rFonts w:cs="Arial"/>
          <w:lang w:val="en-US"/>
        </w:rPr>
        <w:t>0</w:t>
      </w:r>
      <w:r w:rsidR="0057356B">
        <w:rPr>
          <w:rFonts w:cs="Arial"/>
          <w:lang w:val="en-US"/>
        </w:rPr>
        <w:t>.</w:t>
      </w:r>
      <w:r w:rsidR="000B1BB0">
        <w:rPr>
          <w:rFonts w:cs="Arial"/>
          <w:lang w:val="en-US"/>
        </w:rPr>
        <w:t>47</w:t>
      </w:r>
      <w:r w:rsidR="000B1BB0" w:rsidRPr="0063228A">
        <w:rPr>
          <w:rFonts w:cs="Arial"/>
          <w:lang w:val="en-US"/>
        </w:rPr>
        <w:t xml:space="preserve"> to </w:t>
      </w:r>
      <w:r w:rsidR="000B1BB0">
        <w:rPr>
          <w:rFonts w:cs="Arial"/>
          <w:lang w:val="en-US"/>
        </w:rPr>
        <w:t>0</w:t>
      </w:r>
      <w:r w:rsidR="0057356B">
        <w:rPr>
          <w:rFonts w:cs="Arial"/>
          <w:lang w:val="en-US"/>
        </w:rPr>
        <w:t>.</w:t>
      </w:r>
      <w:r w:rsidR="000B1BB0">
        <w:rPr>
          <w:rFonts w:cs="Arial"/>
          <w:lang w:val="en-US"/>
        </w:rPr>
        <w:t>71</w:t>
      </w:r>
      <w:r w:rsidR="00E473D0">
        <w:rPr>
          <w:rFonts w:cs="Arial"/>
          <w:lang w:val="en-US"/>
        </w:rPr>
        <w:t>, P&lt;0</w:t>
      </w:r>
      <w:r w:rsidR="0057356B">
        <w:rPr>
          <w:rFonts w:cs="Arial"/>
          <w:lang w:val="en-US"/>
        </w:rPr>
        <w:t>.</w:t>
      </w:r>
      <w:r w:rsidR="00E473D0">
        <w:rPr>
          <w:rFonts w:cs="Arial"/>
          <w:lang w:val="en-US"/>
        </w:rPr>
        <w:t>001</w:t>
      </w:r>
      <w:r w:rsidR="000B1BB0" w:rsidRPr="0063228A">
        <w:rPr>
          <w:rFonts w:cs="Arial"/>
          <w:lang w:val="en-US"/>
        </w:rPr>
        <w:t>)</w:t>
      </w:r>
      <w:r w:rsidR="00A94FB7">
        <w:rPr>
          <w:rFonts w:cs="Arial"/>
          <w:bCs/>
          <w:lang w:val="en-US"/>
        </w:rPr>
        <w:t xml:space="preserve">. </w:t>
      </w:r>
      <w:r w:rsidR="00DE3254" w:rsidRPr="00DE4F77">
        <w:rPr>
          <w:b/>
          <w:sz w:val="36"/>
          <w:szCs w:val="36"/>
        </w:rPr>
        <w:br w:type="page"/>
      </w:r>
    </w:p>
    <w:p w14:paraId="153185FE" w14:textId="787EF85A" w:rsidR="007F6BD3" w:rsidRPr="003A43D8" w:rsidRDefault="00D70B36" w:rsidP="0057356B">
      <w:pPr>
        <w:spacing w:line="480" w:lineRule="auto"/>
        <w:rPr>
          <w:b/>
          <w:sz w:val="36"/>
          <w:szCs w:val="36"/>
        </w:rPr>
      </w:pPr>
      <w:r w:rsidRPr="00DE4F77">
        <w:rPr>
          <w:b/>
          <w:sz w:val="36"/>
          <w:szCs w:val="36"/>
        </w:rPr>
        <w:lastRenderedPageBreak/>
        <w:t>Discussion</w:t>
      </w:r>
    </w:p>
    <w:p w14:paraId="27EE1A98" w14:textId="7A3041BD" w:rsidR="007F6BD3" w:rsidRPr="00C24BFA" w:rsidRDefault="007F6BD3" w:rsidP="0057356B">
      <w:pPr>
        <w:spacing w:line="480" w:lineRule="auto"/>
      </w:pPr>
      <w:r>
        <w:rPr>
          <w:rFonts w:cs="Arial"/>
          <w:lang w:val="en-US"/>
        </w:rPr>
        <w:t xml:space="preserve">We </w:t>
      </w:r>
      <w:r w:rsidR="00303E7C">
        <w:rPr>
          <w:rFonts w:cs="Arial"/>
          <w:lang w:val="en-US"/>
        </w:rPr>
        <w:t>evaluate</w:t>
      </w:r>
      <w:r w:rsidR="00B92C3A">
        <w:rPr>
          <w:rFonts w:cs="Arial"/>
          <w:lang w:val="en-US"/>
        </w:rPr>
        <w:t>d</w:t>
      </w:r>
      <w:r>
        <w:rPr>
          <w:rFonts w:cs="Arial"/>
          <w:lang w:val="en-US"/>
        </w:rPr>
        <w:t xml:space="preserve"> the </w:t>
      </w:r>
      <w:r w:rsidR="00B92C3A">
        <w:rPr>
          <w:rFonts w:cs="Arial"/>
          <w:lang w:val="en-US"/>
        </w:rPr>
        <w:t xml:space="preserve">efficacy </w:t>
      </w:r>
      <w:r>
        <w:rPr>
          <w:rFonts w:cs="Arial"/>
          <w:lang w:val="en-US"/>
        </w:rPr>
        <w:t xml:space="preserve">and safety of implementing an early rule-out pathway in 31,492 consecutive patients </w:t>
      </w:r>
      <w:r w:rsidR="00226338">
        <w:rPr>
          <w:rFonts w:cs="Arial"/>
          <w:lang w:val="en-US"/>
        </w:rPr>
        <w:t>presenting with suspected acute coronary syndrome to the Emergency Department or Acute Medical Receiving Unit</w:t>
      </w:r>
      <w:r>
        <w:rPr>
          <w:rFonts w:cs="Arial"/>
          <w:lang w:val="en-US"/>
        </w:rPr>
        <w:t xml:space="preserve">. </w:t>
      </w:r>
      <w:r w:rsidR="00DE37A4">
        <w:rPr>
          <w:rFonts w:cs="Arial"/>
          <w:lang w:val="en-US"/>
        </w:rPr>
        <w:t>Introducing</w:t>
      </w:r>
      <w:r>
        <w:rPr>
          <w:rFonts w:cs="Arial"/>
          <w:lang w:val="en-US"/>
        </w:rPr>
        <w:t xml:space="preserve"> the pathway</w:t>
      </w:r>
      <w:r w:rsidR="00DE37A4">
        <w:rPr>
          <w:rFonts w:cs="Arial"/>
          <w:lang w:val="en-US"/>
        </w:rPr>
        <w:t xml:space="preserve"> into </w:t>
      </w:r>
      <w:r w:rsidR="00B92C3A">
        <w:rPr>
          <w:rFonts w:cs="Arial"/>
          <w:lang w:val="en-US"/>
        </w:rPr>
        <w:t xml:space="preserve">clinical </w:t>
      </w:r>
      <w:r w:rsidR="00DE37A4">
        <w:rPr>
          <w:rFonts w:cs="Arial"/>
          <w:lang w:val="en-US"/>
        </w:rPr>
        <w:t>practice</w:t>
      </w:r>
      <w:r>
        <w:rPr>
          <w:rFonts w:cs="Arial"/>
          <w:lang w:val="en-US"/>
        </w:rPr>
        <w:t xml:space="preserve"> reduced length of stay by 3</w:t>
      </w:r>
      <w:r w:rsidR="0057356B">
        <w:rPr>
          <w:rFonts w:cs="Arial"/>
          <w:lang w:val="en-US"/>
        </w:rPr>
        <w:t>.</w:t>
      </w:r>
      <w:r w:rsidR="000B1BB0">
        <w:rPr>
          <w:rFonts w:cs="Arial"/>
          <w:lang w:val="en-US"/>
        </w:rPr>
        <w:t>3</w:t>
      </w:r>
      <w:r>
        <w:rPr>
          <w:rFonts w:cs="Arial"/>
          <w:lang w:val="en-US"/>
        </w:rPr>
        <w:t xml:space="preserve"> hours and increased the </w:t>
      </w:r>
      <w:r w:rsidR="0063178A">
        <w:rPr>
          <w:rFonts w:cs="Arial"/>
          <w:lang w:val="en-US"/>
        </w:rPr>
        <w:t xml:space="preserve">odds </w:t>
      </w:r>
      <w:r>
        <w:rPr>
          <w:rFonts w:cs="Arial"/>
          <w:lang w:val="en-US"/>
        </w:rPr>
        <w:t xml:space="preserve">of patients </w:t>
      </w:r>
      <w:r w:rsidR="000B1BB0">
        <w:rPr>
          <w:rFonts w:cs="Arial"/>
          <w:lang w:val="en-US"/>
        </w:rPr>
        <w:t>avoiding hospital admission</w:t>
      </w:r>
      <w:r>
        <w:rPr>
          <w:rFonts w:cs="Arial"/>
          <w:lang w:val="en-US"/>
        </w:rPr>
        <w:t xml:space="preserve"> by 5</w:t>
      </w:r>
      <w:r w:rsidR="000B1BB0">
        <w:rPr>
          <w:rFonts w:cs="Arial"/>
          <w:lang w:val="en-US"/>
        </w:rPr>
        <w:t>9</w:t>
      </w:r>
      <w:r>
        <w:rPr>
          <w:rFonts w:cs="Arial"/>
          <w:lang w:val="en-US"/>
        </w:rPr>
        <w:t>%</w:t>
      </w:r>
      <w:r w:rsidR="009302A2">
        <w:rPr>
          <w:rFonts w:cs="Arial"/>
          <w:lang w:val="en-US"/>
        </w:rPr>
        <w:t xml:space="preserve">. </w:t>
      </w:r>
      <w:r w:rsidR="009302A2">
        <w:t>Non-inferiority was not formally demonstrated, but the observed differences in myocardial infarction or cardiac death following discharge favoured the early rule-out pathway</w:t>
      </w:r>
      <w:r>
        <w:rPr>
          <w:rFonts w:cs="Arial"/>
          <w:lang w:val="en-US"/>
        </w:rPr>
        <w:t xml:space="preserve">. </w:t>
      </w:r>
    </w:p>
    <w:p w14:paraId="747F1155" w14:textId="77777777" w:rsidR="007F6BD3" w:rsidRDefault="007F6BD3" w:rsidP="0057356B">
      <w:pPr>
        <w:spacing w:line="480" w:lineRule="auto"/>
        <w:rPr>
          <w:rFonts w:cs="Arial"/>
          <w:lang w:val="en-US"/>
        </w:rPr>
      </w:pPr>
    </w:p>
    <w:p w14:paraId="49C8DB18" w14:textId="5E3E6F99" w:rsidR="00DA746B" w:rsidRPr="00376B4E" w:rsidRDefault="007F6BD3" w:rsidP="0057356B">
      <w:pPr>
        <w:spacing w:line="480" w:lineRule="auto"/>
        <w:rPr>
          <w:rFonts w:cs="Arial"/>
          <w:bCs/>
          <w:lang w:val="en-US"/>
        </w:rPr>
      </w:pPr>
      <w:r>
        <w:rPr>
          <w:rFonts w:cs="Arial"/>
          <w:lang w:val="en-US"/>
        </w:rPr>
        <w:t xml:space="preserve">There are several </w:t>
      </w:r>
      <w:r w:rsidR="00303E7C">
        <w:rPr>
          <w:rFonts w:cs="Arial"/>
          <w:lang w:val="en-US"/>
        </w:rPr>
        <w:t>strengths</w:t>
      </w:r>
      <w:r>
        <w:rPr>
          <w:rFonts w:cs="Arial"/>
          <w:lang w:val="en-US"/>
        </w:rPr>
        <w:t xml:space="preserve"> </w:t>
      </w:r>
      <w:r w:rsidR="006E1CBA">
        <w:rPr>
          <w:rFonts w:cs="Arial"/>
          <w:lang w:val="en-US"/>
        </w:rPr>
        <w:t>of</w:t>
      </w:r>
      <w:r>
        <w:rPr>
          <w:rFonts w:cs="Arial"/>
          <w:lang w:val="en-US"/>
        </w:rPr>
        <w:t xml:space="preserve"> our </w:t>
      </w:r>
      <w:r w:rsidR="00940E47">
        <w:rPr>
          <w:rFonts w:cs="Arial"/>
          <w:lang w:val="en-US"/>
        </w:rPr>
        <w:t xml:space="preserve">pragmatic </w:t>
      </w:r>
      <w:r>
        <w:rPr>
          <w:rFonts w:cs="Arial"/>
          <w:lang w:val="en-US"/>
        </w:rPr>
        <w:t>trial design</w:t>
      </w:r>
      <w:r w:rsidR="00C72FD3">
        <w:rPr>
          <w:rFonts w:cs="Arial"/>
          <w:lang w:val="en-US"/>
        </w:rPr>
        <w:t>.</w:t>
      </w:r>
      <w:r>
        <w:rPr>
          <w:rFonts w:cs="Arial"/>
          <w:lang w:val="en-US"/>
        </w:rPr>
        <w:t xml:space="preserve"> </w:t>
      </w:r>
      <w:r w:rsidR="00933BC1">
        <w:rPr>
          <w:rFonts w:cs="Arial"/>
          <w:lang w:val="en-US"/>
        </w:rPr>
        <w:t>First, w</w:t>
      </w:r>
      <w:r w:rsidR="0096101F">
        <w:rPr>
          <w:rFonts w:cs="Arial"/>
          <w:lang w:val="en-US"/>
        </w:rPr>
        <w:t xml:space="preserve">e </w:t>
      </w:r>
      <w:r w:rsidR="00DE37A4" w:rsidRPr="00DE4F77">
        <w:t>embed</w:t>
      </w:r>
      <w:r w:rsidR="00DE37A4">
        <w:t>ded</w:t>
      </w:r>
      <w:r w:rsidR="00DE37A4" w:rsidRPr="00DE4F77">
        <w:t xml:space="preserve"> </w:t>
      </w:r>
      <w:r w:rsidR="00DE37A4">
        <w:t xml:space="preserve">our </w:t>
      </w:r>
      <w:r w:rsidR="00DE37A4" w:rsidRPr="00DE4F77">
        <w:t xml:space="preserve">screening tool into the </w:t>
      </w:r>
      <w:r w:rsidR="00DE37A4">
        <w:t>patient record</w:t>
      </w:r>
      <w:r w:rsidR="00DE37A4" w:rsidRPr="00DE4F77">
        <w:t xml:space="preserve"> </w:t>
      </w:r>
      <w:r w:rsidR="00DE37A4">
        <w:t xml:space="preserve">to ensure we prospectively </w:t>
      </w:r>
      <w:r w:rsidR="0096101F">
        <w:rPr>
          <w:rFonts w:cs="Arial"/>
          <w:lang w:val="en-US"/>
        </w:rPr>
        <w:t xml:space="preserve">enrolled consecutive patients </w:t>
      </w:r>
      <w:r w:rsidR="00376B4E" w:rsidRPr="00DE4F77">
        <w:t>whom the attending clinician suspected acute coronary syndrome</w:t>
      </w:r>
      <w:r w:rsidR="00376B4E">
        <w:t xml:space="preserve">. This </w:t>
      </w:r>
      <w:r w:rsidR="00B57A5B">
        <w:rPr>
          <w:rFonts w:cs="Arial"/>
          <w:lang w:val="en-US"/>
        </w:rPr>
        <w:t>minim</w:t>
      </w:r>
      <w:r w:rsidR="00320221">
        <w:rPr>
          <w:rFonts w:cs="Arial"/>
          <w:lang w:val="en-US"/>
        </w:rPr>
        <w:t>ize</w:t>
      </w:r>
      <w:r w:rsidR="00B57A5B">
        <w:rPr>
          <w:rFonts w:cs="Arial"/>
          <w:lang w:val="en-US"/>
        </w:rPr>
        <w:t xml:space="preserve">d </w:t>
      </w:r>
      <w:r w:rsidR="00E21F3D">
        <w:rPr>
          <w:rFonts w:cs="Arial"/>
          <w:lang w:val="en-US"/>
        </w:rPr>
        <w:t xml:space="preserve">the risk of selection bias, ensuring we did not </w:t>
      </w:r>
      <w:r w:rsidR="00DE37A4">
        <w:rPr>
          <w:rFonts w:cs="Arial"/>
          <w:lang w:val="en-US"/>
        </w:rPr>
        <w:t>limit</w:t>
      </w:r>
      <w:r w:rsidR="00E21F3D">
        <w:rPr>
          <w:rFonts w:cs="Arial"/>
          <w:lang w:val="en-US"/>
        </w:rPr>
        <w:t xml:space="preserve"> our findings to </w:t>
      </w:r>
      <w:r w:rsidR="00933BC1">
        <w:rPr>
          <w:rFonts w:cs="Arial"/>
          <w:lang w:val="en-US"/>
        </w:rPr>
        <w:t>low</w:t>
      </w:r>
      <w:r w:rsidR="00E21F3D">
        <w:rPr>
          <w:rFonts w:cs="Arial"/>
          <w:lang w:val="en-US"/>
        </w:rPr>
        <w:t>-</w:t>
      </w:r>
      <w:r w:rsidR="00933BC1">
        <w:rPr>
          <w:rFonts w:cs="Arial"/>
          <w:lang w:val="en-US"/>
        </w:rPr>
        <w:t xml:space="preserve">risk patients or those presenting within working hours. Second, </w:t>
      </w:r>
      <w:r w:rsidR="00376B4E">
        <w:rPr>
          <w:rFonts w:cs="Arial"/>
          <w:lang w:val="en-US"/>
        </w:rPr>
        <w:t>as the intervention was implemented at the hospital level</w:t>
      </w:r>
      <w:r w:rsidR="00B92C3A">
        <w:rPr>
          <w:rFonts w:cs="Arial"/>
          <w:lang w:val="en-US"/>
        </w:rPr>
        <w:t>,</w:t>
      </w:r>
      <w:r w:rsidR="00376B4E">
        <w:rPr>
          <w:rFonts w:cs="Arial"/>
          <w:lang w:val="en-US"/>
        </w:rPr>
        <w:t xml:space="preserve"> </w:t>
      </w:r>
      <w:r w:rsidR="00933BC1">
        <w:rPr>
          <w:rFonts w:cs="Arial"/>
          <w:lang w:val="en-US"/>
        </w:rPr>
        <w:t>w</w:t>
      </w:r>
      <w:r w:rsidR="0096101F">
        <w:rPr>
          <w:rFonts w:cs="Arial"/>
          <w:lang w:val="en-US"/>
        </w:rPr>
        <w:t>e did not seek individual patient consent</w:t>
      </w:r>
      <w:r w:rsidR="00376B4E">
        <w:rPr>
          <w:rFonts w:cs="Arial"/>
          <w:lang w:val="en-US"/>
        </w:rPr>
        <w:t>. This reduced the</w:t>
      </w:r>
      <w:r w:rsidR="00933BC1">
        <w:rPr>
          <w:rFonts w:cs="Arial"/>
          <w:lang w:val="en-US"/>
        </w:rPr>
        <w:t xml:space="preserve"> </w:t>
      </w:r>
      <w:r w:rsidR="0076013F">
        <w:rPr>
          <w:rFonts w:cs="Arial"/>
          <w:lang w:val="en-US"/>
        </w:rPr>
        <w:t>risk of</w:t>
      </w:r>
      <w:r w:rsidR="00376B4E">
        <w:rPr>
          <w:rFonts w:cs="Arial"/>
          <w:lang w:val="en-US"/>
        </w:rPr>
        <w:t xml:space="preserve"> </w:t>
      </w:r>
      <w:r w:rsidR="0076013F">
        <w:rPr>
          <w:rFonts w:cs="Arial"/>
          <w:lang w:val="en-US"/>
        </w:rPr>
        <w:t xml:space="preserve">a </w:t>
      </w:r>
      <w:r w:rsidR="00D26BAA">
        <w:rPr>
          <w:rFonts w:cs="Arial"/>
          <w:lang w:val="en-US"/>
        </w:rPr>
        <w:t>H</w:t>
      </w:r>
      <w:r w:rsidR="0076013F">
        <w:rPr>
          <w:rFonts w:cs="Arial"/>
          <w:lang w:val="en-US"/>
        </w:rPr>
        <w:t>awthorn</w:t>
      </w:r>
      <w:r w:rsidR="00D26BAA">
        <w:rPr>
          <w:rFonts w:cs="Arial"/>
          <w:lang w:val="en-US"/>
        </w:rPr>
        <w:t>e</w:t>
      </w:r>
      <w:r w:rsidR="0076013F">
        <w:rPr>
          <w:rFonts w:cs="Arial"/>
          <w:lang w:val="en-US"/>
        </w:rPr>
        <w:t xml:space="preserve"> effect where</w:t>
      </w:r>
      <w:r w:rsidR="00940E47">
        <w:rPr>
          <w:rFonts w:cs="Arial"/>
          <w:lang w:val="en-US"/>
        </w:rPr>
        <w:t xml:space="preserve"> effectiveness </w:t>
      </w:r>
      <w:r w:rsidR="00376B4E">
        <w:rPr>
          <w:rFonts w:cs="Arial"/>
          <w:lang w:val="en-US"/>
        </w:rPr>
        <w:t>is</w:t>
      </w:r>
      <w:r w:rsidR="00940E47">
        <w:rPr>
          <w:rFonts w:cs="Arial"/>
          <w:lang w:val="en-US"/>
        </w:rPr>
        <w:t xml:space="preserve"> exaggerated through </w:t>
      </w:r>
      <w:r w:rsidR="00E21F3D">
        <w:rPr>
          <w:rFonts w:cs="Arial"/>
          <w:lang w:val="en-US"/>
        </w:rPr>
        <w:t xml:space="preserve">direct </w:t>
      </w:r>
      <w:r w:rsidR="0076013F">
        <w:rPr>
          <w:rFonts w:cs="Arial"/>
          <w:lang w:val="en-US"/>
        </w:rPr>
        <w:t xml:space="preserve">observation </w:t>
      </w:r>
      <w:r w:rsidR="00940E47">
        <w:rPr>
          <w:rFonts w:cs="Arial"/>
          <w:lang w:val="en-US"/>
        </w:rPr>
        <w:t>of clinical care by</w:t>
      </w:r>
      <w:r w:rsidR="0076013F">
        <w:rPr>
          <w:rFonts w:cs="Arial"/>
          <w:lang w:val="en-US"/>
        </w:rPr>
        <w:t xml:space="preserve"> researchers. </w:t>
      </w:r>
      <w:r w:rsidR="00933BC1">
        <w:rPr>
          <w:rFonts w:cs="Arial"/>
          <w:lang w:val="en-US"/>
        </w:rPr>
        <w:t xml:space="preserve">Third, our trial population </w:t>
      </w:r>
      <w:r w:rsidR="00DE37A4">
        <w:rPr>
          <w:rFonts w:cs="Arial"/>
          <w:lang w:val="en-US"/>
        </w:rPr>
        <w:t>was</w:t>
      </w:r>
      <w:r w:rsidR="00933BC1">
        <w:rPr>
          <w:rFonts w:cs="Arial"/>
          <w:lang w:val="en-US"/>
        </w:rPr>
        <w:t xml:space="preserve"> </w:t>
      </w:r>
      <w:r w:rsidR="00BD1998">
        <w:rPr>
          <w:rFonts w:cs="Arial"/>
          <w:bCs/>
          <w:lang w:val="en-US"/>
        </w:rPr>
        <w:t xml:space="preserve">larger than the combined number of patients </w:t>
      </w:r>
      <w:r w:rsidR="00E21F3D">
        <w:rPr>
          <w:rFonts w:cs="Arial"/>
          <w:bCs/>
          <w:lang w:val="en-US"/>
        </w:rPr>
        <w:t>enrolled</w:t>
      </w:r>
      <w:r w:rsidR="00BD1998">
        <w:rPr>
          <w:rFonts w:cs="Arial"/>
          <w:bCs/>
          <w:lang w:val="en-US"/>
        </w:rPr>
        <w:t xml:space="preserve"> in 30 </w:t>
      </w:r>
      <w:r w:rsidR="00E21F3D">
        <w:rPr>
          <w:rFonts w:cs="Arial"/>
          <w:bCs/>
          <w:lang w:val="en-US"/>
        </w:rPr>
        <w:t>previous</w:t>
      </w:r>
      <w:r w:rsidR="00BD1998">
        <w:rPr>
          <w:rFonts w:cs="Arial"/>
          <w:bCs/>
          <w:lang w:val="en-US"/>
        </w:rPr>
        <w:t xml:space="preserve"> </w:t>
      </w:r>
      <w:r w:rsidR="00526C98">
        <w:rPr>
          <w:rFonts w:cs="Arial"/>
          <w:bCs/>
          <w:lang w:val="en-US"/>
        </w:rPr>
        <w:t xml:space="preserve">observational </w:t>
      </w:r>
      <w:r w:rsidR="00BD1998">
        <w:rPr>
          <w:rFonts w:cs="Arial"/>
          <w:bCs/>
          <w:lang w:val="en-US"/>
        </w:rPr>
        <w:t>studies</w:t>
      </w:r>
      <w:r w:rsidR="00C72FD3">
        <w:rPr>
          <w:rFonts w:cs="Arial"/>
          <w:bCs/>
          <w:lang w:val="en-US"/>
        </w:rPr>
        <w:t>.</w:t>
      </w:r>
      <w:r w:rsidR="005E6A04" w:rsidRPr="00804CFA">
        <w:rPr>
          <w:rFonts w:cs="Arial"/>
          <w:bCs/>
          <w:vertAlign w:val="superscript"/>
          <w:lang w:val="en-US"/>
        </w:rPr>
        <w:t>2</w:t>
      </w:r>
      <w:r w:rsidR="005E6A04">
        <w:rPr>
          <w:rFonts w:cs="Arial"/>
          <w:bCs/>
          <w:vertAlign w:val="superscript"/>
          <w:lang w:val="en-US"/>
        </w:rPr>
        <w:t>7</w:t>
      </w:r>
      <w:r w:rsidR="00C72FD3" w:rsidRPr="00804CFA">
        <w:rPr>
          <w:rFonts w:cs="Arial"/>
          <w:bCs/>
          <w:vertAlign w:val="superscript"/>
          <w:lang w:val="en-US"/>
        </w:rPr>
        <w:t>,2</w:t>
      </w:r>
      <w:r w:rsidR="005E6A04">
        <w:rPr>
          <w:rFonts w:cs="Arial"/>
          <w:bCs/>
          <w:vertAlign w:val="superscript"/>
          <w:lang w:val="en-US"/>
        </w:rPr>
        <w:t>8</w:t>
      </w:r>
      <w:r w:rsidR="00DE37A4">
        <w:rPr>
          <w:rFonts w:cs="Arial"/>
          <w:bCs/>
          <w:lang w:val="en-US"/>
        </w:rPr>
        <w:t xml:space="preserve"> This</w:t>
      </w:r>
      <w:r w:rsidR="00E21F3D">
        <w:rPr>
          <w:rFonts w:cs="Arial"/>
          <w:bCs/>
          <w:lang w:val="en-US"/>
        </w:rPr>
        <w:t xml:space="preserve"> ensured we had a </w:t>
      </w:r>
      <w:r w:rsidR="00A8498A">
        <w:rPr>
          <w:rFonts w:cs="Arial"/>
          <w:bCs/>
          <w:lang w:val="en-US"/>
        </w:rPr>
        <w:t xml:space="preserve">greater </w:t>
      </w:r>
      <w:r w:rsidR="00E21F3D">
        <w:rPr>
          <w:rFonts w:cs="Arial"/>
          <w:bCs/>
          <w:lang w:val="en-US"/>
        </w:rPr>
        <w:t xml:space="preserve">number of events to evaluate safety. Finally, </w:t>
      </w:r>
      <w:r w:rsidR="00DA746B">
        <w:rPr>
          <w:rFonts w:cs="Arial"/>
          <w:bCs/>
          <w:lang w:val="en-US"/>
        </w:rPr>
        <w:t xml:space="preserve">we combined </w:t>
      </w:r>
      <w:r w:rsidR="00DE37A4">
        <w:rPr>
          <w:rFonts w:cs="Arial"/>
          <w:bCs/>
          <w:lang w:val="en-US"/>
        </w:rPr>
        <w:t>hospital</w:t>
      </w:r>
      <w:r w:rsidR="00380189">
        <w:rPr>
          <w:rFonts w:cs="Arial"/>
          <w:bCs/>
          <w:lang w:val="en-US"/>
        </w:rPr>
        <w:t>-</w:t>
      </w:r>
      <w:r w:rsidR="00DE37A4">
        <w:rPr>
          <w:rFonts w:cs="Arial"/>
          <w:bCs/>
          <w:lang w:val="en-US"/>
        </w:rPr>
        <w:t xml:space="preserve">level </w:t>
      </w:r>
      <w:r w:rsidR="00DA746B">
        <w:rPr>
          <w:rFonts w:cs="Arial"/>
          <w:bCs/>
          <w:lang w:val="en-US"/>
        </w:rPr>
        <w:t>data</w:t>
      </w:r>
      <w:r w:rsidR="00E21F3D">
        <w:rPr>
          <w:rFonts w:cs="Arial"/>
          <w:bCs/>
          <w:lang w:val="en-US"/>
        </w:rPr>
        <w:t xml:space="preserve"> </w:t>
      </w:r>
      <w:r w:rsidR="00DE37A4">
        <w:rPr>
          <w:rFonts w:cs="Arial"/>
          <w:bCs/>
          <w:lang w:val="en-US"/>
        </w:rPr>
        <w:t xml:space="preserve">with </w:t>
      </w:r>
      <w:r w:rsidR="00856137">
        <w:rPr>
          <w:rFonts w:cs="Arial"/>
          <w:bCs/>
          <w:lang w:val="en-US"/>
        </w:rPr>
        <w:t>established</w:t>
      </w:r>
      <w:r w:rsidR="00E21F3D">
        <w:rPr>
          <w:rFonts w:cs="Arial"/>
          <w:bCs/>
          <w:lang w:val="en-US"/>
        </w:rPr>
        <w:t xml:space="preserve"> </w:t>
      </w:r>
      <w:r w:rsidR="00DE37A4">
        <w:rPr>
          <w:rFonts w:cs="Arial"/>
          <w:bCs/>
          <w:lang w:val="en-US"/>
        </w:rPr>
        <w:t>registries</w:t>
      </w:r>
      <w:r w:rsidR="00E21F3D">
        <w:rPr>
          <w:rFonts w:cs="Arial"/>
          <w:bCs/>
          <w:lang w:val="en-US"/>
        </w:rPr>
        <w:t xml:space="preserve"> </w:t>
      </w:r>
      <w:r w:rsidR="00DA746B">
        <w:rPr>
          <w:rFonts w:cs="Arial"/>
          <w:bCs/>
          <w:lang w:val="en-US"/>
        </w:rPr>
        <w:t>to ensure follow up was complete</w:t>
      </w:r>
      <w:r w:rsidR="00376B4E">
        <w:rPr>
          <w:rFonts w:cs="Arial"/>
          <w:bCs/>
          <w:lang w:val="en-US"/>
        </w:rPr>
        <w:t xml:space="preserve"> in </w:t>
      </w:r>
      <w:r w:rsidR="00380189">
        <w:rPr>
          <w:rFonts w:cs="Arial"/>
          <w:bCs/>
          <w:lang w:val="en-US"/>
        </w:rPr>
        <w:t>99</w:t>
      </w:r>
      <w:r w:rsidR="0057356B">
        <w:rPr>
          <w:rFonts w:cs="Arial"/>
          <w:bCs/>
          <w:lang w:val="en-US"/>
        </w:rPr>
        <w:t>.</w:t>
      </w:r>
      <w:r w:rsidR="00380189">
        <w:rPr>
          <w:rFonts w:cs="Arial"/>
          <w:bCs/>
          <w:lang w:val="en-US"/>
        </w:rPr>
        <w:t>8%</w:t>
      </w:r>
      <w:r w:rsidR="00DE37A4">
        <w:rPr>
          <w:rFonts w:cs="Arial"/>
          <w:bCs/>
          <w:lang w:val="en-US"/>
        </w:rPr>
        <w:t xml:space="preserve"> </w:t>
      </w:r>
      <w:r w:rsidR="00380189">
        <w:rPr>
          <w:rFonts w:cs="Arial"/>
          <w:bCs/>
          <w:lang w:val="en-US"/>
        </w:rPr>
        <w:t xml:space="preserve">of </w:t>
      </w:r>
      <w:r w:rsidR="00376B4E">
        <w:rPr>
          <w:rFonts w:cs="Arial"/>
          <w:bCs/>
          <w:lang w:val="en-US"/>
        </w:rPr>
        <w:t>participants</w:t>
      </w:r>
      <w:r w:rsidR="00DA746B">
        <w:rPr>
          <w:rFonts w:cs="Arial"/>
          <w:bCs/>
          <w:lang w:val="en-US"/>
        </w:rPr>
        <w:t xml:space="preserve">, and </w:t>
      </w:r>
      <w:r w:rsidR="00376B4E">
        <w:rPr>
          <w:rFonts w:cs="Arial"/>
          <w:bCs/>
          <w:lang w:val="en-US"/>
        </w:rPr>
        <w:t>that our</w:t>
      </w:r>
      <w:r w:rsidR="00DA746B">
        <w:rPr>
          <w:rFonts w:cs="Arial"/>
          <w:bCs/>
          <w:lang w:val="en-US"/>
        </w:rPr>
        <w:t xml:space="preserve"> panel </w:t>
      </w:r>
      <w:r w:rsidR="00B92C3A">
        <w:rPr>
          <w:rFonts w:cs="Arial"/>
          <w:bCs/>
          <w:lang w:val="en-US"/>
        </w:rPr>
        <w:t xml:space="preserve">was </w:t>
      </w:r>
      <w:r w:rsidR="00376B4E">
        <w:rPr>
          <w:rFonts w:cs="Arial"/>
          <w:bCs/>
          <w:lang w:val="en-US"/>
        </w:rPr>
        <w:t xml:space="preserve">able to </w:t>
      </w:r>
      <w:r w:rsidR="006E1CBA">
        <w:rPr>
          <w:rFonts w:cs="Arial"/>
          <w:bCs/>
          <w:lang w:val="en-US"/>
        </w:rPr>
        <w:t>adjudicate</w:t>
      </w:r>
      <w:r w:rsidR="00DA746B">
        <w:rPr>
          <w:rFonts w:cs="Arial"/>
          <w:bCs/>
          <w:lang w:val="en-US"/>
        </w:rPr>
        <w:t xml:space="preserve"> all safety outcome events. </w:t>
      </w:r>
    </w:p>
    <w:p w14:paraId="398A133E" w14:textId="77777777" w:rsidR="00DA746B" w:rsidRDefault="00DA746B" w:rsidP="0057356B">
      <w:pPr>
        <w:spacing w:line="480" w:lineRule="auto"/>
        <w:rPr>
          <w:rFonts w:cs="Arial"/>
          <w:bCs/>
          <w:lang w:val="en-US"/>
        </w:rPr>
      </w:pPr>
    </w:p>
    <w:p w14:paraId="0110FE1B" w14:textId="70641CC2" w:rsidR="000D56FD" w:rsidRDefault="00754BFE" w:rsidP="0057356B">
      <w:pPr>
        <w:spacing w:line="480" w:lineRule="auto"/>
        <w:rPr>
          <w:rFonts w:cs="Arial"/>
          <w:lang w:val="en-US"/>
        </w:rPr>
      </w:pPr>
      <w:r>
        <w:rPr>
          <w:rFonts w:cs="Arial"/>
          <w:lang w:val="en-US"/>
        </w:rPr>
        <w:t xml:space="preserve">The High-STEACS </w:t>
      </w:r>
      <w:r w:rsidR="00337104">
        <w:rPr>
          <w:rFonts w:cs="Arial"/>
          <w:lang w:val="en-US"/>
        </w:rPr>
        <w:t xml:space="preserve">early rule-out pathway </w:t>
      </w:r>
      <w:r w:rsidR="00CD0F38">
        <w:rPr>
          <w:rFonts w:cs="Arial"/>
          <w:lang w:val="en-US"/>
        </w:rPr>
        <w:t xml:space="preserve">determines whether a patient with suspected acute coronary syndrome requires hospital admission or can be </w:t>
      </w:r>
      <w:r w:rsidR="00B92C3A">
        <w:rPr>
          <w:rFonts w:cs="Arial"/>
          <w:lang w:val="en-US"/>
        </w:rPr>
        <w:t xml:space="preserve">safely </w:t>
      </w:r>
      <w:r w:rsidR="00CD0F38">
        <w:rPr>
          <w:rFonts w:cs="Arial"/>
          <w:lang w:val="en-US"/>
        </w:rPr>
        <w:t xml:space="preserve">discharged. It is based on </w:t>
      </w:r>
      <w:r w:rsidR="00234AED" w:rsidRPr="00234AED">
        <w:rPr>
          <w:rFonts w:cs="Arial"/>
          <w:lang w:val="en-US"/>
        </w:rPr>
        <w:t xml:space="preserve">three principles. First, </w:t>
      </w:r>
      <w:r w:rsidR="00234AED">
        <w:rPr>
          <w:rFonts w:cs="Arial"/>
          <w:lang w:val="en-US"/>
        </w:rPr>
        <w:t xml:space="preserve">patients with </w:t>
      </w:r>
      <w:r w:rsidR="00234AED" w:rsidRPr="00234AED">
        <w:rPr>
          <w:rFonts w:cs="Arial"/>
          <w:lang w:val="en-US"/>
        </w:rPr>
        <w:t xml:space="preserve">very low troponin concentrations </w:t>
      </w:r>
      <w:r w:rsidR="00234AED">
        <w:rPr>
          <w:rFonts w:cs="Arial"/>
          <w:lang w:val="en-US"/>
        </w:rPr>
        <w:t>are</w:t>
      </w:r>
      <w:r w:rsidR="00234AED" w:rsidRPr="00234AED">
        <w:rPr>
          <w:rFonts w:cs="Arial"/>
          <w:lang w:val="en-US"/>
        </w:rPr>
        <w:t xml:space="preserve"> at low</w:t>
      </w:r>
      <w:r w:rsidR="000D56FD">
        <w:rPr>
          <w:rFonts w:cs="Arial"/>
          <w:lang w:val="en-US"/>
        </w:rPr>
        <w:t>-</w:t>
      </w:r>
      <w:r w:rsidR="00234AED" w:rsidRPr="00234AED">
        <w:rPr>
          <w:rFonts w:cs="Arial"/>
          <w:lang w:val="en-US"/>
        </w:rPr>
        <w:t>risk</w:t>
      </w:r>
      <w:r w:rsidR="000D56FD">
        <w:rPr>
          <w:rFonts w:cs="Arial"/>
          <w:lang w:val="en-US"/>
        </w:rPr>
        <w:t xml:space="preserve"> of </w:t>
      </w:r>
      <w:r w:rsidR="000D56FD">
        <w:rPr>
          <w:rFonts w:cs="Arial"/>
          <w:lang w:val="en-US"/>
        </w:rPr>
        <w:lastRenderedPageBreak/>
        <w:t>cardiac events</w:t>
      </w:r>
      <w:r w:rsidR="00C72FD3">
        <w:rPr>
          <w:rFonts w:cs="Arial"/>
          <w:lang w:val="en-US"/>
        </w:rPr>
        <w:t>.</w:t>
      </w:r>
      <w:r w:rsidR="00C72FD3" w:rsidRPr="00804CFA">
        <w:rPr>
          <w:rFonts w:cs="Arial"/>
          <w:vertAlign w:val="superscript"/>
          <w:lang w:val="en-US"/>
        </w:rPr>
        <w:t>6</w:t>
      </w:r>
      <w:r w:rsidR="00234AED" w:rsidRPr="00234AED">
        <w:rPr>
          <w:rFonts w:cs="Arial"/>
          <w:lang w:val="en-US"/>
        </w:rPr>
        <w:t xml:space="preserve"> </w:t>
      </w:r>
      <w:r w:rsidR="000F1D73">
        <w:rPr>
          <w:rFonts w:cs="Arial"/>
          <w:lang w:val="en-US"/>
        </w:rPr>
        <w:t xml:space="preserve">We defined the optimal </w:t>
      </w:r>
      <w:r w:rsidR="00CD0F38">
        <w:rPr>
          <w:rFonts w:cs="Arial"/>
          <w:lang w:val="en-US"/>
        </w:rPr>
        <w:t xml:space="preserve">risk stratification </w:t>
      </w:r>
      <w:r w:rsidR="000F1D73">
        <w:rPr>
          <w:rFonts w:cs="Arial"/>
          <w:lang w:val="en-US"/>
        </w:rPr>
        <w:t xml:space="preserve">threshold </w:t>
      </w:r>
      <w:r w:rsidR="000F1D73">
        <w:t xml:space="preserve">as the highest concentration that gave a negative predictive value of </w:t>
      </w:r>
      <w:r w:rsidR="00CD0F38">
        <w:t>&gt;</w:t>
      </w:r>
      <w:r w:rsidR="000F1D73">
        <w:t>99</w:t>
      </w:r>
      <w:r w:rsidR="0057356B">
        <w:t>.</w:t>
      </w:r>
      <w:r w:rsidR="000F1D73">
        <w:t>5% for myocardial infarction or cardiac death at 30 days</w:t>
      </w:r>
      <w:r w:rsidR="00C72FD3">
        <w:t>,</w:t>
      </w:r>
      <w:r w:rsidR="00C72FD3" w:rsidRPr="00804CFA">
        <w:rPr>
          <w:vertAlign w:val="superscript"/>
        </w:rPr>
        <w:t>8,</w:t>
      </w:r>
      <w:r w:rsidR="005E6A04" w:rsidRPr="00804CFA">
        <w:rPr>
          <w:vertAlign w:val="superscript"/>
        </w:rPr>
        <w:t>2</w:t>
      </w:r>
      <w:r w:rsidR="005E6A04">
        <w:rPr>
          <w:vertAlign w:val="superscript"/>
        </w:rPr>
        <w:t>7</w:t>
      </w:r>
      <w:r w:rsidR="005E6A04">
        <w:t xml:space="preserve"> </w:t>
      </w:r>
      <w:r w:rsidR="000F1D73">
        <w:t xml:space="preserve">to </w:t>
      </w:r>
      <w:r w:rsidR="00B57A5B">
        <w:t>maxim</w:t>
      </w:r>
      <w:r w:rsidR="00320221">
        <w:t>ize</w:t>
      </w:r>
      <w:r w:rsidR="00B57A5B">
        <w:t xml:space="preserve"> </w:t>
      </w:r>
      <w:r w:rsidR="006E1CBA">
        <w:t xml:space="preserve">the </w:t>
      </w:r>
      <w:r w:rsidR="000F1D73">
        <w:t>effectiveness of this approach</w:t>
      </w:r>
      <w:r w:rsidR="000F1D73" w:rsidRPr="00AE6325">
        <w:t xml:space="preserve"> </w:t>
      </w:r>
      <w:r w:rsidR="000F1D73">
        <w:t xml:space="preserve">whilst maintaining safety. </w:t>
      </w:r>
      <w:r w:rsidR="000F1D73" w:rsidRPr="00234AED">
        <w:rPr>
          <w:rFonts w:cs="Arial"/>
          <w:lang w:val="en-US"/>
        </w:rPr>
        <w:t xml:space="preserve">Second, increasing concentrations above this </w:t>
      </w:r>
      <w:r w:rsidR="000F1D73">
        <w:rPr>
          <w:rFonts w:cs="Arial"/>
          <w:lang w:val="en-US"/>
        </w:rPr>
        <w:t>risk stratification</w:t>
      </w:r>
      <w:r w:rsidR="000F1D73" w:rsidRPr="00234AED">
        <w:rPr>
          <w:rFonts w:cs="Arial"/>
          <w:lang w:val="en-US"/>
        </w:rPr>
        <w:t xml:space="preserve"> threshold</w:t>
      </w:r>
      <w:r w:rsidR="00E107A4">
        <w:rPr>
          <w:rFonts w:cs="Arial"/>
          <w:lang w:val="en-US"/>
        </w:rPr>
        <w:t xml:space="preserve"> on repeat testing </w:t>
      </w:r>
      <w:r w:rsidR="000F1D73" w:rsidRPr="00234AED">
        <w:rPr>
          <w:rFonts w:cs="Arial"/>
          <w:lang w:val="en-US"/>
        </w:rPr>
        <w:t>may be important</w:t>
      </w:r>
      <w:r w:rsidR="00E107A4">
        <w:rPr>
          <w:rFonts w:cs="Arial"/>
          <w:lang w:val="en-US"/>
        </w:rPr>
        <w:t>,</w:t>
      </w:r>
      <w:r w:rsidR="000F1D73" w:rsidRPr="00234AED">
        <w:rPr>
          <w:rFonts w:cs="Arial"/>
          <w:lang w:val="en-US"/>
        </w:rPr>
        <w:t xml:space="preserve"> </w:t>
      </w:r>
      <w:r w:rsidR="00E107A4">
        <w:rPr>
          <w:rFonts w:cs="Arial"/>
          <w:lang w:val="en-US"/>
        </w:rPr>
        <w:t xml:space="preserve">even if they remain within the normal reference range, </w:t>
      </w:r>
      <w:r w:rsidR="000F1D73" w:rsidRPr="00234AED">
        <w:rPr>
          <w:rFonts w:cs="Arial"/>
          <w:lang w:val="en-US"/>
        </w:rPr>
        <w:t xml:space="preserve">and </w:t>
      </w:r>
      <w:r w:rsidR="00E107A4">
        <w:rPr>
          <w:rFonts w:cs="Arial"/>
          <w:lang w:val="en-US"/>
        </w:rPr>
        <w:t xml:space="preserve">these patients </w:t>
      </w:r>
      <w:r w:rsidR="000F1D73" w:rsidRPr="00234AED">
        <w:rPr>
          <w:rFonts w:cs="Arial"/>
          <w:lang w:val="en-US"/>
        </w:rPr>
        <w:t xml:space="preserve">require </w:t>
      </w:r>
      <w:r w:rsidR="00D26BAA">
        <w:rPr>
          <w:rFonts w:cs="Arial"/>
          <w:lang w:val="en-US"/>
        </w:rPr>
        <w:t>admission</w:t>
      </w:r>
      <w:r w:rsidR="000F1D73">
        <w:rPr>
          <w:rFonts w:cs="Arial"/>
          <w:lang w:val="en-US"/>
        </w:rPr>
        <w:t xml:space="preserve"> </w:t>
      </w:r>
      <w:r w:rsidR="00E107A4">
        <w:rPr>
          <w:rFonts w:cs="Arial"/>
          <w:lang w:val="en-US"/>
        </w:rPr>
        <w:t>to measure peak troponin concentration</w:t>
      </w:r>
      <w:r w:rsidR="00C72FD3">
        <w:rPr>
          <w:rFonts w:cs="Arial"/>
          <w:lang w:val="en-US"/>
        </w:rPr>
        <w:t>.</w:t>
      </w:r>
      <w:r w:rsidR="00C72FD3" w:rsidRPr="00804CFA">
        <w:rPr>
          <w:rFonts w:cs="Arial"/>
          <w:vertAlign w:val="superscript"/>
          <w:lang w:val="en-US"/>
        </w:rPr>
        <w:t>1</w:t>
      </w:r>
      <w:r w:rsidR="005E6A04">
        <w:rPr>
          <w:rFonts w:cs="Arial"/>
          <w:vertAlign w:val="superscript"/>
          <w:lang w:val="en-US"/>
        </w:rPr>
        <w:t>9</w:t>
      </w:r>
      <w:r w:rsidR="000F1D73">
        <w:rPr>
          <w:rFonts w:cs="Arial"/>
          <w:lang w:val="en-US"/>
        </w:rPr>
        <w:t xml:space="preserve"> </w:t>
      </w:r>
      <w:r w:rsidR="000F1D73" w:rsidRPr="00234AED">
        <w:rPr>
          <w:rFonts w:cs="Arial"/>
          <w:lang w:val="en-US"/>
        </w:rPr>
        <w:t xml:space="preserve">We define this using a change in concentration of </w:t>
      </w:r>
      <w:r w:rsidR="00E107A4">
        <w:rPr>
          <w:rFonts w:cs="Arial"/>
          <w:lang w:val="en-US"/>
        </w:rPr>
        <w:t>≥</w:t>
      </w:r>
      <w:r w:rsidR="000F1D73" w:rsidRPr="00234AED">
        <w:rPr>
          <w:rFonts w:cs="Arial"/>
          <w:lang w:val="en-US"/>
        </w:rPr>
        <w:t>3 ng/L</w:t>
      </w:r>
      <w:r w:rsidR="000F1D73">
        <w:rPr>
          <w:rFonts w:cs="Arial"/>
          <w:lang w:val="en-US"/>
        </w:rPr>
        <w:t xml:space="preserve">, based on </w:t>
      </w:r>
      <w:r w:rsidR="000F1D73" w:rsidRPr="00234AED">
        <w:rPr>
          <w:rFonts w:cs="Arial"/>
          <w:lang w:val="en-US"/>
        </w:rPr>
        <w:t xml:space="preserve">the lowest measurable change that exceeds </w:t>
      </w:r>
      <w:r w:rsidR="000F1D73">
        <w:rPr>
          <w:rFonts w:cs="Arial"/>
          <w:lang w:val="en-US"/>
        </w:rPr>
        <w:t xml:space="preserve">biological and </w:t>
      </w:r>
      <w:r w:rsidR="000F1D73" w:rsidRPr="00234AED">
        <w:rPr>
          <w:rFonts w:cs="Arial"/>
          <w:lang w:val="en-US"/>
        </w:rPr>
        <w:t>analytical variation</w:t>
      </w:r>
      <w:r w:rsidR="00C72FD3">
        <w:rPr>
          <w:rFonts w:cs="Arial"/>
          <w:lang w:val="en-US"/>
        </w:rPr>
        <w:t>.</w:t>
      </w:r>
      <w:r w:rsidR="005E6A04">
        <w:rPr>
          <w:rFonts w:cs="Arial"/>
          <w:vertAlign w:val="superscript"/>
          <w:lang w:val="en-US"/>
        </w:rPr>
        <w:t>29</w:t>
      </w:r>
      <w:r w:rsidR="005E6A04">
        <w:rPr>
          <w:rFonts w:cs="Arial"/>
          <w:lang w:val="en-US"/>
        </w:rPr>
        <w:t xml:space="preserve"> </w:t>
      </w:r>
      <w:r w:rsidR="00CD0F38">
        <w:rPr>
          <w:rFonts w:cs="Arial"/>
          <w:lang w:val="en-US"/>
        </w:rPr>
        <w:t xml:space="preserve">Third, to </w:t>
      </w:r>
      <w:r w:rsidR="00234AED" w:rsidRPr="00234AED">
        <w:rPr>
          <w:rFonts w:cs="Arial"/>
          <w:lang w:val="en-US"/>
        </w:rPr>
        <w:t>ensure our pathway</w:t>
      </w:r>
      <w:r w:rsidR="00CD0F38">
        <w:rPr>
          <w:rFonts w:cs="Arial"/>
          <w:lang w:val="en-US"/>
        </w:rPr>
        <w:t xml:space="preserve"> </w:t>
      </w:r>
      <w:r w:rsidR="000D56FD">
        <w:rPr>
          <w:rFonts w:cs="Arial"/>
          <w:lang w:val="en-US"/>
        </w:rPr>
        <w:t xml:space="preserve">is consistent with </w:t>
      </w:r>
      <w:r w:rsidR="00DE37A4">
        <w:rPr>
          <w:rFonts w:cs="Arial"/>
          <w:lang w:val="en-US"/>
        </w:rPr>
        <w:t>international guidelines</w:t>
      </w:r>
      <w:r w:rsidR="00B92C3A">
        <w:rPr>
          <w:rFonts w:cs="Arial"/>
          <w:lang w:val="en-US"/>
        </w:rPr>
        <w:t>,</w:t>
      </w:r>
      <w:r w:rsidR="00C72FD3" w:rsidRPr="00804CFA">
        <w:rPr>
          <w:rFonts w:cs="Arial"/>
          <w:vertAlign w:val="superscript"/>
          <w:lang w:val="en-US"/>
        </w:rPr>
        <w:t>4</w:t>
      </w:r>
      <w:r w:rsidR="000D56FD">
        <w:rPr>
          <w:rFonts w:cs="Arial"/>
          <w:lang w:val="en-US"/>
        </w:rPr>
        <w:t xml:space="preserve"> we </w:t>
      </w:r>
      <w:r w:rsidR="00B92C3A">
        <w:rPr>
          <w:rFonts w:cs="Arial"/>
          <w:lang w:val="en-US"/>
        </w:rPr>
        <w:t>applied</w:t>
      </w:r>
      <w:r w:rsidR="00B92C3A" w:rsidRPr="00234AED">
        <w:rPr>
          <w:rFonts w:cs="Arial"/>
          <w:lang w:val="en-US"/>
        </w:rPr>
        <w:t xml:space="preserve"> </w:t>
      </w:r>
      <w:r w:rsidR="00234AED" w:rsidRPr="00234AED">
        <w:rPr>
          <w:rFonts w:cs="Arial"/>
          <w:lang w:val="en-US"/>
        </w:rPr>
        <w:t xml:space="preserve">the </w:t>
      </w:r>
      <w:r w:rsidR="00040BBC">
        <w:rPr>
          <w:rFonts w:cs="Arial"/>
          <w:lang w:val="en-US"/>
        </w:rPr>
        <w:t xml:space="preserve">sex-specific </w:t>
      </w:r>
      <w:r w:rsidR="00234AED" w:rsidRPr="00234AED">
        <w:rPr>
          <w:rFonts w:cs="Arial"/>
          <w:lang w:val="en-US"/>
        </w:rPr>
        <w:t>99</w:t>
      </w:r>
      <w:r w:rsidR="00234AED" w:rsidRPr="004B34A0">
        <w:rPr>
          <w:rFonts w:cs="Arial"/>
          <w:vertAlign w:val="superscript"/>
          <w:lang w:val="en-US"/>
        </w:rPr>
        <w:t>th</w:t>
      </w:r>
      <w:r w:rsidR="00234AED" w:rsidRPr="00234AED">
        <w:rPr>
          <w:rFonts w:cs="Arial"/>
          <w:lang w:val="en-US"/>
        </w:rPr>
        <w:t xml:space="preserve"> centile </w:t>
      </w:r>
      <w:r w:rsidR="00911950">
        <w:rPr>
          <w:rFonts w:cs="Arial"/>
          <w:lang w:val="en-US"/>
        </w:rPr>
        <w:t xml:space="preserve">as the threshold </w:t>
      </w:r>
      <w:r w:rsidR="00234AED" w:rsidRPr="00234AED">
        <w:rPr>
          <w:rFonts w:cs="Arial"/>
          <w:lang w:val="en-US"/>
        </w:rPr>
        <w:t xml:space="preserve">to identify patients who require hospital admission. </w:t>
      </w:r>
      <w:r w:rsidR="00F60D29">
        <w:rPr>
          <w:rFonts w:cs="Arial"/>
          <w:lang w:val="en-US"/>
        </w:rPr>
        <w:t>A</w:t>
      </w:r>
      <w:r w:rsidR="000D56FD">
        <w:rPr>
          <w:rFonts w:cs="Arial"/>
          <w:lang w:val="en-US"/>
        </w:rPr>
        <w:t xml:space="preserve">dherence </w:t>
      </w:r>
      <w:r w:rsidR="00F60D29">
        <w:rPr>
          <w:rFonts w:cs="Arial"/>
          <w:lang w:val="en-US"/>
        </w:rPr>
        <w:t xml:space="preserve">was good </w:t>
      </w:r>
      <w:r w:rsidR="000D56FD">
        <w:rPr>
          <w:rFonts w:cs="Arial"/>
          <w:lang w:val="en-US"/>
        </w:rPr>
        <w:t xml:space="preserve">across </w:t>
      </w:r>
      <w:r w:rsidR="00F60D29">
        <w:rPr>
          <w:rFonts w:cs="Arial"/>
          <w:lang w:val="en-US"/>
        </w:rPr>
        <w:t xml:space="preserve">all </w:t>
      </w:r>
      <w:r w:rsidR="00E107A4">
        <w:rPr>
          <w:rFonts w:cs="Arial"/>
          <w:lang w:val="en-US"/>
        </w:rPr>
        <w:t>seven</w:t>
      </w:r>
      <w:r w:rsidR="000D56FD">
        <w:rPr>
          <w:rFonts w:cs="Arial"/>
          <w:lang w:val="en-US"/>
        </w:rPr>
        <w:t xml:space="preserve"> </w:t>
      </w:r>
      <w:r w:rsidR="00856137">
        <w:rPr>
          <w:rFonts w:cs="Arial"/>
          <w:lang w:val="en-US"/>
        </w:rPr>
        <w:t>acute</w:t>
      </w:r>
      <w:r w:rsidR="000D56FD">
        <w:rPr>
          <w:rFonts w:cs="Arial"/>
          <w:lang w:val="en-US"/>
        </w:rPr>
        <w:t xml:space="preserve"> hospitals </w:t>
      </w:r>
      <w:r w:rsidR="00F60D29">
        <w:rPr>
          <w:rFonts w:cs="Arial"/>
          <w:lang w:val="en-US"/>
        </w:rPr>
        <w:t xml:space="preserve">which is </w:t>
      </w:r>
      <w:r w:rsidR="000D56FD">
        <w:rPr>
          <w:rFonts w:cs="Arial"/>
          <w:lang w:val="en-US"/>
        </w:rPr>
        <w:t xml:space="preserve">testament to the simplicity of the pathway and should encourage adoption. </w:t>
      </w:r>
    </w:p>
    <w:p w14:paraId="03F0F75A" w14:textId="77777777" w:rsidR="00337104" w:rsidRDefault="00337104" w:rsidP="0057356B">
      <w:pPr>
        <w:spacing w:line="480" w:lineRule="auto"/>
        <w:rPr>
          <w:rFonts w:cs="Arial"/>
          <w:lang w:val="en-US"/>
        </w:rPr>
      </w:pPr>
    </w:p>
    <w:p w14:paraId="37983234" w14:textId="1FCB5F49" w:rsidR="00BD4875" w:rsidRDefault="000D56FD" w:rsidP="0057356B">
      <w:pPr>
        <w:spacing w:line="480" w:lineRule="auto"/>
        <w:rPr>
          <w:rFonts w:cs="Arial"/>
          <w:lang w:val="en-US"/>
        </w:rPr>
      </w:pPr>
      <w:r>
        <w:rPr>
          <w:rFonts w:cs="Arial"/>
          <w:lang w:val="en-US"/>
        </w:rPr>
        <w:t xml:space="preserve">Whilst many pathways </w:t>
      </w:r>
      <w:r w:rsidR="007D2C22">
        <w:rPr>
          <w:rFonts w:cs="Arial"/>
          <w:lang w:val="en-US"/>
        </w:rPr>
        <w:t xml:space="preserve">that </w:t>
      </w:r>
      <w:r w:rsidR="00A90891">
        <w:rPr>
          <w:rFonts w:cs="Arial"/>
          <w:lang w:val="en-US"/>
        </w:rPr>
        <w:t xml:space="preserve">incorporate </w:t>
      </w:r>
      <w:r w:rsidR="00894B8C">
        <w:rPr>
          <w:rFonts w:cs="Arial"/>
          <w:lang w:val="en-US"/>
        </w:rPr>
        <w:t xml:space="preserve">separate </w:t>
      </w:r>
      <w:r w:rsidR="00A90891">
        <w:rPr>
          <w:rFonts w:cs="Arial"/>
          <w:lang w:val="en-US"/>
        </w:rPr>
        <w:t>risk stratification and diagnostic thr</w:t>
      </w:r>
      <w:r w:rsidR="00894B8C">
        <w:rPr>
          <w:rFonts w:cs="Arial"/>
          <w:lang w:val="en-US"/>
        </w:rPr>
        <w:t>e</w:t>
      </w:r>
      <w:r w:rsidR="00A90891">
        <w:rPr>
          <w:rFonts w:cs="Arial"/>
          <w:lang w:val="en-US"/>
        </w:rPr>
        <w:t>sholds</w:t>
      </w:r>
      <w:r w:rsidR="00795D44">
        <w:rPr>
          <w:rFonts w:cs="Arial"/>
          <w:lang w:val="en-US"/>
        </w:rPr>
        <w:t xml:space="preserve"> have been described</w:t>
      </w:r>
      <w:r w:rsidR="00C72FD3">
        <w:rPr>
          <w:rFonts w:cs="Arial"/>
          <w:lang w:val="en-US"/>
        </w:rPr>
        <w:t>,</w:t>
      </w:r>
      <w:r w:rsidR="00E24BD9" w:rsidRPr="00804CFA">
        <w:rPr>
          <w:rFonts w:cs="Arial"/>
          <w:vertAlign w:val="superscript"/>
          <w:lang w:val="en-US"/>
        </w:rPr>
        <w:t>12,</w:t>
      </w:r>
      <w:r w:rsidR="005E6A04">
        <w:rPr>
          <w:rFonts w:cs="Arial"/>
          <w:vertAlign w:val="superscript"/>
          <w:lang w:val="en-US"/>
        </w:rPr>
        <w:t>30-32</w:t>
      </w:r>
      <w:r>
        <w:rPr>
          <w:rFonts w:cs="Arial"/>
          <w:lang w:val="en-US"/>
        </w:rPr>
        <w:t xml:space="preserve"> </w:t>
      </w:r>
      <w:r w:rsidR="00795D44">
        <w:rPr>
          <w:rFonts w:cs="Arial"/>
          <w:lang w:val="en-US"/>
        </w:rPr>
        <w:t xml:space="preserve">these suffer from </w:t>
      </w:r>
      <w:r w:rsidR="00795D44" w:rsidRPr="0016657D">
        <w:t xml:space="preserve">the </w:t>
      </w:r>
      <w:r w:rsidR="00795D44">
        <w:t xml:space="preserve">same limitation </w:t>
      </w:r>
      <w:r w:rsidR="00BD4875">
        <w:t xml:space="preserve">as the High-STEACS pathway; </w:t>
      </w:r>
      <w:r w:rsidR="00795D44">
        <w:t>no patient was managed according to the</w:t>
      </w:r>
      <w:r w:rsidR="00BD4875">
        <w:t>se</w:t>
      </w:r>
      <w:r w:rsidR="00795D44">
        <w:t xml:space="preserve"> pathways during their derivation or validation. </w:t>
      </w:r>
      <w:r w:rsidR="00BD4875">
        <w:t>G</w:t>
      </w:r>
      <w:r w:rsidR="00795D44">
        <w:t xml:space="preserve">uideline recommendations have therefore been based </w:t>
      </w:r>
      <w:r w:rsidR="00BD4875">
        <w:t xml:space="preserve">largely </w:t>
      </w:r>
      <w:r w:rsidR="00795D44">
        <w:t xml:space="preserve">on observational data, with little understanding of the impact of these pathways in clinical practice. </w:t>
      </w:r>
      <w:r w:rsidR="00D9647A">
        <w:rPr>
          <w:rFonts w:cs="Arial"/>
          <w:lang w:val="en-US"/>
        </w:rPr>
        <w:t>Here we have</w:t>
      </w:r>
      <w:r w:rsidR="00795D44">
        <w:rPr>
          <w:rFonts w:cs="Arial"/>
          <w:lang w:val="en-US"/>
        </w:rPr>
        <w:t xml:space="preserve"> evaluated </w:t>
      </w:r>
      <w:r w:rsidR="005B64EA">
        <w:rPr>
          <w:rFonts w:cs="Arial"/>
          <w:lang w:val="en-US"/>
        </w:rPr>
        <w:t xml:space="preserve">the </w:t>
      </w:r>
      <w:r w:rsidR="007D2C22">
        <w:rPr>
          <w:rFonts w:cs="Arial"/>
          <w:lang w:val="en-US"/>
        </w:rPr>
        <w:t xml:space="preserve">implementation </w:t>
      </w:r>
      <w:r w:rsidR="005B64EA">
        <w:rPr>
          <w:rFonts w:cs="Arial"/>
          <w:lang w:val="en-US"/>
        </w:rPr>
        <w:t xml:space="preserve">of an early rule-out pathway </w:t>
      </w:r>
      <w:r w:rsidR="004A645D">
        <w:rPr>
          <w:rFonts w:cs="Arial"/>
          <w:lang w:val="en-US"/>
        </w:rPr>
        <w:t xml:space="preserve">in a </w:t>
      </w:r>
      <w:r w:rsidR="007D2C22">
        <w:rPr>
          <w:rFonts w:cs="Arial"/>
          <w:lang w:val="en-US"/>
        </w:rPr>
        <w:t xml:space="preserve">prospective </w:t>
      </w:r>
      <w:r w:rsidR="00742F47">
        <w:rPr>
          <w:rFonts w:cs="Arial"/>
          <w:lang w:val="en-US"/>
        </w:rPr>
        <w:t>random</w:t>
      </w:r>
      <w:r w:rsidR="00320221">
        <w:rPr>
          <w:rFonts w:cs="Arial"/>
          <w:lang w:val="en-US"/>
        </w:rPr>
        <w:t>ize</w:t>
      </w:r>
      <w:r w:rsidR="00742F47">
        <w:rPr>
          <w:rFonts w:cs="Arial"/>
          <w:lang w:val="en-US"/>
        </w:rPr>
        <w:t>d</w:t>
      </w:r>
      <w:r w:rsidR="004A645D">
        <w:rPr>
          <w:rFonts w:cs="Arial"/>
          <w:lang w:val="en-US"/>
        </w:rPr>
        <w:t xml:space="preserve"> controlled trial</w:t>
      </w:r>
      <w:r w:rsidR="007D2C22">
        <w:rPr>
          <w:rFonts w:cs="Arial"/>
          <w:lang w:val="en-US"/>
        </w:rPr>
        <w:t xml:space="preserve"> of consecutive patients. </w:t>
      </w:r>
      <w:r w:rsidR="00D9647A">
        <w:rPr>
          <w:rFonts w:cs="Arial"/>
          <w:lang w:val="en-US"/>
        </w:rPr>
        <w:t>We</w:t>
      </w:r>
      <w:r>
        <w:rPr>
          <w:rFonts w:cs="Arial"/>
          <w:lang w:val="en-US"/>
        </w:rPr>
        <w:t xml:space="preserve"> </w:t>
      </w:r>
      <w:r w:rsidR="00F20BBB">
        <w:rPr>
          <w:rFonts w:cs="Arial"/>
          <w:lang w:val="en-US"/>
        </w:rPr>
        <w:t xml:space="preserve">report </w:t>
      </w:r>
      <w:r w:rsidR="00854C42">
        <w:rPr>
          <w:rFonts w:cs="Arial"/>
          <w:lang w:val="en-US"/>
        </w:rPr>
        <w:t xml:space="preserve">substantial reductions in length of stay and increases in the </w:t>
      </w:r>
      <w:r w:rsidR="00894B8C">
        <w:rPr>
          <w:rFonts w:cs="Arial"/>
          <w:lang w:val="en-US"/>
        </w:rPr>
        <w:t>proportion</w:t>
      </w:r>
      <w:r w:rsidR="00854C42">
        <w:rPr>
          <w:rFonts w:cs="Arial"/>
          <w:lang w:val="en-US"/>
        </w:rPr>
        <w:t xml:space="preserve"> of patients avoiding hospital admission</w:t>
      </w:r>
      <w:r>
        <w:rPr>
          <w:rFonts w:cs="Arial"/>
          <w:lang w:val="en-US"/>
        </w:rPr>
        <w:t xml:space="preserve">. </w:t>
      </w:r>
      <w:r w:rsidR="00C4678E">
        <w:rPr>
          <w:rFonts w:cs="Arial"/>
          <w:lang w:val="en-US"/>
        </w:rPr>
        <w:t>Were</w:t>
      </w:r>
      <w:r>
        <w:rPr>
          <w:rFonts w:cs="Arial"/>
          <w:lang w:val="en-US"/>
        </w:rPr>
        <w:t xml:space="preserve"> these gains to be real</w:t>
      </w:r>
      <w:r w:rsidR="00320221">
        <w:rPr>
          <w:rFonts w:cs="Arial"/>
          <w:lang w:val="en-US"/>
        </w:rPr>
        <w:t>ize</w:t>
      </w:r>
      <w:r>
        <w:rPr>
          <w:rFonts w:cs="Arial"/>
          <w:lang w:val="en-US"/>
        </w:rPr>
        <w:t>d across healthcare system</w:t>
      </w:r>
      <w:r w:rsidR="0091228E">
        <w:rPr>
          <w:rFonts w:cs="Arial"/>
          <w:lang w:val="en-US"/>
        </w:rPr>
        <w:t>s</w:t>
      </w:r>
      <w:r w:rsidR="00B92C3A">
        <w:rPr>
          <w:rFonts w:cs="Arial"/>
          <w:lang w:val="en-US"/>
        </w:rPr>
        <w:t>,</w:t>
      </w:r>
      <w:r>
        <w:rPr>
          <w:rFonts w:cs="Arial"/>
          <w:lang w:val="en-US"/>
        </w:rPr>
        <w:t xml:space="preserve"> the benefits for </w:t>
      </w:r>
      <w:r w:rsidR="00C4678E">
        <w:rPr>
          <w:rFonts w:cs="Arial"/>
          <w:lang w:val="en-US"/>
        </w:rPr>
        <w:t xml:space="preserve">both patients and providers would be substantial. </w:t>
      </w:r>
      <w:r w:rsidR="0091228E">
        <w:rPr>
          <w:rFonts w:cs="Arial"/>
          <w:lang w:val="en-US"/>
        </w:rPr>
        <w:t>In the US alone</w:t>
      </w:r>
      <w:r w:rsidR="00B92C3A">
        <w:rPr>
          <w:rFonts w:cs="Arial"/>
          <w:lang w:val="en-US"/>
        </w:rPr>
        <w:t>,</w:t>
      </w:r>
      <w:r w:rsidR="0091228E">
        <w:rPr>
          <w:rFonts w:cs="Arial"/>
          <w:lang w:val="en-US"/>
        </w:rPr>
        <w:t xml:space="preserve"> more than 20 million patients with suspected acute coronary syndrome </w:t>
      </w:r>
      <w:r w:rsidR="00F20BBB">
        <w:rPr>
          <w:rFonts w:cs="Arial"/>
          <w:lang w:val="en-US"/>
        </w:rPr>
        <w:t>attend Emergency Departments each year</w:t>
      </w:r>
      <w:r w:rsidR="00C72FD3">
        <w:rPr>
          <w:rFonts w:cs="Arial"/>
          <w:lang w:val="en-US"/>
        </w:rPr>
        <w:t>.</w:t>
      </w:r>
      <w:r w:rsidR="00C72FD3" w:rsidRPr="00804CFA">
        <w:rPr>
          <w:rFonts w:cs="Arial"/>
          <w:vertAlign w:val="superscript"/>
          <w:lang w:val="en-US"/>
        </w:rPr>
        <w:t>1</w:t>
      </w:r>
      <w:r w:rsidR="0091228E">
        <w:rPr>
          <w:rFonts w:cs="Arial"/>
          <w:lang w:val="en-US"/>
        </w:rPr>
        <w:t xml:space="preserve"> A reduction in the length of stay of 3 hours could save more than $</w:t>
      </w:r>
      <w:r w:rsidR="00040BBC">
        <w:rPr>
          <w:rFonts w:cs="Arial"/>
          <w:lang w:val="en-US"/>
        </w:rPr>
        <w:t>3</w:t>
      </w:r>
      <w:r w:rsidR="0057356B">
        <w:rPr>
          <w:rFonts w:cs="Arial"/>
          <w:lang w:val="en-US"/>
        </w:rPr>
        <w:t>.</w:t>
      </w:r>
      <w:r w:rsidR="00040BBC">
        <w:rPr>
          <w:rFonts w:cs="Arial"/>
          <w:lang w:val="en-US"/>
        </w:rPr>
        <w:t>6</w:t>
      </w:r>
      <w:r w:rsidR="0091228E">
        <w:rPr>
          <w:rFonts w:cs="Arial"/>
          <w:lang w:val="en-US"/>
        </w:rPr>
        <w:t xml:space="preserve"> </w:t>
      </w:r>
      <w:r w:rsidR="00040BBC">
        <w:rPr>
          <w:rFonts w:cs="Arial"/>
          <w:lang w:val="en-US"/>
        </w:rPr>
        <w:t>billion</w:t>
      </w:r>
      <w:r w:rsidR="0091228E">
        <w:rPr>
          <w:rFonts w:cs="Arial"/>
          <w:lang w:val="en-US"/>
        </w:rPr>
        <w:t xml:space="preserve"> per annum on bed occupancy alone</w:t>
      </w:r>
      <w:r w:rsidR="00C72FD3">
        <w:rPr>
          <w:rFonts w:cs="Arial"/>
          <w:lang w:val="en-US"/>
        </w:rPr>
        <w:t>.</w:t>
      </w:r>
      <w:r w:rsidR="00C72FD3" w:rsidRPr="00804CFA">
        <w:rPr>
          <w:rFonts w:cs="Arial"/>
          <w:vertAlign w:val="superscript"/>
          <w:lang w:val="en-US"/>
        </w:rPr>
        <w:t>3</w:t>
      </w:r>
      <w:r w:rsidR="00127A86">
        <w:rPr>
          <w:rFonts w:cs="Arial"/>
          <w:vertAlign w:val="superscript"/>
          <w:lang w:val="en-US"/>
        </w:rPr>
        <w:t>3</w:t>
      </w:r>
      <w:r w:rsidR="0091228E">
        <w:rPr>
          <w:rFonts w:cs="Arial"/>
          <w:lang w:val="en-US"/>
        </w:rPr>
        <w:t xml:space="preserve"> </w:t>
      </w:r>
    </w:p>
    <w:p w14:paraId="6D1EC544" w14:textId="77777777" w:rsidR="00BD4875" w:rsidRDefault="00BD4875" w:rsidP="0057356B">
      <w:pPr>
        <w:spacing w:line="480" w:lineRule="auto"/>
        <w:rPr>
          <w:rFonts w:cs="Arial"/>
          <w:lang w:val="en-US"/>
        </w:rPr>
      </w:pPr>
    </w:p>
    <w:p w14:paraId="020FDC2B" w14:textId="23C201A3" w:rsidR="003F43C8" w:rsidRDefault="00A97A48" w:rsidP="00BD4875">
      <w:pPr>
        <w:spacing w:line="480" w:lineRule="auto"/>
        <w:rPr>
          <w:rFonts w:cs="Arial"/>
          <w:lang w:val="en-US"/>
        </w:rPr>
      </w:pPr>
      <w:r>
        <w:rPr>
          <w:rFonts w:cs="Arial"/>
          <w:lang w:val="en-US"/>
        </w:rPr>
        <w:lastRenderedPageBreak/>
        <w:t xml:space="preserve">Despite these </w:t>
      </w:r>
      <w:r w:rsidR="00592856">
        <w:rPr>
          <w:rFonts w:cs="Arial"/>
          <w:lang w:val="en-US"/>
        </w:rPr>
        <w:t>important</w:t>
      </w:r>
      <w:r>
        <w:rPr>
          <w:rFonts w:cs="Arial"/>
          <w:lang w:val="en-US"/>
        </w:rPr>
        <w:t xml:space="preserve"> reductions in length of stay, </w:t>
      </w:r>
      <w:r w:rsidR="00592856">
        <w:rPr>
          <w:rFonts w:cs="Arial"/>
          <w:lang w:val="en-US"/>
        </w:rPr>
        <w:t xml:space="preserve">during the implementation phase </w:t>
      </w:r>
      <w:r>
        <w:rPr>
          <w:rFonts w:cs="Arial"/>
          <w:lang w:val="en-US"/>
        </w:rPr>
        <w:t>the median stay was 6.8 h</w:t>
      </w:r>
      <w:r w:rsidR="00592856">
        <w:rPr>
          <w:rFonts w:cs="Arial"/>
          <w:lang w:val="en-US"/>
        </w:rPr>
        <w:t>ou</w:t>
      </w:r>
      <w:r>
        <w:rPr>
          <w:rFonts w:cs="Arial"/>
          <w:lang w:val="en-US"/>
        </w:rPr>
        <w:t xml:space="preserve">rs, which is longer than reported in </w:t>
      </w:r>
      <w:r w:rsidR="00804CFA">
        <w:rPr>
          <w:rFonts w:cs="Arial"/>
          <w:lang w:val="en-US"/>
        </w:rPr>
        <w:t xml:space="preserve">other </w:t>
      </w:r>
      <w:r>
        <w:rPr>
          <w:rFonts w:cs="Arial"/>
          <w:lang w:val="en-US"/>
        </w:rPr>
        <w:t xml:space="preserve">evaluations of </w:t>
      </w:r>
      <w:r w:rsidR="00592856">
        <w:rPr>
          <w:rFonts w:cs="Arial"/>
          <w:lang w:val="en-US"/>
        </w:rPr>
        <w:t xml:space="preserve">the implementation of </w:t>
      </w:r>
      <w:r>
        <w:rPr>
          <w:rFonts w:cs="Arial"/>
          <w:lang w:val="en-US"/>
        </w:rPr>
        <w:t>early rule-out pathways.</w:t>
      </w:r>
      <w:r w:rsidR="00127A86" w:rsidRPr="00804CFA">
        <w:rPr>
          <w:rFonts w:cs="Arial"/>
          <w:vertAlign w:val="superscript"/>
          <w:lang w:val="en-US"/>
        </w:rPr>
        <w:t>1</w:t>
      </w:r>
      <w:r w:rsidR="00127A86">
        <w:rPr>
          <w:rFonts w:cs="Arial"/>
          <w:vertAlign w:val="superscript"/>
          <w:lang w:val="en-US"/>
        </w:rPr>
        <w:t>5</w:t>
      </w:r>
      <w:r w:rsidR="00804CFA" w:rsidRPr="00804CFA">
        <w:rPr>
          <w:rFonts w:cs="Arial"/>
          <w:vertAlign w:val="superscript"/>
          <w:lang w:val="en-US"/>
        </w:rPr>
        <w:t>,</w:t>
      </w:r>
      <w:r w:rsidR="00804CFA">
        <w:rPr>
          <w:rFonts w:cs="Arial"/>
          <w:vertAlign w:val="superscript"/>
          <w:lang w:val="en-US"/>
        </w:rPr>
        <w:t>1</w:t>
      </w:r>
      <w:r w:rsidR="00127A86">
        <w:rPr>
          <w:rFonts w:cs="Arial"/>
          <w:vertAlign w:val="superscript"/>
          <w:lang w:val="en-US"/>
        </w:rPr>
        <w:t>6,34</w:t>
      </w:r>
      <w:r>
        <w:rPr>
          <w:rFonts w:cs="Arial"/>
          <w:lang w:val="en-US"/>
        </w:rPr>
        <w:t xml:space="preserve"> </w:t>
      </w:r>
      <w:r w:rsidR="00592856">
        <w:rPr>
          <w:rFonts w:cs="Arial"/>
          <w:lang w:val="en-US"/>
        </w:rPr>
        <w:t>This difference likely reflects our enrollment of all consecutive patients</w:t>
      </w:r>
      <w:r w:rsidR="003247C6">
        <w:rPr>
          <w:rFonts w:cs="Arial"/>
          <w:lang w:val="en-US"/>
        </w:rPr>
        <w:t xml:space="preserve"> rather </w:t>
      </w:r>
      <w:r w:rsidR="00592856">
        <w:rPr>
          <w:rFonts w:cs="Arial"/>
          <w:lang w:val="en-US"/>
        </w:rPr>
        <w:t>than selected patients</w:t>
      </w:r>
      <w:r w:rsidR="003247C6">
        <w:rPr>
          <w:rFonts w:cs="Arial"/>
          <w:lang w:val="en-US"/>
        </w:rPr>
        <w:t xml:space="preserve"> who are less likely to have co-morbid conditions requiring hospital admission</w:t>
      </w:r>
      <w:r w:rsidR="00592856">
        <w:rPr>
          <w:rFonts w:cs="Arial"/>
          <w:lang w:val="en-US"/>
        </w:rPr>
        <w:t xml:space="preserve">. </w:t>
      </w:r>
      <w:r w:rsidR="00BD4875">
        <w:rPr>
          <w:rFonts w:cs="Arial"/>
          <w:lang w:val="en-US"/>
        </w:rPr>
        <w:t xml:space="preserve">We </w:t>
      </w:r>
      <w:r w:rsidR="00D822E1">
        <w:rPr>
          <w:rFonts w:cs="Arial"/>
          <w:lang w:val="en-US"/>
        </w:rPr>
        <w:t xml:space="preserve">also </w:t>
      </w:r>
      <w:r w:rsidR="00BD4875">
        <w:rPr>
          <w:rFonts w:cs="Arial"/>
          <w:lang w:val="en-US"/>
        </w:rPr>
        <w:t>acknowledge that reduction</w:t>
      </w:r>
      <w:r w:rsidR="00D822E1">
        <w:rPr>
          <w:rFonts w:cs="Arial"/>
          <w:lang w:val="en-US"/>
        </w:rPr>
        <w:t>s</w:t>
      </w:r>
      <w:r w:rsidR="00BD4875">
        <w:rPr>
          <w:rFonts w:cs="Arial"/>
          <w:lang w:val="en-US"/>
        </w:rPr>
        <w:t xml:space="preserve"> in length of stay </w:t>
      </w:r>
      <w:r w:rsidR="00D822E1">
        <w:rPr>
          <w:rFonts w:cs="Arial"/>
          <w:lang w:val="en-US"/>
        </w:rPr>
        <w:t>may differ in</w:t>
      </w:r>
      <w:r w:rsidR="00BD4875">
        <w:rPr>
          <w:rFonts w:cs="Arial"/>
          <w:lang w:val="en-US"/>
        </w:rPr>
        <w:t xml:space="preserve"> </w:t>
      </w:r>
      <w:r w:rsidR="00D9647A">
        <w:rPr>
          <w:rFonts w:cs="Arial"/>
          <w:lang w:val="en-US"/>
        </w:rPr>
        <w:t>other healthcare settings</w:t>
      </w:r>
      <w:r w:rsidR="00BD4875">
        <w:rPr>
          <w:rFonts w:cs="Arial"/>
          <w:lang w:val="en-US"/>
        </w:rPr>
        <w:t xml:space="preserve">. Although the European Society of Cardiology (ESC) </w:t>
      </w:r>
      <w:r w:rsidR="00B02AE6">
        <w:rPr>
          <w:rFonts w:cs="Arial"/>
          <w:lang w:val="en-US"/>
        </w:rPr>
        <w:t xml:space="preserve">guidelines </w:t>
      </w:r>
      <w:r w:rsidR="00D9647A">
        <w:rPr>
          <w:rFonts w:cs="Arial"/>
          <w:lang w:val="en-US"/>
        </w:rPr>
        <w:t>have</w:t>
      </w:r>
      <w:r w:rsidR="003F43C8">
        <w:rPr>
          <w:rFonts w:cs="Arial"/>
          <w:lang w:val="en-US"/>
        </w:rPr>
        <w:t xml:space="preserve"> </w:t>
      </w:r>
      <w:r w:rsidR="00BD4875">
        <w:rPr>
          <w:rFonts w:cs="Arial"/>
          <w:lang w:val="en-US"/>
        </w:rPr>
        <w:t xml:space="preserve">recommended </w:t>
      </w:r>
      <w:r w:rsidR="00D822E1">
        <w:rPr>
          <w:rFonts w:cs="Arial"/>
          <w:lang w:val="en-US"/>
        </w:rPr>
        <w:t xml:space="preserve">high-sensitivity cardiac troponin testing and a 0/3-hour </w:t>
      </w:r>
      <w:r w:rsidR="00BD4875">
        <w:rPr>
          <w:rFonts w:cs="Arial"/>
          <w:lang w:val="en-US"/>
        </w:rPr>
        <w:t xml:space="preserve">pathway </w:t>
      </w:r>
      <w:r w:rsidR="00D822E1">
        <w:rPr>
          <w:rFonts w:cs="Arial"/>
          <w:lang w:val="en-US"/>
        </w:rPr>
        <w:t>based on the 99</w:t>
      </w:r>
      <w:r w:rsidR="00D822E1" w:rsidRPr="00C00B7C">
        <w:rPr>
          <w:rFonts w:cs="Arial"/>
          <w:vertAlign w:val="superscript"/>
          <w:lang w:val="en-US"/>
        </w:rPr>
        <w:t>th</w:t>
      </w:r>
      <w:r w:rsidR="00D822E1">
        <w:rPr>
          <w:rFonts w:cs="Arial"/>
          <w:lang w:val="en-US"/>
        </w:rPr>
        <w:t xml:space="preserve"> centile </w:t>
      </w:r>
      <w:r w:rsidR="00D9647A">
        <w:rPr>
          <w:rFonts w:cs="Arial"/>
          <w:lang w:val="en-US"/>
        </w:rPr>
        <w:t>since 2011</w:t>
      </w:r>
      <w:r w:rsidR="00BD4875">
        <w:rPr>
          <w:rFonts w:cs="Arial"/>
          <w:lang w:val="en-US"/>
        </w:rPr>
        <w:t>,</w:t>
      </w:r>
      <w:r w:rsidR="00173DB9">
        <w:rPr>
          <w:rFonts w:cs="Arial"/>
          <w:vertAlign w:val="superscript"/>
          <w:lang w:val="en-US"/>
        </w:rPr>
        <w:t>35</w:t>
      </w:r>
      <w:r w:rsidR="00127A86">
        <w:rPr>
          <w:rFonts w:cs="Arial"/>
          <w:lang w:val="en-US"/>
        </w:rPr>
        <w:t xml:space="preserve"> </w:t>
      </w:r>
      <w:r w:rsidR="00BD4875">
        <w:rPr>
          <w:rFonts w:cs="Arial"/>
          <w:lang w:val="en-US"/>
        </w:rPr>
        <w:t>we did not adopt this as our standard of care, but instead follow</w:t>
      </w:r>
      <w:r w:rsidR="00B02AE6">
        <w:rPr>
          <w:rFonts w:cs="Arial"/>
          <w:lang w:val="en-US"/>
        </w:rPr>
        <w:t>ed</w:t>
      </w:r>
      <w:r w:rsidR="00BD4875">
        <w:rPr>
          <w:rFonts w:cs="Arial"/>
          <w:lang w:val="en-US"/>
        </w:rPr>
        <w:t xml:space="preserve"> </w:t>
      </w:r>
      <w:r w:rsidR="00D822E1">
        <w:rPr>
          <w:rFonts w:cs="Arial"/>
          <w:lang w:val="en-US"/>
        </w:rPr>
        <w:t xml:space="preserve">the </w:t>
      </w:r>
      <w:r w:rsidR="00AC39E7">
        <w:rPr>
          <w:rFonts w:cs="Arial"/>
          <w:lang w:val="en-US"/>
        </w:rPr>
        <w:t xml:space="preserve">recommendations </w:t>
      </w:r>
      <w:r w:rsidR="00D822E1">
        <w:rPr>
          <w:rFonts w:cs="Arial"/>
          <w:lang w:val="en-US"/>
        </w:rPr>
        <w:t>of</w:t>
      </w:r>
      <w:r w:rsidR="00AC39E7">
        <w:rPr>
          <w:rFonts w:cs="Arial"/>
          <w:lang w:val="en-US"/>
        </w:rPr>
        <w:t xml:space="preserve"> </w:t>
      </w:r>
      <w:r w:rsidR="00BD4875">
        <w:rPr>
          <w:rFonts w:cs="Arial"/>
          <w:lang w:val="en-US"/>
        </w:rPr>
        <w:t>our national guidelines.</w:t>
      </w:r>
      <w:r w:rsidR="00D9647A" w:rsidRPr="00C00B7C">
        <w:rPr>
          <w:rFonts w:cs="Arial"/>
          <w:vertAlign w:val="superscript"/>
          <w:lang w:val="en-US"/>
        </w:rPr>
        <w:t>1</w:t>
      </w:r>
      <w:r w:rsidR="00127A86">
        <w:rPr>
          <w:rFonts w:cs="Arial"/>
          <w:vertAlign w:val="superscript"/>
          <w:lang w:val="en-US"/>
        </w:rPr>
        <w:t>8</w:t>
      </w:r>
      <w:r w:rsidR="00BD4875">
        <w:rPr>
          <w:rFonts w:cs="Arial"/>
          <w:lang w:val="en-US"/>
        </w:rPr>
        <w:t xml:space="preserve"> </w:t>
      </w:r>
      <w:r w:rsidR="003F43C8" w:rsidRPr="003F43C8">
        <w:rPr>
          <w:rFonts w:cs="Arial"/>
          <w:lang w:val="en-US"/>
        </w:rPr>
        <w:t>During the design phase of the trial, we prospectively validated the ESC 0/3 hour high-sensitivity cardiac troponin pathway and demonstrated that the diagnostic performance of serial testing at presentation and 3 hours compared to serial testing at presentation and 6-12 hours after symptom onset was poor with a sensitivity and negative predictive value for myocardial infarction of 89.3% and 97.9%, respectively.</w:t>
      </w:r>
      <w:r w:rsidR="003F43C8" w:rsidRPr="00C00B7C">
        <w:rPr>
          <w:rFonts w:cs="Arial"/>
          <w:vertAlign w:val="superscript"/>
          <w:lang w:val="en-US"/>
        </w:rPr>
        <w:t>1</w:t>
      </w:r>
      <w:r w:rsidR="00127A86">
        <w:rPr>
          <w:rFonts w:cs="Arial"/>
          <w:vertAlign w:val="superscript"/>
          <w:lang w:val="en-US"/>
        </w:rPr>
        <w:t>9</w:t>
      </w:r>
      <w:r w:rsidR="003F43C8" w:rsidRPr="003F43C8">
        <w:rPr>
          <w:rFonts w:cs="Arial"/>
          <w:lang w:val="en-US"/>
        </w:rPr>
        <w:t xml:space="preserve"> Our findings were consistent with those from an independent validation in Australia and New Zealand,</w:t>
      </w:r>
      <w:r w:rsidR="003F43C8" w:rsidRPr="00C00B7C">
        <w:rPr>
          <w:rFonts w:cs="Arial"/>
          <w:vertAlign w:val="superscript"/>
          <w:lang w:val="en-US"/>
        </w:rPr>
        <w:t>3</w:t>
      </w:r>
      <w:r w:rsidR="00173DB9">
        <w:rPr>
          <w:rFonts w:cs="Arial"/>
          <w:vertAlign w:val="superscript"/>
          <w:lang w:val="en-US"/>
        </w:rPr>
        <w:t>6</w:t>
      </w:r>
      <w:r w:rsidR="003F43C8" w:rsidRPr="003F43C8">
        <w:rPr>
          <w:rFonts w:cs="Arial"/>
          <w:lang w:val="en-US"/>
        </w:rPr>
        <w:t xml:space="preserve"> and as a consequence the 2020 ESC guidelines no longer </w:t>
      </w:r>
      <w:r w:rsidR="003C7C7B">
        <w:rPr>
          <w:rFonts w:cs="Arial"/>
          <w:lang w:val="en-US"/>
        </w:rPr>
        <w:t>prefer</w:t>
      </w:r>
      <w:r w:rsidR="003C7C7B" w:rsidRPr="003F43C8">
        <w:rPr>
          <w:rFonts w:cs="Arial"/>
          <w:lang w:val="en-US"/>
        </w:rPr>
        <w:t xml:space="preserve"> </w:t>
      </w:r>
      <w:r w:rsidR="003F43C8" w:rsidRPr="003F43C8">
        <w:rPr>
          <w:rFonts w:cs="Arial"/>
          <w:lang w:val="en-US"/>
        </w:rPr>
        <w:t>this approach.</w:t>
      </w:r>
      <w:r w:rsidR="00181619" w:rsidRPr="00C00B7C">
        <w:rPr>
          <w:rFonts w:cs="Arial"/>
          <w:vertAlign w:val="superscript"/>
          <w:lang w:val="en-US"/>
        </w:rPr>
        <w:t>3</w:t>
      </w:r>
      <w:r w:rsidR="00173DB9">
        <w:rPr>
          <w:rFonts w:cs="Arial"/>
          <w:vertAlign w:val="superscript"/>
          <w:lang w:val="en-US"/>
        </w:rPr>
        <w:t>7</w:t>
      </w:r>
      <w:r w:rsidR="003F43C8" w:rsidRPr="003F43C8">
        <w:rPr>
          <w:rFonts w:cs="Arial"/>
          <w:lang w:val="en-US"/>
        </w:rPr>
        <w:t xml:space="preserve"> </w:t>
      </w:r>
      <w:r w:rsidR="003F43C8">
        <w:rPr>
          <w:rFonts w:cs="Arial"/>
          <w:lang w:val="en-US"/>
        </w:rPr>
        <w:t>It</w:t>
      </w:r>
      <w:r w:rsidR="003F43C8">
        <w:rPr>
          <w:rFonts w:cs="Arial"/>
          <w:bCs/>
          <w:lang w:val="en-US"/>
        </w:rPr>
        <w:t xml:space="preserve"> is essential that more prospective trials are conducted in which clinical decisions are guided by new diagnostic approaches if we are to ensure our clinical practice guidelines are based on the highest quality evidence.</w:t>
      </w:r>
      <w:r w:rsidR="003F43C8">
        <w:rPr>
          <w:rFonts w:cs="Arial"/>
          <w:lang w:val="en-US"/>
        </w:rPr>
        <w:t xml:space="preserve"> </w:t>
      </w:r>
    </w:p>
    <w:p w14:paraId="1E46B407" w14:textId="2A221A78" w:rsidR="00894B8C" w:rsidRDefault="00CF6B04" w:rsidP="0057356B">
      <w:pPr>
        <w:spacing w:line="480" w:lineRule="auto"/>
        <w:rPr>
          <w:rFonts w:cs="Arial"/>
          <w:lang w:val="en-US"/>
        </w:rPr>
      </w:pPr>
      <w:r>
        <w:rPr>
          <w:rFonts w:cs="Arial"/>
          <w:lang w:val="en-US"/>
        </w:rPr>
        <w:t xml:space="preserve">  </w:t>
      </w:r>
    </w:p>
    <w:p w14:paraId="36E934E1" w14:textId="3D99C126" w:rsidR="005A0A31" w:rsidRDefault="00DE37A4" w:rsidP="0057356B">
      <w:pPr>
        <w:spacing w:line="480" w:lineRule="auto"/>
        <w:rPr>
          <w:rFonts w:cs="Arial"/>
          <w:lang w:val="en-US"/>
        </w:rPr>
      </w:pPr>
      <w:r>
        <w:rPr>
          <w:rFonts w:cs="Arial"/>
          <w:lang w:val="en-US"/>
        </w:rPr>
        <w:t xml:space="preserve">Implementation of </w:t>
      </w:r>
      <w:r w:rsidR="006E1CBA">
        <w:rPr>
          <w:rFonts w:cs="Arial"/>
          <w:lang w:val="en-US"/>
        </w:rPr>
        <w:t>our</w:t>
      </w:r>
      <w:r>
        <w:rPr>
          <w:rFonts w:cs="Arial"/>
          <w:lang w:val="en-US"/>
        </w:rPr>
        <w:t xml:space="preserve"> early</w:t>
      </w:r>
      <w:r w:rsidR="006E1CBA">
        <w:rPr>
          <w:rFonts w:cs="Arial"/>
          <w:lang w:val="en-US"/>
        </w:rPr>
        <w:t xml:space="preserve"> </w:t>
      </w:r>
      <w:r>
        <w:rPr>
          <w:rFonts w:cs="Arial"/>
          <w:lang w:val="en-US"/>
        </w:rPr>
        <w:t>rule</w:t>
      </w:r>
      <w:r w:rsidR="006E1CBA">
        <w:rPr>
          <w:rFonts w:cs="Arial"/>
          <w:lang w:val="en-US"/>
        </w:rPr>
        <w:t>-</w:t>
      </w:r>
      <w:r>
        <w:rPr>
          <w:rFonts w:cs="Arial"/>
          <w:lang w:val="en-US"/>
        </w:rPr>
        <w:t xml:space="preserve">out pathway did not increase the </w:t>
      </w:r>
      <w:r w:rsidR="00A8498A">
        <w:rPr>
          <w:rFonts w:cs="Arial"/>
          <w:lang w:val="en-US"/>
        </w:rPr>
        <w:t>rate</w:t>
      </w:r>
      <w:r w:rsidR="00651824">
        <w:rPr>
          <w:rFonts w:cs="Arial"/>
          <w:lang w:val="en-US"/>
        </w:rPr>
        <w:t xml:space="preserve"> </w:t>
      </w:r>
      <w:r>
        <w:rPr>
          <w:rFonts w:cs="Arial"/>
          <w:lang w:val="en-US"/>
        </w:rPr>
        <w:t xml:space="preserve">of subsequent myocardial infarction or cardiac death. </w:t>
      </w:r>
      <w:r w:rsidR="00A8498A">
        <w:rPr>
          <w:rFonts w:cs="Arial"/>
          <w:lang w:val="en-US"/>
        </w:rPr>
        <w:t xml:space="preserve">However, </w:t>
      </w:r>
      <w:r w:rsidR="00894B8C">
        <w:rPr>
          <w:rFonts w:cs="Arial"/>
          <w:lang w:val="en-US"/>
        </w:rPr>
        <w:t>our</w:t>
      </w:r>
      <w:r w:rsidR="00A8498A">
        <w:rPr>
          <w:rFonts w:cs="Arial"/>
          <w:lang w:val="en-US"/>
        </w:rPr>
        <w:t xml:space="preserve"> results were highly sensitive to the model specification. Although non-inferiority was not concluded </w:t>
      </w:r>
      <w:r w:rsidR="00236D64">
        <w:rPr>
          <w:rFonts w:cs="Arial"/>
          <w:lang w:val="en-US"/>
        </w:rPr>
        <w:t>for the primary safety outcome</w:t>
      </w:r>
      <w:r w:rsidR="00651824">
        <w:rPr>
          <w:rFonts w:cs="Arial"/>
          <w:lang w:val="en-US"/>
        </w:rPr>
        <w:t xml:space="preserve"> at 30 days</w:t>
      </w:r>
      <w:r w:rsidR="00053168">
        <w:rPr>
          <w:rFonts w:cs="Arial"/>
          <w:lang w:val="en-US"/>
        </w:rPr>
        <w:t>,</w:t>
      </w:r>
      <w:r w:rsidR="00A8498A">
        <w:rPr>
          <w:rFonts w:cs="Arial"/>
          <w:lang w:val="en-US"/>
        </w:rPr>
        <w:t xml:space="preserve"> </w:t>
      </w:r>
      <w:r w:rsidR="00F13702">
        <w:rPr>
          <w:rFonts w:cs="Arial"/>
          <w:lang w:val="en-US"/>
        </w:rPr>
        <w:t xml:space="preserve">in our </w:t>
      </w:r>
      <w:r w:rsidR="0003027B">
        <w:rPr>
          <w:rFonts w:cs="Arial"/>
          <w:lang w:val="en-US"/>
        </w:rPr>
        <w:t>prespecified</w:t>
      </w:r>
      <w:r w:rsidR="00F13702">
        <w:rPr>
          <w:rFonts w:cs="Arial"/>
          <w:lang w:val="en-US"/>
        </w:rPr>
        <w:t xml:space="preserve"> sensitivity </w:t>
      </w:r>
      <w:r w:rsidR="0022123D">
        <w:rPr>
          <w:rFonts w:cs="Arial"/>
          <w:lang w:val="en-US"/>
        </w:rPr>
        <w:t>analysis restricted to calendar matched periods, the early rule</w:t>
      </w:r>
      <w:r w:rsidR="00380189">
        <w:rPr>
          <w:rFonts w:cs="Arial"/>
          <w:lang w:val="en-US"/>
        </w:rPr>
        <w:t>-</w:t>
      </w:r>
      <w:r w:rsidR="0022123D">
        <w:rPr>
          <w:rFonts w:cs="Arial"/>
          <w:lang w:val="en-US"/>
        </w:rPr>
        <w:t>out pathway was superior to standard care</w:t>
      </w:r>
      <w:r w:rsidR="00894B8C">
        <w:rPr>
          <w:rFonts w:cs="Arial"/>
          <w:lang w:val="en-US"/>
        </w:rPr>
        <w:t xml:space="preserve"> at 30 days and </w:t>
      </w:r>
      <w:r w:rsidR="000A528D">
        <w:rPr>
          <w:rFonts w:cs="Arial"/>
          <w:lang w:val="en-US"/>
        </w:rPr>
        <w:t>1</w:t>
      </w:r>
      <w:r w:rsidR="00894B8C">
        <w:rPr>
          <w:rFonts w:cs="Arial"/>
          <w:lang w:val="en-US"/>
        </w:rPr>
        <w:t xml:space="preserve"> year</w:t>
      </w:r>
      <w:r w:rsidR="0022123D">
        <w:rPr>
          <w:rFonts w:cs="Arial"/>
          <w:lang w:val="en-US"/>
        </w:rPr>
        <w:t>.</w:t>
      </w:r>
      <w:r w:rsidR="00A8498A">
        <w:rPr>
          <w:rFonts w:cs="Arial"/>
          <w:lang w:val="en-US"/>
        </w:rPr>
        <w:t xml:space="preserve"> These divergent results may be due to the low event rate</w:t>
      </w:r>
      <w:r w:rsidR="00894B8C">
        <w:rPr>
          <w:rFonts w:cs="Arial"/>
          <w:lang w:val="en-US"/>
        </w:rPr>
        <w:t xml:space="preserve"> at 30 days </w:t>
      </w:r>
      <w:r w:rsidR="00EB4753">
        <w:rPr>
          <w:rFonts w:cs="Arial"/>
          <w:lang w:val="en-US"/>
        </w:rPr>
        <w:t>and</w:t>
      </w:r>
      <w:r w:rsidR="00511FAF">
        <w:rPr>
          <w:rFonts w:cs="Arial"/>
          <w:lang w:val="en-US"/>
        </w:rPr>
        <w:t xml:space="preserve"> narrow </w:t>
      </w:r>
      <w:r w:rsidR="00A711AE">
        <w:rPr>
          <w:rFonts w:cs="Arial"/>
          <w:lang w:val="en-US"/>
        </w:rPr>
        <w:t>randomization</w:t>
      </w:r>
      <w:r w:rsidR="00511FAF">
        <w:rPr>
          <w:rFonts w:cs="Arial"/>
          <w:lang w:val="en-US"/>
        </w:rPr>
        <w:t xml:space="preserve"> phase </w:t>
      </w:r>
      <w:r w:rsidR="00A8498A">
        <w:rPr>
          <w:rFonts w:cs="Arial"/>
          <w:lang w:val="en-US"/>
        </w:rPr>
        <w:lastRenderedPageBreak/>
        <w:t xml:space="preserve">leading to overfitting </w:t>
      </w:r>
      <w:r w:rsidR="00A42A87">
        <w:rPr>
          <w:rFonts w:cs="Arial"/>
          <w:lang w:val="en-US"/>
        </w:rPr>
        <w:t xml:space="preserve">of the </w:t>
      </w:r>
      <w:r w:rsidR="0023714E">
        <w:rPr>
          <w:rFonts w:cs="Arial"/>
          <w:lang w:val="en-US"/>
        </w:rPr>
        <w:t xml:space="preserve">primary analysis </w:t>
      </w:r>
      <w:r w:rsidR="00A8498A">
        <w:rPr>
          <w:rFonts w:cs="Arial"/>
          <w:lang w:val="en-US"/>
        </w:rPr>
        <w:t>model</w:t>
      </w:r>
      <w:r w:rsidR="00257D9C">
        <w:rPr>
          <w:rFonts w:cs="Arial"/>
          <w:lang w:val="en-US"/>
        </w:rPr>
        <w:t xml:space="preserve">, </w:t>
      </w:r>
      <w:r w:rsidR="0023714E">
        <w:rPr>
          <w:rFonts w:cs="Arial"/>
          <w:lang w:val="en-US"/>
        </w:rPr>
        <w:t xml:space="preserve">additional </w:t>
      </w:r>
      <w:r w:rsidR="006A19C0">
        <w:rPr>
          <w:rFonts w:cs="Arial"/>
          <w:lang w:val="en-US"/>
        </w:rPr>
        <w:t>secular changes not accounted for in the sensitivity analysis</w:t>
      </w:r>
      <w:r w:rsidR="00511FAF">
        <w:rPr>
          <w:rFonts w:cs="Arial"/>
          <w:lang w:val="en-US"/>
        </w:rPr>
        <w:t xml:space="preserve">, </w:t>
      </w:r>
      <w:r w:rsidR="00A8498A">
        <w:rPr>
          <w:rFonts w:cs="Arial"/>
          <w:lang w:val="en-US"/>
        </w:rPr>
        <w:t>or a true exposure</w:t>
      </w:r>
      <w:r w:rsidR="00007497">
        <w:rPr>
          <w:rFonts w:cs="Arial"/>
          <w:lang w:val="en-US"/>
        </w:rPr>
        <w:t>-</w:t>
      </w:r>
      <w:r w:rsidR="00A8498A">
        <w:rPr>
          <w:rFonts w:cs="Arial"/>
          <w:lang w:val="en-US"/>
        </w:rPr>
        <w:t xml:space="preserve">time effect whereby </w:t>
      </w:r>
      <w:r w:rsidR="00DB3D5D">
        <w:rPr>
          <w:rFonts w:cs="Arial"/>
          <w:lang w:val="en-US"/>
        </w:rPr>
        <w:t xml:space="preserve">outcomes improved as the intervention became more firmly embedded </w:t>
      </w:r>
      <w:r w:rsidR="00651824">
        <w:rPr>
          <w:rFonts w:cs="Arial"/>
          <w:lang w:val="en-US"/>
        </w:rPr>
        <w:t>into practice</w:t>
      </w:r>
      <w:r w:rsidR="00DB3D5D">
        <w:rPr>
          <w:rFonts w:cs="Arial"/>
          <w:lang w:val="en-US"/>
        </w:rPr>
        <w:t>.</w:t>
      </w:r>
      <w:r w:rsidR="006A19C0">
        <w:rPr>
          <w:rFonts w:cs="Arial"/>
          <w:lang w:val="en-US"/>
        </w:rPr>
        <w:t xml:space="preserve"> </w:t>
      </w:r>
      <w:r w:rsidR="00A26790">
        <w:rPr>
          <w:rFonts w:cs="Arial"/>
          <w:lang w:val="en-US"/>
        </w:rPr>
        <w:t xml:space="preserve">We </w:t>
      </w:r>
      <w:r w:rsidR="005A0A31">
        <w:rPr>
          <w:rFonts w:cs="Arial"/>
          <w:lang w:val="en-US"/>
        </w:rPr>
        <w:t>acknowledge</w:t>
      </w:r>
      <w:r w:rsidR="00A26790">
        <w:rPr>
          <w:rFonts w:cs="Arial"/>
          <w:lang w:val="en-US"/>
        </w:rPr>
        <w:t xml:space="preserve"> that</w:t>
      </w:r>
      <w:r w:rsidR="00FF0319">
        <w:rPr>
          <w:rFonts w:cs="Arial"/>
          <w:lang w:val="en-US"/>
        </w:rPr>
        <w:t xml:space="preserve"> </w:t>
      </w:r>
      <w:r w:rsidR="00A26790">
        <w:rPr>
          <w:bCs/>
        </w:rPr>
        <w:t>a</w:t>
      </w:r>
      <w:r w:rsidR="00840B41" w:rsidRPr="004059AC">
        <w:rPr>
          <w:bCs/>
        </w:rPr>
        <w:t xml:space="preserve">lthough the </w:t>
      </w:r>
      <w:r w:rsidR="00840B41">
        <w:rPr>
          <w:bCs/>
        </w:rPr>
        <w:t xml:space="preserve">number of patients enrolled </w:t>
      </w:r>
      <w:r w:rsidR="005A0A31">
        <w:rPr>
          <w:bCs/>
        </w:rPr>
        <w:t>in</w:t>
      </w:r>
      <w:r w:rsidR="00840B41">
        <w:rPr>
          <w:bCs/>
        </w:rPr>
        <w:t xml:space="preserve"> each cluster (hospital) was</w:t>
      </w:r>
      <w:r w:rsidR="00840B41" w:rsidRPr="004059AC">
        <w:rPr>
          <w:bCs/>
        </w:rPr>
        <w:t xml:space="preserve"> large, the number of clusters </w:t>
      </w:r>
      <w:r w:rsidR="00A26790">
        <w:rPr>
          <w:bCs/>
        </w:rPr>
        <w:t>was small</w:t>
      </w:r>
      <w:r w:rsidR="005A0A31">
        <w:rPr>
          <w:bCs/>
        </w:rPr>
        <w:t>,</w:t>
      </w:r>
      <w:r w:rsidR="00A26790">
        <w:rPr>
          <w:bCs/>
        </w:rPr>
        <w:t xml:space="preserve"> which </w:t>
      </w:r>
      <w:r w:rsidR="00840B41">
        <w:rPr>
          <w:bCs/>
        </w:rPr>
        <w:t>may have made the trial more</w:t>
      </w:r>
      <w:r w:rsidR="00840B41" w:rsidRPr="004059AC">
        <w:rPr>
          <w:bCs/>
        </w:rPr>
        <w:t xml:space="preserve"> vulnerable to the effect of confounding bias occurring within </w:t>
      </w:r>
      <w:r w:rsidR="00840B41">
        <w:rPr>
          <w:bCs/>
        </w:rPr>
        <w:t>individual</w:t>
      </w:r>
      <w:r w:rsidR="00840B41" w:rsidRPr="004059AC">
        <w:rPr>
          <w:bCs/>
        </w:rPr>
        <w:t xml:space="preserve"> sites</w:t>
      </w:r>
      <w:r w:rsidR="00840B41">
        <w:rPr>
          <w:bCs/>
        </w:rPr>
        <w:t>.</w:t>
      </w:r>
      <w:r w:rsidR="00840B41">
        <w:rPr>
          <w:rFonts w:cs="Arial"/>
          <w:lang w:val="en-US"/>
        </w:rPr>
        <w:t xml:space="preserve"> However</w:t>
      </w:r>
      <w:r w:rsidR="00FF0319" w:rsidRPr="00FF0319">
        <w:rPr>
          <w:rFonts w:cs="Arial"/>
          <w:lang w:val="en-US"/>
        </w:rPr>
        <w:t xml:space="preserve">, </w:t>
      </w:r>
      <w:r w:rsidR="00840B41">
        <w:rPr>
          <w:rFonts w:cs="Arial"/>
          <w:lang w:val="en-US"/>
        </w:rPr>
        <w:t>our</w:t>
      </w:r>
      <w:r w:rsidR="00FF0319" w:rsidRPr="00FF0319">
        <w:rPr>
          <w:rFonts w:cs="Arial"/>
          <w:lang w:val="en-US"/>
        </w:rPr>
        <w:t xml:space="preserve"> analys</w:t>
      </w:r>
      <w:r w:rsidR="00840B41">
        <w:rPr>
          <w:rFonts w:cs="Arial"/>
          <w:lang w:val="en-US"/>
        </w:rPr>
        <w:t>e</w:t>
      </w:r>
      <w:r w:rsidR="00FF0319" w:rsidRPr="00FF0319">
        <w:rPr>
          <w:rFonts w:cs="Arial"/>
          <w:lang w:val="en-US"/>
        </w:rPr>
        <w:t>s</w:t>
      </w:r>
      <w:r w:rsidR="00FF0319">
        <w:rPr>
          <w:rFonts w:cs="Arial"/>
          <w:lang w:val="en-US"/>
        </w:rPr>
        <w:t xml:space="preserve"> suggested that </w:t>
      </w:r>
      <w:r w:rsidR="00FF0319" w:rsidRPr="00FF0319">
        <w:rPr>
          <w:rFonts w:cs="Arial"/>
          <w:lang w:val="en-US"/>
        </w:rPr>
        <w:t xml:space="preserve">including site as a random effect in the model had negligible influence on the overall result. </w:t>
      </w:r>
      <w:r w:rsidR="002C2405">
        <w:rPr>
          <w:rFonts w:cs="Arial"/>
          <w:lang w:val="en-US"/>
        </w:rPr>
        <w:t>The</w:t>
      </w:r>
      <w:r w:rsidR="005A0A31">
        <w:rPr>
          <w:rFonts w:cs="Arial"/>
          <w:lang w:val="en-US"/>
        </w:rPr>
        <w:t xml:space="preserve"> low event rate </w:t>
      </w:r>
      <w:r w:rsidR="002C2405">
        <w:rPr>
          <w:rFonts w:cs="Arial"/>
          <w:lang w:val="en-US"/>
        </w:rPr>
        <w:t>for the safety outcome at</w:t>
      </w:r>
      <w:r w:rsidR="005A0A31">
        <w:rPr>
          <w:rFonts w:cs="Arial"/>
          <w:lang w:val="en-US"/>
        </w:rPr>
        <w:t xml:space="preserve"> 30 days </w:t>
      </w:r>
      <w:r w:rsidR="002C2405">
        <w:rPr>
          <w:rFonts w:cs="Arial"/>
          <w:lang w:val="en-US"/>
        </w:rPr>
        <w:t xml:space="preserve">and narrow randomization phase </w:t>
      </w:r>
      <w:r w:rsidR="00A26790" w:rsidRPr="00FF0319">
        <w:rPr>
          <w:rFonts w:cs="Arial"/>
          <w:lang w:val="en-US"/>
        </w:rPr>
        <w:t xml:space="preserve">made it more likely for chance imbalances </w:t>
      </w:r>
      <w:r w:rsidR="00A26790">
        <w:rPr>
          <w:rFonts w:cs="Arial"/>
          <w:lang w:val="en-US"/>
        </w:rPr>
        <w:t xml:space="preserve">to occur between </w:t>
      </w:r>
      <w:r w:rsidR="00AE7C4E">
        <w:rPr>
          <w:rFonts w:cs="Arial"/>
          <w:lang w:val="en-US"/>
        </w:rPr>
        <w:t>those managed according to the</w:t>
      </w:r>
      <w:r w:rsidR="00A26790">
        <w:rPr>
          <w:rFonts w:cs="Arial"/>
          <w:lang w:val="en-US"/>
        </w:rPr>
        <w:t xml:space="preserve"> </w:t>
      </w:r>
      <w:r w:rsidR="005A0A31">
        <w:rPr>
          <w:rFonts w:cs="Arial"/>
          <w:lang w:val="en-US"/>
        </w:rPr>
        <w:t>standard care</w:t>
      </w:r>
      <w:r w:rsidR="00A26790" w:rsidRPr="00FF0319">
        <w:rPr>
          <w:rFonts w:cs="Arial"/>
          <w:lang w:val="en-US"/>
        </w:rPr>
        <w:t xml:space="preserve"> </w:t>
      </w:r>
      <w:r w:rsidR="00AE7C4E">
        <w:rPr>
          <w:rFonts w:cs="Arial"/>
          <w:lang w:val="en-US"/>
        </w:rPr>
        <w:t>and early rule-out pathway (</w:t>
      </w:r>
      <w:r w:rsidR="00F61103">
        <w:rPr>
          <w:b/>
          <w:bCs/>
          <w:i/>
          <w:iCs/>
          <w:color w:val="000000"/>
        </w:rPr>
        <w:t>Figure</w:t>
      </w:r>
      <w:r w:rsidR="00F61103" w:rsidRPr="00F61103">
        <w:rPr>
          <w:b/>
          <w:bCs/>
          <w:i/>
          <w:iCs/>
          <w:color w:val="000000"/>
        </w:rPr>
        <w:t xml:space="preserve"> </w:t>
      </w:r>
      <w:r w:rsidR="00F61103">
        <w:rPr>
          <w:b/>
          <w:bCs/>
          <w:i/>
          <w:iCs/>
          <w:color w:val="000000"/>
        </w:rPr>
        <w:t>II</w:t>
      </w:r>
      <w:r w:rsidR="00F61103" w:rsidRPr="00F61103">
        <w:rPr>
          <w:b/>
          <w:bCs/>
          <w:i/>
          <w:iCs/>
          <w:color w:val="000000"/>
        </w:rPr>
        <w:t xml:space="preserve"> in the Supplement</w:t>
      </w:r>
      <w:r w:rsidR="00AE7C4E">
        <w:rPr>
          <w:rFonts w:cs="Arial"/>
          <w:lang w:val="en-US"/>
        </w:rPr>
        <w:t>)</w:t>
      </w:r>
      <w:r w:rsidR="005A0A31">
        <w:rPr>
          <w:rFonts w:cs="Arial"/>
          <w:lang w:val="en-US"/>
        </w:rPr>
        <w:t xml:space="preserve">. This </w:t>
      </w:r>
      <w:r w:rsidR="00AE7C4E">
        <w:rPr>
          <w:rFonts w:cs="Arial"/>
          <w:lang w:val="en-US"/>
        </w:rPr>
        <w:t xml:space="preserve">may </w:t>
      </w:r>
      <w:r w:rsidR="002C2405">
        <w:rPr>
          <w:rFonts w:cs="Arial"/>
          <w:lang w:val="en-US"/>
        </w:rPr>
        <w:t>have produced</w:t>
      </w:r>
      <w:r w:rsidR="00A26790" w:rsidRPr="00FF0319">
        <w:rPr>
          <w:rFonts w:cs="Arial"/>
          <w:lang w:val="en-US"/>
        </w:rPr>
        <w:t xml:space="preserve"> partial confounding of our estimate of the effect </w:t>
      </w:r>
      <w:r w:rsidR="005A0A31">
        <w:rPr>
          <w:rFonts w:cs="Arial"/>
          <w:lang w:val="en-US"/>
        </w:rPr>
        <w:t xml:space="preserve">of the intervention </w:t>
      </w:r>
      <w:r w:rsidR="002C2405">
        <w:rPr>
          <w:rFonts w:cs="Arial"/>
          <w:lang w:val="en-US"/>
        </w:rPr>
        <w:t>as the</w:t>
      </w:r>
      <w:r w:rsidR="005A0A31">
        <w:rPr>
          <w:rFonts w:cs="Arial"/>
          <w:lang w:val="en-US"/>
        </w:rPr>
        <w:t xml:space="preserve"> primary analysis model </w:t>
      </w:r>
      <w:r w:rsidR="00A26790" w:rsidRPr="00FF0319">
        <w:rPr>
          <w:rFonts w:cs="Arial"/>
          <w:lang w:val="en-US"/>
        </w:rPr>
        <w:t xml:space="preserve">incorporates </w:t>
      </w:r>
      <w:r w:rsidR="005A0A31">
        <w:rPr>
          <w:rFonts w:cs="Arial"/>
          <w:lang w:val="en-US"/>
        </w:rPr>
        <w:t xml:space="preserve">both </w:t>
      </w:r>
      <w:r w:rsidR="00A26790" w:rsidRPr="00FF0319">
        <w:rPr>
          <w:rFonts w:cs="Arial"/>
          <w:lang w:val="en-US"/>
        </w:rPr>
        <w:t xml:space="preserve">vertical comparisons </w:t>
      </w:r>
      <w:r w:rsidR="005A0A31" w:rsidRPr="00FF0319">
        <w:rPr>
          <w:rFonts w:cs="Arial"/>
          <w:lang w:val="en-US"/>
        </w:rPr>
        <w:t>across sites</w:t>
      </w:r>
      <w:r w:rsidR="005A0A31">
        <w:rPr>
          <w:rFonts w:cs="Arial"/>
          <w:lang w:val="en-US"/>
        </w:rPr>
        <w:t xml:space="preserve"> </w:t>
      </w:r>
      <w:r w:rsidR="00A26790" w:rsidRPr="00FF0319">
        <w:rPr>
          <w:rFonts w:cs="Arial"/>
          <w:lang w:val="en-US"/>
        </w:rPr>
        <w:t xml:space="preserve">as well as </w:t>
      </w:r>
      <w:r w:rsidR="005A0A31">
        <w:rPr>
          <w:rFonts w:cs="Arial"/>
          <w:lang w:val="en-US"/>
        </w:rPr>
        <w:t xml:space="preserve">before-and-after comparisons </w:t>
      </w:r>
      <w:r w:rsidR="00A26790" w:rsidRPr="00FF0319">
        <w:rPr>
          <w:rFonts w:cs="Arial"/>
          <w:lang w:val="en-US"/>
        </w:rPr>
        <w:t>within sites.</w:t>
      </w:r>
      <w:r w:rsidR="005A0A31">
        <w:rPr>
          <w:rFonts w:cs="Arial"/>
          <w:lang w:val="en-US"/>
        </w:rPr>
        <w:t xml:space="preserve"> </w:t>
      </w:r>
      <w:r w:rsidR="00FF0319" w:rsidRPr="00FF0319">
        <w:rPr>
          <w:rFonts w:cs="Arial"/>
          <w:lang w:val="en-US"/>
        </w:rPr>
        <w:t xml:space="preserve">Importantly, we also </w:t>
      </w:r>
      <w:r w:rsidR="002C2405">
        <w:rPr>
          <w:rFonts w:cs="Arial"/>
          <w:lang w:val="en-US"/>
        </w:rPr>
        <w:t>prespe</w:t>
      </w:r>
      <w:r w:rsidR="00AE7C4E">
        <w:rPr>
          <w:rFonts w:cs="Arial"/>
          <w:lang w:val="en-US"/>
        </w:rPr>
        <w:t>c</w:t>
      </w:r>
      <w:r w:rsidR="002C2405">
        <w:rPr>
          <w:rFonts w:cs="Arial"/>
          <w:lang w:val="en-US"/>
        </w:rPr>
        <w:t>i</w:t>
      </w:r>
      <w:r w:rsidR="00AE7C4E">
        <w:rPr>
          <w:rFonts w:cs="Arial"/>
          <w:lang w:val="en-US"/>
        </w:rPr>
        <w:t>f</w:t>
      </w:r>
      <w:r w:rsidR="002C2405">
        <w:rPr>
          <w:rFonts w:cs="Arial"/>
          <w:lang w:val="en-US"/>
        </w:rPr>
        <w:t xml:space="preserve">ied </w:t>
      </w:r>
      <w:r w:rsidR="00FF0319" w:rsidRPr="00FF0319">
        <w:rPr>
          <w:rFonts w:cs="Arial"/>
          <w:lang w:val="en-US"/>
        </w:rPr>
        <w:t xml:space="preserve">a calendar matched before-and-after sensitivity analysis that did not include </w:t>
      </w:r>
      <w:r w:rsidR="00AE7C4E">
        <w:rPr>
          <w:rFonts w:cs="Arial"/>
          <w:lang w:val="en-US"/>
        </w:rPr>
        <w:t xml:space="preserve">a </w:t>
      </w:r>
      <w:r w:rsidR="00FF0319" w:rsidRPr="00FF0319">
        <w:rPr>
          <w:rFonts w:cs="Arial"/>
          <w:lang w:val="en-US"/>
        </w:rPr>
        <w:t>vertical comparison</w:t>
      </w:r>
      <w:r w:rsidR="005C70D5">
        <w:rPr>
          <w:rFonts w:cs="Arial"/>
          <w:lang w:val="en-US"/>
        </w:rPr>
        <w:t>;</w:t>
      </w:r>
      <w:r w:rsidR="00FF0319">
        <w:rPr>
          <w:rFonts w:cs="Arial"/>
          <w:lang w:val="en-US"/>
        </w:rPr>
        <w:t xml:space="preserve"> the results of which </w:t>
      </w:r>
      <w:r w:rsidR="00426673">
        <w:rPr>
          <w:rFonts w:cs="Arial"/>
          <w:lang w:val="en-US"/>
        </w:rPr>
        <w:t>favored</w:t>
      </w:r>
      <w:r w:rsidR="00FF0319">
        <w:rPr>
          <w:rFonts w:cs="Arial"/>
          <w:lang w:val="en-US"/>
        </w:rPr>
        <w:t xml:space="preserve"> the early-rule out pathway. </w:t>
      </w:r>
    </w:p>
    <w:p w14:paraId="3E528139" w14:textId="77777777" w:rsidR="00053D87" w:rsidRDefault="00053D87" w:rsidP="0057356B">
      <w:pPr>
        <w:spacing w:line="480" w:lineRule="auto"/>
        <w:rPr>
          <w:rFonts w:cs="Arial"/>
          <w:lang w:val="en-US"/>
        </w:rPr>
      </w:pPr>
    </w:p>
    <w:p w14:paraId="7E342C30" w14:textId="32C1C12B" w:rsidR="00990AA7" w:rsidRPr="00990AA7" w:rsidRDefault="0022123D" w:rsidP="0057356B">
      <w:pPr>
        <w:spacing w:line="480" w:lineRule="auto"/>
        <w:rPr>
          <w:rFonts w:cs="Arial"/>
          <w:lang w:val="en-US"/>
        </w:rPr>
      </w:pPr>
      <w:r>
        <w:rPr>
          <w:rFonts w:cs="Arial"/>
          <w:lang w:val="en-US"/>
        </w:rPr>
        <w:t xml:space="preserve">Is </w:t>
      </w:r>
      <w:r w:rsidR="00053D87">
        <w:rPr>
          <w:rFonts w:cs="Arial"/>
          <w:lang w:val="en-US"/>
        </w:rPr>
        <w:t>it plausible that the introduction of an early rule</w:t>
      </w:r>
      <w:r w:rsidR="00990AA7">
        <w:rPr>
          <w:rFonts w:cs="Arial"/>
          <w:lang w:val="en-US"/>
        </w:rPr>
        <w:t>-</w:t>
      </w:r>
      <w:r w:rsidR="00053D87">
        <w:rPr>
          <w:rFonts w:cs="Arial"/>
          <w:lang w:val="en-US"/>
        </w:rPr>
        <w:t xml:space="preserve">out pathway could reduce the risk of subsequent </w:t>
      </w:r>
      <w:r w:rsidR="007F6782">
        <w:rPr>
          <w:rFonts w:cs="Arial"/>
          <w:lang w:val="en-US"/>
        </w:rPr>
        <w:t>cardiac events</w:t>
      </w:r>
      <w:r w:rsidR="00053D87">
        <w:rPr>
          <w:rFonts w:cs="Arial"/>
          <w:lang w:val="en-US"/>
        </w:rPr>
        <w:t>?</w:t>
      </w:r>
      <w:r>
        <w:rPr>
          <w:rFonts w:cs="Arial"/>
          <w:lang w:val="en-US"/>
        </w:rPr>
        <w:t xml:space="preserve"> </w:t>
      </w:r>
      <w:r w:rsidR="00053D87">
        <w:rPr>
          <w:rFonts w:cs="Arial"/>
          <w:lang w:val="en-US"/>
        </w:rPr>
        <w:t>By using a threshold well below the 99</w:t>
      </w:r>
      <w:r w:rsidR="00053D87" w:rsidRPr="00053D87">
        <w:rPr>
          <w:rFonts w:cs="Arial"/>
          <w:vertAlign w:val="superscript"/>
          <w:lang w:val="en-US"/>
        </w:rPr>
        <w:t>th</w:t>
      </w:r>
      <w:r w:rsidR="00053D87">
        <w:rPr>
          <w:rFonts w:cs="Arial"/>
          <w:lang w:val="en-US"/>
        </w:rPr>
        <w:t xml:space="preserve"> centile to </w:t>
      </w:r>
      <w:r w:rsidR="00053D87" w:rsidRPr="00053D87">
        <w:rPr>
          <w:rFonts w:cs="Arial"/>
          <w:lang w:val="en-US"/>
        </w:rPr>
        <w:t xml:space="preserve">risk stratify patients </w:t>
      </w:r>
      <w:r w:rsidR="00053D87">
        <w:rPr>
          <w:rFonts w:cs="Arial"/>
          <w:lang w:val="en-US"/>
        </w:rPr>
        <w:t xml:space="preserve">and by </w:t>
      </w:r>
      <w:r w:rsidR="00A711AE" w:rsidRPr="00053D87">
        <w:rPr>
          <w:rFonts w:cs="Arial"/>
          <w:lang w:val="en-US"/>
        </w:rPr>
        <w:t>recogni</w:t>
      </w:r>
      <w:r w:rsidR="00A711AE">
        <w:rPr>
          <w:rFonts w:cs="Arial"/>
          <w:lang w:val="en-US"/>
        </w:rPr>
        <w:t>z</w:t>
      </w:r>
      <w:r w:rsidR="00A711AE" w:rsidRPr="00053D87">
        <w:rPr>
          <w:rFonts w:cs="Arial"/>
          <w:lang w:val="en-US"/>
        </w:rPr>
        <w:t>ing</w:t>
      </w:r>
      <w:r w:rsidR="003F28B7" w:rsidRPr="00053D87">
        <w:rPr>
          <w:rFonts w:cs="Arial"/>
          <w:lang w:val="en-US"/>
        </w:rPr>
        <w:t xml:space="preserve"> </w:t>
      </w:r>
      <w:r w:rsidR="00053D87" w:rsidRPr="00053D87">
        <w:rPr>
          <w:rFonts w:cs="Arial"/>
          <w:lang w:val="en-US"/>
        </w:rPr>
        <w:t xml:space="preserve">that small changes in troponin </w:t>
      </w:r>
      <w:r w:rsidR="00990AA7">
        <w:rPr>
          <w:rFonts w:cs="Arial"/>
          <w:lang w:val="en-US"/>
        </w:rPr>
        <w:t xml:space="preserve">concentration </w:t>
      </w:r>
      <w:r w:rsidR="00053D87" w:rsidRPr="00053D87">
        <w:rPr>
          <w:rFonts w:cs="Arial"/>
          <w:lang w:val="en-US"/>
        </w:rPr>
        <w:t>within the reference range may be important</w:t>
      </w:r>
      <w:r w:rsidR="00053D87">
        <w:rPr>
          <w:rFonts w:cs="Arial"/>
          <w:lang w:val="en-US"/>
        </w:rPr>
        <w:t xml:space="preserve">, we may have </w:t>
      </w:r>
      <w:r w:rsidR="00990AA7">
        <w:rPr>
          <w:rFonts w:cs="Arial"/>
          <w:lang w:val="en-US"/>
        </w:rPr>
        <w:t xml:space="preserve">improved the evaluation of risk </w:t>
      </w:r>
      <w:r w:rsidR="00053D87">
        <w:rPr>
          <w:rFonts w:cs="Arial"/>
          <w:lang w:val="en-US"/>
        </w:rPr>
        <w:t>compared to us</w:t>
      </w:r>
      <w:r w:rsidR="00990AA7">
        <w:rPr>
          <w:rFonts w:cs="Arial"/>
          <w:lang w:val="en-US"/>
        </w:rPr>
        <w:t>ing</w:t>
      </w:r>
      <w:r w:rsidR="00053D87">
        <w:rPr>
          <w:rFonts w:cs="Arial"/>
          <w:lang w:val="en-US"/>
        </w:rPr>
        <w:t xml:space="preserve"> a single </w:t>
      </w:r>
      <w:r w:rsidR="00911950">
        <w:rPr>
          <w:rFonts w:cs="Arial"/>
          <w:lang w:val="en-US"/>
        </w:rPr>
        <w:t xml:space="preserve">higher </w:t>
      </w:r>
      <w:r w:rsidR="00053D87">
        <w:rPr>
          <w:rFonts w:cs="Arial"/>
          <w:lang w:val="en-US"/>
        </w:rPr>
        <w:t xml:space="preserve">threshold to </w:t>
      </w:r>
      <w:r w:rsidR="00053D87" w:rsidRPr="00053D87">
        <w:rPr>
          <w:rFonts w:cs="Arial"/>
          <w:lang w:val="en-US"/>
        </w:rPr>
        <w:t xml:space="preserve">rule in and rule out myocardial infarction. </w:t>
      </w:r>
      <w:r w:rsidR="00053D87">
        <w:rPr>
          <w:rFonts w:cs="Arial"/>
          <w:lang w:val="en-US"/>
        </w:rPr>
        <w:t xml:space="preserve">This is supported by </w:t>
      </w:r>
      <w:r w:rsidR="00990AA7">
        <w:rPr>
          <w:rFonts w:cs="Arial"/>
          <w:lang w:val="en-US"/>
        </w:rPr>
        <w:t>recent</w:t>
      </w:r>
      <w:r w:rsidR="00053D87">
        <w:rPr>
          <w:rFonts w:cs="Arial"/>
          <w:lang w:val="en-US"/>
        </w:rPr>
        <w:t xml:space="preserve"> observational studies, which report that using the 99</w:t>
      </w:r>
      <w:r w:rsidR="00053D87" w:rsidRPr="00053D87">
        <w:rPr>
          <w:rFonts w:cs="Arial"/>
          <w:vertAlign w:val="superscript"/>
          <w:lang w:val="en-US"/>
        </w:rPr>
        <w:t>th</w:t>
      </w:r>
      <w:r w:rsidR="00053D87">
        <w:rPr>
          <w:rFonts w:cs="Arial"/>
          <w:lang w:val="en-US"/>
        </w:rPr>
        <w:t xml:space="preserve"> centile to rule out myocardial infarction at presentation </w:t>
      </w:r>
      <w:r w:rsidR="007F6782">
        <w:rPr>
          <w:rFonts w:cs="Arial"/>
          <w:lang w:val="en-US"/>
        </w:rPr>
        <w:t>and at</w:t>
      </w:r>
      <w:r w:rsidR="00053D87">
        <w:rPr>
          <w:rFonts w:cs="Arial"/>
          <w:lang w:val="en-US"/>
        </w:rPr>
        <w:t xml:space="preserve"> 3 </w:t>
      </w:r>
      <w:r w:rsidR="0063130F">
        <w:rPr>
          <w:rFonts w:cs="Arial"/>
          <w:lang w:val="en-US"/>
        </w:rPr>
        <w:t>hours</w:t>
      </w:r>
      <w:r w:rsidR="007C2DF0">
        <w:rPr>
          <w:rFonts w:cs="Arial"/>
          <w:lang w:val="en-US"/>
        </w:rPr>
        <w:t>,</w:t>
      </w:r>
      <w:r w:rsidR="0063130F">
        <w:rPr>
          <w:rFonts w:cs="Arial"/>
          <w:lang w:val="en-US"/>
        </w:rPr>
        <w:t xml:space="preserve"> </w:t>
      </w:r>
      <w:r w:rsidR="00053D87">
        <w:rPr>
          <w:rFonts w:cs="Arial"/>
          <w:lang w:val="en-US"/>
        </w:rPr>
        <w:t xml:space="preserve">misses 1 in </w:t>
      </w:r>
      <w:r w:rsidR="007C7E39">
        <w:rPr>
          <w:rFonts w:cs="Arial"/>
          <w:lang w:val="en-US"/>
        </w:rPr>
        <w:t xml:space="preserve">10 </w:t>
      </w:r>
      <w:r w:rsidR="00053D87">
        <w:rPr>
          <w:rFonts w:cs="Arial"/>
          <w:lang w:val="en-US"/>
        </w:rPr>
        <w:t xml:space="preserve">patients </w:t>
      </w:r>
      <w:r w:rsidR="007C7E39">
        <w:rPr>
          <w:rFonts w:cs="Arial"/>
          <w:lang w:val="en-US"/>
        </w:rPr>
        <w:t xml:space="preserve">with myocardial infarction </w:t>
      </w:r>
      <w:r w:rsidR="009E3E52">
        <w:rPr>
          <w:rFonts w:cs="Arial"/>
          <w:lang w:val="en-US"/>
        </w:rPr>
        <w:t xml:space="preserve">who would have been identified on serial testing 6-12 </w:t>
      </w:r>
      <w:r w:rsidR="0063130F">
        <w:rPr>
          <w:rFonts w:cs="Arial"/>
          <w:lang w:val="en-US"/>
        </w:rPr>
        <w:t xml:space="preserve">hours </w:t>
      </w:r>
      <w:r w:rsidR="009E3E52">
        <w:rPr>
          <w:rFonts w:cs="Arial"/>
          <w:lang w:val="en-US"/>
        </w:rPr>
        <w:t>following the onset of symptoms</w:t>
      </w:r>
      <w:r w:rsidR="00C72FD3">
        <w:rPr>
          <w:rFonts w:cs="Arial"/>
          <w:lang w:val="en-US"/>
        </w:rPr>
        <w:t>.</w:t>
      </w:r>
      <w:r w:rsidR="00B66500" w:rsidRPr="00804CFA">
        <w:rPr>
          <w:rFonts w:cs="Arial"/>
          <w:vertAlign w:val="superscript"/>
          <w:lang w:val="en-US"/>
        </w:rPr>
        <w:t>1</w:t>
      </w:r>
      <w:r w:rsidR="00127A86">
        <w:rPr>
          <w:rFonts w:cs="Arial"/>
          <w:vertAlign w:val="superscript"/>
          <w:lang w:val="en-US"/>
        </w:rPr>
        <w:t>9</w:t>
      </w:r>
      <w:r w:rsidR="00B66500" w:rsidRPr="00804CFA">
        <w:rPr>
          <w:rFonts w:cs="Arial"/>
          <w:vertAlign w:val="superscript"/>
          <w:lang w:val="en-US"/>
        </w:rPr>
        <w:t>,3</w:t>
      </w:r>
      <w:r w:rsidR="00173DB9">
        <w:rPr>
          <w:rFonts w:cs="Arial"/>
          <w:vertAlign w:val="superscript"/>
          <w:lang w:val="en-US"/>
        </w:rPr>
        <w:t>6</w:t>
      </w:r>
      <w:r w:rsidR="00181619">
        <w:rPr>
          <w:rFonts w:cs="Arial"/>
          <w:vertAlign w:val="superscript"/>
          <w:lang w:val="en-US"/>
        </w:rPr>
        <w:t>,3</w:t>
      </w:r>
      <w:r w:rsidR="00173DB9">
        <w:rPr>
          <w:rFonts w:cs="Arial"/>
          <w:vertAlign w:val="superscript"/>
          <w:lang w:val="en-US"/>
        </w:rPr>
        <w:t>8</w:t>
      </w:r>
      <w:r w:rsidR="009E3E52">
        <w:rPr>
          <w:rFonts w:cs="Arial"/>
          <w:lang w:val="en-US"/>
        </w:rPr>
        <w:t xml:space="preserve"> </w:t>
      </w:r>
      <w:r w:rsidR="00692C2D">
        <w:rPr>
          <w:rFonts w:cs="Arial"/>
          <w:lang w:val="en-US"/>
        </w:rPr>
        <w:t xml:space="preserve">Furthermore, our pathway </w:t>
      </w:r>
      <w:r w:rsidR="00F5598B">
        <w:rPr>
          <w:rFonts w:cs="Arial"/>
          <w:lang w:val="en-US"/>
        </w:rPr>
        <w:t>encourages</w:t>
      </w:r>
      <w:r w:rsidR="00692C2D">
        <w:rPr>
          <w:rFonts w:cs="Arial"/>
          <w:lang w:val="en-US"/>
        </w:rPr>
        <w:t xml:space="preserve"> serial testing to safely </w:t>
      </w:r>
      <w:r w:rsidR="007F6782">
        <w:rPr>
          <w:rFonts w:cs="Arial"/>
          <w:lang w:val="en-US"/>
        </w:rPr>
        <w:t>rule out</w:t>
      </w:r>
      <w:r w:rsidR="00692C2D">
        <w:rPr>
          <w:rFonts w:cs="Arial"/>
          <w:lang w:val="en-US"/>
        </w:rPr>
        <w:t xml:space="preserve"> </w:t>
      </w:r>
      <w:r w:rsidR="00692C2D">
        <w:rPr>
          <w:rFonts w:cs="Arial"/>
          <w:lang w:val="en-US"/>
        </w:rPr>
        <w:lastRenderedPageBreak/>
        <w:t>myocardial infarction</w:t>
      </w:r>
      <w:r w:rsidR="00F5598B">
        <w:rPr>
          <w:rFonts w:cs="Arial"/>
          <w:lang w:val="en-US"/>
        </w:rPr>
        <w:t xml:space="preserve"> in early presenters</w:t>
      </w:r>
      <w:r w:rsidR="00692C2D">
        <w:rPr>
          <w:rFonts w:cs="Arial"/>
          <w:lang w:val="en-US"/>
        </w:rPr>
        <w:t>, which is now recogn</w:t>
      </w:r>
      <w:r w:rsidR="00320221">
        <w:rPr>
          <w:rFonts w:cs="Arial"/>
          <w:lang w:val="en-US"/>
        </w:rPr>
        <w:t>ize</w:t>
      </w:r>
      <w:r w:rsidR="00692C2D">
        <w:rPr>
          <w:rFonts w:cs="Arial"/>
          <w:lang w:val="en-US"/>
        </w:rPr>
        <w:t xml:space="preserve">d by </w:t>
      </w:r>
      <w:r w:rsidR="009E5B08">
        <w:rPr>
          <w:rFonts w:cs="Arial"/>
          <w:lang w:val="en-US"/>
        </w:rPr>
        <w:t xml:space="preserve">international </w:t>
      </w:r>
      <w:r w:rsidR="00692C2D">
        <w:rPr>
          <w:rFonts w:cs="Arial"/>
          <w:bCs/>
          <w:lang w:val="en-US"/>
        </w:rPr>
        <w:t>guidelines</w:t>
      </w:r>
      <w:r w:rsidR="00C72FD3">
        <w:rPr>
          <w:rFonts w:cs="Arial"/>
          <w:bCs/>
          <w:lang w:val="en-US"/>
        </w:rPr>
        <w:t>.</w:t>
      </w:r>
      <w:r w:rsidR="00692C2D" w:rsidRPr="00804CFA">
        <w:rPr>
          <w:rFonts w:cs="Arial"/>
          <w:bCs/>
          <w:vertAlign w:val="superscript"/>
          <w:lang w:val="en-US"/>
        </w:rPr>
        <w:t>3</w:t>
      </w:r>
      <w:r w:rsidR="00173DB9">
        <w:rPr>
          <w:rFonts w:cs="Arial"/>
          <w:bCs/>
          <w:vertAlign w:val="superscript"/>
          <w:lang w:val="en-US"/>
        </w:rPr>
        <w:t>7</w:t>
      </w:r>
      <w:r w:rsidR="00692C2D" w:rsidRPr="00804CFA">
        <w:rPr>
          <w:rFonts w:cs="Arial"/>
          <w:bCs/>
          <w:vertAlign w:val="superscript"/>
          <w:lang w:val="en-US"/>
        </w:rPr>
        <w:t>,</w:t>
      </w:r>
      <w:r w:rsidR="00181619" w:rsidRPr="00804CFA">
        <w:rPr>
          <w:rFonts w:cs="Arial"/>
          <w:bCs/>
          <w:vertAlign w:val="superscript"/>
          <w:lang w:val="en-US"/>
        </w:rPr>
        <w:t>3</w:t>
      </w:r>
      <w:r w:rsidR="00173DB9">
        <w:rPr>
          <w:rFonts w:cs="Arial"/>
          <w:bCs/>
          <w:vertAlign w:val="superscript"/>
          <w:lang w:val="en-US"/>
        </w:rPr>
        <w:t>9</w:t>
      </w:r>
      <w:r w:rsidR="00181619">
        <w:rPr>
          <w:rFonts w:cs="Arial"/>
          <w:lang w:val="en-US"/>
        </w:rPr>
        <w:t xml:space="preserve"> </w:t>
      </w:r>
    </w:p>
    <w:p w14:paraId="32902E64" w14:textId="77777777" w:rsidR="00854C42" w:rsidRDefault="00854C42" w:rsidP="0057356B">
      <w:pPr>
        <w:spacing w:line="480" w:lineRule="auto"/>
        <w:rPr>
          <w:rFonts w:cs="Arial"/>
          <w:lang w:val="en-US"/>
        </w:rPr>
      </w:pPr>
    </w:p>
    <w:p w14:paraId="60507D08" w14:textId="02F357F2" w:rsidR="0091228E" w:rsidRDefault="00854C42" w:rsidP="0075194A">
      <w:pPr>
        <w:spacing w:line="480" w:lineRule="auto"/>
        <w:rPr>
          <w:rFonts w:cs="Arial"/>
          <w:lang w:val="en-US"/>
        </w:rPr>
      </w:pPr>
      <w:r>
        <w:rPr>
          <w:rFonts w:cs="Arial"/>
          <w:lang w:val="en-US"/>
        </w:rPr>
        <w:t xml:space="preserve">Our findings add to those from </w:t>
      </w:r>
      <w:r w:rsidR="001B5DB5">
        <w:rPr>
          <w:rFonts w:cs="Arial"/>
          <w:lang w:val="en-US"/>
        </w:rPr>
        <w:t xml:space="preserve">two </w:t>
      </w:r>
      <w:r>
        <w:rPr>
          <w:rFonts w:cs="Arial"/>
          <w:lang w:val="en-US"/>
        </w:rPr>
        <w:t xml:space="preserve">recently published </w:t>
      </w:r>
      <w:r w:rsidR="00742F47">
        <w:rPr>
          <w:rFonts w:cs="Arial"/>
          <w:lang w:val="en-US"/>
        </w:rPr>
        <w:t>random</w:t>
      </w:r>
      <w:r w:rsidR="00320221">
        <w:rPr>
          <w:rFonts w:cs="Arial"/>
          <w:lang w:val="en-US"/>
        </w:rPr>
        <w:t>ize</w:t>
      </w:r>
      <w:r w:rsidR="00742F47">
        <w:rPr>
          <w:rFonts w:cs="Arial"/>
          <w:lang w:val="en-US"/>
        </w:rPr>
        <w:t>d</w:t>
      </w:r>
      <w:r w:rsidR="004A445B">
        <w:rPr>
          <w:rFonts w:cs="Arial"/>
          <w:lang w:val="en-US"/>
        </w:rPr>
        <w:t xml:space="preserve"> </w:t>
      </w:r>
      <w:r>
        <w:rPr>
          <w:rFonts w:cs="Arial"/>
          <w:lang w:val="en-US"/>
        </w:rPr>
        <w:t>trial</w:t>
      </w:r>
      <w:r w:rsidR="001B5DB5">
        <w:rPr>
          <w:rFonts w:cs="Arial"/>
          <w:lang w:val="en-US"/>
        </w:rPr>
        <w:t xml:space="preserve">s. The RAPID-TnT study </w:t>
      </w:r>
      <w:r>
        <w:rPr>
          <w:rFonts w:cs="Arial"/>
          <w:lang w:val="en-US"/>
        </w:rPr>
        <w:t xml:space="preserve">compared a 1-hour </w:t>
      </w:r>
      <w:r w:rsidR="009E5B08">
        <w:rPr>
          <w:rFonts w:cs="Arial"/>
          <w:lang w:val="en-US"/>
        </w:rPr>
        <w:t>and</w:t>
      </w:r>
      <w:r>
        <w:rPr>
          <w:rFonts w:cs="Arial"/>
          <w:lang w:val="en-US"/>
        </w:rPr>
        <w:t xml:space="preserve"> </w:t>
      </w:r>
      <w:r w:rsidRPr="007D2C22">
        <w:rPr>
          <w:rFonts w:cs="Arial"/>
          <w:lang w:val="en-US"/>
        </w:rPr>
        <w:t xml:space="preserve">3-hour </w:t>
      </w:r>
      <w:r w:rsidR="009E5B08">
        <w:rPr>
          <w:rFonts w:cs="Arial"/>
          <w:lang w:val="en-US"/>
        </w:rPr>
        <w:t>rule</w:t>
      </w:r>
      <w:r w:rsidR="00A42A87">
        <w:rPr>
          <w:rFonts w:cs="Arial"/>
          <w:lang w:val="en-US"/>
        </w:rPr>
        <w:t>-</w:t>
      </w:r>
      <w:r w:rsidR="009E5B08">
        <w:rPr>
          <w:rFonts w:cs="Arial"/>
          <w:lang w:val="en-US"/>
        </w:rPr>
        <w:t xml:space="preserve">out </w:t>
      </w:r>
      <w:r w:rsidR="00A42A87">
        <w:rPr>
          <w:rFonts w:cs="Arial"/>
          <w:lang w:val="en-US"/>
        </w:rPr>
        <w:t>pathway</w:t>
      </w:r>
      <w:r w:rsidR="001B5DB5">
        <w:rPr>
          <w:rFonts w:cs="Arial"/>
          <w:lang w:val="en-US"/>
        </w:rPr>
        <w:t xml:space="preserve"> in 3,378 patients, finding a 1-hour strategy</w:t>
      </w:r>
      <w:r w:rsidR="00D067A1">
        <w:rPr>
          <w:rFonts w:cs="Arial"/>
          <w:lang w:val="en-US"/>
        </w:rPr>
        <w:t xml:space="preserve"> reduced </w:t>
      </w:r>
      <w:r>
        <w:rPr>
          <w:rFonts w:cs="Arial"/>
          <w:lang w:val="en-US"/>
        </w:rPr>
        <w:t>length of stay by 60 min</w:t>
      </w:r>
      <w:r w:rsidR="00832422">
        <w:rPr>
          <w:rFonts w:cs="Arial"/>
          <w:lang w:val="en-US"/>
        </w:rPr>
        <w:t>ute</w:t>
      </w:r>
      <w:r>
        <w:rPr>
          <w:rFonts w:cs="Arial"/>
          <w:lang w:val="en-US"/>
        </w:rPr>
        <w:t xml:space="preserve">s and increased </w:t>
      </w:r>
      <w:r w:rsidR="00D067A1">
        <w:rPr>
          <w:rFonts w:cs="Arial"/>
          <w:lang w:val="en-US"/>
        </w:rPr>
        <w:t>discharge</w:t>
      </w:r>
      <w:r w:rsidR="009E5B08">
        <w:rPr>
          <w:rFonts w:cs="Arial"/>
          <w:lang w:val="en-US"/>
        </w:rPr>
        <w:t xml:space="preserve"> rates</w:t>
      </w:r>
      <w:r w:rsidR="00D067A1">
        <w:rPr>
          <w:rFonts w:cs="Arial"/>
          <w:lang w:val="en-US"/>
        </w:rPr>
        <w:t xml:space="preserve"> </w:t>
      </w:r>
      <w:r>
        <w:rPr>
          <w:rFonts w:cs="Arial"/>
          <w:lang w:val="en-US"/>
        </w:rPr>
        <w:t xml:space="preserve">from </w:t>
      </w:r>
      <w:r w:rsidRPr="007D2C22">
        <w:rPr>
          <w:rFonts w:cs="Arial"/>
          <w:lang w:val="en-US"/>
        </w:rPr>
        <w:t>32%</w:t>
      </w:r>
      <w:r>
        <w:rPr>
          <w:rFonts w:cs="Arial"/>
          <w:lang w:val="en-US"/>
        </w:rPr>
        <w:t xml:space="preserve"> to </w:t>
      </w:r>
      <w:r w:rsidRPr="007D2C22">
        <w:rPr>
          <w:rFonts w:cs="Arial"/>
          <w:lang w:val="en-US"/>
        </w:rPr>
        <w:t>45%</w:t>
      </w:r>
      <w:r>
        <w:rPr>
          <w:rFonts w:cs="Arial"/>
          <w:lang w:val="en-US"/>
        </w:rPr>
        <w:t>.</w:t>
      </w:r>
      <w:r w:rsidR="001B5DB5" w:rsidRPr="00B759BE">
        <w:rPr>
          <w:rFonts w:cs="Arial"/>
          <w:vertAlign w:val="superscript"/>
          <w:lang w:val="en-US"/>
        </w:rPr>
        <w:t>1</w:t>
      </w:r>
      <w:r w:rsidR="00127A86">
        <w:rPr>
          <w:rFonts w:cs="Arial"/>
          <w:vertAlign w:val="superscript"/>
          <w:lang w:val="en-US"/>
        </w:rPr>
        <w:t>6</w:t>
      </w:r>
      <w:r>
        <w:rPr>
          <w:rFonts w:cs="Arial"/>
          <w:lang w:val="en-US"/>
        </w:rPr>
        <w:t xml:space="preserve"> The trial concluded</w:t>
      </w:r>
      <w:r w:rsidRPr="008B587E">
        <w:rPr>
          <w:rFonts w:cs="Arial"/>
          <w:lang w:val="en-US"/>
        </w:rPr>
        <w:t xml:space="preserve"> </w:t>
      </w:r>
      <w:r>
        <w:rPr>
          <w:rFonts w:cs="Arial"/>
          <w:lang w:val="en-US"/>
        </w:rPr>
        <w:t xml:space="preserve">non-inferiority </w:t>
      </w:r>
      <w:r w:rsidR="00E56380">
        <w:rPr>
          <w:rFonts w:cs="Arial"/>
          <w:lang w:val="en-US"/>
        </w:rPr>
        <w:t xml:space="preserve">for </w:t>
      </w:r>
      <w:r w:rsidR="00164648">
        <w:rPr>
          <w:rFonts w:cs="Arial"/>
          <w:lang w:val="en-US"/>
        </w:rPr>
        <w:t xml:space="preserve">an endpoint of </w:t>
      </w:r>
      <w:r w:rsidRPr="008B587E">
        <w:rPr>
          <w:rFonts w:cs="Arial"/>
          <w:lang w:val="en-US"/>
        </w:rPr>
        <w:t xml:space="preserve">all-cause mortality or </w:t>
      </w:r>
      <w:r>
        <w:rPr>
          <w:rFonts w:cs="Arial"/>
          <w:lang w:val="en-US"/>
        </w:rPr>
        <w:t xml:space="preserve">myocardial infarction </w:t>
      </w:r>
      <w:r w:rsidRPr="008B587E">
        <w:rPr>
          <w:rFonts w:cs="Arial"/>
          <w:lang w:val="en-US"/>
        </w:rPr>
        <w:t>within 30 days</w:t>
      </w:r>
      <w:r>
        <w:rPr>
          <w:rFonts w:cs="Arial"/>
          <w:lang w:val="en-US"/>
        </w:rPr>
        <w:t xml:space="preserve">, </w:t>
      </w:r>
      <w:r w:rsidR="00832422">
        <w:rPr>
          <w:rFonts w:cs="Arial"/>
          <w:lang w:val="en-US"/>
        </w:rPr>
        <w:t>although</w:t>
      </w:r>
      <w:r>
        <w:rPr>
          <w:rFonts w:cs="Arial"/>
          <w:lang w:val="en-US"/>
        </w:rPr>
        <w:t xml:space="preserve"> there was an increase in secondary safety outcome</w:t>
      </w:r>
      <w:r w:rsidR="009E5B08">
        <w:rPr>
          <w:rFonts w:cs="Arial"/>
          <w:lang w:val="en-US"/>
        </w:rPr>
        <w:t xml:space="preserve"> events</w:t>
      </w:r>
      <w:r>
        <w:rPr>
          <w:rFonts w:cs="Arial"/>
          <w:lang w:val="en-US"/>
        </w:rPr>
        <w:t xml:space="preserve"> in the 1-hour pathway</w:t>
      </w:r>
      <w:r w:rsidR="009E5B08">
        <w:rPr>
          <w:rFonts w:cs="Arial"/>
          <w:lang w:val="en-US"/>
        </w:rPr>
        <w:t xml:space="preserve"> arm. </w:t>
      </w:r>
      <w:r w:rsidR="008F079C">
        <w:rPr>
          <w:rFonts w:cs="Arial"/>
          <w:lang w:val="en-US"/>
        </w:rPr>
        <w:t>Due to a perceived lack of equipoise the</w:t>
      </w:r>
      <w:r w:rsidRPr="00AE5C63">
        <w:rPr>
          <w:rFonts w:cs="Arial"/>
          <w:lang w:val="en-US"/>
        </w:rPr>
        <w:t xml:space="preserve"> monitoring </w:t>
      </w:r>
      <w:r>
        <w:rPr>
          <w:rFonts w:cs="Arial"/>
          <w:lang w:val="en-US"/>
        </w:rPr>
        <w:t xml:space="preserve">committee </w:t>
      </w:r>
      <w:r w:rsidR="00D067A1">
        <w:rPr>
          <w:rFonts w:cs="Arial"/>
          <w:lang w:val="en-US"/>
        </w:rPr>
        <w:t xml:space="preserve">recommended </w:t>
      </w:r>
      <w:r w:rsidR="009E5B08">
        <w:rPr>
          <w:rFonts w:cs="Arial"/>
          <w:lang w:val="en-US"/>
        </w:rPr>
        <w:t xml:space="preserve">the trial </w:t>
      </w:r>
      <w:r w:rsidR="00D067A1">
        <w:rPr>
          <w:rFonts w:cs="Arial"/>
          <w:lang w:val="en-US"/>
        </w:rPr>
        <w:t>stop</w:t>
      </w:r>
      <w:r w:rsidR="009E5B08">
        <w:rPr>
          <w:rFonts w:cs="Arial"/>
          <w:lang w:val="en-US"/>
        </w:rPr>
        <w:t xml:space="preserve"> </w:t>
      </w:r>
      <w:r w:rsidR="00CA1ACD">
        <w:rPr>
          <w:rFonts w:cs="Arial"/>
          <w:lang w:val="en-US"/>
        </w:rPr>
        <w:t xml:space="preserve">recruitment </w:t>
      </w:r>
      <w:r w:rsidR="009E5B08">
        <w:rPr>
          <w:rFonts w:cs="Arial"/>
          <w:lang w:val="en-US"/>
        </w:rPr>
        <w:t>with</w:t>
      </w:r>
      <w:r w:rsidR="00D067A1">
        <w:rPr>
          <w:rFonts w:cs="Arial"/>
          <w:lang w:val="en-US"/>
        </w:rPr>
        <w:t xml:space="preserve"> </w:t>
      </w:r>
      <w:r w:rsidR="009E5B08">
        <w:rPr>
          <w:rFonts w:cs="Arial"/>
          <w:lang w:val="en-US"/>
        </w:rPr>
        <w:t>just</w:t>
      </w:r>
      <w:r>
        <w:rPr>
          <w:rFonts w:cs="Arial"/>
          <w:lang w:val="en-US"/>
        </w:rPr>
        <w:t xml:space="preserve"> </w:t>
      </w:r>
      <w:r w:rsidR="008F079C">
        <w:rPr>
          <w:rFonts w:cs="Arial"/>
          <w:lang w:val="en-US"/>
        </w:rPr>
        <w:t>two-thirds</w:t>
      </w:r>
      <w:r>
        <w:rPr>
          <w:rFonts w:cs="Arial"/>
          <w:lang w:val="en-US"/>
        </w:rPr>
        <w:t xml:space="preserve"> of the target population</w:t>
      </w:r>
      <w:r w:rsidR="00D067A1">
        <w:rPr>
          <w:rFonts w:cs="Arial"/>
          <w:lang w:val="en-US"/>
        </w:rPr>
        <w:t xml:space="preserve"> enrolled</w:t>
      </w:r>
      <w:r w:rsidR="008F079C">
        <w:rPr>
          <w:rFonts w:cs="Arial"/>
          <w:lang w:val="en-US"/>
        </w:rPr>
        <w:t>, and o</w:t>
      </w:r>
      <w:r>
        <w:rPr>
          <w:rFonts w:cs="Arial"/>
          <w:lang w:val="en-US"/>
        </w:rPr>
        <w:t>nly one patient had a type 1 myocardial infarction following discharge</w:t>
      </w:r>
      <w:r w:rsidR="00D067A1" w:rsidRPr="00D067A1">
        <w:rPr>
          <w:rFonts w:cs="Arial"/>
          <w:lang w:val="en-US"/>
        </w:rPr>
        <w:t xml:space="preserve"> </w:t>
      </w:r>
      <w:r w:rsidR="00D067A1">
        <w:rPr>
          <w:rFonts w:cs="Arial"/>
          <w:lang w:val="en-US"/>
        </w:rPr>
        <w:t>in each arm</w:t>
      </w:r>
      <w:r w:rsidR="008F079C">
        <w:rPr>
          <w:rFonts w:cs="Arial"/>
          <w:lang w:val="en-US"/>
        </w:rPr>
        <w:t>.</w:t>
      </w:r>
      <w:r w:rsidR="001B5DB5">
        <w:rPr>
          <w:rFonts w:cs="Arial"/>
          <w:lang w:val="en-US"/>
        </w:rPr>
        <w:t xml:space="preserve"> The </w:t>
      </w:r>
      <w:r w:rsidR="00BF4D89">
        <w:rPr>
          <w:color w:val="000000"/>
        </w:rPr>
        <w:t>Limit of Detection and ECG Discharge</w:t>
      </w:r>
      <w:r w:rsidR="00BF4D89">
        <w:rPr>
          <w:rFonts w:cs="Arial"/>
          <w:lang w:val="en-US"/>
        </w:rPr>
        <w:t xml:space="preserve"> (</w:t>
      </w:r>
      <w:r w:rsidR="001B5DB5">
        <w:rPr>
          <w:rFonts w:cs="Arial"/>
          <w:lang w:val="en-US"/>
        </w:rPr>
        <w:t>LoDED</w:t>
      </w:r>
      <w:r w:rsidR="00BF4D89">
        <w:rPr>
          <w:rFonts w:cs="Arial"/>
          <w:lang w:val="en-US"/>
        </w:rPr>
        <w:t>)</w:t>
      </w:r>
      <w:r w:rsidR="001B5DB5">
        <w:rPr>
          <w:rFonts w:cs="Arial"/>
          <w:lang w:val="en-US"/>
        </w:rPr>
        <w:t xml:space="preserve"> trial compared </w:t>
      </w:r>
      <w:r w:rsidR="0006196D">
        <w:rPr>
          <w:rFonts w:cs="Arial"/>
          <w:lang w:val="en-US"/>
        </w:rPr>
        <w:t xml:space="preserve">standard guideline care with </w:t>
      </w:r>
      <w:r w:rsidR="00BF4D89">
        <w:rPr>
          <w:rFonts w:cs="Arial"/>
          <w:lang w:val="en-US"/>
        </w:rPr>
        <w:t xml:space="preserve">a </w:t>
      </w:r>
      <w:r w:rsidR="001B5DB5">
        <w:rPr>
          <w:rFonts w:cs="Arial"/>
          <w:lang w:val="en-US"/>
        </w:rPr>
        <w:t xml:space="preserve">rule-out </w:t>
      </w:r>
      <w:r w:rsidR="00BF4D89">
        <w:rPr>
          <w:rFonts w:cs="Arial"/>
          <w:lang w:val="en-US"/>
        </w:rPr>
        <w:t xml:space="preserve">pathway </w:t>
      </w:r>
      <w:r w:rsidR="0006196D">
        <w:rPr>
          <w:rFonts w:cs="Arial"/>
          <w:lang w:val="en-US"/>
        </w:rPr>
        <w:t>using</w:t>
      </w:r>
      <w:r w:rsidR="001B5DB5">
        <w:rPr>
          <w:rFonts w:cs="Arial"/>
          <w:lang w:val="en-US"/>
        </w:rPr>
        <w:t xml:space="preserve"> the limit of detection of cardiac troponin </w:t>
      </w:r>
      <w:r w:rsidR="0006196D">
        <w:rPr>
          <w:rFonts w:cs="Arial"/>
          <w:lang w:val="en-US"/>
        </w:rPr>
        <w:t>in</w:t>
      </w:r>
      <w:r w:rsidR="001B5DB5">
        <w:rPr>
          <w:rFonts w:cs="Arial"/>
          <w:lang w:val="en-US"/>
        </w:rPr>
        <w:t xml:space="preserve"> 632 patients.</w:t>
      </w:r>
      <w:r w:rsidR="00173DB9">
        <w:rPr>
          <w:rFonts w:cs="Arial"/>
          <w:vertAlign w:val="superscript"/>
          <w:lang w:val="en-US"/>
        </w:rPr>
        <w:t>40</w:t>
      </w:r>
      <w:r w:rsidR="00181619">
        <w:rPr>
          <w:rFonts w:cs="Arial"/>
          <w:lang w:val="en-US"/>
        </w:rPr>
        <w:t xml:space="preserve"> </w:t>
      </w:r>
      <w:r w:rsidR="00BF4D89">
        <w:rPr>
          <w:rFonts w:cs="Arial"/>
          <w:lang w:val="en-US"/>
        </w:rPr>
        <w:t xml:space="preserve">The use of a </w:t>
      </w:r>
      <w:r w:rsidR="001B5DB5">
        <w:rPr>
          <w:rFonts w:cs="Arial"/>
          <w:lang w:val="en-US"/>
        </w:rPr>
        <w:t xml:space="preserve">single test approach </w:t>
      </w:r>
      <w:r w:rsidR="00BF4D89">
        <w:rPr>
          <w:rFonts w:cs="Arial"/>
          <w:lang w:val="en-US"/>
        </w:rPr>
        <w:t>did not increase the proportion of patients</w:t>
      </w:r>
      <w:r w:rsidR="00BF4D89" w:rsidRPr="00D801A8">
        <w:rPr>
          <w:color w:val="000000"/>
        </w:rPr>
        <w:t xml:space="preserve"> discharge</w:t>
      </w:r>
      <w:r w:rsidR="00BF4D89">
        <w:rPr>
          <w:color w:val="000000"/>
        </w:rPr>
        <w:t>d</w:t>
      </w:r>
      <w:r w:rsidR="00BF4D89" w:rsidRPr="00D801A8">
        <w:rPr>
          <w:color w:val="000000"/>
        </w:rPr>
        <w:t xml:space="preserve"> from hospital within four hours of </w:t>
      </w:r>
      <w:r w:rsidR="00BF4D89">
        <w:rPr>
          <w:color w:val="000000"/>
        </w:rPr>
        <w:t>presentation.</w:t>
      </w:r>
      <w:r w:rsidR="007A3995">
        <w:rPr>
          <w:rFonts w:cs="Arial"/>
          <w:lang w:val="en-US"/>
        </w:rPr>
        <w:t xml:space="preserve"> </w:t>
      </w:r>
      <w:r w:rsidR="00BF4D89">
        <w:rPr>
          <w:rFonts w:cs="Arial"/>
          <w:lang w:val="en-US"/>
        </w:rPr>
        <w:t xml:space="preserve">This surprising finding may have been due to the small sample size and </w:t>
      </w:r>
      <w:r w:rsidR="005972F0">
        <w:rPr>
          <w:rFonts w:cs="Arial"/>
          <w:lang w:val="en-US"/>
        </w:rPr>
        <w:t xml:space="preserve">insufficient </w:t>
      </w:r>
      <w:r w:rsidR="00BF4D89">
        <w:rPr>
          <w:rFonts w:cs="Arial"/>
          <w:lang w:val="en-US"/>
        </w:rPr>
        <w:t xml:space="preserve">power or the </w:t>
      </w:r>
      <w:r w:rsidR="00A711AE">
        <w:rPr>
          <w:rFonts w:cs="Arial"/>
          <w:lang w:val="en-US"/>
        </w:rPr>
        <w:t>enrollment</w:t>
      </w:r>
      <w:r w:rsidR="005972F0">
        <w:rPr>
          <w:rFonts w:cs="Arial"/>
          <w:lang w:val="en-US"/>
        </w:rPr>
        <w:t xml:space="preserve"> </w:t>
      </w:r>
      <w:r w:rsidR="00BF4D89">
        <w:rPr>
          <w:rFonts w:cs="Arial"/>
          <w:lang w:val="en-US"/>
        </w:rPr>
        <w:t xml:space="preserve">of </w:t>
      </w:r>
      <w:r w:rsidR="005972F0">
        <w:rPr>
          <w:rFonts w:cs="Arial"/>
          <w:lang w:val="en-US"/>
        </w:rPr>
        <w:t xml:space="preserve">selected </w:t>
      </w:r>
      <w:r w:rsidR="00BF4D89">
        <w:rPr>
          <w:rFonts w:cs="Arial"/>
          <w:lang w:val="en-US"/>
        </w:rPr>
        <w:t>low</w:t>
      </w:r>
      <w:r w:rsidR="005972F0">
        <w:rPr>
          <w:rFonts w:cs="Arial"/>
          <w:lang w:val="en-US"/>
        </w:rPr>
        <w:t xml:space="preserve">er </w:t>
      </w:r>
      <w:r w:rsidR="00BF4D89">
        <w:rPr>
          <w:rFonts w:cs="Arial"/>
          <w:lang w:val="en-US"/>
        </w:rPr>
        <w:t xml:space="preserve">risk patients </w:t>
      </w:r>
      <w:r w:rsidR="005972F0">
        <w:rPr>
          <w:rFonts w:cs="Arial"/>
          <w:lang w:val="en-US"/>
        </w:rPr>
        <w:t>with a normal electrocardiogram. It appears that the</w:t>
      </w:r>
      <w:r w:rsidR="00BF4D89">
        <w:rPr>
          <w:rFonts w:cs="Arial"/>
          <w:lang w:val="en-US"/>
        </w:rPr>
        <w:t xml:space="preserve"> treating clinician determined the probability of myocardial infarction to be sufficiently low that admission to hospital was not required in both arms of the trial. However, consistent </w:t>
      </w:r>
      <w:r w:rsidR="007A3995">
        <w:rPr>
          <w:rFonts w:cs="Arial"/>
          <w:lang w:val="en-US"/>
        </w:rPr>
        <w:t xml:space="preserve">with our </w:t>
      </w:r>
      <w:r w:rsidR="005972F0">
        <w:rPr>
          <w:rFonts w:cs="Arial"/>
          <w:lang w:val="en-US"/>
        </w:rPr>
        <w:t>observations,</w:t>
      </w:r>
      <w:r w:rsidR="007A3995">
        <w:rPr>
          <w:rFonts w:cs="Arial"/>
          <w:lang w:val="en-US"/>
        </w:rPr>
        <w:t xml:space="preserve"> </w:t>
      </w:r>
      <w:r w:rsidR="00BF4D89">
        <w:rPr>
          <w:rFonts w:cs="Arial"/>
          <w:lang w:val="en-US"/>
        </w:rPr>
        <w:t xml:space="preserve">the LoDED investigators report that a </w:t>
      </w:r>
      <w:r w:rsidR="007A3995">
        <w:rPr>
          <w:rFonts w:cs="Arial"/>
          <w:lang w:val="en-US"/>
        </w:rPr>
        <w:t xml:space="preserve">single </w:t>
      </w:r>
      <w:r w:rsidR="00BF4D89">
        <w:rPr>
          <w:rFonts w:cs="Arial"/>
          <w:lang w:val="en-US"/>
        </w:rPr>
        <w:t xml:space="preserve">test approach was </w:t>
      </w:r>
      <w:r w:rsidR="007A3995">
        <w:rPr>
          <w:rFonts w:cs="Arial"/>
          <w:lang w:val="en-US"/>
        </w:rPr>
        <w:t xml:space="preserve">acceptable to </w:t>
      </w:r>
      <w:r w:rsidR="0006196D">
        <w:rPr>
          <w:rFonts w:cs="Arial"/>
          <w:lang w:val="en-US"/>
        </w:rPr>
        <w:t xml:space="preserve">patients and </w:t>
      </w:r>
      <w:r w:rsidR="007A3995">
        <w:rPr>
          <w:rFonts w:cs="Arial"/>
          <w:lang w:val="en-US"/>
        </w:rPr>
        <w:t xml:space="preserve">clinicians </w:t>
      </w:r>
      <w:r w:rsidR="00BF4D89">
        <w:rPr>
          <w:rFonts w:cs="Arial"/>
          <w:lang w:val="en-US"/>
        </w:rPr>
        <w:t>and</w:t>
      </w:r>
      <w:r w:rsidR="007A3995">
        <w:rPr>
          <w:rFonts w:cs="Arial"/>
          <w:lang w:val="en-US"/>
        </w:rPr>
        <w:t xml:space="preserve"> </w:t>
      </w:r>
      <w:r w:rsidR="005972F0">
        <w:rPr>
          <w:rFonts w:cs="Arial"/>
          <w:lang w:val="en-US"/>
        </w:rPr>
        <w:t xml:space="preserve">that </w:t>
      </w:r>
      <w:r w:rsidR="007A3995">
        <w:rPr>
          <w:rFonts w:cs="Arial"/>
          <w:lang w:val="en-US"/>
        </w:rPr>
        <w:t>pathway adherence</w:t>
      </w:r>
      <w:r w:rsidR="00BF4D89">
        <w:rPr>
          <w:rFonts w:cs="Arial"/>
          <w:lang w:val="en-US"/>
        </w:rPr>
        <w:t xml:space="preserve"> was excellent</w:t>
      </w:r>
      <w:r w:rsidR="007A3995">
        <w:rPr>
          <w:rFonts w:cs="Arial"/>
          <w:lang w:val="en-US"/>
        </w:rPr>
        <w:t>.</w:t>
      </w:r>
    </w:p>
    <w:p w14:paraId="0AD9796C" w14:textId="77777777" w:rsidR="00854C42" w:rsidRDefault="00854C42" w:rsidP="0057356B">
      <w:pPr>
        <w:spacing w:line="480" w:lineRule="auto"/>
        <w:rPr>
          <w:rFonts w:cs="Arial"/>
          <w:lang w:val="en-US"/>
        </w:rPr>
      </w:pPr>
    </w:p>
    <w:p w14:paraId="5413CBB8" w14:textId="308F0A03" w:rsidR="0091228E" w:rsidRPr="005419FA" w:rsidRDefault="00053168" w:rsidP="0057356B">
      <w:pPr>
        <w:spacing w:line="480" w:lineRule="auto"/>
        <w:rPr>
          <w:rFonts w:cs="Arial"/>
          <w:lang w:val="en-US"/>
        </w:rPr>
      </w:pPr>
      <w:r>
        <w:t>We acknowledge several potential</w:t>
      </w:r>
      <w:r w:rsidR="00670486" w:rsidRPr="00DE4F77">
        <w:t xml:space="preserve"> study limitations</w:t>
      </w:r>
      <w:r w:rsidR="00670486">
        <w:t xml:space="preserve">. </w:t>
      </w:r>
      <w:r w:rsidR="005419FA">
        <w:t xml:space="preserve">First, whilst </w:t>
      </w:r>
      <w:r w:rsidR="00670486">
        <w:t xml:space="preserve">the early rule-out pathway was implemented across three steps in the </w:t>
      </w:r>
      <w:r w:rsidR="00CA1ACD">
        <w:t>randomi</w:t>
      </w:r>
      <w:r w:rsidR="00AF759F">
        <w:t>z</w:t>
      </w:r>
      <w:r w:rsidR="00CA1ACD">
        <w:t xml:space="preserve">ation </w:t>
      </w:r>
      <w:r w:rsidR="00670486">
        <w:t xml:space="preserve">phase, we had to accept flexibility in the date of implementation </w:t>
      </w:r>
      <w:r w:rsidR="00670486" w:rsidRPr="00B57A5B">
        <w:t>(</w:t>
      </w:r>
      <w:r w:rsidR="0057356B">
        <w:rPr>
          <w:b/>
          <w:bCs/>
          <w:i/>
          <w:iCs/>
        </w:rPr>
        <w:t>Supplement</w:t>
      </w:r>
      <w:r w:rsidR="00F61103">
        <w:rPr>
          <w:b/>
          <w:bCs/>
          <w:i/>
          <w:iCs/>
        </w:rPr>
        <w:t>al Material</w:t>
      </w:r>
      <w:r w:rsidR="00670486" w:rsidRPr="00B57A5B">
        <w:t>)</w:t>
      </w:r>
      <w:r w:rsidR="00670486">
        <w:t>.</w:t>
      </w:r>
      <w:r w:rsidR="00024621">
        <w:t xml:space="preserve"> </w:t>
      </w:r>
      <w:r w:rsidR="00670486">
        <w:t xml:space="preserve">This limited </w:t>
      </w:r>
      <w:r w:rsidR="00024621">
        <w:t xml:space="preserve">our ability to </w:t>
      </w:r>
      <w:r w:rsidR="00911950">
        <w:t>interpret</w:t>
      </w:r>
      <w:r w:rsidR="00024621">
        <w:t xml:space="preserve"> a </w:t>
      </w:r>
      <w:r w:rsidR="00024621">
        <w:lastRenderedPageBreak/>
        <w:t xml:space="preserve">planned </w:t>
      </w:r>
      <w:r w:rsidR="00670486">
        <w:t xml:space="preserve">sensitivity analysis </w:t>
      </w:r>
      <w:r w:rsidR="00024621">
        <w:t xml:space="preserve">within the </w:t>
      </w:r>
      <w:r w:rsidR="00CA1ACD">
        <w:t>randomi</w:t>
      </w:r>
      <w:r w:rsidR="00AF759F">
        <w:t>z</w:t>
      </w:r>
      <w:r w:rsidR="00CA1ACD">
        <w:t xml:space="preserve">ation </w:t>
      </w:r>
      <w:r w:rsidR="00024621">
        <w:t>phase, when there were sites using both the standard care and early rule-out pathway</w:t>
      </w:r>
      <w:r w:rsidR="00DA3990">
        <w:t xml:space="preserve">. </w:t>
      </w:r>
      <w:r w:rsidR="005419FA">
        <w:t>Second</w:t>
      </w:r>
      <w:r w:rsidR="00276B96">
        <w:t>, w</w:t>
      </w:r>
      <w:r w:rsidR="00651824">
        <w:t xml:space="preserve">e </w:t>
      </w:r>
      <w:r w:rsidR="00276B96">
        <w:t xml:space="preserve">enrolled fewer than the </w:t>
      </w:r>
      <w:r w:rsidR="00651824">
        <w:t>3</w:t>
      </w:r>
      <w:r w:rsidR="00276B96">
        <w:t>8</w:t>
      </w:r>
      <w:r w:rsidR="00651824">
        <w:t>,</w:t>
      </w:r>
      <w:r w:rsidR="00276B96">
        <w:t>994</w:t>
      </w:r>
      <w:r w:rsidR="00651824">
        <w:t xml:space="preserve"> patients </w:t>
      </w:r>
      <w:r w:rsidR="00276B96">
        <w:t xml:space="preserve">anticipated in our sample size calculations, and </w:t>
      </w:r>
      <w:r w:rsidR="00651824">
        <w:t>identified fewer</w:t>
      </w:r>
      <w:r w:rsidR="00024621">
        <w:t xml:space="preserve"> safety outcome </w:t>
      </w:r>
      <w:r w:rsidR="00651824">
        <w:t xml:space="preserve">events </w:t>
      </w:r>
      <w:r w:rsidR="00024621">
        <w:t xml:space="preserve">at 30 days. </w:t>
      </w:r>
      <w:r w:rsidR="00276B96">
        <w:t>W</w:t>
      </w:r>
      <w:r w:rsidR="00024621">
        <w:t xml:space="preserve">e </w:t>
      </w:r>
      <w:r w:rsidR="00DA332C">
        <w:t xml:space="preserve">believe this </w:t>
      </w:r>
      <w:r w:rsidR="00276B96">
        <w:t xml:space="preserve">in part </w:t>
      </w:r>
      <w:r w:rsidR="00DA332C">
        <w:t xml:space="preserve">contributed to modelling issues when attempting </w:t>
      </w:r>
      <w:r w:rsidR="00024621">
        <w:t>to evaluate the safety outcome</w:t>
      </w:r>
      <w:r w:rsidR="00380189">
        <w:t xml:space="preserve"> at 30 days</w:t>
      </w:r>
      <w:r w:rsidR="00DA3990">
        <w:t xml:space="preserve">. </w:t>
      </w:r>
      <w:r w:rsidR="00380189">
        <w:t xml:space="preserve">However, </w:t>
      </w:r>
      <w:r w:rsidR="003D0253">
        <w:t>more than 700 patients had a myocardial infarction or cardiac death at 1 year,</w:t>
      </w:r>
      <w:r w:rsidR="00380189">
        <w:t xml:space="preserve"> and </w:t>
      </w:r>
      <w:r w:rsidR="003D0253">
        <w:t xml:space="preserve">the rates of </w:t>
      </w:r>
      <w:r w:rsidR="00380189">
        <w:t xml:space="preserve">all secondary outcome measures </w:t>
      </w:r>
      <w:r w:rsidR="003D0253">
        <w:t xml:space="preserve">were lower following implementation of the early rule-out pathway. </w:t>
      </w:r>
      <w:r w:rsidR="005419FA">
        <w:t xml:space="preserve">Third, the </w:t>
      </w:r>
      <w:r w:rsidR="00D822E1">
        <w:t>s</w:t>
      </w:r>
      <w:r w:rsidR="00AC39E7">
        <w:t xml:space="preserve">tandard care </w:t>
      </w:r>
      <w:r w:rsidR="00D822E1">
        <w:t xml:space="preserve">arm of </w:t>
      </w:r>
      <w:r w:rsidR="00AC39E7">
        <w:t xml:space="preserve">our trial used a serial testing strategy </w:t>
      </w:r>
      <w:r w:rsidR="00AC39E7">
        <w:rPr>
          <w:rFonts w:cs="Arial"/>
          <w:lang w:val="en-US"/>
        </w:rPr>
        <w:t>based on the time of onset of symptoms, rather than a fixed time point 3-6 hours from presentation</w:t>
      </w:r>
      <w:r w:rsidR="00B02AE6">
        <w:rPr>
          <w:rFonts w:cs="Arial"/>
          <w:lang w:val="en-US"/>
        </w:rPr>
        <w:t xml:space="preserve"> which is more commonly used in other countries</w:t>
      </w:r>
      <w:r w:rsidR="00D822E1">
        <w:rPr>
          <w:rFonts w:cs="Arial"/>
          <w:lang w:val="en-US"/>
        </w:rPr>
        <w:t xml:space="preserve">. </w:t>
      </w:r>
      <w:r w:rsidR="00B02AE6">
        <w:rPr>
          <w:rFonts w:cs="Arial"/>
          <w:lang w:val="en-US"/>
        </w:rPr>
        <w:t>D</w:t>
      </w:r>
      <w:r w:rsidR="00D822E1">
        <w:rPr>
          <w:rFonts w:cs="Arial"/>
          <w:lang w:val="en-US"/>
        </w:rPr>
        <w:t xml:space="preserve">espite this limitation, </w:t>
      </w:r>
      <w:r w:rsidR="00AC39E7">
        <w:rPr>
          <w:rFonts w:cs="Arial"/>
          <w:lang w:val="en-US"/>
        </w:rPr>
        <w:t xml:space="preserve">50% of patients were discharged </w:t>
      </w:r>
      <w:r w:rsidR="00B02AE6">
        <w:rPr>
          <w:rFonts w:cs="Arial"/>
          <w:lang w:val="en-US"/>
        </w:rPr>
        <w:t xml:space="preserve">directly </w:t>
      </w:r>
      <w:r w:rsidR="00AC39E7">
        <w:rPr>
          <w:rFonts w:cs="Arial"/>
          <w:lang w:val="en-US"/>
        </w:rPr>
        <w:t>from the Emergency Department</w:t>
      </w:r>
      <w:r w:rsidR="003F43C8" w:rsidRPr="003F43C8">
        <w:rPr>
          <w:rFonts w:cs="Arial"/>
          <w:lang w:val="en-US"/>
        </w:rPr>
        <w:t xml:space="preserve"> </w:t>
      </w:r>
      <w:r w:rsidR="003F43C8">
        <w:rPr>
          <w:rFonts w:cs="Arial"/>
          <w:lang w:val="en-US"/>
        </w:rPr>
        <w:t xml:space="preserve">in our standard care arm. </w:t>
      </w:r>
      <w:r w:rsidR="003F43C8">
        <w:t xml:space="preserve">Whilst there are differences in the inclusion </w:t>
      </w:r>
      <w:r w:rsidR="00426673">
        <w:t>criteria</w:t>
      </w:r>
      <w:r w:rsidR="003F43C8">
        <w:t xml:space="preserve"> between trials, the proportion of patients discharged </w:t>
      </w:r>
      <w:r w:rsidR="003F43C8" w:rsidRPr="00B219FD">
        <w:t>in our standard care arm</w:t>
      </w:r>
      <w:r w:rsidR="003F43C8">
        <w:t xml:space="preserve"> was already higher than in either arm of the RAPID-TnT trial, which compared a 0/3 hour pathway (32% discharged) with a 0/1 hour pathway (45% discharged).</w:t>
      </w:r>
      <w:r w:rsidR="009F27F1" w:rsidRPr="00B05593">
        <w:rPr>
          <w:vertAlign w:val="superscript"/>
        </w:rPr>
        <w:t>16</w:t>
      </w:r>
      <w:r w:rsidR="003F43C8">
        <w:t xml:space="preserve"> Despite the high proportion of patients discharged in our standard care arm we increased the proportion discharged from 50% to 71%</w:t>
      </w:r>
      <w:r w:rsidR="005B64EA">
        <w:t xml:space="preserve"> when implementing our early rule-out pathway</w:t>
      </w:r>
      <w:r w:rsidR="003F43C8">
        <w:t>.</w:t>
      </w:r>
      <w:r w:rsidR="003F43C8">
        <w:rPr>
          <w:rFonts w:cs="Arial"/>
          <w:lang w:val="en-US"/>
        </w:rPr>
        <w:t xml:space="preserve"> </w:t>
      </w:r>
      <w:r w:rsidR="005419FA">
        <w:rPr>
          <w:rFonts w:cs="Arial"/>
          <w:lang w:val="en-US"/>
        </w:rPr>
        <w:t xml:space="preserve">Fourth, </w:t>
      </w:r>
      <w:r w:rsidR="00F034D5">
        <w:rPr>
          <w:rFonts w:cs="Arial"/>
          <w:lang w:val="en-US"/>
        </w:rPr>
        <w:t xml:space="preserve">we note that </w:t>
      </w:r>
      <w:r w:rsidR="005419FA">
        <w:rPr>
          <w:rFonts w:cs="Arial"/>
          <w:lang w:val="en-US"/>
        </w:rPr>
        <w:t xml:space="preserve">our </w:t>
      </w:r>
      <w:r w:rsidR="00337554">
        <w:rPr>
          <w:rFonts w:cs="Arial"/>
          <w:lang w:val="en-US"/>
        </w:rPr>
        <w:t xml:space="preserve">early rule-out pathway </w:t>
      </w:r>
      <w:r w:rsidR="005419FA">
        <w:rPr>
          <w:rFonts w:cs="Arial"/>
          <w:lang w:val="en-US"/>
        </w:rPr>
        <w:t xml:space="preserve">does not recommend early serial testing in those with elevated cardiac troponin concentrations at presentation. In our previous </w:t>
      </w:r>
      <w:r w:rsidR="005419FA" w:rsidRPr="005419FA">
        <w:rPr>
          <w:rFonts w:cs="Arial"/>
          <w:lang w:val="en-US"/>
        </w:rPr>
        <w:t>trial</w:t>
      </w:r>
      <w:r w:rsidR="005419FA">
        <w:rPr>
          <w:rFonts w:cs="Arial"/>
          <w:lang w:val="en-US"/>
        </w:rPr>
        <w:t>,</w:t>
      </w:r>
      <w:r w:rsidR="00F034D5" w:rsidRPr="00B05593">
        <w:rPr>
          <w:rFonts w:cs="Arial"/>
          <w:vertAlign w:val="superscript"/>
          <w:lang w:val="en-US"/>
        </w:rPr>
        <w:t>1</w:t>
      </w:r>
      <w:r w:rsidR="009F27F1">
        <w:rPr>
          <w:rFonts w:cs="Arial"/>
          <w:vertAlign w:val="superscript"/>
          <w:lang w:val="en-US"/>
        </w:rPr>
        <w:t>7</w:t>
      </w:r>
      <w:r w:rsidR="005419FA" w:rsidRPr="005419FA">
        <w:rPr>
          <w:rFonts w:cs="Arial"/>
          <w:lang w:val="en-US"/>
        </w:rPr>
        <w:t xml:space="preserve"> we observed that 2.7% of patients with suspected acute coronary syndrome ha</w:t>
      </w:r>
      <w:r w:rsidR="00F034D5">
        <w:rPr>
          <w:rFonts w:cs="Arial"/>
          <w:lang w:val="en-US"/>
        </w:rPr>
        <w:t>ve</w:t>
      </w:r>
      <w:r w:rsidR="005419FA" w:rsidRPr="005419FA">
        <w:rPr>
          <w:rFonts w:cs="Arial"/>
          <w:lang w:val="en-US"/>
        </w:rPr>
        <w:t xml:space="preserve"> evidence of chronic myocardial injury.</w:t>
      </w:r>
      <w:r w:rsidR="00F034D5" w:rsidRPr="00B05593">
        <w:rPr>
          <w:rFonts w:cs="Arial"/>
          <w:vertAlign w:val="superscript"/>
          <w:lang w:val="en-US"/>
        </w:rPr>
        <w:t>4</w:t>
      </w:r>
      <w:r w:rsidR="00173DB9">
        <w:rPr>
          <w:rFonts w:cs="Arial"/>
          <w:vertAlign w:val="superscript"/>
          <w:lang w:val="en-US"/>
        </w:rPr>
        <w:t>1</w:t>
      </w:r>
      <w:r w:rsidR="005419FA">
        <w:rPr>
          <w:rFonts w:cs="Arial"/>
          <w:lang w:val="en-US"/>
        </w:rPr>
        <w:t xml:space="preserve"> It is possible </w:t>
      </w:r>
      <w:r w:rsidR="005F0D8B">
        <w:rPr>
          <w:rFonts w:cs="Arial"/>
          <w:lang w:val="en-US"/>
        </w:rPr>
        <w:t xml:space="preserve">the effectiveness of our pathway could be further improved </w:t>
      </w:r>
      <w:r w:rsidR="005419FA">
        <w:rPr>
          <w:rFonts w:cs="Arial"/>
          <w:lang w:val="en-US"/>
        </w:rPr>
        <w:t xml:space="preserve">if </w:t>
      </w:r>
      <w:r w:rsidR="00F034D5">
        <w:rPr>
          <w:rFonts w:cs="Arial"/>
          <w:lang w:val="en-US"/>
        </w:rPr>
        <w:t>these patients</w:t>
      </w:r>
      <w:r w:rsidR="005419FA">
        <w:rPr>
          <w:rFonts w:cs="Arial"/>
          <w:lang w:val="en-US"/>
        </w:rPr>
        <w:t xml:space="preserve"> </w:t>
      </w:r>
      <w:r w:rsidR="00F034D5">
        <w:rPr>
          <w:rFonts w:cs="Arial"/>
          <w:lang w:val="en-US"/>
        </w:rPr>
        <w:t>were</w:t>
      </w:r>
      <w:r w:rsidR="005419FA">
        <w:rPr>
          <w:rFonts w:cs="Arial"/>
          <w:lang w:val="en-US"/>
        </w:rPr>
        <w:t xml:space="preserve"> identified in the Emergency Department. However, patients </w:t>
      </w:r>
      <w:r w:rsidR="00F034D5">
        <w:rPr>
          <w:rFonts w:cs="Arial"/>
          <w:lang w:val="en-US"/>
        </w:rPr>
        <w:t xml:space="preserve">with chronic myocardial injury </w:t>
      </w:r>
      <w:r w:rsidR="005419FA">
        <w:rPr>
          <w:rFonts w:cs="Arial"/>
          <w:lang w:val="en-US"/>
        </w:rPr>
        <w:t xml:space="preserve">are </w:t>
      </w:r>
      <w:r w:rsidR="005419FA" w:rsidRPr="004059AC">
        <w:rPr>
          <w:color w:val="000000"/>
        </w:rPr>
        <w:t xml:space="preserve">complex </w:t>
      </w:r>
      <w:r w:rsidR="005419FA">
        <w:rPr>
          <w:color w:val="000000"/>
        </w:rPr>
        <w:t xml:space="preserve">with </w:t>
      </w:r>
      <w:r w:rsidR="005419FA" w:rsidRPr="004059AC">
        <w:rPr>
          <w:color w:val="000000"/>
        </w:rPr>
        <w:t>significant cardiac</w:t>
      </w:r>
      <w:r w:rsidR="005419FA">
        <w:rPr>
          <w:color w:val="000000"/>
        </w:rPr>
        <w:t xml:space="preserve"> and non-cardiac</w:t>
      </w:r>
      <w:r w:rsidR="005419FA" w:rsidRPr="004059AC">
        <w:rPr>
          <w:color w:val="000000"/>
        </w:rPr>
        <w:t xml:space="preserve"> comorbidit</w:t>
      </w:r>
      <w:r w:rsidR="005419FA">
        <w:rPr>
          <w:color w:val="000000"/>
        </w:rPr>
        <w:t xml:space="preserve">ies </w:t>
      </w:r>
      <w:r w:rsidR="00F034D5">
        <w:rPr>
          <w:color w:val="000000"/>
        </w:rPr>
        <w:t>and</w:t>
      </w:r>
      <w:r w:rsidR="005419FA">
        <w:rPr>
          <w:color w:val="000000"/>
        </w:rPr>
        <w:t xml:space="preserve"> may benefit from</w:t>
      </w:r>
      <w:r w:rsidR="005419FA" w:rsidRPr="004059AC">
        <w:rPr>
          <w:color w:val="000000"/>
        </w:rPr>
        <w:t xml:space="preserve"> </w:t>
      </w:r>
      <w:r w:rsidR="005419FA">
        <w:rPr>
          <w:color w:val="000000"/>
        </w:rPr>
        <w:t xml:space="preserve">further </w:t>
      </w:r>
      <w:r w:rsidR="005419FA" w:rsidRPr="004059AC">
        <w:rPr>
          <w:color w:val="000000"/>
        </w:rPr>
        <w:t>evaluation prior to discharge</w:t>
      </w:r>
      <w:r w:rsidR="005419FA">
        <w:rPr>
          <w:color w:val="000000"/>
        </w:rPr>
        <w:t>. Additional research to needed to evaluate the effective</w:t>
      </w:r>
      <w:r w:rsidR="00F034D5">
        <w:rPr>
          <w:color w:val="000000"/>
        </w:rPr>
        <w:t>ness</w:t>
      </w:r>
      <w:r w:rsidR="005419FA">
        <w:rPr>
          <w:color w:val="000000"/>
        </w:rPr>
        <w:t xml:space="preserve"> of approaches to improve the rule-in of myocardial infarction.</w:t>
      </w:r>
      <w:r w:rsidR="00393C8D">
        <w:rPr>
          <w:color w:val="000000"/>
          <w:vertAlign w:val="superscript"/>
        </w:rPr>
        <w:t>12</w:t>
      </w:r>
      <w:r w:rsidR="009F27F1">
        <w:rPr>
          <w:color w:val="000000"/>
          <w:vertAlign w:val="superscript"/>
        </w:rPr>
        <w:t>,</w:t>
      </w:r>
      <w:r w:rsidR="00393C8D">
        <w:rPr>
          <w:color w:val="000000"/>
          <w:vertAlign w:val="superscript"/>
        </w:rPr>
        <w:t>4</w:t>
      </w:r>
      <w:r w:rsidR="00173DB9">
        <w:rPr>
          <w:color w:val="000000"/>
          <w:vertAlign w:val="superscript"/>
        </w:rPr>
        <w:t>2</w:t>
      </w:r>
      <w:r w:rsidR="005419FA">
        <w:rPr>
          <w:color w:val="000000"/>
        </w:rPr>
        <w:t xml:space="preserve"> </w:t>
      </w:r>
      <w:r w:rsidR="00B02AE6">
        <w:rPr>
          <w:rFonts w:cs="Arial"/>
          <w:lang w:val="en-US"/>
        </w:rPr>
        <w:t xml:space="preserve">Finally, </w:t>
      </w:r>
      <w:r w:rsidR="00B02AE6">
        <w:t xml:space="preserve">our </w:t>
      </w:r>
      <w:r w:rsidR="00DA3990">
        <w:t>pathway has been validated for use with two troponin I assays</w:t>
      </w:r>
      <w:r w:rsidR="00434C17">
        <w:t xml:space="preserve"> and </w:t>
      </w:r>
      <w:r w:rsidR="00434C17">
        <w:lastRenderedPageBreak/>
        <w:t>a troponin T assay</w:t>
      </w:r>
      <w:r w:rsidR="00D822E1">
        <w:t xml:space="preserve"> without modification</w:t>
      </w:r>
      <w:r w:rsidR="00C72FD3">
        <w:t>,</w:t>
      </w:r>
      <w:r w:rsidR="00DA3990" w:rsidRPr="00A55551">
        <w:rPr>
          <w:vertAlign w:val="superscript"/>
        </w:rPr>
        <w:t>1</w:t>
      </w:r>
      <w:r w:rsidR="009F27F1">
        <w:rPr>
          <w:vertAlign w:val="superscript"/>
        </w:rPr>
        <w:t>9</w:t>
      </w:r>
      <w:r w:rsidR="00434C17" w:rsidRPr="00A55551">
        <w:rPr>
          <w:vertAlign w:val="superscript"/>
        </w:rPr>
        <w:t>,</w:t>
      </w:r>
      <w:r w:rsidR="009F27F1">
        <w:rPr>
          <w:vertAlign w:val="superscript"/>
        </w:rPr>
        <w:t>20</w:t>
      </w:r>
      <w:r w:rsidR="000678AA" w:rsidRPr="00A55551">
        <w:rPr>
          <w:vertAlign w:val="superscript"/>
        </w:rPr>
        <w:t>,</w:t>
      </w:r>
      <w:r w:rsidR="00393C8D">
        <w:rPr>
          <w:vertAlign w:val="superscript"/>
        </w:rPr>
        <w:t>4</w:t>
      </w:r>
      <w:r w:rsidR="00173DB9">
        <w:rPr>
          <w:vertAlign w:val="superscript"/>
        </w:rPr>
        <w:t>3</w:t>
      </w:r>
      <w:r w:rsidR="00393C8D">
        <w:rPr>
          <w:vertAlign w:val="superscript"/>
        </w:rPr>
        <w:t>.4</w:t>
      </w:r>
      <w:r w:rsidR="00173DB9">
        <w:rPr>
          <w:vertAlign w:val="superscript"/>
        </w:rPr>
        <w:t>4</w:t>
      </w:r>
      <w:r w:rsidR="007A3995">
        <w:t xml:space="preserve"> </w:t>
      </w:r>
      <w:r w:rsidR="00D822E1">
        <w:t xml:space="preserve">and </w:t>
      </w:r>
      <w:r w:rsidR="00DA3990">
        <w:t xml:space="preserve">whilst it is likely to perform similarly for </w:t>
      </w:r>
      <w:r w:rsidR="004B5D7C">
        <w:t xml:space="preserve">other </w:t>
      </w:r>
      <w:r w:rsidR="00A42A87">
        <w:t xml:space="preserve">high-sensitivity </w:t>
      </w:r>
      <w:r w:rsidR="00DA3990">
        <w:t>assays</w:t>
      </w:r>
      <w:r w:rsidR="00A42A87">
        <w:t>,</w:t>
      </w:r>
      <w:r w:rsidR="00DA3990">
        <w:t xml:space="preserve"> further research is required to confirm this. </w:t>
      </w:r>
    </w:p>
    <w:p w14:paraId="167B477C" w14:textId="77777777" w:rsidR="003D0253" w:rsidRPr="00276B96" w:rsidRDefault="003D0253" w:rsidP="0057356B">
      <w:pPr>
        <w:spacing w:line="480" w:lineRule="auto"/>
      </w:pPr>
    </w:p>
    <w:p w14:paraId="3B9EE190" w14:textId="71308CD2" w:rsidR="003A43D8" w:rsidRDefault="00990AA7" w:rsidP="0016657D">
      <w:pPr>
        <w:spacing w:line="480" w:lineRule="auto"/>
        <w:rPr>
          <w:b/>
          <w:sz w:val="32"/>
        </w:rPr>
      </w:pPr>
      <w:r>
        <w:rPr>
          <w:rFonts w:cs="Arial"/>
          <w:lang w:val="en-US"/>
        </w:rPr>
        <w:t xml:space="preserve">In conclusion, </w:t>
      </w:r>
      <w:r>
        <w:rPr>
          <w:rFonts w:cs="Arial"/>
          <w:bCs/>
          <w:lang w:val="en-US"/>
        </w:rPr>
        <w:t>i</w:t>
      </w:r>
      <w:r w:rsidRPr="00286F4D">
        <w:rPr>
          <w:rFonts w:cs="Arial"/>
          <w:bCs/>
          <w:lang w:val="en-US"/>
        </w:rPr>
        <w:t xml:space="preserve">mplementation of </w:t>
      </w:r>
      <w:r w:rsidR="00164648">
        <w:rPr>
          <w:rFonts w:cs="Arial"/>
          <w:bCs/>
          <w:lang w:val="en-US"/>
        </w:rPr>
        <w:t>an</w:t>
      </w:r>
      <w:r>
        <w:rPr>
          <w:rFonts w:cs="Arial"/>
          <w:bCs/>
          <w:lang w:val="en-US"/>
        </w:rPr>
        <w:t xml:space="preserve"> early rule-out </w:t>
      </w:r>
      <w:r w:rsidRPr="00286F4D">
        <w:rPr>
          <w:rFonts w:cs="Arial"/>
          <w:bCs/>
          <w:lang w:val="en-US"/>
        </w:rPr>
        <w:t>pathway</w:t>
      </w:r>
      <w:r>
        <w:rPr>
          <w:rFonts w:cs="Arial"/>
          <w:bCs/>
          <w:lang w:val="en-US"/>
        </w:rPr>
        <w:t xml:space="preserve"> for myocardial infarction </w:t>
      </w:r>
      <w:r w:rsidR="00053168">
        <w:rPr>
          <w:rFonts w:cs="Arial"/>
          <w:bCs/>
          <w:lang w:val="en-US"/>
        </w:rPr>
        <w:t xml:space="preserve">substantially </w:t>
      </w:r>
      <w:r>
        <w:rPr>
          <w:rFonts w:cs="Arial"/>
          <w:bCs/>
          <w:lang w:val="en-US"/>
        </w:rPr>
        <w:t>reduced length of stay and increased the proportion of patients avoiding hospital admission with</w:t>
      </w:r>
      <w:r w:rsidR="00276B96">
        <w:rPr>
          <w:rFonts w:cs="Arial"/>
          <w:bCs/>
          <w:lang w:val="en-US"/>
        </w:rPr>
        <w:t xml:space="preserve"> no</w:t>
      </w:r>
      <w:r>
        <w:rPr>
          <w:rFonts w:cs="Arial"/>
          <w:bCs/>
          <w:lang w:val="en-US"/>
        </w:rPr>
        <w:t xml:space="preserve"> increas</w:t>
      </w:r>
      <w:r w:rsidR="00276B96">
        <w:rPr>
          <w:rFonts w:cs="Arial"/>
          <w:bCs/>
          <w:lang w:val="en-US"/>
        </w:rPr>
        <w:t>e in</w:t>
      </w:r>
      <w:r>
        <w:rPr>
          <w:rFonts w:cs="Arial"/>
          <w:bCs/>
          <w:lang w:val="en-US"/>
        </w:rPr>
        <w:t xml:space="preserve"> </w:t>
      </w:r>
      <w:r w:rsidRPr="00286F4D">
        <w:rPr>
          <w:rFonts w:cs="Arial"/>
          <w:bCs/>
          <w:lang w:val="en-US"/>
        </w:rPr>
        <w:t xml:space="preserve">adverse </w:t>
      </w:r>
      <w:r>
        <w:rPr>
          <w:rFonts w:cs="Arial"/>
          <w:bCs/>
          <w:lang w:val="en-US"/>
        </w:rPr>
        <w:t xml:space="preserve">cardiac </w:t>
      </w:r>
      <w:r w:rsidRPr="00286F4D">
        <w:rPr>
          <w:rFonts w:cs="Arial"/>
          <w:bCs/>
          <w:lang w:val="en-US"/>
        </w:rPr>
        <w:t xml:space="preserve">events. </w:t>
      </w:r>
      <w:r>
        <w:rPr>
          <w:rFonts w:cs="Arial"/>
          <w:bCs/>
          <w:lang w:val="en-US"/>
        </w:rPr>
        <w:t>Adoption of this approach would have</w:t>
      </w:r>
      <w:r w:rsidR="00692C2D">
        <w:rPr>
          <w:rFonts w:cs="Arial"/>
          <w:bCs/>
          <w:lang w:val="en-US"/>
        </w:rPr>
        <w:t xml:space="preserve"> major benefits for both </w:t>
      </w:r>
      <w:r>
        <w:rPr>
          <w:rFonts w:cs="Arial"/>
          <w:bCs/>
          <w:lang w:val="en-US"/>
        </w:rPr>
        <w:t>patient</w:t>
      </w:r>
      <w:r w:rsidR="00692C2D">
        <w:rPr>
          <w:rFonts w:cs="Arial"/>
          <w:bCs/>
          <w:lang w:val="en-US"/>
        </w:rPr>
        <w:t>s</w:t>
      </w:r>
      <w:r>
        <w:rPr>
          <w:rFonts w:cs="Arial"/>
          <w:bCs/>
          <w:lang w:val="en-US"/>
        </w:rPr>
        <w:t xml:space="preserve"> and healthcare </w:t>
      </w:r>
      <w:r w:rsidR="00692C2D">
        <w:rPr>
          <w:rFonts w:cs="Arial"/>
          <w:bCs/>
          <w:lang w:val="en-US"/>
        </w:rPr>
        <w:t>providers</w:t>
      </w:r>
      <w:r>
        <w:rPr>
          <w:rFonts w:cs="Arial"/>
          <w:bCs/>
          <w:lang w:val="en-US"/>
        </w:rPr>
        <w:t>.</w:t>
      </w:r>
      <w:r w:rsidR="003A43D8">
        <w:rPr>
          <w:b/>
          <w:sz w:val="32"/>
        </w:rPr>
        <w:br w:type="page"/>
      </w:r>
    </w:p>
    <w:p w14:paraId="42CFDFEB" w14:textId="77777777" w:rsidR="00816738" w:rsidRDefault="00816738" w:rsidP="0057356B">
      <w:pPr>
        <w:spacing w:line="480" w:lineRule="auto"/>
        <w:rPr>
          <w:b/>
          <w:sz w:val="32"/>
        </w:rPr>
      </w:pPr>
      <w:r>
        <w:rPr>
          <w:b/>
          <w:sz w:val="32"/>
        </w:rPr>
        <w:lastRenderedPageBreak/>
        <w:t xml:space="preserve">Authors </w:t>
      </w:r>
    </w:p>
    <w:p w14:paraId="5442340C" w14:textId="0D302401" w:rsidR="00816738" w:rsidRPr="00816738" w:rsidRDefault="00816738" w:rsidP="00294273">
      <w:pPr>
        <w:spacing w:line="480" w:lineRule="auto"/>
      </w:pPr>
      <w:r w:rsidRPr="00DE4F77">
        <w:t>Atul Anand, M.D.</w:t>
      </w:r>
      <w:r>
        <w:t xml:space="preserve"> Ph.D</w:t>
      </w:r>
      <w:r w:rsidRPr="00DE4F77">
        <w:t>,</w:t>
      </w:r>
      <w:r w:rsidRPr="00DE4F77">
        <w:rPr>
          <w:vertAlign w:val="superscript"/>
        </w:rPr>
        <w:t>1</w:t>
      </w:r>
      <w:r w:rsidRPr="002A3D59">
        <w:rPr>
          <w:vertAlign w:val="superscript"/>
        </w:rPr>
        <w:t>*</w:t>
      </w:r>
      <w:r>
        <w:t xml:space="preserve"> </w:t>
      </w:r>
      <w:r w:rsidRPr="00DE4F77">
        <w:t>Kuan Ken Lee, M.D.,</w:t>
      </w:r>
      <w:r w:rsidRPr="00DE4F77">
        <w:rPr>
          <w:vertAlign w:val="superscript"/>
        </w:rPr>
        <w:t>1</w:t>
      </w:r>
      <w:r>
        <w:rPr>
          <w:vertAlign w:val="superscript"/>
        </w:rPr>
        <w:t>*</w:t>
      </w:r>
      <w:r w:rsidRPr="00DE4F77">
        <w:t xml:space="preserve"> Andrew R. Chapman, M.D.</w:t>
      </w:r>
      <w:r>
        <w:t xml:space="preserve"> Ph.D</w:t>
      </w:r>
      <w:r w:rsidRPr="00DE4F77">
        <w:t>,</w:t>
      </w:r>
      <w:r w:rsidRPr="00DE4F77">
        <w:rPr>
          <w:vertAlign w:val="superscript"/>
        </w:rPr>
        <w:t>1</w:t>
      </w:r>
      <w:r>
        <w:rPr>
          <w:vertAlign w:val="superscript"/>
        </w:rPr>
        <w:t>*</w:t>
      </w:r>
      <w:r w:rsidRPr="00DE4F77">
        <w:t xml:space="preserve"> Amy V. Ferry, </w:t>
      </w:r>
      <w:r>
        <w:t>Ph.D</w:t>
      </w:r>
      <w:r w:rsidRPr="00DE4F77">
        <w:t>.,</w:t>
      </w:r>
      <w:r w:rsidRPr="00DE4F77">
        <w:rPr>
          <w:vertAlign w:val="superscript"/>
        </w:rPr>
        <w:t>1</w:t>
      </w:r>
      <w:r w:rsidRPr="00DE4F77">
        <w:t xml:space="preserve"> Phil D. Adamson, M.D.</w:t>
      </w:r>
      <w:r>
        <w:t xml:space="preserve"> Ph.D</w:t>
      </w:r>
      <w:r w:rsidRPr="00DE4F77">
        <w:t>.,</w:t>
      </w:r>
      <w:r w:rsidRPr="00DE4F77">
        <w:rPr>
          <w:vertAlign w:val="superscript"/>
        </w:rPr>
        <w:t>1</w:t>
      </w:r>
      <w:r>
        <w:rPr>
          <w:vertAlign w:val="superscript"/>
        </w:rPr>
        <w:t>,2</w:t>
      </w:r>
      <w:r w:rsidRPr="00DE4F77">
        <w:t xml:space="preserve"> Fiona E. Strachan, Ph.D.,</w:t>
      </w:r>
      <w:r w:rsidRPr="00DE4F77">
        <w:rPr>
          <w:vertAlign w:val="superscript"/>
        </w:rPr>
        <w:t>1</w:t>
      </w:r>
      <w:r w:rsidRPr="00DE4F77">
        <w:t xml:space="preserve"> Colin Berry, M.D.,</w:t>
      </w:r>
      <w:r>
        <w:rPr>
          <w:vertAlign w:val="superscript"/>
        </w:rPr>
        <w:t>3</w:t>
      </w:r>
      <w:r w:rsidRPr="00DE4F77">
        <w:t xml:space="preserve"> Iain Fin</w:t>
      </w:r>
      <w:r>
        <w:t>d</w:t>
      </w:r>
      <w:r w:rsidRPr="00DE4F77">
        <w:t>lay, M.D.,</w:t>
      </w:r>
      <w:r>
        <w:rPr>
          <w:vertAlign w:val="superscript"/>
        </w:rPr>
        <w:t>4</w:t>
      </w:r>
      <w:r w:rsidRPr="00DE4F77">
        <w:t xml:space="preserve"> Anne Cruikshank, M.D.,</w:t>
      </w:r>
      <w:r>
        <w:rPr>
          <w:vertAlign w:val="superscript"/>
        </w:rPr>
        <w:t>5</w:t>
      </w:r>
      <w:r w:rsidRPr="00DE4F77">
        <w:t xml:space="preserve"> Alan Reid, M.Sc.,</w:t>
      </w:r>
      <w:r>
        <w:rPr>
          <w:vertAlign w:val="superscript"/>
        </w:rPr>
        <w:t>5</w:t>
      </w:r>
      <w:r w:rsidRPr="00DE4F77">
        <w:t xml:space="preserve"> Paul O. Collinson, M.D.,</w:t>
      </w:r>
      <w:r>
        <w:rPr>
          <w:vertAlign w:val="superscript"/>
        </w:rPr>
        <w:t>6</w:t>
      </w:r>
      <w:r w:rsidRPr="00DE4F77">
        <w:t xml:space="preserve"> Fred </w:t>
      </w:r>
      <w:r>
        <w:t xml:space="preserve">S. </w:t>
      </w:r>
      <w:r w:rsidRPr="00DE4F77">
        <w:t>Apple, Ph.D.,</w:t>
      </w:r>
      <w:r>
        <w:rPr>
          <w:vertAlign w:val="superscript"/>
        </w:rPr>
        <w:t>7</w:t>
      </w:r>
      <w:r w:rsidRPr="00DE4F77">
        <w:t xml:space="preserve"> David A. McAllister, M.D.,</w:t>
      </w:r>
      <w:r>
        <w:rPr>
          <w:vertAlign w:val="superscript"/>
        </w:rPr>
        <w:t>8</w:t>
      </w:r>
      <w:r w:rsidRPr="00DE4F77">
        <w:t xml:space="preserve"> Donogh Maguire, M.D.</w:t>
      </w:r>
      <w:r>
        <w:t xml:space="preserve"> Ph.D</w:t>
      </w:r>
      <w:r w:rsidRPr="00DE4F77">
        <w:t>.,</w:t>
      </w:r>
      <w:r>
        <w:rPr>
          <w:vertAlign w:val="superscript"/>
        </w:rPr>
        <w:t>9</w:t>
      </w:r>
      <w:r w:rsidRPr="00DE4F77">
        <w:t xml:space="preserve"> Keith A.A. Fox, M.B.Ch.B.,</w:t>
      </w:r>
      <w:r w:rsidRPr="00DE4F77">
        <w:rPr>
          <w:vertAlign w:val="superscript"/>
        </w:rPr>
        <w:t>1</w:t>
      </w:r>
      <w:r w:rsidRPr="00DE4F77">
        <w:t xml:space="preserve"> David E. Newby, M.D. Ph.D.,</w:t>
      </w:r>
      <w:r w:rsidRPr="00DE4F77">
        <w:rPr>
          <w:vertAlign w:val="superscript"/>
        </w:rPr>
        <w:t>1</w:t>
      </w:r>
      <w:r w:rsidRPr="00DE4F77">
        <w:t xml:space="preserve"> Chris Tuck, </w:t>
      </w:r>
      <w:r>
        <w:t>B</w:t>
      </w:r>
      <w:r w:rsidRPr="00DE4F77">
        <w:t>.Sc.,</w:t>
      </w:r>
      <w:r w:rsidRPr="00DE4F77">
        <w:rPr>
          <w:vertAlign w:val="superscript"/>
        </w:rPr>
        <w:t>1</w:t>
      </w:r>
      <w:r>
        <w:rPr>
          <w:vertAlign w:val="superscript"/>
        </w:rPr>
        <w:t>0</w:t>
      </w:r>
      <w:r w:rsidRPr="00DE4F77">
        <w:t xml:space="preserve"> Ronald Harkess, B.Sc.,</w:t>
      </w:r>
      <w:r w:rsidRPr="00DE4F77">
        <w:rPr>
          <w:vertAlign w:val="superscript"/>
        </w:rPr>
        <w:t>1</w:t>
      </w:r>
      <w:r>
        <w:rPr>
          <w:vertAlign w:val="superscript"/>
        </w:rPr>
        <w:t>0</w:t>
      </w:r>
      <w:r w:rsidRPr="00DE4F77">
        <w:t xml:space="preserve"> Catriona Keerie, </w:t>
      </w:r>
      <w:r>
        <w:t>M</w:t>
      </w:r>
      <w:r w:rsidRPr="00DE4F77">
        <w:t>.</w:t>
      </w:r>
      <w:r>
        <w:t>Sc</w:t>
      </w:r>
      <w:r w:rsidRPr="00DE4F77">
        <w:t>.,</w:t>
      </w:r>
      <w:r w:rsidRPr="00DE4F77">
        <w:rPr>
          <w:vertAlign w:val="superscript"/>
        </w:rPr>
        <w:t>1</w:t>
      </w:r>
      <w:r>
        <w:rPr>
          <w:vertAlign w:val="superscript"/>
        </w:rPr>
        <w:t>0</w:t>
      </w:r>
      <w:r w:rsidRPr="00DE4F77">
        <w:t xml:space="preserve"> Christopher J. Weir, Ph.D.,</w:t>
      </w:r>
      <w:r w:rsidRPr="00DE4F77">
        <w:rPr>
          <w:vertAlign w:val="superscript"/>
        </w:rPr>
        <w:t>1</w:t>
      </w:r>
      <w:r>
        <w:rPr>
          <w:vertAlign w:val="superscript"/>
        </w:rPr>
        <w:t>0</w:t>
      </w:r>
      <w:r w:rsidRPr="00DE4F77">
        <w:t xml:space="preserve"> Richard </w:t>
      </w:r>
      <w:r>
        <w:t xml:space="preserve">A. </w:t>
      </w:r>
      <w:r w:rsidRPr="00DE4F77">
        <w:t xml:space="preserve">Parker, </w:t>
      </w:r>
      <w:r>
        <w:t>M.Sc</w:t>
      </w:r>
      <w:r w:rsidRPr="00DE4F77">
        <w:t>.,</w:t>
      </w:r>
      <w:r w:rsidRPr="00DE4F77">
        <w:rPr>
          <w:vertAlign w:val="superscript"/>
        </w:rPr>
        <w:t>1</w:t>
      </w:r>
      <w:r>
        <w:rPr>
          <w:vertAlign w:val="superscript"/>
        </w:rPr>
        <w:t>0</w:t>
      </w:r>
      <w:r w:rsidRPr="00DE4F77">
        <w:t xml:space="preserve"> Alasdair Gray, M.D.,</w:t>
      </w:r>
      <w:r>
        <w:rPr>
          <w:vertAlign w:val="superscript"/>
        </w:rPr>
        <w:t xml:space="preserve">11,12 </w:t>
      </w:r>
      <w:r w:rsidRPr="00DE4F77">
        <w:t>Anoop S.V. Shah, M.D. Ph.D.,</w:t>
      </w:r>
      <w:r w:rsidRPr="00DE4F77">
        <w:rPr>
          <w:vertAlign w:val="superscript"/>
        </w:rPr>
        <w:t>1</w:t>
      </w:r>
      <w:r>
        <w:rPr>
          <w:vertAlign w:val="superscript"/>
        </w:rPr>
        <w:t>,12</w:t>
      </w:r>
      <w:r>
        <w:t xml:space="preserve"> </w:t>
      </w:r>
      <w:r w:rsidRPr="00DE4F77">
        <w:t>Nicholas L. Mills, M.D. Ph.D.</w:t>
      </w:r>
      <w:r w:rsidRPr="00DE4F77">
        <w:rPr>
          <w:vertAlign w:val="superscript"/>
        </w:rPr>
        <w:t>1</w:t>
      </w:r>
      <w:r>
        <w:rPr>
          <w:vertAlign w:val="superscript"/>
        </w:rPr>
        <w:t>,12</w:t>
      </w:r>
      <w:r w:rsidRPr="00DE4F77">
        <w:t xml:space="preserve"> </w:t>
      </w:r>
      <w:r w:rsidRPr="00DE4F77">
        <w:rPr>
          <w:rFonts w:eastAsiaTheme="minorEastAsia"/>
          <w:i/>
          <w:lang w:eastAsia="en-US"/>
        </w:rPr>
        <w:t xml:space="preserve">on behalf of the </w:t>
      </w:r>
      <w:r>
        <w:rPr>
          <w:rFonts w:eastAsiaTheme="minorEastAsia"/>
          <w:i/>
          <w:lang w:eastAsia="en-US"/>
        </w:rPr>
        <w:t>HiSTORIC</w:t>
      </w:r>
      <w:r w:rsidRPr="00DE4F77">
        <w:rPr>
          <w:rFonts w:eastAsiaTheme="minorEastAsia"/>
          <w:i/>
          <w:lang w:eastAsia="en-US"/>
        </w:rPr>
        <w:t xml:space="preserve"> Investigators</w:t>
      </w:r>
      <w:r w:rsidR="00294273" w:rsidRPr="00294273">
        <w:rPr>
          <w:vertAlign w:val="superscript"/>
          <w:lang w:eastAsia="en-US"/>
        </w:rPr>
        <w:t>†</w:t>
      </w:r>
    </w:p>
    <w:p w14:paraId="749AA34A" w14:textId="77777777" w:rsidR="00816738" w:rsidRPr="00DE4F77" w:rsidRDefault="00816738" w:rsidP="00816738">
      <w:pPr>
        <w:rPr>
          <w:sz w:val="20"/>
          <w:szCs w:val="20"/>
        </w:rPr>
      </w:pPr>
    </w:p>
    <w:p w14:paraId="6B774B89" w14:textId="77777777" w:rsidR="00816738" w:rsidRPr="00784677" w:rsidRDefault="00816738" w:rsidP="00784677">
      <w:pPr>
        <w:jc w:val="both"/>
        <w:rPr>
          <w:sz w:val="20"/>
          <w:szCs w:val="20"/>
        </w:rPr>
      </w:pPr>
      <w:r w:rsidRPr="00784677">
        <w:rPr>
          <w:sz w:val="20"/>
          <w:szCs w:val="20"/>
          <w:vertAlign w:val="superscript"/>
        </w:rPr>
        <w:t>1</w:t>
      </w:r>
      <w:r w:rsidRPr="00784677">
        <w:rPr>
          <w:sz w:val="20"/>
          <w:szCs w:val="20"/>
        </w:rPr>
        <w:t xml:space="preserve"> BHF Centre for Cardiovascular Science, University of Edinburgh, Edinburgh, UK.</w:t>
      </w:r>
    </w:p>
    <w:p w14:paraId="5A99B822" w14:textId="77777777" w:rsidR="00816738" w:rsidRPr="00784677" w:rsidRDefault="00816738" w:rsidP="00784677">
      <w:pPr>
        <w:jc w:val="both"/>
        <w:rPr>
          <w:sz w:val="20"/>
          <w:szCs w:val="20"/>
        </w:rPr>
      </w:pPr>
      <w:r w:rsidRPr="00784677">
        <w:rPr>
          <w:sz w:val="20"/>
          <w:szCs w:val="20"/>
          <w:vertAlign w:val="superscript"/>
        </w:rPr>
        <w:t>2</w:t>
      </w:r>
      <w:r w:rsidRPr="00784677">
        <w:rPr>
          <w:sz w:val="20"/>
          <w:szCs w:val="20"/>
        </w:rPr>
        <w:t xml:space="preserve"> Christchurch Heart Institute, University of Otago, Christchurch, New Zealand.</w:t>
      </w:r>
    </w:p>
    <w:p w14:paraId="5639E9CF" w14:textId="77777777" w:rsidR="00816738" w:rsidRPr="00784677" w:rsidRDefault="00816738" w:rsidP="00784677">
      <w:pPr>
        <w:jc w:val="both"/>
        <w:rPr>
          <w:sz w:val="20"/>
          <w:szCs w:val="20"/>
        </w:rPr>
      </w:pPr>
      <w:r w:rsidRPr="00784677">
        <w:rPr>
          <w:sz w:val="20"/>
          <w:szCs w:val="20"/>
          <w:vertAlign w:val="superscript"/>
        </w:rPr>
        <w:t xml:space="preserve">3 </w:t>
      </w:r>
      <w:r w:rsidRPr="00784677">
        <w:rPr>
          <w:sz w:val="20"/>
          <w:szCs w:val="20"/>
        </w:rPr>
        <w:t>Institute of Cardiovascular and Medical Sciences, University of Glasgow, Glasgow, UK.</w:t>
      </w:r>
    </w:p>
    <w:p w14:paraId="06CB94E7" w14:textId="77777777" w:rsidR="00816738" w:rsidRPr="00784677" w:rsidRDefault="00816738" w:rsidP="00784677">
      <w:pPr>
        <w:jc w:val="both"/>
        <w:rPr>
          <w:sz w:val="20"/>
          <w:szCs w:val="20"/>
        </w:rPr>
      </w:pPr>
      <w:r w:rsidRPr="00784677">
        <w:rPr>
          <w:sz w:val="20"/>
          <w:szCs w:val="20"/>
          <w:vertAlign w:val="superscript"/>
        </w:rPr>
        <w:t>4</w:t>
      </w:r>
      <w:r w:rsidRPr="00784677">
        <w:rPr>
          <w:sz w:val="20"/>
          <w:szCs w:val="20"/>
        </w:rPr>
        <w:t xml:space="preserve"> Department of Cardiology, Royal Alexandra Hospital,</w:t>
      </w:r>
      <w:r w:rsidRPr="00784677">
        <w:rPr>
          <w:sz w:val="20"/>
          <w:szCs w:val="20"/>
          <w:vertAlign w:val="superscript"/>
        </w:rPr>
        <w:t xml:space="preserve"> </w:t>
      </w:r>
      <w:r w:rsidRPr="00784677">
        <w:rPr>
          <w:sz w:val="20"/>
          <w:szCs w:val="20"/>
        </w:rPr>
        <w:t xml:space="preserve">Paisley, UK. </w:t>
      </w:r>
    </w:p>
    <w:p w14:paraId="4B1C0835" w14:textId="77777777" w:rsidR="00816738" w:rsidRPr="00784677" w:rsidRDefault="00816738" w:rsidP="00784677">
      <w:pPr>
        <w:jc w:val="both"/>
        <w:rPr>
          <w:sz w:val="20"/>
          <w:szCs w:val="20"/>
        </w:rPr>
      </w:pPr>
      <w:r w:rsidRPr="00784677">
        <w:rPr>
          <w:sz w:val="20"/>
          <w:szCs w:val="20"/>
          <w:vertAlign w:val="superscript"/>
        </w:rPr>
        <w:t>5</w:t>
      </w:r>
      <w:r w:rsidRPr="00784677">
        <w:rPr>
          <w:sz w:val="20"/>
          <w:szCs w:val="20"/>
        </w:rPr>
        <w:t xml:space="preserve"> Department of Biochemistry, Queen Elizabeth University Hospital, Glasgow, UK.</w:t>
      </w:r>
    </w:p>
    <w:p w14:paraId="0D73AC21" w14:textId="77777777" w:rsidR="00816738" w:rsidRPr="00784677" w:rsidRDefault="00816738" w:rsidP="00784677">
      <w:pPr>
        <w:jc w:val="both"/>
        <w:rPr>
          <w:sz w:val="20"/>
          <w:szCs w:val="20"/>
        </w:rPr>
      </w:pPr>
      <w:r w:rsidRPr="00784677">
        <w:rPr>
          <w:sz w:val="20"/>
          <w:szCs w:val="20"/>
          <w:vertAlign w:val="superscript"/>
        </w:rPr>
        <w:t xml:space="preserve">6 </w:t>
      </w:r>
      <w:r w:rsidRPr="00784677">
        <w:rPr>
          <w:sz w:val="20"/>
          <w:szCs w:val="20"/>
        </w:rPr>
        <w:t>Departments of Clinical Blood Sciences and Cardiology, St George's, University Hospitals NHS Trust and St George's University of London, London, UK.</w:t>
      </w:r>
    </w:p>
    <w:p w14:paraId="299F1D6B" w14:textId="77777777" w:rsidR="00816738" w:rsidRPr="00784677" w:rsidRDefault="00816738" w:rsidP="00784677">
      <w:pPr>
        <w:jc w:val="both"/>
        <w:rPr>
          <w:sz w:val="20"/>
          <w:szCs w:val="20"/>
        </w:rPr>
      </w:pPr>
      <w:r w:rsidRPr="00784677">
        <w:rPr>
          <w:sz w:val="20"/>
          <w:szCs w:val="20"/>
          <w:vertAlign w:val="superscript"/>
        </w:rPr>
        <w:t>7</w:t>
      </w:r>
      <w:r w:rsidRPr="00784677">
        <w:rPr>
          <w:sz w:val="20"/>
          <w:szCs w:val="20"/>
        </w:rPr>
        <w:t xml:space="preserve"> Department of Laboratory Medicine and Pathology, University of Minnesota, Minneapolis, MN, USA.</w:t>
      </w:r>
    </w:p>
    <w:p w14:paraId="58386AE2" w14:textId="77777777" w:rsidR="00816738" w:rsidRPr="00784677" w:rsidRDefault="00816738" w:rsidP="00784677">
      <w:pPr>
        <w:jc w:val="both"/>
        <w:rPr>
          <w:sz w:val="20"/>
          <w:szCs w:val="20"/>
        </w:rPr>
      </w:pPr>
      <w:r w:rsidRPr="00784677">
        <w:rPr>
          <w:sz w:val="20"/>
          <w:szCs w:val="20"/>
          <w:vertAlign w:val="superscript"/>
        </w:rPr>
        <w:t>8</w:t>
      </w:r>
      <w:r w:rsidRPr="00784677">
        <w:rPr>
          <w:sz w:val="20"/>
          <w:szCs w:val="20"/>
        </w:rPr>
        <w:t xml:space="preserve"> Institute of Health and Wellbeing, University of Glasgow, Glasgow, UK.</w:t>
      </w:r>
    </w:p>
    <w:p w14:paraId="07695837" w14:textId="77777777" w:rsidR="00816738" w:rsidRPr="00784677" w:rsidRDefault="00816738" w:rsidP="00784677">
      <w:pPr>
        <w:jc w:val="both"/>
        <w:rPr>
          <w:sz w:val="20"/>
          <w:szCs w:val="20"/>
        </w:rPr>
      </w:pPr>
      <w:r w:rsidRPr="00784677">
        <w:rPr>
          <w:sz w:val="20"/>
          <w:szCs w:val="20"/>
          <w:vertAlign w:val="superscript"/>
        </w:rPr>
        <w:t xml:space="preserve">9 </w:t>
      </w:r>
      <w:r w:rsidRPr="00784677">
        <w:rPr>
          <w:sz w:val="20"/>
          <w:szCs w:val="20"/>
        </w:rPr>
        <w:t>Emergency Medicine Department, Glasgow Royal Infirmary, Glasgow, UK.</w:t>
      </w:r>
    </w:p>
    <w:p w14:paraId="6F69EFF9" w14:textId="77777777" w:rsidR="00816738" w:rsidRPr="00784677" w:rsidRDefault="00816738" w:rsidP="00784677">
      <w:pPr>
        <w:jc w:val="both"/>
        <w:rPr>
          <w:sz w:val="20"/>
          <w:szCs w:val="20"/>
        </w:rPr>
      </w:pPr>
      <w:r w:rsidRPr="00784677">
        <w:rPr>
          <w:sz w:val="20"/>
          <w:szCs w:val="20"/>
          <w:vertAlign w:val="superscript"/>
        </w:rPr>
        <w:t xml:space="preserve">10 </w:t>
      </w:r>
      <w:r w:rsidRPr="00784677">
        <w:rPr>
          <w:sz w:val="20"/>
          <w:szCs w:val="20"/>
        </w:rPr>
        <w:t>Edinburgh Clinical Trials Unit, Usher Institute, University of Edinburgh, Edinburgh, UK.</w:t>
      </w:r>
    </w:p>
    <w:p w14:paraId="4E2813ED" w14:textId="77777777" w:rsidR="00816738" w:rsidRPr="00784677" w:rsidRDefault="00816738" w:rsidP="00784677">
      <w:pPr>
        <w:jc w:val="both"/>
        <w:rPr>
          <w:sz w:val="20"/>
          <w:szCs w:val="20"/>
        </w:rPr>
      </w:pPr>
      <w:r w:rsidRPr="00784677">
        <w:rPr>
          <w:sz w:val="20"/>
          <w:szCs w:val="20"/>
          <w:vertAlign w:val="superscript"/>
        </w:rPr>
        <w:t xml:space="preserve">11 </w:t>
      </w:r>
      <w:r w:rsidRPr="00784677">
        <w:rPr>
          <w:sz w:val="20"/>
          <w:szCs w:val="20"/>
        </w:rPr>
        <w:t>Emergency Medicine Research Group Edinburgh, Royal Infirmary of Edinburgh, Edinburgh, UK.</w:t>
      </w:r>
    </w:p>
    <w:p w14:paraId="48035465" w14:textId="0E694331" w:rsidR="00816738" w:rsidRDefault="00816738" w:rsidP="00784677">
      <w:pPr>
        <w:jc w:val="both"/>
        <w:rPr>
          <w:sz w:val="20"/>
          <w:szCs w:val="20"/>
        </w:rPr>
      </w:pPr>
      <w:r w:rsidRPr="00784677">
        <w:rPr>
          <w:sz w:val="20"/>
          <w:szCs w:val="20"/>
          <w:vertAlign w:val="superscript"/>
        </w:rPr>
        <w:t xml:space="preserve">12 </w:t>
      </w:r>
      <w:r w:rsidRPr="00784677">
        <w:rPr>
          <w:sz w:val="20"/>
          <w:szCs w:val="20"/>
        </w:rPr>
        <w:t xml:space="preserve">Usher Institute, University of Edinburgh, Edinburgh, UK. </w:t>
      </w:r>
    </w:p>
    <w:p w14:paraId="77436CC3" w14:textId="77777777" w:rsidR="00784677" w:rsidRPr="00784677" w:rsidRDefault="00784677" w:rsidP="00784677">
      <w:pPr>
        <w:jc w:val="both"/>
        <w:rPr>
          <w:sz w:val="20"/>
          <w:szCs w:val="20"/>
        </w:rPr>
      </w:pPr>
    </w:p>
    <w:p w14:paraId="3DC60A77" w14:textId="77777777" w:rsidR="00784677" w:rsidRDefault="00816738" w:rsidP="00294273">
      <w:pPr>
        <w:spacing w:line="360" w:lineRule="auto"/>
        <w:jc w:val="both"/>
        <w:rPr>
          <w:sz w:val="20"/>
          <w:szCs w:val="20"/>
        </w:rPr>
      </w:pPr>
      <w:r w:rsidRPr="00784677">
        <w:rPr>
          <w:sz w:val="20"/>
          <w:szCs w:val="20"/>
        </w:rPr>
        <w:t xml:space="preserve">*Contributed equally </w:t>
      </w:r>
    </w:p>
    <w:p w14:paraId="42C99536" w14:textId="313B7570" w:rsidR="00816738" w:rsidRPr="00784677" w:rsidRDefault="00816738" w:rsidP="00294273">
      <w:pPr>
        <w:spacing w:line="360" w:lineRule="auto"/>
        <w:jc w:val="both"/>
        <w:rPr>
          <w:sz w:val="20"/>
          <w:szCs w:val="20"/>
        </w:rPr>
      </w:pPr>
      <w:r w:rsidRPr="00784677">
        <w:rPr>
          <w:sz w:val="20"/>
          <w:szCs w:val="20"/>
          <w:vertAlign w:val="superscript"/>
          <w:lang w:eastAsia="en-US"/>
        </w:rPr>
        <w:t>†</w:t>
      </w:r>
      <w:r w:rsidRPr="00784677">
        <w:rPr>
          <w:sz w:val="20"/>
          <w:szCs w:val="20"/>
          <w:lang w:eastAsia="en-US"/>
        </w:rPr>
        <w:t xml:space="preserve">Listed </w:t>
      </w:r>
      <w:r w:rsidR="00D32F99" w:rsidRPr="00784677">
        <w:rPr>
          <w:sz w:val="20"/>
          <w:szCs w:val="20"/>
          <w:lang w:eastAsia="en-US"/>
        </w:rPr>
        <w:t xml:space="preserve">in the </w:t>
      </w:r>
      <w:r w:rsidR="00E93124" w:rsidRPr="00784677">
        <w:rPr>
          <w:sz w:val="20"/>
          <w:szCs w:val="20"/>
          <w:lang w:eastAsia="en-US"/>
        </w:rPr>
        <w:t xml:space="preserve">Appendix and </w:t>
      </w:r>
      <w:r w:rsidRPr="00784677">
        <w:rPr>
          <w:sz w:val="20"/>
          <w:szCs w:val="20"/>
          <w:lang w:eastAsia="en-US"/>
        </w:rPr>
        <w:t>Supplement</w:t>
      </w:r>
      <w:r w:rsidR="005D7664">
        <w:rPr>
          <w:sz w:val="20"/>
          <w:szCs w:val="20"/>
          <w:lang w:eastAsia="en-US"/>
        </w:rPr>
        <w:t>al Material</w:t>
      </w:r>
    </w:p>
    <w:p w14:paraId="023C4989" w14:textId="77777777" w:rsidR="00D32F99" w:rsidRDefault="00D32F99" w:rsidP="0057356B">
      <w:pPr>
        <w:spacing w:line="480" w:lineRule="auto"/>
        <w:rPr>
          <w:b/>
          <w:sz w:val="32"/>
        </w:rPr>
      </w:pPr>
    </w:p>
    <w:p w14:paraId="03492958" w14:textId="77777777" w:rsidR="00294273" w:rsidRDefault="00294273">
      <w:pPr>
        <w:rPr>
          <w:b/>
          <w:sz w:val="32"/>
        </w:rPr>
      </w:pPr>
      <w:r>
        <w:rPr>
          <w:b/>
          <w:sz w:val="32"/>
        </w:rPr>
        <w:br w:type="page"/>
      </w:r>
    </w:p>
    <w:p w14:paraId="4188247C" w14:textId="2D0EEC64" w:rsidR="00701CCF" w:rsidRPr="00DE4F77" w:rsidRDefault="00701CCF" w:rsidP="0057356B">
      <w:pPr>
        <w:spacing w:line="480" w:lineRule="auto"/>
        <w:rPr>
          <w:b/>
          <w:sz w:val="32"/>
        </w:rPr>
      </w:pPr>
      <w:r>
        <w:rPr>
          <w:b/>
          <w:sz w:val="32"/>
        </w:rPr>
        <w:lastRenderedPageBreak/>
        <w:t>Declarations</w:t>
      </w:r>
      <w:r w:rsidRPr="00DE4F77">
        <w:rPr>
          <w:b/>
          <w:sz w:val="32"/>
        </w:rPr>
        <w:t xml:space="preserve"> of Interest</w:t>
      </w:r>
    </w:p>
    <w:p w14:paraId="1EEC71CE" w14:textId="77777777" w:rsidR="00701CCF" w:rsidRPr="00027810" w:rsidRDefault="00701CCF" w:rsidP="0057356B">
      <w:pPr>
        <w:spacing w:line="480" w:lineRule="auto"/>
      </w:pPr>
      <w:r>
        <w:t xml:space="preserve">AA, </w:t>
      </w:r>
      <w:r w:rsidRPr="00DE4F77">
        <w:t>ARC</w:t>
      </w:r>
      <w:r>
        <w:t>, ASVS</w:t>
      </w:r>
      <w:r w:rsidRPr="00DE4F77">
        <w:t xml:space="preserve"> have received honoraria from Abbott Diagnostics. </w:t>
      </w:r>
      <w:r w:rsidRPr="00027810">
        <w:t>CB reports research grant</w:t>
      </w:r>
      <w:r>
        <w:t>s</w:t>
      </w:r>
      <w:r w:rsidRPr="00027810">
        <w:t xml:space="preserve"> awarded to the University of Glasgow from </w:t>
      </w:r>
      <w:r>
        <w:t xml:space="preserve">Abbott Vascular, </w:t>
      </w:r>
      <w:r w:rsidRPr="00027810">
        <w:t>AstraZeneca</w:t>
      </w:r>
      <w:r>
        <w:t>,</w:t>
      </w:r>
      <w:r w:rsidRPr="00027810">
        <w:t xml:space="preserve"> </w:t>
      </w:r>
      <w:r>
        <w:t>Boehringer Ingelheim, GSK, HeartFlow, Novartis and Siemens Healthcare</w:t>
      </w:r>
      <w:r w:rsidRPr="00027810">
        <w:t xml:space="preserve"> outside the submitted work. FSA reports research grants awarded to the Minneapolis Medical Research Foundation from Abbott Diagnostics, Siemens Diagnostics, Ortho-Clinical Diagnostics, and Beckman Coulter outside the submitted work, and personal fees from HyTest Ltd. NLM reports research grants awarded to the University of Edinburgh from Abbott Diagnostics and S</w:t>
      </w:r>
      <w:r>
        <w:t>ie</w:t>
      </w:r>
      <w:r w:rsidRPr="00027810">
        <w:t xml:space="preserve">mens </w:t>
      </w:r>
      <w:r>
        <w:t>Healthineers</w:t>
      </w:r>
      <w:r w:rsidRPr="00027810">
        <w:t xml:space="preserve"> outside the submitted work, and honoraria</w:t>
      </w:r>
      <w:r w:rsidRPr="00027810" w:rsidDel="0041681B">
        <w:t xml:space="preserve"> </w:t>
      </w:r>
      <w:r w:rsidRPr="00027810">
        <w:t>from Abbott Diagnostics, S</w:t>
      </w:r>
      <w:r>
        <w:t>ie</w:t>
      </w:r>
      <w:r w:rsidRPr="00027810">
        <w:t xml:space="preserve">mens </w:t>
      </w:r>
      <w:r>
        <w:t>Healthineers,</w:t>
      </w:r>
      <w:r w:rsidRPr="00027810">
        <w:t xml:space="preserve"> Roche Diagnostics and Singulex. All other authors have no interests to declare. </w:t>
      </w:r>
    </w:p>
    <w:p w14:paraId="70716D73" w14:textId="77777777" w:rsidR="00701CCF" w:rsidRDefault="00701CCF" w:rsidP="00AC32EC">
      <w:pPr>
        <w:rPr>
          <w:b/>
          <w:sz w:val="32"/>
          <w:szCs w:val="32"/>
        </w:rPr>
      </w:pPr>
    </w:p>
    <w:p w14:paraId="59EE7F77" w14:textId="42EA3C59" w:rsidR="00C56171" w:rsidRPr="00DE4F77" w:rsidRDefault="005D7664" w:rsidP="0057356B">
      <w:pPr>
        <w:spacing w:line="480" w:lineRule="auto"/>
        <w:rPr>
          <w:b/>
          <w:sz w:val="32"/>
          <w:szCs w:val="32"/>
        </w:rPr>
      </w:pPr>
      <w:r w:rsidRPr="005D7664">
        <w:rPr>
          <w:b/>
          <w:sz w:val="32"/>
          <w:szCs w:val="32"/>
        </w:rPr>
        <w:t>Funding Sources</w:t>
      </w:r>
      <w:r w:rsidRPr="005D7664">
        <w:rPr>
          <w:b/>
          <w:sz w:val="32"/>
          <w:szCs w:val="32"/>
        </w:rPr>
        <w:t xml:space="preserve"> </w:t>
      </w:r>
    </w:p>
    <w:p w14:paraId="2D9CE075" w14:textId="2FFF2C5C" w:rsidR="008D339D" w:rsidRDefault="0002460C" w:rsidP="0057356B">
      <w:pPr>
        <w:spacing w:line="480" w:lineRule="auto"/>
      </w:pPr>
      <w:r w:rsidRPr="00DE4F77">
        <w:t xml:space="preserve">This </w:t>
      </w:r>
      <w:r w:rsidR="00D3166C" w:rsidRPr="00DE4F77">
        <w:t>trial</w:t>
      </w:r>
      <w:r w:rsidRPr="00DE4F77">
        <w:t xml:space="preserve"> was funded by the British Heart Foundation</w:t>
      </w:r>
      <w:r w:rsidR="008C6AE9">
        <w:t xml:space="preserve"> (BHF)</w:t>
      </w:r>
      <w:r w:rsidRPr="00DE4F77">
        <w:t xml:space="preserve"> (</w:t>
      </w:r>
      <w:r w:rsidR="00AC5F15" w:rsidRPr="00AC5F15">
        <w:t>PG/15/51/31596</w:t>
      </w:r>
      <w:r w:rsidRPr="00DE4F77">
        <w:t>)</w:t>
      </w:r>
      <w:r w:rsidR="00AC5F15">
        <w:t xml:space="preserve"> with support from </w:t>
      </w:r>
      <w:r w:rsidR="008C6AE9">
        <w:t xml:space="preserve">BHF </w:t>
      </w:r>
      <w:r w:rsidR="00AC5F15" w:rsidRPr="00050D8F">
        <w:rPr>
          <w:bCs/>
        </w:rPr>
        <w:t xml:space="preserve">Research Excellence </w:t>
      </w:r>
      <w:r w:rsidR="00AC5F15">
        <w:rPr>
          <w:bCs/>
        </w:rPr>
        <w:t>Award</w:t>
      </w:r>
      <w:r w:rsidR="00F73458">
        <w:rPr>
          <w:bCs/>
        </w:rPr>
        <w:t>s</w:t>
      </w:r>
      <w:r w:rsidR="00AC5F15">
        <w:rPr>
          <w:bCs/>
        </w:rPr>
        <w:t xml:space="preserve"> </w:t>
      </w:r>
      <w:r w:rsidR="00AC5F15" w:rsidRPr="00050D8F">
        <w:rPr>
          <w:bCs/>
        </w:rPr>
        <w:t>(</w:t>
      </w:r>
      <w:r w:rsidR="00AC5F15" w:rsidRPr="00FF2387">
        <w:rPr>
          <w:lang w:val="en-US"/>
        </w:rPr>
        <w:t>RE/18/5/34216</w:t>
      </w:r>
      <w:r w:rsidR="00F73458">
        <w:rPr>
          <w:lang w:val="en-US"/>
        </w:rPr>
        <w:t>; RE/18/</w:t>
      </w:r>
      <w:r w:rsidR="00F73458" w:rsidRPr="006970E8">
        <w:rPr>
          <w:lang w:val="en-US"/>
        </w:rPr>
        <w:t>6134217</w:t>
      </w:r>
      <w:r w:rsidR="00AC5F15" w:rsidRPr="00050D8F">
        <w:rPr>
          <w:bCs/>
        </w:rPr>
        <w:t>)</w:t>
      </w:r>
      <w:r w:rsidRPr="00DE4F77">
        <w:t xml:space="preserve">. </w:t>
      </w:r>
      <w:r w:rsidR="00AC5F15">
        <w:rPr>
          <w:bCs/>
        </w:rPr>
        <w:t>AA</w:t>
      </w:r>
      <w:r w:rsidR="00526C98">
        <w:rPr>
          <w:bCs/>
        </w:rPr>
        <w:t>, KL and ARC are</w:t>
      </w:r>
      <w:r w:rsidR="00AC5F15">
        <w:rPr>
          <w:bCs/>
        </w:rPr>
        <w:t xml:space="preserve"> supported by a Clinical Lectureship from the Chief Scientist Office (PCL/18/05</w:t>
      </w:r>
      <w:r w:rsidR="00526C98">
        <w:rPr>
          <w:bCs/>
        </w:rPr>
        <w:t>), a Clinical Research Training Fellowship from the BHF (</w:t>
      </w:r>
      <w:r w:rsidR="00526C98" w:rsidRPr="00526C98">
        <w:rPr>
          <w:bCs/>
        </w:rPr>
        <w:t>FS/18/25/33454</w:t>
      </w:r>
      <w:r w:rsidR="00526C98">
        <w:rPr>
          <w:bCs/>
        </w:rPr>
        <w:t>), and a Clinical Lectureship from the Scottish Clinical Research Excellence Development Scheme, respectively.</w:t>
      </w:r>
      <w:r w:rsidR="00AC5F15">
        <w:rPr>
          <w:bCs/>
        </w:rPr>
        <w:t xml:space="preserve"> </w:t>
      </w:r>
      <w:r w:rsidR="008C6AE9">
        <w:rPr>
          <w:bCs/>
        </w:rPr>
        <w:t xml:space="preserve">DEN, </w:t>
      </w:r>
      <w:r w:rsidR="00AC5F15">
        <w:rPr>
          <w:bCs/>
        </w:rPr>
        <w:t xml:space="preserve">ASVS, and </w:t>
      </w:r>
      <w:r w:rsidR="00AC5F15" w:rsidRPr="00050D8F">
        <w:rPr>
          <w:bCs/>
        </w:rPr>
        <w:t xml:space="preserve">NLM </w:t>
      </w:r>
      <w:r w:rsidR="00AC5F15">
        <w:rPr>
          <w:bCs/>
        </w:rPr>
        <w:t>are</w:t>
      </w:r>
      <w:r w:rsidR="00AC5F15" w:rsidRPr="00050D8F">
        <w:rPr>
          <w:bCs/>
        </w:rPr>
        <w:t xml:space="preserve"> supported by the </w:t>
      </w:r>
      <w:r w:rsidR="008C6AE9">
        <w:rPr>
          <w:bCs/>
        </w:rPr>
        <w:t>BHF</w:t>
      </w:r>
      <w:r w:rsidR="00AC5F15">
        <w:rPr>
          <w:bCs/>
        </w:rPr>
        <w:t xml:space="preserve"> through the award of a </w:t>
      </w:r>
      <w:r w:rsidR="008C6AE9">
        <w:rPr>
          <w:lang w:val="en-US"/>
        </w:rPr>
        <w:t>Chair (CH/09/002)</w:t>
      </w:r>
      <w:r w:rsidR="00AC5F15">
        <w:rPr>
          <w:bCs/>
        </w:rPr>
        <w:t xml:space="preserve">, an </w:t>
      </w:r>
      <w:r w:rsidR="00AC5F15">
        <w:rPr>
          <w:lang w:val="en-US"/>
        </w:rPr>
        <w:t>Intermediate Clinical Research Fellowship</w:t>
      </w:r>
      <w:r w:rsidR="00AC5F15" w:rsidRPr="00FF2387">
        <w:rPr>
          <w:lang w:val="en-US"/>
        </w:rPr>
        <w:t xml:space="preserve"> </w:t>
      </w:r>
      <w:r w:rsidR="00AC5F15">
        <w:rPr>
          <w:lang w:val="en-US"/>
        </w:rPr>
        <w:t xml:space="preserve">(FS/19/17/34172), </w:t>
      </w:r>
      <w:r w:rsidR="00AC5F15">
        <w:rPr>
          <w:bCs/>
        </w:rPr>
        <w:t xml:space="preserve">and the </w:t>
      </w:r>
      <w:r w:rsidR="00AC5F15" w:rsidRPr="00050D8F">
        <w:rPr>
          <w:bCs/>
        </w:rPr>
        <w:t xml:space="preserve">Butler Senior Clinical Research Fellowship </w:t>
      </w:r>
      <w:r w:rsidR="0015059B">
        <w:rPr>
          <w:bCs/>
        </w:rPr>
        <w:t xml:space="preserve">and a Programme Grant </w:t>
      </w:r>
      <w:r w:rsidR="00AC5F15" w:rsidRPr="00050D8F">
        <w:rPr>
          <w:bCs/>
        </w:rPr>
        <w:t>(FS/16/14/32023</w:t>
      </w:r>
      <w:r w:rsidR="0015059B">
        <w:rPr>
          <w:bCs/>
        </w:rPr>
        <w:t xml:space="preserve">, </w:t>
      </w:r>
      <w:r w:rsidR="0015059B" w:rsidRPr="0015059B">
        <w:rPr>
          <w:bCs/>
        </w:rPr>
        <w:t>RG/20/10/34966</w:t>
      </w:r>
      <w:r w:rsidR="00AC5F15" w:rsidRPr="00050D8F">
        <w:rPr>
          <w:bCs/>
        </w:rPr>
        <w:t>)</w:t>
      </w:r>
      <w:r w:rsidR="00526C98">
        <w:rPr>
          <w:bCs/>
        </w:rPr>
        <w:t>,</w:t>
      </w:r>
      <w:r w:rsidR="00AC5F15">
        <w:rPr>
          <w:bCs/>
        </w:rPr>
        <w:t xml:space="preserve"> respectively.</w:t>
      </w:r>
      <w:r w:rsidR="008C6AE9">
        <w:t xml:space="preserve"> </w:t>
      </w:r>
      <w:r w:rsidR="00F73458">
        <w:t>PDA is supported by a National Heart Foundation of New Zealand Senior Fellowship (1844).</w:t>
      </w:r>
      <w:r w:rsidR="008C6AE9">
        <w:t xml:space="preserve"> </w:t>
      </w:r>
      <w:r w:rsidR="00053168">
        <w:rPr>
          <w:rStyle w:val="s21"/>
          <w:color w:val="000000"/>
        </w:rPr>
        <w:t>DEN is a recipient of a Wellcome Trust Senior Investigator Award (</w:t>
      </w:r>
      <w:r w:rsidR="00053168" w:rsidRPr="00C767EF">
        <w:rPr>
          <w:rStyle w:val="s21"/>
          <w:color w:val="000000"/>
        </w:rPr>
        <w:t>WT103782AIA</w:t>
      </w:r>
      <w:r w:rsidR="00053168">
        <w:rPr>
          <w:rStyle w:val="s21"/>
          <w:color w:val="000000"/>
        </w:rPr>
        <w:t xml:space="preserve">). </w:t>
      </w:r>
      <w:r w:rsidR="002463EA" w:rsidRPr="00DE4F77">
        <w:t xml:space="preserve">CJW </w:t>
      </w:r>
      <w:r w:rsidR="00F37F71">
        <w:t xml:space="preserve">and RP </w:t>
      </w:r>
      <w:r w:rsidR="002463EA" w:rsidRPr="00DE4F77">
        <w:t>w</w:t>
      </w:r>
      <w:r w:rsidR="00F37F71">
        <w:t>ere</w:t>
      </w:r>
      <w:r w:rsidR="002463EA" w:rsidRPr="00DE4F77">
        <w:t xml:space="preserve"> supported by NHS Lothian </w:t>
      </w:r>
      <w:r w:rsidR="0050438F" w:rsidRPr="00DE4F77">
        <w:t>through the</w:t>
      </w:r>
      <w:r w:rsidR="002463EA" w:rsidRPr="00DE4F77">
        <w:t xml:space="preserve"> Edinburgh Clinical Trials Unit. </w:t>
      </w:r>
      <w:r w:rsidR="00A616B5" w:rsidRPr="00DE4F77">
        <w:rPr>
          <w:color w:val="000000"/>
        </w:rPr>
        <w:t xml:space="preserve">The funders played no role in the </w:t>
      </w:r>
      <w:r w:rsidR="00A616B5" w:rsidRPr="00DE4F77">
        <w:rPr>
          <w:color w:val="000000"/>
          <w:lang w:val="en-US"/>
        </w:rPr>
        <w:t xml:space="preserve">design, </w:t>
      </w:r>
      <w:r w:rsidR="00A616B5" w:rsidRPr="00DE4F77">
        <w:rPr>
          <w:color w:val="000000"/>
        </w:rPr>
        <w:t>conduct, data collection, analysis or reporting of the trial.</w:t>
      </w:r>
      <w:r w:rsidR="00A616B5" w:rsidRPr="00DE4F77">
        <w:t xml:space="preserve"> </w:t>
      </w:r>
      <w:r w:rsidR="00DD1426" w:rsidRPr="00DE4F77">
        <w:t xml:space="preserve">We would like to thank </w:t>
      </w:r>
      <w:r w:rsidR="00B832A1" w:rsidRPr="00DE4F77">
        <w:t>researchers</w:t>
      </w:r>
      <w:r w:rsidR="00DD1426" w:rsidRPr="00DE4F77">
        <w:t xml:space="preserve"> from the </w:t>
      </w:r>
      <w:r w:rsidR="00DD1426" w:rsidRPr="00DE4F77">
        <w:lastRenderedPageBreak/>
        <w:t xml:space="preserve">Emergency Medicine Research Group Edinburgh </w:t>
      </w:r>
      <w:r w:rsidR="00276B96">
        <w:t xml:space="preserve">and the Edinburgh Clinical Trials Unit </w:t>
      </w:r>
      <w:r w:rsidR="00B832A1" w:rsidRPr="00DE4F77">
        <w:t>for their support during the conduct of this trial</w:t>
      </w:r>
      <w:r w:rsidR="00DD1426" w:rsidRPr="00DE4F77">
        <w:t xml:space="preserve">. </w:t>
      </w:r>
    </w:p>
    <w:p w14:paraId="6B55931F" w14:textId="4CF9F3F6" w:rsidR="00784677" w:rsidRDefault="00784677" w:rsidP="0057356B">
      <w:pPr>
        <w:spacing w:line="480" w:lineRule="auto"/>
      </w:pPr>
    </w:p>
    <w:p w14:paraId="14956285" w14:textId="5F13E678" w:rsidR="005D7664" w:rsidRPr="005D7664" w:rsidRDefault="005D7664" w:rsidP="005D7664">
      <w:pPr>
        <w:spacing w:line="480" w:lineRule="auto"/>
        <w:rPr>
          <w:b/>
          <w:sz w:val="32"/>
          <w:szCs w:val="32"/>
        </w:rPr>
      </w:pPr>
      <w:r w:rsidRPr="00DE4F77">
        <w:rPr>
          <w:b/>
          <w:sz w:val="32"/>
          <w:szCs w:val="32"/>
        </w:rPr>
        <w:t>Acknowledgements</w:t>
      </w:r>
    </w:p>
    <w:p w14:paraId="2533EF10" w14:textId="2E6BF87B" w:rsidR="00784677" w:rsidRDefault="00784677" w:rsidP="00784677">
      <w:pPr>
        <w:widowControl w:val="0"/>
        <w:tabs>
          <w:tab w:val="left" w:pos="220"/>
          <w:tab w:val="left" w:pos="720"/>
        </w:tabs>
        <w:autoSpaceDE w:val="0"/>
        <w:autoSpaceDN w:val="0"/>
        <w:adjustRightInd w:val="0"/>
        <w:spacing w:line="480" w:lineRule="auto"/>
        <w:rPr>
          <w:color w:val="262626"/>
          <w:lang w:val="en-US"/>
        </w:rPr>
      </w:pPr>
      <w:r w:rsidRPr="00DE4F77">
        <w:t xml:space="preserve">The </w:t>
      </w:r>
      <w:r>
        <w:t>HiSTORIC</w:t>
      </w:r>
      <w:r w:rsidRPr="00DE4F77">
        <w:t xml:space="preserve"> Investigators</w:t>
      </w:r>
      <w:r w:rsidRPr="00DE4F77">
        <w:rPr>
          <w:color w:val="262626"/>
          <w:lang w:val="en-US"/>
        </w:rPr>
        <w:t xml:space="preserve"> contributed to the conception or design of the work, or the acquisition, analysis, or interpretation of data for the work. They were involved in drafting the manuscript and revi</w:t>
      </w:r>
      <w:r>
        <w:rPr>
          <w:color w:val="262626"/>
          <w:lang w:val="en-US"/>
        </w:rPr>
        <w:t>s</w:t>
      </w:r>
      <w:r w:rsidRPr="00DE4F77">
        <w:rPr>
          <w:color w:val="262626"/>
          <w:lang w:val="en-US"/>
        </w:rPr>
        <w:t>ing it, and have given final approval of the version to be published.</w:t>
      </w:r>
      <w:r>
        <w:rPr>
          <w:color w:val="262626"/>
          <w:lang w:val="en-US"/>
        </w:rPr>
        <w:t xml:space="preserve"> </w:t>
      </w:r>
      <w:r>
        <w:rPr>
          <w:bCs/>
        </w:rPr>
        <w:t xml:space="preserve">The study sponsor had no role in the study design, collection of data, analysis and interpretation of data, writing of this report or decision to submit for publication. </w:t>
      </w:r>
      <w:r>
        <w:rPr>
          <w:color w:val="262626"/>
          <w:lang w:val="en-US"/>
        </w:rPr>
        <w:t xml:space="preserve">The corresponding author </w:t>
      </w:r>
      <w:r w:rsidRPr="006C0F6E">
        <w:rPr>
          <w:color w:val="262626"/>
          <w:lang w:val="en-US"/>
        </w:rPr>
        <w:t>affirms that the manuscript is an honest, accurate, and transparent account of the study being reported</w:t>
      </w:r>
      <w:r>
        <w:rPr>
          <w:color w:val="262626"/>
          <w:lang w:val="en-US"/>
        </w:rPr>
        <w:t xml:space="preserve"> and</w:t>
      </w:r>
      <w:r w:rsidRPr="006C0F6E">
        <w:rPr>
          <w:color w:val="262626"/>
          <w:lang w:val="en-US"/>
        </w:rPr>
        <w:t xml:space="preserve"> that no important aspects of the study have been omitted.</w:t>
      </w:r>
    </w:p>
    <w:p w14:paraId="7F28597A" w14:textId="49FD9282" w:rsidR="005D7664" w:rsidRDefault="005D7664" w:rsidP="00784677">
      <w:pPr>
        <w:widowControl w:val="0"/>
        <w:tabs>
          <w:tab w:val="left" w:pos="220"/>
          <w:tab w:val="left" w:pos="720"/>
        </w:tabs>
        <w:autoSpaceDE w:val="0"/>
        <w:autoSpaceDN w:val="0"/>
        <w:adjustRightInd w:val="0"/>
        <w:spacing w:line="480" w:lineRule="auto"/>
        <w:rPr>
          <w:color w:val="262626"/>
          <w:lang w:val="en-US"/>
        </w:rPr>
      </w:pPr>
    </w:p>
    <w:p w14:paraId="7DCC5B27" w14:textId="3E7EC11A" w:rsidR="005D7664" w:rsidRDefault="005D7664" w:rsidP="005D7664">
      <w:pPr>
        <w:spacing w:line="480" w:lineRule="auto"/>
        <w:rPr>
          <w:b/>
          <w:sz w:val="32"/>
          <w:szCs w:val="32"/>
        </w:rPr>
      </w:pPr>
      <w:r>
        <w:rPr>
          <w:b/>
          <w:sz w:val="32"/>
          <w:szCs w:val="32"/>
        </w:rPr>
        <w:t xml:space="preserve">Appendix </w:t>
      </w:r>
    </w:p>
    <w:p w14:paraId="70A00E04" w14:textId="34E41878" w:rsidR="00D32F99" w:rsidRPr="005D7664" w:rsidRDefault="00D32F99" w:rsidP="00D32F99">
      <w:pPr>
        <w:spacing w:line="480" w:lineRule="auto"/>
        <w:rPr>
          <w:b/>
        </w:rPr>
      </w:pPr>
      <w:r w:rsidRPr="005D7664">
        <w:rPr>
          <w:b/>
        </w:rPr>
        <w:t>HiSTORIC Trial Investigators</w:t>
      </w:r>
    </w:p>
    <w:p w14:paraId="4746AC6F" w14:textId="023C35D9" w:rsidR="00D32F99" w:rsidRPr="00027810" w:rsidRDefault="00D32F99" w:rsidP="00D32F99">
      <w:pPr>
        <w:pStyle w:val="NormalJustified"/>
      </w:pPr>
      <w:r w:rsidRPr="00027810">
        <w:rPr>
          <w:b/>
        </w:rPr>
        <w:t>Chief Investigator:</w:t>
      </w:r>
      <w:r w:rsidRPr="00027810">
        <w:t xml:space="preserve"> Prof Nicholas L Mills</w:t>
      </w:r>
      <w:r w:rsidR="00E93124" w:rsidRPr="00E93124">
        <w:rPr>
          <w:vertAlign w:val="superscript"/>
        </w:rPr>
        <w:t>1</w:t>
      </w:r>
      <w:r w:rsidR="00E93124">
        <w:rPr>
          <w:vertAlign w:val="superscript"/>
        </w:rPr>
        <w:t>,2</w:t>
      </w:r>
    </w:p>
    <w:p w14:paraId="7D51F743" w14:textId="270EEA38" w:rsidR="00D32F99" w:rsidRPr="00027810" w:rsidRDefault="00D32F99" w:rsidP="00D32F99">
      <w:pPr>
        <w:pStyle w:val="NormalJustified"/>
      </w:pPr>
      <w:r w:rsidRPr="00027810">
        <w:rPr>
          <w:b/>
        </w:rPr>
        <w:t>Trial manager:</w:t>
      </w:r>
      <w:r w:rsidRPr="00027810">
        <w:t xml:space="preserve"> Mr Christopher Tuck</w:t>
      </w:r>
      <w:r w:rsidR="00E93124">
        <w:rPr>
          <w:vertAlign w:val="superscript"/>
        </w:rPr>
        <w:t>3</w:t>
      </w:r>
    </w:p>
    <w:p w14:paraId="4C87B67B" w14:textId="229E1EC3" w:rsidR="00D32F99" w:rsidRPr="00027810" w:rsidRDefault="00D32F99" w:rsidP="00E93124">
      <w:pPr>
        <w:pStyle w:val="NormalJustified"/>
        <w:jc w:val="left"/>
      </w:pPr>
      <w:r w:rsidRPr="00027810">
        <w:rPr>
          <w:b/>
        </w:rPr>
        <w:t>Trial research team:</w:t>
      </w:r>
      <w:r w:rsidRPr="00027810">
        <w:t xml:space="preserve"> Dr Atul Anand,</w:t>
      </w:r>
      <w:r w:rsidR="00E93124" w:rsidRPr="00E93124">
        <w:rPr>
          <w:vertAlign w:val="superscript"/>
        </w:rPr>
        <w:t>1</w:t>
      </w:r>
      <w:r w:rsidRPr="00027810">
        <w:t xml:space="preserve"> Dr Kuan Ken Lee,</w:t>
      </w:r>
      <w:r w:rsidR="00E93124" w:rsidRPr="00E93124">
        <w:rPr>
          <w:vertAlign w:val="superscript"/>
        </w:rPr>
        <w:t>1</w:t>
      </w:r>
      <w:r w:rsidRPr="00027810">
        <w:t xml:space="preserve"> Dr Andrew R Chapman,</w:t>
      </w:r>
      <w:r w:rsidR="00E93124" w:rsidRPr="00E93124">
        <w:rPr>
          <w:vertAlign w:val="superscript"/>
        </w:rPr>
        <w:t>1</w:t>
      </w:r>
      <w:r w:rsidRPr="00027810">
        <w:t xml:space="preserve"> </w:t>
      </w:r>
      <w:r w:rsidR="00E93124">
        <w:t>Dr</w:t>
      </w:r>
      <w:r w:rsidRPr="00027810">
        <w:t xml:space="preserve"> Amy V Ferry,</w:t>
      </w:r>
      <w:r w:rsidR="00E93124" w:rsidRPr="00E93124">
        <w:rPr>
          <w:vertAlign w:val="superscript"/>
        </w:rPr>
        <w:t>1</w:t>
      </w:r>
      <w:r w:rsidRPr="00027810">
        <w:t xml:space="preserve"> Ms Lucy Marshall,</w:t>
      </w:r>
      <w:r w:rsidR="00E93124" w:rsidRPr="00E93124">
        <w:rPr>
          <w:vertAlign w:val="superscript"/>
        </w:rPr>
        <w:t>1</w:t>
      </w:r>
      <w:r w:rsidRPr="00027810">
        <w:t xml:space="preserve"> Ms Stacey D Stewart,</w:t>
      </w:r>
      <w:r w:rsidR="00E93124" w:rsidRPr="00E93124">
        <w:rPr>
          <w:vertAlign w:val="superscript"/>
        </w:rPr>
        <w:t>1</w:t>
      </w:r>
      <w:r w:rsidRPr="00027810">
        <w:t xml:space="preserve"> </w:t>
      </w:r>
      <w:r>
        <w:t xml:space="preserve">Dr </w:t>
      </w:r>
      <w:r w:rsidRPr="00402A6F">
        <w:rPr>
          <w:rFonts w:ascii="TimesNewRomanPSMT" w:hAnsi="TimesNewRomanPSMT"/>
        </w:rPr>
        <w:t>Dorien</w:t>
      </w:r>
      <w:r>
        <w:rPr>
          <w:rFonts w:ascii="TimesNewRomanPSMT" w:hAnsi="TimesNewRomanPSMT"/>
        </w:rPr>
        <w:t xml:space="preserve"> </w:t>
      </w:r>
      <w:r w:rsidRPr="00402A6F">
        <w:rPr>
          <w:rFonts w:ascii="TimesNewRomanPSMT" w:hAnsi="TimesNewRomanPSMT"/>
        </w:rPr>
        <w:t>M</w:t>
      </w:r>
      <w:r>
        <w:rPr>
          <w:rFonts w:ascii="TimesNewRomanPSMT" w:hAnsi="TimesNewRomanPSMT"/>
        </w:rPr>
        <w:t xml:space="preserve"> </w:t>
      </w:r>
      <w:r w:rsidRPr="00402A6F">
        <w:rPr>
          <w:rFonts w:ascii="TimesNewRomanPSMT" w:hAnsi="TimesNewRomanPSMT"/>
        </w:rPr>
        <w:t>Kimenai</w:t>
      </w:r>
      <w:r>
        <w:rPr>
          <w:rFonts w:ascii="TimesNewRomanPSMT" w:hAnsi="TimesNewRomanPSMT"/>
        </w:rPr>
        <w:t>,</w:t>
      </w:r>
      <w:r w:rsidR="00E93124" w:rsidRPr="00E93124">
        <w:rPr>
          <w:vertAlign w:val="superscript"/>
        </w:rPr>
        <w:t>1</w:t>
      </w:r>
      <w:r>
        <w:rPr>
          <w:rFonts w:ascii="TimesNewRomanPSMT" w:hAnsi="TimesNewRomanPSMT"/>
        </w:rPr>
        <w:t xml:space="preserve"> Mr </w:t>
      </w:r>
      <w:r w:rsidRPr="00402A6F">
        <w:rPr>
          <w:rFonts w:ascii="TimesNewRomanPSMT" w:hAnsi="TimesNewRomanPSMT"/>
        </w:rPr>
        <w:t>Dimitrios</w:t>
      </w:r>
      <w:r>
        <w:rPr>
          <w:rFonts w:ascii="TimesNewRomanPSMT" w:hAnsi="TimesNewRomanPSMT"/>
        </w:rPr>
        <w:t xml:space="preserve"> </w:t>
      </w:r>
      <w:r w:rsidRPr="00402A6F">
        <w:rPr>
          <w:rFonts w:ascii="TimesNewRomanPSMT" w:hAnsi="TimesNewRomanPSMT"/>
        </w:rPr>
        <w:t>Doudesis</w:t>
      </w:r>
      <w:r>
        <w:rPr>
          <w:rFonts w:ascii="TimesNewRomanPSMT" w:hAnsi="TimesNewRomanPSMT"/>
        </w:rPr>
        <w:t>,</w:t>
      </w:r>
      <w:r w:rsidR="00E93124" w:rsidRPr="00E93124">
        <w:rPr>
          <w:vertAlign w:val="superscript"/>
        </w:rPr>
        <w:t>1</w:t>
      </w:r>
      <w:r>
        <w:rPr>
          <w:rFonts w:ascii="TimesNewRomanPSMT" w:hAnsi="TimesNewRomanPSMT"/>
        </w:rPr>
        <w:t xml:space="preserve"> Mr </w:t>
      </w:r>
      <w:r w:rsidRPr="00993A5B">
        <w:rPr>
          <w:rFonts w:ascii="TimesNewRomanPSMT" w:hAnsi="TimesNewRomanPSMT"/>
        </w:rPr>
        <w:t>Filip Mendusic</w:t>
      </w:r>
      <w:r>
        <w:rPr>
          <w:rFonts w:ascii="TimesNewRomanPSMT" w:hAnsi="TimesNewRomanPSMT"/>
        </w:rPr>
        <w:t>,</w:t>
      </w:r>
      <w:r w:rsidR="00E93124" w:rsidRPr="00E93124">
        <w:rPr>
          <w:vertAlign w:val="superscript"/>
        </w:rPr>
        <w:t>1</w:t>
      </w:r>
      <w:r>
        <w:t xml:space="preserve"> Dr Anda Bularga,</w:t>
      </w:r>
      <w:r w:rsidR="00E93124" w:rsidRPr="00E93124">
        <w:rPr>
          <w:vertAlign w:val="superscript"/>
        </w:rPr>
        <w:t>1</w:t>
      </w:r>
      <w:r>
        <w:t xml:space="preserve"> Dr R</w:t>
      </w:r>
      <w:r w:rsidRPr="00EF3CA1">
        <w:t>yan Wereski</w:t>
      </w:r>
      <w:r>
        <w:t>,</w:t>
      </w:r>
      <w:r w:rsidR="00E93124" w:rsidRPr="00E93124">
        <w:rPr>
          <w:vertAlign w:val="superscript"/>
        </w:rPr>
        <w:t>1</w:t>
      </w:r>
      <w:r w:rsidRPr="00EF3CA1">
        <w:t xml:space="preserve"> </w:t>
      </w:r>
      <w:r>
        <w:t xml:space="preserve">Dr </w:t>
      </w:r>
      <w:r w:rsidRPr="00993A5B">
        <w:t>Caelan Taggart</w:t>
      </w:r>
      <w:r>
        <w:t>,</w:t>
      </w:r>
      <w:r w:rsidR="00E93124" w:rsidRPr="00E93124">
        <w:rPr>
          <w:vertAlign w:val="superscript"/>
        </w:rPr>
        <w:t>1</w:t>
      </w:r>
      <w:r>
        <w:t xml:space="preserve"> Dr Matthew TH Lowry,</w:t>
      </w:r>
      <w:r w:rsidR="00E93124" w:rsidRPr="00E93124">
        <w:rPr>
          <w:vertAlign w:val="superscript"/>
        </w:rPr>
        <w:t>1</w:t>
      </w:r>
      <w:r>
        <w:t xml:space="preserve"> </w:t>
      </w:r>
      <w:r w:rsidRPr="00027810">
        <w:t>Dr Catherine L Stables,</w:t>
      </w:r>
      <w:r w:rsidR="00E93124" w:rsidRPr="00E93124">
        <w:rPr>
          <w:vertAlign w:val="superscript"/>
        </w:rPr>
        <w:t>1</w:t>
      </w:r>
      <w:r w:rsidRPr="00027810">
        <w:t xml:space="preserve"> Dr Takeshi Fujisawa</w:t>
      </w:r>
      <w:r>
        <w:t>,</w:t>
      </w:r>
      <w:r w:rsidR="00E93124" w:rsidRPr="00E93124">
        <w:rPr>
          <w:vertAlign w:val="superscript"/>
        </w:rPr>
        <w:t>1</w:t>
      </w:r>
      <w:r>
        <w:t xml:space="preserve"> </w:t>
      </w:r>
      <w:r w:rsidRPr="00027810">
        <w:t>Dr Fiona E Strachan,</w:t>
      </w:r>
      <w:r w:rsidR="00E93124" w:rsidRPr="00E93124">
        <w:rPr>
          <w:vertAlign w:val="superscript"/>
        </w:rPr>
        <w:t>1</w:t>
      </w:r>
      <w:r w:rsidRPr="00027810">
        <w:t xml:space="preserve"> Dr Philip D Adamson,</w:t>
      </w:r>
      <w:r w:rsidR="00E93124" w:rsidRPr="00E93124">
        <w:rPr>
          <w:vertAlign w:val="superscript"/>
        </w:rPr>
        <w:t>1</w:t>
      </w:r>
      <w:r w:rsidRPr="00027810">
        <w:t xml:space="preserve"> Dr Anoop SV Shah</w:t>
      </w:r>
      <w:r w:rsidR="00E93124" w:rsidRPr="00E93124">
        <w:rPr>
          <w:vertAlign w:val="superscript"/>
        </w:rPr>
        <w:t>1</w:t>
      </w:r>
    </w:p>
    <w:p w14:paraId="0D707151" w14:textId="7090FD49" w:rsidR="00D32F99" w:rsidRPr="00294273" w:rsidRDefault="00D32F99" w:rsidP="00D32F99">
      <w:pPr>
        <w:pStyle w:val="NormalJustified"/>
        <w:rPr>
          <w:vertAlign w:val="superscript"/>
        </w:rPr>
      </w:pPr>
      <w:r w:rsidRPr="00027810">
        <w:rPr>
          <w:b/>
        </w:rPr>
        <w:t>Grant applicants:</w:t>
      </w:r>
      <w:r w:rsidRPr="00027810">
        <w:t xml:space="preserve"> Prof Nicholas L Mills (Principal Applicant),</w:t>
      </w:r>
      <w:r w:rsidR="00E93124" w:rsidRPr="00E93124">
        <w:rPr>
          <w:vertAlign w:val="superscript"/>
        </w:rPr>
        <w:t>1</w:t>
      </w:r>
      <w:r w:rsidR="00E93124">
        <w:rPr>
          <w:vertAlign w:val="superscript"/>
        </w:rPr>
        <w:t>,2</w:t>
      </w:r>
      <w:r w:rsidRPr="00027810">
        <w:t xml:space="preserve"> Prof David E Newby,</w:t>
      </w:r>
      <w:r w:rsidR="00E93124" w:rsidRPr="00E93124">
        <w:rPr>
          <w:vertAlign w:val="superscript"/>
        </w:rPr>
        <w:t>1</w:t>
      </w:r>
      <w:r w:rsidRPr="00027810">
        <w:t xml:space="preserve"> Prof Colin Berry,</w:t>
      </w:r>
      <w:r w:rsidR="00294273" w:rsidRPr="00294273">
        <w:rPr>
          <w:vertAlign w:val="superscript"/>
        </w:rPr>
        <w:t>4</w:t>
      </w:r>
      <w:r w:rsidRPr="00027810">
        <w:t xml:space="preserve"> </w:t>
      </w:r>
      <w:r>
        <w:t>Dr Anoop SV Shah,</w:t>
      </w:r>
      <w:r w:rsidR="00294273" w:rsidRPr="00E93124">
        <w:rPr>
          <w:vertAlign w:val="superscript"/>
        </w:rPr>
        <w:t>1</w:t>
      </w:r>
      <w:r>
        <w:t xml:space="preserve"> Prof Alasdair Gray,</w:t>
      </w:r>
      <w:r w:rsidR="00294273">
        <w:rPr>
          <w:vertAlign w:val="superscript"/>
        </w:rPr>
        <w:t>5</w:t>
      </w:r>
      <w:r>
        <w:t xml:space="preserve"> Dr Donogh Maguire,</w:t>
      </w:r>
      <w:r w:rsidR="00294273">
        <w:rPr>
          <w:vertAlign w:val="superscript"/>
        </w:rPr>
        <w:t>6</w:t>
      </w:r>
      <w:r>
        <w:t xml:space="preserve"> Dr David A McAllister,</w:t>
      </w:r>
      <w:r w:rsidR="00294273">
        <w:rPr>
          <w:vertAlign w:val="superscript"/>
        </w:rPr>
        <w:t>7</w:t>
      </w:r>
      <w:r>
        <w:t xml:space="preserve"> Mr Richard A Parker</w:t>
      </w:r>
      <w:r w:rsidR="00294273">
        <w:rPr>
          <w:vertAlign w:val="superscript"/>
        </w:rPr>
        <w:t>3</w:t>
      </w:r>
    </w:p>
    <w:p w14:paraId="2DB7E1BB" w14:textId="6DC3F374" w:rsidR="00D32F99" w:rsidRPr="00027810" w:rsidRDefault="00D32F99" w:rsidP="00D32F99">
      <w:pPr>
        <w:pStyle w:val="NormalJustified"/>
      </w:pPr>
      <w:r w:rsidRPr="00027810">
        <w:rPr>
          <w:b/>
        </w:rPr>
        <w:lastRenderedPageBreak/>
        <w:t>Trial steering committee:</w:t>
      </w:r>
      <w:r w:rsidRPr="00027810">
        <w:t xml:space="preserve"> Prof Ian Ford (chair, independent), Prof Nicholas L Mills,</w:t>
      </w:r>
      <w:r w:rsidR="00294273" w:rsidRPr="00E93124">
        <w:rPr>
          <w:vertAlign w:val="superscript"/>
        </w:rPr>
        <w:t>1</w:t>
      </w:r>
      <w:r w:rsidR="00294273">
        <w:rPr>
          <w:vertAlign w:val="superscript"/>
        </w:rPr>
        <w:t>,2</w:t>
      </w:r>
      <w:r w:rsidRPr="00027810">
        <w:t xml:space="preserve"> Prof David E Newby,</w:t>
      </w:r>
      <w:r w:rsidR="00294273" w:rsidRPr="00E93124">
        <w:rPr>
          <w:vertAlign w:val="superscript"/>
        </w:rPr>
        <w:t>1</w:t>
      </w:r>
      <w:r w:rsidRPr="00027810">
        <w:t xml:space="preserve"> Prof Alasdair Gray,</w:t>
      </w:r>
      <w:r w:rsidR="00294273">
        <w:rPr>
          <w:vertAlign w:val="superscript"/>
        </w:rPr>
        <w:t>5</w:t>
      </w:r>
      <w:r w:rsidRPr="00027810">
        <w:t xml:space="preserve"> Prof Keith AA Fox,</w:t>
      </w:r>
      <w:r w:rsidR="00294273" w:rsidRPr="00E93124">
        <w:rPr>
          <w:vertAlign w:val="superscript"/>
        </w:rPr>
        <w:t>1</w:t>
      </w:r>
      <w:r w:rsidR="00294273">
        <w:t xml:space="preserve"> </w:t>
      </w:r>
      <w:r w:rsidRPr="00027810">
        <w:t>Prof Colin Berry,</w:t>
      </w:r>
      <w:r w:rsidR="00294273">
        <w:rPr>
          <w:vertAlign w:val="superscript"/>
        </w:rPr>
        <w:t>4</w:t>
      </w:r>
      <w:r w:rsidRPr="00027810">
        <w:t xml:space="preserve"> Prof Paul O Collinson,</w:t>
      </w:r>
      <w:r w:rsidR="00294273" w:rsidRPr="00294273">
        <w:rPr>
          <w:vertAlign w:val="superscript"/>
        </w:rPr>
        <w:t>8</w:t>
      </w:r>
      <w:r w:rsidRPr="00027810">
        <w:t xml:space="preserve"> Prof Fred </w:t>
      </w:r>
      <w:r w:rsidRPr="00294273">
        <w:t>S Apple,</w:t>
      </w:r>
      <w:r w:rsidR="00294273" w:rsidRPr="00294273">
        <w:rPr>
          <w:vertAlign w:val="superscript"/>
        </w:rPr>
        <w:t>9</w:t>
      </w:r>
      <w:r w:rsidRPr="00294273">
        <w:t xml:space="preserve"> Mr Alan Reid,</w:t>
      </w:r>
      <w:r w:rsidR="00294273" w:rsidRPr="00294273">
        <w:rPr>
          <w:vertAlign w:val="superscript"/>
        </w:rPr>
        <w:t>10</w:t>
      </w:r>
      <w:r w:rsidRPr="00294273">
        <w:t xml:space="preserve"> Dr Anne Cruikshank,</w:t>
      </w:r>
      <w:r w:rsidR="00294273" w:rsidRPr="00294273">
        <w:rPr>
          <w:vertAlign w:val="superscript"/>
        </w:rPr>
        <w:t>10</w:t>
      </w:r>
      <w:r w:rsidRPr="00294273">
        <w:t xml:space="preserve"> Dr</w:t>
      </w:r>
      <w:r w:rsidRPr="00027810">
        <w:t xml:space="preserve"> Iain Findlay,</w:t>
      </w:r>
      <w:r w:rsidR="00294273" w:rsidRPr="00294273">
        <w:rPr>
          <w:vertAlign w:val="superscript"/>
        </w:rPr>
        <w:t xml:space="preserve"> </w:t>
      </w:r>
      <w:r w:rsidR="00294273" w:rsidRPr="00294273">
        <w:rPr>
          <w:vertAlign w:val="superscript"/>
        </w:rPr>
        <w:t>1</w:t>
      </w:r>
      <w:r w:rsidR="00294273">
        <w:rPr>
          <w:vertAlign w:val="superscript"/>
        </w:rPr>
        <w:t>1</w:t>
      </w:r>
      <w:r w:rsidRPr="00027810">
        <w:t xml:space="preserve"> Dr Shannon Amoils (independent), Dr David A McAllister,</w:t>
      </w:r>
      <w:r w:rsidR="00294273">
        <w:rPr>
          <w:vertAlign w:val="superscript"/>
        </w:rPr>
        <w:t>7</w:t>
      </w:r>
      <w:r w:rsidRPr="00027810">
        <w:t xml:space="preserve"> Dr Donogh Maguire,</w:t>
      </w:r>
      <w:r w:rsidR="00294273">
        <w:rPr>
          <w:vertAlign w:val="superscript"/>
        </w:rPr>
        <w:t>6</w:t>
      </w:r>
      <w:r w:rsidRPr="00027810">
        <w:t xml:space="preserve"> Ms Jennifer Stevens (independent), Prof John Norrie (independent), </w:t>
      </w:r>
      <w:r>
        <w:t>Mr Richard A Parker,</w:t>
      </w:r>
      <w:r w:rsidR="00294273">
        <w:rPr>
          <w:vertAlign w:val="superscript"/>
        </w:rPr>
        <w:t>3</w:t>
      </w:r>
      <w:r w:rsidRPr="00027810">
        <w:t xml:space="preserve"> and Prof Christopher Weir</w:t>
      </w:r>
      <w:r w:rsidR="007E4A79">
        <w:rPr>
          <w:vertAlign w:val="superscript"/>
        </w:rPr>
        <w:t>3</w:t>
      </w:r>
    </w:p>
    <w:p w14:paraId="025B8A58" w14:textId="5F47B8E1" w:rsidR="00D32F99" w:rsidRPr="00027810" w:rsidRDefault="00D32F99" w:rsidP="00D32F99">
      <w:pPr>
        <w:pStyle w:val="NormalJustified"/>
        <w:rPr>
          <w:b/>
        </w:rPr>
      </w:pPr>
      <w:r w:rsidRPr="00027810">
        <w:rPr>
          <w:b/>
        </w:rPr>
        <w:t xml:space="preserve">Adjudication panel: </w:t>
      </w:r>
      <w:r w:rsidRPr="00027810">
        <w:t>Dr Anoop SV Shah,</w:t>
      </w:r>
      <w:r w:rsidR="007E4A79" w:rsidRPr="00E93124">
        <w:rPr>
          <w:vertAlign w:val="superscript"/>
        </w:rPr>
        <w:t>1</w:t>
      </w:r>
      <w:r w:rsidRPr="00027810">
        <w:t xml:space="preserve"> Dr Atul Anand,</w:t>
      </w:r>
      <w:r w:rsidR="007E4A79" w:rsidRPr="00E93124">
        <w:rPr>
          <w:vertAlign w:val="superscript"/>
        </w:rPr>
        <w:t>1</w:t>
      </w:r>
      <w:r w:rsidRPr="00027810">
        <w:t xml:space="preserve"> Dr Andrew R Chapman,</w:t>
      </w:r>
      <w:r w:rsidR="007E4A79" w:rsidRPr="00E93124">
        <w:rPr>
          <w:vertAlign w:val="superscript"/>
        </w:rPr>
        <w:t>1</w:t>
      </w:r>
      <w:r w:rsidRPr="00027810">
        <w:t xml:space="preserve"> Dr Kuan Ken Lee,</w:t>
      </w:r>
      <w:r w:rsidR="007E4A79" w:rsidRPr="00E93124">
        <w:rPr>
          <w:vertAlign w:val="superscript"/>
        </w:rPr>
        <w:t>1</w:t>
      </w:r>
      <w:r w:rsidRPr="00027810">
        <w:t xml:space="preserve"> Prof Nicholas L Mills</w:t>
      </w:r>
      <w:r w:rsidR="007E4A79" w:rsidRPr="00E93124">
        <w:rPr>
          <w:vertAlign w:val="superscript"/>
        </w:rPr>
        <w:t>1</w:t>
      </w:r>
      <w:r w:rsidR="007E4A79">
        <w:rPr>
          <w:vertAlign w:val="superscript"/>
        </w:rPr>
        <w:t>,2</w:t>
      </w:r>
    </w:p>
    <w:p w14:paraId="0CD7096B" w14:textId="6CCAE450" w:rsidR="00D32F99" w:rsidRPr="00027810" w:rsidRDefault="00D32F99" w:rsidP="00D32F99">
      <w:pPr>
        <w:pStyle w:val="NormalJustified"/>
      </w:pPr>
      <w:r w:rsidRPr="00027810">
        <w:rPr>
          <w:b/>
        </w:rPr>
        <w:t>Data monitoring committee:</w:t>
      </w:r>
      <w:r w:rsidRPr="00027810">
        <w:t xml:space="preserve"> Prof Colin M Fischbacher,</w:t>
      </w:r>
      <w:r w:rsidR="007E4A79">
        <w:rPr>
          <w:vertAlign w:val="superscript"/>
        </w:rPr>
        <w:t>12</w:t>
      </w:r>
      <w:r w:rsidRPr="00027810">
        <w:t xml:space="preserve"> Dr Bernard L Croal,</w:t>
      </w:r>
      <w:r w:rsidR="007E4A79">
        <w:rPr>
          <w:vertAlign w:val="superscript"/>
        </w:rPr>
        <w:t>1</w:t>
      </w:r>
      <w:r w:rsidR="007E4A79">
        <w:rPr>
          <w:vertAlign w:val="superscript"/>
        </w:rPr>
        <w:t>3</w:t>
      </w:r>
      <w:r w:rsidRPr="00027810">
        <w:t xml:space="preserve"> Prof Stephen J Leslie</w:t>
      </w:r>
      <w:r w:rsidR="007E4A79">
        <w:rPr>
          <w:vertAlign w:val="superscript"/>
        </w:rPr>
        <w:t>1</w:t>
      </w:r>
      <w:r w:rsidR="007E4A79">
        <w:rPr>
          <w:vertAlign w:val="superscript"/>
        </w:rPr>
        <w:t>4,15</w:t>
      </w:r>
    </w:p>
    <w:p w14:paraId="3091113C" w14:textId="50AD4B12" w:rsidR="00D32F99" w:rsidRPr="00027810" w:rsidRDefault="00D32F99" w:rsidP="00D32F99">
      <w:pPr>
        <w:pStyle w:val="NormalJustified"/>
      </w:pPr>
      <w:r w:rsidRPr="00027810">
        <w:rPr>
          <w:b/>
        </w:rPr>
        <w:t>Edinburgh Clinical Trials Unit:</w:t>
      </w:r>
      <w:r w:rsidRPr="00027810">
        <w:t xml:space="preserve"> M</w:t>
      </w:r>
      <w:r>
        <w:t>r</w:t>
      </w:r>
      <w:r w:rsidRPr="00027810">
        <w:t>s Catriona Keerie,</w:t>
      </w:r>
      <w:r w:rsidR="007E4A79">
        <w:rPr>
          <w:vertAlign w:val="superscript"/>
        </w:rPr>
        <w:t>3</w:t>
      </w:r>
      <w:r w:rsidRPr="00027810">
        <w:t xml:space="preserve"> Mr Richard A Parker,</w:t>
      </w:r>
      <w:r w:rsidR="007E4A79">
        <w:rPr>
          <w:vertAlign w:val="superscript"/>
        </w:rPr>
        <w:t>3</w:t>
      </w:r>
      <w:r w:rsidRPr="00027810">
        <w:t xml:space="preserve"> Mr Ronnie Harkess,</w:t>
      </w:r>
      <w:r w:rsidR="007E4A79">
        <w:rPr>
          <w:vertAlign w:val="superscript"/>
        </w:rPr>
        <w:t>3</w:t>
      </w:r>
      <w:r w:rsidRPr="00027810">
        <w:t xml:space="preserve"> Mr Christopher Tuck,</w:t>
      </w:r>
      <w:r w:rsidR="007E4A79">
        <w:rPr>
          <w:vertAlign w:val="superscript"/>
        </w:rPr>
        <w:t>3</w:t>
      </w:r>
      <w:r w:rsidRPr="00027810">
        <w:t xml:space="preserve"> Prof Christopher Weir</w:t>
      </w:r>
      <w:r w:rsidR="007E4A79">
        <w:rPr>
          <w:vertAlign w:val="superscript"/>
        </w:rPr>
        <w:t>3</w:t>
      </w:r>
    </w:p>
    <w:p w14:paraId="484F0095" w14:textId="589D5FC7" w:rsidR="00D32F99" w:rsidRPr="00027810" w:rsidRDefault="00D32F99" w:rsidP="00D32F99">
      <w:pPr>
        <w:pStyle w:val="NormalJustified"/>
        <w:rPr>
          <w:b/>
        </w:rPr>
      </w:pPr>
      <w:r w:rsidRPr="00027810">
        <w:rPr>
          <w:b/>
        </w:rPr>
        <w:t xml:space="preserve">NHS Greater Glasgow &amp; Clyde Safe Haven: </w:t>
      </w:r>
      <w:r w:rsidRPr="00027810">
        <w:t>Dr Roma Armstrong,</w:t>
      </w:r>
      <w:r w:rsidR="007E4A79">
        <w:rPr>
          <w:vertAlign w:val="superscript"/>
        </w:rPr>
        <w:t>16</w:t>
      </w:r>
      <w:r w:rsidRPr="00027810">
        <w:t xml:space="preserve"> Ms Laura Stirling,</w:t>
      </w:r>
      <w:r w:rsidR="007E4A79">
        <w:rPr>
          <w:vertAlign w:val="superscript"/>
        </w:rPr>
        <w:t>16</w:t>
      </w:r>
      <w:r w:rsidRPr="00027810">
        <w:t xml:space="preserve"> Ms Claire MacDonald,</w:t>
      </w:r>
      <w:r w:rsidR="007E4A79">
        <w:rPr>
          <w:vertAlign w:val="superscript"/>
        </w:rPr>
        <w:t>16</w:t>
      </w:r>
      <w:r w:rsidRPr="00027810">
        <w:t xml:space="preserve"> Mr Imran Sadat</w:t>
      </w:r>
      <w:r w:rsidR="007E4A79">
        <w:rPr>
          <w:vertAlign w:val="superscript"/>
        </w:rPr>
        <w:t>16</w:t>
      </w:r>
      <w:r w:rsidRPr="00027810">
        <w:t xml:space="preserve"> </w:t>
      </w:r>
    </w:p>
    <w:p w14:paraId="354D677B" w14:textId="325D962F" w:rsidR="00D32F99" w:rsidRDefault="00D32F99" w:rsidP="00D32F99">
      <w:pPr>
        <w:spacing w:line="480" w:lineRule="auto"/>
      </w:pPr>
      <w:r w:rsidRPr="00027810">
        <w:rPr>
          <w:b/>
        </w:rPr>
        <w:t xml:space="preserve">NHS Lothian Research Governance, eHealth and Safe Haven: </w:t>
      </w:r>
      <w:r w:rsidRPr="00027810">
        <w:t>Ms Pamela Linksted,</w:t>
      </w:r>
      <w:r w:rsidR="007E4A79">
        <w:rPr>
          <w:vertAlign w:val="superscript"/>
        </w:rPr>
        <w:t>1</w:t>
      </w:r>
      <w:r w:rsidR="007E4A79">
        <w:rPr>
          <w:vertAlign w:val="superscript"/>
        </w:rPr>
        <w:t>7</w:t>
      </w:r>
      <w:r w:rsidRPr="00027810">
        <w:t xml:space="preserve"> Mr Stephen Young,</w:t>
      </w:r>
      <w:r w:rsidR="007E4A79">
        <w:rPr>
          <w:vertAlign w:val="superscript"/>
        </w:rPr>
        <w:t>1</w:t>
      </w:r>
      <w:r w:rsidR="007E4A79">
        <w:rPr>
          <w:vertAlign w:val="superscript"/>
        </w:rPr>
        <w:t>7</w:t>
      </w:r>
      <w:r w:rsidRPr="00027810">
        <w:t xml:space="preserve"> Mr Bill Alexander</w:t>
      </w:r>
      <w:r w:rsidR="007E4A79">
        <w:rPr>
          <w:vertAlign w:val="superscript"/>
        </w:rPr>
        <w:t>1</w:t>
      </w:r>
      <w:r w:rsidR="007E4A79">
        <w:rPr>
          <w:vertAlign w:val="superscript"/>
        </w:rPr>
        <w:t>7</w:t>
      </w:r>
    </w:p>
    <w:p w14:paraId="65A97AF9" w14:textId="77777777" w:rsidR="00294273" w:rsidRDefault="00294273" w:rsidP="00E93124">
      <w:pPr>
        <w:jc w:val="both"/>
        <w:rPr>
          <w:sz w:val="20"/>
          <w:szCs w:val="20"/>
          <w:vertAlign w:val="superscript"/>
        </w:rPr>
      </w:pPr>
    </w:p>
    <w:p w14:paraId="2B0245A4" w14:textId="50112AA6" w:rsidR="00E93124" w:rsidRDefault="00E93124" w:rsidP="00E93124">
      <w:pPr>
        <w:jc w:val="both"/>
        <w:rPr>
          <w:sz w:val="20"/>
          <w:szCs w:val="20"/>
        </w:rPr>
      </w:pPr>
      <w:r w:rsidRPr="00DE4F77">
        <w:rPr>
          <w:sz w:val="20"/>
          <w:szCs w:val="20"/>
          <w:vertAlign w:val="superscript"/>
        </w:rPr>
        <w:t>1</w:t>
      </w:r>
      <w:r w:rsidRPr="00DE4F77">
        <w:rPr>
          <w:sz w:val="20"/>
          <w:szCs w:val="20"/>
        </w:rPr>
        <w:t xml:space="preserve"> BHF Centre for Cardiovascular Science, University of Edinburgh, Edinburgh, UK</w:t>
      </w:r>
    </w:p>
    <w:p w14:paraId="2E9DC04E" w14:textId="165476E3" w:rsidR="00E93124" w:rsidRDefault="00E93124" w:rsidP="00E93124">
      <w:pPr>
        <w:jc w:val="both"/>
        <w:rPr>
          <w:sz w:val="20"/>
          <w:szCs w:val="20"/>
        </w:rPr>
      </w:pPr>
      <w:r w:rsidRPr="00DE4F77">
        <w:rPr>
          <w:sz w:val="20"/>
          <w:szCs w:val="20"/>
          <w:vertAlign w:val="superscript"/>
        </w:rPr>
        <w:t xml:space="preserve">2 </w:t>
      </w:r>
      <w:r w:rsidRPr="00732162">
        <w:rPr>
          <w:sz w:val="20"/>
          <w:szCs w:val="20"/>
        </w:rPr>
        <w:t>Usher Institute, University of Edinburgh, Edinburgh, UK</w:t>
      </w:r>
    </w:p>
    <w:p w14:paraId="48E52DA7" w14:textId="03345C8B" w:rsidR="007E4A79" w:rsidRDefault="00E93124" w:rsidP="00E93124">
      <w:pPr>
        <w:jc w:val="both"/>
        <w:rPr>
          <w:sz w:val="20"/>
          <w:szCs w:val="20"/>
        </w:rPr>
      </w:pPr>
      <w:r>
        <w:rPr>
          <w:sz w:val="20"/>
          <w:szCs w:val="20"/>
          <w:vertAlign w:val="superscript"/>
        </w:rPr>
        <w:t>3</w:t>
      </w:r>
      <w:r w:rsidRPr="00DE4F77">
        <w:rPr>
          <w:sz w:val="20"/>
          <w:szCs w:val="20"/>
          <w:vertAlign w:val="superscript"/>
        </w:rPr>
        <w:t xml:space="preserve"> </w:t>
      </w:r>
      <w:r w:rsidRPr="00DE4F77">
        <w:rPr>
          <w:sz w:val="20"/>
          <w:szCs w:val="20"/>
        </w:rPr>
        <w:t xml:space="preserve">Edinburgh Clinical Trials Unit, </w:t>
      </w:r>
      <w:r>
        <w:rPr>
          <w:sz w:val="20"/>
          <w:szCs w:val="20"/>
        </w:rPr>
        <w:t xml:space="preserve">Usher Institute, </w:t>
      </w:r>
      <w:r w:rsidRPr="00DE4F77">
        <w:rPr>
          <w:sz w:val="20"/>
          <w:szCs w:val="20"/>
        </w:rPr>
        <w:t>University of Edinburgh, Edinburgh, UK</w:t>
      </w:r>
    </w:p>
    <w:p w14:paraId="75A401D3" w14:textId="087630D6" w:rsidR="00E93124" w:rsidRPr="00DE4F77" w:rsidRDefault="00294273" w:rsidP="00E93124">
      <w:pPr>
        <w:jc w:val="both"/>
        <w:rPr>
          <w:sz w:val="20"/>
          <w:szCs w:val="20"/>
        </w:rPr>
      </w:pPr>
      <w:r>
        <w:rPr>
          <w:sz w:val="20"/>
          <w:szCs w:val="20"/>
          <w:vertAlign w:val="superscript"/>
        </w:rPr>
        <w:t xml:space="preserve">4 </w:t>
      </w:r>
      <w:r w:rsidRPr="00DE4F77">
        <w:rPr>
          <w:sz w:val="20"/>
          <w:szCs w:val="20"/>
        </w:rPr>
        <w:t>Institute of Cardiovascular and Medical Sciences, University of Glasgow, Glasgow, UK</w:t>
      </w:r>
    </w:p>
    <w:p w14:paraId="4161A753" w14:textId="56BCFAE9" w:rsidR="00E93124" w:rsidRDefault="00294273" w:rsidP="00E93124">
      <w:pPr>
        <w:jc w:val="both"/>
        <w:rPr>
          <w:sz w:val="20"/>
          <w:szCs w:val="20"/>
        </w:rPr>
      </w:pPr>
      <w:r>
        <w:rPr>
          <w:sz w:val="20"/>
          <w:szCs w:val="20"/>
          <w:vertAlign w:val="superscript"/>
        </w:rPr>
        <w:t xml:space="preserve">5 </w:t>
      </w:r>
      <w:r w:rsidRPr="00DE4F77">
        <w:rPr>
          <w:sz w:val="20"/>
          <w:szCs w:val="20"/>
        </w:rPr>
        <w:t>Emergency Medicine Research Group Edinburgh, Royal Infirmary of Edinburgh, Edinburgh, UK</w:t>
      </w:r>
    </w:p>
    <w:p w14:paraId="2AF2B222" w14:textId="660388FD" w:rsidR="00294273" w:rsidRDefault="00294273" w:rsidP="00E93124">
      <w:pPr>
        <w:jc w:val="both"/>
        <w:rPr>
          <w:sz w:val="20"/>
          <w:szCs w:val="20"/>
        </w:rPr>
      </w:pPr>
      <w:r>
        <w:rPr>
          <w:sz w:val="20"/>
          <w:szCs w:val="20"/>
          <w:vertAlign w:val="superscript"/>
        </w:rPr>
        <w:t xml:space="preserve">6 </w:t>
      </w:r>
      <w:r w:rsidRPr="00DE4F77">
        <w:rPr>
          <w:sz w:val="20"/>
          <w:szCs w:val="20"/>
        </w:rPr>
        <w:t>Emergency Medicine Department, Glasgow Royal Infirmary, Glasgow, UK</w:t>
      </w:r>
    </w:p>
    <w:p w14:paraId="30AB3F4F" w14:textId="0BD1A6CA" w:rsidR="00294273" w:rsidRPr="002E1530" w:rsidRDefault="00294273" w:rsidP="00E93124">
      <w:pPr>
        <w:jc w:val="both"/>
        <w:rPr>
          <w:sz w:val="20"/>
          <w:szCs w:val="20"/>
        </w:rPr>
      </w:pPr>
      <w:r>
        <w:rPr>
          <w:sz w:val="20"/>
          <w:szCs w:val="20"/>
          <w:vertAlign w:val="superscript"/>
        </w:rPr>
        <w:t xml:space="preserve">7 </w:t>
      </w:r>
      <w:r w:rsidRPr="00DE4F77">
        <w:rPr>
          <w:sz w:val="20"/>
          <w:szCs w:val="20"/>
        </w:rPr>
        <w:t>Institute of Health and Wellbeing, University of Glasgow, Glasgow, UK</w:t>
      </w:r>
    </w:p>
    <w:p w14:paraId="393D858E" w14:textId="1BD9C119" w:rsidR="00294273" w:rsidRPr="00DE4F77" w:rsidRDefault="00294273" w:rsidP="00294273">
      <w:pPr>
        <w:jc w:val="both"/>
        <w:rPr>
          <w:sz w:val="20"/>
          <w:szCs w:val="20"/>
        </w:rPr>
      </w:pPr>
      <w:r>
        <w:rPr>
          <w:sz w:val="20"/>
          <w:szCs w:val="20"/>
          <w:vertAlign w:val="superscript"/>
        </w:rPr>
        <w:t>8</w:t>
      </w:r>
      <w:r>
        <w:rPr>
          <w:sz w:val="20"/>
          <w:szCs w:val="20"/>
          <w:vertAlign w:val="superscript"/>
        </w:rPr>
        <w:t xml:space="preserve"> </w:t>
      </w:r>
      <w:r w:rsidRPr="00DE4F77">
        <w:rPr>
          <w:sz w:val="20"/>
          <w:szCs w:val="20"/>
        </w:rPr>
        <w:t>Departments of Clinical Blood Sciences and Cardiology, St George's, University Hospitals NHS Trust and St George's University of London, London, UK</w:t>
      </w:r>
    </w:p>
    <w:p w14:paraId="4BC29639" w14:textId="04F84A89" w:rsidR="00294273" w:rsidRDefault="00294273" w:rsidP="00294273">
      <w:pPr>
        <w:jc w:val="both"/>
        <w:rPr>
          <w:sz w:val="20"/>
          <w:szCs w:val="20"/>
        </w:rPr>
      </w:pPr>
      <w:r>
        <w:rPr>
          <w:sz w:val="20"/>
          <w:szCs w:val="20"/>
          <w:vertAlign w:val="superscript"/>
        </w:rPr>
        <w:t>9</w:t>
      </w:r>
      <w:r w:rsidRPr="00DE4F77">
        <w:rPr>
          <w:sz w:val="20"/>
          <w:szCs w:val="20"/>
        </w:rPr>
        <w:t xml:space="preserve"> Department of Laboratory Medicine and Pathology, University of Minnesota, Minneapolis, MN, USA</w:t>
      </w:r>
    </w:p>
    <w:p w14:paraId="4EDFD6B4" w14:textId="0882C55A" w:rsidR="00294273" w:rsidRPr="00DE4F77" w:rsidRDefault="00294273" w:rsidP="00294273">
      <w:pPr>
        <w:jc w:val="both"/>
        <w:rPr>
          <w:sz w:val="20"/>
          <w:szCs w:val="20"/>
        </w:rPr>
      </w:pPr>
      <w:r>
        <w:rPr>
          <w:sz w:val="20"/>
          <w:szCs w:val="20"/>
          <w:vertAlign w:val="superscript"/>
        </w:rPr>
        <w:t xml:space="preserve">10 </w:t>
      </w:r>
      <w:r w:rsidRPr="00DE4F77">
        <w:rPr>
          <w:sz w:val="20"/>
          <w:szCs w:val="20"/>
        </w:rPr>
        <w:t>Department of Biochemistry, Queen Elizabeth University Hospital, Glasgow, UK</w:t>
      </w:r>
    </w:p>
    <w:p w14:paraId="0D2D0194" w14:textId="4EA2C8C3" w:rsidR="007E4A79" w:rsidRDefault="00294273" w:rsidP="00294273">
      <w:pPr>
        <w:jc w:val="both"/>
        <w:rPr>
          <w:sz w:val="20"/>
          <w:szCs w:val="20"/>
        </w:rPr>
      </w:pPr>
      <w:r>
        <w:rPr>
          <w:sz w:val="20"/>
          <w:szCs w:val="20"/>
          <w:vertAlign w:val="superscript"/>
        </w:rPr>
        <w:t>11</w:t>
      </w:r>
      <w:r w:rsidRPr="00DE4F77">
        <w:rPr>
          <w:sz w:val="20"/>
          <w:szCs w:val="20"/>
        </w:rPr>
        <w:t xml:space="preserve"> Department of Cardiology, Royal Alexandra Hospital,</w:t>
      </w:r>
      <w:r w:rsidRPr="00DE4F77">
        <w:rPr>
          <w:sz w:val="20"/>
          <w:szCs w:val="20"/>
          <w:vertAlign w:val="superscript"/>
        </w:rPr>
        <w:t xml:space="preserve"> </w:t>
      </w:r>
      <w:r w:rsidRPr="00DE4F77">
        <w:rPr>
          <w:sz w:val="20"/>
          <w:szCs w:val="20"/>
        </w:rPr>
        <w:t>Paisley, UK</w:t>
      </w:r>
    </w:p>
    <w:p w14:paraId="22BC7881" w14:textId="54246A91" w:rsidR="00E93124" w:rsidRPr="007E4A79" w:rsidRDefault="007E4A79" w:rsidP="00E93124">
      <w:pPr>
        <w:jc w:val="both"/>
        <w:rPr>
          <w:sz w:val="20"/>
          <w:szCs w:val="20"/>
        </w:rPr>
      </w:pPr>
      <w:r w:rsidRPr="007E4A79">
        <w:rPr>
          <w:sz w:val="20"/>
          <w:szCs w:val="20"/>
          <w:vertAlign w:val="superscript"/>
        </w:rPr>
        <w:t>12</w:t>
      </w:r>
      <w:r>
        <w:rPr>
          <w:sz w:val="20"/>
          <w:szCs w:val="20"/>
          <w:vertAlign w:val="superscript"/>
        </w:rPr>
        <w:t xml:space="preserve"> </w:t>
      </w:r>
      <w:r>
        <w:rPr>
          <w:sz w:val="20"/>
          <w:szCs w:val="20"/>
        </w:rPr>
        <w:t>Public Health Scotland, Edinburgh, UK</w:t>
      </w:r>
    </w:p>
    <w:p w14:paraId="1419322B" w14:textId="0B6918FF" w:rsidR="007E4A79" w:rsidRDefault="007E4A79" w:rsidP="00E93124">
      <w:pPr>
        <w:jc w:val="both"/>
        <w:rPr>
          <w:sz w:val="20"/>
          <w:szCs w:val="20"/>
        </w:rPr>
      </w:pPr>
      <w:r w:rsidRPr="007E4A79">
        <w:rPr>
          <w:sz w:val="20"/>
          <w:szCs w:val="20"/>
          <w:vertAlign w:val="superscript"/>
        </w:rPr>
        <w:t>13</w:t>
      </w:r>
      <w:r>
        <w:rPr>
          <w:sz w:val="20"/>
          <w:szCs w:val="20"/>
        </w:rPr>
        <w:t xml:space="preserve"> </w:t>
      </w:r>
      <w:r w:rsidRPr="007E4A79">
        <w:rPr>
          <w:sz w:val="20"/>
          <w:szCs w:val="20"/>
        </w:rPr>
        <w:t>Department of Biochemistry, Aberdeen Royal Infirmary, Aberdeen, UK</w:t>
      </w:r>
    </w:p>
    <w:p w14:paraId="4F46AF7E" w14:textId="485CF52F" w:rsidR="007E4A79" w:rsidRPr="007E4A79" w:rsidRDefault="007E4A79" w:rsidP="007E4A79">
      <w:pPr>
        <w:jc w:val="both"/>
        <w:rPr>
          <w:sz w:val="20"/>
          <w:szCs w:val="20"/>
          <w:vertAlign w:val="superscript"/>
        </w:rPr>
      </w:pPr>
      <w:r w:rsidRPr="007E4A79">
        <w:rPr>
          <w:sz w:val="20"/>
          <w:szCs w:val="20"/>
          <w:vertAlign w:val="superscript"/>
        </w:rPr>
        <w:t>14</w:t>
      </w:r>
      <w:r>
        <w:rPr>
          <w:sz w:val="20"/>
          <w:szCs w:val="20"/>
          <w:vertAlign w:val="superscript"/>
        </w:rPr>
        <w:t xml:space="preserve"> </w:t>
      </w:r>
      <w:r w:rsidRPr="007E4A79">
        <w:rPr>
          <w:sz w:val="20"/>
          <w:szCs w:val="20"/>
        </w:rPr>
        <w:t xml:space="preserve">From the Division of Rural Health and Wellbeing, University of the Highlands and Islands, Inverness, </w:t>
      </w:r>
      <w:r>
        <w:rPr>
          <w:sz w:val="20"/>
          <w:szCs w:val="20"/>
        </w:rPr>
        <w:t>UK</w:t>
      </w:r>
    </w:p>
    <w:p w14:paraId="594C0402" w14:textId="76DBF798" w:rsidR="007E4A79" w:rsidRDefault="007E4A79" w:rsidP="007E4A79">
      <w:pPr>
        <w:jc w:val="both"/>
        <w:rPr>
          <w:sz w:val="20"/>
          <w:szCs w:val="20"/>
        </w:rPr>
      </w:pPr>
      <w:r w:rsidRPr="007E4A79">
        <w:rPr>
          <w:sz w:val="20"/>
          <w:szCs w:val="20"/>
          <w:vertAlign w:val="superscript"/>
        </w:rPr>
        <w:t>15</w:t>
      </w:r>
      <w:r>
        <w:rPr>
          <w:sz w:val="20"/>
          <w:szCs w:val="20"/>
        </w:rPr>
        <w:t xml:space="preserve"> </w:t>
      </w:r>
      <w:r w:rsidRPr="007E4A79">
        <w:rPr>
          <w:sz w:val="20"/>
          <w:szCs w:val="20"/>
        </w:rPr>
        <w:t xml:space="preserve">Cardiac Unit, NHS Highland, Inverness, </w:t>
      </w:r>
      <w:r>
        <w:rPr>
          <w:sz w:val="20"/>
          <w:szCs w:val="20"/>
        </w:rPr>
        <w:t>UK</w:t>
      </w:r>
    </w:p>
    <w:p w14:paraId="6FB66B44" w14:textId="7185BC41" w:rsidR="007E4A79" w:rsidRDefault="007E4A79" w:rsidP="007E4A79">
      <w:pPr>
        <w:jc w:val="both"/>
        <w:rPr>
          <w:sz w:val="20"/>
          <w:szCs w:val="20"/>
        </w:rPr>
      </w:pPr>
      <w:r w:rsidRPr="007E4A79">
        <w:rPr>
          <w:sz w:val="20"/>
          <w:szCs w:val="20"/>
          <w:vertAlign w:val="superscript"/>
        </w:rPr>
        <w:t>1</w:t>
      </w:r>
      <w:r>
        <w:rPr>
          <w:sz w:val="20"/>
          <w:szCs w:val="20"/>
          <w:vertAlign w:val="superscript"/>
        </w:rPr>
        <w:t xml:space="preserve">6 </w:t>
      </w:r>
      <w:r w:rsidRPr="007E4A79">
        <w:rPr>
          <w:sz w:val="20"/>
          <w:szCs w:val="20"/>
        </w:rPr>
        <w:t>NHS Greater Glasgow and Clyde, Glasgow, UK</w:t>
      </w:r>
    </w:p>
    <w:p w14:paraId="3293F5BC" w14:textId="30A3B90E" w:rsidR="007E4A79" w:rsidRPr="007E4A79" w:rsidRDefault="007E4A79" w:rsidP="007E4A79">
      <w:pPr>
        <w:jc w:val="both"/>
        <w:rPr>
          <w:sz w:val="20"/>
          <w:szCs w:val="20"/>
        </w:rPr>
      </w:pPr>
      <w:r w:rsidRPr="007E4A79">
        <w:rPr>
          <w:sz w:val="20"/>
          <w:szCs w:val="20"/>
          <w:vertAlign w:val="superscript"/>
        </w:rPr>
        <w:t>1</w:t>
      </w:r>
      <w:r>
        <w:rPr>
          <w:sz w:val="20"/>
          <w:szCs w:val="20"/>
          <w:vertAlign w:val="superscript"/>
        </w:rPr>
        <w:t>7</w:t>
      </w:r>
      <w:r w:rsidRPr="007E4A79">
        <w:rPr>
          <w:sz w:val="20"/>
          <w:szCs w:val="20"/>
        </w:rPr>
        <w:t xml:space="preserve"> </w:t>
      </w:r>
      <w:r w:rsidRPr="007E4A79">
        <w:rPr>
          <w:sz w:val="20"/>
          <w:szCs w:val="20"/>
        </w:rPr>
        <w:t xml:space="preserve">NHS </w:t>
      </w:r>
      <w:r>
        <w:rPr>
          <w:sz w:val="20"/>
          <w:szCs w:val="20"/>
        </w:rPr>
        <w:t>Lothian</w:t>
      </w:r>
      <w:r w:rsidRPr="007E4A79">
        <w:rPr>
          <w:sz w:val="20"/>
          <w:szCs w:val="20"/>
        </w:rPr>
        <w:t xml:space="preserve">, </w:t>
      </w:r>
      <w:r>
        <w:rPr>
          <w:sz w:val="20"/>
          <w:szCs w:val="20"/>
        </w:rPr>
        <w:t>Edinburgh</w:t>
      </w:r>
      <w:r w:rsidRPr="007E4A79">
        <w:rPr>
          <w:sz w:val="20"/>
          <w:szCs w:val="20"/>
        </w:rPr>
        <w:t>, UK</w:t>
      </w:r>
    </w:p>
    <w:p w14:paraId="6628F16B" w14:textId="77777777" w:rsidR="00294273" w:rsidRDefault="00294273" w:rsidP="00E93124">
      <w:pPr>
        <w:jc w:val="both"/>
        <w:rPr>
          <w:sz w:val="20"/>
          <w:szCs w:val="20"/>
        </w:rPr>
      </w:pPr>
    </w:p>
    <w:p w14:paraId="41D6D918" w14:textId="77777777" w:rsidR="007E4A79" w:rsidRDefault="007E4A79" w:rsidP="00D32F99">
      <w:pPr>
        <w:jc w:val="both"/>
        <w:rPr>
          <w:sz w:val="20"/>
          <w:szCs w:val="20"/>
          <w:vertAlign w:val="superscript"/>
        </w:rPr>
      </w:pPr>
    </w:p>
    <w:p w14:paraId="406C82B9" w14:textId="4825FA4E" w:rsidR="00477822" w:rsidRDefault="00477822" w:rsidP="00477822">
      <w:pPr>
        <w:spacing w:line="480" w:lineRule="auto"/>
        <w:rPr>
          <w:b/>
          <w:sz w:val="32"/>
          <w:szCs w:val="32"/>
        </w:rPr>
      </w:pPr>
      <w:r>
        <w:rPr>
          <w:b/>
          <w:sz w:val="32"/>
          <w:szCs w:val="32"/>
        </w:rPr>
        <w:lastRenderedPageBreak/>
        <w:t>Supplemental Materials</w:t>
      </w:r>
    </w:p>
    <w:p w14:paraId="07112412" w14:textId="249AA189" w:rsidR="00477822" w:rsidRDefault="00477822" w:rsidP="00477822">
      <w:pPr>
        <w:spacing w:line="480" w:lineRule="auto"/>
        <w:rPr>
          <w:color w:val="000000"/>
          <w:lang w:val="en-US"/>
        </w:rPr>
      </w:pPr>
      <w:r>
        <w:rPr>
          <w:color w:val="000000"/>
          <w:lang w:val="en-US"/>
        </w:rPr>
        <w:t>List of investigators</w:t>
      </w:r>
    </w:p>
    <w:p w14:paraId="5B33D671" w14:textId="55A67905" w:rsidR="00477822" w:rsidRDefault="00477822" w:rsidP="00477822">
      <w:pPr>
        <w:spacing w:line="480" w:lineRule="auto"/>
        <w:rPr>
          <w:color w:val="000000"/>
          <w:lang w:val="en-US"/>
        </w:rPr>
      </w:pPr>
      <w:r>
        <w:rPr>
          <w:color w:val="000000"/>
          <w:lang w:val="en-US"/>
        </w:rPr>
        <w:t>Expanded methods</w:t>
      </w:r>
    </w:p>
    <w:p w14:paraId="3A037F7D" w14:textId="1314688D" w:rsidR="00181F57" w:rsidRPr="00DE4F77" w:rsidRDefault="00477822" w:rsidP="0057356B">
      <w:pPr>
        <w:spacing w:line="480" w:lineRule="auto"/>
        <w:rPr>
          <w:b/>
          <w:sz w:val="32"/>
        </w:rPr>
      </w:pPr>
      <w:r>
        <w:rPr>
          <w:color w:val="000000"/>
          <w:lang w:val="en-US"/>
        </w:rPr>
        <w:t xml:space="preserve">Tables </w:t>
      </w:r>
      <w:r w:rsidR="00F61103">
        <w:rPr>
          <w:color w:val="000000"/>
          <w:lang w:val="en-US"/>
        </w:rPr>
        <w:t>I-IV</w:t>
      </w:r>
      <w:r w:rsidR="0032623B">
        <w:rPr>
          <w:color w:val="000000"/>
          <w:lang w:val="en-US"/>
        </w:rPr>
        <w:t xml:space="preserve"> </w:t>
      </w:r>
      <w:r w:rsidR="0006196D">
        <w:rPr>
          <w:color w:val="000000"/>
          <w:lang w:val="en-US"/>
        </w:rPr>
        <w:t xml:space="preserve">and </w:t>
      </w:r>
      <w:r w:rsidR="0015059B">
        <w:rPr>
          <w:color w:val="000000"/>
          <w:lang w:val="en-US"/>
        </w:rPr>
        <w:t>Figure</w:t>
      </w:r>
      <w:r w:rsidR="00F61103">
        <w:rPr>
          <w:color w:val="000000"/>
          <w:lang w:val="en-US"/>
        </w:rPr>
        <w:t>s</w:t>
      </w:r>
      <w:r w:rsidR="0015059B">
        <w:rPr>
          <w:color w:val="000000"/>
          <w:lang w:val="en-US"/>
        </w:rPr>
        <w:t xml:space="preserve"> </w:t>
      </w:r>
      <w:r w:rsidR="00F61103">
        <w:rPr>
          <w:color w:val="000000"/>
          <w:lang w:val="en-US"/>
        </w:rPr>
        <w:t>I-II</w:t>
      </w:r>
      <w:r w:rsidR="00C56171" w:rsidRPr="00DE4F77">
        <w:rPr>
          <w:b/>
          <w:sz w:val="32"/>
        </w:rPr>
        <w:br w:type="page"/>
      </w:r>
    </w:p>
    <w:p w14:paraId="333EADD6" w14:textId="77777777" w:rsidR="002C3B0C" w:rsidRPr="007B75B9" w:rsidRDefault="00DD026C" w:rsidP="0057356B">
      <w:pPr>
        <w:pStyle w:val="NormalJustified"/>
        <w:jc w:val="left"/>
        <w:rPr>
          <w:b/>
          <w:sz w:val="32"/>
        </w:rPr>
      </w:pPr>
      <w:r w:rsidRPr="00DE4F77">
        <w:rPr>
          <w:b/>
          <w:sz w:val="32"/>
        </w:rPr>
        <w:lastRenderedPageBreak/>
        <w:t xml:space="preserve"> </w:t>
      </w:r>
      <w:r w:rsidR="00C56171" w:rsidRPr="00DE4F77">
        <w:rPr>
          <w:b/>
          <w:sz w:val="32"/>
        </w:rPr>
        <w:t>References</w:t>
      </w:r>
    </w:p>
    <w:p w14:paraId="069FB2E7" w14:textId="6265E36C" w:rsidR="002C3B0C" w:rsidRPr="0057356B" w:rsidRDefault="002C3B0C" w:rsidP="0057356B">
      <w:pPr>
        <w:pStyle w:val="EndNoteBibliography"/>
        <w:numPr>
          <w:ilvl w:val="0"/>
          <w:numId w:val="43"/>
        </w:numPr>
        <w:spacing w:line="480" w:lineRule="auto"/>
        <w:rPr>
          <w:noProof/>
        </w:rPr>
      </w:pPr>
      <w:r w:rsidRPr="0057356B">
        <w:rPr>
          <w:noProof/>
        </w:rPr>
        <w:t>Hollander JE, Than M, Mueller C. State-of-the-</w:t>
      </w:r>
      <w:r w:rsidR="00BB2792" w:rsidRPr="0057356B">
        <w:rPr>
          <w:noProof/>
        </w:rPr>
        <w:t>a</w:t>
      </w:r>
      <w:r w:rsidRPr="0057356B">
        <w:rPr>
          <w:noProof/>
        </w:rPr>
        <w:t xml:space="preserve">rt </w:t>
      </w:r>
      <w:r w:rsidR="00BB2792" w:rsidRPr="0057356B">
        <w:rPr>
          <w:noProof/>
        </w:rPr>
        <w:t>e</w:t>
      </w:r>
      <w:r w:rsidRPr="0057356B">
        <w:rPr>
          <w:noProof/>
        </w:rPr>
        <w:t xml:space="preserve">valuation of </w:t>
      </w:r>
      <w:r w:rsidR="00BB2792" w:rsidRPr="0057356B">
        <w:rPr>
          <w:noProof/>
        </w:rPr>
        <w:t>e</w:t>
      </w:r>
      <w:r w:rsidRPr="0057356B">
        <w:rPr>
          <w:noProof/>
        </w:rPr>
        <w:t xml:space="preserve">mergency </w:t>
      </w:r>
      <w:r w:rsidR="00BB2792" w:rsidRPr="0057356B">
        <w:rPr>
          <w:noProof/>
        </w:rPr>
        <w:t>d</w:t>
      </w:r>
      <w:r w:rsidRPr="0057356B">
        <w:rPr>
          <w:noProof/>
        </w:rPr>
        <w:t xml:space="preserve">epartment </w:t>
      </w:r>
      <w:r w:rsidR="00BB2792" w:rsidRPr="0057356B">
        <w:rPr>
          <w:noProof/>
        </w:rPr>
        <w:t>p</w:t>
      </w:r>
      <w:r w:rsidRPr="0057356B">
        <w:rPr>
          <w:noProof/>
        </w:rPr>
        <w:t xml:space="preserve">atients </w:t>
      </w:r>
      <w:r w:rsidR="00BB2792" w:rsidRPr="0057356B">
        <w:rPr>
          <w:noProof/>
        </w:rPr>
        <w:t>p</w:t>
      </w:r>
      <w:r w:rsidRPr="0057356B">
        <w:rPr>
          <w:noProof/>
        </w:rPr>
        <w:t xml:space="preserve">resenting </w:t>
      </w:r>
      <w:r w:rsidR="00BB2792" w:rsidRPr="0057356B">
        <w:rPr>
          <w:noProof/>
        </w:rPr>
        <w:t>w</w:t>
      </w:r>
      <w:r w:rsidRPr="0057356B">
        <w:rPr>
          <w:noProof/>
        </w:rPr>
        <w:t xml:space="preserve">ith </w:t>
      </w:r>
      <w:r w:rsidR="00BB2792" w:rsidRPr="0057356B">
        <w:rPr>
          <w:noProof/>
        </w:rPr>
        <w:t>p</w:t>
      </w:r>
      <w:r w:rsidRPr="0057356B">
        <w:rPr>
          <w:noProof/>
        </w:rPr>
        <w:t xml:space="preserve">otential </w:t>
      </w:r>
      <w:r w:rsidR="00BB2792" w:rsidRPr="0057356B">
        <w:rPr>
          <w:noProof/>
        </w:rPr>
        <w:t>a</w:t>
      </w:r>
      <w:r w:rsidRPr="0057356B">
        <w:rPr>
          <w:noProof/>
        </w:rPr>
        <w:t xml:space="preserve">cute </w:t>
      </w:r>
      <w:r w:rsidR="00BB2792" w:rsidRPr="0057356B">
        <w:rPr>
          <w:noProof/>
        </w:rPr>
        <w:t>c</w:t>
      </w:r>
      <w:r w:rsidRPr="0057356B">
        <w:rPr>
          <w:noProof/>
        </w:rPr>
        <w:t xml:space="preserve">oronary </w:t>
      </w:r>
      <w:r w:rsidR="00BB2792" w:rsidRPr="0057356B">
        <w:rPr>
          <w:noProof/>
        </w:rPr>
        <w:t>s</w:t>
      </w:r>
      <w:r w:rsidRPr="0057356B">
        <w:rPr>
          <w:noProof/>
        </w:rPr>
        <w:t xml:space="preserve">yndromes. </w:t>
      </w:r>
      <w:r w:rsidRPr="0057356B">
        <w:rPr>
          <w:i/>
          <w:iCs/>
          <w:noProof/>
        </w:rPr>
        <w:t>Circulation</w:t>
      </w:r>
      <w:r w:rsidR="00BB2792" w:rsidRPr="0057356B">
        <w:rPr>
          <w:noProof/>
        </w:rPr>
        <w:t xml:space="preserve"> </w:t>
      </w:r>
      <w:r w:rsidRPr="0057356B">
        <w:rPr>
          <w:noProof/>
        </w:rPr>
        <w:t>2016;</w:t>
      </w:r>
      <w:r w:rsidR="00A26A03" w:rsidRPr="0057356B">
        <w:rPr>
          <w:noProof/>
        </w:rPr>
        <w:t xml:space="preserve"> </w:t>
      </w:r>
      <w:r w:rsidRPr="0057356B">
        <w:rPr>
          <w:noProof/>
        </w:rPr>
        <w:t>134:</w:t>
      </w:r>
      <w:r w:rsidR="00A26A03" w:rsidRPr="0057356B">
        <w:rPr>
          <w:noProof/>
        </w:rPr>
        <w:t xml:space="preserve"> </w:t>
      </w:r>
      <w:r w:rsidRPr="0057356B">
        <w:rPr>
          <w:noProof/>
        </w:rPr>
        <w:t>547</w:t>
      </w:r>
      <w:r w:rsidR="00066D3E" w:rsidRPr="0057356B">
        <w:rPr>
          <w:noProof/>
        </w:rPr>
        <w:t>–</w:t>
      </w:r>
      <w:r w:rsidR="0067290E" w:rsidRPr="0057356B">
        <w:rPr>
          <w:noProof/>
        </w:rPr>
        <w:t>5</w:t>
      </w:r>
      <w:r w:rsidRPr="0057356B">
        <w:rPr>
          <w:noProof/>
        </w:rPr>
        <w:t>64.</w:t>
      </w:r>
    </w:p>
    <w:p w14:paraId="379EF853" w14:textId="79D285B1" w:rsidR="00966BB0" w:rsidRPr="0057356B" w:rsidRDefault="00055768" w:rsidP="0057356B">
      <w:pPr>
        <w:pStyle w:val="EndNoteBibliography"/>
        <w:numPr>
          <w:ilvl w:val="0"/>
          <w:numId w:val="43"/>
        </w:numPr>
        <w:spacing w:line="480" w:lineRule="auto"/>
        <w:rPr>
          <w:noProof/>
        </w:rPr>
      </w:pPr>
      <w:r w:rsidRPr="0057356B">
        <w:rPr>
          <w:noProof/>
        </w:rPr>
        <w:t xml:space="preserve">Goodacre S, Cross E, Arnold J, Angelini K, Capewell S, Nicholl J. The health care burden of acute chest pain. </w:t>
      </w:r>
      <w:r w:rsidRPr="0057356B">
        <w:rPr>
          <w:i/>
          <w:noProof/>
        </w:rPr>
        <w:t>Heart</w:t>
      </w:r>
      <w:r w:rsidRPr="0057356B">
        <w:rPr>
          <w:noProof/>
        </w:rPr>
        <w:t xml:space="preserve"> 2005;</w:t>
      </w:r>
      <w:r w:rsidR="00A26A03" w:rsidRPr="0057356B">
        <w:rPr>
          <w:noProof/>
        </w:rPr>
        <w:t xml:space="preserve"> </w:t>
      </w:r>
      <w:r w:rsidRPr="0057356B">
        <w:rPr>
          <w:noProof/>
        </w:rPr>
        <w:t>91:</w:t>
      </w:r>
      <w:r w:rsidR="00A26A03" w:rsidRPr="0057356B">
        <w:rPr>
          <w:noProof/>
        </w:rPr>
        <w:t xml:space="preserve"> </w:t>
      </w:r>
      <w:r w:rsidRPr="0057356B">
        <w:rPr>
          <w:noProof/>
        </w:rPr>
        <w:t>229</w:t>
      </w:r>
      <w:r w:rsidR="00066D3E" w:rsidRPr="0057356B">
        <w:rPr>
          <w:noProof/>
        </w:rPr>
        <w:t>–</w:t>
      </w:r>
      <w:r w:rsidR="00966BB0" w:rsidRPr="0057356B">
        <w:rPr>
          <w:noProof/>
        </w:rPr>
        <w:t>2</w:t>
      </w:r>
      <w:r w:rsidRPr="0057356B">
        <w:rPr>
          <w:noProof/>
        </w:rPr>
        <w:t>30.</w:t>
      </w:r>
    </w:p>
    <w:p w14:paraId="68A948AA" w14:textId="79FC05C6" w:rsidR="00966BB0" w:rsidRPr="0057356B" w:rsidRDefault="00966BB0" w:rsidP="0057356B">
      <w:pPr>
        <w:pStyle w:val="EndNoteBibliography"/>
        <w:numPr>
          <w:ilvl w:val="0"/>
          <w:numId w:val="43"/>
        </w:numPr>
        <w:spacing w:line="480" w:lineRule="auto"/>
        <w:rPr>
          <w:noProof/>
        </w:rPr>
      </w:pPr>
      <w:r w:rsidRPr="0057356B">
        <w:rPr>
          <w:noProof/>
        </w:rPr>
        <w:t xml:space="preserve">Anderson JL, Morrow DA. Acute </w:t>
      </w:r>
      <w:r w:rsidR="00A42743" w:rsidRPr="0057356B">
        <w:rPr>
          <w:noProof/>
        </w:rPr>
        <w:t>m</w:t>
      </w:r>
      <w:r w:rsidRPr="0057356B">
        <w:rPr>
          <w:noProof/>
        </w:rPr>
        <w:t xml:space="preserve">yocardial </w:t>
      </w:r>
      <w:r w:rsidR="00A42743" w:rsidRPr="0057356B">
        <w:rPr>
          <w:noProof/>
        </w:rPr>
        <w:t>i</w:t>
      </w:r>
      <w:r w:rsidRPr="0057356B">
        <w:rPr>
          <w:noProof/>
        </w:rPr>
        <w:t xml:space="preserve">nfarction. </w:t>
      </w:r>
      <w:r w:rsidRPr="0057356B">
        <w:rPr>
          <w:i/>
          <w:iCs/>
          <w:noProof/>
        </w:rPr>
        <w:t>N Engl J Med</w:t>
      </w:r>
      <w:r w:rsidR="00066D3E" w:rsidRPr="0057356B">
        <w:rPr>
          <w:noProof/>
        </w:rPr>
        <w:t xml:space="preserve"> </w:t>
      </w:r>
      <w:r w:rsidRPr="0057356B">
        <w:rPr>
          <w:noProof/>
        </w:rPr>
        <w:t>2017;</w:t>
      </w:r>
      <w:r w:rsidR="00A26A03" w:rsidRPr="0057356B">
        <w:rPr>
          <w:noProof/>
        </w:rPr>
        <w:t xml:space="preserve"> </w:t>
      </w:r>
      <w:r w:rsidRPr="0057356B">
        <w:rPr>
          <w:noProof/>
        </w:rPr>
        <w:t>376:</w:t>
      </w:r>
      <w:r w:rsidR="00A26A03" w:rsidRPr="0057356B">
        <w:rPr>
          <w:noProof/>
        </w:rPr>
        <w:t xml:space="preserve"> </w:t>
      </w:r>
      <w:r w:rsidRPr="0057356B">
        <w:rPr>
          <w:noProof/>
        </w:rPr>
        <w:t>2053</w:t>
      </w:r>
      <w:r w:rsidR="00066D3E" w:rsidRPr="0057356B">
        <w:rPr>
          <w:noProof/>
        </w:rPr>
        <w:t>–</w:t>
      </w:r>
      <w:r w:rsidRPr="0057356B">
        <w:rPr>
          <w:noProof/>
        </w:rPr>
        <w:t>2064</w:t>
      </w:r>
    </w:p>
    <w:p w14:paraId="41558AA8" w14:textId="643CF896" w:rsidR="00574C7E" w:rsidRPr="0057356B" w:rsidRDefault="00574C7E" w:rsidP="0057356B">
      <w:pPr>
        <w:pStyle w:val="ListParagraph"/>
        <w:numPr>
          <w:ilvl w:val="0"/>
          <w:numId w:val="43"/>
        </w:numPr>
        <w:spacing w:before="160" w:line="480" w:lineRule="auto"/>
        <w:rPr>
          <w:noProof/>
        </w:rPr>
      </w:pPr>
      <w:r w:rsidRPr="0057356B">
        <w:rPr>
          <w:noProof/>
        </w:rPr>
        <w:t xml:space="preserve">Thygesen K, Alpert JS, Jaffe AS, </w:t>
      </w:r>
      <w:r w:rsidR="00A26A03" w:rsidRPr="0057356B">
        <w:rPr>
          <w:noProof/>
        </w:rPr>
        <w:t>Simoons ML, Chaitman BR, White HD</w:t>
      </w:r>
      <w:r w:rsidR="00624A79" w:rsidRPr="00624A79">
        <w:rPr>
          <w:noProof/>
        </w:rPr>
        <w:t xml:space="preserve">, Joint ESC/ACCF/AHA/WHF Task Force for the Universal Definition of Myocardial Infarction; </w:t>
      </w:r>
      <w:r w:rsidRPr="0057356B">
        <w:rPr>
          <w:i/>
          <w:noProof/>
        </w:rPr>
        <w:t>et al</w:t>
      </w:r>
      <w:r w:rsidRPr="0057356B">
        <w:rPr>
          <w:noProof/>
        </w:rPr>
        <w:t xml:space="preserve">. Third universal definition of myocardial infarction. </w:t>
      </w:r>
      <w:r w:rsidRPr="0057356B">
        <w:rPr>
          <w:i/>
          <w:noProof/>
        </w:rPr>
        <w:t>Circulation</w:t>
      </w:r>
      <w:r w:rsidRPr="0057356B">
        <w:rPr>
          <w:noProof/>
        </w:rPr>
        <w:t xml:space="preserve"> 2012; 126: 2020-</w:t>
      </w:r>
      <w:r w:rsidR="00B10FEF">
        <w:rPr>
          <w:noProof/>
        </w:rPr>
        <w:t>20</w:t>
      </w:r>
      <w:r w:rsidRPr="0057356B">
        <w:rPr>
          <w:noProof/>
        </w:rPr>
        <w:t>35.</w:t>
      </w:r>
    </w:p>
    <w:p w14:paraId="09B53443" w14:textId="283E37D9" w:rsidR="00846D01" w:rsidRPr="0057356B" w:rsidRDefault="00846D01" w:rsidP="0057356B">
      <w:pPr>
        <w:pStyle w:val="ListParagraph"/>
        <w:numPr>
          <w:ilvl w:val="0"/>
          <w:numId w:val="43"/>
        </w:numPr>
        <w:spacing w:before="160" w:line="480" w:lineRule="auto"/>
        <w:rPr>
          <w:noProof/>
        </w:rPr>
      </w:pPr>
      <w:r w:rsidRPr="0057356B">
        <w:rPr>
          <w:noProof/>
        </w:rPr>
        <w:t xml:space="preserve">Apple FS, Collinson PO. Analytical characteristics of high-sensitivity cardiac troponin assays. </w:t>
      </w:r>
      <w:r w:rsidRPr="0057356B">
        <w:rPr>
          <w:i/>
          <w:noProof/>
        </w:rPr>
        <w:t xml:space="preserve">Clin Chem </w:t>
      </w:r>
      <w:r w:rsidRPr="0057356B">
        <w:rPr>
          <w:noProof/>
        </w:rPr>
        <w:t>2012; 58: 54</w:t>
      </w:r>
      <w:r w:rsidR="00A26A03" w:rsidRPr="0057356B">
        <w:rPr>
          <w:noProof/>
        </w:rPr>
        <w:t>–</w:t>
      </w:r>
      <w:r w:rsidRPr="0057356B">
        <w:rPr>
          <w:noProof/>
        </w:rPr>
        <w:t>61.</w:t>
      </w:r>
    </w:p>
    <w:p w14:paraId="07A2B108" w14:textId="2A5866FF" w:rsidR="00966BB0" w:rsidRPr="00624A79" w:rsidRDefault="00A42743" w:rsidP="00624A79">
      <w:pPr>
        <w:pStyle w:val="ListParagraph"/>
        <w:numPr>
          <w:ilvl w:val="0"/>
          <w:numId w:val="43"/>
        </w:numPr>
        <w:spacing w:before="160" w:line="480" w:lineRule="auto"/>
        <w:rPr>
          <w:rFonts w:eastAsiaTheme="minorHAnsi"/>
        </w:rPr>
      </w:pPr>
      <w:r w:rsidRPr="0057356B">
        <w:rPr>
          <w:rFonts w:eastAsiaTheme="minorHAnsi"/>
        </w:rPr>
        <w:t>Body R, Carley S, McDowell G,</w:t>
      </w:r>
      <w:r w:rsidR="00A26A03" w:rsidRPr="0057356B">
        <w:rPr>
          <w:rFonts w:ascii="Courier New" w:eastAsia="Times New Roman" w:hAnsi="Courier New" w:cs="Courier New"/>
          <w:color w:val="000000"/>
          <w:sz w:val="20"/>
          <w:szCs w:val="20"/>
        </w:rPr>
        <w:t xml:space="preserve"> </w:t>
      </w:r>
      <w:r w:rsidR="00A26A03" w:rsidRPr="0057356B">
        <w:rPr>
          <w:rFonts w:eastAsiaTheme="minorHAnsi"/>
        </w:rPr>
        <w:t xml:space="preserve">Jaffe AS, France M, Cruickshank K, </w:t>
      </w:r>
      <w:r w:rsidR="00624A79" w:rsidRPr="00624A79">
        <w:rPr>
          <w:rFonts w:eastAsiaTheme="minorHAnsi"/>
        </w:rPr>
        <w:t>Wibberley</w:t>
      </w:r>
      <w:r w:rsidR="00624A79">
        <w:rPr>
          <w:rFonts w:eastAsiaTheme="minorHAnsi"/>
        </w:rPr>
        <w:t xml:space="preserve"> C</w:t>
      </w:r>
      <w:r w:rsidR="00624A79" w:rsidRPr="00624A79">
        <w:rPr>
          <w:rFonts w:eastAsiaTheme="minorHAnsi"/>
        </w:rPr>
        <w:t>, Nuttall</w:t>
      </w:r>
      <w:r w:rsidR="00624A79">
        <w:rPr>
          <w:rFonts w:eastAsiaTheme="minorHAnsi"/>
        </w:rPr>
        <w:t xml:space="preserve"> M</w:t>
      </w:r>
      <w:r w:rsidR="00624A79" w:rsidRPr="00624A79">
        <w:rPr>
          <w:rFonts w:eastAsiaTheme="minorHAnsi"/>
        </w:rPr>
        <w:t>, Mackway-Jones</w:t>
      </w:r>
      <w:r w:rsidR="00624A79">
        <w:rPr>
          <w:rFonts w:eastAsiaTheme="minorHAnsi"/>
        </w:rPr>
        <w:t xml:space="preserve"> K</w:t>
      </w:r>
      <w:r w:rsidRPr="00624A79">
        <w:rPr>
          <w:rFonts w:eastAsiaTheme="minorHAnsi"/>
        </w:rPr>
        <w:t xml:space="preserve">. Rapid exclusion of acute myocardial infarction in patients with undetectable troponin using a high-sensitivity assay. </w:t>
      </w:r>
      <w:r w:rsidRPr="00624A79">
        <w:rPr>
          <w:rFonts w:eastAsiaTheme="minorHAnsi"/>
          <w:i/>
          <w:iCs/>
        </w:rPr>
        <w:t>J Am Coll Cardiol</w:t>
      </w:r>
      <w:r w:rsidRPr="00624A79">
        <w:rPr>
          <w:rFonts w:eastAsiaTheme="minorHAnsi"/>
        </w:rPr>
        <w:t xml:space="preserve"> 2011;</w:t>
      </w:r>
      <w:r w:rsidR="00A26A03" w:rsidRPr="00624A79">
        <w:rPr>
          <w:rFonts w:eastAsiaTheme="minorHAnsi"/>
        </w:rPr>
        <w:t xml:space="preserve"> </w:t>
      </w:r>
      <w:r w:rsidRPr="00624A79">
        <w:rPr>
          <w:rFonts w:eastAsiaTheme="minorHAnsi"/>
        </w:rPr>
        <w:t>58:</w:t>
      </w:r>
      <w:r w:rsidR="00A26A03" w:rsidRPr="00624A79">
        <w:rPr>
          <w:rFonts w:eastAsiaTheme="minorHAnsi"/>
        </w:rPr>
        <w:t xml:space="preserve"> </w:t>
      </w:r>
      <w:r w:rsidRPr="00624A79">
        <w:rPr>
          <w:rFonts w:eastAsiaTheme="minorHAnsi"/>
        </w:rPr>
        <w:t>1332</w:t>
      </w:r>
      <w:r w:rsidR="00A26A03" w:rsidRPr="00624A79">
        <w:rPr>
          <w:rFonts w:eastAsiaTheme="minorHAnsi"/>
        </w:rPr>
        <w:t>–</w:t>
      </w:r>
      <w:r w:rsidRPr="00624A79">
        <w:rPr>
          <w:rFonts w:eastAsiaTheme="minorHAnsi"/>
        </w:rPr>
        <w:t>1339.</w:t>
      </w:r>
    </w:p>
    <w:p w14:paraId="076E2659" w14:textId="7AA565C6" w:rsidR="00A42743" w:rsidRPr="0057356B" w:rsidRDefault="00A42743" w:rsidP="0057356B">
      <w:pPr>
        <w:pStyle w:val="ListParagraph"/>
        <w:numPr>
          <w:ilvl w:val="0"/>
          <w:numId w:val="43"/>
        </w:numPr>
        <w:spacing w:before="160" w:line="480" w:lineRule="auto"/>
        <w:rPr>
          <w:rFonts w:cs="Arial"/>
          <w:i/>
        </w:rPr>
      </w:pPr>
      <w:r w:rsidRPr="0057356B">
        <w:rPr>
          <w:rFonts w:eastAsiaTheme="minorHAnsi"/>
        </w:rPr>
        <w:t xml:space="preserve">Body R, Mueller C, Giannitsis E, </w:t>
      </w:r>
      <w:r w:rsidR="00A26A03" w:rsidRPr="0057356B">
        <w:rPr>
          <w:rFonts w:eastAsiaTheme="minorHAnsi"/>
        </w:rPr>
        <w:t>Christ M, Ordonez-Llanos J, de Filippi CR,</w:t>
      </w:r>
      <w:r w:rsidR="00A26A03" w:rsidRPr="0057356B" w:rsidDel="00A26A03">
        <w:rPr>
          <w:rFonts w:eastAsiaTheme="minorHAnsi"/>
        </w:rPr>
        <w:t xml:space="preserve"> </w:t>
      </w:r>
      <w:r w:rsidR="00624A79" w:rsidRPr="00624A79">
        <w:rPr>
          <w:rFonts w:eastAsiaTheme="minorHAnsi"/>
        </w:rPr>
        <w:t>Nowak R, Panteghini M, Jernberg T, Plebani M,</w:t>
      </w:r>
      <w:r w:rsidR="00624A79" w:rsidRPr="00624A79">
        <w:rPr>
          <w:rFonts w:eastAsiaTheme="minorHAnsi"/>
        </w:rPr>
        <w:t xml:space="preserve"> </w:t>
      </w:r>
      <w:r w:rsidR="00A26A03" w:rsidRPr="0057356B">
        <w:rPr>
          <w:rFonts w:eastAsiaTheme="minorHAnsi"/>
          <w:i/>
          <w:iCs/>
        </w:rPr>
        <w:t>et al</w:t>
      </w:r>
      <w:r w:rsidR="00624A79">
        <w:rPr>
          <w:rFonts w:eastAsiaTheme="minorHAnsi"/>
          <w:i/>
          <w:iCs/>
        </w:rPr>
        <w:t>.</w:t>
      </w:r>
      <w:r w:rsidR="00A26A03" w:rsidRPr="0057356B">
        <w:rPr>
          <w:rFonts w:eastAsiaTheme="minorHAnsi"/>
          <w:i/>
          <w:iCs/>
        </w:rPr>
        <w:t xml:space="preserve"> </w:t>
      </w:r>
      <w:r w:rsidR="00A26A03" w:rsidRPr="0057356B">
        <w:rPr>
          <w:rFonts w:eastAsiaTheme="minorHAnsi"/>
        </w:rPr>
        <w:t>on behalf of the TRAPID-AMI Investigators</w:t>
      </w:r>
      <w:r w:rsidRPr="0057356B">
        <w:rPr>
          <w:rFonts w:eastAsiaTheme="minorHAnsi"/>
        </w:rPr>
        <w:t xml:space="preserve">. The use of very low concentrations of high-sensitivity troponin T to rule out acute myocardial infarction using a single blood test. </w:t>
      </w:r>
      <w:r w:rsidRPr="0057356B">
        <w:rPr>
          <w:rFonts w:eastAsiaTheme="minorHAnsi"/>
          <w:i/>
          <w:iCs/>
        </w:rPr>
        <w:t>Acad Emerg Med</w:t>
      </w:r>
      <w:r w:rsidRPr="0057356B">
        <w:rPr>
          <w:rFonts w:eastAsiaTheme="minorHAnsi"/>
        </w:rPr>
        <w:t xml:space="preserve"> 2016;</w:t>
      </w:r>
      <w:r w:rsidR="00A26A03" w:rsidRPr="0057356B">
        <w:rPr>
          <w:rFonts w:eastAsiaTheme="minorHAnsi"/>
        </w:rPr>
        <w:t xml:space="preserve"> </w:t>
      </w:r>
      <w:r w:rsidRPr="0057356B">
        <w:rPr>
          <w:rFonts w:eastAsiaTheme="minorHAnsi"/>
        </w:rPr>
        <w:t>23:</w:t>
      </w:r>
      <w:r w:rsidR="00A26A03" w:rsidRPr="0057356B">
        <w:rPr>
          <w:rFonts w:eastAsiaTheme="minorHAnsi"/>
        </w:rPr>
        <w:t xml:space="preserve"> </w:t>
      </w:r>
      <w:r w:rsidRPr="0057356B">
        <w:rPr>
          <w:rFonts w:eastAsiaTheme="minorHAnsi"/>
        </w:rPr>
        <w:t>1004–1013.</w:t>
      </w:r>
    </w:p>
    <w:p w14:paraId="27C1DEC7" w14:textId="6D35A039" w:rsidR="00A42743" w:rsidRPr="00624A79" w:rsidRDefault="00966BB0" w:rsidP="00624A79">
      <w:pPr>
        <w:pStyle w:val="ListParagraph"/>
        <w:numPr>
          <w:ilvl w:val="0"/>
          <w:numId w:val="43"/>
        </w:numPr>
        <w:spacing w:before="160" w:line="480" w:lineRule="auto"/>
        <w:rPr>
          <w:rFonts w:cs="Arial"/>
          <w:i/>
        </w:rPr>
      </w:pPr>
      <w:r w:rsidRPr="0057356B">
        <w:rPr>
          <w:rFonts w:cs="Arial"/>
        </w:rPr>
        <w:lastRenderedPageBreak/>
        <w:t>Shah ASV, Anand A, Sandoval Y,</w:t>
      </w:r>
      <w:r w:rsidR="00A26A03" w:rsidRPr="0057356B">
        <w:rPr>
          <w:rFonts w:ascii="Courier New" w:eastAsia="Times New Roman" w:hAnsi="Courier New" w:cs="Courier New"/>
          <w:color w:val="000000"/>
          <w:sz w:val="20"/>
          <w:szCs w:val="20"/>
        </w:rPr>
        <w:t xml:space="preserve"> </w:t>
      </w:r>
      <w:r w:rsidR="00A26A03" w:rsidRPr="0057356B">
        <w:rPr>
          <w:rFonts w:cs="Arial"/>
        </w:rPr>
        <w:t>Lee KK, Smith SW, Adamson PD,</w:t>
      </w:r>
      <w:r w:rsidR="00624A79" w:rsidRPr="00624A79">
        <w:t xml:space="preserve"> </w:t>
      </w:r>
      <w:r w:rsidR="00624A79" w:rsidRPr="00624A79">
        <w:rPr>
          <w:rFonts w:cs="Arial"/>
        </w:rPr>
        <w:t xml:space="preserve">Chapman  </w:t>
      </w:r>
      <w:r w:rsidR="00624A79">
        <w:rPr>
          <w:rFonts w:cs="Arial"/>
        </w:rPr>
        <w:t>AR</w:t>
      </w:r>
      <w:r w:rsidR="00624A79" w:rsidRPr="00624A79">
        <w:rPr>
          <w:rFonts w:cs="Arial"/>
        </w:rPr>
        <w:t xml:space="preserve">, Langdon </w:t>
      </w:r>
      <w:r w:rsidR="00624A79">
        <w:rPr>
          <w:rFonts w:cs="Arial"/>
        </w:rPr>
        <w:t>T</w:t>
      </w:r>
      <w:r w:rsidR="00624A79" w:rsidRPr="00624A79">
        <w:rPr>
          <w:rFonts w:cs="Arial"/>
        </w:rPr>
        <w:t xml:space="preserve">, Sandeman </w:t>
      </w:r>
      <w:r w:rsidR="00624A79">
        <w:rPr>
          <w:rFonts w:cs="Arial"/>
        </w:rPr>
        <w:t>D</w:t>
      </w:r>
      <w:r w:rsidR="00624A79" w:rsidRPr="00624A79">
        <w:rPr>
          <w:rFonts w:cs="Arial"/>
        </w:rPr>
        <w:t>, Vaswani</w:t>
      </w:r>
      <w:r w:rsidR="00624A79">
        <w:rPr>
          <w:rFonts w:cs="Arial"/>
        </w:rPr>
        <w:t xml:space="preserve"> A, </w:t>
      </w:r>
      <w:r w:rsidRPr="00624A79">
        <w:rPr>
          <w:rFonts w:cs="Arial"/>
          <w:i/>
        </w:rPr>
        <w:t>et al.</w:t>
      </w:r>
      <w:r w:rsidRPr="00624A79">
        <w:rPr>
          <w:rFonts w:cs="Arial"/>
        </w:rPr>
        <w:t xml:space="preserve"> on behalf of the High-STEACS Investigators. </w:t>
      </w:r>
      <w:r w:rsidRPr="00624A79">
        <w:rPr>
          <w:rFonts w:cs="Arial"/>
          <w:lang w:val="en-US"/>
        </w:rPr>
        <w:t>High-sensitivity cardiac troponin I at presentation in patients with suspected acute coronary syndrome.</w:t>
      </w:r>
      <w:r w:rsidRPr="00624A79">
        <w:rPr>
          <w:rFonts w:cs="Arial"/>
          <w:i/>
        </w:rPr>
        <w:t xml:space="preserve"> Lancet</w:t>
      </w:r>
      <w:r w:rsidRPr="00624A79">
        <w:rPr>
          <w:rFonts w:cs="Arial"/>
        </w:rPr>
        <w:t xml:space="preserve"> 2015;</w:t>
      </w:r>
      <w:r w:rsidR="00A26A03" w:rsidRPr="00624A79">
        <w:rPr>
          <w:rFonts w:cs="Arial"/>
        </w:rPr>
        <w:t xml:space="preserve"> </w:t>
      </w:r>
      <w:r w:rsidRPr="00624A79">
        <w:rPr>
          <w:rFonts w:cs="Arial"/>
        </w:rPr>
        <w:t>386:</w:t>
      </w:r>
      <w:r w:rsidR="00A26A03" w:rsidRPr="00624A79">
        <w:rPr>
          <w:rFonts w:cs="Arial"/>
        </w:rPr>
        <w:t xml:space="preserve"> </w:t>
      </w:r>
      <w:r w:rsidRPr="00624A79">
        <w:rPr>
          <w:rFonts w:cs="Arial"/>
        </w:rPr>
        <w:t>2481</w:t>
      </w:r>
      <w:r w:rsidR="00A26A03" w:rsidRPr="00624A79">
        <w:rPr>
          <w:rFonts w:cs="Arial"/>
        </w:rPr>
        <w:t>–</w:t>
      </w:r>
      <w:r w:rsidRPr="00624A79">
        <w:rPr>
          <w:rFonts w:cs="Arial"/>
        </w:rPr>
        <w:t>2488</w:t>
      </w:r>
      <w:r w:rsidRPr="00624A79">
        <w:rPr>
          <w:rFonts w:cs="Arial"/>
          <w:i/>
        </w:rPr>
        <w:t>.</w:t>
      </w:r>
    </w:p>
    <w:p w14:paraId="5EA6D080" w14:textId="669649B1" w:rsidR="00A26A03" w:rsidRPr="0057356B" w:rsidRDefault="00A42743" w:rsidP="0057356B">
      <w:pPr>
        <w:pStyle w:val="ListParagraph"/>
        <w:numPr>
          <w:ilvl w:val="0"/>
          <w:numId w:val="43"/>
        </w:numPr>
        <w:spacing w:before="160" w:line="480" w:lineRule="auto"/>
        <w:rPr>
          <w:rFonts w:eastAsiaTheme="minorHAnsi"/>
        </w:rPr>
      </w:pPr>
      <w:r w:rsidRPr="0057356B">
        <w:rPr>
          <w:rFonts w:eastAsiaTheme="minorHAnsi"/>
        </w:rPr>
        <w:t xml:space="preserve">Boeddinghaus J, Nestelberger T, Twerenbold R, </w:t>
      </w:r>
      <w:r w:rsidR="00A26A03" w:rsidRPr="0057356B">
        <w:rPr>
          <w:rFonts w:eastAsiaTheme="minorHAnsi"/>
        </w:rPr>
        <w:t>Wildi K, Badertscher P, Cupa J,</w:t>
      </w:r>
    </w:p>
    <w:p w14:paraId="4760493C" w14:textId="06BD9532" w:rsidR="00A42743" w:rsidRPr="0057356B" w:rsidRDefault="00624A79" w:rsidP="0057356B">
      <w:pPr>
        <w:pStyle w:val="ListParagraph"/>
        <w:spacing w:before="160" w:line="480" w:lineRule="auto"/>
        <w:ind w:left="567"/>
        <w:rPr>
          <w:rFonts w:cs="Arial"/>
          <w:i/>
        </w:rPr>
      </w:pPr>
      <w:r w:rsidRPr="00624A79">
        <w:rPr>
          <w:rFonts w:eastAsiaTheme="minorHAnsi"/>
        </w:rPr>
        <w:t xml:space="preserve">Bürge </w:t>
      </w:r>
      <w:r>
        <w:rPr>
          <w:rFonts w:eastAsiaTheme="minorHAnsi"/>
        </w:rPr>
        <w:t>T</w:t>
      </w:r>
      <w:r w:rsidRPr="00624A79">
        <w:rPr>
          <w:rFonts w:eastAsiaTheme="minorHAnsi"/>
        </w:rPr>
        <w:t xml:space="preserve">, Mächler </w:t>
      </w:r>
      <w:r>
        <w:rPr>
          <w:rFonts w:eastAsiaTheme="minorHAnsi"/>
        </w:rPr>
        <w:t>P</w:t>
      </w:r>
      <w:r w:rsidRPr="00624A79">
        <w:rPr>
          <w:rFonts w:eastAsiaTheme="minorHAnsi"/>
        </w:rPr>
        <w:t xml:space="preserve">, Corbière </w:t>
      </w:r>
      <w:r>
        <w:rPr>
          <w:rFonts w:eastAsiaTheme="minorHAnsi"/>
        </w:rPr>
        <w:t>S</w:t>
      </w:r>
      <w:r w:rsidRPr="00624A79">
        <w:rPr>
          <w:rFonts w:eastAsiaTheme="minorHAnsi"/>
        </w:rPr>
        <w:t>, Grimm</w:t>
      </w:r>
      <w:r w:rsidRPr="00624A79">
        <w:rPr>
          <w:rFonts w:eastAsiaTheme="minorHAnsi"/>
        </w:rPr>
        <w:t xml:space="preserve"> </w:t>
      </w:r>
      <w:r>
        <w:rPr>
          <w:rFonts w:eastAsiaTheme="minorHAnsi"/>
        </w:rPr>
        <w:t xml:space="preserve">K, </w:t>
      </w:r>
      <w:r w:rsidRPr="0057356B">
        <w:rPr>
          <w:rFonts w:eastAsiaTheme="minorHAnsi"/>
          <w:i/>
          <w:iCs/>
        </w:rPr>
        <w:t>et al</w:t>
      </w:r>
      <w:r w:rsidRPr="0057356B">
        <w:rPr>
          <w:rFonts w:eastAsiaTheme="minorHAnsi"/>
        </w:rPr>
        <w:t xml:space="preserve">. </w:t>
      </w:r>
      <w:r w:rsidR="00A42743" w:rsidRPr="0057356B">
        <w:rPr>
          <w:rFonts w:eastAsiaTheme="minorHAnsi"/>
        </w:rPr>
        <w:t xml:space="preserve">Direct comparison of 4 very early rule-out strategies for acute myocardial infarction using high-sensitivity cardiac troponin I. </w:t>
      </w:r>
      <w:r w:rsidR="00A42743" w:rsidRPr="0057356B">
        <w:rPr>
          <w:rFonts w:eastAsiaTheme="minorHAnsi"/>
          <w:i/>
          <w:iCs/>
        </w:rPr>
        <w:t>Circulation</w:t>
      </w:r>
      <w:r w:rsidR="00A42743" w:rsidRPr="0057356B">
        <w:rPr>
          <w:rFonts w:eastAsiaTheme="minorHAnsi"/>
        </w:rPr>
        <w:t xml:space="preserve"> 2017;</w:t>
      </w:r>
      <w:r w:rsidR="00A26A03" w:rsidRPr="0057356B">
        <w:rPr>
          <w:rFonts w:eastAsiaTheme="minorHAnsi"/>
        </w:rPr>
        <w:t xml:space="preserve"> </w:t>
      </w:r>
      <w:r w:rsidR="00A42743" w:rsidRPr="0057356B">
        <w:rPr>
          <w:rFonts w:eastAsiaTheme="minorHAnsi"/>
        </w:rPr>
        <w:t>135:</w:t>
      </w:r>
      <w:r w:rsidR="00A26A03" w:rsidRPr="0057356B">
        <w:rPr>
          <w:rFonts w:eastAsiaTheme="minorHAnsi"/>
        </w:rPr>
        <w:t xml:space="preserve"> </w:t>
      </w:r>
      <w:r w:rsidR="00A42743" w:rsidRPr="0057356B">
        <w:rPr>
          <w:rFonts w:eastAsiaTheme="minorHAnsi"/>
        </w:rPr>
        <w:t>1597–1611.</w:t>
      </w:r>
    </w:p>
    <w:p w14:paraId="62C6C8DC" w14:textId="6EF262E6" w:rsidR="007B21B7" w:rsidRPr="0057356B" w:rsidRDefault="00A42743" w:rsidP="0057356B">
      <w:pPr>
        <w:pStyle w:val="ListParagraph"/>
        <w:numPr>
          <w:ilvl w:val="0"/>
          <w:numId w:val="43"/>
        </w:numPr>
        <w:spacing w:before="160" w:line="480" w:lineRule="auto"/>
        <w:rPr>
          <w:rFonts w:eastAsia="Times New Roman"/>
        </w:rPr>
      </w:pPr>
      <w:r w:rsidRPr="0057356B">
        <w:rPr>
          <w:rFonts w:eastAsiaTheme="minorHAnsi"/>
        </w:rPr>
        <w:t xml:space="preserve">Sandoval Y, Smith SW, Love SA, Sexter A, Schulz K, Apple FS. Single high-sensitivity cardiac troponin I to rule out acute myocardial infarction. </w:t>
      </w:r>
      <w:r w:rsidRPr="0057356B">
        <w:rPr>
          <w:rFonts w:eastAsiaTheme="minorHAnsi"/>
          <w:i/>
          <w:iCs/>
        </w:rPr>
        <w:t>Am J Med</w:t>
      </w:r>
      <w:r w:rsidRPr="0057356B">
        <w:rPr>
          <w:rFonts w:eastAsiaTheme="minorHAnsi"/>
        </w:rPr>
        <w:t xml:space="preserve"> 2017;</w:t>
      </w:r>
      <w:r w:rsidR="00A26A03" w:rsidRPr="0057356B">
        <w:rPr>
          <w:rFonts w:eastAsiaTheme="minorHAnsi"/>
        </w:rPr>
        <w:t xml:space="preserve"> </w:t>
      </w:r>
      <w:r w:rsidRPr="0057356B">
        <w:rPr>
          <w:rFonts w:eastAsiaTheme="minorHAnsi"/>
        </w:rPr>
        <w:t>130:</w:t>
      </w:r>
      <w:r w:rsidR="00A26A03" w:rsidRPr="0057356B">
        <w:rPr>
          <w:rFonts w:eastAsiaTheme="minorHAnsi"/>
        </w:rPr>
        <w:t xml:space="preserve"> </w:t>
      </w:r>
      <w:r w:rsidRPr="0057356B">
        <w:rPr>
          <w:rFonts w:eastAsiaTheme="minorHAnsi"/>
        </w:rPr>
        <w:t>1076–1083.</w:t>
      </w:r>
    </w:p>
    <w:p w14:paraId="45380503" w14:textId="78725860" w:rsidR="00A42743" w:rsidRPr="0057356B" w:rsidRDefault="007B21B7" w:rsidP="0057356B">
      <w:pPr>
        <w:pStyle w:val="ListParagraph"/>
        <w:numPr>
          <w:ilvl w:val="0"/>
          <w:numId w:val="43"/>
        </w:numPr>
        <w:spacing w:before="160" w:line="480" w:lineRule="auto"/>
        <w:rPr>
          <w:rFonts w:ascii="Arial" w:eastAsia="Times New Roman" w:hAnsi="Arial" w:cs="Arial"/>
          <w:color w:val="000000"/>
          <w:sz w:val="18"/>
          <w:szCs w:val="18"/>
        </w:rPr>
      </w:pPr>
      <w:r w:rsidRPr="0057356B">
        <w:rPr>
          <w:rFonts w:eastAsia="Times New Roman"/>
          <w:color w:val="000000"/>
        </w:rPr>
        <w:t>Lindahl B</w:t>
      </w:r>
      <w:r w:rsidRPr="0057356B">
        <w:rPr>
          <w:rFonts w:eastAsia="Times New Roman"/>
          <w:color w:val="000000"/>
          <w:shd w:val="clear" w:color="auto" w:fill="FFFFFF"/>
        </w:rPr>
        <w:t>, Jernberg T, Badertscher P, Boeddinghaus J, Eggers KM, Frick M</w:t>
      </w:r>
      <w:r w:rsidR="00A26A03" w:rsidRPr="0057356B">
        <w:rPr>
          <w:rFonts w:eastAsia="Times New Roman"/>
          <w:color w:val="000000"/>
          <w:shd w:val="clear" w:color="auto" w:fill="FFFFFF"/>
        </w:rPr>
        <w:t>,</w:t>
      </w:r>
      <w:r w:rsidRPr="0057356B">
        <w:rPr>
          <w:rFonts w:eastAsia="Times New Roman"/>
          <w:color w:val="000000"/>
          <w:shd w:val="clear" w:color="auto" w:fill="FFFFFF"/>
        </w:rPr>
        <w:t xml:space="preserve"> </w:t>
      </w:r>
      <w:r w:rsidR="00624A79" w:rsidRPr="00624A79">
        <w:rPr>
          <w:rFonts w:eastAsia="Times New Roman"/>
          <w:color w:val="000000"/>
          <w:shd w:val="clear" w:color="auto" w:fill="FFFFFF"/>
        </w:rPr>
        <w:t>Rubini Gimenez M, Linder R, Ljung L, Martinsson A</w:t>
      </w:r>
      <w:r w:rsidR="00624A79">
        <w:rPr>
          <w:rFonts w:eastAsia="Times New Roman"/>
          <w:color w:val="000000"/>
          <w:shd w:val="clear" w:color="auto" w:fill="FFFFFF"/>
        </w:rPr>
        <w:t xml:space="preserve">, </w:t>
      </w:r>
      <w:r w:rsidRPr="0057356B">
        <w:rPr>
          <w:rFonts w:eastAsia="Times New Roman"/>
          <w:i/>
          <w:iCs/>
          <w:color w:val="000000"/>
          <w:shd w:val="clear" w:color="auto" w:fill="FFFFFF"/>
        </w:rPr>
        <w:t>et al</w:t>
      </w:r>
      <w:r w:rsidRPr="0057356B">
        <w:rPr>
          <w:rFonts w:eastAsia="Times New Roman"/>
          <w:color w:val="000000"/>
          <w:shd w:val="clear" w:color="auto" w:fill="FFFFFF"/>
        </w:rPr>
        <w:t>.</w:t>
      </w:r>
      <w:r w:rsidRPr="0057356B">
        <w:rPr>
          <w:rFonts w:ascii="Arial" w:eastAsia="Times New Roman" w:hAnsi="Arial" w:cs="Arial"/>
          <w:color w:val="000000"/>
          <w:sz w:val="18"/>
          <w:szCs w:val="18"/>
        </w:rPr>
        <w:t xml:space="preserve"> </w:t>
      </w:r>
      <w:r w:rsidRPr="0057356B">
        <w:rPr>
          <w:rFonts w:eastAsia="Times New Roman"/>
          <w:color w:val="000000"/>
        </w:rPr>
        <w:t xml:space="preserve">An algorithm for rule-in and rule-out of acute myocardial infarction using a novel troponin I assay. </w:t>
      </w:r>
      <w:r w:rsidRPr="0057356B">
        <w:rPr>
          <w:rFonts w:eastAsia="Times New Roman"/>
          <w:i/>
          <w:iCs/>
          <w:color w:val="000000"/>
          <w:shd w:val="clear" w:color="auto" w:fill="FFFFFF"/>
        </w:rPr>
        <w:t>Heart</w:t>
      </w:r>
      <w:r w:rsidRPr="0057356B">
        <w:rPr>
          <w:rFonts w:eastAsia="Times New Roman"/>
          <w:color w:val="000000"/>
          <w:shd w:val="clear" w:color="auto" w:fill="FFFFFF"/>
        </w:rPr>
        <w:t> 201</w:t>
      </w:r>
      <w:r w:rsidR="002F2B2D" w:rsidRPr="0057356B">
        <w:rPr>
          <w:rFonts w:eastAsia="Times New Roman"/>
          <w:color w:val="000000"/>
          <w:shd w:val="clear" w:color="auto" w:fill="FFFFFF"/>
        </w:rPr>
        <w:t>7</w:t>
      </w:r>
      <w:r w:rsidRPr="0057356B">
        <w:rPr>
          <w:rFonts w:eastAsia="Times New Roman"/>
          <w:color w:val="000000"/>
          <w:shd w:val="clear" w:color="auto" w:fill="FFFFFF"/>
        </w:rPr>
        <w:t>;</w:t>
      </w:r>
      <w:r w:rsidR="00A26A03" w:rsidRPr="0057356B">
        <w:rPr>
          <w:rFonts w:eastAsia="Times New Roman"/>
          <w:color w:val="000000"/>
          <w:shd w:val="clear" w:color="auto" w:fill="FFFFFF"/>
        </w:rPr>
        <w:t xml:space="preserve"> </w:t>
      </w:r>
      <w:r w:rsidRPr="0057356B">
        <w:rPr>
          <w:rFonts w:eastAsia="Times New Roman"/>
          <w:color w:val="000000"/>
          <w:shd w:val="clear" w:color="auto" w:fill="FFFFFF"/>
        </w:rPr>
        <w:t>103:</w:t>
      </w:r>
      <w:r w:rsidR="00A26A03" w:rsidRPr="0057356B">
        <w:rPr>
          <w:rFonts w:eastAsia="Times New Roman"/>
          <w:color w:val="000000"/>
          <w:shd w:val="clear" w:color="auto" w:fill="FFFFFF"/>
        </w:rPr>
        <w:t xml:space="preserve"> </w:t>
      </w:r>
      <w:r w:rsidRPr="0057356B">
        <w:rPr>
          <w:rFonts w:eastAsia="Times New Roman"/>
          <w:color w:val="000000"/>
          <w:shd w:val="clear" w:color="auto" w:fill="FFFFFF"/>
        </w:rPr>
        <w:t>125</w:t>
      </w:r>
      <w:r w:rsidR="002F2B2D" w:rsidRPr="0057356B">
        <w:rPr>
          <w:rFonts w:eastAsia="Times New Roman"/>
          <w:color w:val="000000"/>
          <w:shd w:val="clear" w:color="auto" w:fill="FFFFFF"/>
        </w:rPr>
        <w:t>–</w:t>
      </w:r>
      <w:r w:rsidRPr="0057356B">
        <w:rPr>
          <w:rFonts w:eastAsia="Times New Roman"/>
          <w:color w:val="000000"/>
          <w:shd w:val="clear" w:color="auto" w:fill="FFFFFF"/>
        </w:rPr>
        <w:t>131.</w:t>
      </w:r>
    </w:p>
    <w:p w14:paraId="112511F2" w14:textId="4C0AFA6D" w:rsidR="00D935A6" w:rsidRPr="0057356B" w:rsidRDefault="00A42743" w:rsidP="0057356B">
      <w:pPr>
        <w:pStyle w:val="ListParagraph"/>
        <w:numPr>
          <w:ilvl w:val="0"/>
          <w:numId w:val="43"/>
        </w:numPr>
        <w:spacing w:before="160" w:line="480" w:lineRule="auto"/>
        <w:rPr>
          <w:rFonts w:cs="Arial"/>
          <w:iCs/>
        </w:rPr>
      </w:pPr>
      <w:r w:rsidRPr="0057356B">
        <w:rPr>
          <w:rFonts w:cs="Arial"/>
          <w:iCs/>
        </w:rPr>
        <w:t>Neumann JT, Twerenbold R, Ojeda F,</w:t>
      </w:r>
      <w:r w:rsidR="00A26A03" w:rsidRPr="0057356B">
        <w:rPr>
          <w:rFonts w:ascii="Courier New" w:eastAsia="Times New Roman" w:hAnsi="Courier New" w:cs="Courier New"/>
          <w:color w:val="000000"/>
          <w:sz w:val="20"/>
          <w:szCs w:val="20"/>
        </w:rPr>
        <w:t xml:space="preserve"> </w:t>
      </w:r>
      <w:r w:rsidR="00A26A03" w:rsidRPr="0057356B">
        <w:rPr>
          <w:rFonts w:cs="Arial"/>
          <w:iCs/>
        </w:rPr>
        <w:t>Sörensen NA, Chapman AR, Shah ASV,</w:t>
      </w:r>
      <w:r w:rsidR="00624A79">
        <w:rPr>
          <w:rFonts w:cs="Arial"/>
          <w:iCs/>
        </w:rPr>
        <w:t xml:space="preserve"> </w:t>
      </w:r>
      <w:r w:rsidR="00624A79" w:rsidRPr="00624A79">
        <w:rPr>
          <w:rFonts w:cs="Arial"/>
          <w:iCs/>
        </w:rPr>
        <w:t xml:space="preserve">Anand  </w:t>
      </w:r>
      <w:r w:rsidR="00624A79">
        <w:rPr>
          <w:rFonts w:cs="Arial"/>
          <w:iCs/>
        </w:rPr>
        <w:t>A</w:t>
      </w:r>
      <w:r w:rsidR="00624A79" w:rsidRPr="00624A79">
        <w:rPr>
          <w:rFonts w:cs="Arial"/>
          <w:iCs/>
        </w:rPr>
        <w:t xml:space="preserve">, Boeddinghaus </w:t>
      </w:r>
      <w:r w:rsidR="00624A79">
        <w:rPr>
          <w:rFonts w:cs="Arial"/>
          <w:iCs/>
        </w:rPr>
        <w:t>J</w:t>
      </w:r>
      <w:r w:rsidR="00624A79" w:rsidRPr="00624A79">
        <w:rPr>
          <w:rFonts w:cs="Arial"/>
          <w:iCs/>
        </w:rPr>
        <w:t xml:space="preserve">, Nestelberger </w:t>
      </w:r>
      <w:r w:rsidR="00624A79">
        <w:rPr>
          <w:rFonts w:cs="Arial"/>
          <w:iCs/>
        </w:rPr>
        <w:t>T</w:t>
      </w:r>
      <w:r w:rsidR="00624A79" w:rsidRPr="00624A79">
        <w:rPr>
          <w:rFonts w:cs="Arial"/>
          <w:iCs/>
        </w:rPr>
        <w:t>, Badertscher</w:t>
      </w:r>
      <w:r w:rsidR="00624A79">
        <w:rPr>
          <w:rFonts w:cs="Arial"/>
          <w:iCs/>
        </w:rPr>
        <w:t xml:space="preserve"> P,</w:t>
      </w:r>
      <w:r w:rsidR="00A26A03" w:rsidRPr="0057356B">
        <w:rPr>
          <w:rFonts w:cs="Arial"/>
          <w:iCs/>
        </w:rPr>
        <w:t xml:space="preserve"> </w:t>
      </w:r>
      <w:r w:rsidRPr="0057356B">
        <w:rPr>
          <w:rFonts w:cs="Arial"/>
          <w:i/>
        </w:rPr>
        <w:t>et al</w:t>
      </w:r>
      <w:r w:rsidRPr="0057356B">
        <w:rPr>
          <w:rFonts w:cs="Arial"/>
          <w:iCs/>
        </w:rPr>
        <w:t xml:space="preserve">. Application of high-sensitivity troponin in suspected myocardial infarction. </w:t>
      </w:r>
      <w:r w:rsidRPr="0057356B">
        <w:rPr>
          <w:rFonts w:cs="Arial"/>
          <w:i/>
        </w:rPr>
        <w:t>N Engl J Med</w:t>
      </w:r>
      <w:r w:rsidRPr="0057356B">
        <w:rPr>
          <w:rFonts w:cs="Arial"/>
          <w:iCs/>
        </w:rPr>
        <w:t xml:space="preserve"> 2019;</w:t>
      </w:r>
      <w:r w:rsidR="00A26A03" w:rsidRPr="0057356B">
        <w:rPr>
          <w:rFonts w:cs="Arial"/>
          <w:iCs/>
        </w:rPr>
        <w:t xml:space="preserve"> </w:t>
      </w:r>
      <w:r w:rsidRPr="0057356B">
        <w:rPr>
          <w:rFonts w:cs="Arial"/>
          <w:iCs/>
        </w:rPr>
        <w:t>380:</w:t>
      </w:r>
      <w:r w:rsidR="00A26A03" w:rsidRPr="0057356B">
        <w:rPr>
          <w:rFonts w:cs="Arial"/>
          <w:iCs/>
        </w:rPr>
        <w:t xml:space="preserve"> </w:t>
      </w:r>
      <w:r w:rsidRPr="0057356B">
        <w:rPr>
          <w:rFonts w:cs="Arial"/>
          <w:iCs/>
        </w:rPr>
        <w:t>2529</w:t>
      </w:r>
      <w:r w:rsidR="00A26A03" w:rsidRPr="0057356B">
        <w:rPr>
          <w:rFonts w:cs="Arial"/>
          <w:iCs/>
        </w:rPr>
        <w:t>–</w:t>
      </w:r>
      <w:r w:rsidRPr="0057356B">
        <w:rPr>
          <w:rFonts w:cs="Arial"/>
          <w:iCs/>
        </w:rPr>
        <w:t>2540.</w:t>
      </w:r>
    </w:p>
    <w:p w14:paraId="562E19D3" w14:textId="66EF4B72" w:rsidR="000653CE" w:rsidRDefault="000653CE" w:rsidP="0057356B">
      <w:pPr>
        <w:pStyle w:val="ListParagraph"/>
        <w:numPr>
          <w:ilvl w:val="0"/>
          <w:numId w:val="43"/>
        </w:numPr>
        <w:spacing w:before="160" w:line="480" w:lineRule="auto"/>
        <w:rPr>
          <w:rFonts w:cs="Arial"/>
          <w:iCs/>
        </w:rPr>
      </w:pPr>
      <w:r w:rsidRPr="0057356B">
        <w:rPr>
          <w:rFonts w:cs="Arial"/>
          <w:iCs/>
        </w:rPr>
        <w:t>Greenslade J, Cho E, Van Hise C,</w:t>
      </w:r>
      <w:r w:rsidR="000D71E0" w:rsidRPr="0057356B">
        <w:rPr>
          <w:rFonts w:cs="Arial"/>
          <w:iCs/>
        </w:rPr>
        <w:t xml:space="preserve"> Hawkins T, Parsonage W, Ungerer J, </w:t>
      </w:r>
      <w:r w:rsidR="004F6FCB" w:rsidRPr="004F6FCB">
        <w:rPr>
          <w:rFonts w:cs="Arial"/>
          <w:iCs/>
        </w:rPr>
        <w:t>Tate J, Pretorius C, Than M, Cullen L.</w:t>
      </w:r>
      <w:r w:rsidR="004F6FCB" w:rsidRPr="004F6FCB">
        <w:rPr>
          <w:rFonts w:cs="Arial"/>
          <w:i/>
        </w:rPr>
        <w:t xml:space="preserve"> </w:t>
      </w:r>
      <w:r w:rsidRPr="0057356B">
        <w:rPr>
          <w:rFonts w:cs="Arial"/>
          <w:iCs/>
        </w:rPr>
        <w:t xml:space="preserve">Evaluating rapid rule-out of acute myocardial infarction using a high-sensitivity cardiac troponin I assay at presentation. </w:t>
      </w:r>
      <w:r w:rsidRPr="0057356B">
        <w:rPr>
          <w:rFonts w:cs="Arial"/>
          <w:i/>
        </w:rPr>
        <w:t xml:space="preserve">Clin Chem </w:t>
      </w:r>
      <w:r w:rsidRPr="0057356B">
        <w:rPr>
          <w:rFonts w:cs="Arial"/>
          <w:iCs/>
        </w:rPr>
        <w:t>2018;</w:t>
      </w:r>
      <w:r w:rsidR="000D71E0" w:rsidRPr="0057356B">
        <w:rPr>
          <w:rFonts w:cs="Arial"/>
          <w:iCs/>
        </w:rPr>
        <w:t xml:space="preserve"> </w:t>
      </w:r>
      <w:r w:rsidRPr="0057356B">
        <w:rPr>
          <w:rFonts w:cs="Arial"/>
          <w:iCs/>
        </w:rPr>
        <w:t>64:</w:t>
      </w:r>
      <w:r w:rsidR="000D71E0" w:rsidRPr="0057356B">
        <w:rPr>
          <w:rFonts w:cs="Arial"/>
          <w:iCs/>
        </w:rPr>
        <w:t xml:space="preserve"> </w:t>
      </w:r>
      <w:r w:rsidRPr="0057356B">
        <w:rPr>
          <w:rFonts w:cs="Arial"/>
          <w:iCs/>
        </w:rPr>
        <w:t>820</w:t>
      </w:r>
      <w:r w:rsidR="000D71E0" w:rsidRPr="0057356B">
        <w:rPr>
          <w:rFonts w:cs="Arial"/>
          <w:iCs/>
        </w:rPr>
        <w:t>–</w:t>
      </w:r>
      <w:r w:rsidRPr="0057356B">
        <w:rPr>
          <w:rFonts w:cs="Arial"/>
          <w:iCs/>
        </w:rPr>
        <w:t>829.</w:t>
      </w:r>
    </w:p>
    <w:p w14:paraId="616405F8" w14:textId="0637C355" w:rsidR="005E6A04" w:rsidRPr="005E6A04" w:rsidRDefault="005E6A04" w:rsidP="00B05593">
      <w:pPr>
        <w:pStyle w:val="desc"/>
        <w:numPr>
          <w:ilvl w:val="0"/>
          <w:numId w:val="43"/>
        </w:numPr>
        <w:spacing w:line="480" w:lineRule="auto"/>
        <w:rPr>
          <w:rFonts w:cs="Arial"/>
          <w:iCs/>
        </w:rPr>
      </w:pPr>
      <w:r w:rsidRPr="0057356B">
        <w:rPr>
          <w:rFonts w:eastAsiaTheme="minorHAnsi"/>
        </w:rPr>
        <w:t>Roffi M, Patrono C, Collet JP,</w:t>
      </w:r>
      <w:r w:rsidRPr="0057356B">
        <w:rPr>
          <w:rFonts w:ascii="Courier New" w:hAnsi="Courier New" w:cs="Courier New"/>
          <w:color w:val="000000"/>
          <w:sz w:val="20"/>
          <w:szCs w:val="20"/>
        </w:rPr>
        <w:t xml:space="preserve"> </w:t>
      </w:r>
      <w:r w:rsidRPr="0057356B">
        <w:rPr>
          <w:rFonts w:eastAsiaTheme="minorHAnsi"/>
        </w:rPr>
        <w:t xml:space="preserve">Mueller C, Valgimigli M, Andreotti F, </w:t>
      </w:r>
      <w:r w:rsidR="004F6FCB" w:rsidRPr="004F6FCB">
        <w:rPr>
          <w:rFonts w:eastAsiaTheme="minorHAnsi"/>
        </w:rPr>
        <w:t>Bax JJ, Borger MA, Brotons C, Chew DP</w:t>
      </w:r>
      <w:r w:rsidR="004F6FCB">
        <w:rPr>
          <w:rFonts w:eastAsiaTheme="minorHAnsi"/>
        </w:rPr>
        <w:t>,</w:t>
      </w:r>
      <w:r w:rsidR="004F6FCB" w:rsidRPr="004F6FCB">
        <w:rPr>
          <w:rFonts w:eastAsiaTheme="minorHAnsi"/>
        </w:rPr>
        <w:t xml:space="preserve"> </w:t>
      </w:r>
      <w:r w:rsidRPr="0057356B">
        <w:rPr>
          <w:rFonts w:eastAsiaTheme="minorHAnsi"/>
          <w:i/>
          <w:iCs/>
        </w:rPr>
        <w:t>et al.</w:t>
      </w:r>
      <w:r w:rsidRPr="0057356B">
        <w:rPr>
          <w:rFonts w:eastAsiaTheme="minorHAnsi"/>
        </w:rPr>
        <w:t xml:space="preserve"> 2015 ESC Guidelines for the management of acute coronary syndromes in patients presenting without persistent st-segment elevation: </w:t>
      </w:r>
      <w:r w:rsidRPr="0057356B">
        <w:rPr>
          <w:rFonts w:eastAsiaTheme="minorHAnsi"/>
        </w:rPr>
        <w:lastRenderedPageBreak/>
        <w:t xml:space="preserve">Task force for the management of acute coronary syndromes in patients presenting without persistent ST-segment elevation of the European Society of Cardiology (ESC). </w:t>
      </w:r>
      <w:r w:rsidRPr="0057356B">
        <w:rPr>
          <w:rFonts w:eastAsiaTheme="minorHAnsi"/>
          <w:i/>
          <w:iCs/>
        </w:rPr>
        <w:t>Eur Heart J</w:t>
      </w:r>
      <w:r w:rsidRPr="0057356B">
        <w:rPr>
          <w:rFonts w:eastAsiaTheme="minorHAnsi"/>
        </w:rPr>
        <w:t xml:space="preserve"> 2016; 37: 267–315.</w:t>
      </w:r>
    </w:p>
    <w:p w14:paraId="41A1943C" w14:textId="21009171" w:rsidR="007F6BD3" w:rsidRPr="0057356B" w:rsidRDefault="007F6BD3" w:rsidP="0057356B">
      <w:pPr>
        <w:pStyle w:val="ListParagraph"/>
        <w:numPr>
          <w:ilvl w:val="0"/>
          <w:numId w:val="43"/>
        </w:numPr>
        <w:spacing w:before="160" w:line="480" w:lineRule="auto"/>
      </w:pPr>
      <w:r w:rsidRPr="0057356B">
        <w:t>Twerenbold R, Costabel JP, Nestelberger T,</w:t>
      </w:r>
      <w:r w:rsidR="003A32BA" w:rsidRPr="0057356B">
        <w:rPr>
          <w:rFonts w:ascii="Courier New" w:eastAsia="Times New Roman" w:hAnsi="Courier New" w:cs="Courier New"/>
          <w:color w:val="000000"/>
          <w:sz w:val="20"/>
          <w:szCs w:val="20"/>
        </w:rPr>
        <w:t xml:space="preserve"> </w:t>
      </w:r>
      <w:r w:rsidR="003A32BA" w:rsidRPr="0057356B">
        <w:t xml:space="preserve">Campos R, Wussler D, Arbucci R, </w:t>
      </w:r>
      <w:r w:rsidR="004F6FCB" w:rsidRPr="004F6FCB">
        <w:t>Cortes</w:t>
      </w:r>
      <w:r w:rsidR="004F6FCB">
        <w:t xml:space="preserve"> M</w:t>
      </w:r>
      <w:r w:rsidR="004F6FCB" w:rsidRPr="004F6FCB">
        <w:t xml:space="preserve">, Boeddinghaus </w:t>
      </w:r>
      <w:r w:rsidR="004F6FCB">
        <w:t>J</w:t>
      </w:r>
      <w:r w:rsidR="004F6FCB" w:rsidRPr="004F6FCB">
        <w:t xml:space="preserve">, Baumgartner </w:t>
      </w:r>
      <w:r w:rsidR="004F6FCB">
        <w:t>B</w:t>
      </w:r>
      <w:r w:rsidR="004F6FCB" w:rsidRPr="004F6FCB">
        <w:t>, Nickel</w:t>
      </w:r>
      <w:r w:rsidR="004F6FCB">
        <w:t xml:space="preserve"> CH,</w:t>
      </w:r>
      <w:r w:rsidR="004F6FCB" w:rsidRPr="004F6FCB">
        <w:t xml:space="preserve"> </w:t>
      </w:r>
      <w:r w:rsidRPr="0057356B">
        <w:rPr>
          <w:i/>
          <w:iCs/>
        </w:rPr>
        <w:t>et al</w:t>
      </w:r>
      <w:r w:rsidRPr="0057356B">
        <w:t xml:space="preserve">. Outcome of Applying the ESC 0/1-hour Algorithm in Patients With Suspected Myocardial Infarction. </w:t>
      </w:r>
      <w:r w:rsidRPr="0057356B">
        <w:rPr>
          <w:i/>
          <w:iCs/>
        </w:rPr>
        <w:t>J Am Coll Cardiol</w:t>
      </w:r>
      <w:r w:rsidRPr="0057356B">
        <w:t xml:space="preserve"> 2019;</w:t>
      </w:r>
      <w:r w:rsidR="003A32BA" w:rsidRPr="0057356B">
        <w:t xml:space="preserve"> </w:t>
      </w:r>
      <w:r w:rsidRPr="0057356B">
        <w:t>74:</w:t>
      </w:r>
      <w:r w:rsidR="003A32BA" w:rsidRPr="0057356B">
        <w:t xml:space="preserve"> </w:t>
      </w:r>
      <w:r w:rsidRPr="0057356B">
        <w:t>483</w:t>
      </w:r>
      <w:r w:rsidR="003A32BA" w:rsidRPr="0057356B">
        <w:t>–</w:t>
      </w:r>
      <w:r w:rsidRPr="0057356B">
        <w:t>494.</w:t>
      </w:r>
    </w:p>
    <w:p w14:paraId="6EC0A0CE" w14:textId="04E14FC4" w:rsidR="00E83A7D" w:rsidRPr="0057356B" w:rsidRDefault="00E83A7D" w:rsidP="0057356B">
      <w:pPr>
        <w:pStyle w:val="desc"/>
        <w:numPr>
          <w:ilvl w:val="0"/>
          <w:numId w:val="43"/>
        </w:numPr>
        <w:spacing w:line="480" w:lineRule="auto"/>
        <w:rPr>
          <w:noProof/>
        </w:rPr>
      </w:pPr>
      <w:r w:rsidRPr="0057356B">
        <w:rPr>
          <w:noProof/>
        </w:rPr>
        <w:t>Chew DP, Lambrakis K, Blyth A,</w:t>
      </w:r>
      <w:r w:rsidR="002F2B2D" w:rsidRPr="0057356B">
        <w:rPr>
          <w:noProof/>
        </w:rPr>
        <w:t xml:space="preserve"> Seshadri A, Edmonds MJR, Briffa T</w:t>
      </w:r>
      <w:r w:rsidR="004F6FCB">
        <w:rPr>
          <w:noProof/>
        </w:rPr>
        <w:t>,</w:t>
      </w:r>
      <w:r w:rsidR="002F2B2D" w:rsidRPr="0057356B">
        <w:rPr>
          <w:noProof/>
        </w:rPr>
        <w:t xml:space="preserve"> </w:t>
      </w:r>
      <w:r w:rsidR="004F6FCB" w:rsidRPr="004F6FCB">
        <w:rPr>
          <w:noProof/>
        </w:rPr>
        <w:t xml:space="preserve">Cullen </w:t>
      </w:r>
      <w:r w:rsidR="004F6FCB">
        <w:rPr>
          <w:noProof/>
        </w:rPr>
        <w:t>LA</w:t>
      </w:r>
      <w:r w:rsidR="004F6FCB" w:rsidRPr="004F6FCB">
        <w:rPr>
          <w:noProof/>
        </w:rPr>
        <w:t xml:space="preserve">, Quinn </w:t>
      </w:r>
      <w:r w:rsidR="004F6FCB">
        <w:rPr>
          <w:noProof/>
        </w:rPr>
        <w:t>S</w:t>
      </w:r>
      <w:r w:rsidR="004F6FCB" w:rsidRPr="004F6FCB">
        <w:rPr>
          <w:noProof/>
        </w:rPr>
        <w:t xml:space="preserve">, Karnon </w:t>
      </w:r>
      <w:r w:rsidR="004F6FCB">
        <w:rPr>
          <w:noProof/>
        </w:rPr>
        <w:t>J</w:t>
      </w:r>
      <w:r w:rsidR="004F6FCB" w:rsidRPr="004F6FCB">
        <w:rPr>
          <w:noProof/>
        </w:rPr>
        <w:t>, Chuang</w:t>
      </w:r>
      <w:r w:rsidR="004F6FCB">
        <w:rPr>
          <w:noProof/>
        </w:rPr>
        <w:t xml:space="preserve"> A,</w:t>
      </w:r>
      <w:r w:rsidR="004F6FCB" w:rsidRPr="004F6FCB">
        <w:rPr>
          <w:noProof/>
        </w:rPr>
        <w:t xml:space="preserve"> </w:t>
      </w:r>
      <w:r w:rsidRPr="0057356B">
        <w:rPr>
          <w:i/>
          <w:iCs/>
          <w:noProof/>
        </w:rPr>
        <w:t>et al</w:t>
      </w:r>
      <w:r w:rsidRPr="0057356B">
        <w:rPr>
          <w:noProof/>
        </w:rPr>
        <w:t xml:space="preserve">. A </w:t>
      </w:r>
      <w:r w:rsidR="00742F47" w:rsidRPr="0057356B">
        <w:rPr>
          <w:noProof/>
        </w:rPr>
        <w:t>Random</w:t>
      </w:r>
      <w:r w:rsidR="00320221">
        <w:rPr>
          <w:noProof/>
        </w:rPr>
        <w:t>ize</w:t>
      </w:r>
      <w:r w:rsidR="00742F47" w:rsidRPr="0057356B">
        <w:rPr>
          <w:noProof/>
        </w:rPr>
        <w:t>d</w:t>
      </w:r>
      <w:r w:rsidRPr="0057356B">
        <w:rPr>
          <w:noProof/>
        </w:rPr>
        <w:t xml:space="preserve"> Trial of a 1-Hour Troponin T Protocol in Suspected Acute Coronary Syndromes: The Rapid Assessment of Possible ACS In the Emergency Department with High Sensitivity Troponin T (RAPID-TnT) Study</w:t>
      </w:r>
      <w:r w:rsidRPr="0057356B">
        <w:rPr>
          <w:i/>
          <w:iCs/>
          <w:noProof/>
        </w:rPr>
        <w:t>. Circulation</w:t>
      </w:r>
      <w:r w:rsidRPr="0057356B">
        <w:rPr>
          <w:noProof/>
        </w:rPr>
        <w:t xml:space="preserve"> 2019</w:t>
      </w:r>
      <w:r w:rsidR="002F2B2D" w:rsidRPr="0057356B">
        <w:rPr>
          <w:noProof/>
        </w:rPr>
        <w:t>;</w:t>
      </w:r>
      <w:r w:rsidR="003A32BA" w:rsidRPr="0057356B">
        <w:rPr>
          <w:noProof/>
        </w:rPr>
        <w:t xml:space="preserve"> </w:t>
      </w:r>
      <w:r w:rsidR="002F2B2D" w:rsidRPr="0057356B">
        <w:rPr>
          <w:noProof/>
        </w:rPr>
        <w:t>140:</w:t>
      </w:r>
      <w:r w:rsidR="003A32BA" w:rsidRPr="0057356B">
        <w:rPr>
          <w:noProof/>
        </w:rPr>
        <w:t xml:space="preserve"> </w:t>
      </w:r>
      <w:r w:rsidR="002F2B2D" w:rsidRPr="0057356B">
        <w:rPr>
          <w:noProof/>
        </w:rPr>
        <w:t>1543–1556</w:t>
      </w:r>
      <w:r w:rsidRPr="0057356B">
        <w:rPr>
          <w:noProof/>
        </w:rPr>
        <w:t>.</w:t>
      </w:r>
    </w:p>
    <w:p w14:paraId="6EE5E4F6" w14:textId="5B23EC2B" w:rsidR="00E73DA0" w:rsidRPr="0057356B" w:rsidRDefault="00E73DA0" w:rsidP="0057356B">
      <w:pPr>
        <w:pStyle w:val="ListParagraph"/>
        <w:numPr>
          <w:ilvl w:val="0"/>
          <w:numId w:val="43"/>
        </w:numPr>
        <w:spacing w:before="160" w:line="480" w:lineRule="auto"/>
        <w:rPr>
          <w:rFonts w:cs="Arial"/>
          <w:i/>
        </w:rPr>
      </w:pPr>
      <w:r w:rsidRPr="0057356B">
        <w:rPr>
          <w:rFonts w:eastAsiaTheme="minorHAnsi"/>
        </w:rPr>
        <w:t>Shah ASV, Anand A, Strachan FE</w:t>
      </w:r>
      <w:r w:rsidR="003A32BA" w:rsidRPr="0057356B">
        <w:rPr>
          <w:rFonts w:eastAsiaTheme="minorHAnsi"/>
        </w:rPr>
        <w:t>, Ferry AV, Lee KK, Chapman AR</w:t>
      </w:r>
      <w:r w:rsidRPr="0057356B">
        <w:rPr>
          <w:rFonts w:eastAsiaTheme="minorHAnsi"/>
        </w:rPr>
        <w:t>,</w:t>
      </w:r>
      <w:r w:rsidR="004F6FCB" w:rsidRPr="004F6FCB">
        <w:t xml:space="preserve"> </w:t>
      </w:r>
      <w:r w:rsidR="004F6FCB" w:rsidRPr="004F6FCB">
        <w:rPr>
          <w:rFonts w:eastAsiaTheme="minorHAnsi"/>
        </w:rPr>
        <w:t>Sandeman D, Stables CL, Adamson PD, Andrews JPM</w:t>
      </w:r>
      <w:r w:rsidR="004F6FCB">
        <w:rPr>
          <w:rFonts w:eastAsiaTheme="minorHAnsi"/>
        </w:rPr>
        <w:t>,</w:t>
      </w:r>
      <w:r w:rsidRPr="0057356B">
        <w:rPr>
          <w:rFonts w:eastAsiaTheme="minorHAnsi"/>
        </w:rPr>
        <w:t xml:space="preserve"> </w:t>
      </w:r>
      <w:r w:rsidRPr="0057356B">
        <w:rPr>
          <w:rFonts w:eastAsiaTheme="minorHAnsi"/>
          <w:i/>
          <w:iCs/>
        </w:rPr>
        <w:t>et al</w:t>
      </w:r>
      <w:r w:rsidR="003A32BA" w:rsidRPr="0057356B">
        <w:rPr>
          <w:rFonts w:eastAsiaTheme="minorHAnsi"/>
        </w:rPr>
        <w:t>.</w:t>
      </w:r>
      <w:r w:rsidRPr="0057356B">
        <w:rPr>
          <w:rFonts w:eastAsiaTheme="minorHAnsi"/>
        </w:rPr>
        <w:t xml:space="preserve"> </w:t>
      </w:r>
      <w:r w:rsidR="003A32BA" w:rsidRPr="0057356B">
        <w:rPr>
          <w:rFonts w:eastAsiaTheme="minorHAnsi"/>
        </w:rPr>
        <w:t xml:space="preserve">on behalf of the </w:t>
      </w:r>
      <w:r w:rsidRPr="0057356B">
        <w:rPr>
          <w:rFonts w:eastAsiaTheme="minorHAnsi"/>
        </w:rPr>
        <w:t xml:space="preserve">High-STEACS Investigators. High-sensitivity troponin in the evaluation of patients with suspected acute coronary syndrome: a stepped-wedge, cluster-randomised controlled trial. </w:t>
      </w:r>
      <w:r w:rsidRPr="0057356B">
        <w:rPr>
          <w:rFonts w:eastAsiaTheme="minorHAnsi"/>
          <w:i/>
          <w:iCs/>
        </w:rPr>
        <w:t>Lancet</w:t>
      </w:r>
      <w:r w:rsidRPr="0057356B">
        <w:rPr>
          <w:rFonts w:eastAsiaTheme="minorHAnsi"/>
        </w:rPr>
        <w:t xml:space="preserve"> 2018;</w:t>
      </w:r>
      <w:r w:rsidR="003A32BA" w:rsidRPr="0057356B">
        <w:rPr>
          <w:rFonts w:eastAsiaTheme="minorHAnsi"/>
        </w:rPr>
        <w:t xml:space="preserve"> </w:t>
      </w:r>
      <w:r w:rsidRPr="0057356B">
        <w:rPr>
          <w:rFonts w:eastAsiaTheme="minorHAnsi"/>
        </w:rPr>
        <w:t>392:</w:t>
      </w:r>
      <w:r w:rsidR="003A32BA" w:rsidRPr="0057356B">
        <w:rPr>
          <w:rFonts w:eastAsiaTheme="minorHAnsi"/>
        </w:rPr>
        <w:t xml:space="preserve"> </w:t>
      </w:r>
      <w:r w:rsidRPr="0057356B">
        <w:rPr>
          <w:rFonts w:eastAsiaTheme="minorHAnsi"/>
        </w:rPr>
        <w:t>919–928.</w:t>
      </w:r>
    </w:p>
    <w:p w14:paraId="2110E97C" w14:textId="44F060CC" w:rsidR="00B10FEF" w:rsidRDefault="00E73DA0" w:rsidP="003849FF">
      <w:pPr>
        <w:pStyle w:val="ListParagraph"/>
        <w:numPr>
          <w:ilvl w:val="0"/>
          <w:numId w:val="43"/>
        </w:numPr>
        <w:spacing w:before="160" w:line="480" w:lineRule="auto"/>
      </w:pPr>
      <w:r w:rsidRPr="0057356B">
        <w:rPr>
          <w:noProof/>
        </w:rPr>
        <w:t xml:space="preserve">Scottish Intercollegiate Guidelines Network (SIGN). Acute coronary syndromes. Edinburgh: SIGN; </w:t>
      </w:r>
      <w:r w:rsidR="00654E9D" w:rsidRPr="0057356B">
        <w:rPr>
          <w:noProof/>
        </w:rPr>
        <w:t>2</w:t>
      </w:r>
      <w:r w:rsidR="00654E9D">
        <w:rPr>
          <w:noProof/>
        </w:rPr>
        <w:t>01</w:t>
      </w:r>
      <w:r w:rsidR="00654E9D" w:rsidRPr="0057356B">
        <w:rPr>
          <w:noProof/>
        </w:rPr>
        <w:t>3</w:t>
      </w:r>
      <w:r w:rsidRPr="0057356B">
        <w:rPr>
          <w:noProof/>
        </w:rPr>
        <w:t xml:space="preserve">. (SIGN publication no. 93). [February 2013] </w:t>
      </w:r>
      <w:r w:rsidR="00B10FEF" w:rsidRPr="00B10FEF">
        <w:rPr>
          <w:noProof/>
        </w:rPr>
        <w:t xml:space="preserve">Available from URL: </w:t>
      </w:r>
      <w:hyperlink r:id="rId10" w:history="1">
        <w:r w:rsidR="00B10FEF" w:rsidRPr="00685F0A">
          <w:rPr>
            <w:rStyle w:val="Hyperlink"/>
            <w:noProof/>
          </w:rPr>
          <w:t>http://www.sign.ac.uk</w:t>
        </w:r>
      </w:hyperlink>
    </w:p>
    <w:p w14:paraId="48751BB8" w14:textId="45EFF182" w:rsidR="00502EE0" w:rsidRPr="0057356B" w:rsidRDefault="00502EE0" w:rsidP="003849FF">
      <w:pPr>
        <w:pStyle w:val="ListParagraph"/>
        <w:numPr>
          <w:ilvl w:val="0"/>
          <w:numId w:val="43"/>
        </w:numPr>
        <w:spacing w:before="160" w:line="480" w:lineRule="auto"/>
      </w:pPr>
      <w:r w:rsidRPr="0057356B">
        <w:t>Chapman AR, Anand A, Boeddinghaus J,</w:t>
      </w:r>
      <w:r w:rsidR="003A32BA" w:rsidRPr="00B10FEF">
        <w:rPr>
          <w:rFonts w:ascii="Courier New" w:eastAsia="Times New Roman" w:hAnsi="Courier New" w:cs="Courier New"/>
          <w:color w:val="000000"/>
          <w:sz w:val="20"/>
          <w:szCs w:val="20"/>
        </w:rPr>
        <w:t xml:space="preserve"> </w:t>
      </w:r>
      <w:r w:rsidR="003A32BA" w:rsidRPr="0057356B">
        <w:t>Ferry AV, Sandeman D, Adamson PD,</w:t>
      </w:r>
      <w:r w:rsidR="004F6FCB" w:rsidRPr="004F6FCB">
        <w:t xml:space="preserve"> </w:t>
      </w:r>
      <w:r w:rsidR="004F6FCB" w:rsidRPr="004F6FCB">
        <w:t xml:space="preserve">Andrews </w:t>
      </w:r>
      <w:r w:rsidR="004F6FCB">
        <w:t>J</w:t>
      </w:r>
      <w:r w:rsidR="004F6FCB" w:rsidRPr="004F6FCB">
        <w:t xml:space="preserve">, Tan </w:t>
      </w:r>
      <w:r w:rsidR="004F6FCB">
        <w:t>S</w:t>
      </w:r>
      <w:r w:rsidR="004F6FCB" w:rsidRPr="004F6FCB">
        <w:t xml:space="preserve">, Cheng </w:t>
      </w:r>
      <w:r w:rsidR="004F6FCB">
        <w:t>SF</w:t>
      </w:r>
      <w:r w:rsidR="004F6FCB" w:rsidRPr="004F6FCB">
        <w:t>, D'Souza</w:t>
      </w:r>
      <w:r w:rsidR="003A32BA" w:rsidRPr="0057356B">
        <w:t xml:space="preserve"> </w:t>
      </w:r>
      <w:r w:rsidR="004F6FCB">
        <w:t xml:space="preserve">M </w:t>
      </w:r>
      <w:r w:rsidRPr="00B10FEF">
        <w:rPr>
          <w:i/>
        </w:rPr>
        <w:t>et al</w:t>
      </w:r>
      <w:r w:rsidRPr="0057356B">
        <w:t xml:space="preserve">. Comparison of the efficacy and safety of early rule-out pathways for acute myocardial infarction. </w:t>
      </w:r>
      <w:r w:rsidRPr="00B10FEF">
        <w:rPr>
          <w:i/>
        </w:rPr>
        <w:t>Circulation</w:t>
      </w:r>
      <w:r w:rsidRPr="0057356B">
        <w:t xml:space="preserve"> 2017;</w:t>
      </w:r>
      <w:r w:rsidR="003A32BA" w:rsidRPr="0057356B">
        <w:t xml:space="preserve"> </w:t>
      </w:r>
      <w:r w:rsidRPr="0057356B">
        <w:t>135: 1586</w:t>
      </w:r>
      <w:r w:rsidR="003A32BA" w:rsidRPr="0057356B">
        <w:t>–</w:t>
      </w:r>
      <w:r w:rsidRPr="0057356B">
        <w:t>1596.</w:t>
      </w:r>
    </w:p>
    <w:p w14:paraId="4FB549FE" w14:textId="5180C653" w:rsidR="00502EE0" w:rsidRPr="0057356B" w:rsidRDefault="00502EE0" w:rsidP="0057356B">
      <w:pPr>
        <w:pStyle w:val="ListParagraph"/>
        <w:numPr>
          <w:ilvl w:val="0"/>
          <w:numId w:val="43"/>
        </w:numPr>
        <w:tabs>
          <w:tab w:val="left" w:pos="640"/>
        </w:tabs>
        <w:autoSpaceDE w:val="0"/>
        <w:autoSpaceDN w:val="0"/>
        <w:adjustRightInd w:val="0"/>
        <w:spacing w:after="240" w:line="480" w:lineRule="auto"/>
        <w:rPr>
          <w:rFonts w:eastAsiaTheme="minorHAnsi"/>
        </w:rPr>
      </w:pPr>
      <w:r w:rsidRPr="0057356B">
        <w:rPr>
          <w:rFonts w:eastAsiaTheme="minorHAnsi"/>
        </w:rPr>
        <w:lastRenderedPageBreak/>
        <w:t>Chapman AR, Fujisawa T, Lee KK,</w:t>
      </w:r>
      <w:r w:rsidR="003A32BA" w:rsidRPr="0057356B">
        <w:rPr>
          <w:rFonts w:ascii="Courier New" w:eastAsia="Times New Roman" w:hAnsi="Courier New" w:cs="Courier New"/>
          <w:color w:val="000000"/>
          <w:sz w:val="20"/>
          <w:szCs w:val="20"/>
        </w:rPr>
        <w:t xml:space="preserve"> </w:t>
      </w:r>
      <w:r w:rsidR="003A32BA" w:rsidRPr="0057356B">
        <w:rPr>
          <w:rFonts w:eastAsiaTheme="minorHAnsi"/>
        </w:rPr>
        <w:t xml:space="preserve">Andrews JP, Anand A, Sandeman D, </w:t>
      </w:r>
      <w:r w:rsidR="004F6FCB" w:rsidRPr="004F6FCB">
        <w:rPr>
          <w:rFonts w:eastAsiaTheme="minorHAnsi"/>
        </w:rPr>
        <w:t>Ferry AV, Stewart S, Marshall L, Strachan FE</w:t>
      </w:r>
      <w:r w:rsidR="004F6FCB">
        <w:rPr>
          <w:rFonts w:eastAsiaTheme="minorHAnsi"/>
        </w:rPr>
        <w:t>,</w:t>
      </w:r>
      <w:r w:rsidR="004F6FCB" w:rsidRPr="004F6FCB">
        <w:rPr>
          <w:rFonts w:eastAsiaTheme="minorHAnsi"/>
        </w:rPr>
        <w:t xml:space="preserve"> </w:t>
      </w:r>
      <w:r w:rsidRPr="0057356B">
        <w:rPr>
          <w:rFonts w:eastAsiaTheme="minorHAnsi"/>
          <w:i/>
          <w:iCs/>
        </w:rPr>
        <w:t>et al</w:t>
      </w:r>
      <w:r w:rsidRPr="0057356B">
        <w:rPr>
          <w:rFonts w:eastAsiaTheme="minorHAnsi"/>
        </w:rPr>
        <w:t xml:space="preserve">. Novel high-sensitivity cardiac troponin I assay in patients with suspected acute coronary syndrome. </w:t>
      </w:r>
      <w:r w:rsidRPr="0057356B">
        <w:rPr>
          <w:rFonts w:eastAsiaTheme="minorHAnsi"/>
          <w:i/>
          <w:iCs/>
        </w:rPr>
        <w:t>Heart</w:t>
      </w:r>
      <w:r w:rsidRPr="0057356B">
        <w:rPr>
          <w:rFonts w:eastAsiaTheme="minorHAnsi"/>
        </w:rPr>
        <w:t xml:space="preserve"> 2019;</w:t>
      </w:r>
      <w:r w:rsidR="003A32BA" w:rsidRPr="0057356B">
        <w:rPr>
          <w:rFonts w:eastAsiaTheme="minorHAnsi"/>
        </w:rPr>
        <w:t xml:space="preserve"> </w:t>
      </w:r>
      <w:r w:rsidRPr="0057356B">
        <w:rPr>
          <w:rFonts w:eastAsiaTheme="minorHAnsi"/>
        </w:rPr>
        <w:t>105:</w:t>
      </w:r>
      <w:r w:rsidR="003A32BA" w:rsidRPr="0057356B">
        <w:rPr>
          <w:rFonts w:eastAsiaTheme="minorHAnsi"/>
        </w:rPr>
        <w:t xml:space="preserve"> </w:t>
      </w:r>
      <w:r w:rsidRPr="0057356B">
        <w:rPr>
          <w:rFonts w:eastAsiaTheme="minorHAnsi"/>
        </w:rPr>
        <w:t xml:space="preserve">616–622. </w:t>
      </w:r>
    </w:p>
    <w:p w14:paraId="78E4818B" w14:textId="0A77089D" w:rsidR="00502EE0" w:rsidRPr="0057356B" w:rsidRDefault="00502EE0" w:rsidP="0057356B">
      <w:pPr>
        <w:pStyle w:val="ListParagraph"/>
        <w:numPr>
          <w:ilvl w:val="0"/>
          <w:numId w:val="43"/>
        </w:numPr>
        <w:spacing w:before="160" w:line="480" w:lineRule="auto"/>
        <w:rPr>
          <w:noProof/>
        </w:rPr>
      </w:pPr>
      <w:r w:rsidRPr="0057356B">
        <w:rPr>
          <w:noProof/>
        </w:rPr>
        <w:t>Chin CL, Shah ASV, McAllister DA,</w:t>
      </w:r>
      <w:r w:rsidR="003A32BA" w:rsidRPr="0057356B">
        <w:rPr>
          <w:rFonts w:ascii="Courier New" w:eastAsia="Times New Roman" w:hAnsi="Courier New" w:cs="Courier New"/>
          <w:color w:val="000000"/>
          <w:sz w:val="20"/>
          <w:szCs w:val="20"/>
        </w:rPr>
        <w:t xml:space="preserve"> </w:t>
      </w:r>
      <w:r w:rsidR="003A32BA" w:rsidRPr="0057356B">
        <w:rPr>
          <w:noProof/>
        </w:rPr>
        <w:t xml:space="preserve">Cowell JS, Alam S, Langrish JP, </w:t>
      </w:r>
      <w:r w:rsidR="004F6FCB" w:rsidRPr="004F6FCB">
        <w:rPr>
          <w:noProof/>
        </w:rPr>
        <w:t xml:space="preserve">Strachan </w:t>
      </w:r>
      <w:r w:rsidR="004F6FCB">
        <w:rPr>
          <w:noProof/>
        </w:rPr>
        <w:t>FE</w:t>
      </w:r>
      <w:r w:rsidR="004F6FCB" w:rsidRPr="004F6FCB">
        <w:rPr>
          <w:noProof/>
        </w:rPr>
        <w:t xml:space="preserve">, Hunter </w:t>
      </w:r>
      <w:r w:rsidR="004F6FCB">
        <w:rPr>
          <w:noProof/>
        </w:rPr>
        <w:t>AL</w:t>
      </w:r>
      <w:r w:rsidR="004F6FCB" w:rsidRPr="004F6FCB">
        <w:rPr>
          <w:noProof/>
        </w:rPr>
        <w:t xml:space="preserve">, Choy </w:t>
      </w:r>
      <w:r w:rsidR="004F6FCB">
        <w:rPr>
          <w:noProof/>
        </w:rPr>
        <w:t>AM</w:t>
      </w:r>
      <w:r w:rsidR="004F6FCB" w:rsidRPr="004F6FCB">
        <w:rPr>
          <w:noProof/>
        </w:rPr>
        <w:t>, Lang</w:t>
      </w:r>
      <w:r w:rsidR="004F6FCB" w:rsidRPr="004F6FCB">
        <w:rPr>
          <w:noProof/>
        </w:rPr>
        <w:t xml:space="preserve"> </w:t>
      </w:r>
      <w:r w:rsidR="004F6FCB">
        <w:rPr>
          <w:noProof/>
        </w:rPr>
        <w:t xml:space="preserve">CC, </w:t>
      </w:r>
      <w:r w:rsidRPr="0057356B">
        <w:rPr>
          <w:i/>
          <w:noProof/>
        </w:rPr>
        <w:t>et al.</w:t>
      </w:r>
      <w:r w:rsidRPr="0057356B">
        <w:rPr>
          <w:noProof/>
        </w:rPr>
        <w:t xml:space="preserve"> High-sensitivity troponin I concentrations are a marker of an advanced hypertrophic response and adverse outcomes in patients with aortic stenosis. </w:t>
      </w:r>
      <w:r w:rsidRPr="0057356B">
        <w:rPr>
          <w:i/>
          <w:noProof/>
        </w:rPr>
        <w:t>Eur Heart J.</w:t>
      </w:r>
      <w:r w:rsidRPr="0057356B">
        <w:rPr>
          <w:noProof/>
        </w:rPr>
        <w:t xml:space="preserve"> 2014; 35: 2312-</w:t>
      </w:r>
      <w:r w:rsidR="003A32BA" w:rsidRPr="0057356B">
        <w:rPr>
          <w:noProof/>
        </w:rPr>
        <w:t>23</w:t>
      </w:r>
      <w:r w:rsidRPr="0057356B">
        <w:rPr>
          <w:noProof/>
        </w:rPr>
        <w:t>21.</w:t>
      </w:r>
    </w:p>
    <w:p w14:paraId="714A9D64" w14:textId="4B9D9A69" w:rsidR="00502EE0" w:rsidRPr="0057356B" w:rsidRDefault="00502EE0" w:rsidP="0057356B">
      <w:pPr>
        <w:pStyle w:val="ListParagraph"/>
        <w:numPr>
          <w:ilvl w:val="0"/>
          <w:numId w:val="43"/>
        </w:numPr>
        <w:spacing w:before="160" w:line="480" w:lineRule="auto"/>
        <w:rPr>
          <w:noProof/>
        </w:rPr>
      </w:pPr>
      <w:r w:rsidRPr="0057356B">
        <w:rPr>
          <w:noProof/>
        </w:rPr>
        <w:t>Shah ASV, Griffiths M, Lee KK,</w:t>
      </w:r>
      <w:r w:rsidR="003A32BA" w:rsidRPr="0057356B">
        <w:rPr>
          <w:rFonts w:ascii="Courier New" w:eastAsia="Times New Roman" w:hAnsi="Courier New" w:cs="Courier New"/>
          <w:color w:val="000000"/>
          <w:sz w:val="20"/>
          <w:szCs w:val="20"/>
        </w:rPr>
        <w:t xml:space="preserve"> </w:t>
      </w:r>
      <w:r w:rsidR="003A32BA" w:rsidRPr="0057356B">
        <w:rPr>
          <w:noProof/>
        </w:rPr>
        <w:t xml:space="preserve">McAllister DA, Hunter AL, Ferry AV, </w:t>
      </w:r>
      <w:r w:rsidR="004F6FCB" w:rsidRPr="004F6FCB">
        <w:rPr>
          <w:noProof/>
        </w:rPr>
        <w:t xml:space="preserve">Cruikshank </w:t>
      </w:r>
      <w:r w:rsidR="004F6FCB">
        <w:rPr>
          <w:noProof/>
        </w:rPr>
        <w:t>A,</w:t>
      </w:r>
      <w:r w:rsidR="004F6FCB" w:rsidRPr="004F6FCB">
        <w:rPr>
          <w:noProof/>
        </w:rPr>
        <w:t xml:space="preserve"> Reid </w:t>
      </w:r>
      <w:r w:rsidR="004F6FCB">
        <w:rPr>
          <w:noProof/>
        </w:rPr>
        <w:t>A</w:t>
      </w:r>
      <w:r w:rsidR="004F6FCB" w:rsidRPr="004F6FCB">
        <w:rPr>
          <w:noProof/>
        </w:rPr>
        <w:t xml:space="preserve">, Stoddart </w:t>
      </w:r>
      <w:r w:rsidR="004F6FCB">
        <w:rPr>
          <w:noProof/>
        </w:rPr>
        <w:t>M</w:t>
      </w:r>
      <w:r w:rsidR="004F6FCB" w:rsidRPr="004F6FCB">
        <w:rPr>
          <w:noProof/>
        </w:rPr>
        <w:t>, Stracha</w:t>
      </w:r>
      <w:r w:rsidR="004F6FCB">
        <w:rPr>
          <w:noProof/>
        </w:rPr>
        <w:t>n FE,</w:t>
      </w:r>
      <w:r w:rsidR="004F6FCB" w:rsidRPr="004F6FCB">
        <w:rPr>
          <w:noProof/>
        </w:rPr>
        <w:t xml:space="preserve"> </w:t>
      </w:r>
      <w:r w:rsidRPr="0057356B">
        <w:rPr>
          <w:i/>
          <w:noProof/>
        </w:rPr>
        <w:t>et al</w:t>
      </w:r>
      <w:r w:rsidRPr="0057356B">
        <w:rPr>
          <w:noProof/>
        </w:rPr>
        <w:t xml:space="preserve">. High sensitivity cardiac troponin and the under-diagnosis of myocardial infarction in women: prospective cohort study. </w:t>
      </w:r>
      <w:r w:rsidRPr="0057356B">
        <w:rPr>
          <w:i/>
          <w:noProof/>
        </w:rPr>
        <w:t>BMJ</w:t>
      </w:r>
      <w:r w:rsidRPr="0057356B">
        <w:rPr>
          <w:noProof/>
        </w:rPr>
        <w:t xml:space="preserve"> 2015; 350: g7873.</w:t>
      </w:r>
    </w:p>
    <w:p w14:paraId="45AE211F" w14:textId="278FA7DB" w:rsidR="00A42743" w:rsidRPr="0057356B" w:rsidRDefault="001D6B4C" w:rsidP="0057356B">
      <w:pPr>
        <w:pStyle w:val="desc"/>
        <w:numPr>
          <w:ilvl w:val="0"/>
          <w:numId w:val="43"/>
        </w:numPr>
        <w:spacing w:line="480" w:lineRule="auto"/>
      </w:pPr>
      <w:r w:rsidRPr="0057356B">
        <w:rPr>
          <w:noProof/>
        </w:rPr>
        <w:t xml:space="preserve">The SCOT-HEART investigators. CT coronary angiography in patients with suspected angina due to coronary heart disease (SCOT-HEART): an open-label, parallel-group, multicentre trial. </w:t>
      </w:r>
      <w:r w:rsidRPr="0057356B">
        <w:rPr>
          <w:i/>
          <w:noProof/>
        </w:rPr>
        <w:t>Lancet</w:t>
      </w:r>
      <w:r w:rsidRPr="0057356B">
        <w:rPr>
          <w:noProof/>
        </w:rPr>
        <w:t xml:space="preserve"> 2015;</w:t>
      </w:r>
      <w:r w:rsidR="003A32BA" w:rsidRPr="0057356B">
        <w:rPr>
          <w:noProof/>
        </w:rPr>
        <w:t xml:space="preserve"> </w:t>
      </w:r>
      <w:r w:rsidRPr="0057356B">
        <w:rPr>
          <w:noProof/>
        </w:rPr>
        <w:t>385:</w:t>
      </w:r>
      <w:r w:rsidR="003A32BA" w:rsidRPr="0057356B">
        <w:rPr>
          <w:noProof/>
        </w:rPr>
        <w:t xml:space="preserve"> </w:t>
      </w:r>
      <w:r w:rsidRPr="0057356B">
        <w:rPr>
          <w:noProof/>
        </w:rPr>
        <w:t>2383-</w:t>
      </w:r>
      <w:r w:rsidR="003A32BA" w:rsidRPr="0057356B">
        <w:rPr>
          <w:noProof/>
        </w:rPr>
        <w:t>23</w:t>
      </w:r>
      <w:r w:rsidRPr="0057356B">
        <w:rPr>
          <w:noProof/>
        </w:rPr>
        <w:t>91.</w:t>
      </w:r>
    </w:p>
    <w:p w14:paraId="44398504" w14:textId="77777777" w:rsidR="00D1503D" w:rsidRPr="0057356B" w:rsidRDefault="00FA2A0E" w:rsidP="0057356B">
      <w:pPr>
        <w:pStyle w:val="ListParagraph"/>
        <w:numPr>
          <w:ilvl w:val="0"/>
          <w:numId w:val="43"/>
        </w:numPr>
        <w:spacing w:before="160" w:line="480" w:lineRule="auto"/>
        <w:rPr>
          <w:noProof/>
        </w:rPr>
      </w:pPr>
      <w:r w:rsidRPr="0057356B">
        <w:rPr>
          <w:noProof/>
        </w:rPr>
        <w:t>NHS National Services Scotland: Information Services Division (ISD). Scottish heart disease statistics. A National Statistics Publication for Scotland, 30</w:t>
      </w:r>
      <w:r w:rsidRPr="0057356B">
        <w:rPr>
          <w:noProof/>
          <w:vertAlign w:val="superscript"/>
        </w:rPr>
        <w:t>th</w:t>
      </w:r>
      <w:r w:rsidRPr="0057356B">
        <w:rPr>
          <w:noProof/>
        </w:rPr>
        <w:t xml:space="preserve"> Jan 2018; 1-52.</w:t>
      </w:r>
    </w:p>
    <w:p w14:paraId="6DB0D3BA" w14:textId="5CDECCD8" w:rsidR="007F6BD3" w:rsidRPr="0057356B" w:rsidRDefault="007F6BD3" w:rsidP="0057356B">
      <w:pPr>
        <w:pStyle w:val="desc"/>
        <w:numPr>
          <w:ilvl w:val="0"/>
          <w:numId w:val="43"/>
        </w:numPr>
        <w:spacing w:line="480" w:lineRule="auto"/>
      </w:pPr>
      <w:r w:rsidRPr="0057356B">
        <w:t>Shah ASV, Sandoval Y, Noaman A,</w:t>
      </w:r>
      <w:r w:rsidR="003A32BA" w:rsidRPr="0057356B">
        <w:rPr>
          <w:rFonts w:ascii="Courier New" w:hAnsi="Courier New" w:cs="Courier New"/>
          <w:color w:val="000000"/>
          <w:sz w:val="20"/>
          <w:szCs w:val="20"/>
        </w:rPr>
        <w:t xml:space="preserve"> </w:t>
      </w:r>
      <w:r w:rsidR="003A32BA" w:rsidRPr="0057356B">
        <w:t>Sexter A, Vaswani A, Smith SW,</w:t>
      </w:r>
      <w:r w:rsidR="004F6FCB" w:rsidRPr="004F6FCB">
        <w:t xml:space="preserve"> </w:t>
      </w:r>
      <w:r w:rsidR="004F6FCB" w:rsidRPr="004F6FCB">
        <w:t xml:space="preserve">Gibbins </w:t>
      </w:r>
      <w:r w:rsidR="004F6FCB">
        <w:t>M</w:t>
      </w:r>
      <w:r w:rsidR="004F6FCB" w:rsidRPr="004F6FCB">
        <w:t xml:space="preserve">, Griffiths </w:t>
      </w:r>
      <w:r w:rsidR="004F6FCB">
        <w:t>M</w:t>
      </w:r>
      <w:r w:rsidR="004F6FCB" w:rsidRPr="004F6FCB">
        <w:t xml:space="preserve">, Chapman </w:t>
      </w:r>
      <w:r w:rsidR="004F6FCB">
        <w:t>AR</w:t>
      </w:r>
      <w:r w:rsidR="004F6FCB" w:rsidRPr="004F6FCB">
        <w:t>, Strachan</w:t>
      </w:r>
      <w:r w:rsidRPr="0057356B">
        <w:t xml:space="preserve"> </w:t>
      </w:r>
      <w:r w:rsidR="004F6FCB">
        <w:t xml:space="preserve">FE, </w:t>
      </w:r>
      <w:r w:rsidRPr="0057356B">
        <w:rPr>
          <w:i/>
        </w:rPr>
        <w:t>at al</w:t>
      </w:r>
      <w:r w:rsidRPr="0057356B">
        <w:t xml:space="preserve">. Patient selection for high sensitivity cardiac troponin testing and diagnosis of myocardial infarction: prospective cohort study. </w:t>
      </w:r>
      <w:r w:rsidRPr="0057356B">
        <w:rPr>
          <w:rStyle w:val="jrnl"/>
          <w:i/>
        </w:rPr>
        <w:t>BMJ</w:t>
      </w:r>
      <w:r w:rsidRPr="0057356B">
        <w:t xml:space="preserve"> 2017;359:</w:t>
      </w:r>
      <w:r w:rsidR="003A32BA" w:rsidRPr="0057356B">
        <w:t xml:space="preserve"> </w:t>
      </w:r>
      <w:r w:rsidRPr="0057356B">
        <w:t xml:space="preserve">j4788. </w:t>
      </w:r>
    </w:p>
    <w:p w14:paraId="33B76847" w14:textId="7050CD09" w:rsidR="007F6BD3" w:rsidRPr="0057356B" w:rsidRDefault="007F6BD3" w:rsidP="0057356B">
      <w:pPr>
        <w:pStyle w:val="desc"/>
        <w:numPr>
          <w:ilvl w:val="0"/>
          <w:numId w:val="43"/>
        </w:numPr>
        <w:spacing w:line="480" w:lineRule="auto"/>
        <w:rPr>
          <w:noProof/>
        </w:rPr>
      </w:pPr>
      <w:r w:rsidRPr="0057356B">
        <w:rPr>
          <w:noProof/>
        </w:rPr>
        <w:t xml:space="preserve">Thygesen K, Alpert JS, Jaffe AS, Chaitman BR, Bax JJ, Morrow DA, </w:t>
      </w:r>
      <w:r w:rsidR="003A32BA" w:rsidRPr="0057356B">
        <w:rPr>
          <w:i/>
          <w:iCs/>
          <w:noProof/>
        </w:rPr>
        <w:t>et al</w:t>
      </w:r>
      <w:r w:rsidR="002172E8" w:rsidRPr="0057356B">
        <w:rPr>
          <w:i/>
          <w:iCs/>
          <w:noProof/>
        </w:rPr>
        <w:t>.</w:t>
      </w:r>
      <w:r w:rsidR="002172E8" w:rsidRPr="0057356B">
        <w:rPr>
          <w:noProof/>
        </w:rPr>
        <w:t xml:space="preserve"> </w:t>
      </w:r>
      <w:r w:rsidRPr="0057356B">
        <w:rPr>
          <w:noProof/>
        </w:rPr>
        <w:t xml:space="preserve">on behalf of the Joint European Society of Cardiology (ESC)/American College of Cardiology (ACC)/American Heart Association (AHA)/World Heart Federation (WHF) Task Force for the Universal Definition of Myocardial Infarction. Fourth Universal Definition of Myocardial Infarction. </w:t>
      </w:r>
      <w:r w:rsidRPr="0057356B">
        <w:rPr>
          <w:i/>
          <w:iCs/>
          <w:noProof/>
        </w:rPr>
        <w:t>Circulation.</w:t>
      </w:r>
      <w:r w:rsidRPr="0057356B">
        <w:rPr>
          <w:noProof/>
        </w:rPr>
        <w:t xml:space="preserve"> 2018;</w:t>
      </w:r>
      <w:r w:rsidR="002172E8" w:rsidRPr="0057356B">
        <w:rPr>
          <w:noProof/>
        </w:rPr>
        <w:t xml:space="preserve"> </w:t>
      </w:r>
      <w:r w:rsidRPr="0057356B">
        <w:rPr>
          <w:noProof/>
        </w:rPr>
        <w:t>138:</w:t>
      </w:r>
      <w:r w:rsidR="002172E8" w:rsidRPr="0057356B">
        <w:rPr>
          <w:noProof/>
        </w:rPr>
        <w:t xml:space="preserve"> </w:t>
      </w:r>
      <w:r w:rsidRPr="0057356B">
        <w:rPr>
          <w:noProof/>
        </w:rPr>
        <w:t xml:space="preserve">e618-e651. </w:t>
      </w:r>
    </w:p>
    <w:p w14:paraId="093532D7" w14:textId="58702AAC" w:rsidR="000F1D73" w:rsidRPr="0057356B" w:rsidRDefault="000F1D73" w:rsidP="0057356B">
      <w:pPr>
        <w:pStyle w:val="ListParagraph"/>
        <w:numPr>
          <w:ilvl w:val="0"/>
          <w:numId w:val="43"/>
        </w:numPr>
        <w:spacing w:line="480" w:lineRule="auto"/>
      </w:pPr>
      <w:r w:rsidRPr="0057356B">
        <w:lastRenderedPageBreak/>
        <w:t>Chapman AR, Lee KK, McAllister DA,</w:t>
      </w:r>
      <w:r w:rsidR="004F6FCB">
        <w:rPr>
          <w:rFonts w:ascii="Courier New" w:eastAsia="Times New Roman" w:hAnsi="Courier New" w:cs="Courier New"/>
          <w:color w:val="000000"/>
          <w:sz w:val="20"/>
          <w:szCs w:val="20"/>
        </w:rPr>
        <w:t xml:space="preserve"> </w:t>
      </w:r>
      <w:r w:rsidR="002172E8" w:rsidRPr="0057356B">
        <w:t>Cullen L, Greenslade JH, Parsonage W,</w:t>
      </w:r>
      <w:r w:rsidR="004F6FCB">
        <w:t xml:space="preserve"> </w:t>
      </w:r>
      <w:r w:rsidR="004F6FCB" w:rsidRPr="004F6FCB">
        <w:t>Worster</w:t>
      </w:r>
      <w:r w:rsidR="004F6FCB">
        <w:t xml:space="preserve"> A</w:t>
      </w:r>
      <w:r w:rsidR="004F6FCB" w:rsidRPr="004F6FCB">
        <w:t xml:space="preserve">, Kavsak </w:t>
      </w:r>
      <w:r w:rsidR="004F6FCB">
        <w:t>PA</w:t>
      </w:r>
      <w:r w:rsidR="004F6FCB" w:rsidRPr="004F6FCB">
        <w:t xml:space="preserve">, Blankenberg </w:t>
      </w:r>
      <w:r w:rsidR="004F6FCB">
        <w:t>S</w:t>
      </w:r>
      <w:r w:rsidR="004F6FCB" w:rsidRPr="004F6FCB">
        <w:t>, Neumann</w:t>
      </w:r>
      <w:r w:rsidR="004F6FCB" w:rsidRPr="004F6FCB">
        <w:t xml:space="preserve"> </w:t>
      </w:r>
      <w:r w:rsidR="004F6FCB">
        <w:t xml:space="preserve">J, </w:t>
      </w:r>
      <w:r w:rsidRPr="0057356B">
        <w:rPr>
          <w:i/>
        </w:rPr>
        <w:t>et al.</w:t>
      </w:r>
      <w:r w:rsidRPr="0057356B">
        <w:t xml:space="preserve"> Association of high-sensitivity cardiac troponin I concentration with cardiac outcomes in patients with suspected acute coronary syndrome. </w:t>
      </w:r>
      <w:r w:rsidRPr="0057356B">
        <w:rPr>
          <w:i/>
        </w:rPr>
        <w:t>JAMA</w:t>
      </w:r>
      <w:r w:rsidRPr="0057356B">
        <w:t xml:space="preserve"> 2017;</w:t>
      </w:r>
      <w:r w:rsidR="002172E8" w:rsidRPr="0057356B">
        <w:t xml:space="preserve"> </w:t>
      </w:r>
      <w:r w:rsidRPr="0057356B">
        <w:t>318:</w:t>
      </w:r>
      <w:r w:rsidR="002172E8" w:rsidRPr="0057356B">
        <w:t xml:space="preserve"> </w:t>
      </w:r>
      <w:r w:rsidRPr="0057356B">
        <w:t>1913-1924.</w:t>
      </w:r>
    </w:p>
    <w:p w14:paraId="58EC0AF1" w14:textId="5062CDDC" w:rsidR="00911950" w:rsidRPr="0057356B" w:rsidRDefault="000F1D73" w:rsidP="0057356B">
      <w:pPr>
        <w:pStyle w:val="ListParagraph"/>
        <w:numPr>
          <w:ilvl w:val="0"/>
          <w:numId w:val="43"/>
        </w:numPr>
        <w:spacing w:line="480" w:lineRule="auto"/>
      </w:pPr>
      <w:r w:rsidRPr="0057356B">
        <w:t>Pickering JW, Than MP, Cullen L,</w:t>
      </w:r>
      <w:r w:rsidR="004F6FCB">
        <w:rPr>
          <w:rFonts w:ascii="Courier New" w:eastAsia="Times New Roman" w:hAnsi="Courier New" w:cs="Courier New"/>
          <w:color w:val="000000"/>
          <w:sz w:val="20"/>
          <w:szCs w:val="20"/>
        </w:rPr>
        <w:t xml:space="preserve"> </w:t>
      </w:r>
      <w:r w:rsidR="002172E8" w:rsidRPr="0057356B">
        <w:t xml:space="preserve">Aldous S, Ter Avest E, Body R, </w:t>
      </w:r>
      <w:r w:rsidR="004F6FCB" w:rsidRPr="004F6FCB">
        <w:t xml:space="preserve">Carlton </w:t>
      </w:r>
      <w:r w:rsidR="004F6FCB">
        <w:t>EW</w:t>
      </w:r>
      <w:r w:rsidR="004F6FCB" w:rsidRPr="004F6FCB">
        <w:t>, Collinson</w:t>
      </w:r>
      <w:r w:rsidR="004F6FCB">
        <w:t xml:space="preserve"> P</w:t>
      </w:r>
      <w:r w:rsidR="004F6FCB" w:rsidRPr="004F6FCB">
        <w:t xml:space="preserve">, Dupuy </w:t>
      </w:r>
      <w:r w:rsidR="004F6FCB">
        <w:t>AM</w:t>
      </w:r>
      <w:r w:rsidR="004F6FCB" w:rsidRPr="004F6FCB">
        <w:t xml:space="preserve">, Ekelund </w:t>
      </w:r>
      <w:r w:rsidR="004F6FCB">
        <w:t xml:space="preserve">U, </w:t>
      </w:r>
      <w:r w:rsidRPr="0057356B">
        <w:rPr>
          <w:i/>
        </w:rPr>
        <w:t>et al.</w:t>
      </w:r>
      <w:r w:rsidRPr="0057356B">
        <w:t xml:space="preserve"> Rapid rule-out of acute myocardial infarction with a single high-sensitivity cardiac troponin T measurement below the limit of detection: A collaborative meta-analysis. </w:t>
      </w:r>
      <w:r w:rsidRPr="0057356B">
        <w:rPr>
          <w:i/>
        </w:rPr>
        <w:t xml:space="preserve">Ann Intern Med </w:t>
      </w:r>
      <w:r w:rsidRPr="0057356B">
        <w:t>2017;</w:t>
      </w:r>
      <w:r w:rsidR="002172E8" w:rsidRPr="0057356B">
        <w:t xml:space="preserve"> </w:t>
      </w:r>
      <w:r w:rsidRPr="0057356B">
        <w:t>166:</w:t>
      </w:r>
      <w:r w:rsidR="002172E8" w:rsidRPr="0057356B">
        <w:t xml:space="preserve"> </w:t>
      </w:r>
      <w:r w:rsidRPr="0057356B">
        <w:t>715-724.</w:t>
      </w:r>
    </w:p>
    <w:p w14:paraId="726C992A" w14:textId="0A2F2AB3" w:rsidR="00911950" w:rsidRPr="0057356B" w:rsidRDefault="00911950" w:rsidP="0057356B">
      <w:pPr>
        <w:pStyle w:val="ListParagraph"/>
        <w:numPr>
          <w:ilvl w:val="0"/>
          <w:numId w:val="43"/>
        </w:numPr>
        <w:spacing w:line="480" w:lineRule="auto"/>
      </w:pPr>
      <w:r w:rsidRPr="0057356B">
        <w:t xml:space="preserve">Kavsak PA, Don-Wauchope AC, Hill SA, Worster A. Acceptable analytical variation may exceed high-sensitivity cardiac troponin I cutoffs in early rule-out and rule-in acute myocardial infarction algorithms. </w:t>
      </w:r>
      <w:r w:rsidRPr="0057356B">
        <w:rPr>
          <w:i/>
          <w:iCs/>
        </w:rPr>
        <w:t>Clin Chem</w:t>
      </w:r>
      <w:r w:rsidRPr="0057356B">
        <w:t xml:space="preserve"> 2016; 62:</w:t>
      </w:r>
      <w:r w:rsidR="002172E8" w:rsidRPr="0057356B">
        <w:t xml:space="preserve"> </w:t>
      </w:r>
      <w:r w:rsidRPr="0057356B">
        <w:t>887–889.</w:t>
      </w:r>
    </w:p>
    <w:p w14:paraId="4B3CC363" w14:textId="3B57B419" w:rsidR="0091228E" w:rsidRPr="0057356B" w:rsidRDefault="0091228E" w:rsidP="0057356B">
      <w:pPr>
        <w:pStyle w:val="ListParagraph"/>
        <w:numPr>
          <w:ilvl w:val="0"/>
          <w:numId w:val="43"/>
        </w:numPr>
        <w:spacing w:line="480" w:lineRule="auto"/>
      </w:pPr>
      <w:r w:rsidRPr="0057356B">
        <w:t>Reichlin T, Schindler C, Drexler B,</w:t>
      </w:r>
      <w:r w:rsidR="002172E8" w:rsidRPr="0057356B">
        <w:rPr>
          <w:rFonts w:ascii="Courier New" w:eastAsia="Times New Roman" w:hAnsi="Courier New" w:cs="Courier New"/>
          <w:color w:val="000000"/>
          <w:sz w:val="20"/>
          <w:szCs w:val="20"/>
        </w:rPr>
        <w:t xml:space="preserve"> </w:t>
      </w:r>
      <w:r w:rsidR="002172E8" w:rsidRPr="0057356B">
        <w:t>Twerenbold R, Reiter M, Zellweger C,</w:t>
      </w:r>
      <w:r w:rsidR="004F6FCB">
        <w:t xml:space="preserve"> </w:t>
      </w:r>
      <w:r w:rsidR="004F6FCB" w:rsidRPr="004F6FCB">
        <w:t>Moehring</w:t>
      </w:r>
      <w:r w:rsidR="004F6FCB">
        <w:t xml:space="preserve"> B</w:t>
      </w:r>
      <w:r w:rsidR="004F6FCB" w:rsidRPr="004F6FCB">
        <w:t>, Ziller</w:t>
      </w:r>
      <w:r w:rsidR="004F6FCB">
        <w:t xml:space="preserve"> R</w:t>
      </w:r>
      <w:r w:rsidR="004F6FCB" w:rsidRPr="004F6FCB">
        <w:t>, Hoeller</w:t>
      </w:r>
      <w:r w:rsidR="004F6FCB">
        <w:t xml:space="preserve"> R</w:t>
      </w:r>
      <w:r w:rsidR="004F6FCB" w:rsidRPr="004F6FCB">
        <w:t>, Gimenez</w:t>
      </w:r>
      <w:r w:rsidR="002172E8" w:rsidRPr="0057356B">
        <w:t xml:space="preserve"> </w:t>
      </w:r>
      <w:r w:rsidR="004F6FCB">
        <w:t xml:space="preserve">MR, </w:t>
      </w:r>
      <w:r w:rsidRPr="0057356B">
        <w:rPr>
          <w:i/>
        </w:rPr>
        <w:t>et al</w:t>
      </w:r>
      <w:r w:rsidRPr="0057356B">
        <w:t xml:space="preserve">. One-hour rule-out and rule-in of acute myocardial infarction using high-sensitivity cardiac troponin T. </w:t>
      </w:r>
      <w:r w:rsidRPr="0057356B">
        <w:rPr>
          <w:i/>
        </w:rPr>
        <w:t>Arch Intern Med.</w:t>
      </w:r>
      <w:r w:rsidRPr="0057356B">
        <w:t xml:space="preserve"> 2012;</w:t>
      </w:r>
      <w:r w:rsidR="002172E8" w:rsidRPr="0057356B">
        <w:t xml:space="preserve"> </w:t>
      </w:r>
      <w:r w:rsidRPr="0057356B">
        <w:t>172:</w:t>
      </w:r>
      <w:r w:rsidR="002172E8" w:rsidRPr="0057356B">
        <w:t xml:space="preserve"> </w:t>
      </w:r>
      <w:r w:rsidRPr="0057356B">
        <w:t>1211</w:t>
      </w:r>
      <w:r w:rsidR="002172E8" w:rsidRPr="0057356B">
        <w:t>–121</w:t>
      </w:r>
      <w:r w:rsidRPr="0057356B">
        <w:t>8.</w:t>
      </w:r>
    </w:p>
    <w:p w14:paraId="36D8930C" w14:textId="3116F734" w:rsidR="00AF759F" w:rsidRPr="00AF759F" w:rsidRDefault="00AF759F" w:rsidP="00AF759F">
      <w:pPr>
        <w:pStyle w:val="ListParagraph"/>
        <w:numPr>
          <w:ilvl w:val="0"/>
          <w:numId w:val="43"/>
        </w:numPr>
        <w:spacing w:line="480" w:lineRule="auto"/>
      </w:pPr>
      <w:r w:rsidRPr="00AF759F">
        <w:rPr>
          <w:color w:val="212121"/>
          <w:shd w:val="clear" w:color="auto" w:fill="FFFFFF"/>
        </w:rPr>
        <w:t xml:space="preserve">Than MP, Pickering JW, Aldous SJ, Cullen L, Frampton CM, Peacock WF, Jaffe AS, Goodacre SW, Richards AM, Ardagh MW, </w:t>
      </w:r>
      <w:r w:rsidR="004F6FCB" w:rsidRPr="004F6FCB">
        <w:rPr>
          <w:i/>
          <w:iCs/>
          <w:color w:val="212121"/>
          <w:shd w:val="clear" w:color="auto" w:fill="FFFFFF"/>
        </w:rPr>
        <w:t>et al</w:t>
      </w:r>
      <w:r w:rsidRPr="00AF759F">
        <w:rPr>
          <w:color w:val="212121"/>
          <w:shd w:val="clear" w:color="auto" w:fill="FFFFFF"/>
        </w:rPr>
        <w:t xml:space="preserve">. Effectiveness of EDACS Versus ADAPT Accelerated Diagnostic Pathways for Chest Pain: A Pragmatic Randomized Controlled Trial Embedded Within Practice. </w:t>
      </w:r>
      <w:r w:rsidRPr="004F6FCB">
        <w:rPr>
          <w:i/>
          <w:iCs/>
          <w:color w:val="212121"/>
          <w:shd w:val="clear" w:color="auto" w:fill="FFFFFF"/>
        </w:rPr>
        <w:t>Ann Emerg Med</w:t>
      </w:r>
      <w:r w:rsidRPr="00AF759F">
        <w:rPr>
          <w:color w:val="212121"/>
          <w:shd w:val="clear" w:color="auto" w:fill="FFFFFF"/>
        </w:rPr>
        <w:t>. 2016;</w:t>
      </w:r>
      <w:r w:rsidR="004F6FCB">
        <w:rPr>
          <w:color w:val="212121"/>
          <w:shd w:val="clear" w:color="auto" w:fill="FFFFFF"/>
        </w:rPr>
        <w:t xml:space="preserve"> </w:t>
      </w:r>
      <w:r w:rsidRPr="00AF759F">
        <w:rPr>
          <w:color w:val="212121"/>
          <w:shd w:val="clear" w:color="auto" w:fill="FFFFFF"/>
        </w:rPr>
        <w:t>68:</w:t>
      </w:r>
      <w:r w:rsidR="004F6FCB">
        <w:rPr>
          <w:color w:val="212121"/>
          <w:shd w:val="clear" w:color="auto" w:fill="FFFFFF"/>
        </w:rPr>
        <w:t xml:space="preserve"> </w:t>
      </w:r>
      <w:r w:rsidRPr="00AF759F">
        <w:rPr>
          <w:color w:val="212121"/>
          <w:shd w:val="clear" w:color="auto" w:fill="FFFFFF"/>
        </w:rPr>
        <w:t>93-102.e1.</w:t>
      </w:r>
    </w:p>
    <w:p w14:paraId="199179E1" w14:textId="1219763A" w:rsidR="00AF759F" w:rsidRDefault="00AF759F" w:rsidP="00AF759F">
      <w:pPr>
        <w:pStyle w:val="ListParagraph"/>
        <w:numPr>
          <w:ilvl w:val="0"/>
          <w:numId w:val="43"/>
        </w:numPr>
        <w:spacing w:line="480" w:lineRule="auto"/>
      </w:pPr>
      <w:r w:rsidRPr="00AF759F">
        <w:rPr>
          <w:color w:val="212121"/>
          <w:shd w:val="clear" w:color="auto" w:fill="FFFFFF"/>
        </w:rPr>
        <w:t xml:space="preserve">Möckel M, Searle J, Hamm C, Slagman A, Blankenberg S, Huber K, Katus H, Liebetrau C, Müller C, Muller R, </w:t>
      </w:r>
      <w:r w:rsidR="004F6FCB" w:rsidRPr="004F6FCB">
        <w:rPr>
          <w:i/>
          <w:iCs/>
          <w:color w:val="212121"/>
          <w:shd w:val="clear" w:color="auto" w:fill="FFFFFF"/>
        </w:rPr>
        <w:t>et al</w:t>
      </w:r>
      <w:r w:rsidRPr="00AF759F">
        <w:rPr>
          <w:color w:val="212121"/>
          <w:shd w:val="clear" w:color="auto" w:fill="FFFFFF"/>
        </w:rPr>
        <w:t xml:space="preserve">. Early discharge using single cardiac troponin and copeptin testing in patients with suspected acute coronary syndrome (ACS): a randomized, controlled clinical process study. </w:t>
      </w:r>
      <w:r w:rsidRPr="004F6FCB">
        <w:rPr>
          <w:i/>
          <w:iCs/>
          <w:color w:val="212121"/>
          <w:shd w:val="clear" w:color="auto" w:fill="FFFFFF"/>
        </w:rPr>
        <w:t>Eur Heart J.</w:t>
      </w:r>
      <w:r w:rsidRPr="00AF759F">
        <w:rPr>
          <w:color w:val="212121"/>
          <w:shd w:val="clear" w:color="auto" w:fill="FFFFFF"/>
        </w:rPr>
        <w:t xml:space="preserve"> 2015;</w:t>
      </w:r>
      <w:r w:rsidR="004F6FCB">
        <w:rPr>
          <w:color w:val="212121"/>
          <w:shd w:val="clear" w:color="auto" w:fill="FFFFFF"/>
        </w:rPr>
        <w:t xml:space="preserve"> </w:t>
      </w:r>
      <w:r w:rsidRPr="00AF759F">
        <w:rPr>
          <w:color w:val="212121"/>
          <w:shd w:val="clear" w:color="auto" w:fill="FFFFFF"/>
        </w:rPr>
        <w:t>36:</w:t>
      </w:r>
      <w:r w:rsidR="004F6FCB">
        <w:rPr>
          <w:color w:val="212121"/>
          <w:shd w:val="clear" w:color="auto" w:fill="FFFFFF"/>
        </w:rPr>
        <w:t xml:space="preserve"> </w:t>
      </w:r>
      <w:r w:rsidRPr="00AF759F">
        <w:rPr>
          <w:color w:val="212121"/>
          <w:shd w:val="clear" w:color="auto" w:fill="FFFFFF"/>
        </w:rPr>
        <w:t>369-</w:t>
      </w:r>
      <w:r w:rsidR="00B10FEF">
        <w:rPr>
          <w:color w:val="212121"/>
          <w:shd w:val="clear" w:color="auto" w:fill="FFFFFF"/>
        </w:rPr>
        <w:t>3</w:t>
      </w:r>
      <w:r w:rsidRPr="00AF759F">
        <w:rPr>
          <w:color w:val="212121"/>
          <w:shd w:val="clear" w:color="auto" w:fill="FFFFFF"/>
        </w:rPr>
        <w:t>76.</w:t>
      </w:r>
    </w:p>
    <w:p w14:paraId="7DAC49D0" w14:textId="4A22F86E" w:rsidR="00792684" w:rsidRDefault="00792684" w:rsidP="0057356B">
      <w:pPr>
        <w:pStyle w:val="desc"/>
        <w:numPr>
          <w:ilvl w:val="0"/>
          <w:numId w:val="43"/>
        </w:numPr>
        <w:spacing w:line="480" w:lineRule="auto"/>
        <w:rPr>
          <w:noProof/>
        </w:rPr>
      </w:pPr>
      <w:r w:rsidRPr="0057356B">
        <w:rPr>
          <w:noProof/>
        </w:rPr>
        <w:lastRenderedPageBreak/>
        <w:t xml:space="preserve">Probst MA, McConnell JK, Weiss RE, Laurie AL, Yagapen AN, Lin MP, </w:t>
      </w:r>
      <w:r w:rsidR="004F6FCB" w:rsidRPr="004F6FCB">
        <w:rPr>
          <w:noProof/>
        </w:rPr>
        <w:t xml:space="preserve">Caterino </w:t>
      </w:r>
      <w:r w:rsidR="004F6FCB">
        <w:rPr>
          <w:noProof/>
        </w:rPr>
        <w:t>JM</w:t>
      </w:r>
      <w:r w:rsidR="004F6FCB" w:rsidRPr="004F6FCB">
        <w:rPr>
          <w:noProof/>
        </w:rPr>
        <w:t xml:space="preserve">, Shah </w:t>
      </w:r>
      <w:r w:rsidR="004F6FCB">
        <w:rPr>
          <w:noProof/>
        </w:rPr>
        <w:t>MN</w:t>
      </w:r>
      <w:r w:rsidR="004F6FCB" w:rsidRPr="004F6FCB">
        <w:rPr>
          <w:noProof/>
        </w:rPr>
        <w:t>, Sun</w:t>
      </w:r>
      <w:r w:rsidR="004F6FCB">
        <w:rPr>
          <w:noProof/>
        </w:rPr>
        <w:t xml:space="preserve"> BC</w:t>
      </w:r>
      <w:r w:rsidRPr="004F6FCB">
        <w:rPr>
          <w:i/>
          <w:iCs/>
          <w:noProof/>
        </w:rPr>
        <w:t>.</w:t>
      </w:r>
      <w:r w:rsidRPr="0057356B">
        <w:rPr>
          <w:noProof/>
        </w:rPr>
        <w:t xml:space="preserve"> Estimating the Cost of Care for Emergency Department Syncope Patients: Comparison of Three Models. </w:t>
      </w:r>
      <w:r w:rsidRPr="0057356B">
        <w:rPr>
          <w:i/>
          <w:iCs/>
          <w:noProof/>
        </w:rPr>
        <w:t>West J Emerg Med</w:t>
      </w:r>
      <w:r w:rsidRPr="0057356B">
        <w:rPr>
          <w:noProof/>
        </w:rPr>
        <w:t xml:space="preserve"> 2017;</w:t>
      </w:r>
      <w:r w:rsidR="002172E8" w:rsidRPr="0057356B">
        <w:rPr>
          <w:noProof/>
        </w:rPr>
        <w:t xml:space="preserve"> </w:t>
      </w:r>
      <w:r w:rsidRPr="0057356B">
        <w:rPr>
          <w:noProof/>
        </w:rPr>
        <w:t>18:</w:t>
      </w:r>
      <w:r w:rsidR="002172E8" w:rsidRPr="0057356B">
        <w:rPr>
          <w:noProof/>
        </w:rPr>
        <w:t xml:space="preserve"> </w:t>
      </w:r>
      <w:r w:rsidRPr="0057356B">
        <w:rPr>
          <w:noProof/>
        </w:rPr>
        <w:t>253</w:t>
      </w:r>
      <w:r w:rsidR="002172E8" w:rsidRPr="0057356B">
        <w:rPr>
          <w:noProof/>
        </w:rPr>
        <w:t>–</w:t>
      </w:r>
      <w:r w:rsidRPr="0057356B">
        <w:rPr>
          <w:noProof/>
        </w:rPr>
        <w:t>257.</w:t>
      </w:r>
    </w:p>
    <w:p w14:paraId="6532D235" w14:textId="4091B6EB" w:rsidR="00127A86" w:rsidRDefault="00127A86" w:rsidP="0057356B">
      <w:pPr>
        <w:pStyle w:val="desc"/>
        <w:numPr>
          <w:ilvl w:val="0"/>
          <w:numId w:val="43"/>
        </w:numPr>
        <w:spacing w:line="480" w:lineRule="auto"/>
        <w:rPr>
          <w:noProof/>
        </w:rPr>
      </w:pPr>
      <w:r>
        <w:rPr>
          <w:noProof/>
        </w:rPr>
        <w:t xml:space="preserve">Ljung L, Lindahl B, Eggers KM, Frick M, Linder R, Löfmark HB, Martinsson A, Melki D, Sarkar N, Svensson P, </w:t>
      </w:r>
      <w:r w:rsidR="004F6FCB" w:rsidRPr="004F6FCB">
        <w:rPr>
          <w:i/>
          <w:iCs/>
          <w:noProof/>
        </w:rPr>
        <w:t>et al</w:t>
      </w:r>
      <w:r>
        <w:rPr>
          <w:noProof/>
        </w:rPr>
        <w:t xml:space="preserve">. A Rule-Out Strategy Based on High-Sensitivity Troponin and HEART Score Reduces Hospital Admissions. </w:t>
      </w:r>
      <w:r w:rsidRPr="00305AAC">
        <w:rPr>
          <w:i/>
          <w:iCs/>
          <w:noProof/>
        </w:rPr>
        <w:t>Ann Emerg Med.</w:t>
      </w:r>
      <w:r>
        <w:rPr>
          <w:noProof/>
        </w:rPr>
        <w:t xml:space="preserve"> 2019;</w:t>
      </w:r>
      <w:r w:rsidR="004F6FCB">
        <w:rPr>
          <w:noProof/>
        </w:rPr>
        <w:t xml:space="preserve"> </w:t>
      </w:r>
      <w:r>
        <w:rPr>
          <w:noProof/>
        </w:rPr>
        <w:t>73:</w:t>
      </w:r>
      <w:r w:rsidR="004F6FCB">
        <w:rPr>
          <w:noProof/>
        </w:rPr>
        <w:t xml:space="preserve"> </w:t>
      </w:r>
      <w:r>
        <w:rPr>
          <w:noProof/>
        </w:rPr>
        <w:t>491-499.</w:t>
      </w:r>
    </w:p>
    <w:p w14:paraId="391064D3" w14:textId="2AD8D447" w:rsidR="00173DB9" w:rsidRPr="0057356B" w:rsidRDefault="00173DB9" w:rsidP="00B05593">
      <w:pPr>
        <w:pStyle w:val="ListParagraph"/>
        <w:numPr>
          <w:ilvl w:val="0"/>
          <w:numId w:val="43"/>
        </w:numPr>
        <w:spacing w:line="480" w:lineRule="auto"/>
      </w:pPr>
      <w:r w:rsidRPr="00B05593">
        <w:rPr>
          <w:color w:val="212121"/>
          <w:shd w:val="clear" w:color="auto" w:fill="FFFFFF"/>
        </w:rPr>
        <w:t xml:space="preserve">Hamm CW, Bassand JP, Agewall S, Bax J, Boersma E, Bueno H, Caso P, Dudek D, Gielen S, Huber K, </w:t>
      </w:r>
      <w:r w:rsidR="004F6FCB" w:rsidRPr="004F6FCB">
        <w:rPr>
          <w:i/>
          <w:iCs/>
          <w:color w:val="212121"/>
          <w:shd w:val="clear" w:color="auto" w:fill="FFFFFF"/>
        </w:rPr>
        <w:t>et al</w:t>
      </w:r>
      <w:r w:rsidR="004F6FCB">
        <w:rPr>
          <w:color w:val="212121"/>
          <w:shd w:val="clear" w:color="auto" w:fill="FFFFFF"/>
        </w:rPr>
        <w:t>.</w:t>
      </w:r>
      <w:r w:rsidRPr="00B05593">
        <w:rPr>
          <w:color w:val="212121"/>
          <w:shd w:val="clear" w:color="auto" w:fill="FFFFFF"/>
        </w:rPr>
        <w:t xml:space="preserve">; ESC Committee for Practice Guidelines. ESC Guidelines for the management of acute coronary syndromes in patients presenting without persistent ST-segment elevation: The Task Force for the management of acute coronary syndromes (ACS) in patients presenting without persistent ST-segment elevation of the European Society of Cardiology (ESC). </w:t>
      </w:r>
      <w:r w:rsidRPr="004F6FCB">
        <w:rPr>
          <w:i/>
          <w:iCs/>
          <w:color w:val="212121"/>
          <w:shd w:val="clear" w:color="auto" w:fill="FFFFFF"/>
        </w:rPr>
        <w:t>Eur Heart J.</w:t>
      </w:r>
      <w:r w:rsidRPr="00B05593">
        <w:rPr>
          <w:color w:val="212121"/>
          <w:shd w:val="clear" w:color="auto" w:fill="FFFFFF"/>
        </w:rPr>
        <w:t xml:space="preserve"> 2011;</w:t>
      </w:r>
      <w:r w:rsidR="004F6FCB">
        <w:rPr>
          <w:color w:val="212121"/>
          <w:shd w:val="clear" w:color="auto" w:fill="FFFFFF"/>
        </w:rPr>
        <w:t xml:space="preserve"> </w:t>
      </w:r>
      <w:r w:rsidRPr="00B05593">
        <w:rPr>
          <w:color w:val="212121"/>
          <w:shd w:val="clear" w:color="auto" w:fill="FFFFFF"/>
        </w:rPr>
        <w:t>32:</w:t>
      </w:r>
      <w:r w:rsidR="004F6FCB">
        <w:rPr>
          <w:color w:val="212121"/>
          <w:shd w:val="clear" w:color="auto" w:fill="FFFFFF"/>
        </w:rPr>
        <w:t xml:space="preserve"> </w:t>
      </w:r>
      <w:r w:rsidRPr="00B05593">
        <w:rPr>
          <w:color w:val="212121"/>
          <w:shd w:val="clear" w:color="auto" w:fill="FFFFFF"/>
        </w:rPr>
        <w:t>2999-3054</w:t>
      </w:r>
      <w:r>
        <w:rPr>
          <w:color w:val="212121"/>
          <w:shd w:val="clear" w:color="auto" w:fill="FFFFFF"/>
        </w:rPr>
        <w:t>.</w:t>
      </w:r>
    </w:p>
    <w:p w14:paraId="5598A945" w14:textId="3AFE50EE" w:rsidR="00B66500" w:rsidRDefault="00B66500" w:rsidP="0057356B">
      <w:pPr>
        <w:pStyle w:val="ListParagraph"/>
        <w:numPr>
          <w:ilvl w:val="0"/>
          <w:numId w:val="43"/>
        </w:numPr>
        <w:spacing w:line="480" w:lineRule="auto"/>
        <w:rPr>
          <w:color w:val="040404"/>
        </w:rPr>
      </w:pPr>
      <w:r w:rsidRPr="0057356B">
        <w:rPr>
          <w:color w:val="040404"/>
        </w:rPr>
        <w:t>Pickering JW, Greenslade JH, Cullen L,</w:t>
      </w:r>
      <w:r w:rsidR="002172E8" w:rsidRPr="0057356B">
        <w:rPr>
          <w:rFonts w:ascii="Courier New" w:eastAsia="Times New Roman" w:hAnsi="Courier New" w:cs="Courier New"/>
          <w:color w:val="000000"/>
          <w:sz w:val="20"/>
          <w:szCs w:val="20"/>
        </w:rPr>
        <w:t xml:space="preserve"> </w:t>
      </w:r>
      <w:r w:rsidR="002172E8" w:rsidRPr="0057356B">
        <w:rPr>
          <w:color w:val="040404"/>
        </w:rPr>
        <w:t xml:space="preserve">Flaws D, Parsonage W, George P, </w:t>
      </w:r>
      <w:r w:rsidR="004F6FCB" w:rsidRPr="004F6FCB">
        <w:rPr>
          <w:color w:val="040404"/>
        </w:rPr>
        <w:t>Worster A, Kavsak PA, Than MP</w:t>
      </w:r>
      <w:r w:rsidR="004F6FCB" w:rsidRPr="004F6FCB">
        <w:rPr>
          <w:color w:val="040404"/>
        </w:rPr>
        <w:t>.</w:t>
      </w:r>
      <w:r w:rsidR="004F6FCB" w:rsidRPr="004F6FCB">
        <w:rPr>
          <w:i/>
          <w:iCs/>
          <w:color w:val="040404"/>
        </w:rPr>
        <w:t xml:space="preserve"> </w:t>
      </w:r>
      <w:r w:rsidRPr="0057356B">
        <w:rPr>
          <w:color w:val="040404"/>
        </w:rPr>
        <w:t>Validation of presentation and 3 h high-sensitivity troponin to rule-in and rule-out acute myocardial infarction</w:t>
      </w:r>
      <w:r w:rsidRPr="0057356B">
        <w:rPr>
          <w:i/>
          <w:iCs/>
          <w:color w:val="040404"/>
        </w:rPr>
        <w:t xml:space="preserve"> Heart </w:t>
      </w:r>
      <w:r w:rsidRPr="0057356B">
        <w:rPr>
          <w:color w:val="040404"/>
        </w:rPr>
        <w:t>2016;</w:t>
      </w:r>
      <w:r w:rsidR="002172E8" w:rsidRPr="0057356B">
        <w:rPr>
          <w:color w:val="040404"/>
        </w:rPr>
        <w:t xml:space="preserve"> </w:t>
      </w:r>
      <w:r w:rsidRPr="0057356B">
        <w:rPr>
          <w:color w:val="040404"/>
        </w:rPr>
        <w:t>102:</w:t>
      </w:r>
      <w:r w:rsidR="002172E8" w:rsidRPr="0057356B">
        <w:rPr>
          <w:color w:val="040404"/>
        </w:rPr>
        <w:t xml:space="preserve"> </w:t>
      </w:r>
      <w:r w:rsidRPr="0057356B">
        <w:rPr>
          <w:color w:val="040404"/>
        </w:rPr>
        <w:t>1270</w:t>
      </w:r>
      <w:r w:rsidR="002172E8" w:rsidRPr="0057356B">
        <w:rPr>
          <w:color w:val="040404"/>
        </w:rPr>
        <w:t>–</w:t>
      </w:r>
      <w:r w:rsidRPr="0057356B">
        <w:rPr>
          <w:color w:val="040404"/>
        </w:rPr>
        <w:t>1278.</w:t>
      </w:r>
    </w:p>
    <w:p w14:paraId="7766061E" w14:textId="3C9DDD4C" w:rsidR="00181619" w:rsidRPr="0057356B" w:rsidRDefault="00181619" w:rsidP="0057356B">
      <w:pPr>
        <w:pStyle w:val="ListParagraph"/>
        <w:numPr>
          <w:ilvl w:val="0"/>
          <w:numId w:val="43"/>
        </w:numPr>
        <w:spacing w:line="480" w:lineRule="auto"/>
        <w:rPr>
          <w:color w:val="040404"/>
        </w:rPr>
      </w:pPr>
      <w:r w:rsidRPr="00CF6B04">
        <w:rPr>
          <w:rFonts w:eastAsiaTheme="minorHAnsi"/>
        </w:rPr>
        <w:t>Collet JP, Thiele H, Barbato E, Barthe</w:t>
      </w:r>
      <w:r w:rsidRPr="00D822E1">
        <w:rPr>
          <w:rFonts w:eastAsiaTheme="minorHAnsi"/>
        </w:rPr>
        <w:t>l</w:t>
      </w:r>
      <w:r w:rsidRPr="00B02AE6">
        <w:rPr>
          <w:rFonts w:eastAsiaTheme="minorHAnsi"/>
        </w:rPr>
        <w:t xml:space="preserve">emy O, Bauersachs J, Bhatt DL, Dendale P, Dorobantu M, Edvardsen T, Folliguet T, </w:t>
      </w:r>
      <w:r w:rsidR="004F6FCB" w:rsidRPr="004F6FCB">
        <w:rPr>
          <w:rFonts w:eastAsiaTheme="minorHAnsi"/>
          <w:i/>
          <w:iCs/>
        </w:rPr>
        <w:t>et al</w:t>
      </w:r>
      <w:r w:rsidR="004F6FCB">
        <w:rPr>
          <w:rFonts w:eastAsiaTheme="minorHAnsi"/>
        </w:rPr>
        <w:t>.</w:t>
      </w:r>
      <w:r w:rsidRPr="00CF6B04">
        <w:rPr>
          <w:rFonts w:eastAsiaTheme="minorHAnsi"/>
        </w:rPr>
        <w:t xml:space="preserve">; ESC Scientific Document Group. 2020 ESC Guidelines for the management of acute coronary syndromes in patients presenting without persistent ST-segment elevation. </w:t>
      </w:r>
      <w:r w:rsidRPr="00560590">
        <w:rPr>
          <w:rFonts w:eastAsiaTheme="minorHAnsi"/>
          <w:i/>
          <w:iCs/>
        </w:rPr>
        <w:t>Eur Heart J.</w:t>
      </w:r>
      <w:r w:rsidRPr="00CF6B04">
        <w:rPr>
          <w:rFonts w:eastAsiaTheme="minorHAnsi"/>
        </w:rPr>
        <w:t xml:space="preserve"> 2020 Aug 29:ehaa575.</w:t>
      </w:r>
    </w:p>
    <w:p w14:paraId="5CA2ADE2" w14:textId="03153E38" w:rsidR="00B66500" w:rsidRPr="0057356B" w:rsidRDefault="00B66500" w:rsidP="0057356B">
      <w:pPr>
        <w:pStyle w:val="ListParagraph"/>
        <w:numPr>
          <w:ilvl w:val="0"/>
          <w:numId w:val="43"/>
        </w:numPr>
        <w:spacing w:line="480" w:lineRule="auto"/>
        <w:rPr>
          <w:noProof/>
        </w:rPr>
      </w:pPr>
      <w:r w:rsidRPr="0057356B">
        <w:rPr>
          <w:noProof/>
        </w:rPr>
        <w:t>Parsonage WA, Mueller C, Greenslade JH,</w:t>
      </w:r>
      <w:r w:rsidR="002172E8" w:rsidRPr="0057356B">
        <w:rPr>
          <w:rFonts w:ascii="Courier New" w:eastAsia="Times New Roman" w:hAnsi="Courier New" w:cs="Courier New"/>
          <w:color w:val="000000"/>
          <w:sz w:val="20"/>
          <w:szCs w:val="20"/>
        </w:rPr>
        <w:t xml:space="preserve"> </w:t>
      </w:r>
      <w:r w:rsidR="002172E8" w:rsidRPr="0057356B">
        <w:rPr>
          <w:noProof/>
        </w:rPr>
        <w:t xml:space="preserve">Wildi K, Pickering J, Than M, </w:t>
      </w:r>
      <w:r w:rsidR="00656298" w:rsidRPr="00656298">
        <w:rPr>
          <w:noProof/>
        </w:rPr>
        <w:t>Aldous S, Boeddinghaus J, Hammett CJ, Hawkins T</w:t>
      </w:r>
      <w:r w:rsidR="00656298">
        <w:rPr>
          <w:noProof/>
        </w:rPr>
        <w:t>,</w:t>
      </w:r>
      <w:r w:rsidR="00656298" w:rsidRPr="00656298">
        <w:rPr>
          <w:noProof/>
        </w:rPr>
        <w:t xml:space="preserve"> </w:t>
      </w:r>
      <w:r w:rsidRPr="0057356B">
        <w:rPr>
          <w:i/>
          <w:iCs/>
          <w:noProof/>
        </w:rPr>
        <w:t>et al.</w:t>
      </w:r>
      <w:r w:rsidRPr="0057356B">
        <w:rPr>
          <w:noProof/>
        </w:rPr>
        <w:t xml:space="preserve"> Validation of NICE diagnostic guidance for rule out of myocardial infarction using high-sensitivity troponin tests. </w:t>
      </w:r>
      <w:r w:rsidRPr="0057356B">
        <w:rPr>
          <w:i/>
          <w:iCs/>
          <w:noProof/>
        </w:rPr>
        <w:t>Heart</w:t>
      </w:r>
      <w:r w:rsidRPr="0057356B">
        <w:rPr>
          <w:noProof/>
        </w:rPr>
        <w:t xml:space="preserve"> 2016;</w:t>
      </w:r>
      <w:r w:rsidR="002172E8" w:rsidRPr="0057356B">
        <w:rPr>
          <w:noProof/>
        </w:rPr>
        <w:t xml:space="preserve"> </w:t>
      </w:r>
      <w:r w:rsidRPr="0057356B">
        <w:rPr>
          <w:noProof/>
        </w:rPr>
        <w:t>102:</w:t>
      </w:r>
      <w:r w:rsidR="002172E8" w:rsidRPr="0057356B">
        <w:rPr>
          <w:noProof/>
        </w:rPr>
        <w:t xml:space="preserve"> </w:t>
      </w:r>
      <w:r w:rsidRPr="0057356B">
        <w:rPr>
          <w:noProof/>
        </w:rPr>
        <w:t>1279</w:t>
      </w:r>
      <w:r w:rsidR="002172E8" w:rsidRPr="0057356B">
        <w:rPr>
          <w:noProof/>
        </w:rPr>
        <w:t>–</w:t>
      </w:r>
      <w:r w:rsidRPr="0057356B">
        <w:rPr>
          <w:noProof/>
        </w:rPr>
        <w:t>1286.</w:t>
      </w:r>
    </w:p>
    <w:p w14:paraId="18A8442E" w14:textId="3116BB60" w:rsidR="00434C17" w:rsidRDefault="00B66500" w:rsidP="00434C17">
      <w:pPr>
        <w:pStyle w:val="desc"/>
        <w:numPr>
          <w:ilvl w:val="0"/>
          <w:numId w:val="43"/>
        </w:numPr>
        <w:spacing w:line="480" w:lineRule="auto"/>
        <w:rPr>
          <w:rFonts w:eastAsiaTheme="minorHAnsi"/>
        </w:rPr>
      </w:pPr>
      <w:r w:rsidRPr="0057356B">
        <w:rPr>
          <w:rFonts w:eastAsiaTheme="minorHAnsi"/>
        </w:rPr>
        <w:lastRenderedPageBreak/>
        <w:t>Amsterdam EA, Wenger NK, Brindis RG,</w:t>
      </w:r>
      <w:r w:rsidR="00EF393C" w:rsidRPr="0057356B">
        <w:rPr>
          <w:rFonts w:ascii="Courier New" w:hAnsi="Courier New" w:cs="Courier New"/>
          <w:color w:val="000000"/>
          <w:sz w:val="20"/>
          <w:szCs w:val="20"/>
        </w:rPr>
        <w:t xml:space="preserve"> </w:t>
      </w:r>
      <w:r w:rsidR="00EF393C" w:rsidRPr="0057356B">
        <w:rPr>
          <w:rFonts w:eastAsiaTheme="minorHAnsi"/>
        </w:rPr>
        <w:t xml:space="preserve">Casey DE Jr, Ganiats TG, Holmes DR Jr, </w:t>
      </w:r>
      <w:r w:rsidRPr="0057356B">
        <w:rPr>
          <w:rFonts w:eastAsiaTheme="minorHAnsi"/>
          <w:i/>
          <w:iCs/>
        </w:rPr>
        <w:t>et al.</w:t>
      </w:r>
      <w:r w:rsidR="00EF393C" w:rsidRPr="0057356B">
        <w:rPr>
          <w:rFonts w:eastAsiaTheme="minorHAnsi"/>
        </w:rPr>
        <w:t xml:space="preserve"> on behalf of</w:t>
      </w:r>
      <w:r w:rsidRPr="0057356B">
        <w:rPr>
          <w:rFonts w:eastAsiaTheme="minorHAnsi"/>
        </w:rPr>
        <w:t xml:space="preserve"> ACC/AHA Task Force Members, Society for Cardiovascular Angiography and Interventions and the Society of Thoracic Surgeons. 2014 AHA/ACC guideline for the management of patients with non-ST-elevation acute coronary syndromes: executive summary: a report of the American College of Cardiology/American Heart Association Task Force on Practice Guidelines. </w:t>
      </w:r>
      <w:r w:rsidRPr="0057356B">
        <w:rPr>
          <w:rFonts w:eastAsiaTheme="minorHAnsi"/>
          <w:i/>
          <w:iCs/>
        </w:rPr>
        <w:t>Circulation</w:t>
      </w:r>
      <w:r w:rsidRPr="0057356B">
        <w:rPr>
          <w:rFonts w:eastAsiaTheme="minorHAnsi"/>
        </w:rPr>
        <w:t xml:space="preserve"> 2014;</w:t>
      </w:r>
      <w:r w:rsidR="00EF393C" w:rsidRPr="0057356B">
        <w:rPr>
          <w:rFonts w:eastAsiaTheme="minorHAnsi"/>
        </w:rPr>
        <w:t xml:space="preserve"> </w:t>
      </w:r>
      <w:r w:rsidRPr="0057356B">
        <w:rPr>
          <w:rFonts w:eastAsiaTheme="minorHAnsi"/>
        </w:rPr>
        <w:t>130:</w:t>
      </w:r>
      <w:r w:rsidR="00EF393C" w:rsidRPr="0057356B">
        <w:rPr>
          <w:rFonts w:eastAsiaTheme="minorHAnsi"/>
        </w:rPr>
        <w:t xml:space="preserve"> </w:t>
      </w:r>
      <w:r w:rsidRPr="0057356B">
        <w:rPr>
          <w:rFonts w:eastAsiaTheme="minorHAnsi"/>
        </w:rPr>
        <w:t>2354–2394</w:t>
      </w:r>
      <w:r w:rsidR="00434C17">
        <w:rPr>
          <w:rFonts w:eastAsiaTheme="minorHAnsi"/>
        </w:rPr>
        <w:t>.</w:t>
      </w:r>
    </w:p>
    <w:p w14:paraId="2CA6225D" w14:textId="15A74A02" w:rsidR="00181619" w:rsidRPr="00181619" w:rsidRDefault="00181619" w:rsidP="00C00B7C">
      <w:pPr>
        <w:pStyle w:val="ListParagraph"/>
        <w:numPr>
          <w:ilvl w:val="0"/>
          <w:numId w:val="43"/>
        </w:numPr>
        <w:spacing w:line="480" w:lineRule="auto"/>
      </w:pPr>
      <w:r w:rsidRPr="00C00B7C">
        <w:rPr>
          <w:color w:val="212121"/>
          <w:shd w:val="clear" w:color="auto" w:fill="FFFFFF"/>
        </w:rPr>
        <w:t xml:space="preserve">Carlton EW, Ingram J, Taylor H, Glynn J, Kandiyali R, Campbell S, Beasant L, Aziz S, Beresford P, Kendall J, </w:t>
      </w:r>
      <w:r w:rsidR="00656298" w:rsidRPr="00656298">
        <w:rPr>
          <w:i/>
          <w:iCs/>
          <w:color w:val="212121"/>
          <w:shd w:val="clear" w:color="auto" w:fill="FFFFFF"/>
        </w:rPr>
        <w:t>et al</w:t>
      </w:r>
      <w:r w:rsidRPr="00C00B7C">
        <w:rPr>
          <w:color w:val="212121"/>
          <w:shd w:val="clear" w:color="auto" w:fill="FFFFFF"/>
        </w:rPr>
        <w:t xml:space="preserve">. Limit of detection of troponin discharge strategy versus usual care: randomised controlled trial. </w:t>
      </w:r>
      <w:r w:rsidRPr="00C00B7C">
        <w:rPr>
          <w:i/>
          <w:iCs/>
          <w:color w:val="212121"/>
          <w:shd w:val="clear" w:color="auto" w:fill="FFFFFF"/>
        </w:rPr>
        <w:t>Heart</w:t>
      </w:r>
      <w:r w:rsidRPr="00C00B7C">
        <w:rPr>
          <w:color w:val="212121"/>
          <w:shd w:val="clear" w:color="auto" w:fill="FFFFFF"/>
        </w:rPr>
        <w:t xml:space="preserve"> 2020;</w:t>
      </w:r>
      <w:r w:rsidR="00656298">
        <w:rPr>
          <w:color w:val="212121"/>
          <w:shd w:val="clear" w:color="auto" w:fill="FFFFFF"/>
        </w:rPr>
        <w:t xml:space="preserve"> </w:t>
      </w:r>
      <w:r w:rsidRPr="00C00B7C">
        <w:rPr>
          <w:color w:val="212121"/>
          <w:shd w:val="clear" w:color="auto" w:fill="FFFFFF"/>
        </w:rPr>
        <w:t>106:</w:t>
      </w:r>
      <w:r w:rsidR="00656298">
        <w:rPr>
          <w:color w:val="212121"/>
          <w:shd w:val="clear" w:color="auto" w:fill="FFFFFF"/>
        </w:rPr>
        <w:t xml:space="preserve"> </w:t>
      </w:r>
      <w:r w:rsidRPr="00C00B7C">
        <w:rPr>
          <w:color w:val="212121"/>
          <w:shd w:val="clear" w:color="auto" w:fill="FFFFFF"/>
        </w:rPr>
        <w:t>1586-1594.</w:t>
      </w:r>
    </w:p>
    <w:p w14:paraId="6DC81D5B" w14:textId="2E48F3C0" w:rsidR="00393C8D" w:rsidRPr="00B05593" w:rsidRDefault="00F034D5" w:rsidP="00393C8D">
      <w:pPr>
        <w:pStyle w:val="ListParagraph"/>
        <w:numPr>
          <w:ilvl w:val="0"/>
          <w:numId w:val="43"/>
        </w:numPr>
        <w:spacing w:line="480" w:lineRule="auto"/>
      </w:pPr>
      <w:r w:rsidRPr="00F034D5">
        <w:rPr>
          <w:rFonts w:eastAsiaTheme="minorHAnsi"/>
        </w:rPr>
        <w:t xml:space="preserve">Chapman AR, Adamson PD, Shah ASV, Anand A, Strachan FE, Ferry AV, Ken Lee K, Berry C, Findlay I, Cruikshank A, </w:t>
      </w:r>
      <w:r w:rsidR="00656298" w:rsidRPr="00656298">
        <w:rPr>
          <w:rFonts w:eastAsiaTheme="minorHAnsi"/>
          <w:i/>
          <w:iCs/>
        </w:rPr>
        <w:t>et al</w:t>
      </w:r>
      <w:r w:rsidR="00656298">
        <w:rPr>
          <w:rFonts w:eastAsiaTheme="minorHAnsi"/>
        </w:rPr>
        <w:t>.</w:t>
      </w:r>
      <w:r w:rsidRPr="00F034D5">
        <w:rPr>
          <w:rFonts w:eastAsiaTheme="minorHAnsi"/>
        </w:rPr>
        <w:t>; High-STEACS Investigators. High-Sensitivity Cardiac Troponin and the Universal Definition of Myocardial Infarction.</w:t>
      </w:r>
      <w:r w:rsidRPr="00B05593">
        <w:rPr>
          <w:rFonts w:eastAsiaTheme="minorHAnsi"/>
        </w:rPr>
        <w:t xml:space="preserve"> </w:t>
      </w:r>
      <w:r w:rsidRPr="00B05593">
        <w:rPr>
          <w:rFonts w:eastAsiaTheme="minorHAnsi"/>
          <w:i/>
          <w:iCs/>
        </w:rPr>
        <w:t>Circulation</w:t>
      </w:r>
      <w:r w:rsidRPr="00F034D5">
        <w:rPr>
          <w:rFonts w:eastAsiaTheme="minorHAnsi"/>
        </w:rPr>
        <w:t>. 2020;</w:t>
      </w:r>
      <w:r w:rsidR="00656298">
        <w:rPr>
          <w:rFonts w:eastAsiaTheme="minorHAnsi"/>
        </w:rPr>
        <w:t xml:space="preserve"> </w:t>
      </w:r>
      <w:r w:rsidRPr="00F034D5">
        <w:rPr>
          <w:rFonts w:eastAsiaTheme="minorHAnsi"/>
        </w:rPr>
        <w:t>141:</w:t>
      </w:r>
      <w:r w:rsidR="00656298">
        <w:rPr>
          <w:rFonts w:eastAsiaTheme="minorHAnsi"/>
        </w:rPr>
        <w:t xml:space="preserve"> </w:t>
      </w:r>
      <w:r w:rsidRPr="00F034D5">
        <w:rPr>
          <w:rFonts w:eastAsiaTheme="minorHAnsi"/>
        </w:rPr>
        <w:t>161-171.</w:t>
      </w:r>
    </w:p>
    <w:p w14:paraId="61892A51" w14:textId="01EEF613" w:rsidR="00F034D5" w:rsidRPr="00B05593" w:rsidRDefault="00F034D5" w:rsidP="00393C8D">
      <w:pPr>
        <w:pStyle w:val="ListParagraph"/>
        <w:numPr>
          <w:ilvl w:val="0"/>
          <w:numId w:val="43"/>
        </w:numPr>
        <w:spacing w:line="480" w:lineRule="auto"/>
      </w:pPr>
      <w:r w:rsidRPr="00B05593">
        <w:rPr>
          <w:rFonts w:eastAsiaTheme="minorHAnsi"/>
        </w:rPr>
        <w:t xml:space="preserve">Than MP, Pickering JW, Sandoval Y, Shah ASV, Tsanas A, Apple FS, Blankenberg S, Cullen L, Mueller C, Neumann JT, </w:t>
      </w:r>
      <w:r w:rsidR="00656298" w:rsidRPr="00656298">
        <w:rPr>
          <w:rFonts w:eastAsiaTheme="minorHAnsi"/>
          <w:i/>
          <w:iCs/>
        </w:rPr>
        <w:t>et al.</w:t>
      </w:r>
      <w:r w:rsidRPr="00B05593">
        <w:rPr>
          <w:rFonts w:eastAsiaTheme="minorHAnsi"/>
        </w:rPr>
        <w:t>; MI</w:t>
      </w:r>
      <w:r w:rsidRPr="00656298">
        <w:rPr>
          <w:rFonts w:eastAsiaTheme="minorHAnsi"/>
          <w:vertAlign w:val="superscript"/>
        </w:rPr>
        <w:t>3</w:t>
      </w:r>
      <w:r w:rsidRPr="00B05593">
        <w:rPr>
          <w:rFonts w:eastAsiaTheme="minorHAnsi"/>
        </w:rPr>
        <w:t xml:space="preserve"> collaborative. Machine Learning to Predict the Likelihood of Acute Myocardial Infarction. </w:t>
      </w:r>
      <w:r w:rsidRPr="00B05593">
        <w:rPr>
          <w:rFonts w:eastAsiaTheme="minorHAnsi"/>
          <w:i/>
          <w:iCs/>
        </w:rPr>
        <w:t>Circulation.</w:t>
      </w:r>
      <w:r w:rsidRPr="00B05593">
        <w:rPr>
          <w:rFonts w:eastAsiaTheme="minorHAnsi"/>
        </w:rPr>
        <w:t xml:space="preserve"> 2019</w:t>
      </w:r>
      <w:r w:rsidR="00656298">
        <w:rPr>
          <w:rFonts w:eastAsiaTheme="minorHAnsi"/>
        </w:rPr>
        <w:t xml:space="preserve">; </w:t>
      </w:r>
      <w:r w:rsidRPr="00B05593">
        <w:rPr>
          <w:rFonts w:eastAsiaTheme="minorHAnsi"/>
        </w:rPr>
        <w:t>140:</w:t>
      </w:r>
      <w:r w:rsidR="00656298">
        <w:rPr>
          <w:rFonts w:eastAsiaTheme="minorHAnsi"/>
        </w:rPr>
        <w:t xml:space="preserve"> </w:t>
      </w:r>
      <w:r w:rsidRPr="00B05593">
        <w:rPr>
          <w:rFonts w:eastAsiaTheme="minorHAnsi"/>
        </w:rPr>
        <w:t>899-909.</w:t>
      </w:r>
    </w:p>
    <w:p w14:paraId="5E6E2FAA" w14:textId="527F9188" w:rsidR="00393C8D" w:rsidRDefault="00393C8D" w:rsidP="00393C8D">
      <w:pPr>
        <w:pStyle w:val="desc"/>
        <w:numPr>
          <w:ilvl w:val="0"/>
          <w:numId w:val="43"/>
        </w:numPr>
        <w:spacing w:line="480" w:lineRule="auto"/>
        <w:rPr>
          <w:rFonts w:eastAsiaTheme="minorHAnsi"/>
        </w:rPr>
      </w:pPr>
      <w:r w:rsidRPr="00434C17">
        <w:rPr>
          <w:rFonts w:eastAsiaTheme="minorHAnsi"/>
        </w:rPr>
        <w:t xml:space="preserve">Chapman AR, Sandeman D, Ferry AV, Stewart S, Strachan FE, Wereski R, Bularga A, Anand A, Shah ASV, Mills NL. Risk Stratification Using High-Sensitivity Cardiac Troponin T in Patients With Suspected Acute Coronary Syndrome. </w:t>
      </w:r>
      <w:r w:rsidRPr="00434C17">
        <w:rPr>
          <w:rFonts w:eastAsiaTheme="minorHAnsi"/>
          <w:i/>
          <w:iCs/>
        </w:rPr>
        <w:t>J Am Coll Cardiol.</w:t>
      </w:r>
      <w:r w:rsidRPr="00434C17">
        <w:rPr>
          <w:rFonts w:eastAsiaTheme="minorHAnsi"/>
        </w:rPr>
        <w:t xml:space="preserve"> 2020;</w:t>
      </w:r>
      <w:r w:rsidR="00656298">
        <w:rPr>
          <w:rFonts w:eastAsiaTheme="minorHAnsi"/>
        </w:rPr>
        <w:t xml:space="preserve"> </w:t>
      </w:r>
      <w:r w:rsidRPr="00434C17">
        <w:rPr>
          <w:rFonts w:eastAsiaTheme="minorHAnsi"/>
        </w:rPr>
        <w:t>75:</w:t>
      </w:r>
      <w:r w:rsidR="00656298">
        <w:rPr>
          <w:rFonts w:eastAsiaTheme="minorHAnsi"/>
        </w:rPr>
        <w:t xml:space="preserve"> </w:t>
      </w:r>
      <w:r w:rsidRPr="00434C17">
        <w:rPr>
          <w:rFonts w:eastAsiaTheme="minorHAnsi"/>
        </w:rPr>
        <w:t>985-987.</w:t>
      </w:r>
    </w:p>
    <w:p w14:paraId="324365EF" w14:textId="73A54E4A" w:rsidR="00393C8D" w:rsidRPr="00D91AF1" w:rsidRDefault="00393C8D" w:rsidP="00393C8D">
      <w:pPr>
        <w:pStyle w:val="ListParagraph"/>
        <w:numPr>
          <w:ilvl w:val="0"/>
          <w:numId w:val="43"/>
        </w:numPr>
        <w:spacing w:line="480" w:lineRule="auto"/>
      </w:pPr>
      <w:r w:rsidRPr="00C00B7C">
        <w:rPr>
          <w:color w:val="212121"/>
          <w:shd w:val="clear" w:color="auto" w:fill="FFFFFF"/>
        </w:rPr>
        <w:t xml:space="preserve">Bularga A, Lee KK, Stewart S, Ferry AV, Chapman AR, Marshall L, Strachan FE, Cruickshank A, Maguire D, Berry C, </w:t>
      </w:r>
      <w:r w:rsidR="00656298" w:rsidRPr="00656298">
        <w:rPr>
          <w:i/>
          <w:iCs/>
          <w:color w:val="212121"/>
          <w:shd w:val="clear" w:color="auto" w:fill="FFFFFF"/>
        </w:rPr>
        <w:t>et al</w:t>
      </w:r>
      <w:r w:rsidRPr="00C00B7C">
        <w:rPr>
          <w:color w:val="212121"/>
          <w:shd w:val="clear" w:color="auto" w:fill="FFFFFF"/>
        </w:rPr>
        <w:t xml:space="preserve">. High-Sensitivity Troponin and the </w:t>
      </w:r>
      <w:r w:rsidRPr="00C00B7C">
        <w:rPr>
          <w:color w:val="212121"/>
          <w:shd w:val="clear" w:color="auto" w:fill="FFFFFF"/>
        </w:rPr>
        <w:lastRenderedPageBreak/>
        <w:t xml:space="preserve">Application of Risk Stratification Thresholds in Patients With Suspected Acute Coronary Syndrome. </w:t>
      </w:r>
      <w:r w:rsidRPr="00C00B7C">
        <w:rPr>
          <w:i/>
          <w:iCs/>
          <w:color w:val="212121"/>
          <w:shd w:val="clear" w:color="auto" w:fill="FFFFFF"/>
        </w:rPr>
        <w:t>Circulation</w:t>
      </w:r>
      <w:r w:rsidRPr="00C00B7C">
        <w:rPr>
          <w:color w:val="212121"/>
          <w:shd w:val="clear" w:color="auto" w:fill="FFFFFF"/>
        </w:rPr>
        <w:t xml:space="preserve"> 2019;</w:t>
      </w:r>
      <w:r w:rsidR="00656298">
        <w:rPr>
          <w:color w:val="212121"/>
          <w:shd w:val="clear" w:color="auto" w:fill="FFFFFF"/>
        </w:rPr>
        <w:t xml:space="preserve"> </w:t>
      </w:r>
      <w:r w:rsidRPr="00C00B7C">
        <w:rPr>
          <w:color w:val="212121"/>
          <w:shd w:val="clear" w:color="auto" w:fill="FFFFFF"/>
        </w:rPr>
        <w:t>140:</w:t>
      </w:r>
      <w:r w:rsidR="00656298">
        <w:rPr>
          <w:color w:val="212121"/>
          <w:shd w:val="clear" w:color="auto" w:fill="FFFFFF"/>
        </w:rPr>
        <w:t xml:space="preserve"> </w:t>
      </w:r>
      <w:r w:rsidRPr="00C00B7C">
        <w:rPr>
          <w:color w:val="212121"/>
          <w:shd w:val="clear" w:color="auto" w:fill="FFFFFF"/>
        </w:rPr>
        <w:t>1557-1568.</w:t>
      </w:r>
    </w:p>
    <w:p w14:paraId="27B953B0" w14:textId="3B68965A" w:rsidR="00D91AF1" w:rsidRPr="00D91AF1" w:rsidRDefault="00D91AF1" w:rsidP="00D91AF1">
      <w:pPr>
        <w:pStyle w:val="desc"/>
        <w:numPr>
          <w:ilvl w:val="0"/>
          <w:numId w:val="43"/>
        </w:numPr>
        <w:spacing w:line="480" w:lineRule="auto"/>
        <w:rPr>
          <w:rFonts w:cs="Arial"/>
          <w:i/>
        </w:rPr>
      </w:pPr>
      <w:r w:rsidRPr="008B4547">
        <w:rPr>
          <w:lang w:val="en-US"/>
        </w:rPr>
        <w:t>Pedroza C</w:t>
      </w:r>
      <w:r>
        <w:rPr>
          <w:lang w:val="en-US"/>
        </w:rPr>
        <w:t xml:space="preserve">, </w:t>
      </w:r>
      <w:r w:rsidRPr="008B4547">
        <w:rPr>
          <w:lang w:val="en-US"/>
        </w:rPr>
        <w:t xml:space="preserve">Truong VTT. Performance of models for estimating absolute risk difference in multicenter trials with binary outcome. </w:t>
      </w:r>
      <w:r w:rsidRPr="008B4547">
        <w:rPr>
          <w:i/>
          <w:iCs/>
          <w:lang w:val="en-US"/>
        </w:rPr>
        <w:t>BMC Med Res Methodol</w:t>
      </w:r>
      <w:r w:rsidRPr="008B4547">
        <w:rPr>
          <w:lang w:val="en-US"/>
        </w:rPr>
        <w:t xml:space="preserve"> </w:t>
      </w:r>
      <w:r w:rsidRPr="00D91AF1">
        <w:rPr>
          <w:lang w:val="en-US"/>
        </w:rPr>
        <w:t>2016; 16: 113.</w:t>
      </w:r>
    </w:p>
    <w:p w14:paraId="734F81CC" w14:textId="77777777" w:rsidR="0075194A" w:rsidRDefault="0075194A" w:rsidP="0075194A">
      <w:pPr>
        <w:spacing w:line="480" w:lineRule="auto"/>
        <w:rPr>
          <w:noProof/>
        </w:rPr>
      </w:pPr>
    </w:p>
    <w:p w14:paraId="3813AA04" w14:textId="0C0F634F" w:rsidR="0057356B" w:rsidRDefault="0057356B" w:rsidP="00B05593">
      <w:pPr>
        <w:spacing w:line="480" w:lineRule="auto"/>
        <w:rPr>
          <w:noProof/>
        </w:rPr>
      </w:pPr>
      <w:r>
        <w:rPr>
          <w:noProof/>
        </w:rPr>
        <w:br w:type="page"/>
      </w:r>
    </w:p>
    <w:p w14:paraId="4F317450" w14:textId="77777777" w:rsidR="0057356B" w:rsidRPr="00DE4F77" w:rsidRDefault="0057356B" w:rsidP="0057356B">
      <w:pPr>
        <w:rPr>
          <w:b/>
          <w:sz w:val="32"/>
          <w:szCs w:val="32"/>
        </w:rPr>
      </w:pPr>
      <w:r w:rsidRPr="00DE4F77">
        <w:rPr>
          <w:b/>
          <w:sz w:val="32"/>
          <w:szCs w:val="32"/>
        </w:rPr>
        <w:lastRenderedPageBreak/>
        <w:t xml:space="preserve">Figure Legends </w:t>
      </w:r>
    </w:p>
    <w:p w14:paraId="3747FCB3" w14:textId="77777777" w:rsidR="0057356B" w:rsidRPr="00DE4F77" w:rsidRDefault="0057356B" w:rsidP="0057356B">
      <w:pPr>
        <w:rPr>
          <w:i/>
        </w:rPr>
      </w:pPr>
    </w:p>
    <w:p w14:paraId="5FB63E7C" w14:textId="77777777" w:rsidR="0057356B" w:rsidRPr="00DE4F77" w:rsidRDefault="0057356B" w:rsidP="0057356B">
      <w:pPr>
        <w:spacing w:line="480" w:lineRule="auto"/>
        <w:rPr>
          <w:b/>
        </w:rPr>
      </w:pPr>
    </w:p>
    <w:p w14:paraId="6D88049E" w14:textId="77777777" w:rsidR="0057356B" w:rsidRPr="00DE4F77" w:rsidRDefault="0057356B" w:rsidP="0057356B">
      <w:pPr>
        <w:spacing w:line="480" w:lineRule="auto"/>
        <w:rPr>
          <w:b/>
        </w:rPr>
      </w:pPr>
      <w:r w:rsidRPr="00DE4F77">
        <w:rPr>
          <w:b/>
        </w:rPr>
        <w:t xml:space="preserve">Figure 1. Schematic diagram of the </w:t>
      </w:r>
      <w:r>
        <w:rPr>
          <w:b/>
        </w:rPr>
        <w:t>HiSTORIC</w:t>
      </w:r>
      <w:r w:rsidRPr="00DE4F77">
        <w:rPr>
          <w:b/>
        </w:rPr>
        <w:t xml:space="preserve"> trial design and </w:t>
      </w:r>
      <w:r>
        <w:rPr>
          <w:b/>
        </w:rPr>
        <w:t>the early-rule out pathway</w:t>
      </w:r>
    </w:p>
    <w:p w14:paraId="16261EFB" w14:textId="77777777" w:rsidR="0057356B" w:rsidRPr="00DE4F77" w:rsidRDefault="0057356B" w:rsidP="0057356B">
      <w:pPr>
        <w:spacing w:line="480" w:lineRule="auto"/>
      </w:pPr>
    </w:p>
    <w:p w14:paraId="4F7F4725" w14:textId="7C19896D" w:rsidR="0057356B" w:rsidRDefault="0057356B" w:rsidP="0057356B">
      <w:pPr>
        <w:spacing w:line="480" w:lineRule="auto"/>
        <w:rPr>
          <w:i/>
        </w:rPr>
      </w:pPr>
      <w:r w:rsidRPr="00DE4F77">
        <w:rPr>
          <w:b/>
          <w:i/>
        </w:rPr>
        <w:t>a)</w:t>
      </w:r>
      <w:r w:rsidRPr="00DE4F77">
        <w:rPr>
          <w:i/>
        </w:rPr>
        <w:t xml:space="preserve"> </w:t>
      </w:r>
      <w:r w:rsidR="00DB18EE" w:rsidRPr="00B05593">
        <w:rPr>
          <w:i/>
          <w:iCs/>
        </w:rPr>
        <w:t xml:space="preserve">A high-sensitivity cardiac troponin I assay </w:t>
      </w:r>
      <w:r w:rsidR="00DB18EE" w:rsidRPr="00F24B63">
        <w:rPr>
          <w:i/>
          <w:iCs/>
        </w:rPr>
        <w:t>with sex-specific 99</w:t>
      </w:r>
      <w:r w:rsidR="00DB18EE" w:rsidRPr="00F24B63">
        <w:rPr>
          <w:i/>
          <w:iCs/>
          <w:vertAlign w:val="superscript"/>
        </w:rPr>
        <w:t>th</w:t>
      </w:r>
      <w:r w:rsidR="00DB18EE" w:rsidRPr="00F24B63">
        <w:rPr>
          <w:i/>
          <w:iCs/>
        </w:rPr>
        <w:t xml:space="preserve"> centile thresholds </w:t>
      </w:r>
      <w:r w:rsidR="00DB18EE">
        <w:rPr>
          <w:i/>
          <w:iCs/>
        </w:rPr>
        <w:t xml:space="preserve">was </w:t>
      </w:r>
      <w:r w:rsidR="00DB18EE" w:rsidRPr="00B05593">
        <w:rPr>
          <w:i/>
          <w:iCs/>
        </w:rPr>
        <w:t xml:space="preserve">used to </w:t>
      </w:r>
      <w:r w:rsidR="00DB18EE">
        <w:rPr>
          <w:i/>
          <w:iCs/>
        </w:rPr>
        <w:t xml:space="preserve">guide care and </w:t>
      </w:r>
      <w:r w:rsidR="00DB18EE" w:rsidRPr="00B05593">
        <w:rPr>
          <w:i/>
          <w:iCs/>
        </w:rPr>
        <w:t xml:space="preserve">rule-in </w:t>
      </w:r>
      <w:r w:rsidR="00DB18EE">
        <w:rPr>
          <w:i/>
          <w:iCs/>
        </w:rPr>
        <w:t xml:space="preserve">myocardial infarction </w:t>
      </w:r>
      <w:r w:rsidR="00DB18EE" w:rsidRPr="00F24B63">
        <w:rPr>
          <w:i/>
          <w:iCs/>
        </w:rPr>
        <w:t>during all phases of the trial</w:t>
      </w:r>
      <w:r w:rsidR="00DB18EE" w:rsidRPr="00B05593">
        <w:rPr>
          <w:i/>
          <w:iCs/>
        </w:rPr>
        <w:t>.</w:t>
      </w:r>
      <w:r w:rsidR="00DB18EE">
        <w:t xml:space="preserve"> </w:t>
      </w:r>
      <w:r w:rsidRPr="00FF5AC0">
        <w:rPr>
          <w:i/>
        </w:rPr>
        <w:t xml:space="preserve">During a validation phase of at least 6 months, cardiac troponin testing was performed at presentation and was repeated 6 or 12 </w:t>
      </w:r>
      <w:r>
        <w:rPr>
          <w:i/>
        </w:rPr>
        <w:t>hours</w:t>
      </w:r>
      <w:r w:rsidRPr="00FF5AC0">
        <w:rPr>
          <w:i/>
        </w:rPr>
        <w:t xml:space="preserve"> after the onset of symptoms </w:t>
      </w:r>
      <w:r w:rsidR="00DB18EE">
        <w:rPr>
          <w:i/>
        </w:rPr>
        <w:t>if indicated. M</w:t>
      </w:r>
      <w:r w:rsidR="00DB18EE" w:rsidRPr="00DB18EE">
        <w:rPr>
          <w:i/>
        </w:rPr>
        <w:t>yocardial infarction was ruled out where high-sensitivity cardiac troponin concentrations were less than the 99</w:t>
      </w:r>
      <w:r w:rsidR="00DB18EE" w:rsidRPr="00B05593">
        <w:rPr>
          <w:i/>
          <w:vertAlign w:val="superscript"/>
        </w:rPr>
        <w:t>th</w:t>
      </w:r>
      <w:r w:rsidR="00DB18EE" w:rsidRPr="00DB18EE">
        <w:rPr>
          <w:i/>
        </w:rPr>
        <w:t xml:space="preserve"> centile at presentation if symptom onset was &gt;6 hours from presentation, or following serial testing 6-12 hours from symptom onset</w:t>
      </w:r>
      <w:r w:rsidR="00DB18EE">
        <w:rPr>
          <w:i/>
        </w:rPr>
        <w:t xml:space="preserve"> in those </w:t>
      </w:r>
      <w:r w:rsidR="00E50CE2">
        <w:rPr>
          <w:i/>
        </w:rPr>
        <w:t xml:space="preserve">presenting earlier </w:t>
      </w:r>
      <w:r w:rsidR="00DB18EE">
        <w:rPr>
          <w:i/>
        </w:rPr>
        <w:t>(standard care)</w:t>
      </w:r>
      <w:r w:rsidR="00DB18EE" w:rsidRPr="00DB18EE">
        <w:rPr>
          <w:i/>
        </w:rPr>
        <w:t>.</w:t>
      </w:r>
      <w:r w:rsidR="00DB18EE">
        <w:rPr>
          <w:i/>
        </w:rPr>
        <w:t xml:space="preserve"> </w:t>
      </w:r>
      <w:r w:rsidRPr="00FF5AC0">
        <w:rPr>
          <w:i/>
        </w:rPr>
        <w:t xml:space="preserve">Sites were paired based on the expected number of patients and </w:t>
      </w:r>
      <w:r>
        <w:rPr>
          <w:i/>
        </w:rPr>
        <w:t>random</w:t>
      </w:r>
      <w:r w:rsidR="00320221">
        <w:rPr>
          <w:i/>
        </w:rPr>
        <w:t>ize</w:t>
      </w:r>
      <w:r>
        <w:rPr>
          <w:i/>
        </w:rPr>
        <w:t>d</w:t>
      </w:r>
      <w:r w:rsidRPr="00FF5AC0">
        <w:rPr>
          <w:i/>
        </w:rPr>
        <w:t xml:space="preserve"> to implement the early rule</w:t>
      </w:r>
      <w:r w:rsidR="00DB18EE">
        <w:rPr>
          <w:i/>
        </w:rPr>
        <w:t>-</w:t>
      </w:r>
      <w:r w:rsidRPr="00FF5AC0">
        <w:rPr>
          <w:i/>
        </w:rPr>
        <w:t>out pathway (intervention) in one of three steps during a 6 month randomi</w:t>
      </w:r>
      <w:r w:rsidR="00AF759F">
        <w:rPr>
          <w:i/>
        </w:rPr>
        <w:t>z</w:t>
      </w:r>
      <w:r w:rsidRPr="00FF5AC0">
        <w:rPr>
          <w:i/>
        </w:rPr>
        <w:t>ation phase. Finally, all sites completed an implementation phase of at least 6 months that was cal</w:t>
      </w:r>
      <w:r>
        <w:rPr>
          <w:i/>
        </w:rPr>
        <w:t>e</w:t>
      </w:r>
      <w:r w:rsidRPr="00FF5AC0">
        <w:rPr>
          <w:i/>
        </w:rPr>
        <w:t>nd</w:t>
      </w:r>
      <w:r>
        <w:rPr>
          <w:i/>
        </w:rPr>
        <w:t>a</w:t>
      </w:r>
      <w:r w:rsidRPr="00FF5AC0">
        <w:rPr>
          <w:i/>
        </w:rPr>
        <w:t>r matched to the validation phase where patient care was guided by the early rule-out pathway.</w:t>
      </w:r>
    </w:p>
    <w:p w14:paraId="60D9269D" w14:textId="77777777" w:rsidR="0057356B" w:rsidRDefault="0057356B" w:rsidP="0057356B">
      <w:pPr>
        <w:spacing w:line="480" w:lineRule="auto"/>
        <w:rPr>
          <w:i/>
        </w:rPr>
      </w:pPr>
    </w:p>
    <w:p w14:paraId="2CF64787" w14:textId="51D2B722" w:rsidR="00B1005C" w:rsidRPr="0016657D" w:rsidRDefault="0057356B" w:rsidP="0057356B">
      <w:pPr>
        <w:spacing w:line="480" w:lineRule="auto"/>
        <w:rPr>
          <w:b/>
        </w:rPr>
      </w:pPr>
      <w:r w:rsidRPr="00FF5AC0">
        <w:rPr>
          <w:b/>
          <w:bCs/>
          <w:i/>
        </w:rPr>
        <w:t>b)</w:t>
      </w:r>
      <w:r w:rsidRPr="00303E7C">
        <w:rPr>
          <w:b/>
          <w:bCs/>
          <w:i/>
          <w:iCs/>
        </w:rPr>
        <w:t xml:space="preserve"> </w:t>
      </w:r>
      <w:r w:rsidRPr="00303E7C">
        <w:rPr>
          <w:bCs/>
          <w:i/>
          <w:iCs/>
        </w:rPr>
        <w:t xml:space="preserve">The </w:t>
      </w:r>
      <w:r w:rsidRPr="00303E7C">
        <w:rPr>
          <w:i/>
          <w:iCs/>
        </w:rPr>
        <w:t xml:space="preserve">early rule-out pathway </w:t>
      </w:r>
      <w:r w:rsidRPr="00303E7C">
        <w:rPr>
          <w:bCs/>
          <w:i/>
          <w:iCs/>
        </w:rPr>
        <w:t>rules out myocardial infarction at presentation in</w:t>
      </w:r>
      <w:r w:rsidRPr="00303E7C">
        <w:rPr>
          <w:i/>
          <w:iCs/>
        </w:rPr>
        <w:t xml:space="preserve"> patients </w:t>
      </w:r>
      <w:r w:rsidRPr="00303E7C">
        <w:rPr>
          <w:i/>
          <w:iCs/>
          <w:color w:val="040404"/>
        </w:rPr>
        <w:t>with cardiac troponin concentrations below a risk stratification threshold of 5 ng/L, unless they present</w:t>
      </w:r>
      <w:r>
        <w:rPr>
          <w:i/>
          <w:iCs/>
          <w:color w:val="040404"/>
        </w:rPr>
        <w:t>ed</w:t>
      </w:r>
      <w:r w:rsidRPr="00303E7C">
        <w:rPr>
          <w:i/>
          <w:iCs/>
          <w:color w:val="040404"/>
        </w:rPr>
        <w:t xml:space="preserve"> within 2 </w:t>
      </w:r>
      <w:r>
        <w:rPr>
          <w:i/>
          <w:iCs/>
          <w:color w:val="040404"/>
        </w:rPr>
        <w:t>hours</w:t>
      </w:r>
      <w:r w:rsidRPr="00303E7C">
        <w:rPr>
          <w:i/>
          <w:iCs/>
          <w:color w:val="040404"/>
        </w:rPr>
        <w:t xml:space="preserve"> of symptom onset where testing is repeated 3 </w:t>
      </w:r>
      <w:r>
        <w:rPr>
          <w:i/>
          <w:iCs/>
          <w:color w:val="040404"/>
        </w:rPr>
        <w:t>hours</w:t>
      </w:r>
      <w:r w:rsidRPr="00303E7C">
        <w:rPr>
          <w:i/>
          <w:iCs/>
          <w:color w:val="040404"/>
        </w:rPr>
        <w:t xml:space="preserve"> from presentation. Patients with cardiac troponin concentrations ≥5 ng/L at presentation are retested </w:t>
      </w:r>
      <w:r>
        <w:rPr>
          <w:i/>
          <w:iCs/>
          <w:color w:val="040404"/>
        </w:rPr>
        <w:t xml:space="preserve">in the Emergency Department </w:t>
      </w:r>
      <w:r w:rsidRPr="00303E7C">
        <w:rPr>
          <w:i/>
          <w:iCs/>
          <w:color w:val="040404"/>
        </w:rPr>
        <w:t xml:space="preserve">3 hours after presentation, and myocardial infarction </w:t>
      </w:r>
      <w:r>
        <w:rPr>
          <w:i/>
          <w:iCs/>
          <w:color w:val="040404"/>
        </w:rPr>
        <w:t xml:space="preserve">is </w:t>
      </w:r>
      <w:r w:rsidRPr="00303E7C">
        <w:rPr>
          <w:i/>
          <w:iCs/>
          <w:color w:val="040404"/>
        </w:rPr>
        <w:t>ruled out if concentrations are unchanged (delta &lt;3 ng/L) and remain below the 99</w:t>
      </w:r>
      <w:r w:rsidRPr="00303E7C">
        <w:rPr>
          <w:i/>
          <w:iCs/>
          <w:color w:val="040404"/>
          <w:vertAlign w:val="superscript"/>
        </w:rPr>
        <w:t>th</w:t>
      </w:r>
      <w:r w:rsidRPr="00303E7C">
        <w:rPr>
          <w:i/>
          <w:iCs/>
          <w:color w:val="040404"/>
        </w:rPr>
        <w:t xml:space="preserve"> centile diagnostic threshold.</w:t>
      </w:r>
      <w:r>
        <w:rPr>
          <w:color w:val="040404"/>
        </w:rPr>
        <w:t xml:space="preserve"> </w:t>
      </w:r>
      <w:r w:rsidRPr="00DE4F77">
        <w:rPr>
          <w:b/>
        </w:rPr>
        <w:br w:type="page"/>
      </w:r>
      <w:r w:rsidR="00B1005C">
        <w:rPr>
          <w:b/>
        </w:rPr>
        <w:lastRenderedPageBreak/>
        <w:t xml:space="preserve">Figure 2. </w:t>
      </w:r>
      <w:r w:rsidR="005B64EA">
        <w:rPr>
          <w:b/>
        </w:rPr>
        <w:t>The HiSTORIC t</w:t>
      </w:r>
      <w:r w:rsidR="00B1005C">
        <w:rPr>
          <w:b/>
        </w:rPr>
        <w:t xml:space="preserve">rial CONSORT diagram </w:t>
      </w:r>
    </w:p>
    <w:p w14:paraId="77C52ADC" w14:textId="77777777" w:rsidR="00B1005C" w:rsidRPr="0016657D" w:rsidRDefault="00B1005C" w:rsidP="0057356B">
      <w:pPr>
        <w:spacing w:line="480" w:lineRule="auto"/>
        <w:rPr>
          <w:b/>
        </w:rPr>
      </w:pPr>
    </w:p>
    <w:p w14:paraId="234AD0BB" w14:textId="2B67B53D" w:rsidR="0057356B" w:rsidRDefault="0057356B" w:rsidP="0057356B">
      <w:pPr>
        <w:spacing w:line="480" w:lineRule="auto"/>
        <w:rPr>
          <w:b/>
        </w:rPr>
      </w:pPr>
      <w:r w:rsidRPr="00DE4F77">
        <w:rPr>
          <w:b/>
        </w:rPr>
        <w:t xml:space="preserve">Figure </w:t>
      </w:r>
      <w:r w:rsidR="00B1005C">
        <w:rPr>
          <w:b/>
        </w:rPr>
        <w:t>3</w:t>
      </w:r>
      <w:r w:rsidRPr="00DE4F77">
        <w:rPr>
          <w:b/>
        </w:rPr>
        <w:t xml:space="preserve">. </w:t>
      </w:r>
      <w:r>
        <w:rPr>
          <w:b/>
        </w:rPr>
        <w:t>Length of stay before and after implementation of the early rule-out pathway</w:t>
      </w:r>
    </w:p>
    <w:p w14:paraId="08366B5B" w14:textId="77777777" w:rsidR="0057356B" w:rsidRDefault="0057356B" w:rsidP="0057356B">
      <w:pPr>
        <w:spacing w:line="480" w:lineRule="auto"/>
        <w:rPr>
          <w:b/>
        </w:rPr>
      </w:pPr>
    </w:p>
    <w:p w14:paraId="2AC1383C" w14:textId="77777777" w:rsidR="0057356B" w:rsidRDefault="0057356B" w:rsidP="0057356B">
      <w:pPr>
        <w:spacing w:line="480" w:lineRule="auto"/>
        <w:rPr>
          <w:bCs/>
          <w:i/>
          <w:iCs/>
        </w:rPr>
      </w:pPr>
      <w:r w:rsidRPr="00C8725E">
        <w:rPr>
          <w:bCs/>
          <w:i/>
          <w:iCs/>
        </w:rPr>
        <w:t xml:space="preserve">Shown is a </w:t>
      </w:r>
      <w:r>
        <w:rPr>
          <w:bCs/>
          <w:i/>
          <w:iCs/>
        </w:rPr>
        <w:t>density</w:t>
      </w:r>
      <w:r w:rsidRPr="00C8725E">
        <w:rPr>
          <w:bCs/>
          <w:i/>
          <w:iCs/>
        </w:rPr>
        <w:t xml:space="preserve"> plot of the length of stay </w:t>
      </w:r>
      <w:r>
        <w:rPr>
          <w:bCs/>
          <w:i/>
          <w:iCs/>
        </w:rPr>
        <w:t xml:space="preserve">in patients evaluated before (blue) and after (red) implementation of the early rule-out pathway. </w:t>
      </w:r>
    </w:p>
    <w:p w14:paraId="519715C9" w14:textId="77777777" w:rsidR="0057356B" w:rsidRDefault="0057356B" w:rsidP="0057356B">
      <w:pPr>
        <w:spacing w:line="480" w:lineRule="auto"/>
        <w:rPr>
          <w:b/>
        </w:rPr>
      </w:pPr>
    </w:p>
    <w:p w14:paraId="2C2B9E81" w14:textId="44A0A693" w:rsidR="0057356B" w:rsidRPr="00DE4F77" w:rsidRDefault="0057356B" w:rsidP="0057356B">
      <w:pPr>
        <w:spacing w:line="480" w:lineRule="auto"/>
      </w:pPr>
      <w:r>
        <w:rPr>
          <w:b/>
        </w:rPr>
        <w:t xml:space="preserve">Figure </w:t>
      </w:r>
      <w:r w:rsidR="00B1005C">
        <w:rPr>
          <w:b/>
        </w:rPr>
        <w:t>4</w:t>
      </w:r>
      <w:r>
        <w:rPr>
          <w:b/>
        </w:rPr>
        <w:t xml:space="preserve">. </w:t>
      </w:r>
      <w:r w:rsidRPr="00DE4F77">
        <w:rPr>
          <w:b/>
        </w:rPr>
        <w:t xml:space="preserve"> </w:t>
      </w:r>
      <w:r>
        <w:rPr>
          <w:b/>
        </w:rPr>
        <w:t>M</w:t>
      </w:r>
      <w:r w:rsidRPr="00DE4F77">
        <w:rPr>
          <w:b/>
        </w:rPr>
        <w:t xml:space="preserve">yocardial infarction or </w:t>
      </w:r>
      <w:r>
        <w:rPr>
          <w:b/>
        </w:rPr>
        <w:t xml:space="preserve">cardiac </w:t>
      </w:r>
      <w:r w:rsidRPr="00DE4F77">
        <w:rPr>
          <w:b/>
        </w:rPr>
        <w:t xml:space="preserve">death </w:t>
      </w:r>
      <w:r>
        <w:rPr>
          <w:b/>
        </w:rPr>
        <w:t>following discharge before and after implementation of the early rule-out pathway</w:t>
      </w:r>
    </w:p>
    <w:p w14:paraId="206C9694" w14:textId="77777777" w:rsidR="0057356B" w:rsidRPr="00DE4F77" w:rsidRDefault="0057356B" w:rsidP="0057356B">
      <w:pPr>
        <w:spacing w:line="480" w:lineRule="auto"/>
      </w:pPr>
    </w:p>
    <w:p w14:paraId="00D96BD5" w14:textId="77777777" w:rsidR="0057356B" w:rsidRPr="00DE4F77" w:rsidRDefault="0057356B" w:rsidP="0057356B">
      <w:pPr>
        <w:spacing w:line="480" w:lineRule="auto"/>
        <w:rPr>
          <w:i/>
        </w:rPr>
      </w:pPr>
      <w:r w:rsidRPr="00DE4F77">
        <w:rPr>
          <w:i/>
        </w:rPr>
        <w:t xml:space="preserve">Shown are </w:t>
      </w:r>
      <w:r>
        <w:rPr>
          <w:i/>
        </w:rPr>
        <w:t>cumulative incidence</w:t>
      </w:r>
      <w:r w:rsidRPr="00DE4F77">
        <w:rPr>
          <w:i/>
        </w:rPr>
        <w:t xml:space="preserve"> time-to-event curves for the primary </w:t>
      </w:r>
      <w:r>
        <w:rPr>
          <w:i/>
        </w:rPr>
        <w:t xml:space="preserve">safety </w:t>
      </w:r>
      <w:r w:rsidRPr="00DE4F77">
        <w:rPr>
          <w:i/>
        </w:rPr>
        <w:t>outcome of myocardial infarction or cardi</w:t>
      </w:r>
      <w:r>
        <w:rPr>
          <w:i/>
        </w:rPr>
        <w:t>ac death</w:t>
      </w:r>
      <w:r w:rsidRPr="00DE4F77">
        <w:rPr>
          <w:i/>
        </w:rPr>
        <w:t xml:space="preserve"> for patients </w:t>
      </w:r>
      <w:r>
        <w:rPr>
          <w:i/>
        </w:rPr>
        <w:t xml:space="preserve">evaluated before </w:t>
      </w:r>
      <w:r w:rsidRPr="00DE4F77">
        <w:rPr>
          <w:i/>
        </w:rPr>
        <w:t>(</w:t>
      </w:r>
      <w:r>
        <w:rPr>
          <w:i/>
        </w:rPr>
        <w:t>blue</w:t>
      </w:r>
      <w:r w:rsidRPr="00DE4F77">
        <w:rPr>
          <w:i/>
        </w:rPr>
        <w:t xml:space="preserve"> line) </w:t>
      </w:r>
      <w:r>
        <w:rPr>
          <w:i/>
        </w:rPr>
        <w:t>and</w:t>
      </w:r>
      <w:r w:rsidRPr="00DE4F77">
        <w:rPr>
          <w:i/>
        </w:rPr>
        <w:t xml:space="preserve"> </w:t>
      </w:r>
      <w:r>
        <w:rPr>
          <w:i/>
        </w:rPr>
        <w:t>after</w:t>
      </w:r>
      <w:r w:rsidRPr="00DE4F77">
        <w:rPr>
          <w:i/>
        </w:rPr>
        <w:t xml:space="preserve"> (</w:t>
      </w:r>
      <w:r>
        <w:rPr>
          <w:i/>
        </w:rPr>
        <w:t>red</w:t>
      </w:r>
      <w:r w:rsidRPr="00DE4F77">
        <w:rPr>
          <w:i/>
        </w:rPr>
        <w:t xml:space="preserve"> line)</w:t>
      </w:r>
      <w:r>
        <w:rPr>
          <w:i/>
        </w:rPr>
        <w:t xml:space="preserve"> implementation of the early rule-out pathway</w:t>
      </w:r>
      <w:r w:rsidRPr="00DE4F77">
        <w:rPr>
          <w:i/>
        </w:rPr>
        <w:t xml:space="preserve">. </w:t>
      </w:r>
    </w:p>
    <w:p w14:paraId="448576F5" w14:textId="77777777" w:rsidR="00E83A7D" w:rsidRDefault="00E83A7D" w:rsidP="00C24BFA">
      <w:pPr>
        <w:pStyle w:val="desc"/>
        <w:spacing w:line="480" w:lineRule="auto"/>
        <w:rPr>
          <w:noProof/>
        </w:rPr>
      </w:pPr>
    </w:p>
    <w:p w14:paraId="517ABED9" w14:textId="77777777" w:rsidR="007F6BD3" w:rsidRPr="00DE4F77" w:rsidRDefault="007F6BD3" w:rsidP="00D1503D">
      <w:pPr>
        <w:spacing w:before="160" w:line="480" w:lineRule="auto"/>
        <w:ind w:left="567" w:hanging="567"/>
        <w:jc w:val="both"/>
        <w:rPr>
          <w:noProof/>
        </w:rPr>
      </w:pPr>
    </w:p>
    <w:p w14:paraId="6CF85D53" w14:textId="77777777" w:rsidR="0058127D" w:rsidRPr="00DE4F77" w:rsidRDefault="0058127D" w:rsidP="00845600">
      <w:pPr>
        <w:spacing w:line="480" w:lineRule="auto"/>
        <w:jc w:val="both"/>
      </w:pPr>
    </w:p>
    <w:p w14:paraId="0F2138D5" w14:textId="77777777" w:rsidR="007B6756" w:rsidRPr="00DE4F77" w:rsidRDefault="007B6756" w:rsidP="007B6756">
      <w:pPr>
        <w:spacing w:line="480" w:lineRule="auto"/>
        <w:jc w:val="both"/>
      </w:pPr>
    </w:p>
    <w:p w14:paraId="088E0AA4" w14:textId="77777777" w:rsidR="007B6756" w:rsidRPr="00DE4F77" w:rsidRDefault="007B6756" w:rsidP="007B6756">
      <w:pPr>
        <w:spacing w:line="480" w:lineRule="auto"/>
        <w:jc w:val="both"/>
        <w:sectPr w:rsidR="007B6756" w:rsidRPr="00DE4F77" w:rsidSect="00313353">
          <w:headerReference w:type="even" r:id="rId11"/>
          <w:headerReference w:type="default" r:id="rId12"/>
          <w:footerReference w:type="even" r:id="rId13"/>
          <w:footerReference w:type="default" r:id="rId14"/>
          <w:headerReference w:type="first" r:id="rId15"/>
          <w:footerReference w:type="first" r:id="rId16"/>
          <w:pgSz w:w="11901" w:h="16840"/>
          <w:pgMar w:top="1440" w:right="1440" w:bottom="1440" w:left="1440" w:header="709" w:footer="709" w:gutter="0"/>
          <w:cols w:space="708"/>
          <w:docGrid w:linePitch="326"/>
        </w:sectPr>
      </w:pPr>
    </w:p>
    <w:p w14:paraId="4C3ADF17" w14:textId="77777777" w:rsidR="009C22CD" w:rsidRPr="00DE4F77" w:rsidRDefault="00B14757" w:rsidP="00D95126">
      <w:pPr>
        <w:spacing w:after="120"/>
        <w:rPr>
          <w:b/>
        </w:rPr>
      </w:pPr>
      <w:r w:rsidRPr="00DE4F77">
        <w:rPr>
          <w:b/>
        </w:rPr>
        <w:lastRenderedPageBreak/>
        <w:t xml:space="preserve">Table </w:t>
      </w:r>
      <w:r w:rsidR="00305305" w:rsidRPr="00DE4F77">
        <w:rPr>
          <w:b/>
        </w:rPr>
        <w:t>1.</w:t>
      </w:r>
      <w:r w:rsidR="00BD73AA" w:rsidRPr="00DE4F77">
        <w:rPr>
          <w:b/>
        </w:rPr>
        <w:t xml:space="preserve"> </w:t>
      </w:r>
      <w:r w:rsidR="009C22CD" w:rsidRPr="00DE4F77">
        <w:rPr>
          <w:b/>
        </w:rPr>
        <w:t xml:space="preserve">Characteristics of the Trial </w:t>
      </w:r>
      <w:r w:rsidR="000D7C81" w:rsidRPr="00DE4F77">
        <w:rPr>
          <w:b/>
        </w:rPr>
        <w:t>Participants</w:t>
      </w:r>
    </w:p>
    <w:tbl>
      <w:tblPr>
        <w:tblStyle w:val="TableGrid1"/>
        <w:tblpPr w:leftFromText="181" w:rightFromText="181" w:vertAnchor="text" w:horzAnchor="page" w:tblpXSpec="center" w:tblpY="1"/>
        <w:tblOverlap w:val="nev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031"/>
        <w:gridCol w:w="2032"/>
        <w:gridCol w:w="2032"/>
      </w:tblGrid>
      <w:tr w:rsidR="00DD788D" w:rsidRPr="00DE4F77" w14:paraId="0B6F3C6A" w14:textId="77777777" w:rsidTr="00BD076C">
        <w:trPr>
          <w:trHeight w:val="333"/>
        </w:trPr>
        <w:tc>
          <w:tcPr>
            <w:tcW w:w="3686" w:type="dxa"/>
            <w:tcBorders>
              <w:top w:val="single" w:sz="8" w:space="0" w:color="auto"/>
              <w:bottom w:val="single" w:sz="8" w:space="0" w:color="auto"/>
            </w:tcBorders>
          </w:tcPr>
          <w:p w14:paraId="098D40F6" w14:textId="77777777" w:rsidR="00DD788D" w:rsidRPr="00D95126" w:rsidRDefault="00DD788D" w:rsidP="00D95126">
            <w:pPr>
              <w:spacing w:line="280" w:lineRule="exact"/>
              <w:rPr>
                <w:bCs/>
                <w:sz w:val="22"/>
                <w:szCs w:val="22"/>
                <w:lang w:val="en-US"/>
              </w:rPr>
            </w:pPr>
          </w:p>
        </w:tc>
        <w:tc>
          <w:tcPr>
            <w:tcW w:w="2031" w:type="dxa"/>
            <w:tcBorders>
              <w:top w:val="single" w:sz="8" w:space="0" w:color="auto"/>
              <w:bottom w:val="single" w:sz="8" w:space="0" w:color="auto"/>
            </w:tcBorders>
          </w:tcPr>
          <w:p w14:paraId="0B01DB69" w14:textId="77777777" w:rsidR="00DD788D" w:rsidRPr="00D95126" w:rsidRDefault="00DD788D" w:rsidP="00D95126">
            <w:pPr>
              <w:spacing w:line="280" w:lineRule="exact"/>
              <w:jc w:val="center"/>
              <w:rPr>
                <w:b/>
                <w:sz w:val="22"/>
                <w:szCs w:val="22"/>
              </w:rPr>
            </w:pPr>
            <w:r w:rsidRPr="00D95126">
              <w:rPr>
                <w:b/>
                <w:sz w:val="22"/>
                <w:szCs w:val="22"/>
              </w:rPr>
              <w:t xml:space="preserve">All </w:t>
            </w:r>
          </w:p>
        </w:tc>
        <w:tc>
          <w:tcPr>
            <w:tcW w:w="2032" w:type="dxa"/>
            <w:tcBorders>
              <w:top w:val="single" w:sz="8" w:space="0" w:color="auto"/>
              <w:bottom w:val="single" w:sz="8" w:space="0" w:color="auto"/>
            </w:tcBorders>
          </w:tcPr>
          <w:p w14:paraId="614B0DE7" w14:textId="77777777" w:rsidR="00DD788D" w:rsidRPr="00D95126" w:rsidRDefault="00DD788D" w:rsidP="00D95126">
            <w:pPr>
              <w:spacing w:line="280" w:lineRule="exact"/>
              <w:jc w:val="center"/>
              <w:rPr>
                <w:b/>
                <w:bCs/>
                <w:sz w:val="22"/>
                <w:szCs w:val="22"/>
                <w:lang w:val="en-US"/>
              </w:rPr>
            </w:pPr>
            <w:r w:rsidRPr="00D95126">
              <w:rPr>
                <w:b/>
                <w:sz w:val="22"/>
                <w:szCs w:val="22"/>
              </w:rPr>
              <w:t xml:space="preserve">Standard care </w:t>
            </w:r>
          </w:p>
        </w:tc>
        <w:tc>
          <w:tcPr>
            <w:tcW w:w="2032" w:type="dxa"/>
            <w:tcBorders>
              <w:top w:val="single" w:sz="8" w:space="0" w:color="auto"/>
              <w:bottom w:val="single" w:sz="8" w:space="0" w:color="auto"/>
            </w:tcBorders>
          </w:tcPr>
          <w:p w14:paraId="1761510E" w14:textId="77777777" w:rsidR="00DD788D" w:rsidRPr="00D95126" w:rsidRDefault="00DD788D" w:rsidP="00D95126">
            <w:pPr>
              <w:spacing w:line="280" w:lineRule="exact"/>
              <w:jc w:val="center"/>
              <w:rPr>
                <w:b/>
                <w:bCs/>
                <w:sz w:val="22"/>
                <w:szCs w:val="22"/>
                <w:lang w:val="en-US"/>
              </w:rPr>
            </w:pPr>
            <w:r w:rsidRPr="00D95126">
              <w:rPr>
                <w:b/>
                <w:sz w:val="22"/>
                <w:szCs w:val="22"/>
              </w:rPr>
              <w:t>Early rule-out</w:t>
            </w:r>
          </w:p>
        </w:tc>
      </w:tr>
      <w:tr w:rsidR="00DD788D" w:rsidRPr="00DE4F77" w14:paraId="10A7EDC4" w14:textId="77777777" w:rsidTr="00BD076C">
        <w:tc>
          <w:tcPr>
            <w:tcW w:w="3686" w:type="dxa"/>
            <w:tcBorders>
              <w:top w:val="single" w:sz="8" w:space="0" w:color="auto"/>
            </w:tcBorders>
          </w:tcPr>
          <w:p w14:paraId="456D5612" w14:textId="77777777" w:rsidR="00DD788D" w:rsidRPr="00D95126" w:rsidRDefault="00DD788D" w:rsidP="00D95126">
            <w:pPr>
              <w:spacing w:line="280" w:lineRule="exact"/>
              <w:rPr>
                <w:bCs/>
                <w:sz w:val="22"/>
                <w:szCs w:val="22"/>
                <w:lang w:val="en-US"/>
              </w:rPr>
            </w:pPr>
            <w:r w:rsidRPr="00D95126">
              <w:rPr>
                <w:bCs/>
                <w:sz w:val="22"/>
                <w:szCs w:val="22"/>
                <w:lang w:val="en-US"/>
              </w:rPr>
              <w:t>No. of participants</w:t>
            </w:r>
          </w:p>
        </w:tc>
        <w:tc>
          <w:tcPr>
            <w:tcW w:w="2031" w:type="dxa"/>
            <w:tcBorders>
              <w:top w:val="single" w:sz="8" w:space="0" w:color="auto"/>
            </w:tcBorders>
          </w:tcPr>
          <w:p w14:paraId="0E8BC6C9" w14:textId="77777777" w:rsidR="00DD788D" w:rsidRPr="00D95126" w:rsidRDefault="00A812FE" w:rsidP="00D95126">
            <w:pPr>
              <w:spacing w:line="280" w:lineRule="exact"/>
              <w:jc w:val="center"/>
              <w:rPr>
                <w:bCs/>
                <w:sz w:val="22"/>
                <w:szCs w:val="22"/>
                <w:lang w:val="en-US"/>
              </w:rPr>
            </w:pPr>
            <w:r w:rsidRPr="00D95126">
              <w:rPr>
                <w:bCs/>
                <w:sz w:val="22"/>
                <w:szCs w:val="22"/>
                <w:lang w:val="en-US"/>
              </w:rPr>
              <w:t>31,492</w:t>
            </w:r>
          </w:p>
        </w:tc>
        <w:tc>
          <w:tcPr>
            <w:tcW w:w="2032" w:type="dxa"/>
            <w:tcBorders>
              <w:top w:val="single" w:sz="8" w:space="0" w:color="auto"/>
            </w:tcBorders>
          </w:tcPr>
          <w:p w14:paraId="2355C31F" w14:textId="77777777" w:rsidR="00DD788D" w:rsidRPr="00D95126" w:rsidRDefault="00A812FE" w:rsidP="00D95126">
            <w:pPr>
              <w:spacing w:line="280" w:lineRule="exact"/>
              <w:jc w:val="center"/>
              <w:rPr>
                <w:bCs/>
                <w:sz w:val="22"/>
                <w:szCs w:val="22"/>
                <w:lang w:val="en-US"/>
              </w:rPr>
            </w:pPr>
            <w:r w:rsidRPr="00D95126">
              <w:rPr>
                <w:bCs/>
                <w:sz w:val="22"/>
                <w:szCs w:val="22"/>
                <w:lang w:val="en-US"/>
              </w:rPr>
              <w:t>14,700</w:t>
            </w:r>
          </w:p>
        </w:tc>
        <w:tc>
          <w:tcPr>
            <w:tcW w:w="2032" w:type="dxa"/>
            <w:tcBorders>
              <w:top w:val="single" w:sz="8" w:space="0" w:color="auto"/>
            </w:tcBorders>
          </w:tcPr>
          <w:p w14:paraId="2C2B3549" w14:textId="77777777" w:rsidR="00DD788D" w:rsidRPr="00D95126" w:rsidRDefault="00A812FE" w:rsidP="00D95126">
            <w:pPr>
              <w:spacing w:line="280" w:lineRule="exact"/>
              <w:jc w:val="center"/>
              <w:rPr>
                <w:bCs/>
                <w:sz w:val="22"/>
                <w:szCs w:val="22"/>
                <w:lang w:val="en-US"/>
              </w:rPr>
            </w:pPr>
            <w:r w:rsidRPr="00D95126">
              <w:rPr>
                <w:bCs/>
                <w:sz w:val="22"/>
                <w:szCs w:val="22"/>
                <w:lang w:val="en-US"/>
              </w:rPr>
              <w:t>16,792</w:t>
            </w:r>
          </w:p>
        </w:tc>
      </w:tr>
      <w:tr w:rsidR="00DD788D" w:rsidRPr="00DE4F77" w14:paraId="1004CD23" w14:textId="77777777" w:rsidTr="00BD076C">
        <w:tc>
          <w:tcPr>
            <w:tcW w:w="3686" w:type="dxa"/>
          </w:tcPr>
          <w:p w14:paraId="15592D2E" w14:textId="77777777" w:rsidR="00DD788D" w:rsidRPr="00D95126" w:rsidRDefault="00DD788D" w:rsidP="00D95126">
            <w:pPr>
              <w:spacing w:line="280" w:lineRule="exact"/>
              <w:rPr>
                <w:bCs/>
                <w:sz w:val="22"/>
                <w:szCs w:val="22"/>
                <w:lang w:val="en-US"/>
              </w:rPr>
            </w:pPr>
            <w:r w:rsidRPr="00D95126">
              <w:rPr>
                <w:bCs/>
                <w:sz w:val="22"/>
                <w:szCs w:val="22"/>
                <w:lang w:val="en-US"/>
              </w:rPr>
              <w:t>Age (years)</w:t>
            </w:r>
          </w:p>
        </w:tc>
        <w:tc>
          <w:tcPr>
            <w:tcW w:w="2031" w:type="dxa"/>
          </w:tcPr>
          <w:p w14:paraId="1927014D" w14:textId="77777777" w:rsidR="00DD788D" w:rsidRPr="00D95126" w:rsidRDefault="00A812FE" w:rsidP="00D95126">
            <w:pPr>
              <w:spacing w:line="280" w:lineRule="exact"/>
              <w:jc w:val="center"/>
              <w:rPr>
                <w:bCs/>
                <w:sz w:val="22"/>
                <w:szCs w:val="22"/>
                <w:lang w:val="en-US"/>
              </w:rPr>
            </w:pPr>
            <w:r w:rsidRPr="00D95126">
              <w:rPr>
                <w:bCs/>
                <w:sz w:val="22"/>
                <w:szCs w:val="22"/>
                <w:lang w:val="en-US"/>
              </w:rPr>
              <w:t>59±17</w:t>
            </w:r>
          </w:p>
        </w:tc>
        <w:tc>
          <w:tcPr>
            <w:tcW w:w="2032" w:type="dxa"/>
          </w:tcPr>
          <w:p w14:paraId="0869944F" w14:textId="77777777" w:rsidR="00DD788D" w:rsidRPr="00D95126" w:rsidRDefault="00A812FE" w:rsidP="00D95126">
            <w:pPr>
              <w:spacing w:line="280" w:lineRule="exact"/>
              <w:jc w:val="center"/>
              <w:rPr>
                <w:bCs/>
                <w:sz w:val="22"/>
                <w:szCs w:val="22"/>
                <w:lang w:val="en-US"/>
              </w:rPr>
            </w:pPr>
            <w:r w:rsidRPr="00D95126">
              <w:rPr>
                <w:bCs/>
                <w:sz w:val="22"/>
                <w:szCs w:val="22"/>
                <w:lang w:val="en-US"/>
              </w:rPr>
              <w:t>59±17</w:t>
            </w:r>
          </w:p>
        </w:tc>
        <w:tc>
          <w:tcPr>
            <w:tcW w:w="2032" w:type="dxa"/>
          </w:tcPr>
          <w:p w14:paraId="556B4A0E" w14:textId="4412CF06" w:rsidR="00DD788D" w:rsidRPr="00D95126" w:rsidRDefault="00A812FE" w:rsidP="00D95126">
            <w:pPr>
              <w:spacing w:line="280" w:lineRule="exact"/>
              <w:jc w:val="center"/>
              <w:rPr>
                <w:bCs/>
                <w:sz w:val="22"/>
                <w:szCs w:val="22"/>
                <w:lang w:val="en-US"/>
              </w:rPr>
            </w:pPr>
            <w:r w:rsidRPr="00D95126">
              <w:rPr>
                <w:bCs/>
                <w:sz w:val="22"/>
                <w:szCs w:val="22"/>
                <w:lang w:val="en-US"/>
              </w:rPr>
              <w:t>5</w:t>
            </w:r>
            <w:r w:rsidR="00511FAF">
              <w:rPr>
                <w:bCs/>
                <w:sz w:val="22"/>
                <w:szCs w:val="22"/>
                <w:lang w:val="en-US"/>
              </w:rPr>
              <w:t>8</w:t>
            </w:r>
            <w:r w:rsidRPr="00D95126">
              <w:rPr>
                <w:bCs/>
                <w:sz w:val="22"/>
                <w:szCs w:val="22"/>
                <w:lang w:val="en-US"/>
              </w:rPr>
              <w:t>±17</w:t>
            </w:r>
          </w:p>
        </w:tc>
      </w:tr>
      <w:tr w:rsidR="00DD788D" w:rsidRPr="00DE4F77" w14:paraId="3ABDF225" w14:textId="77777777" w:rsidTr="00BD076C">
        <w:tc>
          <w:tcPr>
            <w:tcW w:w="3686" w:type="dxa"/>
          </w:tcPr>
          <w:p w14:paraId="233E6739" w14:textId="77777777" w:rsidR="00DD788D" w:rsidRPr="00D95126" w:rsidRDefault="00DD788D" w:rsidP="00D95126">
            <w:pPr>
              <w:spacing w:line="280" w:lineRule="exact"/>
              <w:rPr>
                <w:bCs/>
                <w:sz w:val="22"/>
                <w:szCs w:val="22"/>
                <w:lang w:val="en-US"/>
              </w:rPr>
            </w:pPr>
            <w:r w:rsidRPr="00D95126">
              <w:rPr>
                <w:bCs/>
                <w:sz w:val="22"/>
                <w:szCs w:val="22"/>
                <w:lang w:val="en-US"/>
              </w:rPr>
              <w:t>Women</w:t>
            </w:r>
          </w:p>
        </w:tc>
        <w:tc>
          <w:tcPr>
            <w:tcW w:w="2031" w:type="dxa"/>
          </w:tcPr>
          <w:p w14:paraId="2C0AAF54" w14:textId="77777777" w:rsidR="00DD788D" w:rsidRPr="00D95126" w:rsidRDefault="00A812FE" w:rsidP="00D95126">
            <w:pPr>
              <w:spacing w:line="280" w:lineRule="exact"/>
              <w:jc w:val="center"/>
              <w:rPr>
                <w:bCs/>
                <w:sz w:val="22"/>
                <w:szCs w:val="22"/>
                <w:lang w:val="en-US"/>
              </w:rPr>
            </w:pPr>
            <w:r w:rsidRPr="00D95126">
              <w:rPr>
                <w:bCs/>
                <w:sz w:val="22"/>
                <w:szCs w:val="22"/>
                <w:lang w:val="en-US"/>
              </w:rPr>
              <w:t>14,252 (45)</w:t>
            </w:r>
          </w:p>
        </w:tc>
        <w:tc>
          <w:tcPr>
            <w:tcW w:w="2032" w:type="dxa"/>
          </w:tcPr>
          <w:p w14:paraId="30F4F725" w14:textId="77777777" w:rsidR="00DD788D" w:rsidRPr="00D95126" w:rsidRDefault="00A812FE" w:rsidP="00D95126">
            <w:pPr>
              <w:spacing w:line="280" w:lineRule="exact"/>
              <w:jc w:val="center"/>
              <w:rPr>
                <w:bCs/>
                <w:sz w:val="22"/>
                <w:szCs w:val="22"/>
                <w:lang w:val="en-US"/>
              </w:rPr>
            </w:pPr>
            <w:r w:rsidRPr="00D95126">
              <w:rPr>
                <w:bCs/>
                <w:sz w:val="22"/>
                <w:szCs w:val="22"/>
                <w:lang w:val="en-US"/>
              </w:rPr>
              <w:t>6,575 (45)</w:t>
            </w:r>
          </w:p>
        </w:tc>
        <w:tc>
          <w:tcPr>
            <w:tcW w:w="2032" w:type="dxa"/>
          </w:tcPr>
          <w:p w14:paraId="40BA00D0" w14:textId="3E5ACD0D" w:rsidR="00DD788D" w:rsidRPr="00D95126" w:rsidRDefault="00A812FE" w:rsidP="00D95126">
            <w:pPr>
              <w:spacing w:line="280" w:lineRule="exact"/>
              <w:jc w:val="center"/>
              <w:rPr>
                <w:bCs/>
                <w:sz w:val="22"/>
                <w:szCs w:val="22"/>
                <w:lang w:val="en-US"/>
              </w:rPr>
            </w:pPr>
            <w:r w:rsidRPr="00D95126">
              <w:rPr>
                <w:bCs/>
                <w:sz w:val="22"/>
                <w:szCs w:val="22"/>
                <w:lang w:val="en-US"/>
              </w:rPr>
              <w:t>7,677 (4</w:t>
            </w:r>
            <w:r w:rsidR="00511FAF">
              <w:rPr>
                <w:bCs/>
                <w:sz w:val="22"/>
                <w:szCs w:val="22"/>
                <w:lang w:val="en-US"/>
              </w:rPr>
              <w:t>6</w:t>
            </w:r>
            <w:r w:rsidRPr="00D95126">
              <w:rPr>
                <w:bCs/>
                <w:sz w:val="22"/>
                <w:szCs w:val="22"/>
                <w:lang w:val="en-US"/>
              </w:rPr>
              <w:t>)</w:t>
            </w:r>
          </w:p>
        </w:tc>
      </w:tr>
      <w:tr w:rsidR="00DD788D" w:rsidRPr="00DE4F77" w14:paraId="6F976E67" w14:textId="77777777" w:rsidTr="00BD076C">
        <w:tc>
          <w:tcPr>
            <w:tcW w:w="3686" w:type="dxa"/>
          </w:tcPr>
          <w:p w14:paraId="23FF5354" w14:textId="77777777" w:rsidR="00DD788D" w:rsidRPr="00D95126" w:rsidRDefault="00DD788D" w:rsidP="00D95126">
            <w:pPr>
              <w:spacing w:line="280" w:lineRule="exact"/>
              <w:rPr>
                <w:b/>
                <w:bCs/>
                <w:i/>
                <w:sz w:val="22"/>
                <w:szCs w:val="22"/>
                <w:lang w:val="en-US"/>
              </w:rPr>
            </w:pPr>
            <w:r w:rsidRPr="00D95126">
              <w:rPr>
                <w:b/>
                <w:bCs/>
                <w:i/>
                <w:sz w:val="22"/>
                <w:szCs w:val="22"/>
                <w:lang w:val="en-US"/>
              </w:rPr>
              <w:t>Presenting complaint</w:t>
            </w:r>
          </w:p>
        </w:tc>
        <w:tc>
          <w:tcPr>
            <w:tcW w:w="2031" w:type="dxa"/>
          </w:tcPr>
          <w:p w14:paraId="152C87D9" w14:textId="77777777" w:rsidR="00DD788D" w:rsidRPr="00D95126" w:rsidRDefault="00DD788D" w:rsidP="00D95126">
            <w:pPr>
              <w:spacing w:line="280" w:lineRule="exact"/>
              <w:jc w:val="center"/>
              <w:rPr>
                <w:bCs/>
                <w:sz w:val="22"/>
                <w:szCs w:val="22"/>
                <w:lang w:val="en-US"/>
              </w:rPr>
            </w:pPr>
          </w:p>
        </w:tc>
        <w:tc>
          <w:tcPr>
            <w:tcW w:w="2032" w:type="dxa"/>
          </w:tcPr>
          <w:p w14:paraId="68644A80" w14:textId="77777777" w:rsidR="00DD788D" w:rsidRPr="00D95126" w:rsidRDefault="00DD788D" w:rsidP="00D95126">
            <w:pPr>
              <w:spacing w:line="280" w:lineRule="exact"/>
              <w:jc w:val="center"/>
              <w:rPr>
                <w:bCs/>
                <w:sz w:val="22"/>
                <w:szCs w:val="22"/>
                <w:lang w:val="en-US"/>
              </w:rPr>
            </w:pPr>
          </w:p>
        </w:tc>
        <w:tc>
          <w:tcPr>
            <w:tcW w:w="2032" w:type="dxa"/>
          </w:tcPr>
          <w:p w14:paraId="6A8AF2F4" w14:textId="77777777" w:rsidR="00DD788D" w:rsidRPr="00D95126" w:rsidRDefault="00DD788D" w:rsidP="00D95126">
            <w:pPr>
              <w:spacing w:line="280" w:lineRule="exact"/>
              <w:jc w:val="center"/>
              <w:rPr>
                <w:bCs/>
                <w:sz w:val="22"/>
                <w:szCs w:val="22"/>
                <w:lang w:val="en-US"/>
              </w:rPr>
            </w:pPr>
          </w:p>
        </w:tc>
      </w:tr>
      <w:tr w:rsidR="00DD788D" w:rsidRPr="00DE4F77" w14:paraId="4F4FEC81" w14:textId="77777777" w:rsidTr="00BD076C">
        <w:tc>
          <w:tcPr>
            <w:tcW w:w="3686" w:type="dxa"/>
          </w:tcPr>
          <w:p w14:paraId="1F73579C" w14:textId="77777777" w:rsidR="00DD788D" w:rsidRPr="00D95126" w:rsidRDefault="00DD788D" w:rsidP="00D95126">
            <w:pPr>
              <w:spacing w:line="280" w:lineRule="exact"/>
              <w:rPr>
                <w:bCs/>
                <w:sz w:val="22"/>
                <w:szCs w:val="22"/>
                <w:lang w:val="en-US"/>
              </w:rPr>
            </w:pPr>
            <w:r w:rsidRPr="00D95126">
              <w:rPr>
                <w:bCs/>
                <w:sz w:val="22"/>
                <w:szCs w:val="22"/>
                <w:lang w:val="en-US"/>
              </w:rPr>
              <w:t xml:space="preserve">  Chest pain</w:t>
            </w:r>
          </w:p>
        </w:tc>
        <w:tc>
          <w:tcPr>
            <w:tcW w:w="2031" w:type="dxa"/>
          </w:tcPr>
          <w:p w14:paraId="26F4CE9F" w14:textId="77777777" w:rsidR="00DD788D" w:rsidRPr="00D95126" w:rsidRDefault="00A812FE" w:rsidP="00D95126">
            <w:pPr>
              <w:spacing w:line="280" w:lineRule="exact"/>
              <w:jc w:val="center"/>
              <w:rPr>
                <w:bCs/>
                <w:sz w:val="22"/>
                <w:szCs w:val="22"/>
                <w:lang w:val="en-US"/>
              </w:rPr>
            </w:pPr>
            <w:r w:rsidRPr="00D95126">
              <w:rPr>
                <w:bCs/>
                <w:sz w:val="22"/>
                <w:szCs w:val="22"/>
                <w:lang w:val="en-US"/>
              </w:rPr>
              <w:t>26,590 (84)</w:t>
            </w:r>
          </w:p>
        </w:tc>
        <w:tc>
          <w:tcPr>
            <w:tcW w:w="2032" w:type="dxa"/>
          </w:tcPr>
          <w:p w14:paraId="18A7602A" w14:textId="77777777" w:rsidR="00DD788D" w:rsidRPr="00D95126" w:rsidRDefault="00A812FE" w:rsidP="00D95126">
            <w:pPr>
              <w:spacing w:line="280" w:lineRule="exact"/>
              <w:jc w:val="center"/>
              <w:rPr>
                <w:bCs/>
                <w:sz w:val="22"/>
                <w:szCs w:val="22"/>
                <w:lang w:val="en-US"/>
              </w:rPr>
            </w:pPr>
            <w:r w:rsidRPr="00D95126">
              <w:rPr>
                <w:bCs/>
                <w:sz w:val="22"/>
                <w:szCs w:val="22"/>
                <w:lang w:val="en-US"/>
              </w:rPr>
              <w:t>12,566 (85)</w:t>
            </w:r>
          </w:p>
        </w:tc>
        <w:tc>
          <w:tcPr>
            <w:tcW w:w="2032" w:type="dxa"/>
          </w:tcPr>
          <w:p w14:paraId="6820D9C9" w14:textId="77777777" w:rsidR="00DD788D" w:rsidRPr="00D95126" w:rsidRDefault="00A812FE" w:rsidP="00D95126">
            <w:pPr>
              <w:spacing w:line="280" w:lineRule="exact"/>
              <w:jc w:val="center"/>
              <w:rPr>
                <w:bCs/>
                <w:sz w:val="22"/>
                <w:szCs w:val="22"/>
                <w:lang w:val="en-US"/>
              </w:rPr>
            </w:pPr>
            <w:r w:rsidRPr="00D95126">
              <w:rPr>
                <w:bCs/>
                <w:sz w:val="22"/>
                <w:szCs w:val="22"/>
                <w:lang w:val="en-US"/>
              </w:rPr>
              <w:t>14,024 (</w:t>
            </w:r>
            <w:r w:rsidR="009D4A5B" w:rsidRPr="00D95126">
              <w:rPr>
                <w:bCs/>
                <w:sz w:val="22"/>
                <w:szCs w:val="22"/>
                <w:lang w:val="en-US"/>
              </w:rPr>
              <w:t>84</w:t>
            </w:r>
            <w:r w:rsidRPr="00D95126">
              <w:rPr>
                <w:bCs/>
                <w:sz w:val="22"/>
                <w:szCs w:val="22"/>
                <w:lang w:val="en-US"/>
              </w:rPr>
              <w:t>)</w:t>
            </w:r>
          </w:p>
        </w:tc>
      </w:tr>
      <w:tr w:rsidR="00DD788D" w:rsidRPr="00DE4F77" w14:paraId="5853FE69" w14:textId="77777777" w:rsidTr="00BD076C">
        <w:tc>
          <w:tcPr>
            <w:tcW w:w="3686" w:type="dxa"/>
          </w:tcPr>
          <w:p w14:paraId="4830EDB3" w14:textId="77777777" w:rsidR="00DD788D" w:rsidRPr="00D95126" w:rsidRDefault="00DD788D" w:rsidP="00D95126">
            <w:pPr>
              <w:spacing w:line="280" w:lineRule="exact"/>
              <w:rPr>
                <w:bCs/>
                <w:sz w:val="22"/>
                <w:szCs w:val="22"/>
                <w:lang w:val="en-US"/>
              </w:rPr>
            </w:pPr>
            <w:r w:rsidRPr="00D95126">
              <w:rPr>
                <w:bCs/>
                <w:sz w:val="22"/>
                <w:szCs w:val="22"/>
                <w:lang w:val="en-US"/>
              </w:rPr>
              <w:t xml:space="preserve">  Dyspnoea</w:t>
            </w:r>
          </w:p>
        </w:tc>
        <w:tc>
          <w:tcPr>
            <w:tcW w:w="2031" w:type="dxa"/>
          </w:tcPr>
          <w:p w14:paraId="181BC7E4" w14:textId="77777777" w:rsidR="00DD788D" w:rsidRPr="00D95126" w:rsidRDefault="00A812FE" w:rsidP="00D95126">
            <w:pPr>
              <w:spacing w:line="280" w:lineRule="exact"/>
              <w:jc w:val="center"/>
              <w:rPr>
                <w:bCs/>
                <w:sz w:val="22"/>
                <w:szCs w:val="22"/>
                <w:lang w:val="en-US"/>
              </w:rPr>
            </w:pPr>
            <w:r w:rsidRPr="00D95126">
              <w:rPr>
                <w:bCs/>
                <w:sz w:val="22"/>
                <w:szCs w:val="22"/>
                <w:lang w:val="en-US"/>
              </w:rPr>
              <w:t>957 (3)</w:t>
            </w:r>
          </w:p>
        </w:tc>
        <w:tc>
          <w:tcPr>
            <w:tcW w:w="2032" w:type="dxa"/>
          </w:tcPr>
          <w:p w14:paraId="7CD043D3" w14:textId="77777777" w:rsidR="00DD788D" w:rsidRPr="00D95126" w:rsidRDefault="00A812FE" w:rsidP="00D95126">
            <w:pPr>
              <w:spacing w:line="280" w:lineRule="exact"/>
              <w:jc w:val="center"/>
              <w:rPr>
                <w:bCs/>
                <w:sz w:val="22"/>
                <w:szCs w:val="22"/>
                <w:lang w:val="en-US"/>
              </w:rPr>
            </w:pPr>
            <w:r w:rsidRPr="00D95126">
              <w:rPr>
                <w:bCs/>
                <w:sz w:val="22"/>
                <w:szCs w:val="22"/>
                <w:lang w:val="en-US"/>
              </w:rPr>
              <w:t>420 (3)</w:t>
            </w:r>
          </w:p>
        </w:tc>
        <w:tc>
          <w:tcPr>
            <w:tcW w:w="2032" w:type="dxa"/>
          </w:tcPr>
          <w:p w14:paraId="5CC6F93A" w14:textId="77777777" w:rsidR="00DD788D" w:rsidRPr="00D95126" w:rsidRDefault="00A812FE" w:rsidP="00D95126">
            <w:pPr>
              <w:spacing w:line="280" w:lineRule="exact"/>
              <w:jc w:val="center"/>
              <w:rPr>
                <w:bCs/>
                <w:sz w:val="22"/>
                <w:szCs w:val="22"/>
                <w:lang w:val="en-US"/>
              </w:rPr>
            </w:pPr>
            <w:r w:rsidRPr="00D95126">
              <w:rPr>
                <w:bCs/>
                <w:sz w:val="22"/>
                <w:szCs w:val="22"/>
                <w:lang w:val="en-US"/>
              </w:rPr>
              <w:t>537 (3)</w:t>
            </w:r>
          </w:p>
        </w:tc>
      </w:tr>
      <w:tr w:rsidR="00DD788D" w:rsidRPr="00DE4F77" w14:paraId="446FC195" w14:textId="77777777" w:rsidTr="00BD076C">
        <w:tc>
          <w:tcPr>
            <w:tcW w:w="3686" w:type="dxa"/>
          </w:tcPr>
          <w:p w14:paraId="2953E1E8" w14:textId="77777777" w:rsidR="00DD788D" w:rsidRPr="00D95126" w:rsidRDefault="00DD788D" w:rsidP="00D95126">
            <w:pPr>
              <w:spacing w:line="280" w:lineRule="exact"/>
              <w:rPr>
                <w:bCs/>
                <w:sz w:val="22"/>
                <w:szCs w:val="22"/>
                <w:lang w:val="en-US"/>
              </w:rPr>
            </w:pPr>
            <w:r w:rsidRPr="00D95126">
              <w:rPr>
                <w:bCs/>
                <w:sz w:val="22"/>
                <w:szCs w:val="22"/>
                <w:lang w:val="en-US"/>
              </w:rPr>
              <w:t xml:space="preserve">  Palpitation</w:t>
            </w:r>
          </w:p>
        </w:tc>
        <w:tc>
          <w:tcPr>
            <w:tcW w:w="2031" w:type="dxa"/>
          </w:tcPr>
          <w:p w14:paraId="120E3A01" w14:textId="77777777" w:rsidR="00DD788D" w:rsidRPr="00D95126" w:rsidRDefault="00A812FE" w:rsidP="00D95126">
            <w:pPr>
              <w:spacing w:line="280" w:lineRule="exact"/>
              <w:jc w:val="center"/>
              <w:rPr>
                <w:bCs/>
                <w:sz w:val="22"/>
                <w:szCs w:val="22"/>
                <w:lang w:val="en-US"/>
              </w:rPr>
            </w:pPr>
            <w:r w:rsidRPr="00D95126">
              <w:rPr>
                <w:bCs/>
                <w:sz w:val="22"/>
                <w:szCs w:val="22"/>
                <w:lang w:val="en-US"/>
              </w:rPr>
              <w:t>928 (3)</w:t>
            </w:r>
          </w:p>
        </w:tc>
        <w:tc>
          <w:tcPr>
            <w:tcW w:w="2032" w:type="dxa"/>
          </w:tcPr>
          <w:p w14:paraId="46D3FF18" w14:textId="77777777" w:rsidR="00DD788D" w:rsidRPr="00D95126" w:rsidRDefault="00A812FE" w:rsidP="00D95126">
            <w:pPr>
              <w:spacing w:line="280" w:lineRule="exact"/>
              <w:jc w:val="center"/>
              <w:rPr>
                <w:bCs/>
                <w:sz w:val="22"/>
                <w:szCs w:val="22"/>
                <w:lang w:val="en-US"/>
              </w:rPr>
            </w:pPr>
            <w:r w:rsidRPr="00D95126">
              <w:rPr>
                <w:bCs/>
                <w:sz w:val="22"/>
                <w:szCs w:val="22"/>
                <w:lang w:val="en-US"/>
              </w:rPr>
              <w:t>432 (3)</w:t>
            </w:r>
          </w:p>
        </w:tc>
        <w:tc>
          <w:tcPr>
            <w:tcW w:w="2032" w:type="dxa"/>
          </w:tcPr>
          <w:p w14:paraId="4DEE278A" w14:textId="77777777" w:rsidR="00DD788D" w:rsidRPr="00D95126" w:rsidRDefault="00A812FE" w:rsidP="00D95126">
            <w:pPr>
              <w:spacing w:line="280" w:lineRule="exact"/>
              <w:jc w:val="center"/>
              <w:rPr>
                <w:bCs/>
                <w:sz w:val="22"/>
                <w:szCs w:val="22"/>
                <w:lang w:val="en-US"/>
              </w:rPr>
            </w:pPr>
            <w:r w:rsidRPr="00D95126">
              <w:rPr>
                <w:bCs/>
                <w:sz w:val="22"/>
                <w:szCs w:val="22"/>
                <w:lang w:val="en-US"/>
              </w:rPr>
              <w:t>496 (3)</w:t>
            </w:r>
          </w:p>
        </w:tc>
      </w:tr>
      <w:tr w:rsidR="00DD788D" w:rsidRPr="00DE4F77" w14:paraId="44595827" w14:textId="77777777" w:rsidTr="00BD076C">
        <w:tc>
          <w:tcPr>
            <w:tcW w:w="3686" w:type="dxa"/>
          </w:tcPr>
          <w:p w14:paraId="0E6252EA" w14:textId="77777777" w:rsidR="00DD788D" w:rsidRPr="00D95126" w:rsidRDefault="00DD788D" w:rsidP="00D95126">
            <w:pPr>
              <w:spacing w:line="280" w:lineRule="exact"/>
              <w:rPr>
                <w:bCs/>
                <w:sz w:val="22"/>
                <w:szCs w:val="22"/>
                <w:lang w:val="en-US"/>
              </w:rPr>
            </w:pPr>
            <w:r w:rsidRPr="00D95126">
              <w:rPr>
                <w:bCs/>
                <w:sz w:val="22"/>
                <w:szCs w:val="22"/>
                <w:lang w:val="en-US"/>
              </w:rPr>
              <w:t xml:space="preserve">  Syncope</w:t>
            </w:r>
          </w:p>
        </w:tc>
        <w:tc>
          <w:tcPr>
            <w:tcW w:w="2031" w:type="dxa"/>
          </w:tcPr>
          <w:p w14:paraId="6D13900E" w14:textId="77777777" w:rsidR="00DD788D" w:rsidRPr="00D95126" w:rsidRDefault="00A812FE" w:rsidP="00D95126">
            <w:pPr>
              <w:spacing w:line="280" w:lineRule="exact"/>
              <w:jc w:val="center"/>
              <w:rPr>
                <w:bCs/>
                <w:sz w:val="22"/>
                <w:szCs w:val="22"/>
                <w:lang w:val="en-US"/>
              </w:rPr>
            </w:pPr>
            <w:r w:rsidRPr="00D95126">
              <w:rPr>
                <w:bCs/>
                <w:sz w:val="22"/>
                <w:szCs w:val="22"/>
                <w:lang w:val="en-US"/>
              </w:rPr>
              <w:t>1,701 (5)</w:t>
            </w:r>
          </w:p>
        </w:tc>
        <w:tc>
          <w:tcPr>
            <w:tcW w:w="2032" w:type="dxa"/>
          </w:tcPr>
          <w:p w14:paraId="228A5A01" w14:textId="77777777" w:rsidR="00DD788D" w:rsidRPr="00D95126" w:rsidRDefault="00A812FE" w:rsidP="00D95126">
            <w:pPr>
              <w:spacing w:line="280" w:lineRule="exact"/>
              <w:jc w:val="center"/>
              <w:rPr>
                <w:bCs/>
                <w:sz w:val="22"/>
                <w:szCs w:val="22"/>
                <w:lang w:val="en-US"/>
              </w:rPr>
            </w:pPr>
            <w:r w:rsidRPr="00D95126">
              <w:rPr>
                <w:bCs/>
                <w:sz w:val="22"/>
                <w:szCs w:val="22"/>
                <w:lang w:val="en-US"/>
              </w:rPr>
              <w:t>699 (5)</w:t>
            </w:r>
          </w:p>
        </w:tc>
        <w:tc>
          <w:tcPr>
            <w:tcW w:w="2032" w:type="dxa"/>
          </w:tcPr>
          <w:p w14:paraId="30ABA803" w14:textId="77777777" w:rsidR="00DD788D" w:rsidRPr="00D95126" w:rsidRDefault="00A812FE" w:rsidP="00D95126">
            <w:pPr>
              <w:spacing w:line="280" w:lineRule="exact"/>
              <w:jc w:val="center"/>
              <w:rPr>
                <w:bCs/>
                <w:sz w:val="22"/>
                <w:szCs w:val="22"/>
                <w:lang w:val="en-US"/>
              </w:rPr>
            </w:pPr>
            <w:r w:rsidRPr="00D95126">
              <w:rPr>
                <w:bCs/>
                <w:sz w:val="22"/>
                <w:szCs w:val="22"/>
                <w:lang w:val="en-US"/>
              </w:rPr>
              <w:t>1,002 (6)</w:t>
            </w:r>
          </w:p>
        </w:tc>
      </w:tr>
      <w:tr w:rsidR="00DD788D" w:rsidRPr="00DE4F77" w14:paraId="0F627A31" w14:textId="77777777" w:rsidTr="00BD076C">
        <w:tc>
          <w:tcPr>
            <w:tcW w:w="3686" w:type="dxa"/>
          </w:tcPr>
          <w:p w14:paraId="32979A93" w14:textId="77777777" w:rsidR="00DD788D" w:rsidRPr="00D95126" w:rsidRDefault="00DD788D" w:rsidP="00D95126">
            <w:pPr>
              <w:spacing w:line="280" w:lineRule="exact"/>
              <w:rPr>
                <w:bCs/>
                <w:sz w:val="22"/>
                <w:szCs w:val="22"/>
                <w:lang w:val="en-US"/>
              </w:rPr>
            </w:pPr>
            <w:r w:rsidRPr="00D95126">
              <w:rPr>
                <w:bCs/>
                <w:sz w:val="22"/>
                <w:szCs w:val="22"/>
                <w:lang w:val="en-US"/>
              </w:rPr>
              <w:t xml:space="preserve">  Other</w:t>
            </w:r>
          </w:p>
        </w:tc>
        <w:tc>
          <w:tcPr>
            <w:tcW w:w="2031" w:type="dxa"/>
          </w:tcPr>
          <w:p w14:paraId="7D11BB09" w14:textId="77777777" w:rsidR="00DD788D" w:rsidRPr="00D95126" w:rsidRDefault="00A812FE" w:rsidP="00D95126">
            <w:pPr>
              <w:spacing w:line="280" w:lineRule="exact"/>
              <w:jc w:val="center"/>
              <w:rPr>
                <w:bCs/>
                <w:sz w:val="22"/>
                <w:szCs w:val="22"/>
                <w:lang w:val="en-US"/>
              </w:rPr>
            </w:pPr>
            <w:r w:rsidRPr="00D95126">
              <w:rPr>
                <w:bCs/>
                <w:sz w:val="22"/>
                <w:szCs w:val="22"/>
                <w:lang w:val="en-US"/>
              </w:rPr>
              <w:t>1,316 (4)</w:t>
            </w:r>
          </w:p>
        </w:tc>
        <w:tc>
          <w:tcPr>
            <w:tcW w:w="2032" w:type="dxa"/>
          </w:tcPr>
          <w:p w14:paraId="2C414CF8" w14:textId="77777777" w:rsidR="00DD788D" w:rsidRPr="00D95126" w:rsidRDefault="00A812FE" w:rsidP="00D95126">
            <w:pPr>
              <w:spacing w:line="280" w:lineRule="exact"/>
              <w:jc w:val="center"/>
              <w:rPr>
                <w:bCs/>
                <w:sz w:val="22"/>
                <w:szCs w:val="22"/>
                <w:lang w:val="en-US"/>
              </w:rPr>
            </w:pPr>
            <w:r w:rsidRPr="00D95126">
              <w:rPr>
                <w:bCs/>
                <w:sz w:val="22"/>
                <w:szCs w:val="22"/>
                <w:lang w:val="en-US"/>
              </w:rPr>
              <w:t>583 (4)</w:t>
            </w:r>
          </w:p>
        </w:tc>
        <w:tc>
          <w:tcPr>
            <w:tcW w:w="2032" w:type="dxa"/>
          </w:tcPr>
          <w:p w14:paraId="603293F1" w14:textId="77777777" w:rsidR="00DD788D" w:rsidRPr="00D95126" w:rsidRDefault="00A812FE" w:rsidP="00D95126">
            <w:pPr>
              <w:spacing w:line="280" w:lineRule="exact"/>
              <w:jc w:val="center"/>
              <w:rPr>
                <w:bCs/>
                <w:sz w:val="22"/>
                <w:szCs w:val="22"/>
                <w:lang w:val="en-US"/>
              </w:rPr>
            </w:pPr>
            <w:r w:rsidRPr="00D95126">
              <w:rPr>
                <w:bCs/>
                <w:sz w:val="22"/>
                <w:szCs w:val="22"/>
                <w:lang w:val="en-US"/>
              </w:rPr>
              <w:t>733 (4)</w:t>
            </w:r>
          </w:p>
        </w:tc>
      </w:tr>
      <w:tr w:rsidR="00DD788D" w:rsidRPr="00DE4F77" w14:paraId="50E9BDDF" w14:textId="77777777" w:rsidTr="00BD076C">
        <w:tc>
          <w:tcPr>
            <w:tcW w:w="3686" w:type="dxa"/>
          </w:tcPr>
          <w:p w14:paraId="4FF66405" w14:textId="77777777" w:rsidR="00DD788D" w:rsidRPr="00D95126" w:rsidRDefault="00DD788D" w:rsidP="00D95126">
            <w:pPr>
              <w:spacing w:line="280" w:lineRule="exact"/>
              <w:rPr>
                <w:b/>
                <w:bCs/>
                <w:i/>
                <w:sz w:val="22"/>
                <w:szCs w:val="22"/>
                <w:lang w:val="en-US"/>
              </w:rPr>
            </w:pPr>
            <w:r w:rsidRPr="00D95126">
              <w:rPr>
                <w:b/>
                <w:bCs/>
                <w:i/>
                <w:sz w:val="22"/>
                <w:szCs w:val="22"/>
                <w:lang w:val="en-US"/>
              </w:rPr>
              <w:t>Past medical history</w:t>
            </w:r>
          </w:p>
        </w:tc>
        <w:tc>
          <w:tcPr>
            <w:tcW w:w="2031" w:type="dxa"/>
          </w:tcPr>
          <w:p w14:paraId="3A67F2D3" w14:textId="77777777" w:rsidR="00DD788D" w:rsidRPr="00D95126" w:rsidRDefault="00DD788D" w:rsidP="00D95126">
            <w:pPr>
              <w:spacing w:line="280" w:lineRule="exact"/>
              <w:jc w:val="center"/>
              <w:rPr>
                <w:bCs/>
                <w:sz w:val="22"/>
                <w:szCs w:val="22"/>
                <w:lang w:val="en-US"/>
              </w:rPr>
            </w:pPr>
          </w:p>
        </w:tc>
        <w:tc>
          <w:tcPr>
            <w:tcW w:w="2032" w:type="dxa"/>
          </w:tcPr>
          <w:p w14:paraId="40DB6EC8" w14:textId="77777777" w:rsidR="00DD788D" w:rsidRPr="00D95126" w:rsidRDefault="00DD788D" w:rsidP="00D95126">
            <w:pPr>
              <w:spacing w:line="280" w:lineRule="exact"/>
              <w:jc w:val="center"/>
              <w:rPr>
                <w:bCs/>
                <w:sz w:val="22"/>
                <w:szCs w:val="22"/>
                <w:lang w:val="en-US"/>
              </w:rPr>
            </w:pPr>
          </w:p>
        </w:tc>
        <w:tc>
          <w:tcPr>
            <w:tcW w:w="2032" w:type="dxa"/>
          </w:tcPr>
          <w:p w14:paraId="3D35B83D" w14:textId="77777777" w:rsidR="00DD788D" w:rsidRPr="00D95126" w:rsidRDefault="00DD788D" w:rsidP="00D95126">
            <w:pPr>
              <w:spacing w:line="280" w:lineRule="exact"/>
              <w:jc w:val="center"/>
              <w:rPr>
                <w:bCs/>
                <w:sz w:val="22"/>
                <w:szCs w:val="22"/>
                <w:lang w:val="en-US"/>
              </w:rPr>
            </w:pPr>
          </w:p>
        </w:tc>
      </w:tr>
      <w:tr w:rsidR="00DD788D" w:rsidRPr="00DE4F77" w14:paraId="6264AADF" w14:textId="77777777" w:rsidTr="00BD076C">
        <w:tc>
          <w:tcPr>
            <w:tcW w:w="3686" w:type="dxa"/>
          </w:tcPr>
          <w:p w14:paraId="3225F951" w14:textId="77777777" w:rsidR="00DD788D" w:rsidRPr="00D95126" w:rsidRDefault="00DD788D" w:rsidP="00D95126">
            <w:pPr>
              <w:spacing w:line="280" w:lineRule="exact"/>
              <w:rPr>
                <w:bCs/>
                <w:sz w:val="22"/>
                <w:szCs w:val="22"/>
                <w:lang w:val="en-US"/>
              </w:rPr>
            </w:pPr>
            <w:r w:rsidRPr="00D95126">
              <w:rPr>
                <w:bCs/>
                <w:sz w:val="22"/>
                <w:szCs w:val="22"/>
                <w:lang w:val="en-US"/>
              </w:rPr>
              <w:t xml:space="preserve">  Myocardial infarction</w:t>
            </w:r>
          </w:p>
        </w:tc>
        <w:tc>
          <w:tcPr>
            <w:tcW w:w="2031" w:type="dxa"/>
          </w:tcPr>
          <w:p w14:paraId="75DA6214" w14:textId="77777777" w:rsidR="00DD788D" w:rsidRPr="00D95126" w:rsidRDefault="00A812FE" w:rsidP="00D95126">
            <w:pPr>
              <w:spacing w:line="280" w:lineRule="exact"/>
              <w:jc w:val="center"/>
              <w:rPr>
                <w:bCs/>
                <w:sz w:val="22"/>
                <w:szCs w:val="22"/>
                <w:lang w:val="en-US"/>
              </w:rPr>
            </w:pPr>
            <w:r w:rsidRPr="00D95126">
              <w:rPr>
                <w:bCs/>
                <w:sz w:val="22"/>
                <w:szCs w:val="22"/>
                <w:lang w:val="en-US"/>
              </w:rPr>
              <w:t>2,573 (8)</w:t>
            </w:r>
          </w:p>
        </w:tc>
        <w:tc>
          <w:tcPr>
            <w:tcW w:w="2032" w:type="dxa"/>
          </w:tcPr>
          <w:p w14:paraId="55F1884F" w14:textId="77777777" w:rsidR="00DD788D" w:rsidRPr="00D95126" w:rsidRDefault="00A812FE" w:rsidP="00D95126">
            <w:pPr>
              <w:spacing w:line="280" w:lineRule="exact"/>
              <w:jc w:val="center"/>
              <w:rPr>
                <w:bCs/>
                <w:sz w:val="22"/>
                <w:szCs w:val="22"/>
                <w:lang w:val="en-US"/>
              </w:rPr>
            </w:pPr>
            <w:r w:rsidRPr="00D95126">
              <w:rPr>
                <w:bCs/>
                <w:sz w:val="22"/>
                <w:szCs w:val="22"/>
                <w:lang w:val="en-US"/>
              </w:rPr>
              <w:t>1,371 (9)</w:t>
            </w:r>
          </w:p>
        </w:tc>
        <w:tc>
          <w:tcPr>
            <w:tcW w:w="2032" w:type="dxa"/>
          </w:tcPr>
          <w:p w14:paraId="2E072008" w14:textId="77777777" w:rsidR="00DD788D" w:rsidRPr="00D95126" w:rsidRDefault="00A812FE" w:rsidP="00D95126">
            <w:pPr>
              <w:spacing w:line="280" w:lineRule="exact"/>
              <w:jc w:val="center"/>
              <w:rPr>
                <w:bCs/>
                <w:sz w:val="22"/>
                <w:szCs w:val="22"/>
                <w:lang w:val="en-US"/>
              </w:rPr>
            </w:pPr>
            <w:r w:rsidRPr="00D95126">
              <w:rPr>
                <w:bCs/>
                <w:sz w:val="22"/>
                <w:szCs w:val="22"/>
                <w:lang w:val="en-US"/>
              </w:rPr>
              <w:t>1,202 (7)</w:t>
            </w:r>
          </w:p>
        </w:tc>
      </w:tr>
      <w:tr w:rsidR="00DD788D" w:rsidRPr="00DE4F77" w14:paraId="3A419D52" w14:textId="77777777" w:rsidTr="00BD076C">
        <w:tc>
          <w:tcPr>
            <w:tcW w:w="3686" w:type="dxa"/>
          </w:tcPr>
          <w:p w14:paraId="4AFC104B" w14:textId="5E00B419" w:rsidR="00DD788D" w:rsidRPr="00D95126" w:rsidRDefault="00DD788D" w:rsidP="00D95126">
            <w:pPr>
              <w:spacing w:line="280" w:lineRule="exact"/>
              <w:rPr>
                <w:bCs/>
                <w:sz w:val="22"/>
                <w:szCs w:val="22"/>
                <w:lang w:val="en-US"/>
              </w:rPr>
            </w:pPr>
            <w:r w:rsidRPr="00D95126">
              <w:rPr>
                <w:bCs/>
                <w:sz w:val="22"/>
                <w:szCs w:val="22"/>
                <w:lang w:val="en-US"/>
              </w:rPr>
              <w:t xml:space="preserve">  </w:t>
            </w:r>
            <w:r w:rsidR="00742F47">
              <w:rPr>
                <w:bCs/>
                <w:sz w:val="22"/>
                <w:szCs w:val="22"/>
                <w:lang w:val="en-US"/>
              </w:rPr>
              <w:t>Ischaemic</w:t>
            </w:r>
            <w:r w:rsidRPr="00D95126">
              <w:rPr>
                <w:bCs/>
                <w:sz w:val="22"/>
                <w:szCs w:val="22"/>
                <w:lang w:val="en-US"/>
              </w:rPr>
              <w:t xml:space="preserve"> heart disease</w:t>
            </w:r>
          </w:p>
        </w:tc>
        <w:tc>
          <w:tcPr>
            <w:tcW w:w="2031" w:type="dxa"/>
          </w:tcPr>
          <w:p w14:paraId="4309DA92" w14:textId="77777777" w:rsidR="00DD788D" w:rsidRPr="00D95126" w:rsidRDefault="00A812FE" w:rsidP="00D95126">
            <w:pPr>
              <w:spacing w:line="280" w:lineRule="exact"/>
              <w:jc w:val="center"/>
              <w:rPr>
                <w:bCs/>
                <w:sz w:val="22"/>
                <w:szCs w:val="22"/>
                <w:lang w:val="en-US"/>
              </w:rPr>
            </w:pPr>
            <w:r w:rsidRPr="00D95126">
              <w:rPr>
                <w:bCs/>
                <w:sz w:val="22"/>
                <w:szCs w:val="22"/>
                <w:lang w:val="en-US"/>
              </w:rPr>
              <w:t>7,346 (23)</w:t>
            </w:r>
          </w:p>
        </w:tc>
        <w:tc>
          <w:tcPr>
            <w:tcW w:w="2032" w:type="dxa"/>
          </w:tcPr>
          <w:p w14:paraId="6C12FE42" w14:textId="77777777" w:rsidR="00DD788D" w:rsidRPr="00D95126" w:rsidRDefault="00A812FE" w:rsidP="00D95126">
            <w:pPr>
              <w:spacing w:line="280" w:lineRule="exact"/>
              <w:jc w:val="center"/>
              <w:rPr>
                <w:bCs/>
                <w:sz w:val="22"/>
                <w:szCs w:val="22"/>
                <w:lang w:val="en-US"/>
              </w:rPr>
            </w:pPr>
            <w:r w:rsidRPr="00D95126">
              <w:rPr>
                <w:bCs/>
                <w:sz w:val="22"/>
                <w:szCs w:val="22"/>
                <w:lang w:val="en-US"/>
              </w:rPr>
              <w:t>3,834 (26)</w:t>
            </w:r>
          </w:p>
        </w:tc>
        <w:tc>
          <w:tcPr>
            <w:tcW w:w="2032" w:type="dxa"/>
          </w:tcPr>
          <w:p w14:paraId="2FB12768" w14:textId="77777777" w:rsidR="00DD788D" w:rsidRPr="00D95126" w:rsidRDefault="00A812FE" w:rsidP="00D95126">
            <w:pPr>
              <w:spacing w:line="280" w:lineRule="exact"/>
              <w:jc w:val="center"/>
              <w:rPr>
                <w:bCs/>
                <w:sz w:val="22"/>
                <w:szCs w:val="22"/>
                <w:lang w:val="en-US"/>
              </w:rPr>
            </w:pPr>
            <w:r w:rsidRPr="00D95126">
              <w:rPr>
                <w:bCs/>
                <w:sz w:val="22"/>
                <w:szCs w:val="22"/>
                <w:lang w:val="en-US"/>
              </w:rPr>
              <w:t>3,512 (21)</w:t>
            </w:r>
          </w:p>
        </w:tc>
      </w:tr>
      <w:tr w:rsidR="00DD788D" w:rsidRPr="00DE4F77" w14:paraId="228D9F01" w14:textId="77777777" w:rsidTr="00BD076C">
        <w:tc>
          <w:tcPr>
            <w:tcW w:w="3686" w:type="dxa"/>
          </w:tcPr>
          <w:p w14:paraId="023D12C8" w14:textId="77777777" w:rsidR="00DD788D" w:rsidRPr="00D95126" w:rsidRDefault="00DD788D" w:rsidP="00D95126">
            <w:pPr>
              <w:spacing w:line="280" w:lineRule="exact"/>
              <w:rPr>
                <w:bCs/>
                <w:sz w:val="22"/>
                <w:szCs w:val="22"/>
                <w:lang w:val="en-US"/>
              </w:rPr>
            </w:pPr>
            <w:r w:rsidRPr="00D95126">
              <w:rPr>
                <w:bCs/>
                <w:sz w:val="22"/>
                <w:szCs w:val="22"/>
                <w:lang w:val="en-US"/>
              </w:rPr>
              <w:t xml:space="preserve">  Cerebrovascular disease</w:t>
            </w:r>
          </w:p>
        </w:tc>
        <w:tc>
          <w:tcPr>
            <w:tcW w:w="2031" w:type="dxa"/>
          </w:tcPr>
          <w:p w14:paraId="7C063AC6" w14:textId="77777777" w:rsidR="00DD788D" w:rsidRPr="00D95126" w:rsidRDefault="00A812FE" w:rsidP="00D95126">
            <w:pPr>
              <w:spacing w:line="280" w:lineRule="exact"/>
              <w:jc w:val="center"/>
              <w:rPr>
                <w:bCs/>
                <w:sz w:val="22"/>
                <w:szCs w:val="22"/>
                <w:lang w:val="en-US"/>
              </w:rPr>
            </w:pPr>
            <w:r w:rsidRPr="00D95126">
              <w:rPr>
                <w:bCs/>
                <w:sz w:val="22"/>
                <w:szCs w:val="22"/>
                <w:lang w:val="en-US"/>
              </w:rPr>
              <w:t>1,684 (5)</w:t>
            </w:r>
          </w:p>
        </w:tc>
        <w:tc>
          <w:tcPr>
            <w:tcW w:w="2032" w:type="dxa"/>
          </w:tcPr>
          <w:p w14:paraId="1609C003" w14:textId="77777777" w:rsidR="00DD788D" w:rsidRPr="00D95126" w:rsidRDefault="00A812FE" w:rsidP="00D95126">
            <w:pPr>
              <w:spacing w:line="280" w:lineRule="exact"/>
              <w:jc w:val="center"/>
              <w:rPr>
                <w:bCs/>
                <w:sz w:val="22"/>
                <w:szCs w:val="22"/>
                <w:lang w:val="en-US"/>
              </w:rPr>
            </w:pPr>
            <w:r w:rsidRPr="00D95126">
              <w:rPr>
                <w:bCs/>
                <w:sz w:val="22"/>
                <w:szCs w:val="22"/>
                <w:lang w:val="en-US"/>
              </w:rPr>
              <w:t>849 (6)</w:t>
            </w:r>
          </w:p>
        </w:tc>
        <w:tc>
          <w:tcPr>
            <w:tcW w:w="2032" w:type="dxa"/>
          </w:tcPr>
          <w:p w14:paraId="0F17E3DF" w14:textId="77777777" w:rsidR="00DD788D" w:rsidRPr="00D95126" w:rsidRDefault="00A812FE" w:rsidP="00D95126">
            <w:pPr>
              <w:spacing w:line="280" w:lineRule="exact"/>
              <w:jc w:val="center"/>
              <w:rPr>
                <w:bCs/>
                <w:sz w:val="22"/>
                <w:szCs w:val="22"/>
                <w:lang w:val="en-US"/>
              </w:rPr>
            </w:pPr>
            <w:r w:rsidRPr="00D95126">
              <w:rPr>
                <w:bCs/>
                <w:sz w:val="22"/>
                <w:szCs w:val="22"/>
                <w:lang w:val="en-US"/>
              </w:rPr>
              <w:t>835 (5)</w:t>
            </w:r>
          </w:p>
        </w:tc>
      </w:tr>
      <w:tr w:rsidR="00DD788D" w:rsidRPr="00DE4F77" w14:paraId="16E856D9" w14:textId="77777777" w:rsidTr="00BD076C">
        <w:tc>
          <w:tcPr>
            <w:tcW w:w="3686" w:type="dxa"/>
          </w:tcPr>
          <w:p w14:paraId="2E19BDA9" w14:textId="77777777" w:rsidR="00DD788D" w:rsidRPr="00D95126" w:rsidRDefault="00DD788D" w:rsidP="00D95126">
            <w:pPr>
              <w:spacing w:line="280" w:lineRule="exact"/>
              <w:rPr>
                <w:bCs/>
                <w:sz w:val="22"/>
                <w:szCs w:val="22"/>
                <w:lang w:val="en-US"/>
              </w:rPr>
            </w:pPr>
            <w:r w:rsidRPr="00D95126">
              <w:rPr>
                <w:bCs/>
                <w:sz w:val="22"/>
                <w:szCs w:val="22"/>
                <w:lang w:val="en-US"/>
              </w:rPr>
              <w:t xml:space="preserve">  Diabetes mellitus</w:t>
            </w:r>
          </w:p>
        </w:tc>
        <w:tc>
          <w:tcPr>
            <w:tcW w:w="2031" w:type="dxa"/>
          </w:tcPr>
          <w:p w14:paraId="2C8DBD22" w14:textId="77777777" w:rsidR="00DD788D" w:rsidRPr="00D95126" w:rsidRDefault="00A812FE" w:rsidP="00D95126">
            <w:pPr>
              <w:spacing w:line="280" w:lineRule="exact"/>
              <w:jc w:val="center"/>
              <w:rPr>
                <w:bCs/>
                <w:sz w:val="22"/>
                <w:szCs w:val="22"/>
                <w:lang w:val="en-US"/>
              </w:rPr>
            </w:pPr>
            <w:r w:rsidRPr="00D95126">
              <w:rPr>
                <w:bCs/>
                <w:sz w:val="22"/>
                <w:szCs w:val="22"/>
                <w:lang w:val="en-US"/>
              </w:rPr>
              <w:t>1,912 (6)</w:t>
            </w:r>
          </w:p>
        </w:tc>
        <w:tc>
          <w:tcPr>
            <w:tcW w:w="2032" w:type="dxa"/>
          </w:tcPr>
          <w:p w14:paraId="549D98CB" w14:textId="77777777" w:rsidR="00DD788D" w:rsidRPr="00D95126" w:rsidRDefault="00A812FE" w:rsidP="00D95126">
            <w:pPr>
              <w:spacing w:line="280" w:lineRule="exact"/>
              <w:jc w:val="center"/>
              <w:rPr>
                <w:bCs/>
                <w:sz w:val="22"/>
                <w:szCs w:val="22"/>
                <w:lang w:val="en-US"/>
              </w:rPr>
            </w:pPr>
            <w:r w:rsidRPr="00D95126">
              <w:rPr>
                <w:bCs/>
                <w:sz w:val="22"/>
                <w:szCs w:val="22"/>
                <w:lang w:val="en-US"/>
              </w:rPr>
              <w:t>1,002 (7)</w:t>
            </w:r>
          </w:p>
        </w:tc>
        <w:tc>
          <w:tcPr>
            <w:tcW w:w="2032" w:type="dxa"/>
          </w:tcPr>
          <w:p w14:paraId="3CFB7C9D" w14:textId="77777777" w:rsidR="00DD788D" w:rsidRPr="00D95126" w:rsidRDefault="00A812FE" w:rsidP="00D95126">
            <w:pPr>
              <w:spacing w:line="280" w:lineRule="exact"/>
              <w:jc w:val="center"/>
              <w:rPr>
                <w:bCs/>
                <w:sz w:val="22"/>
                <w:szCs w:val="22"/>
                <w:lang w:val="en-US"/>
              </w:rPr>
            </w:pPr>
            <w:r w:rsidRPr="00D95126">
              <w:rPr>
                <w:bCs/>
                <w:sz w:val="22"/>
                <w:szCs w:val="22"/>
                <w:lang w:val="en-US"/>
              </w:rPr>
              <w:t>910 (5)</w:t>
            </w:r>
          </w:p>
        </w:tc>
      </w:tr>
      <w:tr w:rsidR="00DD788D" w:rsidRPr="00DE4F77" w14:paraId="7D4C69E2" w14:textId="77777777" w:rsidTr="00BD076C">
        <w:tc>
          <w:tcPr>
            <w:tcW w:w="3686" w:type="dxa"/>
          </w:tcPr>
          <w:p w14:paraId="6A588511" w14:textId="0CED418F" w:rsidR="00DD788D" w:rsidRPr="00D95126" w:rsidRDefault="00DD788D" w:rsidP="00D95126">
            <w:pPr>
              <w:spacing w:line="280" w:lineRule="exact"/>
              <w:rPr>
                <w:b/>
                <w:bCs/>
                <w:i/>
                <w:sz w:val="22"/>
                <w:szCs w:val="22"/>
                <w:lang w:val="en-US"/>
              </w:rPr>
            </w:pPr>
            <w:r w:rsidRPr="00D95126">
              <w:rPr>
                <w:b/>
                <w:bCs/>
                <w:i/>
                <w:sz w:val="22"/>
                <w:szCs w:val="22"/>
                <w:lang w:val="en-US"/>
              </w:rPr>
              <w:t xml:space="preserve">Previous </w:t>
            </w:r>
            <w:r w:rsidR="00A711AE">
              <w:rPr>
                <w:b/>
                <w:bCs/>
                <w:i/>
                <w:sz w:val="22"/>
                <w:szCs w:val="22"/>
                <w:lang w:val="en-US"/>
              </w:rPr>
              <w:t>revascularization</w:t>
            </w:r>
          </w:p>
        </w:tc>
        <w:tc>
          <w:tcPr>
            <w:tcW w:w="2031" w:type="dxa"/>
          </w:tcPr>
          <w:p w14:paraId="60F5CCE4" w14:textId="77777777" w:rsidR="00DD788D" w:rsidRPr="00D95126" w:rsidRDefault="00DD788D" w:rsidP="00D95126">
            <w:pPr>
              <w:spacing w:line="280" w:lineRule="exact"/>
              <w:jc w:val="center"/>
              <w:rPr>
                <w:bCs/>
                <w:sz w:val="22"/>
                <w:szCs w:val="22"/>
                <w:lang w:val="en-US"/>
              </w:rPr>
            </w:pPr>
          </w:p>
        </w:tc>
        <w:tc>
          <w:tcPr>
            <w:tcW w:w="2032" w:type="dxa"/>
          </w:tcPr>
          <w:p w14:paraId="50C2405C" w14:textId="77777777" w:rsidR="00DD788D" w:rsidRPr="00D95126" w:rsidRDefault="00DD788D" w:rsidP="00D95126">
            <w:pPr>
              <w:spacing w:line="280" w:lineRule="exact"/>
              <w:jc w:val="center"/>
              <w:rPr>
                <w:bCs/>
                <w:sz w:val="22"/>
                <w:szCs w:val="22"/>
                <w:lang w:val="en-US"/>
              </w:rPr>
            </w:pPr>
          </w:p>
        </w:tc>
        <w:tc>
          <w:tcPr>
            <w:tcW w:w="2032" w:type="dxa"/>
          </w:tcPr>
          <w:p w14:paraId="472BFB17" w14:textId="77777777" w:rsidR="00DD788D" w:rsidRPr="00D95126" w:rsidRDefault="00DD788D" w:rsidP="00D95126">
            <w:pPr>
              <w:spacing w:line="280" w:lineRule="exact"/>
              <w:jc w:val="center"/>
              <w:rPr>
                <w:bCs/>
                <w:sz w:val="22"/>
                <w:szCs w:val="22"/>
                <w:lang w:val="en-US"/>
              </w:rPr>
            </w:pPr>
          </w:p>
        </w:tc>
      </w:tr>
      <w:tr w:rsidR="00DD788D" w:rsidRPr="00DE4F77" w14:paraId="12EB1527" w14:textId="77777777" w:rsidTr="00BD076C">
        <w:tc>
          <w:tcPr>
            <w:tcW w:w="3686" w:type="dxa"/>
          </w:tcPr>
          <w:p w14:paraId="7786FCB5" w14:textId="77777777" w:rsidR="00DD788D" w:rsidRPr="00D95126" w:rsidRDefault="00DD788D" w:rsidP="00D95126">
            <w:pPr>
              <w:spacing w:line="280" w:lineRule="exact"/>
              <w:rPr>
                <w:bCs/>
                <w:sz w:val="22"/>
                <w:szCs w:val="22"/>
                <w:lang w:val="en-US"/>
              </w:rPr>
            </w:pPr>
            <w:r w:rsidRPr="00D95126">
              <w:rPr>
                <w:bCs/>
                <w:sz w:val="22"/>
                <w:szCs w:val="22"/>
                <w:lang w:val="en-US"/>
              </w:rPr>
              <w:t xml:space="preserve">  PCI</w:t>
            </w:r>
          </w:p>
        </w:tc>
        <w:tc>
          <w:tcPr>
            <w:tcW w:w="2031" w:type="dxa"/>
          </w:tcPr>
          <w:p w14:paraId="1099A477" w14:textId="77777777" w:rsidR="00DD788D" w:rsidRPr="00D95126" w:rsidRDefault="00A812FE" w:rsidP="00D95126">
            <w:pPr>
              <w:spacing w:line="280" w:lineRule="exact"/>
              <w:jc w:val="center"/>
              <w:rPr>
                <w:bCs/>
                <w:sz w:val="22"/>
                <w:szCs w:val="22"/>
                <w:lang w:val="en-US"/>
              </w:rPr>
            </w:pPr>
            <w:r w:rsidRPr="00D95126">
              <w:rPr>
                <w:bCs/>
                <w:sz w:val="22"/>
                <w:szCs w:val="22"/>
                <w:lang w:val="en-US"/>
              </w:rPr>
              <w:t>2,831 (9)</w:t>
            </w:r>
          </w:p>
        </w:tc>
        <w:tc>
          <w:tcPr>
            <w:tcW w:w="2032" w:type="dxa"/>
          </w:tcPr>
          <w:p w14:paraId="714734AE" w14:textId="77777777" w:rsidR="00DD788D" w:rsidRPr="00D95126" w:rsidRDefault="00A812FE" w:rsidP="00D95126">
            <w:pPr>
              <w:spacing w:line="280" w:lineRule="exact"/>
              <w:jc w:val="center"/>
              <w:rPr>
                <w:bCs/>
                <w:sz w:val="22"/>
                <w:szCs w:val="22"/>
                <w:lang w:val="en-US"/>
              </w:rPr>
            </w:pPr>
            <w:r w:rsidRPr="00D95126">
              <w:rPr>
                <w:bCs/>
                <w:sz w:val="22"/>
                <w:szCs w:val="22"/>
                <w:lang w:val="en-US"/>
              </w:rPr>
              <w:t>1,534 (10)</w:t>
            </w:r>
          </w:p>
        </w:tc>
        <w:tc>
          <w:tcPr>
            <w:tcW w:w="2032" w:type="dxa"/>
          </w:tcPr>
          <w:p w14:paraId="53BCF40A" w14:textId="77777777" w:rsidR="00DD788D" w:rsidRPr="00D95126" w:rsidRDefault="00A812FE" w:rsidP="00D95126">
            <w:pPr>
              <w:spacing w:line="280" w:lineRule="exact"/>
              <w:jc w:val="center"/>
              <w:rPr>
                <w:bCs/>
                <w:sz w:val="22"/>
                <w:szCs w:val="22"/>
                <w:lang w:val="en-US"/>
              </w:rPr>
            </w:pPr>
            <w:r w:rsidRPr="00D95126">
              <w:rPr>
                <w:bCs/>
                <w:sz w:val="22"/>
                <w:szCs w:val="22"/>
                <w:lang w:val="en-US"/>
              </w:rPr>
              <w:t>1,297 (8)</w:t>
            </w:r>
          </w:p>
        </w:tc>
      </w:tr>
      <w:tr w:rsidR="00DD788D" w:rsidRPr="00DE4F77" w14:paraId="52861089" w14:textId="77777777" w:rsidTr="00BD076C">
        <w:tc>
          <w:tcPr>
            <w:tcW w:w="3686" w:type="dxa"/>
          </w:tcPr>
          <w:p w14:paraId="5F9733C3" w14:textId="77777777" w:rsidR="00DD788D" w:rsidRPr="00D95126" w:rsidRDefault="00DD788D" w:rsidP="00D95126">
            <w:pPr>
              <w:spacing w:line="280" w:lineRule="exact"/>
              <w:rPr>
                <w:bCs/>
                <w:sz w:val="22"/>
                <w:szCs w:val="22"/>
                <w:lang w:val="en-US"/>
              </w:rPr>
            </w:pPr>
            <w:r w:rsidRPr="00D95126">
              <w:rPr>
                <w:bCs/>
                <w:sz w:val="22"/>
                <w:szCs w:val="22"/>
                <w:lang w:val="en-US"/>
              </w:rPr>
              <w:t xml:space="preserve">  CABG</w:t>
            </w:r>
          </w:p>
        </w:tc>
        <w:tc>
          <w:tcPr>
            <w:tcW w:w="2031" w:type="dxa"/>
          </w:tcPr>
          <w:p w14:paraId="46A99B54" w14:textId="77777777" w:rsidR="00DD788D" w:rsidRPr="00D95126" w:rsidRDefault="00A812FE" w:rsidP="00D95126">
            <w:pPr>
              <w:spacing w:line="280" w:lineRule="exact"/>
              <w:jc w:val="center"/>
              <w:rPr>
                <w:bCs/>
                <w:sz w:val="22"/>
                <w:szCs w:val="22"/>
                <w:lang w:val="en-US"/>
              </w:rPr>
            </w:pPr>
            <w:r w:rsidRPr="00D95126">
              <w:rPr>
                <w:bCs/>
                <w:sz w:val="22"/>
                <w:szCs w:val="22"/>
                <w:lang w:val="en-US"/>
              </w:rPr>
              <w:t>452 (1)</w:t>
            </w:r>
          </w:p>
        </w:tc>
        <w:tc>
          <w:tcPr>
            <w:tcW w:w="2032" w:type="dxa"/>
          </w:tcPr>
          <w:p w14:paraId="73B8B709" w14:textId="77777777" w:rsidR="00DD788D" w:rsidRPr="00D95126" w:rsidRDefault="00A812FE" w:rsidP="00D95126">
            <w:pPr>
              <w:spacing w:line="280" w:lineRule="exact"/>
              <w:jc w:val="center"/>
              <w:rPr>
                <w:bCs/>
                <w:sz w:val="22"/>
                <w:szCs w:val="22"/>
                <w:lang w:val="en-US"/>
              </w:rPr>
            </w:pPr>
            <w:r w:rsidRPr="00D95126">
              <w:rPr>
                <w:bCs/>
                <w:sz w:val="22"/>
                <w:szCs w:val="22"/>
                <w:lang w:val="en-US"/>
              </w:rPr>
              <w:t>240 (2)</w:t>
            </w:r>
          </w:p>
        </w:tc>
        <w:tc>
          <w:tcPr>
            <w:tcW w:w="2032" w:type="dxa"/>
          </w:tcPr>
          <w:p w14:paraId="1052C617" w14:textId="77777777" w:rsidR="00DD788D" w:rsidRPr="00D95126" w:rsidRDefault="00A812FE" w:rsidP="00D95126">
            <w:pPr>
              <w:spacing w:line="280" w:lineRule="exact"/>
              <w:jc w:val="center"/>
              <w:rPr>
                <w:bCs/>
                <w:sz w:val="22"/>
                <w:szCs w:val="22"/>
                <w:lang w:val="en-US"/>
              </w:rPr>
            </w:pPr>
            <w:r w:rsidRPr="00D95126">
              <w:rPr>
                <w:bCs/>
                <w:sz w:val="22"/>
                <w:szCs w:val="22"/>
                <w:lang w:val="en-US"/>
              </w:rPr>
              <w:t>212 (1)</w:t>
            </w:r>
          </w:p>
        </w:tc>
      </w:tr>
      <w:tr w:rsidR="00DD788D" w:rsidRPr="00DE4F77" w14:paraId="4685A734" w14:textId="77777777" w:rsidTr="00BD076C">
        <w:tc>
          <w:tcPr>
            <w:tcW w:w="3686" w:type="dxa"/>
          </w:tcPr>
          <w:p w14:paraId="7C3529BD" w14:textId="77777777" w:rsidR="00DD788D" w:rsidRPr="00D95126" w:rsidRDefault="00DD788D" w:rsidP="00D95126">
            <w:pPr>
              <w:spacing w:line="280" w:lineRule="exact"/>
              <w:rPr>
                <w:bCs/>
                <w:sz w:val="22"/>
                <w:szCs w:val="22"/>
                <w:lang w:val="en-US"/>
              </w:rPr>
            </w:pPr>
            <w:r w:rsidRPr="00D95126">
              <w:rPr>
                <w:b/>
                <w:i/>
                <w:sz w:val="22"/>
                <w:szCs w:val="22"/>
              </w:rPr>
              <w:t>Medications at presentation</w:t>
            </w:r>
          </w:p>
        </w:tc>
        <w:tc>
          <w:tcPr>
            <w:tcW w:w="2031" w:type="dxa"/>
          </w:tcPr>
          <w:p w14:paraId="1E8F2CED" w14:textId="77777777" w:rsidR="00DD788D" w:rsidRPr="00D95126" w:rsidRDefault="00DD788D" w:rsidP="00D95126">
            <w:pPr>
              <w:spacing w:line="280" w:lineRule="exact"/>
              <w:jc w:val="center"/>
              <w:rPr>
                <w:bCs/>
                <w:sz w:val="22"/>
                <w:szCs w:val="22"/>
                <w:lang w:val="en-US"/>
              </w:rPr>
            </w:pPr>
          </w:p>
        </w:tc>
        <w:tc>
          <w:tcPr>
            <w:tcW w:w="2032" w:type="dxa"/>
          </w:tcPr>
          <w:p w14:paraId="75BB3DE9" w14:textId="77777777" w:rsidR="00DD788D" w:rsidRPr="00D95126" w:rsidRDefault="00DD788D" w:rsidP="00D95126">
            <w:pPr>
              <w:spacing w:line="280" w:lineRule="exact"/>
              <w:jc w:val="center"/>
              <w:rPr>
                <w:bCs/>
                <w:sz w:val="22"/>
                <w:szCs w:val="22"/>
                <w:lang w:val="en-US"/>
              </w:rPr>
            </w:pPr>
          </w:p>
        </w:tc>
        <w:tc>
          <w:tcPr>
            <w:tcW w:w="2032" w:type="dxa"/>
          </w:tcPr>
          <w:p w14:paraId="2B430E3B" w14:textId="77777777" w:rsidR="00DD788D" w:rsidRPr="00D95126" w:rsidRDefault="00DD788D" w:rsidP="00D95126">
            <w:pPr>
              <w:spacing w:line="280" w:lineRule="exact"/>
              <w:jc w:val="center"/>
              <w:rPr>
                <w:bCs/>
                <w:sz w:val="22"/>
                <w:szCs w:val="22"/>
                <w:lang w:val="en-US"/>
              </w:rPr>
            </w:pPr>
          </w:p>
        </w:tc>
      </w:tr>
      <w:tr w:rsidR="00DD788D" w:rsidRPr="00DE4F77" w14:paraId="1228FCDB" w14:textId="77777777" w:rsidTr="00BD076C">
        <w:tc>
          <w:tcPr>
            <w:tcW w:w="3686" w:type="dxa"/>
          </w:tcPr>
          <w:p w14:paraId="106C5175" w14:textId="77777777" w:rsidR="00DD788D" w:rsidRPr="00D95126" w:rsidRDefault="00DD788D" w:rsidP="00D95126">
            <w:pPr>
              <w:spacing w:line="280" w:lineRule="exact"/>
              <w:rPr>
                <w:bCs/>
                <w:sz w:val="22"/>
                <w:szCs w:val="22"/>
                <w:lang w:val="en-US"/>
              </w:rPr>
            </w:pPr>
            <w:r w:rsidRPr="00D95126">
              <w:rPr>
                <w:sz w:val="22"/>
                <w:szCs w:val="22"/>
              </w:rPr>
              <w:t xml:space="preserve">  Aspirin</w:t>
            </w:r>
          </w:p>
        </w:tc>
        <w:tc>
          <w:tcPr>
            <w:tcW w:w="2031" w:type="dxa"/>
          </w:tcPr>
          <w:p w14:paraId="267DA7A2" w14:textId="77777777" w:rsidR="00DD788D" w:rsidRPr="00D95126" w:rsidRDefault="009D4A5B" w:rsidP="00D95126">
            <w:pPr>
              <w:spacing w:line="280" w:lineRule="exact"/>
              <w:jc w:val="center"/>
              <w:rPr>
                <w:bCs/>
                <w:sz w:val="22"/>
                <w:szCs w:val="22"/>
                <w:lang w:val="en-US"/>
              </w:rPr>
            </w:pPr>
            <w:r w:rsidRPr="00D95126">
              <w:rPr>
                <w:bCs/>
                <w:sz w:val="22"/>
                <w:szCs w:val="22"/>
                <w:lang w:val="en-US"/>
              </w:rPr>
              <w:t>8,023 (25)</w:t>
            </w:r>
          </w:p>
        </w:tc>
        <w:tc>
          <w:tcPr>
            <w:tcW w:w="2032" w:type="dxa"/>
          </w:tcPr>
          <w:p w14:paraId="3D94B92F" w14:textId="77777777" w:rsidR="00DD788D" w:rsidRPr="00D95126" w:rsidRDefault="009D4A5B" w:rsidP="00D95126">
            <w:pPr>
              <w:spacing w:line="280" w:lineRule="exact"/>
              <w:jc w:val="center"/>
              <w:rPr>
                <w:bCs/>
                <w:sz w:val="22"/>
                <w:szCs w:val="22"/>
                <w:lang w:val="en-US"/>
              </w:rPr>
            </w:pPr>
            <w:r w:rsidRPr="00D95126">
              <w:rPr>
                <w:bCs/>
                <w:sz w:val="22"/>
                <w:szCs w:val="22"/>
                <w:lang w:val="en-US"/>
              </w:rPr>
              <w:t>4,114 (28)</w:t>
            </w:r>
          </w:p>
        </w:tc>
        <w:tc>
          <w:tcPr>
            <w:tcW w:w="2032" w:type="dxa"/>
          </w:tcPr>
          <w:p w14:paraId="0D9116EB" w14:textId="77777777" w:rsidR="00DD788D" w:rsidRPr="00D95126" w:rsidRDefault="009D4A5B" w:rsidP="00D95126">
            <w:pPr>
              <w:spacing w:line="280" w:lineRule="exact"/>
              <w:jc w:val="center"/>
              <w:rPr>
                <w:bCs/>
                <w:sz w:val="22"/>
                <w:szCs w:val="22"/>
                <w:lang w:val="en-US"/>
              </w:rPr>
            </w:pPr>
            <w:r w:rsidRPr="00D95126">
              <w:rPr>
                <w:bCs/>
                <w:sz w:val="22"/>
                <w:szCs w:val="22"/>
                <w:lang w:val="en-US"/>
              </w:rPr>
              <w:t>3,909 (23)</w:t>
            </w:r>
          </w:p>
        </w:tc>
      </w:tr>
      <w:tr w:rsidR="00DD788D" w:rsidRPr="00DE4F77" w14:paraId="1760A9EC" w14:textId="77777777" w:rsidTr="00BD076C">
        <w:tc>
          <w:tcPr>
            <w:tcW w:w="3686" w:type="dxa"/>
          </w:tcPr>
          <w:p w14:paraId="49791BF9" w14:textId="77777777" w:rsidR="00DD788D" w:rsidRPr="00D95126" w:rsidRDefault="00DD788D" w:rsidP="00D95126">
            <w:pPr>
              <w:spacing w:line="280" w:lineRule="exact"/>
              <w:rPr>
                <w:bCs/>
                <w:sz w:val="22"/>
                <w:szCs w:val="22"/>
                <w:lang w:val="en-US"/>
              </w:rPr>
            </w:pPr>
            <w:r w:rsidRPr="00D95126">
              <w:rPr>
                <w:sz w:val="22"/>
                <w:szCs w:val="22"/>
              </w:rPr>
              <w:t xml:space="preserve">  Dual anti-platelet therapy</w:t>
            </w:r>
            <w:r w:rsidRPr="00D95126">
              <w:rPr>
                <w:b/>
                <w:bCs/>
                <w:i/>
                <w:sz w:val="22"/>
                <w:szCs w:val="22"/>
                <w:lang w:val="en-US"/>
              </w:rPr>
              <w:t>*</w:t>
            </w:r>
          </w:p>
        </w:tc>
        <w:tc>
          <w:tcPr>
            <w:tcW w:w="2031" w:type="dxa"/>
          </w:tcPr>
          <w:p w14:paraId="4633050F" w14:textId="77777777" w:rsidR="00DD788D" w:rsidRPr="00D95126" w:rsidRDefault="009D4A5B" w:rsidP="00D95126">
            <w:pPr>
              <w:spacing w:line="280" w:lineRule="exact"/>
              <w:jc w:val="center"/>
              <w:rPr>
                <w:bCs/>
                <w:sz w:val="22"/>
                <w:szCs w:val="22"/>
                <w:lang w:val="en-US"/>
              </w:rPr>
            </w:pPr>
            <w:r w:rsidRPr="00D95126">
              <w:rPr>
                <w:bCs/>
                <w:sz w:val="22"/>
                <w:szCs w:val="22"/>
                <w:lang w:val="en-US"/>
              </w:rPr>
              <w:t>1,269 (4)</w:t>
            </w:r>
          </w:p>
        </w:tc>
        <w:tc>
          <w:tcPr>
            <w:tcW w:w="2032" w:type="dxa"/>
          </w:tcPr>
          <w:p w14:paraId="2E55F5FA" w14:textId="77777777" w:rsidR="00DD788D" w:rsidRPr="00D95126" w:rsidRDefault="009D4A5B" w:rsidP="00D95126">
            <w:pPr>
              <w:spacing w:line="280" w:lineRule="exact"/>
              <w:jc w:val="center"/>
              <w:rPr>
                <w:bCs/>
                <w:sz w:val="22"/>
                <w:szCs w:val="22"/>
                <w:lang w:val="en-US"/>
              </w:rPr>
            </w:pPr>
            <w:r w:rsidRPr="00D95126">
              <w:rPr>
                <w:bCs/>
                <w:sz w:val="22"/>
                <w:szCs w:val="22"/>
                <w:lang w:val="en-US"/>
              </w:rPr>
              <w:t>738 (5)</w:t>
            </w:r>
          </w:p>
        </w:tc>
        <w:tc>
          <w:tcPr>
            <w:tcW w:w="2032" w:type="dxa"/>
          </w:tcPr>
          <w:p w14:paraId="32CA5662" w14:textId="77777777" w:rsidR="00DD788D" w:rsidRPr="00D95126" w:rsidRDefault="009D4A5B" w:rsidP="00D95126">
            <w:pPr>
              <w:spacing w:line="280" w:lineRule="exact"/>
              <w:jc w:val="center"/>
              <w:rPr>
                <w:bCs/>
                <w:sz w:val="22"/>
                <w:szCs w:val="22"/>
                <w:lang w:val="en-US"/>
              </w:rPr>
            </w:pPr>
            <w:r w:rsidRPr="00D95126">
              <w:rPr>
                <w:bCs/>
                <w:sz w:val="22"/>
                <w:szCs w:val="22"/>
                <w:lang w:val="en-US"/>
              </w:rPr>
              <w:t>531 (3)</w:t>
            </w:r>
          </w:p>
        </w:tc>
      </w:tr>
      <w:tr w:rsidR="00DD788D" w:rsidRPr="00DE4F77" w14:paraId="551FE53E" w14:textId="77777777" w:rsidTr="00BD076C">
        <w:tc>
          <w:tcPr>
            <w:tcW w:w="3686" w:type="dxa"/>
          </w:tcPr>
          <w:p w14:paraId="72637EAD" w14:textId="77777777" w:rsidR="00DD788D" w:rsidRPr="00D95126" w:rsidRDefault="00DD788D" w:rsidP="00D95126">
            <w:pPr>
              <w:spacing w:line="280" w:lineRule="exact"/>
              <w:rPr>
                <w:bCs/>
                <w:sz w:val="22"/>
                <w:szCs w:val="22"/>
                <w:lang w:val="en-US"/>
              </w:rPr>
            </w:pPr>
            <w:r w:rsidRPr="00D95126">
              <w:rPr>
                <w:sz w:val="22"/>
                <w:szCs w:val="22"/>
              </w:rPr>
              <w:t xml:space="preserve">  Statin</w:t>
            </w:r>
          </w:p>
        </w:tc>
        <w:tc>
          <w:tcPr>
            <w:tcW w:w="2031" w:type="dxa"/>
          </w:tcPr>
          <w:p w14:paraId="6DFF98AC" w14:textId="77777777" w:rsidR="00DD788D" w:rsidRPr="00D95126" w:rsidRDefault="009D4A5B" w:rsidP="00D95126">
            <w:pPr>
              <w:spacing w:line="280" w:lineRule="exact"/>
              <w:jc w:val="center"/>
              <w:rPr>
                <w:bCs/>
                <w:sz w:val="22"/>
                <w:szCs w:val="22"/>
                <w:lang w:val="en-US"/>
              </w:rPr>
            </w:pPr>
            <w:r w:rsidRPr="00D95126">
              <w:rPr>
                <w:bCs/>
                <w:sz w:val="22"/>
                <w:szCs w:val="22"/>
                <w:lang w:val="en-US"/>
              </w:rPr>
              <w:t>12,165 (39)</w:t>
            </w:r>
          </w:p>
        </w:tc>
        <w:tc>
          <w:tcPr>
            <w:tcW w:w="2032" w:type="dxa"/>
          </w:tcPr>
          <w:p w14:paraId="0190F8FF" w14:textId="77777777" w:rsidR="00DD788D" w:rsidRPr="00D95126" w:rsidRDefault="009D4A5B" w:rsidP="00D95126">
            <w:pPr>
              <w:spacing w:line="280" w:lineRule="exact"/>
              <w:jc w:val="center"/>
              <w:rPr>
                <w:bCs/>
                <w:sz w:val="22"/>
                <w:szCs w:val="22"/>
                <w:lang w:val="en-US"/>
              </w:rPr>
            </w:pPr>
            <w:r w:rsidRPr="00D95126">
              <w:rPr>
                <w:bCs/>
                <w:sz w:val="22"/>
                <w:szCs w:val="22"/>
                <w:lang w:val="en-US"/>
              </w:rPr>
              <w:t>6,035 (41)</w:t>
            </w:r>
          </w:p>
        </w:tc>
        <w:tc>
          <w:tcPr>
            <w:tcW w:w="2032" w:type="dxa"/>
          </w:tcPr>
          <w:p w14:paraId="31AD0184" w14:textId="77777777" w:rsidR="00DD788D" w:rsidRPr="00D95126" w:rsidRDefault="009D4A5B" w:rsidP="00D95126">
            <w:pPr>
              <w:spacing w:line="280" w:lineRule="exact"/>
              <w:jc w:val="center"/>
              <w:rPr>
                <w:bCs/>
                <w:sz w:val="22"/>
                <w:szCs w:val="22"/>
                <w:lang w:val="en-US"/>
              </w:rPr>
            </w:pPr>
            <w:r w:rsidRPr="00D95126">
              <w:rPr>
                <w:bCs/>
                <w:sz w:val="22"/>
                <w:szCs w:val="22"/>
                <w:lang w:val="en-US"/>
              </w:rPr>
              <w:t>6,130 (37)</w:t>
            </w:r>
          </w:p>
        </w:tc>
      </w:tr>
      <w:tr w:rsidR="00DD788D" w:rsidRPr="00DE4F77" w14:paraId="2EF4F6F5" w14:textId="77777777" w:rsidTr="00BD076C">
        <w:tc>
          <w:tcPr>
            <w:tcW w:w="3686" w:type="dxa"/>
          </w:tcPr>
          <w:p w14:paraId="43AA5B05" w14:textId="77777777" w:rsidR="00DD788D" w:rsidRPr="00D95126" w:rsidRDefault="00DD788D" w:rsidP="00D95126">
            <w:pPr>
              <w:spacing w:line="280" w:lineRule="exact"/>
              <w:rPr>
                <w:bCs/>
                <w:sz w:val="22"/>
                <w:szCs w:val="22"/>
                <w:lang w:val="en-US"/>
              </w:rPr>
            </w:pPr>
            <w:r w:rsidRPr="00D95126">
              <w:rPr>
                <w:sz w:val="22"/>
                <w:szCs w:val="22"/>
              </w:rPr>
              <w:t xml:space="preserve">  ACE inhibitor or ARB</w:t>
            </w:r>
          </w:p>
        </w:tc>
        <w:tc>
          <w:tcPr>
            <w:tcW w:w="2031" w:type="dxa"/>
          </w:tcPr>
          <w:p w14:paraId="7972A8BA" w14:textId="77777777" w:rsidR="00DD788D" w:rsidRPr="00D95126" w:rsidRDefault="009D4A5B" w:rsidP="00D95126">
            <w:pPr>
              <w:spacing w:line="280" w:lineRule="exact"/>
              <w:jc w:val="center"/>
              <w:rPr>
                <w:bCs/>
                <w:sz w:val="22"/>
                <w:szCs w:val="22"/>
                <w:lang w:val="en-US"/>
              </w:rPr>
            </w:pPr>
            <w:r w:rsidRPr="00D95126">
              <w:rPr>
                <w:bCs/>
                <w:sz w:val="22"/>
                <w:szCs w:val="22"/>
                <w:lang w:val="en-US"/>
              </w:rPr>
              <w:t>9,769 (31)</w:t>
            </w:r>
          </w:p>
        </w:tc>
        <w:tc>
          <w:tcPr>
            <w:tcW w:w="2032" w:type="dxa"/>
          </w:tcPr>
          <w:p w14:paraId="3EBFE693" w14:textId="77777777" w:rsidR="00DD788D" w:rsidRPr="00D95126" w:rsidRDefault="009D4A5B" w:rsidP="00D95126">
            <w:pPr>
              <w:spacing w:line="280" w:lineRule="exact"/>
              <w:jc w:val="center"/>
              <w:rPr>
                <w:bCs/>
                <w:sz w:val="22"/>
                <w:szCs w:val="22"/>
                <w:lang w:val="en-US"/>
              </w:rPr>
            </w:pPr>
            <w:r w:rsidRPr="00D95126">
              <w:rPr>
                <w:bCs/>
                <w:sz w:val="22"/>
                <w:szCs w:val="22"/>
                <w:lang w:val="en-US"/>
              </w:rPr>
              <w:t>4,776 (32)</w:t>
            </w:r>
          </w:p>
        </w:tc>
        <w:tc>
          <w:tcPr>
            <w:tcW w:w="2032" w:type="dxa"/>
          </w:tcPr>
          <w:p w14:paraId="62FD6ABE" w14:textId="77777777" w:rsidR="00DD788D" w:rsidRPr="00D95126" w:rsidRDefault="009D4A5B" w:rsidP="00D95126">
            <w:pPr>
              <w:spacing w:line="280" w:lineRule="exact"/>
              <w:jc w:val="center"/>
              <w:rPr>
                <w:bCs/>
                <w:sz w:val="22"/>
                <w:szCs w:val="22"/>
                <w:lang w:val="en-US"/>
              </w:rPr>
            </w:pPr>
            <w:r w:rsidRPr="00D95126">
              <w:rPr>
                <w:bCs/>
                <w:sz w:val="22"/>
                <w:szCs w:val="22"/>
                <w:lang w:val="en-US"/>
              </w:rPr>
              <w:t>4,993 (30)</w:t>
            </w:r>
          </w:p>
        </w:tc>
      </w:tr>
      <w:tr w:rsidR="00DD788D" w:rsidRPr="00DE4F77" w14:paraId="1B4E3C09" w14:textId="77777777" w:rsidTr="00BD076C">
        <w:tc>
          <w:tcPr>
            <w:tcW w:w="3686" w:type="dxa"/>
          </w:tcPr>
          <w:p w14:paraId="06B2D91E" w14:textId="77777777" w:rsidR="00DD788D" w:rsidRPr="00D95126" w:rsidRDefault="00DD788D" w:rsidP="00D95126">
            <w:pPr>
              <w:spacing w:line="280" w:lineRule="exact"/>
              <w:rPr>
                <w:bCs/>
                <w:sz w:val="22"/>
                <w:szCs w:val="22"/>
                <w:lang w:val="en-US"/>
              </w:rPr>
            </w:pPr>
            <w:r w:rsidRPr="00D95126">
              <w:rPr>
                <w:sz w:val="22"/>
                <w:szCs w:val="22"/>
              </w:rPr>
              <w:t xml:space="preserve">  Beta-blocker</w:t>
            </w:r>
          </w:p>
        </w:tc>
        <w:tc>
          <w:tcPr>
            <w:tcW w:w="2031" w:type="dxa"/>
          </w:tcPr>
          <w:p w14:paraId="16400BA6" w14:textId="77777777" w:rsidR="00DD788D" w:rsidRPr="00D95126" w:rsidRDefault="009D4A5B" w:rsidP="00D95126">
            <w:pPr>
              <w:spacing w:line="280" w:lineRule="exact"/>
              <w:jc w:val="center"/>
              <w:rPr>
                <w:bCs/>
                <w:sz w:val="22"/>
                <w:szCs w:val="22"/>
                <w:lang w:val="en-US"/>
              </w:rPr>
            </w:pPr>
            <w:r w:rsidRPr="00D95126">
              <w:rPr>
                <w:bCs/>
                <w:sz w:val="22"/>
                <w:szCs w:val="22"/>
                <w:lang w:val="en-US"/>
              </w:rPr>
              <w:t>8,548 (27)</w:t>
            </w:r>
          </w:p>
        </w:tc>
        <w:tc>
          <w:tcPr>
            <w:tcW w:w="2032" w:type="dxa"/>
          </w:tcPr>
          <w:p w14:paraId="320B982D" w14:textId="77777777" w:rsidR="00DD788D" w:rsidRPr="00D95126" w:rsidRDefault="009D4A5B" w:rsidP="00D95126">
            <w:pPr>
              <w:spacing w:line="280" w:lineRule="exact"/>
              <w:jc w:val="center"/>
              <w:rPr>
                <w:bCs/>
                <w:sz w:val="22"/>
                <w:szCs w:val="22"/>
                <w:lang w:val="en-US"/>
              </w:rPr>
            </w:pPr>
            <w:r w:rsidRPr="00D95126">
              <w:rPr>
                <w:bCs/>
                <w:sz w:val="22"/>
                <w:szCs w:val="22"/>
                <w:lang w:val="en-US"/>
              </w:rPr>
              <w:t>4,162 (28)</w:t>
            </w:r>
          </w:p>
        </w:tc>
        <w:tc>
          <w:tcPr>
            <w:tcW w:w="2032" w:type="dxa"/>
          </w:tcPr>
          <w:p w14:paraId="01D9CB05" w14:textId="77777777" w:rsidR="00DD788D" w:rsidRPr="00D95126" w:rsidRDefault="009D4A5B" w:rsidP="00D95126">
            <w:pPr>
              <w:spacing w:line="280" w:lineRule="exact"/>
              <w:jc w:val="center"/>
              <w:rPr>
                <w:bCs/>
                <w:sz w:val="22"/>
                <w:szCs w:val="22"/>
                <w:lang w:val="en-US"/>
              </w:rPr>
            </w:pPr>
            <w:r w:rsidRPr="00D95126">
              <w:rPr>
                <w:bCs/>
                <w:sz w:val="22"/>
                <w:szCs w:val="22"/>
                <w:lang w:val="en-US"/>
              </w:rPr>
              <w:t>4,386 (26)</w:t>
            </w:r>
          </w:p>
        </w:tc>
      </w:tr>
      <w:tr w:rsidR="00DD788D" w:rsidRPr="00DE4F77" w14:paraId="041EA066" w14:textId="77777777" w:rsidTr="00BD076C">
        <w:tc>
          <w:tcPr>
            <w:tcW w:w="3686" w:type="dxa"/>
          </w:tcPr>
          <w:p w14:paraId="2361E81C" w14:textId="77777777" w:rsidR="00DD788D" w:rsidRPr="00D95126" w:rsidRDefault="00DD788D" w:rsidP="00D95126">
            <w:pPr>
              <w:spacing w:line="280" w:lineRule="exact"/>
              <w:rPr>
                <w:bCs/>
                <w:sz w:val="22"/>
                <w:szCs w:val="22"/>
                <w:lang w:val="en-US"/>
              </w:rPr>
            </w:pPr>
            <w:r w:rsidRPr="00D95126">
              <w:rPr>
                <w:sz w:val="22"/>
                <w:szCs w:val="22"/>
              </w:rPr>
              <w:t xml:space="preserve">  Oral anti-coagulant †</w:t>
            </w:r>
          </w:p>
        </w:tc>
        <w:tc>
          <w:tcPr>
            <w:tcW w:w="2031" w:type="dxa"/>
          </w:tcPr>
          <w:p w14:paraId="7E12458C" w14:textId="77777777" w:rsidR="00DD788D" w:rsidRPr="00D95126" w:rsidRDefault="009D4A5B" w:rsidP="00D95126">
            <w:pPr>
              <w:spacing w:line="280" w:lineRule="exact"/>
              <w:jc w:val="center"/>
              <w:rPr>
                <w:bCs/>
                <w:sz w:val="22"/>
                <w:szCs w:val="22"/>
                <w:lang w:val="en-US"/>
              </w:rPr>
            </w:pPr>
            <w:r w:rsidRPr="00D95126">
              <w:rPr>
                <w:bCs/>
                <w:sz w:val="22"/>
                <w:szCs w:val="22"/>
                <w:lang w:val="en-US"/>
              </w:rPr>
              <w:t>2,167 (7)</w:t>
            </w:r>
          </w:p>
        </w:tc>
        <w:tc>
          <w:tcPr>
            <w:tcW w:w="2032" w:type="dxa"/>
          </w:tcPr>
          <w:p w14:paraId="1E0301B9" w14:textId="77777777" w:rsidR="00DD788D" w:rsidRPr="00D95126" w:rsidRDefault="009D4A5B" w:rsidP="00D95126">
            <w:pPr>
              <w:spacing w:line="280" w:lineRule="exact"/>
              <w:jc w:val="center"/>
              <w:rPr>
                <w:bCs/>
                <w:sz w:val="22"/>
                <w:szCs w:val="22"/>
                <w:lang w:val="en-US"/>
              </w:rPr>
            </w:pPr>
            <w:r w:rsidRPr="00D95126">
              <w:rPr>
                <w:bCs/>
                <w:sz w:val="22"/>
                <w:szCs w:val="22"/>
                <w:lang w:val="en-US"/>
              </w:rPr>
              <w:t>1,033 (7)</w:t>
            </w:r>
          </w:p>
        </w:tc>
        <w:tc>
          <w:tcPr>
            <w:tcW w:w="2032" w:type="dxa"/>
          </w:tcPr>
          <w:p w14:paraId="7465E567" w14:textId="77777777" w:rsidR="00DD788D" w:rsidRPr="00D95126" w:rsidRDefault="009D4A5B" w:rsidP="00D95126">
            <w:pPr>
              <w:spacing w:line="280" w:lineRule="exact"/>
              <w:jc w:val="center"/>
              <w:rPr>
                <w:bCs/>
                <w:sz w:val="22"/>
                <w:szCs w:val="22"/>
                <w:lang w:val="en-US"/>
              </w:rPr>
            </w:pPr>
            <w:r w:rsidRPr="00D95126">
              <w:rPr>
                <w:bCs/>
                <w:sz w:val="22"/>
                <w:szCs w:val="22"/>
                <w:lang w:val="en-US"/>
              </w:rPr>
              <w:t>1,134 (7)</w:t>
            </w:r>
          </w:p>
        </w:tc>
      </w:tr>
      <w:tr w:rsidR="00DD788D" w:rsidRPr="00DE4F77" w14:paraId="5D8AA37C" w14:textId="77777777" w:rsidTr="00BD076C">
        <w:tc>
          <w:tcPr>
            <w:tcW w:w="3686" w:type="dxa"/>
          </w:tcPr>
          <w:p w14:paraId="25FC25D3" w14:textId="02212E38" w:rsidR="00DD788D" w:rsidRPr="00D95126" w:rsidRDefault="00DD788D" w:rsidP="00D95126">
            <w:pPr>
              <w:spacing w:line="280" w:lineRule="exact"/>
              <w:rPr>
                <w:sz w:val="22"/>
                <w:szCs w:val="22"/>
              </w:rPr>
            </w:pPr>
            <w:r w:rsidRPr="00D95126">
              <w:rPr>
                <w:b/>
                <w:i/>
                <w:sz w:val="22"/>
                <w:szCs w:val="22"/>
              </w:rPr>
              <w:t xml:space="preserve">Electrocardiogram </w:t>
            </w:r>
            <w:r w:rsidR="00315066" w:rsidRPr="00315066">
              <w:rPr>
                <w:sz w:val="22"/>
                <w:szCs w:val="22"/>
              </w:rPr>
              <w:t>‡</w:t>
            </w:r>
          </w:p>
        </w:tc>
        <w:tc>
          <w:tcPr>
            <w:tcW w:w="2031" w:type="dxa"/>
          </w:tcPr>
          <w:p w14:paraId="5543CF0A" w14:textId="77777777" w:rsidR="00DD788D" w:rsidRPr="00D95126" w:rsidRDefault="00DD788D" w:rsidP="00D95126">
            <w:pPr>
              <w:spacing w:line="280" w:lineRule="exact"/>
              <w:jc w:val="center"/>
              <w:rPr>
                <w:bCs/>
                <w:sz w:val="22"/>
                <w:szCs w:val="22"/>
                <w:lang w:val="en-US"/>
              </w:rPr>
            </w:pPr>
          </w:p>
        </w:tc>
        <w:tc>
          <w:tcPr>
            <w:tcW w:w="2032" w:type="dxa"/>
          </w:tcPr>
          <w:p w14:paraId="256AA619" w14:textId="77777777" w:rsidR="00DD788D" w:rsidRPr="00D95126" w:rsidRDefault="00DD788D" w:rsidP="00D95126">
            <w:pPr>
              <w:spacing w:line="280" w:lineRule="exact"/>
              <w:jc w:val="center"/>
              <w:rPr>
                <w:bCs/>
                <w:sz w:val="22"/>
                <w:szCs w:val="22"/>
                <w:lang w:val="en-US"/>
              </w:rPr>
            </w:pPr>
          </w:p>
        </w:tc>
        <w:tc>
          <w:tcPr>
            <w:tcW w:w="2032" w:type="dxa"/>
          </w:tcPr>
          <w:p w14:paraId="0772E367" w14:textId="77777777" w:rsidR="00DD788D" w:rsidRPr="00D95126" w:rsidRDefault="00DD788D" w:rsidP="00D95126">
            <w:pPr>
              <w:spacing w:line="280" w:lineRule="exact"/>
              <w:jc w:val="center"/>
              <w:rPr>
                <w:bCs/>
                <w:sz w:val="22"/>
                <w:szCs w:val="22"/>
                <w:lang w:val="en-US"/>
              </w:rPr>
            </w:pPr>
          </w:p>
        </w:tc>
      </w:tr>
      <w:tr w:rsidR="00DD788D" w:rsidRPr="00DE4F77" w14:paraId="31780E09" w14:textId="77777777" w:rsidTr="00F60D29">
        <w:tc>
          <w:tcPr>
            <w:tcW w:w="3686" w:type="dxa"/>
          </w:tcPr>
          <w:p w14:paraId="2AAEA750" w14:textId="77777777" w:rsidR="00DD788D" w:rsidRPr="00D95126" w:rsidRDefault="00DD788D" w:rsidP="00D95126">
            <w:pPr>
              <w:spacing w:line="280" w:lineRule="exact"/>
              <w:rPr>
                <w:sz w:val="22"/>
                <w:szCs w:val="22"/>
              </w:rPr>
            </w:pPr>
            <w:r w:rsidRPr="00D95126">
              <w:rPr>
                <w:sz w:val="22"/>
                <w:szCs w:val="22"/>
              </w:rPr>
              <w:t xml:space="preserve">  Normal </w:t>
            </w:r>
          </w:p>
        </w:tc>
        <w:tc>
          <w:tcPr>
            <w:tcW w:w="2031" w:type="dxa"/>
            <w:shd w:val="clear" w:color="auto" w:fill="auto"/>
          </w:tcPr>
          <w:p w14:paraId="095564AF" w14:textId="46E13090" w:rsidR="00DD788D" w:rsidRPr="00F60D29" w:rsidRDefault="004C1985" w:rsidP="00D95126">
            <w:pPr>
              <w:spacing w:line="280" w:lineRule="exact"/>
              <w:jc w:val="center"/>
              <w:rPr>
                <w:sz w:val="22"/>
                <w:szCs w:val="22"/>
              </w:rPr>
            </w:pPr>
            <w:r w:rsidRPr="00F60D29">
              <w:rPr>
                <w:sz w:val="22"/>
                <w:szCs w:val="22"/>
              </w:rPr>
              <w:t>12,035</w:t>
            </w:r>
            <w:r w:rsidR="009D4A5B" w:rsidRPr="00F60D29">
              <w:rPr>
                <w:sz w:val="22"/>
                <w:szCs w:val="22"/>
              </w:rPr>
              <w:t xml:space="preserve"> (</w:t>
            </w:r>
            <w:r w:rsidRPr="00F60D29">
              <w:rPr>
                <w:sz w:val="22"/>
                <w:szCs w:val="22"/>
              </w:rPr>
              <w:t>74</w:t>
            </w:r>
            <w:r w:rsidR="009D4A5B" w:rsidRPr="00F60D29">
              <w:rPr>
                <w:sz w:val="22"/>
                <w:szCs w:val="22"/>
              </w:rPr>
              <w:t>)</w:t>
            </w:r>
          </w:p>
        </w:tc>
        <w:tc>
          <w:tcPr>
            <w:tcW w:w="2032" w:type="dxa"/>
            <w:tcBorders>
              <w:top w:val="nil"/>
              <w:left w:val="nil"/>
              <w:bottom w:val="nil"/>
              <w:right w:val="nil"/>
            </w:tcBorders>
            <w:shd w:val="clear" w:color="auto" w:fill="auto"/>
          </w:tcPr>
          <w:p w14:paraId="2C043F07" w14:textId="47CBAB00" w:rsidR="00DD788D" w:rsidRPr="00F60D29" w:rsidRDefault="009D4A5B" w:rsidP="00D95126">
            <w:pPr>
              <w:spacing w:line="280" w:lineRule="exact"/>
              <w:jc w:val="center"/>
              <w:rPr>
                <w:bCs/>
                <w:sz w:val="22"/>
                <w:szCs w:val="22"/>
                <w:lang w:val="en-US"/>
              </w:rPr>
            </w:pPr>
            <w:r w:rsidRPr="00F60D29">
              <w:rPr>
                <w:bCs/>
                <w:sz w:val="22"/>
                <w:szCs w:val="22"/>
                <w:lang w:val="en-US"/>
              </w:rPr>
              <w:t>6,</w:t>
            </w:r>
            <w:r w:rsidR="004C1985" w:rsidRPr="00F60D29">
              <w:rPr>
                <w:bCs/>
                <w:sz w:val="22"/>
                <w:szCs w:val="22"/>
                <w:lang w:val="en-US"/>
              </w:rPr>
              <w:t xml:space="preserve">118 </w:t>
            </w:r>
            <w:r w:rsidRPr="00F60D29">
              <w:rPr>
                <w:bCs/>
                <w:sz w:val="22"/>
                <w:szCs w:val="22"/>
                <w:lang w:val="en-US"/>
              </w:rPr>
              <w:t>(</w:t>
            </w:r>
            <w:r w:rsidR="004C1985" w:rsidRPr="00F60D29">
              <w:rPr>
                <w:bCs/>
                <w:sz w:val="22"/>
                <w:szCs w:val="22"/>
                <w:lang w:val="en-US"/>
              </w:rPr>
              <w:t>73</w:t>
            </w:r>
            <w:r w:rsidRPr="00F60D29">
              <w:rPr>
                <w:bCs/>
                <w:sz w:val="22"/>
                <w:szCs w:val="22"/>
                <w:lang w:val="en-US"/>
              </w:rPr>
              <w:t>)</w:t>
            </w:r>
          </w:p>
        </w:tc>
        <w:tc>
          <w:tcPr>
            <w:tcW w:w="2032" w:type="dxa"/>
            <w:tcBorders>
              <w:top w:val="nil"/>
              <w:left w:val="nil"/>
              <w:bottom w:val="nil"/>
              <w:right w:val="nil"/>
            </w:tcBorders>
            <w:shd w:val="clear" w:color="auto" w:fill="auto"/>
          </w:tcPr>
          <w:p w14:paraId="39F2C4E3" w14:textId="259B3FC8" w:rsidR="00DD788D" w:rsidRPr="00F60D29" w:rsidRDefault="004C1985" w:rsidP="00D95126">
            <w:pPr>
              <w:spacing w:line="280" w:lineRule="exact"/>
              <w:jc w:val="center"/>
              <w:rPr>
                <w:bCs/>
                <w:sz w:val="22"/>
                <w:szCs w:val="22"/>
                <w:lang w:val="en-US"/>
              </w:rPr>
            </w:pPr>
            <w:r w:rsidRPr="00F60D29">
              <w:rPr>
                <w:bCs/>
                <w:sz w:val="22"/>
                <w:szCs w:val="22"/>
                <w:lang w:val="en-US"/>
              </w:rPr>
              <w:t>5,917</w:t>
            </w:r>
            <w:r w:rsidR="009D4A5B" w:rsidRPr="00F60D29">
              <w:rPr>
                <w:bCs/>
                <w:sz w:val="22"/>
                <w:szCs w:val="22"/>
                <w:lang w:val="en-US"/>
              </w:rPr>
              <w:t xml:space="preserve"> (</w:t>
            </w:r>
            <w:r w:rsidRPr="00F60D29">
              <w:rPr>
                <w:bCs/>
                <w:sz w:val="22"/>
                <w:szCs w:val="22"/>
                <w:lang w:val="en-US"/>
              </w:rPr>
              <w:t>75</w:t>
            </w:r>
            <w:r w:rsidR="009D4A5B" w:rsidRPr="00F60D29">
              <w:rPr>
                <w:bCs/>
                <w:sz w:val="22"/>
                <w:szCs w:val="22"/>
                <w:lang w:val="en-US"/>
              </w:rPr>
              <w:t>)</w:t>
            </w:r>
          </w:p>
        </w:tc>
      </w:tr>
      <w:tr w:rsidR="00DD788D" w:rsidRPr="00DE4F77" w14:paraId="7738296B" w14:textId="77777777" w:rsidTr="00F60D29">
        <w:tc>
          <w:tcPr>
            <w:tcW w:w="3686" w:type="dxa"/>
          </w:tcPr>
          <w:p w14:paraId="65BF3361" w14:textId="77777777" w:rsidR="00DD788D" w:rsidRPr="00D95126" w:rsidRDefault="00DD788D" w:rsidP="00D95126">
            <w:pPr>
              <w:spacing w:line="280" w:lineRule="exact"/>
              <w:rPr>
                <w:sz w:val="22"/>
                <w:szCs w:val="22"/>
              </w:rPr>
            </w:pPr>
            <w:r w:rsidRPr="00D95126">
              <w:rPr>
                <w:sz w:val="22"/>
                <w:szCs w:val="22"/>
              </w:rPr>
              <w:t xml:space="preserve">  Myocardial ischemia</w:t>
            </w:r>
          </w:p>
        </w:tc>
        <w:tc>
          <w:tcPr>
            <w:tcW w:w="2031" w:type="dxa"/>
            <w:shd w:val="clear" w:color="auto" w:fill="auto"/>
          </w:tcPr>
          <w:p w14:paraId="7322EE58" w14:textId="79C3207F" w:rsidR="00DD788D" w:rsidRPr="00F60D29" w:rsidRDefault="004C1985" w:rsidP="00D95126">
            <w:pPr>
              <w:spacing w:line="280" w:lineRule="exact"/>
              <w:jc w:val="center"/>
              <w:rPr>
                <w:sz w:val="22"/>
                <w:szCs w:val="22"/>
              </w:rPr>
            </w:pPr>
            <w:r w:rsidRPr="00F60D29">
              <w:rPr>
                <w:sz w:val="22"/>
                <w:szCs w:val="22"/>
              </w:rPr>
              <w:t>3,288</w:t>
            </w:r>
            <w:r w:rsidR="009D4A5B" w:rsidRPr="00F60D29">
              <w:rPr>
                <w:sz w:val="22"/>
                <w:szCs w:val="22"/>
              </w:rPr>
              <w:t xml:space="preserve"> (</w:t>
            </w:r>
            <w:r w:rsidRPr="00F60D29">
              <w:rPr>
                <w:sz w:val="22"/>
                <w:szCs w:val="22"/>
              </w:rPr>
              <w:t>20</w:t>
            </w:r>
            <w:r w:rsidR="009D4A5B" w:rsidRPr="00F60D29">
              <w:rPr>
                <w:sz w:val="22"/>
                <w:szCs w:val="22"/>
              </w:rPr>
              <w:t>)</w:t>
            </w:r>
          </w:p>
        </w:tc>
        <w:tc>
          <w:tcPr>
            <w:tcW w:w="2032" w:type="dxa"/>
            <w:tcBorders>
              <w:top w:val="nil"/>
              <w:left w:val="nil"/>
              <w:bottom w:val="nil"/>
              <w:right w:val="nil"/>
            </w:tcBorders>
            <w:shd w:val="clear" w:color="auto" w:fill="auto"/>
          </w:tcPr>
          <w:p w14:paraId="1E1EAB91" w14:textId="3E1D363C" w:rsidR="00DD788D" w:rsidRPr="00F60D29" w:rsidRDefault="009D4A5B" w:rsidP="00D95126">
            <w:pPr>
              <w:spacing w:line="280" w:lineRule="exact"/>
              <w:jc w:val="center"/>
              <w:rPr>
                <w:bCs/>
                <w:sz w:val="22"/>
                <w:szCs w:val="22"/>
                <w:lang w:val="en-US"/>
              </w:rPr>
            </w:pPr>
            <w:r w:rsidRPr="00F60D29">
              <w:rPr>
                <w:bCs/>
                <w:sz w:val="22"/>
                <w:szCs w:val="22"/>
                <w:lang w:val="en-US"/>
              </w:rPr>
              <w:t>1,</w:t>
            </w:r>
            <w:r w:rsidR="004C1985" w:rsidRPr="00F60D29">
              <w:rPr>
                <w:bCs/>
                <w:sz w:val="22"/>
                <w:szCs w:val="22"/>
                <w:lang w:val="en-US"/>
              </w:rPr>
              <w:t xml:space="preserve">756 </w:t>
            </w:r>
            <w:r w:rsidRPr="00F60D29">
              <w:rPr>
                <w:bCs/>
                <w:sz w:val="22"/>
                <w:szCs w:val="22"/>
                <w:lang w:val="en-US"/>
              </w:rPr>
              <w:t>(</w:t>
            </w:r>
            <w:r w:rsidR="004C1985" w:rsidRPr="00F60D29">
              <w:rPr>
                <w:bCs/>
                <w:sz w:val="22"/>
                <w:szCs w:val="22"/>
                <w:lang w:val="en-US"/>
              </w:rPr>
              <w:t>21</w:t>
            </w:r>
            <w:r w:rsidRPr="00F60D29">
              <w:rPr>
                <w:bCs/>
                <w:sz w:val="22"/>
                <w:szCs w:val="22"/>
                <w:lang w:val="en-US"/>
              </w:rPr>
              <w:t>)</w:t>
            </w:r>
          </w:p>
        </w:tc>
        <w:tc>
          <w:tcPr>
            <w:tcW w:w="2032" w:type="dxa"/>
            <w:tcBorders>
              <w:top w:val="nil"/>
              <w:left w:val="nil"/>
              <w:bottom w:val="nil"/>
              <w:right w:val="nil"/>
            </w:tcBorders>
            <w:shd w:val="clear" w:color="auto" w:fill="auto"/>
          </w:tcPr>
          <w:p w14:paraId="19A8AE6C" w14:textId="4EF42996" w:rsidR="00DD788D" w:rsidRPr="00F60D29" w:rsidRDefault="004C1985" w:rsidP="00D95126">
            <w:pPr>
              <w:spacing w:line="280" w:lineRule="exact"/>
              <w:jc w:val="center"/>
              <w:rPr>
                <w:bCs/>
                <w:sz w:val="22"/>
                <w:szCs w:val="22"/>
                <w:lang w:val="en-US"/>
              </w:rPr>
            </w:pPr>
            <w:r w:rsidRPr="00F60D29">
              <w:rPr>
                <w:bCs/>
                <w:sz w:val="22"/>
                <w:szCs w:val="22"/>
                <w:lang w:val="en-US"/>
              </w:rPr>
              <w:t xml:space="preserve">1,532 </w:t>
            </w:r>
            <w:r w:rsidR="009D4A5B" w:rsidRPr="00F60D29">
              <w:rPr>
                <w:bCs/>
                <w:sz w:val="22"/>
                <w:szCs w:val="22"/>
                <w:lang w:val="en-US"/>
              </w:rPr>
              <w:t>(</w:t>
            </w:r>
            <w:r w:rsidRPr="00F60D29">
              <w:rPr>
                <w:bCs/>
                <w:sz w:val="22"/>
                <w:szCs w:val="22"/>
                <w:lang w:val="en-US"/>
              </w:rPr>
              <w:t>20</w:t>
            </w:r>
            <w:r w:rsidR="009D4A5B" w:rsidRPr="00F60D29">
              <w:rPr>
                <w:bCs/>
                <w:sz w:val="22"/>
                <w:szCs w:val="22"/>
                <w:lang w:val="en-US"/>
              </w:rPr>
              <w:t>)</w:t>
            </w:r>
          </w:p>
        </w:tc>
      </w:tr>
      <w:tr w:rsidR="00DD788D" w:rsidRPr="00DE4F77" w14:paraId="048515D7" w14:textId="77777777" w:rsidTr="00F60D29">
        <w:tc>
          <w:tcPr>
            <w:tcW w:w="3686" w:type="dxa"/>
          </w:tcPr>
          <w:p w14:paraId="4099D2F3" w14:textId="77777777" w:rsidR="00DD788D" w:rsidRPr="00D95126" w:rsidRDefault="00DD788D" w:rsidP="00D95126">
            <w:pPr>
              <w:spacing w:line="280" w:lineRule="exact"/>
              <w:rPr>
                <w:sz w:val="22"/>
                <w:szCs w:val="22"/>
              </w:rPr>
            </w:pPr>
            <w:r w:rsidRPr="00D95126">
              <w:rPr>
                <w:sz w:val="22"/>
                <w:szCs w:val="22"/>
              </w:rPr>
              <w:t xml:space="preserve">  ST-segment elevation</w:t>
            </w:r>
          </w:p>
        </w:tc>
        <w:tc>
          <w:tcPr>
            <w:tcW w:w="2031" w:type="dxa"/>
            <w:shd w:val="clear" w:color="auto" w:fill="auto"/>
          </w:tcPr>
          <w:p w14:paraId="683E8F77" w14:textId="07EC3B10" w:rsidR="00DD788D" w:rsidRPr="00F60D29" w:rsidRDefault="004C1985" w:rsidP="00D95126">
            <w:pPr>
              <w:spacing w:line="280" w:lineRule="exact"/>
              <w:jc w:val="center"/>
              <w:rPr>
                <w:sz w:val="22"/>
                <w:szCs w:val="22"/>
              </w:rPr>
            </w:pPr>
            <w:r w:rsidRPr="00F60D29">
              <w:rPr>
                <w:sz w:val="22"/>
                <w:szCs w:val="22"/>
              </w:rPr>
              <w:t xml:space="preserve">193 </w:t>
            </w:r>
            <w:r w:rsidR="009D4A5B" w:rsidRPr="00F60D29">
              <w:rPr>
                <w:sz w:val="22"/>
                <w:szCs w:val="22"/>
              </w:rPr>
              <w:t>(1)</w:t>
            </w:r>
          </w:p>
        </w:tc>
        <w:tc>
          <w:tcPr>
            <w:tcW w:w="2032" w:type="dxa"/>
            <w:tcBorders>
              <w:top w:val="nil"/>
              <w:left w:val="nil"/>
              <w:bottom w:val="nil"/>
              <w:right w:val="nil"/>
            </w:tcBorders>
            <w:shd w:val="clear" w:color="auto" w:fill="auto"/>
          </w:tcPr>
          <w:p w14:paraId="4312A43E" w14:textId="0CA27795" w:rsidR="00DD788D" w:rsidRPr="00F60D29" w:rsidRDefault="004C1985" w:rsidP="00D95126">
            <w:pPr>
              <w:spacing w:line="280" w:lineRule="exact"/>
              <w:jc w:val="center"/>
              <w:rPr>
                <w:bCs/>
                <w:sz w:val="22"/>
                <w:szCs w:val="22"/>
                <w:lang w:val="en-US"/>
              </w:rPr>
            </w:pPr>
            <w:r w:rsidRPr="00F60D29">
              <w:rPr>
                <w:bCs/>
                <w:sz w:val="22"/>
                <w:szCs w:val="22"/>
                <w:lang w:val="en-US"/>
              </w:rPr>
              <w:t xml:space="preserve">111 </w:t>
            </w:r>
            <w:r w:rsidR="008D55EC" w:rsidRPr="00F60D29">
              <w:rPr>
                <w:bCs/>
                <w:sz w:val="22"/>
                <w:szCs w:val="22"/>
                <w:lang w:val="en-US"/>
              </w:rPr>
              <w:t>(1)</w:t>
            </w:r>
          </w:p>
        </w:tc>
        <w:tc>
          <w:tcPr>
            <w:tcW w:w="2032" w:type="dxa"/>
            <w:tcBorders>
              <w:top w:val="nil"/>
              <w:left w:val="nil"/>
              <w:bottom w:val="nil"/>
              <w:right w:val="nil"/>
            </w:tcBorders>
            <w:shd w:val="clear" w:color="auto" w:fill="auto"/>
          </w:tcPr>
          <w:p w14:paraId="3D33BA76" w14:textId="4FD24D65" w:rsidR="00DD788D" w:rsidRPr="00F60D29" w:rsidRDefault="004C1985" w:rsidP="00D95126">
            <w:pPr>
              <w:spacing w:line="280" w:lineRule="exact"/>
              <w:jc w:val="center"/>
              <w:rPr>
                <w:bCs/>
                <w:sz w:val="22"/>
                <w:szCs w:val="22"/>
                <w:lang w:val="en-US"/>
              </w:rPr>
            </w:pPr>
            <w:r w:rsidRPr="00F60D29">
              <w:rPr>
                <w:bCs/>
                <w:sz w:val="22"/>
                <w:szCs w:val="22"/>
                <w:lang w:val="en-US"/>
              </w:rPr>
              <w:t xml:space="preserve">82 </w:t>
            </w:r>
            <w:r w:rsidR="008D55EC" w:rsidRPr="00F60D29">
              <w:rPr>
                <w:bCs/>
                <w:sz w:val="22"/>
                <w:szCs w:val="22"/>
                <w:lang w:val="en-US"/>
              </w:rPr>
              <w:t>(1)</w:t>
            </w:r>
          </w:p>
        </w:tc>
      </w:tr>
      <w:tr w:rsidR="00DD788D" w:rsidRPr="00DE4F77" w14:paraId="07FAD9CE" w14:textId="77777777" w:rsidTr="00F60D29">
        <w:tc>
          <w:tcPr>
            <w:tcW w:w="3686" w:type="dxa"/>
          </w:tcPr>
          <w:p w14:paraId="00A38BD6" w14:textId="77777777" w:rsidR="00DD788D" w:rsidRPr="00D95126" w:rsidRDefault="00DD788D" w:rsidP="00D95126">
            <w:pPr>
              <w:spacing w:line="280" w:lineRule="exact"/>
              <w:rPr>
                <w:sz w:val="22"/>
                <w:szCs w:val="22"/>
              </w:rPr>
            </w:pPr>
            <w:r w:rsidRPr="00D95126">
              <w:rPr>
                <w:sz w:val="22"/>
                <w:szCs w:val="22"/>
              </w:rPr>
              <w:t xml:space="preserve">  ST-segment depression</w:t>
            </w:r>
          </w:p>
        </w:tc>
        <w:tc>
          <w:tcPr>
            <w:tcW w:w="2031" w:type="dxa"/>
            <w:shd w:val="clear" w:color="auto" w:fill="auto"/>
          </w:tcPr>
          <w:p w14:paraId="1D384319" w14:textId="51EFF35B" w:rsidR="00DD788D" w:rsidRPr="00F60D29" w:rsidRDefault="004C1985" w:rsidP="00D95126">
            <w:pPr>
              <w:spacing w:line="280" w:lineRule="exact"/>
              <w:jc w:val="center"/>
              <w:rPr>
                <w:sz w:val="22"/>
                <w:szCs w:val="22"/>
              </w:rPr>
            </w:pPr>
            <w:r w:rsidRPr="00F60D29">
              <w:rPr>
                <w:sz w:val="22"/>
                <w:szCs w:val="22"/>
              </w:rPr>
              <w:t xml:space="preserve">252 </w:t>
            </w:r>
            <w:r w:rsidR="008D55EC" w:rsidRPr="00F60D29">
              <w:rPr>
                <w:sz w:val="22"/>
                <w:szCs w:val="22"/>
              </w:rPr>
              <w:t>(2)</w:t>
            </w:r>
          </w:p>
        </w:tc>
        <w:tc>
          <w:tcPr>
            <w:tcW w:w="2032" w:type="dxa"/>
            <w:tcBorders>
              <w:top w:val="nil"/>
              <w:left w:val="nil"/>
              <w:bottom w:val="nil"/>
              <w:right w:val="nil"/>
            </w:tcBorders>
            <w:shd w:val="clear" w:color="auto" w:fill="auto"/>
          </w:tcPr>
          <w:p w14:paraId="1272CBF6" w14:textId="7D57D7D3" w:rsidR="00DD788D" w:rsidRPr="00F60D29" w:rsidRDefault="008D55EC" w:rsidP="00D95126">
            <w:pPr>
              <w:spacing w:line="280" w:lineRule="exact"/>
              <w:jc w:val="center"/>
              <w:rPr>
                <w:bCs/>
                <w:sz w:val="22"/>
                <w:szCs w:val="22"/>
                <w:lang w:val="en-US"/>
              </w:rPr>
            </w:pPr>
            <w:r w:rsidRPr="00F60D29">
              <w:rPr>
                <w:bCs/>
                <w:sz w:val="22"/>
                <w:szCs w:val="22"/>
                <w:lang w:val="en-US"/>
              </w:rPr>
              <w:t>14</w:t>
            </w:r>
            <w:r w:rsidR="004C1985" w:rsidRPr="00F60D29">
              <w:rPr>
                <w:bCs/>
                <w:sz w:val="22"/>
                <w:szCs w:val="22"/>
                <w:lang w:val="en-US"/>
              </w:rPr>
              <w:t>6</w:t>
            </w:r>
            <w:r w:rsidRPr="00F60D29">
              <w:rPr>
                <w:bCs/>
                <w:sz w:val="22"/>
                <w:szCs w:val="22"/>
                <w:lang w:val="en-US"/>
              </w:rPr>
              <w:t xml:space="preserve"> (2)</w:t>
            </w:r>
          </w:p>
        </w:tc>
        <w:tc>
          <w:tcPr>
            <w:tcW w:w="2032" w:type="dxa"/>
            <w:tcBorders>
              <w:top w:val="nil"/>
              <w:left w:val="nil"/>
              <w:bottom w:val="nil"/>
              <w:right w:val="nil"/>
            </w:tcBorders>
            <w:shd w:val="clear" w:color="auto" w:fill="auto"/>
          </w:tcPr>
          <w:p w14:paraId="59074BFC" w14:textId="2DFFBDD4" w:rsidR="00DD788D" w:rsidRPr="00F60D29" w:rsidRDefault="008D55EC" w:rsidP="00D95126">
            <w:pPr>
              <w:spacing w:line="280" w:lineRule="exact"/>
              <w:jc w:val="center"/>
              <w:rPr>
                <w:bCs/>
                <w:sz w:val="22"/>
                <w:szCs w:val="22"/>
                <w:lang w:val="en-US"/>
              </w:rPr>
            </w:pPr>
            <w:r w:rsidRPr="00F60D29">
              <w:rPr>
                <w:bCs/>
                <w:sz w:val="22"/>
                <w:szCs w:val="22"/>
                <w:lang w:val="en-US"/>
              </w:rPr>
              <w:t>10</w:t>
            </w:r>
            <w:r w:rsidR="004C1985" w:rsidRPr="00F60D29">
              <w:rPr>
                <w:bCs/>
                <w:sz w:val="22"/>
                <w:szCs w:val="22"/>
                <w:lang w:val="en-US"/>
              </w:rPr>
              <w:t>6</w:t>
            </w:r>
            <w:r w:rsidRPr="00F60D29">
              <w:rPr>
                <w:bCs/>
                <w:sz w:val="22"/>
                <w:szCs w:val="22"/>
                <w:lang w:val="en-US"/>
              </w:rPr>
              <w:t xml:space="preserve"> (1)</w:t>
            </w:r>
          </w:p>
        </w:tc>
      </w:tr>
      <w:tr w:rsidR="00DD788D" w:rsidRPr="00DE4F77" w14:paraId="2A451812" w14:textId="77777777" w:rsidTr="00F60D29">
        <w:tc>
          <w:tcPr>
            <w:tcW w:w="3686" w:type="dxa"/>
          </w:tcPr>
          <w:p w14:paraId="3D826823" w14:textId="77777777" w:rsidR="00DD788D" w:rsidRPr="00D95126" w:rsidRDefault="00DD788D" w:rsidP="00D95126">
            <w:pPr>
              <w:spacing w:line="280" w:lineRule="exact"/>
              <w:rPr>
                <w:sz w:val="22"/>
                <w:szCs w:val="22"/>
              </w:rPr>
            </w:pPr>
            <w:r w:rsidRPr="00D95126">
              <w:rPr>
                <w:sz w:val="22"/>
                <w:szCs w:val="22"/>
              </w:rPr>
              <w:t xml:space="preserve">  T-wave inversion</w:t>
            </w:r>
          </w:p>
        </w:tc>
        <w:tc>
          <w:tcPr>
            <w:tcW w:w="2031" w:type="dxa"/>
            <w:shd w:val="clear" w:color="auto" w:fill="auto"/>
          </w:tcPr>
          <w:p w14:paraId="4EE1D850" w14:textId="05CD1508" w:rsidR="00DD788D" w:rsidRPr="00F60D29" w:rsidRDefault="004C1985" w:rsidP="00D95126">
            <w:pPr>
              <w:spacing w:line="280" w:lineRule="exact"/>
              <w:jc w:val="center"/>
              <w:rPr>
                <w:sz w:val="22"/>
                <w:szCs w:val="22"/>
              </w:rPr>
            </w:pPr>
            <w:r w:rsidRPr="00F60D29">
              <w:rPr>
                <w:sz w:val="22"/>
                <w:szCs w:val="22"/>
              </w:rPr>
              <w:t xml:space="preserve">1,225 </w:t>
            </w:r>
            <w:r w:rsidR="008D55EC" w:rsidRPr="00F60D29">
              <w:rPr>
                <w:sz w:val="22"/>
                <w:szCs w:val="22"/>
              </w:rPr>
              <w:t>(</w:t>
            </w:r>
            <w:r w:rsidRPr="00F60D29">
              <w:rPr>
                <w:sz w:val="22"/>
                <w:szCs w:val="22"/>
              </w:rPr>
              <w:t>8</w:t>
            </w:r>
            <w:r w:rsidR="008D55EC" w:rsidRPr="00F60D29">
              <w:rPr>
                <w:sz w:val="22"/>
                <w:szCs w:val="22"/>
              </w:rPr>
              <w:t>)</w:t>
            </w:r>
          </w:p>
        </w:tc>
        <w:tc>
          <w:tcPr>
            <w:tcW w:w="2032" w:type="dxa"/>
            <w:tcBorders>
              <w:top w:val="nil"/>
              <w:left w:val="nil"/>
              <w:bottom w:val="nil"/>
              <w:right w:val="nil"/>
            </w:tcBorders>
            <w:shd w:val="clear" w:color="auto" w:fill="auto"/>
          </w:tcPr>
          <w:p w14:paraId="4934477C" w14:textId="220EBE0D" w:rsidR="00DD788D" w:rsidRPr="00F60D29" w:rsidRDefault="004C1985" w:rsidP="00D95126">
            <w:pPr>
              <w:spacing w:line="280" w:lineRule="exact"/>
              <w:jc w:val="center"/>
              <w:rPr>
                <w:bCs/>
                <w:sz w:val="22"/>
                <w:szCs w:val="22"/>
                <w:lang w:val="en-US"/>
              </w:rPr>
            </w:pPr>
            <w:r w:rsidRPr="00F60D29">
              <w:rPr>
                <w:bCs/>
                <w:sz w:val="22"/>
                <w:szCs w:val="22"/>
                <w:lang w:val="en-US"/>
              </w:rPr>
              <w:t xml:space="preserve">621 </w:t>
            </w:r>
            <w:r w:rsidR="008D55EC" w:rsidRPr="00F60D29">
              <w:rPr>
                <w:bCs/>
                <w:sz w:val="22"/>
                <w:szCs w:val="22"/>
                <w:lang w:val="en-US"/>
              </w:rPr>
              <w:t>(</w:t>
            </w:r>
            <w:r w:rsidRPr="00F60D29">
              <w:rPr>
                <w:bCs/>
                <w:sz w:val="22"/>
                <w:szCs w:val="22"/>
                <w:lang w:val="en-US"/>
              </w:rPr>
              <w:t>7</w:t>
            </w:r>
            <w:r w:rsidR="008D55EC" w:rsidRPr="00F60D29">
              <w:rPr>
                <w:bCs/>
                <w:sz w:val="22"/>
                <w:szCs w:val="22"/>
                <w:lang w:val="en-US"/>
              </w:rPr>
              <w:t>)</w:t>
            </w:r>
          </w:p>
        </w:tc>
        <w:tc>
          <w:tcPr>
            <w:tcW w:w="2032" w:type="dxa"/>
            <w:tcBorders>
              <w:top w:val="nil"/>
              <w:left w:val="nil"/>
              <w:bottom w:val="nil"/>
              <w:right w:val="nil"/>
            </w:tcBorders>
            <w:shd w:val="clear" w:color="auto" w:fill="auto"/>
          </w:tcPr>
          <w:p w14:paraId="75A73264" w14:textId="7EE0E6D1" w:rsidR="00DD788D" w:rsidRPr="00F60D29" w:rsidRDefault="004C1985" w:rsidP="00D95126">
            <w:pPr>
              <w:spacing w:line="280" w:lineRule="exact"/>
              <w:jc w:val="center"/>
              <w:rPr>
                <w:bCs/>
                <w:sz w:val="22"/>
                <w:szCs w:val="22"/>
                <w:lang w:val="en-US"/>
              </w:rPr>
            </w:pPr>
            <w:r w:rsidRPr="00F60D29">
              <w:rPr>
                <w:bCs/>
                <w:sz w:val="22"/>
                <w:szCs w:val="22"/>
                <w:lang w:val="en-US"/>
              </w:rPr>
              <w:t xml:space="preserve">604 </w:t>
            </w:r>
            <w:r w:rsidR="008D55EC" w:rsidRPr="00F60D29">
              <w:rPr>
                <w:bCs/>
                <w:sz w:val="22"/>
                <w:szCs w:val="22"/>
                <w:lang w:val="en-US"/>
              </w:rPr>
              <w:t>(</w:t>
            </w:r>
            <w:r w:rsidRPr="00F60D29">
              <w:rPr>
                <w:bCs/>
                <w:sz w:val="22"/>
                <w:szCs w:val="22"/>
                <w:lang w:val="en-US"/>
              </w:rPr>
              <w:t>8</w:t>
            </w:r>
            <w:r w:rsidR="008D55EC" w:rsidRPr="00F60D29">
              <w:rPr>
                <w:bCs/>
                <w:sz w:val="22"/>
                <w:szCs w:val="22"/>
                <w:lang w:val="en-US"/>
              </w:rPr>
              <w:t>)</w:t>
            </w:r>
          </w:p>
        </w:tc>
      </w:tr>
      <w:tr w:rsidR="008D55EC" w:rsidRPr="00DE4F77" w14:paraId="7845BEB4" w14:textId="77777777" w:rsidTr="00F60D29">
        <w:tc>
          <w:tcPr>
            <w:tcW w:w="3686" w:type="dxa"/>
          </w:tcPr>
          <w:p w14:paraId="37B93A30" w14:textId="77777777" w:rsidR="008D55EC" w:rsidRPr="00D95126" w:rsidRDefault="008D55EC" w:rsidP="00D95126">
            <w:pPr>
              <w:spacing w:line="280" w:lineRule="exact"/>
              <w:rPr>
                <w:sz w:val="22"/>
                <w:szCs w:val="22"/>
              </w:rPr>
            </w:pPr>
            <w:r w:rsidRPr="00D95126">
              <w:rPr>
                <w:sz w:val="22"/>
                <w:szCs w:val="22"/>
              </w:rPr>
              <w:t xml:space="preserve">  Other</w:t>
            </w:r>
          </w:p>
        </w:tc>
        <w:tc>
          <w:tcPr>
            <w:tcW w:w="2031" w:type="dxa"/>
            <w:shd w:val="clear" w:color="auto" w:fill="auto"/>
          </w:tcPr>
          <w:p w14:paraId="57FA207F" w14:textId="4E0E0284" w:rsidR="008D55EC" w:rsidRPr="00F60D29" w:rsidRDefault="004C1985" w:rsidP="00D95126">
            <w:pPr>
              <w:spacing w:line="280" w:lineRule="exact"/>
              <w:jc w:val="center"/>
              <w:rPr>
                <w:sz w:val="22"/>
                <w:szCs w:val="22"/>
              </w:rPr>
            </w:pPr>
            <w:r w:rsidRPr="00F60D29">
              <w:rPr>
                <w:sz w:val="22"/>
                <w:szCs w:val="22"/>
              </w:rPr>
              <w:t xml:space="preserve">1,711 </w:t>
            </w:r>
            <w:r w:rsidR="008D55EC" w:rsidRPr="00F60D29">
              <w:rPr>
                <w:sz w:val="22"/>
                <w:szCs w:val="22"/>
              </w:rPr>
              <w:t>(</w:t>
            </w:r>
            <w:r w:rsidRPr="00F60D29">
              <w:rPr>
                <w:sz w:val="22"/>
                <w:szCs w:val="22"/>
              </w:rPr>
              <w:t>11</w:t>
            </w:r>
            <w:r w:rsidR="008D55EC" w:rsidRPr="00F60D29">
              <w:rPr>
                <w:sz w:val="22"/>
                <w:szCs w:val="22"/>
              </w:rPr>
              <w:t>)</w:t>
            </w:r>
          </w:p>
        </w:tc>
        <w:tc>
          <w:tcPr>
            <w:tcW w:w="2032" w:type="dxa"/>
            <w:tcBorders>
              <w:top w:val="nil"/>
              <w:left w:val="nil"/>
              <w:bottom w:val="nil"/>
              <w:right w:val="nil"/>
            </w:tcBorders>
            <w:shd w:val="clear" w:color="auto" w:fill="auto"/>
          </w:tcPr>
          <w:p w14:paraId="31BD98E8" w14:textId="6AE13DE0" w:rsidR="008D55EC" w:rsidRPr="00F60D29" w:rsidRDefault="004C1985" w:rsidP="00D95126">
            <w:pPr>
              <w:spacing w:line="280" w:lineRule="exact"/>
              <w:jc w:val="center"/>
              <w:rPr>
                <w:bCs/>
                <w:sz w:val="22"/>
                <w:szCs w:val="22"/>
                <w:lang w:val="en-US"/>
              </w:rPr>
            </w:pPr>
            <w:r w:rsidRPr="00F60D29">
              <w:rPr>
                <w:bCs/>
                <w:sz w:val="22"/>
                <w:szCs w:val="22"/>
                <w:lang w:val="en-US"/>
              </w:rPr>
              <w:t xml:space="preserve">927 </w:t>
            </w:r>
            <w:r w:rsidR="008D55EC" w:rsidRPr="00F60D29">
              <w:rPr>
                <w:bCs/>
                <w:sz w:val="22"/>
                <w:szCs w:val="22"/>
                <w:lang w:val="en-US"/>
              </w:rPr>
              <w:t>(</w:t>
            </w:r>
            <w:r w:rsidRPr="00F60D29">
              <w:rPr>
                <w:bCs/>
                <w:sz w:val="22"/>
                <w:szCs w:val="22"/>
                <w:lang w:val="en-US"/>
              </w:rPr>
              <w:t>11</w:t>
            </w:r>
            <w:r w:rsidR="008D55EC" w:rsidRPr="00F60D29">
              <w:rPr>
                <w:bCs/>
                <w:sz w:val="22"/>
                <w:szCs w:val="22"/>
                <w:lang w:val="en-US"/>
              </w:rPr>
              <w:t>)</w:t>
            </w:r>
          </w:p>
        </w:tc>
        <w:tc>
          <w:tcPr>
            <w:tcW w:w="2032" w:type="dxa"/>
            <w:tcBorders>
              <w:top w:val="nil"/>
              <w:left w:val="nil"/>
              <w:bottom w:val="nil"/>
              <w:right w:val="nil"/>
            </w:tcBorders>
            <w:shd w:val="clear" w:color="auto" w:fill="auto"/>
          </w:tcPr>
          <w:p w14:paraId="519FBDEB" w14:textId="19875358" w:rsidR="008D55EC" w:rsidRPr="00F60D29" w:rsidRDefault="004C1985" w:rsidP="00D95126">
            <w:pPr>
              <w:spacing w:line="280" w:lineRule="exact"/>
              <w:jc w:val="center"/>
              <w:rPr>
                <w:bCs/>
                <w:sz w:val="22"/>
                <w:szCs w:val="22"/>
                <w:lang w:val="en-US"/>
              </w:rPr>
            </w:pPr>
            <w:r w:rsidRPr="00F60D29">
              <w:rPr>
                <w:bCs/>
                <w:sz w:val="22"/>
                <w:szCs w:val="22"/>
                <w:lang w:val="en-US"/>
              </w:rPr>
              <w:t xml:space="preserve">784 </w:t>
            </w:r>
            <w:r w:rsidR="008D55EC" w:rsidRPr="00F60D29">
              <w:rPr>
                <w:bCs/>
                <w:sz w:val="22"/>
                <w:szCs w:val="22"/>
                <w:lang w:val="en-US"/>
              </w:rPr>
              <w:t>(</w:t>
            </w:r>
            <w:r w:rsidRPr="00F60D29">
              <w:rPr>
                <w:bCs/>
                <w:sz w:val="22"/>
                <w:szCs w:val="22"/>
                <w:lang w:val="en-US"/>
              </w:rPr>
              <w:t>10</w:t>
            </w:r>
            <w:r w:rsidR="008D55EC" w:rsidRPr="00F60D29">
              <w:rPr>
                <w:bCs/>
                <w:sz w:val="22"/>
                <w:szCs w:val="22"/>
                <w:lang w:val="en-US"/>
              </w:rPr>
              <w:t>)</w:t>
            </w:r>
          </w:p>
        </w:tc>
      </w:tr>
      <w:tr w:rsidR="00DD788D" w:rsidRPr="00DE4F77" w14:paraId="2FED4FDD" w14:textId="77777777" w:rsidTr="00BD076C">
        <w:tc>
          <w:tcPr>
            <w:tcW w:w="3686" w:type="dxa"/>
          </w:tcPr>
          <w:p w14:paraId="26B1F388" w14:textId="2FFDE168" w:rsidR="00DD788D" w:rsidRPr="00D95126" w:rsidRDefault="00A711AE" w:rsidP="00D95126">
            <w:pPr>
              <w:spacing w:line="280" w:lineRule="exact"/>
              <w:rPr>
                <w:b/>
                <w:bCs/>
                <w:i/>
                <w:sz w:val="22"/>
                <w:szCs w:val="22"/>
                <w:lang w:val="en-US"/>
              </w:rPr>
            </w:pPr>
            <w:r w:rsidRPr="00D95126">
              <w:rPr>
                <w:b/>
                <w:bCs/>
                <w:i/>
                <w:sz w:val="22"/>
                <w:szCs w:val="22"/>
                <w:lang w:val="en-US"/>
              </w:rPr>
              <w:t>H</w:t>
            </w:r>
            <w:r>
              <w:rPr>
                <w:b/>
                <w:bCs/>
                <w:i/>
                <w:sz w:val="22"/>
                <w:szCs w:val="22"/>
                <w:lang w:val="en-US"/>
              </w:rPr>
              <w:t>e</w:t>
            </w:r>
            <w:r w:rsidRPr="00D95126">
              <w:rPr>
                <w:b/>
                <w:bCs/>
                <w:i/>
                <w:sz w:val="22"/>
                <w:szCs w:val="22"/>
                <w:lang w:val="en-US"/>
              </w:rPr>
              <w:t>matology</w:t>
            </w:r>
            <w:r w:rsidR="00DD788D" w:rsidRPr="00D95126">
              <w:rPr>
                <w:b/>
                <w:bCs/>
                <w:i/>
                <w:sz w:val="22"/>
                <w:szCs w:val="22"/>
                <w:lang w:val="en-US"/>
              </w:rPr>
              <w:t xml:space="preserve"> and clinical chemistry</w:t>
            </w:r>
          </w:p>
        </w:tc>
        <w:tc>
          <w:tcPr>
            <w:tcW w:w="2031" w:type="dxa"/>
          </w:tcPr>
          <w:p w14:paraId="13D870DD" w14:textId="77777777" w:rsidR="00DD788D" w:rsidRPr="00D95126" w:rsidRDefault="00DD788D" w:rsidP="00D95126">
            <w:pPr>
              <w:spacing w:line="280" w:lineRule="exact"/>
              <w:jc w:val="center"/>
              <w:rPr>
                <w:bCs/>
                <w:sz w:val="22"/>
                <w:szCs w:val="22"/>
                <w:lang w:val="en-US"/>
              </w:rPr>
            </w:pPr>
          </w:p>
        </w:tc>
        <w:tc>
          <w:tcPr>
            <w:tcW w:w="2032" w:type="dxa"/>
          </w:tcPr>
          <w:p w14:paraId="716E9A8F" w14:textId="77777777" w:rsidR="00DD788D" w:rsidRPr="00D95126" w:rsidRDefault="00DD788D" w:rsidP="00D95126">
            <w:pPr>
              <w:spacing w:line="280" w:lineRule="exact"/>
              <w:jc w:val="center"/>
              <w:rPr>
                <w:bCs/>
                <w:sz w:val="22"/>
                <w:szCs w:val="22"/>
                <w:lang w:val="en-US"/>
              </w:rPr>
            </w:pPr>
          </w:p>
        </w:tc>
        <w:tc>
          <w:tcPr>
            <w:tcW w:w="2032" w:type="dxa"/>
          </w:tcPr>
          <w:p w14:paraId="3B2C5CB5" w14:textId="77777777" w:rsidR="00DD788D" w:rsidRPr="00D95126" w:rsidRDefault="00DD788D" w:rsidP="00D95126">
            <w:pPr>
              <w:spacing w:line="280" w:lineRule="exact"/>
              <w:jc w:val="center"/>
              <w:rPr>
                <w:bCs/>
                <w:sz w:val="22"/>
                <w:szCs w:val="22"/>
                <w:lang w:val="en-US"/>
              </w:rPr>
            </w:pPr>
          </w:p>
        </w:tc>
      </w:tr>
      <w:tr w:rsidR="00DD788D" w:rsidRPr="00DE4F77" w14:paraId="3436D7DB" w14:textId="77777777" w:rsidTr="00BD076C">
        <w:tc>
          <w:tcPr>
            <w:tcW w:w="3686" w:type="dxa"/>
          </w:tcPr>
          <w:p w14:paraId="3E1DAF65" w14:textId="39BD2F05" w:rsidR="00DD788D" w:rsidRPr="00D95126" w:rsidRDefault="00DD788D" w:rsidP="00D95126">
            <w:pPr>
              <w:spacing w:line="280" w:lineRule="exact"/>
              <w:rPr>
                <w:b/>
                <w:bCs/>
                <w:i/>
                <w:sz w:val="22"/>
                <w:szCs w:val="22"/>
                <w:lang w:val="en-US"/>
              </w:rPr>
            </w:pPr>
            <w:r w:rsidRPr="00D95126">
              <w:rPr>
                <w:bCs/>
                <w:sz w:val="22"/>
                <w:szCs w:val="22"/>
                <w:lang w:val="en-US"/>
              </w:rPr>
              <w:t xml:space="preserve">  </w:t>
            </w:r>
            <w:r w:rsidR="00A711AE">
              <w:rPr>
                <w:bCs/>
                <w:sz w:val="22"/>
                <w:szCs w:val="22"/>
                <w:lang w:val="en-US"/>
              </w:rPr>
              <w:t>Hemoglobin</w:t>
            </w:r>
            <w:r w:rsidRPr="00D95126">
              <w:rPr>
                <w:bCs/>
                <w:sz w:val="22"/>
                <w:szCs w:val="22"/>
                <w:lang w:val="en-US"/>
              </w:rPr>
              <w:t xml:space="preserve">, g/L </w:t>
            </w:r>
          </w:p>
        </w:tc>
        <w:tc>
          <w:tcPr>
            <w:tcW w:w="2031" w:type="dxa"/>
          </w:tcPr>
          <w:p w14:paraId="13DE94EE" w14:textId="77777777" w:rsidR="00DD788D" w:rsidRPr="00D95126" w:rsidRDefault="009D4A5B" w:rsidP="00D95126">
            <w:pPr>
              <w:spacing w:line="280" w:lineRule="exact"/>
              <w:jc w:val="center"/>
              <w:rPr>
                <w:bCs/>
                <w:sz w:val="22"/>
                <w:szCs w:val="22"/>
                <w:lang w:val="en-US"/>
              </w:rPr>
            </w:pPr>
            <w:r w:rsidRPr="00D95126">
              <w:rPr>
                <w:bCs/>
                <w:sz w:val="22"/>
                <w:szCs w:val="22"/>
                <w:lang w:val="en-US"/>
              </w:rPr>
              <w:t>137±22</w:t>
            </w:r>
          </w:p>
        </w:tc>
        <w:tc>
          <w:tcPr>
            <w:tcW w:w="2032" w:type="dxa"/>
          </w:tcPr>
          <w:p w14:paraId="5D041CC4" w14:textId="77777777" w:rsidR="00DD788D" w:rsidRPr="00D95126" w:rsidRDefault="009D4A5B" w:rsidP="00D95126">
            <w:pPr>
              <w:spacing w:line="280" w:lineRule="exact"/>
              <w:jc w:val="center"/>
              <w:rPr>
                <w:bCs/>
                <w:sz w:val="22"/>
                <w:szCs w:val="22"/>
                <w:lang w:val="en-US"/>
              </w:rPr>
            </w:pPr>
            <w:r w:rsidRPr="00D95126">
              <w:rPr>
                <w:bCs/>
                <w:sz w:val="22"/>
                <w:szCs w:val="22"/>
                <w:lang w:val="en-US"/>
              </w:rPr>
              <w:t>137±20</w:t>
            </w:r>
          </w:p>
        </w:tc>
        <w:tc>
          <w:tcPr>
            <w:tcW w:w="2032" w:type="dxa"/>
          </w:tcPr>
          <w:p w14:paraId="01D06EC9" w14:textId="77777777" w:rsidR="00DD788D" w:rsidRPr="00D95126" w:rsidRDefault="009D4A5B" w:rsidP="00D95126">
            <w:pPr>
              <w:spacing w:line="280" w:lineRule="exact"/>
              <w:jc w:val="center"/>
              <w:rPr>
                <w:bCs/>
                <w:sz w:val="22"/>
                <w:szCs w:val="22"/>
                <w:lang w:val="en-US"/>
              </w:rPr>
            </w:pPr>
            <w:r w:rsidRPr="00D95126">
              <w:rPr>
                <w:bCs/>
                <w:sz w:val="22"/>
                <w:szCs w:val="22"/>
                <w:lang w:val="en-US"/>
              </w:rPr>
              <w:t>137±23</w:t>
            </w:r>
          </w:p>
        </w:tc>
      </w:tr>
      <w:tr w:rsidR="00DD788D" w:rsidRPr="00DE4F77" w14:paraId="630A98A6" w14:textId="77777777" w:rsidTr="00BD076C">
        <w:tc>
          <w:tcPr>
            <w:tcW w:w="3686" w:type="dxa"/>
          </w:tcPr>
          <w:p w14:paraId="3703C74D" w14:textId="77777777" w:rsidR="00DD788D" w:rsidRPr="00D95126" w:rsidRDefault="00DD788D" w:rsidP="00D95126">
            <w:pPr>
              <w:spacing w:line="280" w:lineRule="exact"/>
              <w:rPr>
                <w:b/>
                <w:bCs/>
                <w:i/>
                <w:sz w:val="22"/>
                <w:szCs w:val="22"/>
                <w:lang w:val="en-US"/>
              </w:rPr>
            </w:pPr>
            <w:r w:rsidRPr="00D95126">
              <w:rPr>
                <w:bCs/>
                <w:sz w:val="22"/>
                <w:szCs w:val="22"/>
                <w:lang w:val="en-US"/>
              </w:rPr>
              <w:t xml:space="preserve">  eGFR, mL/min</w:t>
            </w:r>
          </w:p>
        </w:tc>
        <w:tc>
          <w:tcPr>
            <w:tcW w:w="2031" w:type="dxa"/>
          </w:tcPr>
          <w:p w14:paraId="27019E2E" w14:textId="77777777" w:rsidR="00DD788D" w:rsidRPr="00D95126" w:rsidRDefault="009D4A5B" w:rsidP="00D95126">
            <w:pPr>
              <w:spacing w:line="280" w:lineRule="exact"/>
              <w:jc w:val="center"/>
              <w:rPr>
                <w:bCs/>
                <w:sz w:val="22"/>
                <w:szCs w:val="22"/>
                <w:lang w:val="en-US"/>
              </w:rPr>
            </w:pPr>
            <w:r w:rsidRPr="00D95126">
              <w:rPr>
                <w:bCs/>
                <w:sz w:val="22"/>
                <w:szCs w:val="22"/>
                <w:lang w:val="en-US"/>
              </w:rPr>
              <w:t>81±22</w:t>
            </w:r>
          </w:p>
        </w:tc>
        <w:tc>
          <w:tcPr>
            <w:tcW w:w="2032" w:type="dxa"/>
          </w:tcPr>
          <w:p w14:paraId="041E0FF3" w14:textId="77777777" w:rsidR="00DD788D" w:rsidRPr="00D95126" w:rsidRDefault="009D4A5B" w:rsidP="00D95126">
            <w:pPr>
              <w:spacing w:line="280" w:lineRule="exact"/>
              <w:jc w:val="center"/>
              <w:rPr>
                <w:bCs/>
                <w:sz w:val="22"/>
                <w:szCs w:val="22"/>
                <w:lang w:val="en-US"/>
              </w:rPr>
            </w:pPr>
            <w:r w:rsidRPr="00D95126">
              <w:rPr>
                <w:bCs/>
                <w:sz w:val="22"/>
                <w:szCs w:val="22"/>
                <w:lang w:val="en-US"/>
              </w:rPr>
              <w:t>81±23</w:t>
            </w:r>
          </w:p>
        </w:tc>
        <w:tc>
          <w:tcPr>
            <w:tcW w:w="2032" w:type="dxa"/>
          </w:tcPr>
          <w:p w14:paraId="10568A76" w14:textId="77777777" w:rsidR="00DD788D" w:rsidRPr="00D95126" w:rsidRDefault="009D4A5B" w:rsidP="00D95126">
            <w:pPr>
              <w:spacing w:line="280" w:lineRule="exact"/>
              <w:jc w:val="center"/>
              <w:rPr>
                <w:bCs/>
                <w:sz w:val="22"/>
                <w:szCs w:val="22"/>
                <w:lang w:val="en-US"/>
              </w:rPr>
            </w:pPr>
            <w:r w:rsidRPr="00D95126">
              <w:rPr>
                <w:bCs/>
                <w:sz w:val="22"/>
                <w:szCs w:val="22"/>
                <w:lang w:val="en-US"/>
              </w:rPr>
              <w:t>82±22</w:t>
            </w:r>
          </w:p>
        </w:tc>
      </w:tr>
      <w:tr w:rsidR="00DD788D" w:rsidRPr="00DE4F77" w14:paraId="3759EE1F" w14:textId="77777777" w:rsidTr="00BD076C">
        <w:tc>
          <w:tcPr>
            <w:tcW w:w="3686" w:type="dxa"/>
          </w:tcPr>
          <w:p w14:paraId="288EF298" w14:textId="77777777" w:rsidR="00DD788D" w:rsidRPr="00D95126" w:rsidRDefault="00DD788D" w:rsidP="00D95126">
            <w:pPr>
              <w:spacing w:line="280" w:lineRule="exact"/>
              <w:rPr>
                <w:bCs/>
                <w:sz w:val="22"/>
                <w:szCs w:val="22"/>
                <w:lang w:val="en-US"/>
              </w:rPr>
            </w:pPr>
            <w:r w:rsidRPr="00D95126">
              <w:rPr>
                <w:bCs/>
                <w:sz w:val="22"/>
                <w:szCs w:val="22"/>
                <w:lang w:val="en-US"/>
              </w:rPr>
              <w:t xml:space="preserve">  Presentation hs-cTnI, ng/L</w:t>
            </w:r>
          </w:p>
        </w:tc>
        <w:tc>
          <w:tcPr>
            <w:tcW w:w="2031" w:type="dxa"/>
          </w:tcPr>
          <w:p w14:paraId="0EFD8657" w14:textId="77777777" w:rsidR="00DD788D" w:rsidRPr="00D95126" w:rsidRDefault="00752036" w:rsidP="00D95126">
            <w:pPr>
              <w:spacing w:line="280" w:lineRule="exact"/>
              <w:jc w:val="center"/>
              <w:rPr>
                <w:bCs/>
                <w:sz w:val="22"/>
                <w:szCs w:val="22"/>
                <w:lang w:val="en-US"/>
              </w:rPr>
            </w:pPr>
            <w:r w:rsidRPr="00D95126">
              <w:rPr>
                <w:bCs/>
                <w:sz w:val="22"/>
                <w:szCs w:val="22"/>
                <w:lang w:val="en-US"/>
              </w:rPr>
              <w:t>3 [1-6]</w:t>
            </w:r>
          </w:p>
        </w:tc>
        <w:tc>
          <w:tcPr>
            <w:tcW w:w="2032" w:type="dxa"/>
          </w:tcPr>
          <w:p w14:paraId="2F177845" w14:textId="77777777" w:rsidR="00DD788D" w:rsidRPr="00D95126" w:rsidRDefault="00752036" w:rsidP="00D95126">
            <w:pPr>
              <w:spacing w:line="280" w:lineRule="exact"/>
              <w:jc w:val="center"/>
              <w:rPr>
                <w:bCs/>
                <w:sz w:val="22"/>
                <w:szCs w:val="22"/>
                <w:lang w:val="en-US"/>
              </w:rPr>
            </w:pPr>
            <w:r w:rsidRPr="00D95126">
              <w:rPr>
                <w:bCs/>
                <w:sz w:val="22"/>
                <w:szCs w:val="22"/>
                <w:lang w:val="en-US"/>
              </w:rPr>
              <w:t>3 [1-6]</w:t>
            </w:r>
          </w:p>
        </w:tc>
        <w:tc>
          <w:tcPr>
            <w:tcW w:w="2032" w:type="dxa"/>
          </w:tcPr>
          <w:p w14:paraId="326DBF8A" w14:textId="77777777" w:rsidR="00DD788D" w:rsidRPr="00D95126" w:rsidRDefault="00752036" w:rsidP="00D95126">
            <w:pPr>
              <w:spacing w:line="280" w:lineRule="exact"/>
              <w:jc w:val="center"/>
              <w:rPr>
                <w:bCs/>
                <w:sz w:val="22"/>
                <w:szCs w:val="22"/>
                <w:lang w:val="en-US"/>
              </w:rPr>
            </w:pPr>
            <w:r w:rsidRPr="00D95126">
              <w:rPr>
                <w:bCs/>
                <w:sz w:val="22"/>
                <w:szCs w:val="22"/>
                <w:lang w:val="en-US"/>
              </w:rPr>
              <w:t>3 [1-6]</w:t>
            </w:r>
          </w:p>
        </w:tc>
      </w:tr>
      <w:tr w:rsidR="00DD788D" w:rsidRPr="00DE4F77" w14:paraId="73341355" w14:textId="77777777" w:rsidTr="00BD076C">
        <w:tc>
          <w:tcPr>
            <w:tcW w:w="3686" w:type="dxa"/>
          </w:tcPr>
          <w:p w14:paraId="1010DEB3" w14:textId="77777777" w:rsidR="00DD788D" w:rsidRPr="00D95126" w:rsidRDefault="00DD788D" w:rsidP="00D95126">
            <w:pPr>
              <w:spacing w:line="280" w:lineRule="exact"/>
              <w:rPr>
                <w:bCs/>
                <w:sz w:val="22"/>
                <w:szCs w:val="22"/>
                <w:lang w:val="en-US"/>
              </w:rPr>
            </w:pPr>
            <w:r w:rsidRPr="00D95126">
              <w:rPr>
                <w:bCs/>
                <w:sz w:val="22"/>
                <w:szCs w:val="22"/>
                <w:lang w:val="en-US"/>
              </w:rPr>
              <w:t xml:space="preserve">  Peak hs-cTnI, ng/L</w:t>
            </w:r>
          </w:p>
        </w:tc>
        <w:tc>
          <w:tcPr>
            <w:tcW w:w="2031" w:type="dxa"/>
          </w:tcPr>
          <w:p w14:paraId="723C3EC8" w14:textId="77777777" w:rsidR="00DD788D" w:rsidRPr="00D95126" w:rsidRDefault="00D95126" w:rsidP="00D95126">
            <w:pPr>
              <w:spacing w:line="280" w:lineRule="exact"/>
              <w:jc w:val="center"/>
              <w:rPr>
                <w:bCs/>
                <w:sz w:val="22"/>
                <w:szCs w:val="22"/>
                <w:lang w:val="en-US"/>
              </w:rPr>
            </w:pPr>
            <w:r w:rsidRPr="00D95126">
              <w:rPr>
                <w:bCs/>
                <w:sz w:val="22"/>
                <w:szCs w:val="22"/>
                <w:lang w:val="en-US"/>
              </w:rPr>
              <w:t>3 [1-7]</w:t>
            </w:r>
          </w:p>
        </w:tc>
        <w:tc>
          <w:tcPr>
            <w:tcW w:w="2032" w:type="dxa"/>
          </w:tcPr>
          <w:p w14:paraId="0C4182FC" w14:textId="77777777" w:rsidR="00DD788D" w:rsidRPr="00D95126" w:rsidRDefault="00D95126" w:rsidP="00D95126">
            <w:pPr>
              <w:spacing w:line="280" w:lineRule="exact"/>
              <w:jc w:val="center"/>
              <w:rPr>
                <w:bCs/>
                <w:sz w:val="22"/>
                <w:szCs w:val="22"/>
                <w:lang w:val="en-US"/>
              </w:rPr>
            </w:pPr>
            <w:r w:rsidRPr="00D95126">
              <w:rPr>
                <w:bCs/>
                <w:sz w:val="22"/>
                <w:szCs w:val="22"/>
                <w:lang w:val="en-US"/>
              </w:rPr>
              <w:t>3 [1-7]</w:t>
            </w:r>
          </w:p>
        </w:tc>
        <w:tc>
          <w:tcPr>
            <w:tcW w:w="2032" w:type="dxa"/>
          </w:tcPr>
          <w:p w14:paraId="484AA8A1" w14:textId="77777777" w:rsidR="00DD788D" w:rsidRPr="00D95126" w:rsidRDefault="00D95126" w:rsidP="00D95126">
            <w:pPr>
              <w:spacing w:line="280" w:lineRule="exact"/>
              <w:jc w:val="center"/>
              <w:rPr>
                <w:bCs/>
                <w:sz w:val="22"/>
                <w:szCs w:val="22"/>
                <w:lang w:val="en-US"/>
              </w:rPr>
            </w:pPr>
            <w:r w:rsidRPr="00D95126">
              <w:rPr>
                <w:bCs/>
                <w:sz w:val="22"/>
                <w:szCs w:val="22"/>
                <w:lang w:val="en-US"/>
              </w:rPr>
              <w:t>3 [1-7]</w:t>
            </w:r>
          </w:p>
        </w:tc>
      </w:tr>
      <w:tr w:rsidR="00DD788D" w:rsidRPr="00DE4F77" w14:paraId="554970CF" w14:textId="77777777" w:rsidTr="00BD076C">
        <w:tc>
          <w:tcPr>
            <w:tcW w:w="3686" w:type="dxa"/>
          </w:tcPr>
          <w:p w14:paraId="2FD6A4D5" w14:textId="6D75F0AF" w:rsidR="00DD788D" w:rsidRPr="00D95126" w:rsidRDefault="00DD788D" w:rsidP="00D95126">
            <w:pPr>
              <w:spacing w:line="280" w:lineRule="exact"/>
              <w:rPr>
                <w:bCs/>
                <w:sz w:val="22"/>
                <w:szCs w:val="22"/>
                <w:lang w:val="en-US"/>
              </w:rPr>
            </w:pPr>
            <w:r w:rsidRPr="00D95126">
              <w:rPr>
                <w:bCs/>
                <w:sz w:val="22"/>
                <w:szCs w:val="22"/>
                <w:lang w:val="en-US"/>
              </w:rPr>
              <w:t xml:space="preserve">  Serial (≥2) tests</w:t>
            </w:r>
            <w:r w:rsidR="00BD076C" w:rsidRPr="00BD076C">
              <w:rPr>
                <w:bCs/>
                <w:sz w:val="22"/>
                <w:szCs w:val="22"/>
                <w:lang w:val="en-US"/>
              </w:rPr>
              <w:t xml:space="preserve"> </w:t>
            </w:r>
            <w:r w:rsidR="00315066" w:rsidRPr="00315066">
              <w:rPr>
                <w:sz w:val="22"/>
                <w:szCs w:val="22"/>
              </w:rPr>
              <w:t>§</w:t>
            </w:r>
          </w:p>
        </w:tc>
        <w:tc>
          <w:tcPr>
            <w:tcW w:w="2031" w:type="dxa"/>
          </w:tcPr>
          <w:p w14:paraId="587E4A15" w14:textId="77777777" w:rsidR="00DD788D" w:rsidRPr="00D95126" w:rsidRDefault="004D7552" w:rsidP="00D95126">
            <w:pPr>
              <w:spacing w:line="280" w:lineRule="exact"/>
              <w:jc w:val="center"/>
              <w:rPr>
                <w:bCs/>
                <w:sz w:val="22"/>
                <w:szCs w:val="22"/>
                <w:lang w:val="en-US"/>
              </w:rPr>
            </w:pPr>
            <w:r w:rsidRPr="00D95126">
              <w:rPr>
                <w:bCs/>
                <w:sz w:val="22"/>
                <w:szCs w:val="22"/>
                <w:lang w:val="en-US"/>
              </w:rPr>
              <w:t>11,904 (38)</w:t>
            </w:r>
          </w:p>
        </w:tc>
        <w:tc>
          <w:tcPr>
            <w:tcW w:w="2032" w:type="dxa"/>
          </w:tcPr>
          <w:p w14:paraId="7FECE523" w14:textId="77777777" w:rsidR="00DD788D" w:rsidRPr="00D95126" w:rsidRDefault="004D7552" w:rsidP="00D95126">
            <w:pPr>
              <w:spacing w:line="280" w:lineRule="exact"/>
              <w:jc w:val="center"/>
              <w:rPr>
                <w:bCs/>
                <w:sz w:val="22"/>
                <w:szCs w:val="22"/>
                <w:lang w:val="en-US"/>
              </w:rPr>
            </w:pPr>
            <w:r w:rsidRPr="00D95126">
              <w:rPr>
                <w:bCs/>
                <w:sz w:val="22"/>
                <w:szCs w:val="22"/>
                <w:lang w:val="en-US"/>
              </w:rPr>
              <w:t>6,540 (44)</w:t>
            </w:r>
          </w:p>
        </w:tc>
        <w:tc>
          <w:tcPr>
            <w:tcW w:w="2032" w:type="dxa"/>
          </w:tcPr>
          <w:p w14:paraId="3E1F63EE" w14:textId="77777777" w:rsidR="00DD788D" w:rsidRPr="00D95126" w:rsidRDefault="004D7552" w:rsidP="00D95126">
            <w:pPr>
              <w:spacing w:line="280" w:lineRule="exact"/>
              <w:jc w:val="center"/>
              <w:rPr>
                <w:bCs/>
                <w:sz w:val="22"/>
                <w:szCs w:val="22"/>
                <w:lang w:val="en-US"/>
              </w:rPr>
            </w:pPr>
            <w:r w:rsidRPr="00D95126">
              <w:rPr>
                <w:bCs/>
                <w:sz w:val="22"/>
                <w:szCs w:val="22"/>
                <w:lang w:val="en-US"/>
              </w:rPr>
              <w:t>5,364 (32)</w:t>
            </w:r>
          </w:p>
        </w:tc>
      </w:tr>
      <w:tr w:rsidR="00DD788D" w:rsidRPr="00DE4F77" w14:paraId="7A9F7A47" w14:textId="77777777" w:rsidTr="00BD076C">
        <w:tc>
          <w:tcPr>
            <w:tcW w:w="3686" w:type="dxa"/>
          </w:tcPr>
          <w:p w14:paraId="7D799CBF" w14:textId="77777777" w:rsidR="00DD788D" w:rsidRPr="00D95126" w:rsidRDefault="00DD788D" w:rsidP="00D95126">
            <w:pPr>
              <w:spacing w:line="280" w:lineRule="exact"/>
              <w:rPr>
                <w:b/>
                <w:i/>
                <w:iCs/>
                <w:sz w:val="22"/>
                <w:szCs w:val="22"/>
                <w:lang w:val="en-US"/>
              </w:rPr>
            </w:pPr>
            <w:r w:rsidRPr="00D95126">
              <w:rPr>
                <w:b/>
                <w:i/>
                <w:iCs/>
                <w:sz w:val="22"/>
                <w:szCs w:val="22"/>
                <w:lang w:val="en-US"/>
              </w:rPr>
              <w:t>Time intervals</w:t>
            </w:r>
          </w:p>
        </w:tc>
        <w:tc>
          <w:tcPr>
            <w:tcW w:w="2031" w:type="dxa"/>
          </w:tcPr>
          <w:p w14:paraId="3D7F4CA3" w14:textId="77777777" w:rsidR="00DD788D" w:rsidRPr="00D95126" w:rsidRDefault="00DD788D" w:rsidP="00D95126">
            <w:pPr>
              <w:spacing w:line="280" w:lineRule="exact"/>
              <w:jc w:val="center"/>
              <w:rPr>
                <w:bCs/>
                <w:sz w:val="22"/>
                <w:szCs w:val="22"/>
                <w:lang w:val="en-US"/>
              </w:rPr>
            </w:pPr>
          </w:p>
        </w:tc>
        <w:tc>
          <w:tcPr>
            <w:tcW w:w="2032" w:type="dxa"/>
          </w:tcPr>
          <w:p w14:paraId="57ABEFCA" w14:textId="77777777" w:rsidR="00DD788D" w:rsidRPr="00D95126" w:rsidRDefault="00DD788D" w:rsidP="00D95126">
            <w:pPr>
              <w:spacing w:line="280" w:lineRule="exact"/>
              <w:jc w:val="center"/>
              <w:rPr>
                <w:bCs/>
                <w:sz w:val="22"/>
                <w:szCs w:val="22"/>
                <w:lang w:val="en-US"/>
              </w:rPr>
            </w:pPr>
          </w:p>
        </w:tc>
        <w:tc>
          <w:tcPr>
            <w:tcW w:w="2032" w:type="dxa"/>
          </w:tcPr>
          <w:p w14:paraId="7A1B0BC5" w14:textId="77777777" w:rsidR="00DD788D" w:rsidRPr="00D95126" w:rsidRDefault="00DD788D" w:rsidP="00D95126">
            <w:pPr>
              <w:spacing w:line="280" w:lineRule="exact"/>
              <w:jc w:val="center"/>
              <w:rPr>
                <w:bCs/>
                <w:sz w:val="22"/>
                <w:szCs w:val="22"/>
                <w:lang w:val="en-US"/>
              </w:rPr>
            </w:pPr>
          </w:p>
        </w:tc>
      </w:tr>
      <w:tr w:rsidR="00DD788D" w:rsidRPr="00DE4F77" w14:paraId="3D76DBCC" w14:textId="77777777" w:rsidTr="00BD076C">
        <w:tc>
          <w:tcPr>
            <w:tcW w:w="3686" w:type="dxa"/>
          </w:tcPr>
          <w:p w14:paraId="5322DD6B" w14:textId="77777777" w:rsidR="00DD788D" w:rsidRPr="00D95126" w:rsidRDefault="00DD788D" w:rsidP="00D95126">
            <w:pPr>
              <w:spacing w:line="280" w:lineRule="exact"/>
              <w:rPr>
                <w:bCs/>
                <w:sz w:val="22"/>
                <w:szCs w:val="22"/>
                <w:lang w:val="en-US"/>
              </w:rPr>
            </w:pPr>
            <w:r w:rsidRPr="00D95126">
              <w:rPr>
                <w:bCs/>
                <w:sz w:val="22"/>
                <w:szCs w:val="22"/>
                <w:lang w:val="en-US"/>
              </w:rPr>
              <w:t xml:space="preserve">  Symptom onset to </w:t>
            </w:r>
            <w:r w:rsidR="00BD076C">
              <w:rPr>
                <w:bCs/>
                <w:sz w:val="22"/>
                <w:szCs w:val="22"/>
                <w:lang w:val="en-US"/>
              </w:rPr>
              <w:t>presentation</w:t>
            </w:r>
            <w:r w:rsidR="00D95126">
              <w:rPr>
                <w:bCs/>
                <w:sz w:val="22"/>
                <w:szCs w:val="22"/>
                <w:lang w:val="en-US"/>
              </w:rPr>
              <w:t xml:space="preserve"> </w:t>
            </w:r>
            <w:r w:rsidR="004D7552" w:rsidRPr="00D95126">
              <w:rPr>
                <w:bCs/>
                <w:sz w:val="22"/>
                <w:szCs w:val="22"/>
                <w:lang w:val="en-US"/>
              </w:rPr>
              <w:t xml:space="preserve">≤2 </w:t>
            </w:r>
            <w:r w:rsidRPr="00D95126">
              <w:rPr>
                <w:bCs/>
                <w:sz w:val="22"/>
                <w:szCs w:val="22"/>
                <w:lang w:val="en-US"/>
              </w:rPr>
              <w:t>h</w:t>
            </w:r>
            <w:r w:rsidR="00BD076C">
              <w:rPr>
                <w:bCs/>
                <w:sz w:val="22"/>
                <w:szCs w:val="22"/>
                <w:lang w:val="en-US"/>
              </w:rPr>
              <w:t>r</w:t>
            </w:r>
            <w:r w:rsidRPr="00D95126">
              <w:rPr>
                <w:bCs/>
                <w:sz w:val="22"/>
                <w:szCs w:val="22"/>
                <w:lang w:val="en-US"/>
              </w:rPr>
              <w:t>s</w:t>
            </w:r>
          </w:p>
        </w:tc>
        <w:tc>
          <w:tcPr>
            <w:tcW w:w="2031" w:type="dxa"/>
          </w:tcPr>
          <w:p w14:paraId="7B9533CD" w14:textId="77777777" w:rsidR="00DD788D" w:rsidRPr="00D95126" w:rsidRDefault="004D7552" w:rsidP="00D95126">
            <w:pPr>
              <w:spacing w:line="280" w:lineRule="exact"/>
              <w:jc w:val="center"/>
              <w:rPr>
                <w:bCs/>
                <w:sz w:val="22"/>
                <w:szCs w:val="22"/>
                <w:lang w:val="en-US"/>
              </w:rPr>
            </w:pPr>
            <w:r w:rsidRPr="00D95126">
              <w:rPr>
                <w:bCs/>
                <w:sz w:val="22"/>
                <w:szCs w:val="22"/>
                <w:lang w:val="en-US"/>
              </w:rPr>
              <w:t>5,664 (18)</w:t>
            </w:r>
          </w:p>
        </w:tc>
        <w:tc>
          <w:tcPr>
            <w:tcW w:w="2032" w:type="dxa"/>
          </w:tcPr>
          <w:p w14:paraId="25F128D3" w14:textId="77777777" w:rsidR="00DD788D" w:rsidRPr="00D95126" w:rsidRDefault="004D7552" w:rsidP="00D95126">
            <w:pPr>
              <w:spacing w:line="280" w:lineRule="exact"/>
              <w:jc w:val="center"/>
              <w:rPr>
                <w:bCs/>
                <w:sz w:val="22"/>
                <w:szCs w:val="22"/>
                <w:lang w:val="en-US"/>
              </w:rPr>
            </w:pPr>
            <w:r w:rsidRPr="00D95126">
              <w:rPr>
                <w:bCs/>
                <w:sz w:val="22"/>
                <w:szCs w:val="22"/>
                <w:lang w:val="en-US"/>
              </w:rPr>
              <w:t>2,859 (19)</w:t>
            </w:r>
          </w:p>
        </w:tc>
        <w:tc>
          <w:tcPr>
            <w:tcW w:w="2032" w:type="dxa"/>
          </w:tcPr>
          <w:p w14:paraId="2FB7E91D" w14:textId="77777777" w:rsidR="00DD788D" w:rsidRPr="00D95126" w:rsidRDefault="004D7552" w:rsidP="00D95126">
            <w:pPr>
              <w:spacing w:line="280" w:lineRule="exact"/>
              <w:jc w:val="center"/>
              <w:rPr>
                <w:bCs/>
                <w:sz w:val="22"/>
                <w:szCs w:val="22"/>
                <w:lang w:val="en-US"/>
              </w:rPr>
            </w:pPr>
            <w:r w:rsidRPr="00D95126">
              <w:rPr>
                <w:bCs/>
                <w:sz w:val="22"/>
                <w:szCs w:val="22"/>
                <w:lang w:val="en-US"/>
              </w:rPr>
              <w:t>2,805 (17)</w:t>
            </w:r>
          </w:p>
        </w:tc>
      </w:tr>
      <w:tr w:rsidR="00DD788D" w:rsidRPr="00DE4F77" w14:paraId="7D5D445B" w14:textId="77777777" w:rsidTr="00BD076C">
        <w:tc>
          <w:tcPr>
            <w:tcW w:w="3686" w:type="dxa"/>
          </w:tcPr>
          <w:p w14:paraId="13DAE7EB" w14:textId="10296B55" w:rsidR="00DD788D" w:rsidRPr="00D95126" w:rsidRDefault="00DD788D" w:rsidP="00D95126">
            <w:pPr>
              <w:spacing w:line="280" w:lineRule="exact"/>
              <w:rPr>
                <w:bCs/>
                <w:sz w:val="22"/>
                <w:szCs w:val="22"/>
                <w:lang w:val="en-US"/>
              </w:rPr>
            </w:pPr>
            <w:r w:rsidRPr="00D95126">
              <w:rPr>
                <w:bCs/>
                <w:sz w:val="22"/>
                <w:szCs w:val="22"/>
                <w:lang w:val="en-US"/>
              </w:rPr>
              <w:t xml:space="preserve">  Presentation to first test, </w:t>
            </w:r>
            <w:r w:rsidR="00924673">
              <w:rPr>
                <w:bCs/>
                <w:sz w:val="22"/>
                <w:szCs w:val="22"/>
                <w:lang w:val="en-US"/>
              </w:rPr>
              <w:t>mins</w:t>
            </w:r>
          </w:p>
        </w:tc>
        <w:tc>
          <w:tcPr>
            <w:tcW w:w="2031" w:type="dxa"/>
          </w:tcPr>
          <w:p w14:paraId="4FFFEECC" w14:textId="77777777" w:rsidR="00DD788D" w:rsidRPr="00D95126" w:rsidRDefault="004D7552" w:rsidP="00D95126">
            <w:pPr>
              <w:spacing w:line="280" w:lineRule="exact"/>
              <w:jc w:val="center"/>
              <w:rPr>
                <w:bCs/>
                <w:sz w:val="22"/>
                <w:szCs w:val="22"/>
                <w:lang w:val="en-US"/>
              </w:rPr>
            </w:pPr>
            <w:r w:rsidRPr="00D95126">
              <w:rPr>
                <w:bCs/>
                <w:sz w:val="22"/>
                <w:szCs w:val="22"/>
                <w:lang w:val="en-US"/>
              </w:rPr>
              <w:t>66 [45-97]</w:t>
            </w:r>
          </w:p>
        </w:tc>
        <w:tc>
          <w:tcPr>
            <w:tcW w:w="2032" w:type="dxa"/>
          </w:tcPr>
          <w:p w14:paraId="2878EC71" w14:textId="77777777" w:rsidR="00DD788D" w:rsidRPr="00D95126" w:rsidRDefault="004D7552" w:rsidP="00D95126">
            <w:pPr>
              <w:spacing w:line="280" w:lineRule="exact"/>
              <w:jc w:val="center"/>
              <w:rPr>
                <w:bCs/>
                <w:sz w:val="22"/>
                <w:szCs w:val="22"/>
                <w:lang w:val="en-US"/>
              </w:rPr>
            </w:pPr>
            <w:r w:rsidRPr="00D95126">
              <w:rPr>
                <w:bCs/>
                <w:sz w:val="22"/>
                <w:szCs w:val="22"/>
                <w:lang w:val="en-US"/>
              </w:rPr>
              <w:t>66 [46-97]</w:t>
            </w:r>
          </w:p>
        </w:tc>
        <w:tc>
          <w:tcPr>
            <w:tcW w:w="2032" w:type="dxa"/>
          </w:tcPr>
          <w:p w14:paraId="421366D8" w14:textId="77777777" w:rsidR="00DD788D" w:rsidRPr="00D95126" w:rsidRDefault="004D7552" w:rsidP="00D95126">
            <w:pPr>
              <w:spacing w:line="280" w:lineRule="exact"/>
              <w:jc w:val="center"/>
              <w:rPr>
                <w:bCs/>
                <w:sz w:val="22"/>
                <w:szCs w:val="22"/>
                <w:lang w:val="en-US"/>
              </w:rPr>
            </w:pPr>
            <w:r w:rsidRPr="00D95126">
              <w:rPr>
                <w:bCs/>
                <w:sz w:val="22"/>
                <w:szCs w:val="22"/>
                <w:lang w:val="en-US"/>
              </w:rPr>
              <w:t>65 [43-97]</w:t>
            </w:r>
          </w:p>
        </w:tc>
      </w:tr>
      <w:tr w:rsidR="00DD788D" w:rsidRPr="00DE4F77" w14:paraId="58F08E69" w14:textId="77777777" w:rsidTr="00BD076C">
        <w:tc>
          <w:tcPr>
            <w:tcW w:w="3686" w:type="dxa"/>
            <w:tcBorders>
              <w:bottom w:val="single" w:sz="8" w:space="0" w:color="auto"/>
            </w:tcBorders>
          </w:tcPr>
          <w:p w14:paraId="7E1459BB" w14:textId="20074FBB" w:rsidR="00DD788D" w:rsidRPr="00D95126" w:rsidRDefault="00DD788D" w:rsidP="00D95126">
            <w:pPr>
              <w:spacing w:line="280" w:lineRule="exact"/>
              <w:rPr>
                <w:bCs/>
                <w:sz w:val="22"/>
                <w:szCs w:val="22"/>
                <w:lang w:val="en-US"/>
              </w:rPr>
            </w:pPr>
            <w:r w:rsidRPr="00D95126">
              <w:rPr>
                <w:bCs/>
                <w:sz w:val="22"/>
                <w:szCs w:val="22"/>
                <w:lang w:val="en-US"/>
              </w:rPr>
              <w:t xml:space="preserve">  </w:t>
            </w:r>
            <w:r w:rsidR="003406F0">
              <w:rPr>
                <w:bCs/>
                <w:sz w:val="22"/>
                <w:szCs w:val="22"/>
                <w:lang w:val="en-US"/>
              </w:rPr>
              <w:t>First</w:t>
            </w:r>
            <w:r w:rsidRPr="00D95126">
              <w:rPr>
                <w:bCs/>
                <w:sz w:val="22"/>
                <w:szCs w:val="22"/>
                <w:lang w:val="en-US"/>
              </w:rPr>
              <w:t xml:space="preserve"> to second test, </w:t>
            </w:r>
            <w:r w:rsidR="00924673">
              <w:rPr>
                <w:bCs/>
                <w:sz w:val="22"/>
                <w:szCs w:val="22"/>
                <w:lang w:val="en-US"/>
              </w:rPr>
              <w:t>mins</w:t>
            </w:r>
          </w:p>
        </w:tc>
        <w:tc>
          <w:tcPr>
            <w:tcW w:w="2031" w:type="dxa"/>
            <w:tcBorders>
              <w:bottom w:val="single" w:sz="8" w:space="0" w:color="auto"/>
            </w:tcBorders>
          </w:tcPr>
          <w:p w14:paraId="6DC352BE" w14:textId="77777777" w:rsidR="00DD788D" w:rsidRPr="00D95126" w:rsidRDefault="004D7552" w:rsidP="00D95126">
            <w:pPr>
              <w:spacing w:line="280" w:lineRule="exact"/>
              <w:jc w:val="center"/>
              <w:rPr>
                <w:bCs/>
                <w:sz w:val="22"/>
                <w:szCs w:val="22"/>
                <w:lang w:val="en-US"/>
              </w:rPr>
            </w:pPr>
            <w:r w:rsidRPr="00D95126">
              <w:rPr>
                <w:bCs/>
                <w:sz w:val="22"/>
                <w:szCs w:val="22"/>
                <w:lang w:val="en-US"/>
              </w:rPr>
              <w:t>351 [188-553]</w:t>
            </w:r>
          </w:p>
        </w:tc>
        <w:tc>
          <w:tcPr>
            <w:tcW w:w="2032" w:type="dxa"/>
            <w:tcBorders>
              <w:bottom w:val="single" w:sz="8" w:space="0" w:color="auto"/>
            </w:tcBorders>
          </w:tcPr>
          <w:p w14:paraId="794A2DF1" w14:textId="77777777" w:rsidR="00DD788D" w:rsidRPr="00D95126" w:rsidRDefault="004D7552" w:rsidP="00D95126">
            <w:pPr>
              <w:spacing w:line="280" w:lineRule="exact"/>
              <w:jc w:val="center"/>
              <w:rPr>
                <w:bCs/>
                <w:sz w:val="22"/>
                <w:szCs w:val="22"/>
                <w:lang w:val="en-US"/>
              </w:rPr>
            </w:pPr>
            <w:r w:rsidRPr="00D95126">
              <w:rPr>
                <w:bCs/>
                <w:sz w:val="22"/>
                <w:szCs w:val="22"/>
                <w:lang w:val="en-US"/>
              </w:rPr>
              <w:t>455 [267-601]</w:t>
            </w:r>
          </w:p>
        </w:tc>
        <w:tc>
          <w:tcPr>
            <w:tcW w:w="2032" w:type="dxa"/>
            <w:tcBorders>
              <w:bottom w:val="single" w:sz="8" w:space="0" w:color="auto"/>
            </w:tcBorders>
          </w:tcPr>
          <w:p w14:paraId="2DD17E8C" w14:textId="77777777" w:rsidR="00DD788D" w:rsidRPr="00D95126" w:rsidRDefault="004D7552" w:rsidP="00D95126">
            <w:pPr>
              <w:spacing w:line="280" w:lineRule="exact"/>
              <w:jc w:val="center"/>
              <w:rPr>
                <w:bCs/>
                <w:sz w:val="22"/>
                <w:szCs w:val="22"/>
                <w:lang w:val="en-US"/>
              </w:rPr>
            </w:pPr>
            <w:r w:rsidRPr="00D95126">
              <w:rPr>
                <w:bCs/>
                <w:sz w:val="22"/>
                <w:szCs w:val="22"/>
                <w:lang w:val="en-US"/>
              </w:rPr>
              <w:t>229 [155-405]</w:t>
            </w:r>
          </w:p>
        </w:tc>
      </w:tr>
      <w:tr w:rsidR="00DD788D" w:rsidRPr="00DE4F77" w14:paraId="1265545A" w14:textId="77777777" w:rsidTr="00767C59">
        <w:tc>
          <w:tcPr>
            <w:tcW w:w="9781" w:type="dxa"/>
            <w:gridSpan w:val="4"/>
            <w:tcBorders>
              <w:top w:val="single" w:sz="8" w:space="0" w:color="auto"/>
            </w:tcBorders>
          </w:tcPr>
          <w:p w14:paraId="1F942BE9" w14:textId="7C95E374" w:rsidR="00767C59" w:rsidRPr="00767C59" w:rsidRDefault="00DD788D" w:rsidP="00D95126">
            <w:pPr>
              <w:rPr>
                <w:sz w:val="16"/>
                <w:szCs w:val="16"/>
              </w:rPr>
            </w:pPr>
            <w:r w:rsidRPr="00DE4F77">
              <w:rPr>
                <w:sz w:val="16"/>
                <w:szCs w:val="16"/>
              </w:rPr>
              <w:t>Presented as No. (%), mean±SD or median</w:t>
            </w:r>
            <w:r w:rsidR="00C80B5D" w:rsidRPr="00C80B5D">
              <w:rPr>
                <w:sz w:val="16"/>
                <w:szCs w:val="16"/>
              </w:rPr>
              <w:t xml:space="preserve"> [25th percentile, 75th percentile].</w:t>
            </w:r>
            <w:r w:rsidRPr="00DE4F77">
              <w:rPr>
                <w:sz w:val="16"/>
                <w:szCs w:val="16"/>
              </w:rPr>
              <w:t xml:space="preserve">]. Abbreviations: ACE = angiotensin converting enzyme; ARB = angiotensin receptor blockers; eGFR = estimated glomerular filtration rate; CABG = coronary artery bypass grafting; PCI = percutaneous coronary intervention. </w:t>
            </w:r>
            <w:r>
              <w:rPr>
                <w:sz w:val="16"/>
                <w:szCs w:val="16"/>
              </w:rPr>
              <w:t>*</w:t>
            </w:r>
            <w:r w:rsidR="00190E3E">
              <w:rPr>
                <w:sz w:val="16"/>
                <w:szCs w:val="16"/>
              </w:rPr>
              <w:t xml:space="preserve"> </w:t>
            </w:r>
            <w:r w:rsidRPr="00DE4F77">
              <w:rPr>
                <w:sz w:val="16"/>
                <w:szCs w:val="16"/>
              </w:rPr>
              <w:t xml:space="preserve">Two medications from aspirin, clopidogrel, prasugrel or ticagrelor. </w:t>
            </w:r>
            <w:r w:rsidRPr="00DD788D">
              <w:rPr>
                <w:sz w:val="16"/>
                <w:szCs w:val="16"/>
              </w:rPr>
              <w:t>†</w:t>
            </w:r>
            <w:r>
              <w:rPr>
                <w:sz w:val="16"/>
                <w:szCs w:val="16"/>
                <w:vertAlign w:val="superscript"/>
              </w:rPr>
              <w:t xml:space="preserve"> </w:t>
            </w:r>
            <w:r w:rsidRPr="00DE4F77">
              <w:rPr>
                <w:sz w:val="16"/>
                <w:szCs w:val="16"/>
              </w:rPr>
              <w:t xml:space="preserve">Includes warfarin or novel oral anti-coagulants. </w:t>
            </w:r>
            <w:r w:rsidR="00315066" w:rsidRPr="00DE4F77">
              <w:rPr>
                <w:sz w:val="16"/>
                <w:szCs w:val="16"/>
              </w:rPr>
              <w:t>‡</w:t>
            </w:r>
            <w:r w:rsidR="00315066">
              <w:rPr>
                <w:sz w:val="16"/>
                <w:szCs w:val="16"/>
              </w:rPr>
              <w:t xml:space="preserve"> Proportions reported for the 16,217 (51%) participants with e</w:t>
            </w:r>
            <w:r w:rsidR="00315066" w:rsidRPr="00190E3E">
              <w:rPr>
                <w:sz w:val="16"/>
                <w:szCs w:val="16"/>
              </w:rPr>
              <w:t>lectrocardiographic data available</w:t>
            </w:r>
            <w:r w:rsidR="00315066">
              <w:rPr>
                <w:sz w:val="16"/>
                <w:szCs w:val="16"/>
              </w:rPr>
              <w:t xml:space="preserve">. </w:t>
            </w:r>
            <w:r w:rsidR="00315066" w:rsidRPr="00495392">
              <w:rPr>
                <w:sz w:val="16"/>
                <w:szCs w:val="16"/>
              </w:rPr>
              <w:t>§</w:t>
            </w:r>
            <w:r>
              <w:rPr>
                <w:sz w:val="16"/>
                <w:szCs w:val="16"/>
              </w:rPr>
              <w:t xml:space="preserve"> </w:t>
            </w:r>
            <w:r w:rsidR="00190E3E" w:rsidRPr="00190E3E">
              <w:rPr>
                <w:sz w:val="16"/>
                <w:szCs w:val="16"/>
              </w:rPr>
              <w:t xml:space="preserve">Serial testing </w:t>
            </w:r>
            <w:r w:rsidR="00190E3E">
              <w:rPr>
                <w:sz w:val="16"/>
                <w:szCs w:val="16"/>
              </w:rPr>
              <w:t xml:space="preserve">was </w:t>
            </w:r>
            <w:r w:rsidR="00190E3E" w:rsidRPr="00190E3E">
              <w:rPr>
                <w:sz w:val="16"/>
                <w:szCs w:val="16"/>
              </w:rPr>
              <w:t xml:space="preserve">defined as two or more tests within 24 hours </w:t>
            </w:r>
            <w:r w:rsidR="00190E3E">
              <w:rPr>
                <w:sz w:val="16"/>
                <w:szCs w:val="16"/>
              </w:rPr>
              <w:t>of</w:t>
            </w:r>
            <w:r w:rsidR="00190E3E" w:rsidRPr="00190E3E">
              <w:rPr>
                <w:sz w:val="16"/>
                <w:szCs w:val="16"/>
              </w:rPr>
              <w:t xml:space="preserve"> presentation.</w:t>
            </w:r>
          </w:p>
        </w:tc>
      </w:tr>
    </w:tbl>
    <w:p w14:paraId="5461B7D7" w14:textId="77777777" w:rsidR="00767C59" w:rsidRDefault="00767C59">
      <w:pPr>
        <w:rPr>
          <w:b/>
        </w:rPr>
        <w:sectPr w:rsidR="00767C59" w:rsidSect="00945D55">
          <w:pgSz w:w="11901" w:h="16840"/>
          <w:pgMar w:top="1440" w:right="1440" w:bottom="1440" w:left="1440" w:header="709" w:footer="709" w:gutter="0"/>
          <w:cols w:space="708"/>
          <w:docGrid w:linePitch="326"/>
        </w:sectPr>
      </w:pPr>
    </w:p>
    <w:p w14:paraId="43D6A752" w14:textId="77777777" w:rsidR="00767C59" w:rsidRPr="00DE4F77" w:rsidRDefault="00767C59">
      <w:pPr>
        <w:rPr>
          <w:b/>
        </w:rPr>
      </w:pPr>
    </w:p>
    <w:p w14:paraId="1CDDC411" w14:textId="06A30AFD" w:rsidR="00253FF3" w:rsidRPr="00DE4F77" w:rsidRDefault="00253FF3" w:rsidP="00293B8F">
      <w:pPr>
        <w:spacing w:after="120"/>
        <w:ind w:firstLine="720"/>
      </w:pPr>
      <w:r w:rsidRPr="00DE4F77">
        <w:rPr>
          <w:b/>
        </w:rPr>
        <w:t xml:space="preserve">Table </w:t>
      </w:r>
      <w:r w:rsidR="002463EA" w:rsidRPr="00DE4F77">
        <w:rPr>
          <w:b/>
        </w:rPr>
        <w:t>2</w:t>
      </w:r>
      <w:r w:rsidRPr="00DE4F77">
        <w:rPr>
          <w:b/>
        </w:rPr>
        <w:t xml:space="preserve">. </w:t>
      </w:r>
      <w:r w:rsidR="00DD788D">
        <w:rPr>
          <w:b/>
        </w:rPr>
        <w:t xml:space="preserve">Efficacy and Safety </w:t>
      </w:r>
      <w:r w:rsidRPr="00DE4F77">
        <w:rPr>
          <w:b/>
        </w:rPr>
        <w:t xml:space="preserve">Outcomes </w:t>
      </w:r>
      <w:r w:rsidR="00D214D5" w:rsidRPr="00DE4F77">
        <w:rPr>
          <w:b/>
        </w:rPr>
        <w:t xml:space="preserve">at </w:t>
      </w:r>
      <w:r w:rsidR="00DD788D">
        <w:rPr>
          <w:b/>
        </w:rPr>
        <w:t xml:space="preserve">30 </w:t>
      </w:r>
      <w:r w:rsidR="00A07B24">
        <w:rPr>
          <w:b/>
        </w:rPr>
        <w:t>D</w:t>
      </w:r>
      <w:r w:rsidR="00DD788D">
        <w:rPr>
          <w:b/>
        </w:rPr>
        <w:t xml:space="preserve">ays and </w:t>
      </w:r>
      <w:r w:rsidR="00D214D5" w:rsidRPr="00DE4F77">
        <w:rPr>
          <w:b/>
        </w:rPr>
        <w:t xml:space="preserve">1 </w:t>
      </w:r>
      <w:r w:rsidR="00A07B24">
        <w:rPr>
          <w:b/>
        </w:rPr>
        <w:t>Y</w:t>
      </w:r>
      <w:r w:rsidR="00D214D5" w:rsidRPr="00DE4F77">
        <w:rPr>
          <w:b/>
        </w:rPr>
        <w:t>ear</w:t>
      </w:r>
    </w:p>
    <w:tbl>
      <w:tblPr>
        <w:tblStyle w:val="TableGrid"/>
        <w:tblpPr w:leftFromText="181" w:rightFromText="181" w:vertAnchor="text" w:horzAnchor="page"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539"/>
        <w:gridCol w:w="1853"/>
        <w:gridCol w:w="1853"/>
        <w:gridCol w:w="3260"/>
        <w:gridCol w:w="851"/>
        <w:gridCol w:w="283"/>
      </w:tblGrid>
      <w:tr w:rsidR="00A07B24" w:rsidRPr="00DE4F77" w14:paraId="6147BFC7" w14:textId="77777777" w:rsidTr="00C24BFA">
        <w:tc>
          <w:tcPr>
            <w:tcW w:w="3544" w:type="dxa"/>
            <w:tcBorders>
              <w:top w:val="single" w:sz="8" w:space="0" w:color="auto"/>
              <w:bottom w:val="single" w:sz="8" w:space="0" w:color="auto"/>
            </w:tcBorders>
            <w:vAlign w:val="bottom"/>
          </w:tcPr>
          <w:p w14:paraId="02B77A66" w14:textId="77777777" w:rsidR="00A07B24" w:rsidRPr="00BD076C" w:rsidRDefault="00A07B24" w:rsidP="00F363B9">
            <w:pPr>
              <w:spacing w:before="120" w:line="360" w:lineRule="auto"/>
              <w:jc w:val="center"/>
              <w:rPr>
                <w:b/>
                <w:sz w:val="22"/>
                <w:szCs w:val="22"/>
              </w:rPr>
            </w:pPr>
          </w:p>
        </w:tc>
        <w:tc>
          <w:tcPr>
            <w:tcW w:w="1539" w:type="dxa"/>
            <w:tcBorders>
              <w:top w:val="single" w:sz="8" w:space="0" w:color="auto"/>
              <w:bottom w:val="single" w:sz="8" w:space="0" w:color="auto"/>
            </w:tcBorders>
            <w:vAlign w:val="bottom"/>
          </w:tcPr>
          <w:p w14:paraId="53DF53B3" w14:textId="77777777" w:rsidR="00A07B24" w:rsidRPr="00BD076C" w:rsidRDefault="00A07B24" w:rsidP="00F363B9">
            <w:pPr>
              <w:spacing w:before="120" w:line="360" w:lineRule="auto"/>
              <w:jc w:val="center"/>
              <w:rPr>
                <w:i/>
                <w:sz w:val="22"/>
                <w:szCs w:val="22"/>
              </w:rPr>
            </w:pPr>
            <w:r w:rsidRPr="00BD076C">
              <w:rPr>
                <w:b/>
                <w:sz w:val="22"/>
                <w:szCs w:val="22"/>
              </w:rPr>
              <w:t xml:space="preserve">All </w:t>
            </w:r>
          </w:p>
        </w:tc>
        <w:tc>
          <w:tcPr>
            <w:tcW w:w="1853" w:type="dxa"/>
            <w:tcBorders>
              <w:top w:val="single" w:sz="8" w:space="0" w:color="auto"/>
              <w:bottom w:val="single" w:sz="8" w:space="0" w:color="auto"/>
            </w:tcBorders>
            <w:vAlign w:val="bottom"/>
          </w:tcPr>
          <w:p w14:paraId="399AE028" w14:textId="77777777" w:rsidR="00A07B24" w:rsidRPr="00BD076C" w:rsidRDefault="00A07B24" w:rsidP="00F363B9">
            <w:pPr>
              <w:spacing w:before="120" w:line="360" w:lineRule="auto"/>
              <w:jc w:val="center"/>
              <w:rPr>
                <w:b/>
                <w:sz w:val="22"/>
                <w:szCs w:val="22"/>
              </w:rPr>
            </w:pPr>
            <w:r w:rsidRPr="00BD076C">
              <w:rPr>
                <w:b/>
                <w:sz w:val="22"/>
                <w:szCs w:val="22"/>
              </w:rPr>
              <w:t>Standard care</w:t>
            </w:r>
          </w:p>
        </w:tc>
        <w:tc>
          <w:tcPr>
            <w:tcW w:w="1853" w:type="dxa"/>
            <w:tcBorders>
              <w:top w:val="single" w:sz="8" w:space="0" w:color="auto"/>
              <w:bottom w:val="single" w:sz="8" w:space="0" w:color="auto"/>
            </w:tcBorders>
            <w:vAlign w:val="bottom"/>
          </w:tcPr>
          <w:p w14:paraId="05963F1E" w14:textId="77777777" w:rsidR="00A07B24" w:rsidRPr="00BD076C" w:rsidRDefault="00A07B24" w:rsidP="00F363B9">
            <w:pPr>
              <w:spacing w:before="120" w:line="360" w:lineRule="auto"/>
              <w:jc w:val="center"/>
              <w:rPr>
                <w:b/>
                <w:sz w:val="22"/>
                <w:szCs w:val="22"/>
              </w:rPr>
            </w:pPr>
            <w:r w:rsidRPr="00BD076C">
              <w:rPr>
                <w:b/>
                <w:sz w:val="22"/>
                <w:szCs w:val="22"/>
              </w:rPr>
              <w:t>Early rule-out</w:t>
            </w:r>
          </w:p>
        </w:tc>
        <w:tc>
          <w:tcPr>
            <w:tcW w:w="3260" w:type="dxa"/>
            <w:tcBorders>
              <w:top w:val="single" w:sz="8" w:space="0" w:color="auto"/>
              <w:bottom w:val="single" w:sz="8" w:space="0" w:color="auto"/>
            </w:tcBorders>
            <w:vAlign w:val="bottom"/>
          </w:tcPr>
          <w:p w14:paraId="70001A8B" w14:textId="538A8715" w:rsidR="00A07B24" w:rsidRPr="00BD076C" w:rsidRDefault="00053168" w:rsidP="00F363B9">
            <w:pPr>
              <w:spacing w:before="120" w:line="360" w:lineRule="auto"/>
              <w:jc w:val="center"/>
              <w:rPr>
                <w:b/>
                <w:bCs/>
                <w:iCs/>
                <w:sz w:val="22"/>
                <w:szCs w:val="22"/>
              </w:rPr>
            </w:pPr>
            <w:r>
              <w:rPr>
                <w:b/>
                <w:bCs/>
                <w:iCs/>
                <w:sz w:val="22"/>
                <w:szCs w:val="22"/>
              </w:rPr>
              <w:t xml:space="preserve">Adjusted </w:t>
            </w:r>
            <w:r w:rsidR="00671F4E">
              <w:rPr>
                <w:b/>
                <w:bCs/>
                <w:iCs/>
                <w:sz w:val="22"/>
                <w:szCs w:val="22"/>
              </w:rPr>
              <w:t xml:space="preserve">Odds </w:t>
            </w:r>
            <w:r w:rsidR="00A07B24" w:rsidRPr="00BD076C">
              <w:rPr>
                <w:b/>
                <w:bCs/>
                <w:iCs/>
                <w:sz w:val="22"/>
                <w:szCs w:val="22"/>
              </w:rPr>
              <w:t>Ratio</w:t>
            </w:r>
            <w:r w:rsidR="00293B8F" w:rsidRPr="00BD076C">
              <w:rPr>
                <w:b/>
                <w:bCs/>
                <w:iCs/>
                <w:sz w:val="22"/>
                <w:szCs w:val="22"/>
              </w:rPr>
              <w:t xml:space="preserve"> (95% CI)</w:t>
            </w:r>
            <w:r w:rsidR="00671F4E" w:rsidRPr="00671F4E">
              <w:rPr>
                <w:sz w:val="22"/>
                <w:szCs w:val="22"/>
              </w:rPr>
              <w:t>*</w:t>
            </w:r>
          </w:p>
        </w:tc>
        <w:tc>
          <w:tcPr>
            <w:tcW w:w="1134" w:type="dxa"/>
            <w:gridSpan w:val="2"/>
            <w:tcBorders>
              <w:top w:val="single" w:sz="8" w:space="0" w:color="auto"/>
              <w:bottom w:val="single" w:sz="8" w:space="0" w:color="auto"/>
            </w:tcBorders>
            <w:vAlign w:val="bottom"/>
          </w:tcPr>
          <w:p w14:paraId="4F072C9F" w14:textId="77777777" w:rsidR="00A07B24" w:rsidRPr="00BD076C" w:rsidRDefault="00A07B24" w:rsidP="00F363B9">
            <w:pPr>
              <w:spacing w:before="120" w:line="360" w:lineRule="auto"/>
              <w:jc w:val="center"/>
              <w:rPr>
                <w:i/>
                <w:sz w:val="22"/>
                <w:szCs w:val="22"/>
              </w:rPr>
            </w:pPr>
            <w:r w:rsidRPr="00BD076C">
              <w:rPr>
                <w:b/>
                <w:sz w:val="22"/>
                <w:szCs w:val="22"/>
              </w:rPr>
              <w:t>P-value</w:t>
            </w:r>
          </w:p>
        </w:tc>
      </w:tr>
      <w:tr w:rsidR="00A07B24" w:rsidRPr="00DE4F77" w14:paraId="334D4E05" w14:textId="77777777" w:rsidTr="00C24BFA">
        <w:tc>
          <w:tcPr>
            <w:tcW w:w="3544" w:type="dxa"/>
            <w:tcBorders>
              <w:top w:val="single" w:sz="8" w:space="0" w:color="auto"/>
            </w:tcBorders>
          </w:tcPr>
          <w:p w14:paraId="18952457" w14:textId="77777777" w:rsidR="00A07B24" w:rsidRPr="00BD076C" w:rsidRDefault="00A07B24" w:rsidP="00F363B9">
            <w:pPr>
              <w:spacing w:before="120"/>
              <w:rPr>
                <w:b/>
                <w:i/>
                <w:sz w:val="22"/>
                <w:szCs w:val="22"/>
              </w:rPr>
            </w:pPr>
            <w:r w:rsidRPr="00BD076C">
              <w:rPr>
                <w:bCs/>
                <w:sz w:val="22"/>
                <w:szCs w:val="22"/>
                <w:lang w:val="en-US"/>
              </w:rPr>
              <w:t>No. of participants</w:t>
            </w:r>
          </w:p>
        </w:tc>
        <w:tc>
          <w:tcPr>
            <w:tcW w:w="1539" w:type="dxa"/>
            <w:tcBorders>
              <w:top w:val="single" w:sz="8" w:space="0" w:color="auto"/>
            </w:tcBorders>
          </w:tcPr>
          <w:p w14:paraId="2C9FD86D" w14:textId="77777777" w:rsidR="00A07B24" w:rsidRPr="00BD076C" w:rsidRDefault="00B15628" w:rsidP="00F363B9">
            <w:pPr>
              <w:spacing w:before="120"/>
              <w:jc w:val="center"/>
              <w:rPr>
                <w:sz w:val="22"/>
                <w:szCs w:val="22"/>
              </w:rPr>
            </w:pPr>
            <w:r w:rsidRPr="00BD076C">
              <w:rPr>
                <w:sz w:val="22"/>
                <w:szCs w:val="22"/>
              </w:rPr>
              <w:t>n=31,492</w:t>
            </w:r>
          </w:p>
        </w:tc>
        <w:tc>
          <w:tcPr>
            <w:tcW w:w="1853" w:type="dxa"/>
            <w:tcBorders>
              <w:top w:val="single" w:sz="8" w:space="0" w:color="auto"/>
            </w:tcBorders>
          </w:tcPr>
          <w:p w14:paraId="0B3E97A1" w14:textId="77777777" w:rsidR="00A07B24" w:rsidRPr="00BD076C" w:rsidRDefault="00B15628" w:rsidP="00F363B9">
            <w:pPr>
              <w:spacing w:before="120"/>
              <w:jc w:val="center"/>
              <w:rPr>
                <w:sz w:val="22"/>
                <w:szCs w:val="22"/>
              </w:rPr>
            </w:pPr>
            <w:r w:rsidRPr="00BD076C">
              <w:rPr>
                <w:sz w:val="22"/>
                <w:szCs w:val="22"/>
              </w:rPr>
              <w:t>n=14,700</w:t>
            </w:r>
          </w:p>
        </w:tc>
        <w:tc>
          <w:tcPr>
            <w:tcW w:w="1853" w:type="dxa"/>
            <w:tcBorders>
              <w:top w:val="single" w:sz="8" w:space="0" w:color="auto"/>
            </w:tcBorders>
          </w:tcPr>
          <w:p w14:paraId="7B4BC0A5" w14:textId="77777777" w:rsidR="00A07B24" w:rsidRPr="00BD076C" w:rsidRDefault="00B15628" w:rsidP="00F363B9">
            <w:pPr>
              <w:spacing w:before="120"/>
              <w:jc w:val="center"/>
              <w:rPr>
                <w:sz w:val="22"/>
                <w:szCs w:val="22"/>
              </w:rPr>
            </w:pPr>
            <w:r w:rsidRPr="00BD076C">
              <w:rPr>
                <w:sz w:val="22"/>
                <w:szCs w:val="22"/>
              </w:rPr>
              <w:t>n=16,792</w:t>
            </w:r>
          </w:p>
        </w:tc>
        <w:tc>
          <w:tcPr>
            <w:tcW w:w="3260" w:type="dxa"/>
            <w:tcBorders>
              <w:top w:val="single" w:sz="8" w:space="0" w:color="auto"/>
            </w:tcBorders>
          </w:tcPr>
          <w:p w14:paraId="242A6CE2" w14:textId="77777777" w:rsidR="00A07B24" w:rsidRPr="00BD076C" w:rsidRDefault="00A07B24" w:rsidP="00F363B9">
            <w:pPr>
              <w:spacing w:before="120"/>
              <w:jc w:val="center"/>
              <w:rPr>
                <w:sz w:val="22"/>
                <w:szCs w:val="22"/>
              </w:rPr>
            </w:pPr>
          </w:p>
        </w:tc>
        <w:tc>
          <w:tcPr>
            <w:tcW w:w="1134" w:type="dxa"/>
            <w:gridSpan w:val="2"/>
            <w:tcBorders>
              <w:top w:val="single" w:sz="8" w:space="0" w:color="auto"/>
            </w:tcBorders>
          </w:tcPr>
          <w:p w14:paraId="0A9FE628" w14:textId="77777777" w:rsidR="00A07B24" w:rsidRPr="00BD076C" w:rsidRDefault="00A07B24" w:rsidP="00F363B9">
            <w:pPr>
              <w:spacing w:before="120"/>
              <w:jc w:val="center"/>
              <w:rPr>
                <w:sz w:val="22"/>
                <w:szCs w:val="22"/>
              </w:rPr>
            </w:pPr>
          </w:p>
        </w:tc>
      </w:tr>
      <w:tr w:rsidR="00293B8F" w:rsidRPr="00DE4F77" w14:paraId="7EAAA1FF" w14:textId="77777777" w:rsidTr="00A812FE">
        <w:tc>
          <w:tcPr>
            <w:tcW w:w="13183" w:type="dxa"/>
            <w:gridSpan w:val="7"/>
          </w:tcPr>
          <w:p w14:paraId="37B6E637" w14:textId="3024F693" w:rsidR="00293B8F" w:rsidRPr="00BD076C" w:rsidRDefault="00341395" w:rsidP="00293B8F">
            <w:pPr>
              <w:spacing w:before="120"/>
              <w:rPr>
                <w:sz w:val="22"/>
                <w:szCs w:val="22"/>
              </w:rPr>
            </w:pPr>
            <w:r>
              <w:rPr>
                <w:b/>
                <w:i/>
                <w:sz w:val="22"/>
                <w:szCs w:val="22"/>
              </w:rPr>
              <w:t>E</w:t>
            </w:r>
            <w:r w:rsidR="00293B8F" w:rsidRPr="00BD076C">
              <w:rPr>
                <w:b/>
                <w:i/>
                <w:sz w:val="22"/>
                <w:szCs w:val="22"/>
              </w:rPr>
              <w:t>fficacy outcome</w:t>
            </w:r>
          </w:p>
        </w:tc>
      </w:tr>
      <w:tr w:rsidR="00A07B24" w:rsidRPr="00DE4F77" w14:paraId="299010C3" w14:textId="77777777" w:rsidTr="00C24BFA">
        <w:tc>
          <w:tcPr>
            <w:tcW w:w="3544" w:type="dxa"/>
          </w:tcPr>
          <w:p w14:paraId="7315A18E" w14:textId="3E3CBCB0" w:rsidR="00A07B24" w:rsidRPr="00BD076C" w:rsidRDefault="00A07B24" w:rsidP="00F363B9">
            <w:pPr>
              <w:spacing w:before="120"/>
              <w:rPr>
                <w:sz w:val="22"/>
                <w:szCs w:val="22"/>
              </w:rPr>
            </w:pPr>
            <w:r w:rsidRPr="00BD076C">
              <w:rPr>
                <w:sz w:val="22"/>
                <w:szCs w:val="22"/>
              </w:rPr>
              <w:t xml:space="preserve">  Length of stay</w:t>
            </w:r>
            <w:r w:rsidR="00B15628" w:rsidRPr="00BD076C">
              <w:rPr>
                <w:sz w:val="22"/>
                <w:szCs w:val="22"/>
              </w:rPr>
              <w:t>, hrs</w:t>
            </w:r>
            <w:r w:rsidR="00341395">
              <w:rPr>
                <w:sz w:val="22"/>
                <w:szCs w:val="22"/>
              </w:rPr>
              <w:t xml:space="preserve"> (primary)</w:t>
            </w:r>
          </w:p>
        </w:tc>
        <w:tc>
          <w:tcPr>
            <w:tcW w:w="1539" w:type="dxa"/>
          </w:tcPr>
          <w:p w14:paraId="1FE3B069" w14:textId="550E7817" w:rsidR="00A07B24" w:rsidRPr="00BD076C" w:rsidRDefault="00B15628" w:rsidP="00F363B9">
            <w:pPr>
              <w:spacing w:before="120"/>
              <w:jc w:val="center"/>
              <w:rPr>
                <w:sz w:val="22"/>
                <w:szCs w:val="22"/>
              </w:rPr>
            </w:pPr>
            <w:r w:rsidRPr="00BD076C">
              <w:rPr>
                <w:sz w:val="22"/>
                <w:szCs w:val="22"/>
              </w:rPr>
              <w:t>8</w:t>
            </w:r>
            <w:r w:rsidR="0057356B">
              <w:rPr>
                <w:sz w:val="22"/>
                <w:szCs w:val="22"/>
              </w:rPr>
              <w:t>.</w:t>
            </w:r>
            <w:r w:rsidRPr="00BD076C">
              <w:rPr>
                <w:sz w:val="22"/>
                <w:szCs w:val="22"/>
              </w:rPr>
              <w:t>2±4</w:t>
            </w:r>
            <w:r w:rsidR="0057356B">
              <w:rPr>
                <w:sz w:val="22"/>
                <w:szCs w:val="22"/>
              </w:rPr>
              <w:t>.</w:t>
            </w:r>
            <w:r w:rsidRPr="00BD076C">
              <w:rPr>
                <w:sz w:val="22"/>
                <w:szCs w:val="22"/>
              </w:rPr>
              <w:t>1</w:t>
            </w:r>
          </w:p>
        </w:tc>
        <w:tc>
          <w:tcPr>
            <w:tcW w:w="1853" w:type="dxa"/>
          </w:tcPr>
          <w:p w14:paraId="7CF36E4E" w14:textId="06ED8753" w:rsidR="00A07B24" w:rsidRPr="00BD076C" w:rsidRDefault="00B15628" w:rsidP="00F363B9">
            <w:pPr>
              <w:spacing w:before="120"/>
              <w:jc w:val="center"/>
              <w:rPr>
                <w:sz w:val="22"/>
                <w:szCs w:val="22"/>
              </w:rPr>
            </w:pPr>
            <w:r w:rsidRPr="00BD076C">
              <w:rPr>
                <w:sz w:val="22"/>
                <w:szCs w:val="22"/>
              </w:rPr>
              <w:t>10</w:t>
            </w:r>
            <w:r w:rsidR="0057356B">
              <w:rPr>
                <w:sz w:val="22"/>
                <w:szCs w:val="22"/>
              </w:rPr>
              <w:t>.</w:t>
            </w:r>
            <w:r w:rsidRPr="00BD076C">
              <w:rPr>
                <w:sz w:val="22"/>
                <w:szCs w:val="22"/>
              </w:rPr>
              <w:t>1±4</w:t>
            </w:r>
            <w:r w:rsidR="0057356B">
              <w:rPr>
                <w:sz w:val="22"/>
                <w:szCs w:val="22"/>
              </w:rPr>
              <w:t>.</w:t>
            </w:r>
            <w:r w:rsidRPr="00BD076C">
              <w:rPr>
                <w:sz w:val="22"/>
                <w:szCs w:val="22"/>
              </w:rPr>
              <w:t>1</w:t>
            </w:r>
          </w:p>
        </w:tc>
        <w:tc>
          <w:tcPr>
            <w:tcW w:w="1853" w:type="dxa"/>
          </w:tcPr>
          <w:p w14:paraId="21DB8F16" w14:textId="5AFB8296" w:rsidR="00A07B24" w:rsidRPr="00BD076C" w:rsidRDefault="00B15628" w:rsidP="00F363B9">
            <w:pPr>
              <w:spacing w:before="120"/>
              <w:jc w:val="center"/>
              <w:rPr>
                <w:sz w:val="22"/>
                <w:szCs w:val="22"/>
              </w:rPr>
            </w:pPr>
            <w:r w:rsidRPr="00BD076C">
              <w:rPr>
                <w:sz w:val="22"/>
                <w:szCs w:val="22"/>
              </w:rPr>
              <w:t>6</w:t>
            </w:r>
            <w:r w:rsidR="0057356B">
              <w:rPr>
                <w:sz w:val="22"/>
                <w:szCs w:val="22"/>
              </w:rPr>
              <w:t>.</w:t>
            </w:r>
            <w:r w:rsidRPr="00BD076C">
              <w:rPr>
                <w:sz w:val="22"/>
                <w:szCs w:val="22"/>
              </w:rPr>
              <w:t>8±4</w:t>
            </w:r>
            <w:r w:rsidR="0057356B">
              <w:rPr>
                <w:sz w:val="22"/>
                <w:szCs w:val="22"/>
              </w:rPr>
              <w:t>.</w:t>
            </w:r>
            <w:r w:rsidRPr="00BD076C">
              <w:rPr>
                <w:sz w:val="22"/>
                <w:szCs w:val="22"/>
              </w:rPr>
              <w:t>1</w:t>
            </w:r>
          </w:p>
        </w:tc>
        <w:tc>
          <w:tcPr>
            <w:tcW w:w="3260" w:type="dxa"/>
          </w:tcPr>
          <w:p w14:paraId="7F0D166E" w14:textId="5852F82A" w:rsidR="00A07B24" w:rsidRPr="00BD076C" w:rsidRDefault="00F363B9" w:rsidP="00F363B9">
            <w:pPr>
              <w:spacing w:before="120"/>
              <w:jc w:val="center"/>
              <w:rPr>
                <w:sz w:val="22"/>
                <w:szCs w:val="22"/>
              </w:rPr>
            </w:pPr>
            <w:r w:rsidRPr="00BD076C">
              <w:rPr>
                <w:sz w:val="22"/>
                <w:szCs w:val="22"/>
              </w:rPr>
              <w:t>0</w:t>
            </w:r>
            <w:r w:rsidR="0057356B">
              <w:rPr>
                <w:sz w:val="22"/>
                <w:szCs w:val="22"/>
              </w:rPr>
              <w:t>.</w:t>
            </w:r>
            <w:r w:rsidRPr="00BD076C">
              <w:rPr>
                <w:sz w:val="22"/>
                <w:szCs w:val="22"/>
              </w:rPr>
              <w:t>7</w:t>
            </w:r>
            <w:r w:rsidR="008503DA">
              <w:rPr>
                <w:sz w:val="22"/>
                <w:szCs w:val="22"/>
              </w:rPr>
              <w:t>8</w:t>
            </w:r>
            <w:r w:rsidRPr="00BD076C">
              <w:rPr>
                <w:sz w:val="22"/>
                <w:szCs w:val="22"/>
              </w:rPr>
              <w:t xml:space="preserve"> (95% CI 0</w:t>
            </w:r>
            <w:r w:rsidR="0057356B">
              <w:rPr>
                <w:sz w:val="22"/>
                <w:szCs w:val="22"/>
              </w:rPr>
              <w:t>.</w:t>
            </w:r>
            <w:r w:rsidRPr="00BD076C">
              <w:rPr>
                <w:sz w:val="22"/>
                <w:szCs w:val="22"/>
              </w:rPr>
              <w:t>73 to 0</w:t>
            </w:r>
            <w:r w:rsidR="0057356B">
              <w:rPr>
                <w:sz w:val="22"/>
                <w:szCs w:val="22"/>
              </w:rPr>
              <w:t>.</w:t>
            </w:r>
            <w:r w:rsidRPr="00BD076C">
              <w:rPr>
                <w:sz w:val="22"/>
                <w:szCs w:val="22"/>
              </w:rPr>
              <w:t>83)</w:t>
            </w:r>
          </w:p>
        </w:tc>
        <w:tc>
          <w:tcPr>
            <w:tcW w:w="1134" w:type="dxa"/>
            <w:gridSpan w:val="2"/>
          </w:tcPr>
          <w:p w14:paraId="34227931" w14:textId="6A807C99" w:rsidR="00A07B24" w:rsidRPr="00BD076C" w:rsidRDefault="00F363B9" w:rsidP="00F363B9">
            <w:pPr>
              <w:spacing w:before="120"/>
              <w:jc w:val="center"/>
              <w:rPr>
                <w:sz w:val="22"/>
                <w:szCs w:val="22"/>
              </w:rPr>
            </w:pPr>
            <w:r w:rsidRPr="00BD076C">
              <w:rPr>
                <w:sz w:val="22"/>
                <w:szCs w:val="22"/>
              </w:rPr>
              <w:t>P&lt;0</w:t>
            </w:r>
            <w:r w:rsidR="0057356B">
              <w:rPr>
                <w:sz w:val="22"/>
                <w:szCs w:val="22"/>
              </w:rPr>
              <w:t>.</w:t>
            </w:r>
            <w:r w:rsidRPr="00BD076C">
              <w:rPr>
                <w:sz w:val="22"/>
                <w:szCs w:val="22"/>
              </w:rPr>
              <w:t>001</w:t>
            </w:r>
          </w:p>
        </w:tc>
      </w:tr>
      <w:tr w:rsidR="00A07B24" w:rsidRPr="00DE4F77" w14:paraId="51C957EF" w14:textId="77777777" w:rsidTr="00C24BFA">
        <w:tc>
          <w:tcPr>
            <w:tcW w:w="3544" w:type="dxa"/>
          </w:tcPr>
          <w:p w14:paraId="0A4EA199" w14:textId="3AE9BDAE" w:rsidR="00A07B24" w:rsidRPr="00BD076C" w:rsidRDefault="00E5447B" w:rsidP="00F363B9">
            <w:pPr>
              <w:spacing w:before="120"/>
              <w:rPr>
                <w:sz w:val="22"/>
                <w:szCs w:val="22"/>
              </w:rPr>
            </w:pPr>
            <w:r w:rsidRPr="00BD076C">
              <w:rPr>
                <w:sz w:val="22"/>
                <w:szCs w:val="22"/>
              </w:rPr>
              <w:t xml:space="preserve">  Discharge from the </w:t>
            </w:r>
            <w:r w:rsidR="00293B8F" w:rsidRPr="00BD076C">
              <w:rPr>
                <w:sz w:val="22"/>
                <w:szCs w:val="22"/>
              </w:rPr>
              <w:t>ED</w:t>
            </w:r>
            <w:r w:rsidRPr="00BD076C">
              <w:rPr>
                <w:sz w:val="22"/>
                <w:szCs w:val="22"/>
              </w:rPr>
              <w:t xml:space="preserve"> </w:t>
            </w:r>
            <w:r w:rsidR="00341395">
              <w:rPr>
                <w:sz w:val="22"/>
                <w:szCs w:val="22"/>
              </w:rPr>
              <w:t>(secondary)</w:t>
            </w:r>
          </w:p>
        </w:tc>
        <w:tc>
          <w:tcPr>
            <w:tcW w:w="1539" w:type="dxa"/>
          </w:tcPr>
          <w:p w14:paraId="059A2ED8" w14:textId="77777777" w:rsidR="00A07B24" w:rsidRPr="00BD076C" w:rsidRDefault="00A6056F" w:rsidP="00F363B9">
            <w:pPr>
              <w:spacing w:before="120"/>
              <w:jc w:val="center"/>
              <w:rPr>
                <w:sz w:val="22"/>
                <w:szCs w:val="22"/>
              </w:rPr>
            </w:pPr>
            <w:r>
              <w:rPr>
                <w:sz w:val="22"/>
                <w:szCs w:val="22"/>
              </w:rPr>
              <w:t>19,249</w:t>
            </w:r>
            <w:r w:rsidR="00B15628" w:rsidRPr="00BD076C">
              <w:rPr>
                <w:sz w:val="22"/>
                <w:szCs w:val="22"/>
              </w:rPr>
              <w:t xml:space="preserve"> (</w:t>
            </w:r>
            <w:r>
              <w:rPr>
                <w:sz w:val="22"/>
                <w:szCs w:val="22"/>
              </w:rPr>
              <w:t>61</w:t>
            </w:r>
            <w:r w:rsidR="00B15628" w:rsidRPr="00BD076C">
              <w:rPr>
                <w:sz w:val="22"/>
                <w:szCs w:val="22"/>
              </w:rPr>
              <w:t>)</w:t>
            </w:r>
          </w:p>
        </w:tc>
        <w:tc>
          <w:tcPr>
            <w:tcW w:w="1853" w:type="dxa"/>
          </w:tcPr>
          <w:p w14:paraId="0703DA28" w14:textId="77777777" w:rsidR="00A07B24" w:rsidRPr="00BD076C" w:rsidRDefault="00A6056F" w:rsidP="00F363B9">
            <w:pPr>
              <w:spacing w:before="120"/>
              <w:jc w:val="center"/>
              <w:rPr>
                <w:sz w:val="22"/>
                <w:szCs w:val="22"/>
              </w:rPr>
            </w:pPr>
            <w:r>
              <w:rPr>
                <w:sz w:val="22"/>
                <w:szCs w:val="22"/>
              </w:rPr>
              <w:t>7,407</w:t>
            </w:r>
            <w:r w:rsidR="00B15628" w:rsidRPr="00BD076C">
              <w:rPr>
                <w:sz w:val="22"/>
                <w:szCs w:val="22"/>
              </w:rPr>
              <w:t xml:space="preserve"> (5</w:t>
            </w:r>
            <w:r>
              <w:rPr>
                <w:sz w:val="22"/>
                <w:szCs w:val="22"/>
              </w:rPr>
              <w:t>0</w:t>
            </w:r>
            <w:r w:rsidR="00B15628" w:rsidRPr="00BD076C">
              <w:rPr>
                <w:sz w:val="22"/>
                <w:szCs w:val="22"/>
              </w:rPr>
              <w:t>)</w:t>
            </w:r>
          </w:p>
        </w:tc>
        <w:tc>
          <w:tcPr>
            <w:tcW w:w="1853" w:type="dxa"/>
          </w:tcPr>
          <w:p w14:paraId="39D4E129" w14:textId="77777777" w:rsidR="00A07B24" w:rsidRPr="00BD076C" w:rsidRDefault="00A6056F" w:rsidP="00F363B9">
            <w:pPr>
              <w:spacing w:before="120"/>
              <w:jc w:val="center"/>
              <w:rPr>
                <w:sz w:val="22"/>
                <w:szCs w:val="22"/>
              </w:rPr>
            </w:pPr>
            <w:r>
              <w:rPr>
                <w:sz w:val="22"/>
                <w:szCs w:val="22"/>
              </w:rPr>
              <w:t>11,842</w:t>
            </w:r>
            <w:r w:rsidR="00B15628" w:rsidRPr="00BD076C">
              <w:rPr>
                <w:sz w:val="22"/>
                <w:szCs w:val="22"/>
              </w:rPr>
              <w:t xml:space="preserve"> (</w:t>
            </w:r>
            <w:r>
              <w:rPr>
                <w:sz w:val="22"/>
                <w:szCs w:val="22"/>
              </w:rPr>
              <w:t>71</w:t>
            </w:r>
            <w:r w:rsidR="00B15628" w:rsidRPr="00BD076C">
              <w:rPr>
                <w:sz w:val="22"/>
                <w:szCs w:val="22"/>
              </w:rPr>
              <w:t>)</w:t>
            </w:r>
          </w:p>
        </w:tc>
        <w:tc>
          <w:tcPr>
            <w:tcW w:w="3260" w:type="dxa"/>
          </w:tcPr>
          <w:p w14:paraId="36CEB750" w14:textId="4D6C5194" w:rsidR="00A07B24" w:rsidRPr="00BD076C" w:rsidRDefault="00F363B9" w:rsidP="00F363B9">
            <w:pPr>
              <w:spacing w:before="120"/>
              <w:jc w:val="center"/>
              <w:rPr>
                <w:sz w:val="22"/>
                <w:szCs w:val="22"/>
              </w:rPr>
            </w:pPr>
            <w:r w:rsidRPr="00BD076C">
              <w:rPr>
                <w:sz w:val="22"/>
                <w:szCs w:val="22"/>
              </w:rPr>
              <w:t>1</w:t>
            </w:r>
            <w:r w:rsidR="0057356B">
              <w:rPr>
                <w:sz w:val="22"/>
                <w:szCs w:val="22"/>
              </w:rPr>
              <w:t>.</w:t>
            </w:r>
            <w:r w:rsidRPr="00BD076C">
              <w:rPr>
                <w:sz w:val="22"/>
                <w:szCs w:val="22"/>
              </w:rPr>
              <w:t>5</w:t>
            </w:r>
            <w:r w:rsidR="003F6C00">
              <w:rPr>
                <w:sz w:val="22"/>
                <w:szCs w:val="22"/>
              </w:rPr>
              <w:t>9</w:t>
            </w:r>
            <w:r w:rsidRPr="00BD076C">
              <w:rPr>
                <w:sz w:val="22"/>
                <w:szCs w:val="22"/>
              </w:rPr>
              <w:t xml:space="preserve"> (95% CI 1</w:t>
            </w:r>
            <w:r w:rsidR="0057356B">
              <w:rPr>
                <w:sz w:val="22"/>
                <w:szCs w:val="22"/>
              </w:rPr>
              <w:t>.</w:t>
            </w:r>
            <w:r w:rsidR="00A6056F">
              <w:rPr>
                <w:sz w:val="22"/>
                <w:szCs w:val="22"/>
              </w:rPr>
              <w:t>4</w:t>
            </w:r>
            <w:r w:rsidRPr="00BD076C">
              <w:rPr>
                <w:sz w:val="22"/>
                <w:szCs w:val="22"/>
              </w:rPr>
              <w:t>5 to 1</w:t>
            </w:r>
            <w:r w:rsidR="0057356B">
              <w:rPr>
                <w:sz w:val="22"/>
                <w:szCs w:val="22"/>
              </w:rPr>
              <w:t>.</w:t>
            </w:r>
            <w:r w:rsidR="00A6056F">
              <w:rPr>
                <w:sz w:val="22"/>
                <w:szCs w:val="22"/>
              </w:rPr>
              <w:t>75</w:t>
            </w:r>
            <w:r w:rsidRPr="00BD076C">
              <w:rPr>
                <w:sz w:val="22"/>
                <w:szCs w:val="22"/>
              </w:rPr>
              <w:t>)</w:t>
            </w:r>
          </w:p>
        </w:tc>
        <w:tc>
          <w:tcPr>
            <w:tcW w:w="1134" w:type="dxa"/>
            <w:gridSpan w:val="2"/>
          </w:tcPr>
          <w:p w14:paraId="335B549A" w14:textId="5D4CB29F" w:rsidR="00A07B24" w:rsidRPr="00BD076C" w:rsidRDefault="00F363B9" w:rsidP="00F363B9">
            <w:pPr>
              <w:spacing w:before="120"/>
              <w:jc w:val="center"/>
              <w:rPr>
                <w:sz w:val="22"/>
                <w:szCs w:val="22"/>
              </w:rPr>
            </w:pPr>
            <w:r w:rsidRPr="00BD076C">
              <w:rPr>
                <w:sz w:val="22"/>
                <w:szCs w:val="22"/>
              </w:rPr>
              <w:t>P&lt;0</w:t>
            </w:r>
            <w:r w:rsidR="0057356B">
              <w:rPr>
                <w:sz w:val="22"/>
                <w:szCs w:val="22"/>
              </w:rPr>
              <w:t>.</w:t>
            </w:r>
            <w:r w:rsidRPr="00BD076C">
              <w:rPr>
                <w:sz w:val="22"/>
                <w:szCs w:val="22"/>
              </w:rPr>
              <w:t>001</w:t>
            </w:r>
          </w:p>
        </w:tc>
      </w:tr>
      <w:tr w:rsidR="00293B8F" w:rsidRPr="00DE4F77" w14:paraId="7B129468" w14:textId="77777777" w:rsidTr="00A812FE">
        <w:tc>
          <w:tcPr>
            <w:tcW w:w="13183" w:type="dxa"/>
            <w:gridSpan w:val="7"/>
          </w:tcPr>
          <w:p w14:paraId="343F4A4F" w14:textId="046D1BC8" w:rsidR="00293B8F" w:rsidRPr="00BD076C" w:rsidRDefault="00341395" w:rsidP="00293B8F">
            <w:pPr>
              <w:spacing w:before="120"/>
              <w:rPr>
                <w:sz w:val="22"/>
                <w:szCs w:val="22"/>
              </w:rPr>
            </w:pPr>
            <w:r>
              <w:rPr>
                <w:b/>
                <w:bCs/>
                <w:i/>
                <w:iCs/>
                <w:sz w:val="22"/>
                <w:szCs w:val="22"/>
              </w:rPr>
              <w:t>S</w:t>
            </w:r>
            <w:r w:rsidR="00293B8F" w:rsidRPr="00BD076C">
              <w:rPr>
                <w:b/>
                <w:bCs/>
                <w:i/>
                <w:iCs/>
                <w:sz w:val="22"/>
                <w:szCs w:val="22"/>
              </w:rPr>
              <w:t>afety outcome</w:t>
            </w:r>
            <w:r w:rsidR="001F74D8">
              <w:rPr>
                <w:sz w:val="22"/>
                <w:szCs w:val="22"/>
              </w:rPr>
              <w:t xml:space="preserve"> </w:t>
            </w:r>
            <w:r w:rsidR="00671F4E" w:rsidRPr="00671F4E">
              <w:rPr>
                <w:sz w:val="22"/>
                <w:szCs w:val="22"/>
              </w:rPr>
              <w:t>†</w:t>
            </w:r>
            <w:r w:rsidR="00293B8F" w:rsidRPr="00BD076C">
              <w:rPr>
                <w:b/>
                <w:bCs/>
                <w:i/>
                <w:iCs/>
                <w:sz w:val="22"/>
                <w:szCs w:val="22"/>
              </w:rPr>
              <w:t xml:space="preserve"> </w:t>
            </w:r>
          </w:p>
        </w:tc>
      </w:tr>
      <w:tr w:rsidR="00A07B24" w:rsidRPr="00DE4F77" w14:paraId="30358F1E" w14:textId="77777777" w:rsidTr="00C24BFA">
        <w:tc>
          <w:tcPr>
            <w:tcW w:w="3544" w:type="dxa"/>
          </w:tcPr>
          <w:p w14:paraId="12D46693" w14:textId="4F663660" w:rsidR="00A07B24" w:rsidRPr="00BD076C" w:rsidRDefault="00E5447B" w:rsidP="00B60136">
            <w:pPr>
              <w:spacing w:before="120"/>
              <w:rPr>
                <w:b/>
                <w:i/>
                <w:sz w:val="22"/>
                <w:szCs w:val="22"/>
              </w:rPr>
            </w:pPr>
            <w:r w:rsidRPr="00BD076C">
              <w:rPr>
                <w:sz w:val="22"/>
                <w:szCs w:val="22"/>
              </w:rPr>
              <w:t xml:space="preserve">  30 days</w:t>
            </w:r>
            <w:r w:rsidR="00341395">
              <w:rPr>
                <w:sz w:val="22"/>
                <w:szCs w:val="22"/>
              </w:rPr>
              <w:t xml:space="preserve"> (primary)</w:t>
            </w:r>
            <w:r w:rsidR="00CE07A0">
              <w:rPr>
                <w:sz w:val="22"/>
                <w:szCs w:val="22"/>
              </w:rPr>
              <w:t xml:space="preserve"> </w:t>
            </w:r>
          </w:p>
        </w:tc>
        <w:tc>
          <w:tcPr>
            <w:tcW w:w="1539" w:type="dxa"/>
          </w:tcPr>
          <w:p w14:paraId="796FD490" w14:textId="1B3EB8A8" w:rsidR="00A07B24" w:rsidRPr="00BD076C" w:rsidRDefault="00B15628" w:rsidP="00B60136">
            <w:pPr>
              <w:spacing w:before="120"/>
              <w:jc w:val="center"/>
              <w:rPr>
                <w:sz w:val="22"/>
                <w:szCs w:val="22"/>
              </w:rPr>
            </w:pPr>
            <w:r w:rsidRPr="00BD076C">
              <w:rPr>
                <w:sz w:val="22"/>
                <w:szCs w:val="22"/>
              </w:rPr>
              <w:t>113 (0</w:t>
            </w:r>
            <w:r w:rsidR="0057356B">
              <w:rPr>
                <w:sz w:val="22"/>
                <w:szCs w:val="22"/>
              </w:rPr>
              <w:t>.</w:t>
            </w:r>
            <w:r w:rsidRPr="00BD076C">
              <w:rPr>
                <w:sz w:val="22"/>
                <w:szCs w:val="22"/>
              </w:rPr>
              <w:t>4)</w:t>
            </w:r>
          </w:p>
        </w:tc>
        <w:tc>
          <w:tcPr>
            <w:tcW w:w="1853" w:type="dxa"/>
          </w:tcPr>
          <w:p w14:paraId="523A9D3C" w14:textId="15CB1044" w:rsidR="00A07B24" w:rsidRPr="00BD076C" w:rsidRDefault="00B15628" w:rsidP="00B60136">
            <w:pPr>
              <w:spacing w:before="120"/>
              <w:jc w:val="center"/>
              <w:rPr>
                <w:sz w:val="22"/>
                <w:szCs w:val="22"/>
              </w:rPr>
            </w:pPr>
            <w:r w:rsidRPr="00BD076C">
              <w:rPr>
                <w:sz w:val="22"/>
                <w:szCs w:val="22"/>
              </w:rPr>
              <w:t>57 (0</w:t>
            </w:r>
            <w:r w:rsidR="0057356B">
              <w:rPr>
                <w:sz w:val="22"/>
                <w:szCs w:val="22"/>
              </w:rPr>
              <w:t>.</w:t>
            </w:r>
            <w:r w:rsidRPr="00BD076C">
              <w:rPr>
                <w:sz w:val="22"/>
                <w:szCs w:val="22"/>
              </w:rPr>
              <w:t>4)</w:t>
            </w:r>
          </w:p>
        </w:tc>
        <w:tc>
          <w:tcPr>
            <w:tcW w:w="1853" w:type="dxa"/>
          </w:tcPr>
          <w:p w14:paraId="2DAEE9A1" w14:textId="5105E8AA" w:rsidR="00A07B24" w:rsidRPr="00BD076C" w:rsidRDefault="00B15628" w:rsidP="00B60136">
            <w:pPr>
              <w:spacing w:before="120"/>
              <w:jc w:val="center"/>
              <w:rPr>
                <w:sz w:val="22"/>
                <w:szCs w:val="22"/>
              </w:rPr>
            </w:pPr>
            <w:r w:rsidRPr="00BD076C">
              <w:rPr>
                <w:sz w:val="22"/>
                <w:szCs w:val="22"/>
              </w:rPr>
              <w:t>56 (0</w:t>
            </w:r>
            <w:r w:rsidR="0057356B">
              <w:rPr>
                <w:sz w:val="22"/>
                <w:szCs w:val="22"/>
              </w:rPr>
              <w:t>.</w:t>
            </w:r>
            <w:r w:rsidRPr="00BD076C">
              <w:rPr>
                <w:sz w:val="22"/>
                <w:szCs w:val="22"/>
              </w:rPr>
              <w:t>3)</w:t>
            </w:r>
          </w:p>
        </w:tc>
        <w:tc>
          <w:tcPr>
            <w:tcW w:w="3260" w:type="dxa"/>
          </w:tcPr>
          <w:p w14:paraId="2A458F5F" w14:textId="5DD3B1A5" w:rsidR="00A07B24" w:rsidRPr="00B60136" w:rsidRDefault="00B60136" w:rsidP="00B60136">
            <w:pPr>
              <w:spacing w:before="120"/>
              <w:jc w:val="center"/>
              <w:rPr>
                <w:sz w:val="22"/>
                <w:szCs w:val="22"/>
              </w:rPr>
            </w:pPr>
            <w:r w:rsidRPr="00B60136">
              <w:rPr>
                <w:rFonts w:cs="Arial"/>
                <w:sz w:val="22"/>
                <w:szCs w:val="22"/>
                <w:lang w:val="en-US"/>
              </w:rPr>
              <w:t>1</w:t>
            </w:r>
            <w:r w:rsidR="0057356B">
              <w:rPr>
                <w:rFonts w:cs="Arial"/>
                <w:sz w:val="22"/>
                <w:szCs w:val="22"/>
                <w:lang w:val="en-US"/>
              </w:rPr>
              <w:t>.</w:t>
            </w:r>
            <w:r w:rsidRPr="00B60136">
              <w:rPr>
                <w:rFonts w:cs="Arial"/>
                <w:sz w:val="22"/>
                <w:szCs w:val="22"/>
                <w:lang w:val="en-US"/>
              </w:rPr>
              <w:t>9</w:t>
            </w:r>
            <w:r w:rsidR="008503DA">
              <w:rPr>
                <w:rFonts w:cs="Arial"/>
                <w:sz w:val="22"/>
                <w:szCs w:val="22"/>
                <w:lang w:val="en-US"/>
              </w:rPr>
              <w:t>7</w:t>
            </w:r>
            <w:r w:rsidRPr="00B60136">
              <w:rPr>
                <w:rFonts w:cs="Arial"/>
                <w:sz w:val="22"/>
                <w:szCs w:val="22"/>
                <w:lang w:val="en-US"/>
              </w:rPr>
              <w:t xml:space="preserve"> (95% CI 0</w:t>
            </w:r>
            <w:r w:rsidR="0057356B">
              <w:rPr>
                <w:rFonts w:cs="Arial"/>
                <w:sz w:val="22"/>
                <w:szCs w:val="22"/>
                <w:lang w:val="en-US"/>
              </w:rPr>
              <w:t>.</w:t>
            </w:r>
            <w:r w:rsidRPr="00B60136">
              <w:rPr>
                <w:rFonts w:cs="Arial"/>
                <w:sz w:val="22"/>
                <w:szCs w:val="22"/>
                <w:lang w:val="en-US"/>
              </w:rPr>
              <w:t xml:space="preserve">95 to </w:t>
            </w:r>
            <w:r w:rsidR="008503DA">
              <w:rPr>
                <w:rFonts w:cs="Arial"/>
                <w:sz w:val="22"/>
                <w:szCs w:val="22"/>
                <w:lang w:val="en-US"/>
              </w:rPr>
              <w:t>4</w:t>
            </w:r>
            <w:r w:rsidR="0057356B">
              <w:rPr>
                <w:rFonts w:cs="Arial"/>
                <w:sz w:val="22"/>
                <w:szCs w:val="22"/>
                <w:lang w:val="en-US"/>
              </w:rPr>
              <w:t>.</w:t>
            </w:r>
            <w:r w:rsidR="008503DA">
              <w:rPr>
                <w:rFonts w:cs="Arial"/>
                <w:sz w:val="22"/>
                <w:szCs w:val="22"/>
                <w:lang w:val="en-US"/>
              </w:rPr>
              <w:t>08</w:t>
            </w:r>
            <w:r w:rsidRPr="00B60136">
              <w:rPr>
                <w:rFonts w:cs="Arial"/>
                <w:sz w:val="22"/>
                <w:szCs w:val="22"/>
                <w:lang w:val="en-US"/>
              </w:rPr>
              <w:t>)</w:t>
            </w:r>
          </w:p>
        </w:tc>
        <w:tc>
          <w:tcPr>
            <w:tcW w:w="1134" w:type="dxa"/>
            <w:gridSpan w:val="2"/>
          </w:tcPr>
          <w:p w14:paraId="4999E6BC" w14:textId="0F5DEC24" w:rsidR="00A07B24" w:rsidRPr="00B60136" w:rsidRDefault="00B60136" w:rsidP="00B60136">
            <w:pPr>
              <w:spacing w:before="120"/>
              <w:jc w:val="center"/>
              <w:rPr>
                <w:rFonts w:cs="Arial"/>
                <w:sz w:val="22"/>
                <w:szCs w:val="22"/>
                <w:lang w:val="en-US"/>
              </w:rPr>
            </w:pPr>
            <w:r w:rsidRPr="00B60136">
              <w:rPr>
                <w:rFonts w:cs="Arial"/>
                <w:sz w:val="22"/>
                <w:szCs w:val="22"/>
                <w:lang w:val="en-US"/>
              </w:rPr>
              <w:t>P=0</w:t>
            </w:r>
            <w:r w:rsidR="0057356B">
              <w:rPr>
                <w:rFonts w:cs="Arial"/>
                <w:sz w:val="22"/>
                <w:szCs w:val="22"/>
                <w:lang w:val="en-US"/>
              </w:rPr>
              <w:t>.</w:t>
            </w:r>
            <w:r w:rsidRPr="00B60136">
              <w:rPr>
                <w:rFonts w:cs="Arial"/>
                <w:sz w:val="22"/>
                <w:szCs w:val="22"/>
                <w:lang w:val="en-US"/>
              </w:rPr>
              <w:t>068</w:t>
            </w:r>
            <w:r w:rsidR="00CE07A0">
              <w:rPr>
                <w:rFonts w:cs="Arial"/>
                <w:sz w:val="22"/>
                <w:szCs w:val="22"/>
                <w:lang w:val="en-US"/>
              </w:rPr>
              <w:t xml:space="preserve"> </w:t>
            </w:r>
          </w:p>
        </w:tc>
      </w:tr>
      <w:tr w:rsidR="00B15628" w:rsidRPr="00DE4F77" w14:paraId="61E457CD" w14:textId="77777777" w:rsidTr="00C24BFA">
        <w:tc>
          <w:tcPr>
            <w:tcW w:w="3544" w:type="dxa"/>
          </w:tcPr>
          <w:p w14:paraId="11C03D0E" w14:textId="27591D5D" w:rsidR="00B15628" w:rsidRPr="00BD076C" w:rsidRDefault="00B15628" w:rsidP="00F363B9">
            <w:pPr>
              <w:spacing w:before="120"/>
              <w:rPr>
                <w:sz w:val="22"/>
                <w:szCs w:val="22"/>
              </w:rPr>
            </w:pPr>
            <w:r w:rsidRPr="00BD076C">
              <w:rPr>
                <w:sz w:val="22"/>
                <w:szCs w:val="22"/>
              </w:rPr>
              <w:t xml:space="preserve">  1 year</w:t>
            </w:r>
            <w:r w:rsidR="00341395">
              <w:rPr>
                <w:sz w:val="22"/>
                <w:szCs w:val="22"/>
              </w:rPr>
              <w:t xml:space="preserve"> (secondary)</w:t>
            </w:r>
          </w:p>
        </w:tc>
        <w:tc>
          <w:tcPr>
            <w:tcW w:w="1539" w:type="dxa"/>
          </w:tcPr>
          <w:p w14:paraId="16F2FCAF" w14:textId="1F137CAC" w:rsidR="00B15628" w:rsidRPr="00BD076C" w:rsidRDefault="00B15628" w:rsidP="00F363B9">
            <w:pPr>
              <w:spacing w:before="120"/>
              <w:jc w:val="center"/>
              <w:rPr>
                <w:sz w:val="22"/>
                <w:szCs w:val="22"/>
              </w:rPr>
            </w:pPr>
            <w:r w:rsidRPr="00BD076C">
              <w:rPr>
                <w:sz w:val="22"/>
                <w:szCs w:val="22"/>
              </w:rPr>
              <w:t>703 (2</w:t>
            </w:r>
            <w:r w:rsidR="0057356B">
              <w:rPr>
                <w:sz w:val="22"/>
                <w:szCs w:val="22"/>
              </w:rPr>
              <w:t>.</w:t>
            </w:r>
            <w:r w:rsidRPr="00BD076C">
              <w:rPr>
                <w:sz w:val="22"/>
                <w:szCs w:val="22"/>
              </w:rPr>
              <w:t>2)</w:t>
            </w:r>
          </w:p>
        </w:tc>
        <w:tc>
          <w:tcPr>
            <w:tcW w:w="1853" w:type="dxa"/>
          </w:tcPr>
          <w:p w14:paraId="02D47AB4" w14:textId="7A814578" w:rsidR="00B15628" w:rsidRPr="00BD076C" w:rsidRDefault="00B15628" w:rsidP="00F363B9">
            <w:pPr>
              <w:spacing w:before="120"/>
              <w:jc w:val="center"/>
              <w:rPr>
                <w:sz w:val="22"/>
                <w:szCs w:val="22"/>
              </w:rPr>
            </w:pPr>
            <w:r w:rsidRPr="00BD076C">
              <w:rPr>
                <w:sz w:val="22"/>
                <w:szCs w:val="22"/>
              </w:rPr>
              <w:t>396 (2</w:t>
            </w:r>
            <w:r w:rsidR="0057356B">
              <w:rPr>
                <w:sz w:val="22"/>
                <w:szCs w:val="22"/>
              </w:rPr>
              <w:t>.</w:t>
            </w:r>
            <w:r w:rsidRPr="00BD076C">
              <w:rPr>
                <w:sz w:val="22"/>
                <w:szCs w:val="22"/>
              </w:rPr>
              <w:t>7)</w:t>
            </w:r>
          </w:p>
        </w:tc>
        <w:tc>
          <w:tcPr>
            <w:tcW w:w="1853" w:type="dxa"/>
          </w:tcPr>
          <w:p w14:paraId="2C73F68D" w14:textId="263EE0F7" w:rsidR="00B15628" w:rsidRPr="00BD076C" w:rsidRDefault="00B15628" w:rsidP="00F363B9">
            <w:pPr>
              <w:spacing w:before="120"/>
              <w:jc w:val="center"/>
              <w:rPr>
                <w:sz w:val="22"/>
                <w:szCs w:val="22"/>
              </w:rPr>
            </w:pPr>
            <w:r w:rsidRPr="00BD076C">
              <w:rPr>
                <w:sz w:val="22"/>
                <w:szCs w:val="22"/>
              </w:rPr>
              <w:t>307 (1</w:t>
            </w:r>
            <w:r w:rsidR="0057356B">
              <w:rPr>
                <w:sz w:val="22"/>
                <w:szCs w:val="22"/>
              </w:rPr>
              <w:t>.</w:t>
            </w:r>
            <w:r w:rsidRPr="00BD076C">
              <w:rPr>
                <w:sz w:val="22"/>
                <w:szCs w:val="22"/>
              </w:rPr>
              <w:t>8)</w:t>
            </w:r>
          </w:p>
        </w:tc>
        <w:tc>
          <w:tcPr>
            <w:tcW w:w="3260" w:type="dxa"/>
          </w:tcPr>
          <w:p w14:paraId="77C64AAD" w14:textId="3B1B01FB" w:rsidR="00B15628" w:rsidRPr="00BD076C" w:rsidRDefault="00F363B9" w:rsidP="00F363B9">
            <w:pPr>
              <w:spacing w:before="120"/>
              <w:jc w:val="center"/>
              <w:rPr>
                <w:sz w:val="22"/>
                <w:szCs w:val="22"/>
              </w:rPr>
            </w:pPr>
            <w:r w:rsidRPr="00BD076C">
              <w:rPr>
                <w:sz w:val="22"/>
                <w:szCs w:val="22"/>
              </w:rPr>
              <w:t>1</w:t>
            </w:r>
            <w:r w:rsidR="0057356B">
              <w:rPr>
                <w:sz w:val="22"/>
                <w:szCs w:val="22"/>
              </w:rPr>
              <w:t>.</w:t>
            </w:r>
            <w:r w:rsidRPr="00BD076C">
              <w:rPr>
                <w:sz w:val="22"/>
                <w:szCs w:val="22"/>
              </w:rPr>
              <w:t>02 (</w:t>
            </w:r>
            <w:r w:rsidR="00B60136">
              <w:rPr>
                <w:sz w:val="22"/>
                <w:szCs w:val="22"/>
              </w:rPr>
              <w:t xml:space="preserve">95% CI </w:t>
            </w:r>
            <w:r w:rsidRPr="00BD076C">
              <w:rPr>
                <w:sz w:val="22"/>
                <w:szCs w:val="22"/>
              </w:rPr>
              <w:t>0</w:t>
            </w:r>
            <w:r w:rsidR="0057356B">
              <w:rPr>
                <w:sz w:val="22"/>
                <w:szCs w:val="22"/>
              </w:rPr>
              <w:t>.</w:t>
            </w:r>
            <w:r w:rsidRPr="00BD076C">
              <w:rPr>
                <w:sz w:val="22"/>
                <w:szCs w:val="22"/>
              </w:rPr>
              <w:t>74 to 1</w:t>
            </w:r>
            <w:r w:rsidR="0057356B">
              <w:rPr>
                <w:sz w:val="22"/>
                <w:szCs w:val="22"/>
              </w:rPr>
              <w:t>.</w:t>
            </w:r>
            <w:r w:rsidRPr="00BD076C">
              <w:rPr>
                <w:sz w:val="22"/>
                <w:szCs w:val="22"/>
              </w:rPr>
              <w:t>4</w:t>
            </w:r>
            <w:r w:rsidR="00B60136">
              <w:rPr>
                <w:sz w:val="22"/>
                <w:szCs w:val="22"/>
              </w:rPr>
              <w:t>0</w:t>
            </w:r>
            <w:r w:rsidRPr="00BD076C">
              <w:rPr>
                <w:sz w:val="22"/>
                <w:szCs w:val="22"/>
              </w:rPr>
              <w:t>)</w:t>
            </w:r>
          </w:p>
        </w:tc>
        <w:tc>
          <w:tcPr>
            <w:tcW w:w="1134" w:type="dxa"/>
            <w:gridSpan w:val="2"/>
          </w:tcPr>
          <w:p w14:paraId="0D2BBC52" w14:textId="10992062" w:rsidR="00B15628" w:rsidRPr="00BD076C" w:rsidRDefault="00F363B9" w:rsidP="00F363B9">
            <w:pPr>
              <w:spacing w:before="120"/>
              <w:jc w:val="center"/>
              <w:rPr>
                <w:sz w:val="22"/>
                <w:szCs w:val="22"/>
              </w:rPr>
            </w:pPr>
            <w:r w:rsidRPr="00BD076C">
              <w:rPr>
                <w:sz w:val="22"/>
                <w:szCs w:val="22"/>
              </w:rPr>
              <w:t>P=0</w:t>
            </w:r>
            <w:r w:rsidR="0057356B">
              <w:rPr>
                <w:sz w:val="22"/>
                <w:szCs w:val="22"/>
              </w:rPr>
              <w:t>.</w:t>
            </w:r>
            <w:r w:rsidRPr="00BD076C">
              <w:rPr>
                <w:sz w:val="22"/>
                <w:szCs w:val="22"/>
              </w:rPr>
              <w:t>894</w:t>
            </w:r>
          </w:p>
        </w:tc>
      </w:tr>
      <w:tr w:rsidR="00293B8F" w:rsidRPr="00DE4F77" w14:paraId="4B41860E" w14:textId="77777777" w:rsidTr="00A812FE">
        <w:tc>
          <w:tcPr>
            <w:tcW w:w="13183" w:type="dxa"/>
            <w:gridSpan w:val="7"/>
          </w:tcPr>
          <w:p w14:paraId="10092E4A" w14:textId="56C61889" w:rsidR="00293B8F" w:rsidRPr="00BD076C" w:rsidRDefault="00341395" w:rsidP="00293B8F">
            <w:pPr>
              <w:spacing w:before="120"/>
              <w:rPr>
                <w:sz w:val="22"/>
                <w:szCs w:val="22"/>
              </w:rPr>
            </w:pPr>
            <w:r>
              <w:rPr>
                <w:b/>
                <w:bCs/>
                <w:i/>
                <w:iCs/>
                <w:sz w:val="22"/>
                <w:szCs w:val="22"/>
              </w:rPr>
              <w:t>Other</w:t>
            </w:r>
            <w:r w:rsidR="00293B8F" w:rsidRPr="00BD076C">
              <w:rPr>
                <w:b/>
                <w:bCs/>
                <w:i/>
                <w:iCs/>
                <w:sz w:val="22"/>
                <w:szCs w:val="22"/>
              </w:rPr>
              <w:t xml:space="preserve"> safety outcomes at 1 year</w:t>
            </w:r>
            <w:r w:rsidR="00293B8F" w:rsidRPr="00BD076C">
              <w:rPr>
                <w:sz w:val="22"/>
                <w:szCs w:val="22"/>
              </w:rPr>
              <w:t xml:space="preserve"> </w:t>
            </w:r>
          </w:p>
        </w:tc>
      </w:tr>
      <w:tr w:rsidR="00A07B24" w:rsidRPr="00DE4F77" w14:paraId="6F936F1B" w14:textId="77777777" w:rsidTr="00C24BFA">
        <w:tc>
          <w:tcPr>
            <w:tcW w:w="3544" w:type="dxa"/>
          </w:tcPr>
          <w:p w14:paraId="2BC09144" w14:textId="57408EC8" w:rsidR="00A07B24" w:rsidRPr="00BD076C" w:rsidRDefault="00E5447B" w:rsidP="00F363B9">
            <w:pPr>
              <w:spacing w:before="120"/>
              <w:rPr>
                <w:sz w:val="22"/>
                <w:szCs w:val="22"/>
              </w:rPr>
            </w:pPr>
            <w:r w:rsidRPr="00BD076C">
              <w:rPr>
                <w:sz w:val="22"/>
                <w:szCs w:val="22"/>
              </w:rPr>
              <w:t xml:space="preserve">  Myocardial infarction</w:t>
            </w:r>
            <w:r w:rsidR="00CE07A0">
              <w:rPr>
                <w:sz w:val="22"/>
                <w:szCs w:val="22"/>
              </w:rPr>
              <w:t xml:space="preserve"> </w:t>
            </w:r>
            <w:r w:rsidR="00671F4E" w:rsidRPr="00671F4E">
              <w:rPr>
                <w:sz w:val="22"/>
                <w:szCs w:val="22"/>
              </w:rPr>
              <w:t>‡</w:t>
            </w:r>
          </w:p>
        </w:tc>
        <w:tc>
          <w:tcPr>
            <w:tcW w:w="1539" w:type="dxa"/>
          </w:tcPr>
          <w:p w14:paraId="1591B0CD" w14:textId="781C189E" w:rsidR="00A07B24" w:rsidRPr="00BD076C" w:rsidRDefault="00417647" w:rsidP="00F363B9">
            <w:pPr>
              <w:spacing w:before="120"/>
              <w:jc w:val="center"/>
              <w:rPr>
                <w:sz w:val="22"/>
                <w:szCs w:val="22"/>
              </w:rPr>
            </w:pPr>
            <w:r w:rsidRPr="00BD076C">
              <w:rPr>
                <w:sz w:val="22"/>
                <w:szCs w:val="22"/>
              </w:rPr>
              <w:t>422 (1</w:t>
            </w:r>
            <w:r w:rsidR="0057356B">
              <w:rPr>
                <w:sz w:val="22"/>
                <w:szCs w:val="22"/>
              </w:rPr>
              <w:t>.</w:t>
            </w:r>
            <w:r w:rsidRPr="00BD076C">
              <w:rPr>
                <w:sz w:val="22"/>
                <w:szCs w:val="22"/>
              </w:rPr>
              <w:t>3)</w:t>
            </w:r>
          </w:p>
        </w:tc>
        <w:tc>
          <w:tcPr>
            <w:tcW w:w="1853" w:type="dxa"/>
          </w:tcPr>
          <w:p w14:paraId="11386CCF" w14:textId="5C0880D5" w:rsidR="00A07B24" w:rsidRPr="00BD076C" w:rsidRDefault="00417647" w:rsidP="00F363B9">
            <w:pPr>
              <w:spacing w:before="120"/>
              <w:jc w:val="center"/>
              <w:rPr>
                <w:sz w:val="22"/>
                <w:szCs w:val="22"/>
              </w:rPr>
            </w:pPr>
            <w:r w:rsidRPr="00BD076C">
              <w:rPr>
                <w:sz w:val="22"/>
                <w:szCs w:val="22"/>
              </w:rPr>
              <w:t>238 (1</w:t>
            </w:r>
            <w:r w:rsidR="0057356B">
              <w:rPr>
                <w:sz w:val="22"/>
                <w:szCs w:val="22"/>
              </w:rPr>
              <w:t>.</w:t>
            </w:r>
            <w:r w:rsidRPr="00BD076C">
              <w:rPr>
                <w:sz w:val="22"/>
                <w:szCs w:val="22"/>
              </w:rPr>
              <w:t>6)</w:t>
            </w:r>
          </w:p>
        </w:tc>
        <w:tc>
          <w:tcPr>
            <w:tcW w:w="1853" w:type="dxa"/>
          </w:tcPr>
          <w:p w14:paraId="3CB30DDA" w14:textId="2B7DC797" w:rsidR="00A07B24" w:rsidRPr="00BD076C" w:rsidRDefault="00417647" w:rsidP="00F363B9">
            <w:pPr>
              <w:spacing w:before="120"/>
              <w:jc w:val="center"/>
              <w:rPr>
                <w:sz w:val="22"/>
                <w:szCs w:val="22"/>
              </w:rPr>
            </w:pPr>
            <w:r w:rsidRPr="00BD076C">
              <w:rPr>
                <w:sz w:val="22"/>
                <w:szCs w:val="22"/>
              </w:rPr>
              <w:t>184 (1</w:t>
            </w:r>
            <w:r w:rsidR="0057356B">
              <w:rPr>
                <w:sz w:val="22"/>
                <w:szCs w:val="22"/>
              </w:rPr>
              <w:t>.</w:t>
            </w:r>
            <w:r w:rsidRPr="00BD076C">
              <w:rPr>
                <w:sz w:val="22"/>
                <w:szCs w:val="22"/>
              </w:rPr>
              <w:t>1)</w:t>
            </w:r>
          </w:p>
        </w:tc>
        <w:tc>
          <w:tcPr>
            <w:tcW w:w="3260" w:type="dxa"/>
          </w:tcPr>
          <w:p w14:paraId="3C273711" w14:textId="46B24750" w:rsidR="00A07B24" w:rsidRPr="00BD076C" w:rsidRDefault="00F363B9" w:rsidP="00F363B9">
            <w:pPr>
              <w:spacing w:before="120"/>
              <w:jc w:val="center"/>
              <w:rPr>
                <w:sz w:val="22"/>
                <w:szCs w:val="22"/>
              </w:rPr>
            </w:pPr>
            <w:r w:rsidRPr="00BD076C">
              <w:rPr>
                <w:sz w:val="22"/>
                <w:szCs w:val="22"/>
              </w:rPr>
              <w:t>1</w:t>
            </w:r>
            <w:r w:rsidR="0057356B">
              <w:rPr>
                <w:sz w:val="22"/>
                <w:szCs w:val="22"/>
              </w:rPr>
              <w:t>.</w:t>
            </w:r>
            <w:r w:rsidRPr="00BD076C">
              <w:rPr>
                <w:sz w:val="22"/>
                <w:szCs w:val="22"/>
              </w:rPr>
              <w:t>10 (95% CI 0</w:t>
            </w:r>
            <w:r w:rsidR="0057356B">
              <w:rPr>
                <w:sz w:val="22"/>
                <w:szCs w:val="22"/>
              </w:rPr>
              <w:t>.</w:t>
            </w:r>
            <w:r w:rsidRPr="00BD076C">
              <w:rPr>
                <w:sz w:val="22"/>
                <w:szCs w:val="22"/>
              </w:rPr>
              <w:t>72 to 1</w:t>
            </w:r>
            <w:r w:rsidR="0057356B">
              <w:rPr>
                <w:sz w:val="22"/>
                <w:szCs w:val="22"/>
              </w:rPr>
              <w:t>.</w:t>
            </w:r>
            <w:r w:rsidRPr="00BD076C">
              <w:rPr>
                <w:sz w:val="22"/>
                <w:szCs w:val="22"/>
              </w:rPr>
              <w:t>68)</w:t>
            </w:r>
          </w:p>
        </w:tc>
        <w:tc>
          <w:tcPr>
            <w:tcW w:w="1134" w:type="dxa"/>
            <w:gridSpan w:val="2"/>
          </w:tcPr>
          <w:p w14:paraId="47785CF8" w14:textId="3E1B788B" w:rsidR="00A07B24" w:rsidRPr="00BD076C" w:rsidRDefault="00F363B9" w:rsidP="00F363B9">
            <w:pPr>
              <w:spacing w:before="120"/>
              <w:jc w:val="center"/>
              <w:rPr>
                <w:sz w:val="22"/>
                <w:szCs w:val="22"/>
              </w:rPr>
            </w:pPr>
            <w:r w:rsidRPr="00BD076C">
              <w:rPr>
                <w:sz w:val="22"/>
                <w:szCs w:val="22"/>
              </w:rPr>
              <w:t>P=0</w:t>
            </w:r>
            <w:r w:rsidR="0057356B">
              <w:rPr>
                <w:sz w:val="22"/>
                <w:szCs w:val="22"/>
              </w:rPr>
              <w:t>.</w:t>
            </w:r>
            <w:r w:rsidRPr="00BD076C">
              <w:rPr>
                <w:sz w:val="22"/>
                <w:szCs w:val="22"/>
              </w:rPr>
              <w:t>646</w:t>
            </w:r>
          </w:p>
        </w:tc>
      </w:tr>
      <w:tr w:rsidR="00A07B24" w:rsidRPr="00DE4F77" w14:paraId="4DCCF1C3" w14:textId="77777777" w:rsidTr="00C24BFA">
        <w:tc>
          <w:tcPr>
            <w:tcW w:w="3544" w:type="dxa"/>
          </w:tcPr>
          <w:p w14:paraId="061A56EC" w14:textId="77777777" w:rsidR="00A07B24" w:rsidRPr="00BD076C" w:rsidRDefault="00E5447B" w:rsidP="00F363B9">
            <w:pPr>
              <w:spacing w:before="120"/>
              <w:rPr>
                <w:sz w:val="22"/>
                <w:szCs w:val="22"/>
              </w:rPr>
            </w:pPr>
            <w:r w:rsidRPr="00BD076C">
              <w:rPr>
                <w:sz w:val="22"/>
                <w:szCs w:val="22"/>
              </w:rPr>
              <w:t xml:space="preserve">  Cardiac death</w:t>
            </w:r>
          </w:p>
        </w:tc>
        <w:tc>
          <w:tcPr>
            <w:tcW w:w="1539" w:type="dxa"/>
          </w:tcPr>
          <w:p w14:paraId="3B8555CE" w14:textId="0B446C8B" w:rsidR="00A07B24" w:rsidRPr="00BD076C" w:rsidRDefault="00417647" w:rsidP="00F363B9">
            <w:pPr>
              <w:spacing w:before="120"/>
              <w:jc w:val="center"/>
              <w:rPr>
                <w:sz w:val="22"/>
                <w:szCs w:val="22"/>
              </w:rPr>
            </w:pPr>
            <w:r w:rsidRPr="00BD076C">
              <w:rPr>
                <w:sz w:val="22"/>
                <w:szCs w:val="22"/>
              </w:rPr>
              <w:t>319 (1</w:t>
            </w:r>
            <w:r w:rsidR="0057356B">
              <w:rPr>
                <w:sz w:val="22"/>
                <w:szCs w:val="22"/>
              </w:rPr>
              <w:t>.</w:t>
            </w:r>
            <w:r w:rsidRPr="00BD076C">
              <w:rPr>
                <w:sz w:val="22"/>
                <w:szCs w:val="22"/>
              </w:rPr>
              <w:t>0)</w:t>
            </w:r>
          </w:p>
        </w:tc>
        <w:tc>
          <w:tcPr>
            <w:tcW w:w="1853" w:type="dxa"/>
          </w:tcPr>
          <w:p w14:paraId="053990EA" w14:textId="6331FE5B" w:rsidR="00A07B24" w:rsidRPr="00BD076C" w:rsidRDefault="00417647" w:rsidP="00F363B9">
            <w:pPr>
              <w:spacing w:before="120"/>
              <w:jc w:val="center"/>
              <w:rPr>
                <w:sz w:val="22"/>
                <w:szCs w:val="22"/>
              </w:rPr>
            </w:pPr>
            <w:r w:rsidRPr="00BD076C">
              <w:rPr>
                <w:sz w:val="22"/>
                <w:szCs w:val="22"/>
              </w:rPr>
              <w:t>176 (1</w:t>
            </w:r>
            <w:r w:rsidR="0057356B">
              <w:rPr>
                <w:sz w:val="22"/>
                <w:szCs w:val="22"/>
              </w:rPr>
              <w:t>.</w:t>
            </w:r>
            <w:r w:rsidRPr="00BD076C">
              <w:rPr>
                <w:sz w:val="22"/>
                <w:szCs w:val="22"/>
              </w:rPr>
              <w:t>2)</w:t>
            </w:r>
          </w:p>
        </w:tc>
        <w:tc>
          <w:tcPr>
            <w:tcW w:w="1853" w:type="dxa"/>
          </w:tcPr>
          <w:p w14:paraId="0C7902A7" w14:textId="334F7170" w:rsidR="00A07B24" w:rsidRPr="00BD076C" w:rsidRDefault="00417647" w:rsidP="00F363B9">
            <w:pPr>
              <w:spacing w:before="120"/>
              <w:jc w:val="center"/>
              <w:rPr>
                <w:sz w:val="22"/>
                <w:szCs w:val="22"/>
              </w:rPr>
            </w:pPr>
            <w:r w:rsidRPr="00BD076C">
              <w:rPr>
                <w:sz w:val="22"/>
                <w:szCs w:val="22"/>
              </w:rPr>
              <w:t>143 (0</w:t>
            </w:r>
            <w:r w:rsidR="0057356B">
              <w:rPr>
                <w:sz w:val="22"/>
                <w:szCs w:val="22"/>
              </w:rPr>
              <w:t>.</w:t>
            </w:r>
            <w:r w:rsidRPr="00BD076C">
              <w:rPr>
                <w:sz w:val="22"/>
                <w:szCs w:val="22"/>
              </w:rPr>
              <w:t>9)</w:t>
            </w:r>
          </w:p>
        </w:tc>
        <w:tc>
          <w:tcPr>
            <w:tcW w:w="3260" w:type="dxa"/>
          </w:tcPr>
          <w:p w14:paraId="19678980" w14:textId="49FB33AB" w:rsidR="00A07B24" w:rsidRPr="00BD076C" w:rsidRDefault="00293B8F" w:rsidP="00F363B9">
            <w:pPr>
              <w:spacing w:before="120"/>
              <w:jc w:val="center"/>
              <w:rPr>
                <w:sz w:val="22"/>
                <w:szCs w:val="22"/>
              </w:rPr>
            </w:pPr>
            <w:r w:rsidRPr="00BD076C">
              <w:rPr>
                <w:sz w:val="22"/>
                <w:szCs w:val="22"/>
              </w:rPr>
              <w:t>1</w:t>
            </w:r>
            <w:r w:rsidR="0057356B">
              <w:rPr>
                <w:sz w:val="22"/>
                <w:szCs w:val="22"/>
              </w:rPr>
              <w:t>.</w:t>
            </w:r>
            <w:r w:rsidRPr="00BD076C">
              <w:rPr>
                <w:sz w:val="22"/>
                <w:szCs w:val="22"/>
              </w:rPr>
              <w:t>07 (95% CI 0</w:t>
            </w:r>
            <w:r w:rsidR="0057356B">
              <w:rPr>
                <w:sz w:val="22"/>
                <w:szCs w:val="22"/>
              </w:rPr>
              <w:t>.</w:t>
            </w:r>
            <w:r w:rsidRPr="00BD076C">
              <w:rPr>
                <w:sz w:val="22"/>
                <w:szCs w:val="22"/>
              </w:rPr>
              <w:t>69 to 1</w:t>
            </w:r>
            <w:r w:rsidR="0057356B">
              <w:rPr>
                <w:sz w:val="22"/>
                <w:szCs w:val="22"/>
              </w:rPr>
              <w:t>.</w:t>
            </w:r>
            <w:r w:rsidRPr="00BD076C">
              <w:rPr>
                <w:sz w:val="22"/>
                <w:szCs w:val="22"/>
              </w:rPr>
              <w:t>64)</w:t>
            </w:r>
          </w:p>
        </w:tc>
        <w:tc>
          <w:tcPr>
            <w:tcW w:w="1134" w:type="dxa"/>
            <w:gridSpan w:val="2"/>
          </w:tcPr>
          <w:p w14:paraId="3412BC42" w14:textId="45C19203" w:rsidR="00A07B24" w:rsidRPr="00BD076C" w:rsidRDefault="00293B8F" w:rsidP="00F363B9">
            <w:pPr>
              <w:spacing w:before="120"/>
              <w:jc w:val="center"/>
              <w:rPr>
                <w:sz w:val="22"/>
                <w:szCs w:val="22"/>
              </w:rPr>
            </w:pPr>
            <w:r w:rsidRPr="00BD076C">
              <w:rPr>
                <w:sz w:val="22"/>
                <w:szCs w:val="22"/>
              </w:rPr>
              <w:t>P=0</w:t>
            </w:r>
            <w:r w:rsidR="0057356B">
              <w:rPr>
                <w:sz w:val="22"/>
                <w:szCs w:val="22"/>
              </w:rPr>
              <w:t>.</w:t>
            </w:r>
            <w:r w:rsidRPr="00BD076C">
              <w:rPr>
                <w:sz w:val="22"/>
                <w:szCs w:val="22"/>
              </w:rPr>
              <w:t>771</w:t>
            </w:r>
          </w:p>
        </w:tc>
      </w:tr>
      <w:tr w:rsidR="00417647" w:rsidRPr="00DE4F77" w14:paraId="47EDF683" w14:textId="77777777" w:rsidTr="00C24BFA">
        <w:tc>
          <w:tcPr>
            <w:tcW w:w="3544" w:type="dxa"/>
          </w:tcPr>
          <w:p w14:paraId="4A63B21C" w14:textId="77777777" w:rsidR="00417647" w:rsidRPr="00BD076C" w:rsidRDefault="00417647" w:rsidP="00F363B9">
            <w:pPr>
              <w:spacing w:before="120"/>
              <w:rPr>
                <w:sz w:val="22"/>
                <w:szCs w:val="22"/>
              </w:rPr>
            </w:pPr>
            <w:r w:rsidRPr="00BD076C">
              <w:rPr>
                <w:sz w:val="22"/>
                <w:szCs w:val="22"/>
              </w:rPr>
              <w:t xml:space="preserve">  Cardiovascular death </w:t>
            </w:r>
          </w:p>
        </w:tc>
        <w:tc>
          <w:tcPr>
            <w:tcW w:w="1539" w:type="dxa"/>
          </w:tcPr>
          <w:p w14:paraId="6DB4C811" w14:textId="06B63BBF" w:rsidR="00417647" w:rsidRPr="00BD076C" w:rsidRDefault="00417647" w:rsidP="00F363B9">
            <w:pPr>
              <w:spacing w:before="120"/>
              <w:jc w:val="center"/>
              <w:rPr>
                <w:sz w:val="22"/>
                <w:szCs w:val="22"/>
              </w:rPr>
            </w:pPr>
            <w:r w:rsidRPr="00BD076C">
              <w:rPr>
                <w:sz w:val="22"/>
                <w:szCs w:val="22"/>
              </w:rPr>
              <w:t>452 (1</w:t>
            </w:r>
            <w:r w:rsidR="0057356B">
              <w:rPr>
                <w:sz w:val="22"/>
                <w:szCs w:val="22"/>
              </w:rPr>
              <w:t>.</w:t>
            </w:r>
            <w:r w:rsidRPr="00BD076C">
              <w:rPr>
                <w:sz w:val="22"/>
                <w:szCs w:val="22"/>
              </w:rPr>
              <w:t>4)</w:t>
            </w:r>
          </w:p>
        </w:tc>
        <w:tc>
          <w:tcPr>
            <w:tcW w:w="1853" w:type="dxa"/>
          </w:tcPr>
          <w:p w14:paraId="4B6C2398" w14:textId="6D877DE5" w:rsidR="00417647" w:rsidRPr="00BD076C" w:rsidRDefault="00417647" w:rsidP="00F363B9">
            <w:pPr>
              <w:spacing w:before="120"/>
              <w:jc w:val="center"/>
              <w:rPr>
                <w:sz w:val="22"/>
                <w:szCs w:val="22"/>
              </w:rPr>
            </w:pPr>
            <w:r w:rsidRPr="00BD076C">
              <w:rPr>
                <w:sz w:val="22"/>
                <w:szCs w:val="22"/>
              </w:rPr>
              <w:t>249 (1</w:t>
            </w:r>
            <w:r w:rsidR="0057356B">
              <w:rPr>
                <w:sz w:val="22"/>
                <w:szCs w:val="22"/>
              </w:rPr>
              <w:t>.</w:t>
            </w:r>
            <w:r w:rsidRPr="00BD076C">
              <w:rPr>
                <w:sz w:val="22"/>
                <w:szCs w:val="22"/>
              </w:rPr>
              <w:t>7)</w:t>
            </w:r>
          </w:p>
        </w:tc>
        <w:tc>
          <w:tcPr>
            <w:tcW w:w="1853" w:type="dxa"/>
          </w:tcPr>
          <w:p w14:paraId="0E9E5BF5" w14:textId="4B55A281" w:rsidR="00417647" w:rsidRPr="00BD076C" w:rsidRDefault="00417647" w:rsidP="00F363B9">
            <w:pPr>
              <w:spacing w:before="120"/>
              <w:jc w:val="center"/>
              <w:rPr>
                <w:sz w:val="22"/>
                <w:szCs w:val="22"/>
              </w:rPr>
            </w:pPr>
            <w:r w:rsidRPr="00BD076C">
              <w:rPr>
                <w:sz w:val="22"/>
                <w:szCs w:val="22"/>
              </w:rPr>
              <w:t>203 (1</w:t>
            </w:r>
            <w:r w:rsidR="0057356B">
              <w:rPr>
                <w:sz w:val="22"/>
                <w:szCs w:val="22"/>
              </w:rPr>
              <w:t>.</w:t>
            </w:r>
            <w:r w:rsidRPr="00BD076C">
              <w:rPr>
                <w:sz w:val="22"/>
                <w:szCs w:val="22"/>
              </w:rPr>
              <w:t>2)</w:t>
            </w:r>
          </w:p>
        </w:tc>
        <w:tc>
          <w:tcPr>
            <w:tcW w:w="3260" w:type="dxa"/>
          </w:tcPr>
          <w:p w14:paraId="6C3A8265" w14:textId="2555C3CA" w:rsidR="00417647" w:rsidRPr="00BD076C" w:rsidRDefault="00293B8F" w:rsidP="00F363B9">
            <w:pPr>
              <w:spacing w:before="120"/>
              <w:jc w:val="center"/>
              <w:rPr>
                <w:sz w:val="22"/>
                <w:szCs w:val="22"/>
              </w:rPr>
            </w:pPr>
            <w:r w:rsidRPr="00BD076C">
              <w:rPr>
                <w:sz w:val="22"/>
                <w:szCs w:val="22"/>
              </w:rPr>
              <w:t>0</w:t>
            </w:r>
            <w:r w:rsidR="0057356B">
              <w:rPr>
                <w:sz w:val="22"/>
                <w:szCs w:val="22"/>
              </w:rPr>
              <w:t>.</w:t>
            </w:r>
            <w:r w:rsidRPr="00BD076C">
              <w:rPr>
                <w:sz w:val="22"/>
                <w:szCs w:val="22"/>
              </w:rPr>
              <w:t>93 (95% CI 0</w:t>
            </w:r>
            <w:r w:rsidR="0057356B">
              <w:rPr>
                <w:sz w:val="22"/>
                <w:szCs w:val="22"/>
              </w:rPr>
              <w:t>.</w:t>
            </w:r>
            <w:r w:rsidRPr="00BD076C">
              <w:rPr>
                <w:sz w:val="22"/>
                <w:szCs w:val="22"/>
              </w:rPr>
              <w:t>66 to 1</w:t>
            </w:r>
            <w:r w:rsidR="0057356B">
              <w:rPr>
                <w:sz w:val="22"/>
                <w:szCs w:val="22"/>
              </w:rPr>
              <w:t>.</w:t>
            </w:r>
            <w:r w:rsidRPr="00BD076C">
              <w:rPr>
                <w:sz w:val="22"/>
                <w:szCs w:val="22"/>
              </w:rPr>
              <w:t>32)</w:t>
            </w:r>
          </w:p>
        </w:tc>
        <w:tc>
          <w:tcPr>
            <w:tcW w:w="1134" w:type="dxa"/>
            <w:gridSpan w:val="2"/>
          </w:tcPr>
          <w:p w14:paraId="1BA945F8" w14:textId="7DB8251C" w:rsidR="00417647" w:rsidRPr="00BD076C" w:rsidRDefault="00293B8F" w:rsidP="00F363B9">
            <w:pPr>
              <w:spacing w:before="120"/>
              <w:jc w:val="center"/>
              <w:rPr>
                <w:sz w:val="22"/>
                <w:szCs w:val="22"/>
              </w:rPr>
            </w:pPr>
            <w:r w:rsidRPr="00BD076C">
              <w:rPr>
                <w:sz w:val="22"/>
                <w:szCs w:val="22"/>
              </w:rPr>
              <w:t>P=0</w:t>
            </w:r>
            <w:r w:rsidR="0057356B">
              <w:rPr>
                <w:sz w:val="22"/>
                <w:szCs w:val="22"/>
              </w:rPr>
              <w:t>.</w:t>
            </w:r>
            <w:r w:rsidRPr="00BD076C">
              <w:rPr>
                <w:sz w:val="22"/>
                <w:szCs w:val="22"/>
              </w:rPr>
              <w:t>69</w:t>
            </w:r>
            <w:r w:rsidR="00007497">
              <w:rPr>
                <w:sz w:val="22"/>
                <w:szCs w:val="22"/>
              </w:rPr>
              <w:t>6</w:t>
            </w:r>
          </w:p>
        </w:tc>
      </w:tr>
      <w:tr w:rsidR="00A07B24" w:rsidRPr="00DE4F77" w14:paraId="61707187" w14:textId="77777777" w:rsidTr="00C24BFA">
        <w:tc>
          <w:tcPr>
            <w:tcW w:w="3544" w:type="dxa"/>
          </w:tcPr>
          <w:p w14:paraId="0F16DB01" w14:textId="77777777" w:rsidR="00A07B24" w:rsidRPr="00BD076C" w:rsidRDefault="00E5447B" w:rsidP="00F363B9">
            <w:pPr>
              <w:spacing w:before="120"/>
              <w:rPr>
                <w:sz w:val="22"/>
                <w:szCs w:val="22"/>
              </w:rPr>
            </w:pPr>
            <w:r w:rsidRPr="00BD076C">
              <w:rPr>
                <w:sz w:val="22"/>
                <w:szCs w:val="22"/>
              </w:rPr>
              <w:t xml:space="preserve">  All-cause death </w:t>
            </w:r>
          </w:p>
        </w:tc>
        <w:tc>
          <w:tcPr>
            <w:tcW w:w="1539" w:type="dxa"/>
          </w:tcPr>
          <w:p w14:paraId="7ADC7FEA" w14:textId="411F9209" w:rsidR="00A07B24" w:rsidRPr="00BD076C" w:rsidRDefault="00417647" w:rsidP="00F363B9">
            <w:pPr>
              <w:spacing w:before="120"/>
              <w:jc w:val="center"/>
              <w:rPr>
                <w:sz w:val="22"/>
                <w:szCs w:val="22"/>
              </w:rPr>
            </w:pPr>
            <w:r w:rsidRPr="00BD076C">
              <w:rPr>
                <w:sz w:val="22"/>
                <w:szCs w:val="22"/>
              </w:rPr>
              <w:t>1,720 (5</w:t>
            </w:r>
            <w:r w:rsidR="0057356B">
              <w:rPr>
                <w:sz w:val="22"/>
                <w:szCs w:val="22"/>
              </w:rPr>
              <w:t>.</w:t>
            </w:r>
            <w:r w:rsidRPr="00BD076C">
              <w:rPr>
                <w:sz w:val="22"/>
                <w:szCs w:val="22"/>
              </w:rPr>
              <w:t>5)</w:t>
            </w:r>
          </w:p>
        </w:tc>
        <w:tc>
          <w:tcPr>
            <w:tcW w:w="1853" w:type="dxa"/>
          </w:tcPr>
          <w:p w14:paraId="782429F1" w14:textId="6728E652" w:rsidR="00A07B24" w:rsidRPr="00BD076C" w:rsidRDefault="00417647" w:rsidP="00F363B9">
            <w:pPr>
              <w:spacing w:before="120"/>
              <w:jc w:val="center"/>
              <w:rPr>
                <w:sz w:val="22"/>
                <w:szCs w:val="22"/>
              </w:rPr>
            </w:pPr>
            <w:r w:rsidRPr="00BD076C">
              <w:rPr>
                <w:sz w:val="22"/>
                <w:szCs w:val="22"/>
              </w:rPr>
              <w:t>852 (5</w:t>
            </w:r>
            <w:r w:rsidR="0057356B">
              <w:rPr>
                <w:sz w:val="22"/>
                <w:szCs w:val="22"/>
              </w:rPr>
              <w:t>.</w:t>
            </w:r>
            <w:r w:rsidRPr="00BD076C">
              <w:rPr>
                <w:sz w:val="22"/>
                <w:szCs w:val="22"/>
              </w:rPr>
              <w:t>8)</w:t>
            </w:r>
          </w:p>
        </w:tc>
        <w:tc>
          <w:tcPr>
            <w:tcW w:w="1853" w:type="dxa"/>
          </w:tcPr>
          <w:p w14:paraId="1E69FF29" w14:textId="7A437512" w:rsidR="00A07B24" w:rsidRPr="00BD076C" w:rsidRDefault="00417647" w:rsidP="00F363B9">
            <w:pPr>
              <w:spacing w:before="120"/>
              <w:jc w:val="center"/>
              <w:rPr>
                <w:sz w:val="22"/>
                <w:szCs w:val="22"/>
              </w:rPr>
            </w:pPr>
            <w:r w:rsidRPr="00BD076C">
              <w:rPr>
                <w:sz w:val="22"/>
                <w:szCs w:val="22"/>
              </w:rPr>
              <w:t>868 (5</w:t>
            </w:r>
            <w:r w:rsidR="0057356B">
              <w:rPr>
                <w:sz w:val="22"/>
                <w:szCs w:val="22"/>
              </w:rPr>
              <w:t>.</w:t>
            </w:r>
            <w:r w:rsidRPr="00BD076C">
              <w:rPr>
                <w:sz w:val="22"/>
                <w:szCs w:val="22"/>
              </w:rPr>
              <w:t>2)</w:t>
            </w:r>
          </w:p>
        </w:tc>
        <w:tc>
          <w:tcPr>
            <w:tcW w:w="3260" w:type="dxa"/>
          </w:tcPr>
          <w:p w14:paraId="636E7E11" w14:textId="2CAEF5FC" w:rsidR="00A07B24" w:rsidRPr="00BD076C" w:rsidRDefault="00293B8F" w:rsidP="00F363B9">
            <w:pPr>
              <w:spacing w:before="120"/>
              <w:jc w:val="center"/>
              <w:rPr>
                <w:sz w:val="22"/>
                <w:szCs w:val="22"/>
              </w:rPr>
            </w:pPr>
            <w:r w:rsidRPr="00BD076C">
              <w:rPr>
                <w:sz w:val="22"/>
                <w:szCs w:val="22"/>
              </w:rPr>
              <w:t>0</w:t>
            </w:r>
            <w:r w:rsidR="0057356B">
              <w:rPr>
                <w:sz w:val="22"/>
                <w:szCs w:val="22"/>
              </w:rPr>
              <w:t>.</w:t>
            </w:r>
            <w:r w:rsidRPr="00BD076C">
              <w:rPr>
                <w:sz w:val="22"/>
                <w:szCs w:val="22"/>
              </w:rPr>
              <w:t>92 (95% CI 0</w:t>
            </w:r>
            <w:r w:rsidR="0057356B">
              <w:rPr>
                <w:sz w:val="22"/>
                <w:szCs w:val="22"/>
              </w:rPr>
              <w:t>.</w:t>
            </w:r>
            <w:r w:rsidRPr="00BD076C">
              <w:rPr>
                <w:sz w:val="22"/>
                <w:szCs w:val="22"/>
              </w:rPr>
              <w:t>75 to 1</w:t>
            </w:r>
            <w:r w:rsidR="0057356B">
              <w:rPr>
                <w:sz w:val="22"/>
                <w:szCs w:val="22"/>
              </w:rPr>
              <w:t>.</w:t>
            </w:r>
            <w:r w:rsidRPr="00BD076C">
              <w:rPr>
                <w:sz w:val="22"/>
                <w:szCs w:val="22"/>
              </w:rPr>
              <w:t>12)</w:t>
            </w:r>
          </w:p>
        </w:tc>
        <w:tc>
          <w:tcPr>
            <w:tcW w:w="1134" w:type="dxa"/>
            <w:gridSpan w:val="2"/>
          </w:tcPr>
          <w:p w14:paraId="20E73888" w14:textId="0A5CB587" w:rsidR="00A07B24" w:rsidRPr="00BD076C" w:rsidRDefault="00293B8F" w:rsidP="00F363B9">
            <w:pPr>
              <w:spacing w:before="120"/>
              <w:jc w:val="center"/>
              <w:rPr>
                <w:sz w:val="22"/>
                <w:szCs w:val="22"/>
              </w:rPr>
            </w:pPr>
            <w:r w:rsidRPr="00BD076C">
              <w:rPr>
                <w:sz w:val="22"/>
                <w:szCs w:val="22"/>
              </w:rPr>
              <w:t>P=0</w:t>
            </w:r>
            <w:r w:rsidR="0057356B">
              <w:rPr>
                <w:sz w:val="22"/>
                <w:szCs w:val="22"/>
              </w:rPr>
              <w:t>.</w:t>
            </w:r>
            <w:r w:rsidRPr="00BD076C">
              <w:rPr>
                <w:sz w:val="22"/>
                <w:szCs w:val="22"/>
              </w:rPr>
              <w:t>385</w:t>
            </w:r>
          </w:p>
        </w:tc>
      </w:tr>
      <w:tr w:rsidR="00E5447B" w:rsidRPr="00DE4F77" w14:paraId="5A8EBB2D" w14:textId="77777777" w:rsidTr="00C24BFA">
        <w:tc>
          <w:tcPr>
            <w:tcW w:w="3544" w:type="dxa"/>
          </w:tcPr>
          <w:p w14:paraId="31C023C2" w14:textId="6926B4AC" w:rsidR="00E5447B" w:rsidRPr="00BD076C" w:rsidRDefault="00E5447B" w:rsidP="00F363B9">
            <w:pPr>
              <w:spacing w:before="120"/>
              <w:rPr>
                <w:sz w:val="22"/>
                <w:szCs w:val="22"/>
              </w:rPr>
            </w:pPr>
            <w:r w:rsidRPr="00BD076C">
              <w:rPr>
                <w:sz w:val="22"/>
                <w:szCs w:val="22"/>
              </w:rPr>
              <w:t xml:space="preserve">  Unplanned </w:t>
            </w:r>
            <w:r w:rsidR="00742F47">
              <w:rPr>
                <w:sz w:val="22"/>
                <w:szCs w:val="22"/>
              </w:rPr>
              <w:t>revasculari</w:t>
            </w:r>
            <w:r w:rsidR="00F55AB2">
              <w:rPr>
                <w:sz w:val="22"/>
                <w:szCs w:val="22"/>
              </w:rPr>
              <w:t>s</w:t>
            </w:r>
            <w:r w:rsidR="00742F47">
              <w:rPr>
                <w:sz w:val="22"/>
                <w:szCs w:val="22"/>
              </w:rPr>
              <w:t>ation</w:t>
            </w:r>
            <w:r w:rsidR="001F74D8">
              <w:rPr>
                <w:sz w:val="22"/>
                <w:szCs w:val="22"/>
              </w:rPr>
              <w:t xml:space="preserve"> </w:t>
            </w:r>
            <w:r w:rsidR="00671F4E" w:rsidRPr="00671F4E">
              <w:rPr>
                <w:sz w:val="22"/>
                <w:szCs w:val="22"/>
              </w:rPr>
              <w:t>§</w:t>
            </w:r>
          </w:p>
        </w:tc>
        <w:tc>
          <w:tcPr>
            <w:tcW w:w="1539" w:type="dxa"/>
          </w:tcPr>
          <w:p w14:paraId="3328898B" w14:textId="7BF28F29" w:rsidR="00E5447B" w:rsidRPr="00BD076C" w:rsidRDefault="00417647" w:rsidP="00F363B9">
            <w:pPr>
              <w:spacing w:before="120"/>
              <w:jc w:val="center"/>
              <w:rPr>
                <w:sz w:val="22"/>
                <w:szCs w:val="22"/>
              </w:rPr>
            </w:pPr>
            <w:r w:rsidRPr="00BD076C">
              <w:rPr>
                <w:sz w:val="22"/>
                <w:szCs w:val="22"/>
              </w:rPr>
              <w:t>222 (0</w:t>
            </w:r>
            <w:r w:rsidR="0057356B">
              <w:rPr>
                <w:sz w:val="22"/>
                <w:szCs w:val="22"/>
              </w:rPr>
              <w:t>.</w:t>
            </w:r>
            <w:r w:rsidRPr="00BD076C">
              <w:rPr>
                <w:sz w:val="22"/>
                <w:szCs w:val="22"/>
              </w:rPr>
              <w:t>7)</w:t>
            </w:r>
          </w:p>
        </w:tc>
        <w:tc>
          <w:tcPr>
            <w:tcW w:w="1853" w:type="dxa"/>
          </w:tcPr>
          <w:p w14:paraId="35315896" w14:textId="5FDE5983" w:rsidR="00E5447B" w:rsidRPr="00BD076C" w:rsidRDefault="00417647" w:rsidP="00F363B9">
            <w:pPr>
              <w:spacing w:before="120"/>
              <w:jc w:val="center"/>
              <w:rPr>
                <w:sz w:val="22"/>
                <w:szCs w:val="22"/>
              </w:rPr>
            </w:pPr>
            <w:r w:rsidRPr="00BD076C">
              <w:rPr>
                <w:sz w:val="22"/>
                <w:szCs w:val="22"/>
              </w:rPr>
              <w:t>119 (0</w:t>
            </w:r>
            <w:r w:rsidR="0057356B">
              <w:rPr>
                <w:sz w:val="22"/>
                <w:szCs w:val="22"/>
              </w:rPr>
              <w:t>.</w:t>
            </w:r>
            <w:r w:rsidRPr="00BD076C">
              <w:rPr>
                <w:sz w:val="22"/>
                <w:szCs w:val="22"/>
              </w:rPr>
              <w:t>8)</w:t>
            </w:r>
          </w:p>
        </w:tc>
        <w:tc>
          <w:tcPr>
            <w:tcW w:w="1853" w:type="dxa"/>
          </w:tcPr>
          <w:p w14:paraId="41204A15" w14:textId="1FB95800" w:rsidR="00E5447B" w:rsidRPr="00BD076C" w:rsidRDefault="00417647" w:rsidP="00F363B9">
            <w:pPr>
              <w:spacing w:before="120"/>
              <w:jc w:val="center"/>
              <w:rPr>
                <w:sz w:val="22"/>
                <w:szCs w:val="22"/>
              </w:rPr>
            </w:pPr>
            <w:r w:rsidRPr="00BD076C">
              <w:rPr>
                <w:sz w:val="22"/>
                <w:szCs w:val="22"/>
              </w:rPr>
              <w:t>103 (0</w:t>
            </w:r>
            <w:r w:rsidR="0057356B">
              <w:rPr>
                <w:sz w:val="22"/>
                <w:szCs w:val="22"/>
              </w:rPr>
              <w:t>.</w:t>
            </w:r>
            <w:r w:rsidRPr="00BD076C">
              <w:rPr>
                <w:sz w:val="22"/>
                <w:szCs w:val="22"/>
              </w:rPr>
              <w:t>6)</w:t>
            </w:r>
          </w:p>
        </w:tc>
        <w:tc>
          <w:tcPr>
            <w:tcW w:w="3260" w:type="dxa"/>
          </w:tcPr>
          <w:p w14:paraId="0EC6EE6F" w14:textId="60D70BF5" w:rsidR="00E5447B" w:rsidRPr="00BD076C" w:rsidRDefault="00293B8F" w:rsidP="00F363B9">
            <w:pPr>
              <w:spacing w:before="120"/>
              <w:jc w:val="center"/>
              <w:rPr>
                <w:sz w:val="22"/>
                <w:szCs w:val="22"/>
              </w:rPr>
            </w:pPr>
            <w:r w:rsidRPr="00BD076C">
              <w:rPr>
                <w:sz w:val="22"/>
                <w:szCs w:val="22"/>
              </w:rPr>
              <w:t>0</w:t>
            </w:r>
            <w:r w:rsidR="0057356B">
              <w:rPr>
                <w:sz w:val="22"/>
                <w:szCs w:val="22"/>
              </w:rPr>
              <w:t>.</w:t>
            </w:r>
            <w:r w:rsidRPr="00BD076C">
              <w:rPr>
                <w:sz w:val="22"/>
                <w:szCs w:val="22"/>
              </w:rPr>
              <w:t>60 (95% CI 0</w:t>
            </w:r>
            <w:r w:rsidR="0057356B">
              <w:rPr>
                <w:sz w:val="22"/>
                <w:szCs w:val="22"/>
              </w:rPr>
              <w:t>.</w:t>
            </w:r>
            <w:r w:rsidRPr="00BD076C">
              <w:rPr>
                <w:sz w:val="22"/>
                <w:szCs w:val="22"/>
              </w:rPr>
              <w:t>35 to 1</w:t>
            </w:r>
            <w:r w:rsidR="0057356B">
              <w:rPr>
                <w:sz w:val="22"/>
                <w:szCs w:val="22"/>
              </w:rPr>
              <w:t>.</w:t>
            </w:r>
            <w:r w:rsidRPr="00BD076C">
              <w:rPr>
                <w:sz w:val="22"/>
                <w:szCs w:val="22"/>
              </w:rPr>
              <w:t>03)</w:t>
            </w:r>
          </w:p>
        </w:tc>
        <w:tc>
          <w:tcPr>
            <w:tcW w:w="1134" w:type="dxa"/>
            <w:gridSpan w:val="2"/>
          </w:tcPr>
          <w:p w14:paraId="00B5D3E5" w14:textId="5B1485A7" w:rsidR="00E5447B" w:rsidRPr="00BD076C" w:rsidRDefault="00293B8F" w:rsidP="00F363B9">
            <w:pPr>
              <w:spacing w:before="120"/>
              <w:jc w:val="center"/>
              <w:rPr>
                <w:sz w:val="22"/>
                <w:szCs w:val="22"/>
              </w:rPr>
            </w:pPr>
            <w:r w:rsidRPr="00BD076C">
              <w:rPr>
                <w:sz w:val="22"/>
                <w:szCs w:val="22"/>
              </w:rPr>
              <w:t>P=0</w:t>
            </w:r>
            <w:r w:rsidR="0057356B">
              <w:rPr>
                <w:sz w:val="22"/>
                <w:szCs w:val="22"/>
              </w:rPr>
              <w:t>.</w:t>
            </w:r>
            <w:r w:rsidRPr="00BD076C">
              <w:rPr>
                <w:sz w:val="22"/>
                <w:szCs w:val="22"/>
              </w:rPr>
              <w:t>065</w:t>
            </w:r>
          </w:p>
        </w:tc>
      </w:tr>
      <w:tr w:rsidR="00A07B24" w:rsidRPr="00DE4F77" w14:paraId="7DE8D733" w14:textId="77777777" w:rsidTr="00C24BFA">
        <w:tc>
          <w:tcPr>
            <w:tcW w:w="3544" w:type="dxa"/>
            <w:tcBorders>
              <w:bottom w:val="single" w:sz="8" w:space="0" w:color="auto"/>
            </w:tcBorders>
          </w:tcPr>
          <w:p w14:paraId="30AF9606" w14:textId="7B0C2926" w:rsidR="00A07B24" w:rsidRPr="00BD076C" w:rsidRDefault="00E5447B" w:rsidP="00F363B9">
            <w:pPr>
              <w:spacing w:before="120"/>
              <w:rPr>
                <w:b/>
                <w:i/>
                <w:sz w:val="22"/>
                <w:szCs w:val="22"/>
              </w:rPr>
            </w:pPr>
            <w:r w:rsidRPr="00BD076C">
              <w:rPr>
                <w:sz w:val="22"/>
                <w:szCs w:val="22"/>
              </w:rPr>
              <w:t xml:space="preserve">  Any hospital </w:t>
            </w:r>
            <w:r w:rsidR="002F2B2D">
              <w:rPr>
                <w:sz w:val="22"/>
                <w:szCs w:val="22"/>
              </w:rPr>
              <w:t>reattendance</w:t>
            </w:r>
            <w:r w:rsidR="002F2B2D" w:rsidRPr="00BD076C">
              <w:rPr>
                <w:sz w:val="22"/>
                <w:szCs w:val="22"/>
              </w:rPr>
              <w:t xml:space="preserve"> </w:t>
            </w:r>
          </w:p>
        </w:tc>
        <w:tc>
          <w:tcPr>
            <w:tcW w:w="1539" w:type="dxa"/>
            <w:tcBorders>
              <w:bottom w:val="single" w:sz="8" w:space="0" w:color="auto"/>
            </w:tcBorders>
          </w:tcPr>
          <w:p w14:paraId="5B1B3FF7" w14:textId="7E4A390C" w:rsidR="00A07B24" w:rsidRPr="00BD076C" w:rsidRDefault="00417647" w:rsidP="00F363B9">
            <w:pPr>
              <w:spacing w:before="120"/>
              <w:jc w:val="center"/>
              <w:rPr>
                <w:sz w:val="22"/>
                <w:szCs w:val="22"/>
              </w:rPr>
            </w:pPr>
            <w:r w:rsidRPr="00BD076C">
              <w:rPr>
                <w:sz w:val="22"/>
                <w:szCs w:val="22"/>
              </w:rPr>
              <w:t>12,306 (39</w:t>
            </w:r>
            <w:r w:rsidR="0057356B">
              <w:rPr>
                <w:sz w:val="22"/>
                <w:szCs w:val="22"/>
              </w:rPr>
              <w:t>.</w:t>
            </w:r>
            <w:r w:rsidRPr="00BD076C">
              <w:rPr>
                <w:sz w:val="22"/>
                <w:szCs w:val="22"/>
              </w:rPr>
              <w:t>1)</w:t>
            </w:r>
          </w:p>
        </w:tc>
        <w:tc>
          <w:tcPr>
            <w:tcW w:w="1853" w:type="dxa"/>
            <w:tcBorders>
              <w:bottom w:val="single" w:sz="8" w:space="0" w:color="auto"/>
            </w:tcBorders>
          </w:tcPr>
          <w:p w14:paraId="3F71D420" w14:textId="1B7156B8" w:rsidR="00A07B24" w:rsidRPr="00BD076C" w:rsidRDefault="00417647" w:rsidP="00F363B9">
            <w:pPr>
              <w:spacing w:before="120"/>
              <w:jc w:val="center"/>
              <w:rPr>
                <w:sz w:val="22"/>
                <w:szCs w:val="22"/>
              </w:rPr>
            </w:pPr>
            <w:r w:rsidRPr="00BD076C">
              <w:rPr>
                <w:sz w:val="22"/>
                <w:szCs w:val="22"/>
              </w:rPr>
              <w:t>5,770 (39</w:t>
            </w:r>
            <w:r w:rsidR="0057356B">
              <w:rPr>
                <w:sz w:val="22"/>
                <w:szCs w:val="22"/>
              </w:rPr>
              <w:t>.</w:t>
            </w:r>
            <w:r w:rsidR="008503DA">
              <w:rPr>
                <w:sz w:val="22"/>
                <w:szCs w:val="22"/>
              </w:rPr>
              <w:t>3</w:t>
            </w:r>
            <w:r w:rsidRPr="00BD076C">
              <w:rPr>
                <w:sz w:val="22"/>
                <w:szCs w:val="22"/>
              </w:rPr>
              <w:t>)</w:t>
            </w:r>
          </w:p>
        </w:tc>
        <w:tc>
          <w:tcPr>
            <w:tcW w:w="1853" w:type="dxa"/>
            <w:tcBorders>
              <w:bottom w:val="single" w:sz="8" w:space="0" w:color="auto"/>
            </w:tcBorders>
          </w:tcPr>
          <w:p w14:paraId="0CE3B0F6" w14:textId="587619FC" w:rsidR="00A07B24" w:rsidRPr="00BD076C" w:rsidRDefault="00417647" w:rsidP="00F363B9">
            <w:pPr>
              <w:spacing w:before="120"/>
              <w:jc w:val="center"/>
              <w:rPr>
                <w:sz w:val="22"/>
                <w:szCs w:val="22"/>
              </w:rPr>
            </w:pPr>
            <w:r w:rsidRPr="00BD076C">
              <w:rPr>
                <w:sz w:val="22"/>
                <w:szCs w:val="22"/>
              </w:rPr>
              <w:t>6,536 (38</w:t>
            </w:r>
            <w:r w:rsidR="0057356B">
              <w:rPr>
                <w:sz w:val="22"/>
                <w:szCs w:val="22"/>
              </w:rPr>
              <w:t>.</w:t>
            </w:r>
            <w:r w:rsidRPr="00BD076C">
              <w:rPr>
                <w:sz w:val="22"/>
                <w:szCs w:val="22"/>
              </w:rPr>
              <w:t>9)</w:t>
            </w:r>
          </w:p>
        </w:tc>
        <w:tc>
          <w:tcPr>
            <w:tcW w:w="3260" w:type="dxa"/>
            <w:tcBorders>
              <w:bottom w:val="single" w:sz="8" w:space="0" w:color="auto"/>
            </w:tcBorders>
          </w:tcPr>
          <w:p w14:paraId="16087EF9" w14:textId="4B89EEB0" w:rsidR="00A07B24" w:rsidRPr="00BD076C" w:rsidRDefault="00293B8F" w:rsidP="00F363B9">
            <w:pPr>
              <w:spacing w:before="120"/>
              <w:jc w:val="center"/>
              <w:rPr>
                <w:sz w:val="22"/>
                <w:szCs w:val="22"/>
              </w:rPr>
            </w:pPr>
            <w:r w:rsidRPr="00BD076C">
              <w:rPr>
                <w:sz w:val="22"/>
                <w:szCs w:val="22"/>
              </w:rPr>
              <w:t>0</w:t>
            </w:r>
            <w:r w:rsidR="0057356B">
              <w:rPr>
                <w:sz w:val="22"/>
                <w:szCs w:val="22"/>
              </w:rPr>
              <w:t>.</w:t>
            </w:r>
            <w:r w:rsidRPr="00BD076C">
              <w:rPr>
                <w:sz w:val="22"/>
                <w:szCs w:val="22"/>
              </w:rPr>
              <w:t>93 (95% CI 0</w:t>
            </w:r>
            <w:r w:rsidR="0057356B">
              <w:rPr>
                <w:sz w:val="22"/>
                <w:szCs w:val="22"/>
              </w:rPr>
              <w:t>.</w:t>
            </w:r>
            <w:r w:rsidRPr="00BD076C">
              <w:rPr>
                <w:sz w:val="22"/>
                <w:szCs w:val="22"/>
              </w:rPr>
              <w:t>84 to 1</w:t>
            </w:r>
            <w:r w:rsidR="0057356B">
              <w:rPr>
                <w:sz w:val="22"/>
                <w:szCs w:val="22"/>
              </w:rPr>
              <w:t>.</w:t>
            </w:r>
            <w:r w:rsidRPr="00BD076C">
              <w:rPr>
                <w:sz w:val="22"/>
                <w:szCs w:val="22"/>
              </w:rPr>
              <w:t>02)</w:t>
            </w:r>
          </w:p>
        </w:tc>
        <w:tc>
          <w:tcPr>
            <w:tcW w:w="1134" w:type="dxa"/>
            <w:gridSpan w:val="2"/>
            <w:tcBorders>
              <w:bottom w:val="single" w:sz="8" w:space="0" w:color="auto"/>
            </w:tcBorders>
          </w:tcPr>
          <w:p w14:paraId="5EFBD35F" w14:textId="7ED9EE5F" w:rsidR="00A07B24" w:rsidRPr="00BD076C" w:rsidRDefault="00293B8F" w:rsidP="00F363B9">
            <w:pPr>
              <w:spacing w:before="120"/>
              <w:jc w:val="center"/>
              <w:rPr>
                <w:sz w:val="22"/>
                <w:szCs w:val="22"/>
              </w:rPr>
            </w:pPr>
            <w:r w:rsidRPr="00BD076C">
              <w:rPr>
                <w:sz w:val="22"/>
                <w:szCs w:val="22"/>
              </w:rPr>
              <w:t>P=0</w:t>
            </w:r>
            <w:r w:rsidR="0057356B">
              <w:rPr>
                <w:sz w:val="22"/>
                <w:szCs w:val="22"/>
              </w:rPr>
              <w:t>.</w:t>
            </w:r>
            <w:r w:rsidRPr="00BD076C">
              <w:rPr>
                <w:sz w:val="22"/>
                <w:szCs w:val="22"/>
              </w:rPr>
              <w:t>112</w:t>
            </w:r>
          </w:p>
        </w:tc>
      </w:tr>
      <w:tr w:rsidR="00A92B50" w:rsidRPr="00DE4F77" w14:paraId="07FCC93F" w14:textId="77777777" w:rsidTr="00293B8F">
        <w:trPr>
          <w:gridAfter w:val="1"/>
          <w:wAfter w:w="283" w:type="dxa"/>
        </w:trPr>
        <w:tc>
          <w:tcPr>
            <w:tcW w:w="12900" w:type="dxa"/>
            <w:gridSpan w:val="6"/>
            <w:tcBorders>
              <w:top w:val="single" w:sz="8" w:space="0" w:color="auto"/>
            </w:tcBorders>
          </w:tcPr>
          <w:p w14:paraId="2A675EE5" w14:textId="48220F22" w:rsidR="00B15628" w:rsidRDefault="00A92B50" w:rsidP="00FF5AC0">
            <w:pPr>
              <w:rPr>
                <w:sz w:val="18"/>
                <w:szCs w:val="18"/>
              </w:rPr>
            </w:pPr>
            <w:r w:rsidRPr="00DE4F77">
              <w:rPr>
                <w:sz w:val="18"/>
                <w:szCs w:val="18"/>
              </w:rPr>
              <w:t xml:space="preserve">Presented as </w:t>
            </w:r>
            <w:r w:rsidR="00E5447B">
              <w:rPr>
                <w:sz w:val="18"/>
                <w:szCs w:val="18"/>
              </w:rPr>
              <w:t>geometric mean ± standard deviation or No.</w:t>
            </w:r>
            <w:r w:rsidRPr="00DE4F77">
              <w:rPr>
                <w:sz w:val="18"/>
                <w:szCs w:val="18"/>
              </w:rPr>
              <w:t xml:space="preserve"> (%).</w:t>
            </w:r>
            <w:r w:rsidR="00293B8F">
              <w:rPr>
                <w:sz w:val="18"/>
                <w:szCs w:val="18"/>
              </w:rPr>
              <w:t xml:space="preserve"> Abbreviations: CI = confidence interval, ED = Emergency Department </w:t>
            </w:r>
          </w:p>
          <w:p w14:paraId="69932763" w14:textId="2827F919" w:rsidR="00671F4E" w:rsidRDefault="001F74D8" w:rsidP="00FF5AC0">
            <w:pPr>
              <w:rPr>
                <w:sz w:val="18"/>
              </w:rPr>
            </w:pPr>
            <w:r w:rsidRPr="00DE4F77">
              <w:rPr>
                <w:sz w:val="18"/>
                <w:szCs w:val="18"/>
              </w:rPr>
              <w:t>*</w:t>
            </w:r>
            <w:r w:rsidR="00671F4E">
              <w:rPr>
                <w:sz w:val="18"/>
              </w:rPr>
              <w:t xml:space="preserve"> Outcomes following implementation of the early rule-out pathway </w:t>
            </w:r>
            <w:r w:rsidR="0003027B">
              <w:rPr>
                <w:sz w:val="18"/>
              </w:rPr>
              <w:t xml:space="preserve">are compared to those during standard care </w:t>
            </w:r>
            <w:r w:rsidR="00671F4E">
              <w:rPr>
                <w:sz w:val="18"/>
              </w:rPr>
              <w:t>for all measures.</w:t>
            </w:r>
            <w:r w:rsidR="00C80B5D">
              <w:t xml:space="preserve"> </w:t>
            </w:r>
            <w:r w:rsidR="00C80B5D">
              <w:rPr>
                <w:sz w:val="18"/>
              </w:rPr>
              <w:t>For length of stay this is an a</w:t>
            </w:r>
            <w:r w:rsidR="00C80B5D" w:rsidRPr="00C80B5D">
              <w:rPr>
                <w:sz w:val="18"/>
              </w:rPr>
              <w:t xml:space="preserve">djusted ratio of </w:t>
            </w:r>
            <w:r w:rsidR="00C80B5D">
              <w:rPr>
                <w:sz w:val="18"/>
              </w:rPr>
              <w:t xml:space="preserve">the </w:t>
            </w:r>
            <w:r w:rsidR="00C80B5D" w:rsidRPr="00C80B5D">
              <w:rPr>
                <w:sz w:val="18"/>
              </w:rPr>
              <w:t>geometric mean</w:t>
            </w:r>
            <w:r w:rsidR="00C80B5D">
              <w:rPr>
                <w:sz w:val="18"/>
              </w:rPr>
              <w:t xml:space="preserve"> rather than an odds ratio. </w:t>
            </w:r>
          </w:p>
          <w:p w14:paraId="5AB0342F" w14:textId="73D8055B" w:rsidR="00E5447B" w:rsidRDefault="00671F4E" w:rsidP="00FF5AC0">
            <w:pPr>
              <w:rPr>
                <w:sz w:val="18"/>
                <w:szCs w:val="18"/>
              </w:rPr>
            </w:pPr>
            <w:r w:rsidRPr="00DE4F77">
              <w:rPr>
                <w:sz w:val="18"/>
              </w:rPr>
              <w:t>†</w:t>
            </w:r>
            <w:r w:rsidR="00293B8F">
              <w:rPr>
                <w:sz w:val="18"/>
              </w:rPr>
              <w:t xml:space="preserve"> </w:t>
            </w:r>
            <w:r w:rsidR="00A92B50" w:rsidRPr="00DE4F77">
              <w:rPr>
                <w:sz w:val="18"/>
                <w:szCs w:val="18"/>
              </w:rPr>
              <w:t>Type 1</w:t>
            </w:r>
            <w:r w:rsidR="00E5447B">
              <w:rPr>
                <w:sz w:val="18"/>
                <w:szCs w:val="18"/>
              </w:rPr>
              <w:t xml:space="preserve">, </w:t>
            </w:r>
            <w:r w:rsidR="00A92B50" w:rsidRPr="00DE4F77">
              <w:rPr>
                <w:sz w:val="18"/>
                <w:szCs w:val="18"/>
              </w:rPr>
              <w:t xml:space="preserve">type 4b </w:t>
            </w:r>
            <w:r w:rsidR="00E5447B">
              <w:rPr>
                <w:sz w:val="18"/>
                <w:szCs w:val="18"/>
              </w:rPr>
              <w:t xml:space="preserve">or type 4c </w:t>
            </w:r>
            <w:r w:rsidR="00A92B50" w:rsidRPr="00DE4F77">
              <w:rPr>
                <w:sz w:val="18"/>
                <w:szCs w:val="18"/>
              </w:rPr>
              <w:t>myocardial infarction</w:t>
            </w:r>
            <w:r w:rsidR="00E5447B">
              <w:rPr>
                <w:sz w:val="18"/>
                <w:szCs w:val="18"/>
              </w:rPr>
              <w:t xml:space="preserve"> or cardiac death following discharge</w:t>
            </w:r>
            <w:r w:rsidR="00A92B50" w:rsidRPr="00DE4F77">
              <w:rPr>
                <w:sz w:val="18"/>
                <w:szCs w:val="18"/>
              </w:rPr>
              <w:t xml:space="preserve">. </w:t>
            </w:r>
          </w:p>
          <w:p w14:paraId="34CEC35F" w14:textId="41525B89" w:rsidR="00E5447B" w:rsidRDefault="00671F4E" w:rsidP="00FF5AC0">
            <w:pPr>
              <w:rPr>
                <w:sz w:val="18"/>
              </w:rPr>
            </w:pPr>
            <w:r w:rsidRPr="00293B8F">
              <w:rPr>
                <w:sz w:val="18"/>
              </w:rPr>
              <w:t>‡</w:t>
            </w:r>
            <w:r w:rsidR="00A92B50" w:rsidRPr="00DE4F77">
              <w:rPr>
                <w:sz w:val="18"/>
              </w:rPr>
              <w:t xml:space="preserve"> </w:t>
            </w:r>
            <w:r w:rsidR="00CE07A0" w:rsidRPr="00DE4F77">
              <w:rPr>
                <w:sz w:val="18"/>
                <w:szCs w:val="18"/>
              </w:rPr>
              <w:t>Type 1</w:t>
            </w:r>
            <w:r w:rsidR="00CE07A0">
              <w:rPr>
                <w:sz w:val="18"/>
                <w:szCs w:val="18"/>
              </w:rPr>
              <w:t xml:space="preserve">, </w:t>
            </w:r>
            <w:r w:rsidR="00CE07A0" w:rsidRPr="00DE4F77">
              <w:rPr>
                <w:sz w:val="18"/>
                <w:szCs w:val="18"/>
              </w:rPr>
              <w:t xml:space="preserve">type 4b </w:t>
            </w:r>
            <w:r w:rsidR="00CE07A0">
              <w:rPr>
                <w:sz w:val="18"/>
                <w:szCs w:val="18"/>
              </w:rPr>
              <w:t xml:space="preserve">or type 4c </w:t>
            </w:r>
            <w:r w:rsidR="00CE07A0" w:rsidRPr="00DE4F77">
              <w:rPr>
                <w:sz w:val="18"/>
                <w:szCs w:val="18"/>
              </w:rPr>
              <w:t>myocardial infarction</w:t>
            </w:r>
          </w:p>
          <w:p w14:paraId="7B29D43F" w14:textId="15AE3B95" w:rsidR="00E5447B" w:rsidRDefault="00671F4E" w:rsidP="00FF5AC0">
            <w:pPr>
              <w:rPr>
                <w:sz w:val="18"/>
                <w:szCs w:val="18"/>
              </w:rPr>
            </w:pPr>
            <w:r w:rsidRPr="00495392">
              <w:rPr>
                <w:sz w:val="16"/>
                <w:szCs w:val="16"/>
              </w:rPr>
              <w:t>§</w:t>
            </w:r>
            <w:r w:rsidR="00293B8F">
              <w:rPr>
                <w:sz w:val="16"/>
                <w:szCs w:val="16"/>
              </w:rPr>
              <w:t xml:space="preserve"> </w:t>
            </w:r>
            <w:r w:rsidR="00E5447B" w:rsidRPr="00027810">
              <w:rPr>
                <w:sz w:val="18"/>
              </w:rPr>
              <w:t xml:space="preserve">Unplanned </w:t>
            </w:r>
            <w:r w:rsidR="00742F47">
              <w:rPr>
                <w:sz w:val="18"/>
              </w:rPr>
              <w:t>revasculari</w:t>
            </w:r>
            <w:r w:rsidR="00F55AB2">
              <w:rPr>
                <w:sz w:val="18"/>
              </w:rPr>
              <w:t>s</w:t>
            </w:r>
            <w:r w:rsidR="00742F47">
              <w:rPr>
                <w:sz w:val="18"/>
              </w:rPr>
              <w:t>ation</w:t>
            </w:r>
            <w:r w:rsidR="00E5447B" w:rsidRPr="00027810">
              <w:rPr>
                <w:sz w:val="18"/>
              </w:rPr>
              <w:t xml:space="preserve"> was defined as urgent or emergency percutaneous coronary intervention </w:t>
            </w:r>
            <w:r w:rsidR="00E5447B">
              <w:rPr>
                <w:sz w:val="18"/>
              </w:rPr>
              <w:t>or coronary artery byp</w:t>
            </w:r>
            <w:r w:rsidR="00E5447B" w:rsidRPr="00027810">
              <w:rPr>
                <w:sz w:val="18"/>
              </w:rPr>
              <w:t>ass grafting from discharge to 1 year</w:t>
            </w:r>
            <w:r w:rsidR="00E5447B" w:rsidRPr="00DE4F77">
              <w:rPr>
                <w:sz w:val="18"/>
                <w:szCs w:val="18"/>
              </w:rPr>
              <w:t xml:space="preserve"> </w:t>
            </w:r>
          </w:p>
          <w:p w14:paraId="58308B5C" w14:textId="77777777" w:rsidR="00C80B5D" w:rsidRPr="00E5447B" w:rsidRDefault="00C80B5D" w:rsidP="00FF5AC0">
            <w:pPr>
              <w:rPr>
                <w:sz w:val="16"/>
                <w:szCs w:val="16"/>
              </w:rPr>
            </w:pPr>
          </w:p>
          <w:p w14:paraId="0EC072B2" w14:textId="77777777" w:rsidR="00A92B50" w:rsidRPr="00DE4F77" w:rsidRDefault="00A92B50" w:rsidP="00FF5AC0">
            <w:pPr>
              <w:rPr>
                <w:sz w:val="20"/>
                <w:szCs w:val="20"/>
              </w:rPr>
            </w:pPr>
          </w:p>
        </w:tc>
      </w:tr>
    </w:tbl>
    <w:p w14:paraId="4BCF8110" w14:textId="17A83932" w:rsidR="00CC43AA" w:rsidRDefault="00CC43AA" w:rsidP="00945D55">
      <w:pPr>
        <w:tabs>
          <w:tab w:val="left" w:pos="4790"/>
        </w:tabs>
        <w:spacing w:line="480" w:lineRule="auto"/>
        <w:rPr>
          <w:b/>
        </w:rPr>
      </w:pPr>
    </w:p>
    <w:sectPr w:rsidR="00CC43AA" w:rsidSect="00945D55">
      <w:pgSz w:w="16840" w:h="11901" w:orient="landscape"/>
      <w:pgMar w:top="1440" w:right="1440"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8D8CE" w14:textId="77777777" w:rsidR="006B55C1" w:rsidRDefault="006B55C1">
      <w:r>
        <w:separator/>
      </w:r>
    </w:p>
  </w:endnote>
  <w:endnote w:type="continuationSeparator" w:id="0">
    <w:p w14:paraId="2F6E1FFB" w14:textId="77777777" w:rsidR="006B55C1" w:rsidRDefault="006B55C1">
      <w:r>
        <w:continuationSeparator/>
      </w:r>
    </w:p>
  </w:endnote>
  <w:endnote w:type="continuationNotice" w:id="1">
    <w:p w14:paraId="227AEB7A" w14:textId="77777777" w:rsidR="006B55C1" w:rsidRDefault="006B5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223B7" w14:textId="77777777" w:rsidR="00E93124" w:rsidRDefault="00E93124" w:rsidP="003E74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40EFE8" w14:textId="77777777" w:rsidR="00E93124" w:rsidRDefault="00E93124" w:rsidP="003E74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2F1D4" w14:textId="6510F598" w:rsidR="00E93124" w:rsidRDefault="00E93124" w:rsidP="003E74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69429E8" w14:textId="77777777" w:rsidR="00E93124" w:rsidRDefault="00E93124" w:rsidP="003E74E1">
    <w:pPr>
      <w:pStyle w:val="Footer"/>
      <w:ind w:right="360"/>
      <w:jc w:val="both"/>
      <w:rPr>
        <w:rFonts w:ascii="Arial" w:hAnsi="Arial"/>
      </w:rPr>
    </w:pPr>
    <w:r>
      <w:rPr>
        <w:rStyle w:val="PageNumber"/>
        <w:rFonts w:ascii="Arial" w:hAnsi="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0B08A" w14:textId="77777777" w:rsidR="00E93124" w:rsidRDefault="00E93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1DEE2" w14:textId="77777777" w:rsidR="006B55C1" w:rsidRDefault="006B55C1">
      <w:r>
        <w:separator/>
      </w:r>
    </w:p>
  </w:footnote>
  <w:footnote w:type="continuationSeparator" w:id="0">
    <w:p w14:paraId="206D2C37" w14:textId="77777777" w:rsidR="006B55C1" w:rsidRDefault="006B55C1">
      <w:r>
        <w:continuationSeparator/>
      </w:r>
    </w:p>
  </w:footnote>
  <w:footnote w:type="continuationNotice" w:id="1">
    <w:p w14:paraId="71B067CB" w14:textId="77777777" w:rsidR="006B55C1" w:rsidRDefault="006B55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A4E0B" w14:textId="53EC430C" w:rsidR="00E93124" w:rsidRDefault="00E93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14B99" w14:textId="29D4F901" w:rsidR="00E93124" w:rsidRDefault="00E931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9E9AC" w14:textId="73927054" w:rsidR="00E93124" w:rsidRDefault="00E93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77318"/>
    <w:multiLevelType w:val="hybridMultilevel"/>
    <w:tmpl w:val="68E8209E"/>
    <w:lvl w:ilvl="0" w:tplc="00CE4422">
      <w:start w:val="1"/>
      <w:numFmt w:val="low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4932B35"/>
    <w:multiLevelType w:val="hybridMultilevel"/>
    <w:tmpl w:val="9D66F4A8"/>
    <w:lvl w:ilvl="0" w:tplc="34E0E2B4">
      <w:start w:val="1"/>
      <w:numFmt w:val="bullet"/>
      <w:lvlText w:val=""/>
      <w:lvlJc w:val="left"/>
      <w:pPr>
        <w:ind w:left="720" w:hanging="360"/>
      </w:pPr>
      <w:rPr>
        <w:rFonts w:ascii="Symbol" w:eastAsia="Cambr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755A6"/>
    <w:multiLevelType w:val="hybridMultilevel"/>
    <w:tmpl w:val="09F44C78"/>
    <w:lvl w:ilvl="0" w:tplc="00CE4422">
      <w:start w:val="1"/>
      <w:numFmt w:val="low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9F701DB"/>
    <w:multiLevelType w:val="hybridMultilevel"/>
    <w:tmpl w:val="D25463BA"/>
    <w:lvl w:ilvl="0" w:tplc="00CE4422">
      <w:start w:val="1"/>
      <w:numFmt w:val="low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09FE15B1"/>
    <w:multiLevelType w:val="hybridMultilevel"/>
    <w:tmpl w:val="C14C2A0E"/>
    <w:lvl w:ilvl="0" w:tplc="270EAFA0">
      <w:start w:val="1"/>
      <w:numFmt w:val="bullet"/>
      <w:lvlText w:val=""/>
      <w:lvlJc w:val="left"/>
      <w:pPr>
        <w:tabs>
          <w:tab w:val="num" w:pos="360"/>
        </w:tabs>
        <w:ind w:left="360" w:hanging="360"/>
      </w:pPr>
      <w:rPr>
        <w:rFonts w:ascii="Symbol" w:hAnsi="Symbol" w:hint="default"/>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pStyle w:val="Style1"/>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F7CAE"/>
    <w:multiLevelType w:val="hybridMultilevel"/>
    <w:tmpl w:val="09F44C78"/>
    <w:lvl w:ilvl="0" w:tplc="00CE4422">
      <w:start w:val="1"/>
      <w:numFmt w:val="low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0F7120BE"/>
    <w:multiLevelType w:val="hybridMultilevel"/>
    <w:tmpl w:val="9FB42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D51BE"/>
    <w:multiLevelType w:val="hybridMultilevel"/>
    <w:tmpl w:val="4EF69ABC"/>
    <w:lvl w:ilvl="0" w:tplc="00CE4422">
      <w:start w:val="1"/>
      <w:numFmt w:val="low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13DE61D4"/>
    <w:multiLevelType w:val="multilevel"/>
    <w:tmpl w:val="D3C278A0"/>
    <w:lvl w:ilvl="0">
      <w:start w:val="2"/>
      <w:numFmt w:val="decimal"/>
      <w:lvlText w:val="%1"/>
      <w:lvlJc w:val="left"/>
      <w:pPr>
        <w:ind w:left="720" w:hanging="720"/>
      </w:pPr>
      <w:rPr>
        <w:rFonts w:cs="Times New Roman" w:hint="default"/>
      </w:rPr>
    </w:lvl>
    <w:lvl w:ilvl="1">
      <w:start w:val="4"/>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475000A"/>
    <w:multiLevelType w:val="hybridMultilevel"/>
    <w:tmpl w:val="73B2D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A47DF"/>
    <w:multiLevelType w:val="hybridMultilevel"/>
    <w:tmpl w:val="E4EE2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F616AE"/>
    <w:multiLevelType w:val="multilevel"/>
    <w:tmpl w:val="D3C278A0"/>
    <w:lvl w:ilvl="0">
      <w:start w:val="2"/>
      <w:numFmt w:val="decimal"/>
      <w:lvlText w:val="%1"/>
      <w:lvlJc w:val="left"/>
      <w:pPr>
        <w:ind w:left="720" w:hanging="720"/>
      </w:pPr>
      <w:rPr>
        <w:rFonts w:cs="Times New Roman" w:hint="default"/>
      </w:rPr>
    </w:lvl>
    <w:lvl w:ilvl="1">
      <w:start w:val="4"/>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CC90077"/>
    <w:multiLevelType w:val="hybridMultilevel"/>
    <w:tmpl w:val="09F44C78"/>
    <w:lvl w:ilvl="0" w:tplc="00CE4422">
      <w:start w:val="1"/>
      <w:numFmt w:val="low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1D2B2F9A"/>
    <w:multiLevelType w:val="multilevel"/>
    <w:tmpl w:val="7D5E0DDE"/>
    <w:lvl w:ilvl="0">
      <w:start w:val="2"/>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1E7B16CE"/>
    <w:multiLevelType w:val="hybridMultilevel"/>
    <w:tmpl w:val="BA32AC3E"/>
    <w:lvl w:ilvl="0" w:tplc="4842A18C">
      <w:start w:val="1"/>
      <w:numFmt w:val="decimal"/>
      <w:lvlText w:val="%1."/>
      <w:lvlJc w:val="left"/>
      <w:pPr>
        <w:ind w:left="567" w:hanging="567"/>
      </w:pPr>
      <w:rPr>
        <w:rFonts w:ascii="Times New Roman" w:hAnsi="Times New Roman" w:cs="Times New Roman" w:hint="default"/>
        <w:b w:val="0"/>
        <w:bCs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143DFD"/>
    <w:multiLevelType w:val="multilevel"/>
    <w:tmpl w:val="74D0D182"/>
    <w:lvl w:ilvl="0">
      <w:start w:val="1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20"/>
        </w:tabs>
        <w:ind w:left="720" w:hanging="360"/>
      </w:pPr>
      <w:rPr>
        <w:rFonts w:cs="Times New Roman" w:hint="default"/>
      </w:rPr>
    </w:lvl>
    <w:lvl w:ilvl="2">
      <w:start w:val="1"/>
      <w:numFmt w:val="decimal"/>
      <w:pStyle w:val="Heading3Arial"/>
      <w:lvlText w:val="%1.%2.%3"/>
      <w:lvlJc w:val="left"/>
      <w:pPr>
        <w:tabs>
          <w:tab w:val="num" w:pos="1620"/>
        </w:tabs>
        <w:ind w:left="162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15:restartNumberingAfterBreak="0">
    <w:nsid w:val="23AF25CB"/>
    <w:multiLevelType w:val="hybridMultilevel"/>
    <w:tmpl w:val="301CE910"/>
    <w:lvl w:ilvl="0" w:tplc="00CE4422">
      <w:start w:val="1"/>
      <w:numFmt w:val="low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29D16FF3"/>
    <w:multiLevelType w:val="hybridMultilevel"/>
    <w:tmpl w:val="2BB2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A91134"/>
    <w:multiLevelType w:val="hybridMultilevel"/>
    <w:tmpl w:val="5B984BEC"/>
    <w:lvl w:ilvl="0" w:tplc="00CE4422">
      <w:start w:val="1"/>
      <w:numFmt w:val="low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2E0071C1"/>
    <w:multiLevelType w:val="hybridMultilevel"/>
    <w:tmpl w:val="71E24B6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hint="default"/>
      </w:rPr>
    </w:lvl>
    <w:lvl w:ilvl="8" w:tplc="04090005">
      <w:start w:val="1"/>
      <w:numFmt w:val="bullet"/>
      <w:lvlText w:val=""/>
      <w:lvlJc w:val="left"/>
      <w:pPr>
        <w:ind w:left="6540" w:hanging="360"/>
      </w:pPr>
      <w:rPr>
        <w:rFonts w:ascii="Wingdings" w:hAnsi="Wingdings" w:hint="default"/>
      </w:rPr>
    </w:lvl>
  </w:abstractNum>
  <w:abstractNum w:abstractNumId="21" w15:restartNumberingAfterBreak="0">
    <w:nsid w:val="2E373508"/>
    <w:multiLevelType w:val="hybridMultilevel"/>
    <w:tmpl w:val="0CDE0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9200FF"/>
    <w:multiLevelType w:val="multilevel"/>
    <w:tmpl w:val="5E9046BE"/>
    <w:lvl w:ilvl="0">
      <w:start w:val="1"/>
      <w:numFmt w:val="lowerRoman"/>
      <w:lvlText w:val="(%1)"/>
      <w:lvlJc w:val="left"/>
      <w:pPr>
        <w:ind w:left="144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30FB4E10"/>
    <w:multiLevelType w:val="hybridMultilevel"/>
    <w:tmpl w:val="F2A8B86C"/>
    <w:lvl w:ilvl="0" w:tplc="FFFFFFFF">
      <w:start w:val="1"/>
      <w:numFmt w:val="decimal"/>
      <w:pStyle w:val="Bulletted"/>
      <w:lvlText w:val="%1."/>
      <w:lvlJc w:val="left"/>
      <w:pPr>
        <w:tabs>
          <w:tab w:val="num" w:pos="1080"/>
        </w:tabs>
        <w:ind w:left="1080" w:hanging="72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4" w15:restartNumberingAfterBreak="0">
    <w:nsid w:val="341D6984"/>
    <w:multiLevelType w:val="multilevel"/>
    <w:tmpl w:val="A6C0C70A"/>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369D5FDD"/>
    <w:multiLevelType w:val="hybridMultilevel"/>
    <w:tmpl w:val="9B348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8018B9"/>
    <w:multiLevelType w:val="multilevel"/>
    <w:tmpl w:val="4B50C2D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418C557C"/>
    <w:multiLevelType w:val="multilevel"/>
    <w:tmpl w:val="78ACC524"/>
    <w:lvl w:ilvl="0">
      <w:start w:val="1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47AE20F6"/>
    <w:multiLevelType w:val="hybridMultilevel"/>
    <w:tmpl w:val="699CEF30"/>
    <w:lvl w:ilvl="0" w:tplc="00CE4422">
      <w:start w:val="1"/>
      <w:numFmt w:val="low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48400281"/>
    <w:multiLevelType w:val="hybridMultilevel"/>
    <w:tmpl w:val="86CCB17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hint="default"/>
      </w:rPr>
    </w:lvl>
    <w:lvl w:ilvl="8" w:tplc="04090005">
      <w:start w:val="1"/>
      <w:numFmt w:val="bullet"/>
      <w:lvlText w:val=""/>
      <w:lvlJc w:val="left"/>
      <w:pPr>
        <w:ind w:left="6600" w:hanging="360"/>
      </w:pPr>
      <w:rPr>
        <w:rFonts w:ascii="Wingdings" w:hAnsi="Wingdings" w:hint="default"/>
      </w:rPr>
    </w:lvl>
  </w:abstractNum>
  <w:abstractNum w:abstractNumId="30" w15:restartNumberingAfterBreak="0">
    <w:nsid w:val="4A4C7FF9"/>
    <w:multiLevelType w:val="hybridMultilevel"/>
    <w:tmpl w:val="B2146054"/>
    <w:lvl w:ilvl="0" w:tplc="00CE4422">
      <w:start w:val="1"/>
      <w:numFmt w:val="low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4ECC242C"/>
    <w:multiLevelType w:val="hybridMultilevel"/>
    <w:tmpl w:val="830E1140"/>
    <w:lvl w:ilvl="0" w:tplc="454606FC">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0F30BD"/>
    <w:multiLevelType w:val="hybridMultilevel"/>
    <w:tmpl w:val="207A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B75074"/>
    <w:multiLevelType w:val="hybridMultilevel"/>
    <w:tmpl w:val="5E9046BE"/>
    <w:lvl w:ilvl="0" w:tplc="00CE4422">
      <w:start w:val="1"/>
      <w:numFmt w:val="low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51DC2DD4"/>
    <w:multiLevelType w:val="hybridMultilevel"/>
    <w:tmpl w:val="B824A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E721A4"/>
    <w:multiLevelType w:val="hybridMultilevel"/>
    <w:tmpl w:val="95F8B5E2"/>
    <w:lvl w:ilvl="0" w:tplc="00CE4422">
      <w:start w:val="1"/>
      <w:numFmt w:val="low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539D7128"/>
    <w:multiLevelType w:val="hybridMultilevel"/>
    <w:tmpl w:val="C6DC6204"/>
    <w:lvl w:ilvl="0" w:tplc="08FABD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431C1E"/>
    <w:multiLevelType w:val="hybridMultilevel"/>
    <w:tmpl w:val="09F44C78"/>
    <w:lvl w:ilvl="0" w:tplc="00CE4422">
      <w:start w:val="1"/>
      <w:numFmt w:val="low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59FE3B54"/>
    <w:multiLevelType w:val="hybridMultilevel"/>
    <w:tmpl w:val="EB76B4CC"/>
    <w:lvl w:ilvl="0" w:tplc="07BACBDA">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15:restartNumberingAfterBreak="0">
    <w:nsid w:val="60C81DA6"/>
    <w:multiLevelType w:val="hybridMultilevel"/>
    <w:tmpl w:val="4F20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2575D7"/>
    <w:multiLevelType w:val="hybridMultilevel"/>
    <w:tmpl w:val="1FB492AC"/>
    <w:lvl w:ilvl="0" w:tplc="04090001">
      <w:start w:val="1"/>
      <w:numFmt w:val="bullet"/>
      <w:lvlText w:val=""/>
      <w:lvlJc w:val="left"/>
      <w:pPr>
        <w:ind w:left="779" w:hanging="360"/>
      </w:pPr>
      <w:rPr>
        <w:rFonts w:ascii="Symbol" w:hAnsi="Symbol" w:hint="default"/>
      </w:rPr>
    </w:lvl>
    <w:lvl w:ilvl="1" w:tplc="04090003">
      <w:start w:val="1"/>
      <w:numFmt w:val="bullet"/>
      <w:lvlText w:val="o"/>
      <w:lvlJc w:val="left"/>
      <w:pPr>
        <w:ind w:left="1499" w:hanging="360"/>
      </w:pPr>
      <w:rPr>
        <w:rFonts w:ascii="Courier New" w:hAnsi="Courier New" w:hint="default"/>
      </w:rPr>
    </w:lvl>
    <w:lvl w:ilvl="2" w:tplc="04090005">
      <w:start w:val="1"/>
      <w:numFmt w:val="bullet"/>
      <w:lvlText w:val=""/>
      <w:lvlJc w:val="left"/>
      <w:pPr>
        <w:ind w:left="2219" w:hanging="360"/>
      </w:pPr>
      <w:rPr>
        <w:rFonts w:ascii="Wingdings" w:hAnsi="Wingdings" w:hint="default"/>
      </w:rPr>
    </w:lvl>
    <w:lvl w:ilvl="3" w:tplc="04090001">
      <w:start w:val="1"/>
      <w:numFmt w:val="bullet"/>
      <w:lvlText w:val=""/>
      <w:lvlJc w:val="left"/>
      <w:pPr>
        <w:ind w:left="2939" w:hanging="360"/>
      </w:pPr>
      <w:rPr>
        <w:rFonts w:ascii="Symbol" w:hAnsi="Symbol" w:hint="default"/>
      </w:rPr>
    </w:lvl>
    <w:lvl w:ilvl="4" w:tplc="04090003">
      <w:start w:val="1"/>
      <w:numFmt w:val="bullet"/>
      <w:lvlText w:val="o"/>
      <w:lvlJc w:val="left"/>
      <w:pPr>
        <w:ind w:left="3659" w:hanging="360"/>
      </w:pPr>
      <w:rPr>
        <w:rFonts w:ascii="Courier New" w:hAnsi="Courier New" w:hint="default"/>
      </w:rPr>
    </w:lvl>
    <w:lvl w:ilvl="5" w:tplc="04090005">
      <w:start w:val="1"/>
      <w:numFmt w:val="bullet"/>
      <w:lvlText w:val=""/>
      <w:lvlJc w:val="left"/>
      <w:pPr>
        <w:ind w:left="4379" w:hanging="360"/>
      </w:pPr>
      <w:rPr>
        <w:rFonts w:ascii="Wingdings" w:hAnsi="Wingdings" w:hint="default"/>
      </w:rPr>
    </w:lvl>
    <w:lvl w:ilvl="6" w:tplc="04090001">
      <w:start w:val="1"/>
      <w:numFmt w:val="bullet"/>
      <w:lvlText w:val=""/>
      <w:lvlJc w:val="left"/>
      <w:pPr>
        <w:ind w:left="5099" w:hanging="360"/>
      </w:pPr>
      <w:rPr>
        <w:rFonts w:ascii="Symbol" w:hAnsi="Symbol" w:hint="default"/>
      </w:rPr>
    </w:lvl>
    <w:lvl w:ilvl="7" w:tplc="04090003">
      <w:start w:val="1"/>
      <w:numFmt w:val="bullet"/>
      <w:lvlText w:val="o"/>
      <w:lvlJc w:val="left"/>
      <w:pPr>
        <w:ind w:left="5819" w:hanging="360"/>
      </w:pPr>
      <w:rPr>
        <w:rFonts w:ascii="Courier New" w:hAnsi="Courier New" w:hint="default"/>
      </w:rPr>
    </w:lvl>
    <w:lvl w:ilvl="8" w:tplc="04090005">
      <w:start w:val="1"/>
      <w:numFmt w:val="bullet"/>
      <w:lvlText w:val=""/>
      <w:lvlJc w:val="left"/>
      <w:pPr>
        <w:ind w:left="6539" w:hanging="360"/>
      </w:pPr>
      <w:rPr>
        <w:rFonts w:ascii="Wingdings" w:hAnsi="Wingdings" w:hint="default"/>
      </w:rPr>
    </w:lvl>
  </w:abstractNum>
  <w:abstractNum w:abstractNumId="41" w15:restartNumberingAfterBreak="0">
    <w:nsid w:val="6667390B"/>
    <w:multiLevelType w:val="hybridMultilevel"/>
    <w:tmpl w:val="88942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6761C4E"/>
    <w:multiLevelType w:val="hybridMultilevel"/>
    <w:tmpl w:val="31CA7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74227FD"/>
    <w:multiLevelType w:val="hybridMultilevel"/>
    <w:tmpl w:val="ACF0178E"/>
    <w:lvl w:ilvl="0" w:tplc="00CE4422">
      <w:start w:val="1"/>
      <w:numFmt w:val="low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15:restartNumberingAfterBreak="0">
    <w:nsid w:val="6C124084"/>
    <w:multiLevelType w:val="hybridMultilevel"/>
    <w:tmpl w:val="9E2C7042"/>
    <w:lvl w:ilvl="0" w:tplc="036A5D22">
      <w:start w:val="1"/>
      <w:numFmt w:val="bullet"/>
      <w:lvlText w:val=""/>
      <w:lvlJc w:val="left"/>
      <w:pPr>
        <w:tabs>
          <w:tab w:val="num" w:pos="567"/>
        </w:tabs>
        <w:ind w:left="567" w:hanging="567"/>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D73285"/>
    <w:multiLevelType w:val="hybridMultilevel"/>
    <w:tmpl w:val="09F44C78"/>
    <w:lvl w:ilvl="0" w:tplc="00CE4422">
      <w:start w:val="1"/>
      <w:numFmt w:val="low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15:restartNumberingAfterBreak="0">
    <w:nsid w:val="75882F9E"/>
    <w:multiLevelType w:val="hybridMultilevel"/>
    <w:tmpl w:val="255C8A80"/>
    <w:lvl w:ilvl="0" w:tplc="B3B832CA">
      <w:start w:val="1"/>
      <w:numFmt w:val="decimal"/>
      <w:pStyle w:val="Header1"/>
      <w:lvlText w:val="%1."/>
      <w:lvlJc w:val="left"/>
      <w:pPr>
        <w:tabs>
          <w:tab w:val="num" w:pos="360"/>
        </w:tabs>
        <w:ind w:left="360" w:hanging="360"/>
      </w:pPr>
      <w:rPr>
        <w:rFonts w:cs="Times New Roman"/>
      </w:rPr>
    </w:lvl>
    <w:lvl w:ilvl="1" w:tplc="CD188580">
      <w:numFmt w:val="none"/>
      <w:lvlText w:val=""/>
      <w:lvlJc w:val="left"/>
      <w:pPr>
        <w:tabs>
          <w:tab w:val="num" w:pos="360"/>
        </w:tabs>
      </w:pPr>
      <w:rPr>
        <w:rFonts w:cs="Times New Roman"/>
      </w:rPr>
    </w:lvl>
    <w:lvl w:ilvl="2" w:tplc="FCDE7246">
      <w:numFmt w:val="none"/>
      <w:lvlText w:val=""/>
      <w:lvlJc w:val="left"/>
      <w:pPr>
        <w:tabs>
          <w:tab w:val="num" w:pos="360"/>
        </w:tabs>
      </w:pPr>
      <w:rPr>
        <w:rFonts w:cs="Times New Roman"/>
      </w:rPr>
    </w:lvl>
    <w:lvl w:ilvl="3" w:tplc="63B475F2">
      <w:numFmt w:val="none"/>
      <w:lvlText w:val=""/>
      <w:lvlJc w:val="left"/>
      <w:pPr>
        <w:tabs>
          <w:tab w:val="num" w:pos="360"/>
        </w:tabs>
      </w:pPr>
      <w:rPr>
        <w:rFonts w:cs="Times New Roman"/>
      </w:rPr>
    </w:lvl>
    <w:lvl w:ilvl="4" w:tplc="42C888BA">
      <w:numFmt w:val="none"/>
      <w:lvlText w:val=""/>
      <w:lvlJc w:val="left"/>
      <w:pPr>
        <w:tabs>
          <w:tab w:val="num" w:pos="360"/>
        </w:tabs>
      </w:pPr>
      <w:rPr>
        <w:rFonts w:cs="Times New Roman"/>
      </w:rPr>
    </w:lvl>
    <w:lvl w:ilvl="5" w:tplc="DA908454">
      <w:numFmt w:val="none"/>
      <w:lvlText w:val=""/>
      <w:lvlJc w:val="left"/>
      <w:pPr>
        <w:tabs>
          <w:tab w:val="num" w:pos="360"/>
        </w:tabs>
      </w:pPr>
      <w:rPr>
        <w:rFonts w:cs="Times New Roman"/>
      </w:rPr>
    </w:lvl>
    <w:lvl w:ilvl="6" w:tplc="0B1CAE02">
      <w:numFmt w:val="none"/>
      <w:lvlText w:val=""/>
      <w:lvlJc w:val="left"/>
      <w:pPr>
        <w:tabs>
          <w:tab w:val="num" w:pos="360"/>
        </w:tabs>
      </w:pPr>
      <w:rPr>
        <w:rFonts w:cs="Times New Roman"/>
      </w:rPr>
    </w:lvl>
    <w:lvl w:ilvl="7" w:tplc="37E26CA4">
      <w:numFmt w:val="none"/>
      <w:lvlText w:val=""/>
      <w:lvlJc w:val="left"/>
      <w:pPr>
        <w:tabs>
          <w:tab w:val="num" w:pos="360"/>
        </w:tabs>
      </w:pPr>
      <w:rPr>
        <w:rFonts w:cs="Times New Roman"/>
      </w:rPr>
    </w:lvl>
    <w:lvl w:ilvl="8" w:tplc="7102C32E">
      <w:numFmt w:val="none"/>
      <w:lvlText w:val=""/>
      <w:lvlJc w:val="left"/>
      <w:pPr>
        <w:tabs>
          <w:tab w:val="num" w:pos="360"/>
        </w:tabs>
      </w:pPr>
      <w:rPr>
        <w:rFonts w:cs="Times New Roman"/>
      </w:rPr>
    </w:lvl>
  </w:abstractNum>
  <w:abstractNum w:abstractNumId="47" w15:restartNumberingAfterBreak="0">
    <w:nsid w:val="76F9003E"/>
    <w:multiLevelType w:val="hybridMultilevel"/>
    <w:tmpl w:val="4112BC22"/>
    <w:lvl w:ilvl="0" w:tplc="D46CE83E">
      <w:start w:val="1"/>
      <w:numFmt w:val="lowerRoman"/>
      <w:lvlText w:val="(%1)"/>
      <w:lvlJc w:val="left"/>
      <w:pPr>
        <w:ind w:left="1720" w:hanging="100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8" w15:restartNumberingAfterBreak="0">
    <w:nsid w:val="77E67C22"/>
    <w:multiLevelType w:val="hybridMultilevel"/>
    <w:tmpl w:val="E710D872"/>
    <w:lvl w:ilvl="0" w:tplc="54A0D448">
      <w:start w:val="1"/>
      <w:numFmt w:val="bullet"/>
      <w:lvlText w:val=""/>
      <w:lvlJc w:val="left"/>
      <w:pPr>
        <w:tabs>
          <w:tab w:val="num" w:pos="360"/>
        </w:tabs>
        <w:ind w:left="360" w:hanging="360"/>
      </w:pPr>
      <w:rPr>
        <w:rFonts w:ascii="Symbol" w:hAnsi="Symbol" w:hint="default"/>
      </w:rPr>
    </w:lvl>
    <w:lvl w:ilvl="1" w:tplc="4F34D410">
      <w:start w:val="1"/>
      <w:numFmt w:val="bullet"/>
      <w:lvlText w:val="o"/>
      <w:lvlJc w:val="left"/>
      <w:pPr>
        <w:tabs>
          <w:tab w:val="num" w:pos="1080"/>
        </w:tabs>
        <w:ind w:left="1080" w:hanging="360"/>
      </w:pPr>
      <w:rPr>
        <w:rFonts w:ascii="Courier New" w:hAnsi="Courier New" w:hint="default"/>
      </w:rPr>
    </w:lvl>
    <w:lvl w:ilvl="2" w:tplc="03227280">
      <w:start w:val="1"/>
      <w:numFmt w:val="bullet"/>
      <w:lvlText w:val=""/>
      <w:lvlJc w:val="left"/>
      <w:pPr>
        <w:tabs>
          <w:tab w:val="num" w:pos="1800"/>
        </w:tabs>
        <w:ind w:left="1800" w:hanging="360"/>
      </w:pPr>
      <w:rPr>
        <w:rFonts w:ascii="Wingdings" w:hAnsi="Wingdings" w:hint="default"/>
      </w:rPr>
    </w:lvl>
    <w:lvl w:ilvl="3" w:tplc="0C44EE06">
      <w:start w:val="1"/>
      <w:numFmt w:val="bullet"/>
      <w:lvlText w:val=""/>
      <w:lvlJc w:val="left"/>
      <w:pPr>
        <w:tabs>
          <w:tab w:val="num" w:pos="2520"/>
        </w:tabs>
        <w:ind w:left="2520" w:hanging="360"/>
      </w:pPr>
      <w:rPr>
        <w:rFonts w:ascii="Symbol" w:hAnsi="Symbol" w:hint="default"/>
      </w:rPr>
    </w:lvl>
    <w:lvl w:ilvl="4" w:tplc="1AC8D74E">
      <w:start w:val="1"/>
      <w:numFmt w:val="bullet"/>
      <w:lvlText w:val="o"/>
      <w:lvlJc w:val="left"/>
      <w:pPr>
        <w:tabs>
          <w:tab w:val="num" w:pos="3240"/>
        </w:tabs>
        <w:ind w:left="3240" w:hanging="360"/>
      </w:pPr>
      <w:rPr>
        <w:rFonts w:ascii="Courier New" w:hAnsi="Courier New" w:hint="default"/>
      </w:rPr>
    </w:lvl>
    <w:lvl w:ilvl="5" w:tplc="64DA59E6">
      <w:start w:val="1"/>
      <w:numFmt w:val="bullet"/>
      <w:lvlText w:val=""/>
      <w:lvlJc w:val="left"/>
      <w:pPr>
        <w:tabs>
          <w:tab w:val="num" w:pos="3960"/>
        </w:tabs>
        <w:ind w:left="3960" w:hanging="360"/>
      </w:pPr>
      <w:rPr>
        <w:rFonts w:ascii="Wingdings" w:hAnsi="Wingdings" w:hint="default"/>
      </w:rPr>
    </w:lvl>
    <w:lvl w:ilvl="6" w:tplc="58EE1C60">
      <w:start w:val="1"/>
      <w:numFmt w:val="bullet"/>
      <w:lvlText w:val=""/>
      <w:lvlJc w:val="left"/>
      <w:pPr>
        <w:tabs>
          <w:tab w:val="num" w:pos="4680"/>
        </w:tabs>
        <w:ind w:left="4680" w:hanging="360"/>
      </w:pPr>
      <w:rPr>
        <w:rFonts w:ascii="Symbol" w:hAnsi="Symbol" w:hint="default"/>
      </w:rPr>
    </w:lvl>
    <w:lvl w:ilvl="7" w:tplc="153AA840">
      <w:start w:val="1"/>
      <w:numFmt w:val="bullet"/>
      <w:lvlText w:val="o"/>
      <w:lvlJc w:val="left"/>
      <w:pPr>
        <w:tabs>
          <w:tab w:val="num" w:pos="5400"/>
        </w:tabs>
        <w:ind w:left="5400" w:hanging="360"/>
      </w:pPr>
      <w:rPr>
        <w:rFonts w:ascii="Courier New" w:hAnsi="Courier New" w:hint="default"/>
      </w:rPr>
    </w:lvl>
    <w:lvl w:ilvl="8" w:tplc="3C54B432">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8F34572"/>
    <w:multiLevelType w:val="hybridMultilevel"/>
    <w:tmpl w:val="09F44C78"/>
    <w:lvl w:ilvl="0" w:tplc="00CE4422">
      <w:start w:val="1"/>
      <w:numFmt w:val="low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6"/>
  </w:num>
  <w:num w:numId="2">
    <w:abstractNumId w:val="48"/>
  </w:num>
  <w:num w:numId="3">
    <w:abstractNumId w:val="23"/>
  </w:num>
  <w:num w:numId="4">
    <w:abstractNumId w:val="5"/>
  </w:num>
  <w:num w:numId="5">
    <w:abstractNumId w:val="46"/>
  </w:num>
  <w:num w:numId="6">
    <w:abstractNumId w:val="16"/>
  </w:num>
  <w:num w:numId="7">
    <w:abstractNumId w:val="38"/>
  </w:num>
  <w:num w:numId="8">
    <w:abstractNumId w:val="47"/>
  </w:num>
  <w:num w:numId="9">
    <w:abstractNumId w:val="1"/>
  </w:num>
  <w:num w:numId="10">
    <w:abstractNumId w:val="33"/>
  </w:num>
  <w:num w:numId="11">
    <w:abstractNumId w:val="19"/>
  </w:num>
  <w:num w:numId="12">
    <w:abstractNumId w:val="3"/>
  </w:num>
  <w:num w:numId="13">
    <w:abstractNumId w:val="40"/>
  </w:num>
  <w:num w:numId="14">
    <w:abstractNumId w:val="9"/>
  </w:num>
  <w:num w:numId="15">
    <w:abstractNumId w:val="22"/>
  </w:num>
  <w:num w:numId="16">
    <w:abstractNumId w:val="43"/>
  </w:num>
  <w:num w:numId="17">
    <w:abstractNumId w:val="8"/>
  </w:num>
  <w:num w:numId="18">
    <w:abstractNumId w:val="28"/>
  </w:num>
  <w:num w:numId="19">
    <w:abstractNumId w:val="35"/>
  </w:num>
  <w:num w:numId="20">
    <w:abstractNumId w:val="17"/>
  </w:num>
  <w:num w:numId="21">
    <w:abstractNumId w:val="30"/>
  </w:num>
  <w:num w:numId="22">
    <w:abstractNumId w:val="4"/>
  </w:num>
  <w:num w:numId="23">
    <w:abstractNumId w:val="44"/>
  </w:num>
  <w:num w:numId="24">
    <w:abstractNumId w:val="13"/>
  </w:num>
  <w:num w:numId="25">
    <w:abstractNumId w:val="24"/>
  </w:num>
  <w:num w:numId="26">
    <w:abstractNumId w:val="14"/>
  </w:num>
  <w:num w:numId="27">
    <w:abstractNumId w:val="12"/>
  </w:num>
  <w:num w:numId="28">
    <w:abstractNumId w:val="27"/>
  </w:num>
  <w:num w:numId="29">
    <w:abstractNumId w:val="20"/>
  </w:num>
  <w:num w:numId="30">
    <w:abstractNumId w:val="29"/>
  </w:num>
  <w:num w:numId="31">
    <w:abstractNumId w:val="49"/>
  </w:num>
  <w:num w:numId="32">
    <w:abstractNumId w:val="45"/>
  </w:num>
  <w:num w:numId="33">
    <w:abstractNumId w:val="37"/>
  </w:num>
  <w:num w:numId="34">
    <w:abstractNumId w:val="6"/>
  </w:num>
  <w:num w:numId="35">
    <w:abstractNumId w:val="0"/>
  </w:num>
  <w:num w:numId="36">
    <w:abstractNumId w:val="39"/>
  </w:num>
  <w:num w:numId="37">
    <w:abstractNumId w:val="10"/>
  </w:num>
  <w:num w:numId="38">
    <w:abstractNumId w:val="11"/>
  </w:num>
  <w:num w:numId="39">
    <w:abstractNumId w:val="36"/>
  </w:num>
  <w:num w:numId="40">
    <w:abstractNumId w:val="2"/>
  </w:num>
  <w:num w:numId="41">
    <w:abstractNumId w:val="34"/>
  </w:num>
  <w:num w:numId="42">
    <w:abstractNumId w:val="7"/>
  </w:num>
  <w:num w:numId="43">
    <w:abstractNumId w:val="15"/>
  </w:num>
  <w:num w:numId="44">
    <w:abstractNumId w:val="31"/>
  </w:num>
  <w:num w:numId="45">
    <w:abstractNumId w:val="41"/>
  </w:num>
  <w:num w:numId="46">
    <w:abstractNumId w:val="25"/>
  </w:num>
  <w:num w:numId="47">
    <w:abstractNumId w:val="21"/>
  </w:num>
  <w:num w:numId="48">
    <w:abstractNumId w:val="42"/>
  </w:num>
  <w:num w:numId="49">
    <w:abstractNumId w:val="18"/>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7"/>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63"/>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4A1"/>
    <w:rsid w:val="00000564"/>
    <w:rsid w:val="000013A7"/>
    <w:rsid w:val="00001DF6"/>
    <w:rsid w:val="00002077"/>
    <w:rsid w:val="000024DB"/>
    <w:rsid w:val="0000348E"/>
    <w:rsid w:val="000039A5"/>
    <w:rsid w:val="00007497"/>
    <w:rsid w:val="00007C2A"/>
    <w:rsid w:val="00011B88"/>
    <w:rsid w:val="00013782"/>
    <w:rsid w:val="0001470D"/>
    <w:rsid w:val="00014F79"/>
    <w:rsid w:val="00015A1C"/>
    <w:rsid w:val="00020017"/>
    <w:rsid w:val="00020700"/>
    <w:rsid w:val="0002096D"/>
    <w:rsid w:val="000220F9"/>
    <w:rsid w:val="0002377C"/>
    <w:rsid w:val="0002460C"/>
    <w:rsid w:val="00024621"/>
    <w:rsid w:val="00024F3D"/>
    <w:rsid w:val="000269DC"/>
    <w:rsid w:val="0003027B"/>
    <w:rsid w:val="00031FDF"/>
    <w:rsid w:val="00032173"/>
    <w:rsid w:val="000345E1"/>
    <w:rsid w:val="00034A59"/>
    <w:rsid w:val="00034CF4"/>
    <w:rsid w:val="000365D1"/>
    <w:rsid w:val="000369F4"/>
    <w:rsid w:val="00037280"/>
    <w:rsid w:val="00040BBC"/>
    <w:rsid w:val="00041155"/>
    <w:rsid w:val="00042537"/>
    <w:rsid w:val="000427D6"/>
    <w:rsid w:val="00043E5E"/>
    <w:rsid w:val="000442C8"/>
    <w:rsid w:val="000443DA"/>
    <w:rsid w:val="00044F1B"/>
    <w:rsid w:val="00046FC4"/>
    <w:rsid w:val="00050972"/>
    <w:rsid w:val="00052973"/>
    <w:rsid w:val="00053168"/>
    <w:rsid w:val="00053D87"/>
    <w:rsid w:val="0005413B"/>
    <w:rsid w:val="000547C0"/>
    <w:rsid w:val="00055768"/>
    <w:rsid w:val="0005678F"/>
    <w:rsid w:val="00056F47"/>
    <w:rsid w:val="000606E6"/>
    <w:rsid w:val="000611DA"/>
    <w:rsid w:val="0006196D"/>
    <w:rsid w:val="00061D06"/>
    <w:rsid w:val="00062015"/>
    <w:rsid w:val="00062B4C"/>
    <w:rsid w:val="000639F6"/>
    <w:rsid w:val="000653CE"/>
    <w:rsid w:val="00066250"/>
    <w:rsid w:val="00066D3E"/>
    <w:rsid w:val="000678AA"/>
    <w:rsid w:val="00067C61"/>
    <w:rsid w:val="000708A6"/>
    <w:rsid w:val="00070D78"/>
    <w:rsid w:val="00070FCE"/>
    <w:rsid w:val="00072F56"/>
    <w:rsid w:val="000730CA"/>
    <w:rsid w:val="00073F6B"/>
    <w:rsid w:val="000740B4"/>
    <w:rsid w:val="00076CB1"/>
    <w:rsid w:val="00080B30"/>
    <w:rsid w:val="0008165B"/>
    <w:rsid w:val="000816F2"/>
    <w:rsid w:val="00081D17"/>
    <w:rsid w:val="00087329"/>
    <w:rsid w:val="00087E59"/>
    <w:rsid w:val="00087F23"/>
    <w:rsid w:val="00090642"/>
    <w:rsid w:val="00090723"/>
    <w:rsid w:val="00096E03"/>
    <w:rsid w:val="000A00CE"/>
    <w:rsid w:val="000A0341"/>
    <w:rsid w:val="000A0708"/>
    <w:rsid w:val="000A2423"/>
    <w:rsid w:val="000A2871"/>
    <w:rsid w:val="000A528D"/>
    <w:rsid w:val="000A7DA5"/>
    <w:rsid w:val="000B0299"/>
    <w:rsid w:val="000B1BB0"/>
    <w:rsid w:val="000B1F81"/>
    <w:rsid w:val="000B2204"/>
    <w:rsid w:val="000B54DD"/>
    <w:rsid w:val="000B742F"/>
    <w:rsid w:val="000B75BE"/>
    <w:rsid w:val="000C01EA"/>
    <w:rsid w:val="000C120A"/>
    <w:rsid w:val="000C12C1"/>
    <w:rsid w:val="000C523B"/>
    <w:rsid w:val="000C6C86"/>
    <w:rsid w:val="000C7A1C"/>
    <w:rsid w:val="000C7A88"/>
    <w:rsid w:val="000C7FB8"/>
    <w:rsid w:val="000D56FD"/>
    <w:rsid w:val="000D71E0"/>
    <w:rsid w:val="000D7C81"/>
    <w:rsid w:val="000E1557"/>
    <w:rsid w:val="000E24B0"/>
    <w:rsid w:val="000E26E9"/>
    <w:rsid w:val="000E27D3"/>
    <w:rsid w:val="000E2B69"/>
    <w:rsid w:val="000E2D71"/>
    <w:rsid w:val="000E3AFA"/>
    <w:rsid w:val="000E4310"/>
    <w:rsid w:val="000F11AC"/>
    <w:rsid w:val="000F1D73"/>
    <w:rsid w:val="000F1E7C"/>
    <w:rsid w:val="000F3DA6"/>
    <w:rsid w:val="000F568D"/>
    <w:rsid w:val="000F6B75"/>
    <w:rsid w:val="000F75FC"/>
    <w:rsid w:val="001009E9"/>
    <w:rsid w:val="001013A4"/>
    <w:rsid w:val="00104E05"/>
    <w:rsid w:val="001119D7"/>
    <w:rsid w:val="00112568"/>
    <w:rsid w:val="00112D3A"/>
    <w:rsid w:val="00115E28"/>
    <w:rsid w:val="0011684C"/>
    <w:rsid w:val="001171D2"/>
    <w:rsid w:val="00117779"/>
    <w:rsid w:val="001178D6"/>
    <w:rsid w:val="00117E39"/>
    <w:rsid w:val="00122217"/>
    <w:rsid w:val="00127A86"/>
    <w:rsid w:val="001304FA"/>
    <w:rsid w:val="00130BAF"/>
    <w:rsid w:val="00131765"/>
    <w:rsid w:val="00132D98"/>
    <w:rsid w:val="00133482"/>
    <w:rsid w:val="00133654"/>
    <w:rsid w:val="001356C5"/>
    <w:rsid w:val="0013581F"/>
    <w:rsid w:val="00135B85"/>
    <w:rsid w:val="00135B8D"/>
    <w:rsid w:val="00137A2D"/>
    <w:rsid w:val="00143F66"/>
    <w:rsid w:val="00145B32"/>
    <w:rsid w:val="00147022"/>
    <w:rsid w:val="00147509"/>
    <w:rsid w:val="0015059B"/>
    <w:rsid w:val="00150FD4"/>
    <w:rsid w:val="001515D9"/>
    <w:rsid w:val="001519B1"/>
    <w:rsid w:val="00152AEE"/>
    <w:rsid w:val="00152B90"/>
    <w:rsid w:val="00153E70"/>
    <w:rsid w:val="00157F22"/>
    <w:rsid w:val="001607AB"/>
    <w:rsid w:val="00161046"/>
    <w:rsid w:val="0016126C"/>
    <w:rsid w:val="00162104"/>
    <w:rsid w:val="00162518"/>
    <w:rsid w:val="00162DDB"/>
    <w:rsid w:val="00162E4C"/>
    <w:rsid w:val="0016410C"/>
    <w:rsid w:val="00164648"/>
    <w:rsid w:val="00166222"/>
    <w:rsid w:val="0016657D"/>
    <w:rsid w:val="001673D5"/>
    <w:rsid w:val="00167DBB"/>
    <w:rsid w:val="001725E7"/>
    <w:rsid w:val="0017356D"/>
    <w:rsid w:val="00173DB9"/>
    <w:rsid w:val="00174590"/>
    <w:rsid w:val="0017569C"/>
    <w:rsid w:val="00180BE4"/>
    <w:rsid w:val="00181619"/>
    <w:rsid w:val="00181F57"/>
    <w:rsid w:val="00184C1A"/>
    <w:rsid w:val="00184D52"/>
    <w:rsid w:val="0018696A"/>
    <w:rsid w:val="00187EAA"/>
    <w:rsid w:val="00190E3E"/>
    <w:rsid w:val="0019412F"/>
    <w:rsid w:val="001949F8"/>
    <w:rsid w:val="0019501F"/>
    <w:rsid w:val="001A119D"/>
    <w:rsid w:val="001A152B"/>
    <w:rsid w:val="001A3296"/>
    <w:rsid w:val="001A3F44"/>
    <w:rsid w:val="001A5748"/>
    <w:rsid w:val="001A6F12"/>
    <w:rsid w:val="001B007B"/>
    <w:rsid w:val="001B241A"/>
    <w:rsid w:val="001B2DB6"/>
    <w:rsid w:val="001B40F1"/>
    <w:rsid w:val="001B5494"/>
    <w:rsid w:val="001B5DB5"/>
    <w:rsid w:val="001B70C2"/>
    <w:rsid w:val="001C060A"/>
    <w:rsid w:val="001C64F2"/>
    <w:rsid w:val="001C6C42"/>
    <w:rsid w:val="001D0217"/>
    <w:rsid w:val="001D1764"/>
    <w:rsid w:val="001D199A"/>
    <w:rsid w:val="001D6271"/>
    <w:rsid w:val="001D6B4C"/>
    <w:rsid w:val="001D7D7F"/>
    <w:rsid w:val="001E0B2C"/>
    <w:rsid w:val="001E18FD"/>
    <w:rsid w:val="001E24CC"/>
    <w:rsid w:val="001E283A"/>
    <w:rsid w:val="001E2B22"/>
    <w:rsid w:val="001E2DA0"/>
    <w:rsid w:val="001E3326"/>
    <w:rsid w:val="001E36E7"/>
    <w:rsid w:val="001E4498"/>
    <w:rsid w:val="001E4787"/>
    <w:rsid w:val="001E55CC"/>
    <w:rsid w:val="001E6282"/>
    <w:rsid w:val="001E75A3"/>
    <w:rsid w:val="001F34E0"/>
    <w:rsid w:val="001F4353"/>
    <w:rsid w:val="001F47E9"/>
    <w:rsid w:val="001F4C43"/>
    <w:rsid w:val="001F6A51"/>
    <w:rsid w:val="001F74D8"/>
    <w:rsid w:val="001F7C39"/>
    <w:rsid w:val="00201776"/>
    <w:rsid w:val="00201B5C"/>
    <w:rsid w:val="00202919"/>
    <w:rsid w:val="00204F1A"/>
    <w:rsid w:val="00206196"/>
    <w:rsid w:val="002063C5"/>
    <w:rsid w:val="00210214"/>
    <w:rsid w:val="002102EB"/>
    <w:rsid w:val="002105B1"/>
    <w:rsid w:val="002112A7"/>
    <w:rsid w:val="002117A0"/>
    <w:rsid w:val="002148FF"/>
    <w:rsid w:val="00215E42"/>
    <w:rsid w:val="002172E8"/>
    <w:rsid w:val="002178C3"/>
    <w:rsid w:val="0022123D"/>
    <w:rsid w:val="0022394C"/>
    <w:rsid w:val="00224648"/>
    <w:rsid w:val="00226338"/>
    <w:rsid w:val="0023137D"/>
    <w:rsid w:val="00234239"/>
    <w:rsid w:val="00234AED"/>
    <w:rsid w:val="00236D64"/>
    <w:rsid w:val="0023714E"/>
    <w:rsid w:val="00237778"/>
    <w:rsid w:val="00240184"/>
    <w:rsid w:val="002401ED"/>
    <w:rsid w:val="00241837"/>
    <w:rsid w:val="00243720"/>
    <w:rsid w:val="002445E1"/>
    <w:rsid w:val="00245C66"/>
    <w:rsid w:val="002463EA"/>
    <w:rsid w:val="00246D12"/>
    <w:rsid w:val="0024715F"/>
    <w:rsid w:val="0024757F"/>
    <w:rsid w:val="00247B7D"/>
    <w:rsid w:val="00247CD3"/>
    <w:rsid w:val="0025194B"/>
    <w:rsid w:val="00252047"/>
    <w:rsid w:val="00252F2F"/>
    <w:rsid w:val="00253C2F"/>
    <w:rsid w:val="00253FF3"/>
    <w:rsid w:val="00254208"/>
    <w:rsid w:val="00255276"/>
    <w:rsid w:val="00255752"/>
    <w:rsid w:val="00255EAD"/>
    <w:rsid w:val="00257925"/>
    <w:rsid w:val="00257D9C"/>
    <w:rsid w:val="0026038F"/>
    <w:rsid w:val="00260F74"/>
    <w:rsid w:val="0026175F"/>
    <w:rsid w:val="00262835"/>
    <w:rsid w:val="00264833"/>
    <w:rsid w:val="00264C03"/>
    <w:rsid w:val="002659B9"/>
    <w:rsid w:val="00267FD7"/>
    <w:rsid w:val="00270F3D"/>
    <w:rsid w:val="00273B8E"/>
    <w:rsid w:val="00274927"/>
    <w:rsid w:val="002756EA"/>
    <w:rsid w:val="00275F44"/>
    <w:rsid w:val="00276672"/>
    <w:rsid w:val="00276B96"/>
    <w:rsid w:val="00277ADD"/>
    <w:rsid w:val="00280C65"/>
    <w:rsid w:val="002810A9"/>
    <w:rsid w:val="00281621"/>
    <w:rsid w:val="00281A37"/>
    <w:rsid w:val="002834A1"/>
    <w:rsid w:val="002843F3"/>
    <w:rsid w:val="00284A52"/>
    <w:rsid w:val="0028680C"/>
    <w:rsid w:val="00286F4D"/>
    <w:rsid w:val="00287E98"/>
    <w:rsid w:val="002915B6"/>
    <w:rsid w:val="00292F26"/>
    <w:rsid w:val="00293B8F"/>
    <w:rsid w:val="00294273"/>
    <w:rsid w:val="002A0B28"/>
    <w:rsid w:val="002A3CCF"/>
    <w:rsid w:val="002A3D59"/>
    <w:rsid w:val="002A3E19"/>
    <w:rsid w:val="002A4A18"/>
    <w:rsid w:val="002A59B9"/>
    <w:rsid w:val="002A7C19"/>
    <w:rsid w:val="002B0D43"/>
    <w:rsid w:val="002B2532"/>
    <w:rsid w:val="002B3C31"/>
    <w:rsid w:val="002B415B"/>
    <w:rsid w:val="002B42E0"/>
    <w:rsid w:val="002B4346"/>
    <w:rsid w:val="002B5942"/>
    <w:rsid w:val="002B59CF"/>
    <w:rsid w:val="002B5DD1"/>
    <w:rsid w:val="002B60A5"/>
    <w:rsid w:val="002B774F"/>
    <w:rsid w:val="002C00BE"/>
    <w:rsid w:val="002C2405"/>
    <w:rsid w:val="002C3141"/>
    <w:rsid w:val="002C3B0C"/>
    <w:rsid w:val="002C3B5B"/>
    <w:rsid w:val="002C4054"/>
    <w:rsid w:val="002C41CC"/>
    <w:rsid w:val="002C4350"/>
    <w:rsid w:val="002C4396"/>
    <w:rsid w:val="002C573D"/>
    <w:rsid w:val="002C59F3"/>
    <w:rsid w:val="002C5E98"/>
    <w:rsid w:val="002C7E56"/>
    <w:rsid w:val="002D0ADC"/>
    <w:rsid w:val="002D1980"/>
    <w:rsid w:val="002D23F3"/>
    <w:rsid w:val="002D3401"/>
    <w:rsid w:val="002D4E80"/>
    <w:rsid w:val="002D5B57"/>
    <w:rsid w:val="002D67CE"/>
    <w:rsid w:val="002D6DD5"/>
    <w:rsid w:val="002D7B86"/>
    <w:rsid w:val="002E0543"/>
    <w:rsid w:val="002E261F"/>
    <w:rsid w:val="002E34FD"/>
    <w:rsid w:val="002E5C5D"/>
    <w:rsid w:val="002E6B65"/>
    <w:rsid w:val="002F0992"/>
    <w:rsid w:val="002F1DCF"/>
    <w:rsid w:val="002F2B2D"/>
    <w:rsid w:val="002F3993"/>
    <w:rsid w:val="002F512C"/>
    <w:rsid w:val="002F7D8B"/>
    <w:rsid w:val="00301C68"/>
    <w:rsid w:val="003034BE"/>
    <w:rsid w:val="003036DD"/>
    <w:rsid w:val="00303E7C"/>
    <w:rsid w:val="00305305"/>
    <w:rsid w:val="00305655"/>
    <w:rsid w:val="003059A0"/>
    <w:rsid w:val="003078AC"/>
    <w:rsid w:val="0031108A"/>
    <w:rsid w:val="00311A4D"/>
    <w:rsid w:val="003128F0"/>
    <w:rsid w:val="00313353"/>
    <w:rsid w:val="00315066"/>
    <w:rsid w:val="0031753E"/>
    <w:rsid w:val="00320221"/>
    <w:rsid w:val="00320ED6"/>
    <w:rsid w:val="00321EE6"/>
    <w:rsid w:val="00321FB7"/>
    <w:rsid w:val="00322081"/>
    <w:rsid w:val="00322610"/>
    <w:rsid w:val="00322AB2"/>
    <w:rsid w:val="00323093"/>
    <w:rsid w:val="003247C6"/>
    <w:rsid w:val="0032623B"/>
    <w:rsid w:val="0033131D"/>
    <w:rsid w:val="00331C5A"/>
    <w:rsid w:val="003325E1"/>
    <w:rsid w:val="0033310E"/>
    <w:rsid w:val="003336B4"/>
    <w:rsid w:val="00333A64"/>
    <w:rsid w:val="0033577D"/>
    <w:rsid w:val="00337104"/>
    <w:rsid w:val="00337554"/>
    <w:rsid w:val="003406F0"/>
    <w:rsid w:val="00341395"/>
    <w:rsid w:val="0034191B"/>
    <w:rsid w:val="00341FE7"/>
    <w:rsid w:val="003424DE"/>
    <w:rsid w:val="0034318E"/>
    <w:rsid w:val="00344351"/>
    <w:rsid w:val="00344AB8"/>
    <w:rsid w:val="00344D1E"/>
    <w:rsid w:val="00346A65"/>
    <w:rsid w:val="00350B84"/>
    <w:rsid w:val="00352D69"/>
    <w:rsid w:val="00353A91"/>
    <w:rsid w:val="00354E32"/>
    <w:rsid w:val="00356CC2"/>
    <w:rsid w:val="00356E7A"/>
    <w:rsid w:val="00361192"/>
    <w:rsid w:val="00361981"/>
    <w:rsid w:val="00365D8D"/>
    <w:rsid w:val="0037069E"/>
    <w:rsid w:val="0037155C"/>
    <w:rsid w:val="00371EF7"/>
    <w:rsid w:val="00372A7A"/>
    <w:rsid w:val="00372E63"/>
    <w:rsid w:val="00373416"/>
    <w:rsid w:val="00374952"/>
    <w:rsid w:val="00376B4E"/>
    <w:rsid w:val="00380189"/>
    <w:rsid w:val="00380365"/>
    <w:rsid w:val="0038077A"/>
    <w:rsid w:val="00382EF3"/>
    <w:rsid w:val="00385B2E"/>
    <w:rsid w:val="00385F7E"/>
    <w:rsid w:val="00387BE9"/>
    <w:rsid w:val="00387E4C"/>
    <w:rsid w:val="003924B9"/>
    <w:rsid w:val="00393897"/>
    <w:rsid w:val="00393C8D"/>
    <w:rsid w:val="00393FE3"/>
    <w:rsid w:val="003A32BA"/>
    <w:rsid w:val="003A43D8"/>
    <w:rsid w:val="003A78B4"/>
    <w:rsid w:val="003A7B61"/>
    <w:rsid w:val="003B0883"/>
    <w:rsid w:val="003B2187"/>
    <w:rsid w:val="003B2222"/>
    <w:rsid w:val="003B2945"/>
    <w:rsid w:val="003B4252"/>
    <w:rsid w:val="003B6050"/>
    <w:rsid w:val="003B66E5"/>
    <w:rsid w:val="003B70EE"/>
    <w:rsid w:val="003B751B"/>
    <w:rsid w:val="003C09F2"/>
    <w:rsid w:val="003C1625"/>
    <w:rsid w:val="003C29E0"/>
    <w:rsid w:val="003C38A0"/>
    <w:rsid w:val="003C47DB"/>
    <w:rsid w:val="003C4CD1"/>
    <w:rsid w:val="003C5985"/>
    <w:rsid w:val="003C67E1"/>
    <w:rsid w:val="003C6CAF"/>
    <w:rsid w:val="003C7C7B"/>
    <w:rsid w:val="003D0253"/>
    <w:rsid w:val="003D0AD6"/>
    <w:rsid w:val="003D25F9"/>
    <w:rsid w:val="003D28F3"/>
    <w:rsid w:val="003D2A49"/>
    <w:rsid w:val="003D3121"/>
    <w:rsid w:val="003D43CE"/>
    <w:rsid w:val="003D5C5F"/>
    <w:rsid w:val="003D6408"/>
    <w:rsid w:val="003D6F32"/>
    <w:rsid w:val="003D7016"/>
    <w:rsid w:val="003D7275"/>
    <w:rsid w:val="003E0223"/>
    <w:rsid w:val="003E05A3"/>
    <w:rsid w:val="003E0A6C"/>
    <w:rsid w:val="003E117F"/>
    <w:rsid w:val="003E22C3"/>
    <w:rsid w:val="003E3485"/>
    <w:rsid w:val="003E74E1"/>
    <w:rsid w:val="003F0573"/>
    <w:rsid w:val="003F1439"/>
    <w:rsid w:val="003F2621"/>
    <w:rsid w:val="003F26CB"/>
    <w:rsid w:val="003F28B7"/>
    <w:rsid w:val="003F3580"/>
    <w:rsid w:val="003F43C8"/>
    <w:rsid w:val="003F449C"/>
    <w:rsid w:val="003F563B"/>
    <w:rsid w:val="003F6C00"/>
    <w:rsid w:val="00400496"/>
    <w:rsid w:val="0040083F"/>
    <w:rsid w:val="0040668D"/>
    <w:rsid w:val="00410166"/>
    <w:rsid w:val="00411EE1"/>
    <w:rsid w:val="00412DE2"/>
    <w:rsid w:val="00413AE7"/>
    <w:rsid w:val="00415E61"/>
    <w:rsid w:val="00415FB0"/>
    <w:rsid w:val="004165E9"/>
    <w:rsid w:val="00417647"/>
    <w:rsid w:val="00421370"/>
    <w:rsid w:val="00421894"/>
    <w:rsid w:val="0042241C"/>
    <w:rsid w:val="0042264B"/>
    <w:rsid w:val="0042333F"/>
    <w:rsid w:val="00423EA6"/>
    <w:rsid w:val="00425C3D"/>
    <w:rsid w:val="0042666E"/>
    <w:rsid w:val="00426673"/>
    <w:rsid w:val="004272D5"/>
    <w:rsid w:val="00430FD0"/>
    <w:rsid w:val="00432538"/>
    <w:rsid w:val="004326B5"/>
    <w:rsid w:val="00432CED"/>
    <w:rsid w:val="00434C17"/>
    <w:rsid w:val="0043500D"/>
    <w:rsid w:val="004355FD"/>
    <w:rsid w:val="00436B0F"/>
    <w:rsid w:val="00437C38"/>
    <w:rsid w:val="00440AF2"/>
    <w:rsid w:val="00442E01"/>
    <w:rsid w:val="00444071"/>
    <w:rsid w:val="00444929"/>
    <w:rsid w:val="00444CD9"/>
    <w:rsid w:val="0044562A"/>
    <w:rsid w:val="004460E2"/>
    <w:rsid w:val="00450B83"/>
    <w:rsid w:val="004528FC"/>
    <w:rsid w:val="00455A18"/>
    <w:rsid w:val="00457202"/>
    <w:rsid w:val="00457F5E"/>
    <w:rsid w:val="004605A1"/>
    <w:rsid w:val="0046153D"/>
    <w:rsid w:val="0046164B"/>
    <w:rsid w:val="004624AE"/>
    <w:rsid w:val="00463C87"/>
    <w:rsid w:val="00464ABB"/>
    <w:rsid w:val="00464CE7"/>
    <w:rsid w:val="00466BDB"/>
    <w:rsid w:val="004670B6"/>
    <w:rsid w:val="00471813"/>
    <w:rsid w:val="00471FA2"/>
    <w:rsid w:val="00472B5C"/>
    <w:rsid w:val="00473BEF"/>
    <w:rsid w:val="00474528"/>
    <w:rsid w:val="0047661A"/>
    <w:rsid w:val="00476C3C"/>
    <w:rsid w:val="00476E6F"/>
    <w:rsid w:val="00477702"/>
    <w:rsid w:val="00477822"/>
    <w:rsid w:val="0048021B"/>
    <w:rsid w:val="00481EA9"/>
    <w:rsid w:val="00484C08"/>
    <w:rsid w:val="0048645F"/>
    <w:rsid w:val="004874C8"/>
    <w:rsid w:val="00487516"/>
    <w:rsid w:val="00487E94"/>
    <w:rsid w:val="00492BE0"/>
    <w:rsid w:val="00492F67"/>
    <w:rsid w:val="00493398"/>
    <w:rsid w:val="00493528"/>
    <w:rsid w:val="004935AD"/>
    <w:rsid w:val="00494860"/>
    <w:rsid w:val="00495C97"/>
    <w:rsid w:val="00495EAA"/>
    <w:rsid w:val="0049658D"/>
    <w:rsid w:val="004A0A5C"/>
    <w:rsid w:val="004A0EA4"/>
    <w:rsid w:val="004A2A7B"/>
    <w:rsid w:val="004A2B9B"/>
    <w:rsid w:val="004A315D"/>
    <w:rsid w:val="004A445B"/>
    <w:rsid w:val="004A4635"/>
    <w:rsid w:val="004A5FBD"/>
    <w:rsid w:val="004A645D"/>
    <w:rsid w:val="004A64F0"/>
    <w:rsid w:val="004B1470"/>
    <w:rsid w:val="004B1981"/>
    <w:rsid w:val="004B2AB3"/>
    <w:rsid w:val="004B2C9A"/>
    <w:rsid w:val="004B34A0"/>
    <w:rsid w:val="004B5D7C"/>
    <w:rsid w:val="004B71B5"/>
    <w:rsid w:val="004B73EB"/>
    <w:rsid w:val="004B7BD9"/>
    <w:rsid w:val="004B7F71"/>
    <w:rsid w:val="004C0697"/>
    <w:rsid w:val="004C1163"/>
    <w:rsid w:val="004C1985"/>
    <w:rsid w:val="004C51C6"/>
    <w:rsid w:val="004C51F4"/>
    <w:rsid w:val="004C547A"/>
    <w:rsid w:val="004C71DF"/>
    <w:rsid w:val="004C744C"/>
    <w:rsid w:val="004C76D6"/>
    <w:rsid w:val="004D11C3"/>
    <w:rsid w:val="004D5171"/>
    <w:rsid w:val="004D6772"/>
    <w:rsid w:val="004D701A"/>
    <w:rsid w:val="004D7552"/>
    <w:rsid w:val="004E19B7"/>
    <w:rsid w:val="004E230F"/>
    <w:rsid w:val="004E3416"/>
    <w:rsid w:val="004E4309"/>
    <w:rsid w:val="004E5B6C"/>
    <w:rsid w:val="004E6E2C"/>
    <w:rsid w:val="004E7628"/>
    <w:rsid w:val="004F0486"/>
    <w:rsid w:val="004F2EAF"/>
    <w:rsid w:val="004F5205"/>
    <w:rsid w:val="004F52C1"/>
    <w:rsid w:val="004F6947"/>
    <w:rsid w:val="004F6DB7"/>
    <w:rsid w:val="004F6FCB"/>
    <w:rsid w:val="004F735F"/>
    <w:rsid w:val="00502EE0"/>
    <w:rsid w:val="005030F7"/>
    <w:rsid w:val="0050438F"/>
    <w:rsid w:val="005075E7"/>
    <w:rsid w:val="0050762E"/>
    <w:rsid w:val="0051032E"/>
    <w:rsid w:val="0051039B"/>
    <w:rsid w:val="00511AFD"/>
    <w:rsid w:val="00511FAF"/>
    <w:rsid w:val="00514410"/>
    <w:rsid w:val="00516400"/>
    <w:rsid w:val="00520266"/>
    <w:rsid w:val="00521353"/>
    <w:rsid w:val="00522D48"/>
    <w:rsid w:val="0052519F"/>
    <w:rsid w:val="005256AE"/>
    <w:rsid w:val="00526C98"/>
    <w:rsid w:val="0052725B"/>
    <w:rsid w:val="00530E74"/>
    <w:rsid w:val="005331F2"/>
    <w:rsid w:val="0053458E"/>
    <w:rsid w:val="0053513E"/>
    <w:rsid w:val="00536620"/>
    <w:rsid w:val="005419FA"/>
    <w:rsid w:val="00542A4A"/>
    <w:rsid w:val="005431B9"/>
    <w:rsid w:val="00543399"/>
    <w:rsid w:val="005438C7"/>
    <w:rsid w:val="00544615"/>
    <w:rsid w:val="005455A5"/>
    <w:rsid w:val="00546374"/>
    <w:rsid w:val="005463CF"/>
    <w:rsid w:val="005476F3"/>
    <w:rsid w:val="00547CCF"/>
    <w:rsid w:val="00550C3F"/>
    <w:rsid w:val="00551830"/>
    <w:rsid w:val="005525AC"/>
    <w:rsid w:val="00552887"/>
    <w:rsid w:val="00553C98"/>
    <w:rsid w:val="00553D83"/>
    <w:rsid w:val="00553D97"/>
    <w:rsid w:val="00556846"/>
    <w:rsid w:val="00557A1B"/>
    <w:rsid w:val="00557AB3"/>
    <w:rsid w:val="00560CFD"/>
    <w:rsid w:val="00561E62"/>
    <w:rsid w:val="00563356"/>
    <w:rsid w:val="005634C5"/>
    <w:rsid w:val="00563C6D"/>
    <w:rsid w:val="00564420"/>
    <w:rsid w:val="00567C4A"/>
    <w:rsid w:val="00570DDF"/>
    <w:rsid w:val="005724AB"/>
    <w:rsid w:val="00572E64"/>
    <w:rsid w:val="0057356B"/>
    <w:rsid w:val="00573AE5"/>
    <w:rsid w:val="00574C7E"/>
    <w:rsid w:val="0057567D"/>
    <w:rsid w:val="0057679A"/>
    <w:rsid w:val="0058127D"/>
    <w:rsid w:val="0058218F"/>
    <w:rsid w:val="00582E0A"/>
    <w:rsid w:val="00584E82"/>
    <w:rsid w:val="005870FC"/>
    <w:rsid w:val="0059041C"/>
    <w:rsid w:val="00592856"/>
    <w:rsid w:val="00593A91"/>
    <w:rsid w:val="00593FC1"/>
    <w:rsid w:val="00594461"/>
    <w:rsid w:val="005972F0"/>
    <w:rsid w:val="005A0A31"/>
    <w:rsid w:val="005A1DD6"/>
    <w:rsid w:val="005A3F7F"/>
    <w:rsid w:val="005A410D"/>
    <w:rsid w:val="005A43D4"/>
    <w:rsid w:val="005A4617"/>
    <w:rsid w:val="005A4E80"/>
    <w:rsid w:val="005A6524"/>
    <w:rsid w:val="005B0212"/>
    <w:rsid w:val="005B0956"/>
    <w:rsid w:val="005B3200"/>
    <w:rsid w:val="005B3859"/>
    <w:rsid w:val="005B5C11"/>
    <w:rsid w:val="005B64EA"/>
    <w:rsid w:val="005B6E92"/>
    <w:rsid w:val="005C3EA2"/>
    <w:rsid w:val="005C44B9"/>
    <w:rsid w:val="005C4C06"/>
    <w:rsid w:val="005C5526"/>
    <w:rsid w:val="005C64F7"/>
    <w:rsid w:val="005C70D5"/>
    <w:rsid w:val="005C748E"/>
    <w:rsid w:val="005D03EC"/>
    <w:rsid w:val="005D0572"/>
    <w:rsid w:val="005D0601"/>
    <w:rsid w:val="005D12D3"/>
    <w:rsid w:val="005D3360"/>
    <w:rsid w:val="005D61F0"/>
    <w:rsid w:val="005D64FD"/>
    <w:rsid w:val="005D6CAB"/>
    <w:rsid w:val="005D7664"/>
    <w:rsid w:val="005E4864"/>
    <w:rsid w:val="005E4F4C"/>
    <w:rsid w:val="005E6603"/>
    <w:rsid w:val="005E6A04"/>
    <w:rsid w:val="005E7BE7"/>
    <w:rsid w:val="005F0B9F"/>
    <w:rsid w:val="005F0C1B"/>
    <w:rsid w:val="005F0D8B"/>
    <w:rsid w:val="005F280C"/>
    <w:rsid w:val="005F315D"/>
    <w:rsid w:val="005F336F"/>
    <w:rsid w:val="005F7DEF"/>
    <w:rsid w:val="0060082A"/>
    <w:rsid w:val="00601B1F"/>
    <w:rsid w:val="00601F31"/>
    <w:rsid w:val="00602494"/>
    <w:rsid w:val="00602BBB"/>
    <w:rsid w:val="0060364F"/>
    <w:rsid w:val="00605E8B"/>
    <w:rsid w:val="00610CAC"/>
    <w:rsid w:val="00611967"/>
    <w:rsid w:val="006129D6"/>
    <w:rsid w:val="006154FE"/>
    <w:rsid w:val="0061681D"/>
    <w:rsid w:val="00620BC0"/>
    <w:rsid w:val="00621B8B"/>
    <w:rsid w:val="006233B1"/>
    <w:rsid w:val="00624A79"/>
    <w:rsid w:val="00624D34"/>
    <w:rsid w:val="00625791"/>
    <w:rsid w:val="0062662A"/>
    <w:rsid w:val="006271C7"/>
    <w:rsid w:val="00630F64"/>
    <w:rsid w:val="0063130F"/>
    <w:rsid w:val="0063178A"/>
    <w:rsid w:val="00631904"/>
    <w:rsid w:val="00632049"/>
    <w:rsid w:val="0063228A"/>
    <w:rsid w:val="0063380C"/>
    <w:rsid w:val="00634393"/>
    <w:rsid w:val="006347BE"/>
    <w:rsid w:val="00635AE5"/>
    <w:rsid w:val="00636181"/>
    <w:rsid w:val="00637E32"/>
    <w:rsid w:val="0064347C"/>
    <w:rsid w:val="00644E46"/>
    <w:rsid w:val="00645DCC"/>
    <w:rsid w:val="00647F85"/>
    <w:rsid w:val="00650A1C"/>
    <w:rsid w:val="00650D2A"/>
    <w:rsid w:val="00651824"/>
    <w:rsid w:val="00653121"/>
    <w:rsid w:val="00653BE9"/>
    <w:rsid w:val="00654E9D"/>
    <w:rsid w:val="00656298"/>
    <w:rsid w:val="006579A9"/>
    <w:rsid w:val="00657E5A"/>
    <w:rsid w:val="0066225D"/>
    <w:rsid w:val="00662F54"/>
    <w:rsid w:val="00663C7C"/>
    <w:rsid w:val="00666C7A"/>
    <w:rsid w:val="00667903"/>
    <w:rsid w:val="00670486"/>
    <w:rsid w:val="00671F4E"/>
    <w:rsid w:val="00672900"/>
    <w:rsid w:val="0067290E"/>
    <w:rsid w:val="00672F24"/>
    <w:rsid w:val="00673677"/>
    <w:rsid w:val="00673C7B"/>
    <w:rsid w:val="006745F8"/>
    <w:rsid w:val="00674AF4"/>
    <w:rsid w:val="00675BEA"/>
    <w:rsid w:val="00677405"/>
    <w:rsid w:val="006803E8"/>
    <w:rsid w:val="00680EB7"/>
    <w:rsid w:val="00681FBC"/>
    <w:rsid w:val="00682E41"/>
    <w:rsid w:val="006856E5"/>
    <w:rsid w:val="00685FE0"/>
    <w:rsid w:val="00692C2D"/>
    <w:rsid w:val="006931A8"/>
    <w:rsid w:val="00693311"/>
    <w:rsid w:val="00694837"/>
    <w:rsid w:val="00694F54"/>
    <w:rsid w:val="006A19C0"/>
    <w:rsid w:val="006A3087"/>
    <w:rsid w:val="006A33A6"/>
    <w:rsid w:val="006A4913"/>
    <w:rsid w:val="006A4FA8"/>
    <w:rsid w:val="006A5434"/>
    <w:rsid w:val="006A560B"/>
    <w:rsid w:val="006A57A8"/>
    <w:rsid w:val="006A6394"/>
    <w:rsid w:val="006B4754"/>
    <w:rsid w:val="006B545A"/>
    <w:rsid w:val="006B55C1"/>
    <w:rsid w:val="006B5DFB"/>
    <w:rsid w:val="006B6D7E"/>
    <w:rsid w:val="006C0466"/>
    <w:rsid w:val="006C0DB4"/>
    <w:rsid w:val="006C0F6E"/>
    <w:rsid w:val="006C2339"/>
    <w:rsid w:val="006C2ECC"/>
    <w:rsid w:val="006C47A7"/>
    <w:rsid w:val="006C4C75"/>
    <w:rsid w:val="006C67C6"/>
    <w:rsid w:val="006C67F8"/>
    <w:rsid w:val="006C78C7"/>
    <w:rsid w:val="006C7FEE"/>
    <w:rsid w:val="006D1B24"/>
    <w:rsid w:val="006D641B"/>
    <w:rsid w:val="006D7538"/>
    <w:rsid w:val="006D7CBA"/>
    <w:rsid w:val="006E1CBA"/>
    <w:rsid w:val="006E3A6F"/>
    <w:rsid w:val="006E4C2A"/>
    <w:rsid w:val="006E540D"/>
    <w:rsid w:val="006E6A20"/>
    <w:rsid w:val="006E7494"/>
    <w:rsid w:val="006F04FD"/>
    <w:rsid w:val="006F2DA1"/>
    <w:rsid w:val="006F3B39"/>
    <w:rsid w:val="006F4C0D"/>
    <w:rsid w:val="006F599E"/>
    <w:rsid w:val="006F6687"/>
    <w:rsid w:val="006F6E1D"/>
    <w:rsid w:val="006F7BE8"/>
    <w:rsid w:val="00700CDA"/>
    <w:rsid w:val="00701CCF"/>
    <w:rsid w:val="00701E84"/>
    <w:rsid w:val="00703CB2"/>
    <w:rsid w:val="00703F37"/>
    <w:rsid w:val="007042B6"/>
    <w:rsid w:val="00704F68"/>
    <w:rsid w:val="00706577"/>
    <w:rsid w:val="00706BC8"/>
    <w:rsid w:val="00707CE2"/>
    <w:rsid w:val="007103C1"/>
    <w:rsid w:val="00711120"/>
    <w:rsid w:val="007145CA"/>
    <w:rsid w:val="00716C47"/>
    <w:rsid w:val="007179EB"/>
    <w:rsid w:val="0072140C"/>
    <w:rsid w:val="0072261B"/>
    <w:rsid w:val="00724BE9"/>
    <w:rsid w:val="00727870"/>
    <w:rsid w:val="00727F98"/>
    <w:rsid w:val="00730037"/>
    <w:rsid w:val="0073075A"/>
    <w:rsid w:val="0073325D"/>
    <w:rsid w:val="00733D15"/>
    <w:rsid w:val="007342D6"/>
    <w:rsid w:val="007346BE"/>
    <w:rsid w:val="0073681B"/>
    <w:rsid w:val="00736962"/>
    <w:rsid w:val="00736A8E"/>
    <w:rsid w:val="00737387"/>
    <w:rsid w:val="00740C32"/>
    <w:rsid w:val="00740D91"/>
    <w:rsid w:val="00742F47"/>
    <w:rsid w:val="00743680"/>
    <w:rsid w:val="00744964"/>
    <w:rsid w:val="00751199"/>
    <w:rsid w:val="0075194A"/>
    <w:rsid w:val="00751BEB"/>
    <w:rsid w:val="00752036"/>
    <w:rsid w:val="0075254C"/>
    <w:rsid w:val="0075259D"/>
    <w:rsid w:val="00752711"/>
    <w:rsid w:val="00754BFE"/>
    <w:rsid w:val="00756614"/>
    <w:rsid w:val="007574DB"/>
    <w:rsid w:val="00757970"/>
    <w:rsid w:val="0076013F"/>
    <w:rsid w:val="00760762"/>
    <w:rsid w:val="00761A00"/>
    <w:rsid w:val="00761F98"/>
    <w:rsid w:val="00763922"/>
    <w:rsid w:val="00763BC8"/>
    <w:rsid w:val="007641DC"/>
    <w:rsid w:val="0076443A"/>
    <w:rsid w:val="007649E2"/>
    <w:rsid w:val="00767C59"/>
    <w:rsid w:val="007703D4"/>
    <w:rsid w:val="00772583"/>
    <w:rsid w:val="00773725"/>
    <w:rsid w:val="00774198"/>
    <w:rsid w:val="00774A3C"/>
    <w:rsid w:val="00775FE6"/>
    <w:rsid w:val="007771B0"/>
    <w:rsid w:val="007779BE"/>
    <w:rsid w:val="00777F87"/>
    <w:rsid w:val="00780207"/>
    <w:rsid w:val="0078116D"/>
    <w:rsid w:val="00784677"/>
    <w:rsid w:val="0078479E"/>
    <w:rsid w:val="00785D12"/>
    <w:rsid w:val="00786755"/>
    <w:rsid w:val="007870DB"/>
    <w:rsid w:val="007871A0"/>
    <w:rsid w:val="007901E8"/>
    <w:rsid w:val="00792684"/>
    <w:rsid w:val="0079386A"/>
    <w:rsid w:val="00794DF8"/>
    <w:rsid w:val="00794ED1"/>
    <w:rsid w:val="007952C1"/>
    <w:rsid w:val="00795858"/>
    <w:rsid w:val="00795D44"/>
    <w:rsid w:val="00796183"/>
    <w:rsid w:val="007969FA"/>
    <w:rsid w:val="007A04E8"/>
    <w:rsid w:val="007A14C6"/>
    <w:rsid w:val="007A1B6F"/>
    <w:rsid w:val="007A2242"/>
    <w:rsid w:val="007A3995"/>
    <w:rsid w:val="007A485C"/>
    <w:rsid w:val="007A66F1"/>
    <w:rsid w:val="007A6B65"/>
    <w:rsid w:val="007A7385"/>
    <w:rsid w:val="007A7542"/>
    <w:rsid w:val="007A7643"/>
    <w:rsid w:val="007B21B7"/>
    <w:rsid w:val="007B244F"/>
    <w:rsid w:val="007B4544"/>
    <w:rsid w:val="007B5128"/>
    <w:rsid w:val="007B6756"/>
    <w:rsid w:val="007B6E30"/>
    <w:rsid w:val="007B75B9"/>
    <w:rsid w:val="007B7916"/>
    <w:rsid w:val="007C0BAC"/>
    <w:rsid w:val="007C136A"/>
    <w:rsid w:val="007C1D70"/>
    <w:rsid w:val="007C1E7F"/>
    <w:rsid w:val="007C2DF0"/>
    <w:rsid w:val="007C3467"/>
    <w:rsid w:val="007C40DF"/>
    <w:rsid w:val="007C574E"/>
    <w:rsid w:val="007C75E1"/>
    <w:rsid w:val="007C7E39"/>
    <w:rsid w:val="007D2C22"/>
    <w:rsid w:val="007D3CE1"/>
    <w:rsid w:val="007D7151"/>
    <w:rsid w:val="007D768C"/>
    <w:rsid w:val="007E0B9F"/>
    <w:rsid w:val="007E188F"/>
    <w:rsid w:val="007E4A79"/>
    <w:rsid w:val="007E701D"/>
    <w:rsid w:val="007E7C17"/>
    <w:rsid w:val="007E7F7A"/>
    <w:rsid w:val="007F0048"/>
    <w:rsid w:val="007F1A1F"/>
    <w:rsid w:val="007F3359"/>
    <w:rsid w:val="007F3AEA"/>
    <w:rsid w:val="007F50E4"/>
    <w:rsid w:val="007F6782"/>
    <w:rsid w:val="007F6BD3"/>
    <w:rsid w:val="007F6F3F"/>
    <w:rsid w:val="007F7071"/>
    <w:rsid w:val="00800FA9"/>
    <w:rsid w:val="00802BCB"/>
    <w:rsid w:val="0080438E"/>
    <w:rsid w:val="00804AE9"/>
    <w:rsid w:val="00804CFA"/>
    <w:rsid w:val="00805604"/>
    <w:rsid w:val="00807630"/>
    <w:rsid w:val="0080789A"/>
    <w:rsid w:val="008111D3"/>
    <w:rsid w:val="008124F9"/>
    <w:rsid w:val="008133B6"/>
    <w:rsid w:val="00816738"/>
    <w:rsid w:val="0081685E"/>
    <w:rsid w:val="0081689F"/>
    <w:rsid w:val="00817F5A"/>
    <w:rsid w:val="008207D8"/>
    <w:rsid w:val="00823305"/>
    <w:rsid w:val="00823E96"/>
    <w:rsid w:val="0082411B"/>
    <w:rsid w:val="00824301"/>
    <w:rsid w:val="00824459"/>
    <w:rsid w:val="00825A66"/>
    <w:rsid w:val="00826E1D"/>
    <w:rsid w:val="00831984"/>
    <w:rsid w:val="00831C7E"/>
    <w:rsid w:val="00832422"/>
    <w:rsid w:val="008326A8"/>
    <w:rsid w:val="00832A2A"/>
    <w:rsid w:val="00833CEE"/>
    <w:rsid w:val="00833D5C"/>
    <w:rsid w:val="008346AA"/>
    <w:rsid w:val="00835104"/>
    <w:rsid w:val="0083589B"/>
    <w:rsid w:val="008358B8"/>
    <w:rsid w:val="00836831"/>
    <w:rsid w:val="008371A2"/>
    <w:rsid w:val="00837ABA"/>
    <w:rsid w:val="00840159"/>
    <w:rsid w:val="008408BF"/>
    <w:rsid w:val="00840AE5"/>
    <w:rsid w:val="00840B41"/>
    <w:rsid w:val="00842F2F"/>
    <w:rsid w:val="00844BF8"/>
    <w:rsid w:val="00844D42"/>
    <w:rsid w:val="00845600"/>
    <w:rsid w:val="008463C7"/>
    <w:rsid w:val="00846D01"/>
    <w:rsid w:val="008503DA"/>
    <w:rsid w:val="00850442"/>
    <w:rsid w:val="00854B28"/>
    <w:rsid w:val="00854C42"/>
    <w:rsid w:val="0085538C"/>
    <w:rsid w:val="00855E20"/>
    <w:rsid w:val="008560F6"/>
    <w:rsid w:val="00856137"/>
    <w:rsid w:val="0085698D"/>
    <w:rsid w:val="00857B4A"/>
    <w:rsid w:val="00860BFC"/>
    <w:rsid w:val="00862001"/>
    <w:rsid w:val="00862292"/>
    <w:rsid w:val="00863DB4"/>
    <w:rsid w:val="008669F5"/>
    <w:rsid w:val="00866B73"/>
    <w:rsid w:val="00866FB9"/>
    <w:rsid w:val="0086754F"/>
    <w:rsid w:val="0087009E"/>
    <w:rsid w:val="008707FF"/>
    <w:rsid w:val="00870A05"/>
    <w:rsid w:val="00871D1C"/>
    <w:rsid w:val="00872078"/>
    <w:rsid w:val="00872973"/>
    <w:rsid w:val="00873504"/>
    <w:rsid w:val="00874639"/>
    <w:rsid w:val="00874B6B"/>
    <w:rsid w:val="00874FB3"/>
    <w:rsid w:val="008750D9"/>
    <w:rsid w:val="00875257"/>
    <w:rsid w:val="0087678A"/>
    <w:rsid w:val="00876AAB"/>
    <w:rsid w:val="008776E7"/>
    <w:rsid w:val="00881A20"/>
    <w:rsid w:val="008824D0"/>
    <w:rsid w:val="00882E6C"/>
    <w:rsid w:val="00883F8E"/>
    <w:rsid w:val="00884C93"/>
    <w:rsid w:val="008911FC"/>
    <w:rsid w:val="00891881"/>
    <w:rsid w:val="008935E8"/>
    <w:rsid w:val="0089375C"/>
    <w:rsid w:val="00894B8C"/>
    <w:rsid w:val="008953AB"/>
    <w:rsid w:val="00895606"/>
    <w:rsid w:val="0089646A"/>
    <w:rsid w:val="00896954"/>
    <w:rsid w:val="00897828"/>
    <w:rsid w:val="008978A1"/>
    <w:rsid w:val="008A0D23"/>
    <w:rsid w:val="008A3FB1"/>
    <w:rsid w:val="008A4071"/>
    <w:rsid w:val="008A409D"/>
    <w:rsid w:val="008A52FF"/>
    <w:rsid w:val="008A5413"/>
    <w:rsid w:val="008B0CDD"/>
    <w:rsid w:val="008B276E"/>
    <w:rsid w:val="008B587E"/>
    <w:rsid w:val="008B6CF0"/>
    <w:rsid w:val="008C2138"/>
    <w:rsid w:val="008C3658"/>
    <w:rsid w:val="008C3DCF"/>
    <w:rsid w:val="008C4FFC"/>
    <w:rsid w:val="008C570C"/>
    <w:rsid w:val="008C587B"/>
    <w:rsid w:val="008C5A57"/>
    <w:rsid w:val="008C5D82"/>
    <w:rsid w:val="008C699C"/>
    <w:rsid w:val="008C6AE9"/>
    <w:rsid w:val="008D1270"/>
    <w:rsid w:val="008D339D"/>
    <w:rsid w:val="008D346D"/>
    <w:rsid w:val="008D3590"/>
    <w:rsid w:val="008D54F2"/>
    <w:rsid w:val="008D55EC"/>
    <w:rsid w:val="008D66F8"/>
    <w:rsid w:val="008E0873"/>
    <w:rsid w:val="008E31C5"/>
    <w:rsid w:val="008E3C8E"/>
    <w:rsid w:val="008E6000"/>
    <w:rsid w:val="008E66B8"/>
    <w:rsid w:val="008F079C"/>
    <w:rsid w:val="008F133F"/>
    <w:rsid w:val="008F5FC9"/>
    <w:rsid w:val="0090076A"/>
    <w:rsid w:val="009016C8"/>
    <w:rsid w:val="00902449"/>
    <w:rsid w:val="0090446B"/>
    <w:rsid w:val="009052B5"/>
    <w:rsid w:val="009064F2"/>
    <w:rsid w:val="00907117"/>
    <w:rsid w:val="00907806"/>
    <w:rsid w:val="00911950"/>
    <w:rsid w:val="009120E2"/>
    <w:rsid w:val="0091228E"/>
    <w:rsid w:val="00912FE8"/>
    <w:rsid w:val="00914D05"/>
    <w:rsid w:val="009212B6"/>
    <w:rsid w:val="00923DB2"/>
    <w:rsid w:val="00924673"/>
    <w:rsid w:val="009251D8"/>
    <w:rsid w:val="0092532B"/>
    <w:rsid w:val="009270BD"/>
    <w:rsid w:val="009302A2"/>
    <w:rsid w:val="00930324"/>
    <w:rsid w:val="00931FCD"/>
    <w:rsid w:val="00932EE0"/>
    <w:rsid w:val="00933BC1"/>
    <w:rsid w:val="00935E1D"/>
    <w:rsid w:val="00936E65"/>
    <w:rsid w:val="00940E47"/>
    <w:rsid w:val="0094260C"/>
    <w:rsid w:val="00944E52"/>
    <w:rsid w:val="00945359"/>
    <w:rsid w:val="00945608"/>
    <w:rsid w:val="00945909"/>
    <w:rsid w:val="00945A99"/>
    <w:rsid w:val="00945D55"/>
    <w:rsid w:val="009501D8"/>
    <w:rsid w:val="0095166E"/>
    <w:rsid w:val="00951AB3"/>
    <w:rsid w:val="00951E94"/>
    <w:rsid w:val="00952580"/>
    <w:rsid w:val="009538A2"/>
    <w:rsid w:val="00953D0B"/>
    <w:rsid w:val="00955BBB"/>
    <w:rsid w:val="00956947"/>
    <w:rsid w:val="0095794D"/>
    <w:rsid w:val="0096101F"/>
    <w:rsid w:val="009622C8"/>
    <w:rsid w:val="00963335"/>
    <w:rsid w:val="00965013"/>
    <w:rsid w:val="009652C7"/>
    <w:rsid w:val="00965845"/>
    <w:rsid w:val="0096660D"/>
    <w:rsid w:val="00966BB0"/>
    <w:rsid w:val="00972651"/>
    <w:rsid w:val="00974256"/>
    <w:rsid w:val="00974400"/>
    <w:rsid w:val="00974C0C"/>
    <w:rsid w:val="00974DF4"/>
    <w:rsid w:val="0097510B"/>
    <w:rsid w:val="009813FF"/>
    <w:rsid w:val="00982BFD"/>
    <w:rsid w:val="0098358F"/>
    <w:rsid w:val="00984D84"/>
    <w:rsid w:val="00985962"/>
    <w:rsid w:val="00986587"/>
    <w:rsid w:val="009865C6"/>
    <w:rsid w:val="00990AA7"/>
    <w:rsid w:val="009923F1"/>
    <w:rsid w:val="009928B7"/>
    <w:rsid w:val="009952A5"/>
    <w:rsid w:val="00996228"/>
    <w:rsid w:val="00996489"/>
    <w:rsid w:val="00997C81"/>
    <w:rsid w:val="009A1AFC"/>
    <w:rsid w:val="009A2652"/>
    <w:rsid w:val="009A28F4"/>
    <w:rsid w:val="009A334E"/>
    <w:rsid w:val="009A357C"/>
    <w:rsid w:val="009A4AAC"/>
    <w:rsid w:val="009A4EBC"/>
    <w:rsid w:val="009A67D6"/>
    <w:rsid w:val="009A6AD8"/>
    <w:rsid w:val="009A6BE9"/>
    <w:rsid w:val="009A7744"/>
    <w:rsid w:val="009A7EEF"/>
    <w:rsid w:val="009B0D23"/>
    <w:rsid w:val="009B0DE0"/>
    <w:rsid w:val="009B2959"/>
    <w:rsid w:val="009B4888"/>
    <w:rsid w:val="009B4AAE"/>
    <w:rsid w:val="009B572F"/>
    <w:rsid w:val="009B5A7F"/>
    <w:rsid w:val="009B7C79"/>
    <w:rsid w:val="009C0B03"/>
    <w:rsid w:val="009C22CD"/>
    <w:rsid w:val="009C3450"/>
    <w:rsid w:val="009C48F7"/>
    <w:rsid w:val="009C507F"/>
    <w:rsid w:val="009C5349"/>
    <w:rsid w:val="009D10CF"/>
    <w:rsid w:val="009D19ED"/>
    <w:rsid w:val="009D25A4"/>
    <w:rsid w:val="009D26B9"/>
    <w:rsid w:val="009D31CA"/>
    <w:rsid w:val="009D49E4"/>
    <w:rsid w:val="009D4A5B"/>
    <w:rsid w:val="009D4C91"/>
    <w:rsid w:val="009D5209"/>
    <w:rsid w:val="009D61BD"/>
    <w:rsid w:val="009D63C2"/>
    <w:rsid w:val="009D6AE5"/>
    <w:rsid w:val="009D6F6B"/>
    <w:rsid w:val="009D73EA"/>
    <w:rsid w:val="009D77F8"/>
    <w:rsid w:val="009E0F02"/>
    <w:rsid w:val="009E3E21"/>
    <w:rsid w:val="009E3E52"/>
    <w:rsid w:val="009E4833"/>
    <w:rsid w:val="009E499B"/>
    <w:rsid w:val="009E5B08"/>
    <w:rsid w:val="009E6CF6"/>
    <w:rsid w:val="009F0A0C"/>
    <w:rsid w:val="009F106F"/>
    <w:rsid w:val="009F1474"/>
    <w:rsid w:val="009F20CC"/>
    <w:rsid w:val="009F216F"/>
    <w:rsid w:val="009F27F1"/>
    <w:rsid w:val="009F3A11"/>
    <w:rsid w:val="009F5221"/>
    <w:rsid w:val="009F69D5"/>
    <w:rsid w:val="009F6E6F"/>
    <w:rsid w:val="009F76C4"/>
    <w:rsid w:val="00A00A5E"/>
    <w:rsid w:val="00A00C1F"/>
    <w:rsid w:val="00A00C2C"/>
    <w:rsid w:val="00A0406F"/>
    <w:rsid w:val="00A052BE"/>
    <w:rsid w:val="00A078B8"/>
    <w:rsid w:val="00A07B24"/>
    <w:rsid w:val="00A10ECB"/>
    <w:rsid w:val="00A12D36"/>
    <w:rsid w:val="00A1333E"/>
    <w:rsid w:val="00A14D06"/>
    <w:rsid w:val="00A16685"/>
    <w:rsid w:val="00A16E01"/>
    <w:rsid w:val="00A21995"/>
    <w:rsid w:val="00A25258"/>
    <w:rsid w:val="00A255B4"/>
    <w:rsid w:val="00A26790"/>
    <w:rsid w:val="00A269A3"/>
    <w:rsid w:val="00A26A03"/>
    <w:rsid w:val="00A27CB4"/>
    <w:rsid w:val="00A31D67"/>
    <w:rsid w:val="00A333D8"/>
    <w:rsid w:val="00A33451"/>
    <w:rsid w:val="00A36250"/>
    <w:rsid w:val="00A42743"/>
    <w:rsid w:val="00A42A87"/>
    <w:rsid w:val="00A44CCB"/>
    <w:rsid w:val="00A44F06"/>
    <w:rsid w:val="00A46741"/>
    <w:rsid w:val="00A4674B"/>
    <w:rsid w:val="00A47F5E"/>
    <w:rsid w:val="00A51E62"/>
    <w:rsid w:val="00A534D5"/>
    <w:rsid w:val="00A54271"/>
    <w:rsid w:val="00A554B6"/>
    <w:rsid w:val="00A55551"/>
    <w:rsid w:val="00A55DD2"/>
    <w:rsid w:val="00A56464"/>
    <w:rsid w:val="00A56BB7"/>
    <w:rsid w:val="00A5733E"/>
    <w:rsid w:val="00A57504"/>
    <w:rsid w:val="00A6056F"/>
    <w:rsid w:val="00A606C4"/>
    <w:rsid w:val="00A616B5"/>
    <w:rsid w:val="00A62B22"/>
    <w:rsid w:val="00A654E7"/>
    <w:rsid w:val="00A67FCA"/>
    <w:rsid w:val="00A70073"/>
    <w:rsid w:val="00A70F51"/>
    <w:rsid w:val="00A711AE"/>
    <w:rsid w:val="00A72488"/>
    <w:rsid w:val="00A726DB"/>
    <w:rsid w:val="00A73CA8"/>
    <w:rsid w:val="00A74B8F"/>
    <w:rsid w:val="00A75832"/>
    <w:rsid w:val="00A80DFD"/>
    <w:rsid w:val="00A812FE"/>
    <w:rsid w:val="00A82F43"/>
    <w:rsid w:val="00A83B25"/>
    <w:rsid w:val="00A8498A"/>
    <w:rsid w:val="00A84FE5"/>
    <w:rsid w:val="00A8547D"/>
    <w:rsid w:val="00A90173"/>
    <w:rsid w:val="00A90891"/>
    <w:rsid w:val="00A91BC7"/>
    <w:rsid w:val="00A92B50"/>
    <w:rsid w:val="00A93BC5"/>
    <w:rsid w:val="00A94FB7"/>
    <w:rsid w:val="00A9706C"/>
    <w:rsid w:val="00A974BF"/>
    <w:rsid w:val="00A97A48"/>
    <w:rsid w:val="00AA02C9"/>
    <w:rsid w:val="00AA134B"/>
    <w:rsid w:val="00AA1CC3"/>
    <w:rsid w:val="00AA24F8"/>
    <w:rsid w:val="00AA2B54"/>
    <w:rsid w:val="00AA3E00"/>
    <w:rsid w:val="00AA49EB"/>
    <w:rsid w:val="00AA7629"/>
    <w:rsid w:val="00AB0D5E"/>
    <w:rsid w:val="00AB0E16"/>
    <w:rsid w:val="00AB1500"/>
    <w:rsid w:val="00AB3106"/>
    <w:rsid w:val="00AB36D1"/>
    <w:rsid w:val="00AB428F"/>
    <w:rsid w:val="00AB5C23"/>
    <w:rsid w:val="00AB62BD"/>
    <w:rsid w:val="00AB7076"/>
    <w:rsid w:val="00AC11F9"/>
    <w:rsid w:val="00AC17E4"/>
    <w:rsid w:val="00AC32EC"/>
    <w:rsid w:val="00AC39E7"/>
    <w:rsid w:val="00AC5F15"/>
    <w:rsid w:val="00AC63FE"/>
    <w:rsid w:val="00AD07F8"/>
    <w:rsid w:val="00AD28B9"/>
    <w:rsid w:val="00AD469B"/>
    <w:rsid w:val="00AD6307"/>
    <w:rsid w:val="00AD64DE"/>
    <w:rsid w:val="00AD6F60"/>
    <w:rsid w:val="00AD7E7B"/>
    <w:rsid w:val="00AE17B7"/>
    <w:rsid w:val="00AE1AAB"/>
    <w:rsid w:val="00AE390D"/>
    <w:rsid w:val="00AE5C63"/>
    <w:rsid w:val="00AE75F7"/>
    <w:rsid w:val="00AE7C4E"/>
    <w:rsid w:val="00AF003C"/>
    <w:rsid w:val="00AF0700"/>
    <w:rsid w:val="00AF110B"/>
    <w:rsid w:val="00AF1255"/>
    <w:rsid w:val="00AF1CB3"/>
    <w:rsid w:val="00AF264A"/>
    <w:rsid w:val="00AF4F6A"/>
    <w:rsid w:val="00AF5252"/>
    <w:rsid w:val="00AF536D"/>
    <w:rsid w:val="00AF66D5"/>
    <w:rsid w:val="00AF759F"/>
    <w:rsid w:val="00B00A88"/>
    <w:rsid w:val="00B00E31"/>
    <w:rsid w:val="00B00EC4"/>
    <w:rsid w:val="00B01D39"/>
    <w:rsid w:val="00B02AE6"/>
    <w:rsid w:val="00B02ECB"/>
    <w:rsid w:val="00B04BAA"/>
    <w:rsid w:val="00B0557D"/>
    <w:rsid w:val="00B05593"/>
    <w:rsid w:val="00B0586F"/>
    <w:rsid w:val="00B05B19"/>
    <w:rsid w:val="00B1005C"/>
    <w:rsid w:val="00B10C4F"/>
    <w:rsid w:val="00B10FEF"/>
    <w:rsid w:val="00B1131D"/>
    <w:rsid w:val="00B115E5"/>
    <w:rsid w:val="00B13F1C"/>
    <w:rsid w:val="00B14757"/>
    <w:rsid w:val="00B15628"/>
    <w:rsid w:val="00B15646"/>
    <w:rsid w:val="00B163B7"/>
    <w:rsid w:val="00B175A8"/>
    <w:rsid w:val="00B21459"/>
    <w:rsid w:val="00B22283"/>
    <w:rsid w:val="00B222C0"/>
    <w:rsid w:val="00B24680"/>
    <w:rsid w:val="00B278AE"/>
    <w:rsid w:val="00B27A89"/>
    <w:rsid w:val="00B27CCE"/>
    <w:rsid w:val="00B31B18"/>
    <w:rsid w:val="00B32DCA"/>
    <w:rsid w:val="00B33A1F"/>
    <w:rsid w:val="00B357E9"/>
    <w:rsid w:val="00B3613E"/>
    <w:rsid w:val="00B36792"/>
    <w:rsid w:val="00B37520"/>
    <w:rsid w:val="00B40DA0"/>
    <w:rsid w:val="00B4324D"/>
    <w:rsid w:val="00B43948"/>
    <w:rsid w:val="00B46CB0"/>
    <w:rsid w:val="00B4786C"/>
    <w:rsid w:val="00B502EF"/>
    <w:rsid w:val="00B5086C"/>
    <w:rsid w:val="00B5201D"/>
    <w:rsid w:val="00B534D8"/>
    <w:rsid w:val="00B57A5B"/>
    <w:rsid w:val="00B60136"/>
    <w:rsid w:val="00B61109"/>
    <w:rsid w:val="00B63328"/>
    <w:rsid w:val="00B648AA"/>
    <w:rsid w:val="00B66500"/>
    <w:rsid w:val="00B72755"/>
    <w:rsid w:val="00B75270"/>
    <w:rsid w:val="00B759BE"/>
    <w:rsid w:val="00B75C46"/>
    <w:rsid w:val="00B80AAB"/>
    <w:rsid w:val="00B8104C"/>
    <w:rsid w:val="00B82C72"/>
    <w:rsid w:val="00B832A1"/>
    <w:rsid w:val="00B848B9"/>
    <w:rsid w:val="00B872D6"/>
    <w:rsid w:val="00B87560"/>
    <w:rsid w:val="00B92C3A"/>
    <w:rsid w:val="00B93A33"/>
    <w:rsid w:val="00B955B9"/>
    <w:rsid w:val="00B96AC2"/>
    <w:rsid w:val="00B97D40"/>
    <w:rsid w:val="00BA0282"/>
    <w:rsid w:val="00BA0FDF"/>
    <w:rsid w:val="00BA48C7"/>
    <w:rsid w:val="00BA6B14"/>
    <w:rsid w:val="00BA6FA3"/>
    <w:rsid w:val="00BB0F99"/>
    <w:rsid w:val="00BB23A0"/>
    <w:rsid w:val="00BB2602"/>
    <w:rsid w:val="00BB2792"/>
    <w:rsid w:val="00BB28A5"/>
    <w:rsid w:val="00BB491B"/>
    <w:rsid w:val="00BB55FB"/>
    <w:rsid w:val="00BB58F9"/>
    <w:rsid w:val="00BB5BC0"/>
    <w:rsid w:val="00BB712F"/>
    <w:rsid w:val="00BB7683"/>
    <w:rsid w:val="00BC1FE7"/>
    <w:rsid w:val="00BC24B6"/>
    <w:rsid w:val="00BC28DA"/>
    <w:rsid w:val="00BC5536"/>
    <w:rsid w:val="00BC6020"/>
    <w:rsid w:val="00BC7901"/>
    <w:rsid w:val="00BD076C"/>
    <w:rsid w:val="00BD07B0"/>
    <w:rsid w:val="00BD094D"/>
    <w:rsid w:val="00BD13CA"/>
    <w:rsid w:val="00BD1998"/>
    <w:rsid w:val="00BD3E93"/>
    <w:rsid w:val="00BD4875"/>
    <w:rsid w:val="00BD51D5"/>
    <w:rsid w:val="00BD5EFB"/>
    <w:rsid w:val="00BD73AA"/>
    <w:rsid w:val="00BD763D"/>
    <w:rsid w:val="00BE1BB9"/>
    <w:rsid w:val="00BE2058"/>
    <w:rsid w:val="00BE3474"/>
    <w:rsid w:val="00BF0FA1"/>
    <w:rsid w:val="00BF4D89"/>
    <w:rsid w:val="00BF4F33"/>
    <w:rsid w:val="00BF5211"/>
    <w:rsid w:val="00BF5DD2"/>
    <w:rsid w:val="00BF608C"/>
    <w:rsid w:val="00BF7835"/>
    <w:rsid w:val="00C00643"/>
    <w:rsid w:val="00C00B7C"/>
    <w:rsid w:val="00C01062"/>
    <w:rsid w:val="00C027BB"/>
    <w:rsid w:val="00C04976"/>
    <w:rsid w:val="00C04995"/>
    <w:rsid w:val="00C075FE"/>
    <w:rsid w:val="00C10464"/>
    <w:rsid w:val="00C1141C"/>
    <w:rsid w:val="00C12CFF"/>
    <w:rsid w:val="00C14F6E"/>
    <w:rsid w:val="00C15B19"/>
    <w:rsid w:val="00C16731"/>
    <w:rsid w:val="00C16F50"/>
    <w:rsid w:val="00C2228D"/>
    <w:rsid w:val="00C2369F"/>
    <w:rsid w:val="00C247E8"/>
    <w:rsid w:val="00C24BFA"/>
    <w:rsid w:val="00C25330"/>
    <w:rsid w:val="00C2639E"/>
    <w:rsid w:val="00C27077"/>
    <w:rsid w:val="00C32191"/>
    <w:rsid w:val="00C32761"/>
    <w:rsid w:val="00C335AC"/>
    <w:rsid w:val="00C336B3"/>
    <w:rsid w:val="00C34CF3"/>
    <w:rsid w:val="00C37339"/>
    <w:rsid w:val="00C411E9"/>
    <w:rsid w:val="00C444EB"/>
    <w:rsid w:val="00C44F69"/>
    <w:rsid w:val="00C4678E"/>
    <w:rsid w:val="00C505E2"/>
    <w:rsid w:val="00C51223"/>
    <w:rsid w:val="00C52F62"/>
    <w:rsid w:val="00C540D8"/>
    <w:rsid w:val="00C54FD6"/>
    <w:rsid w:val="00C56171"/>
    <w:rsid w:val="00C57046"/>
    <w:rsid w:val="00C57B32"/>
    <w:rsid w:val="00C62689"/>
    <w:rsid w:val="00C64984"/>
    <w:rsid w:val="00C6503D"/>
    <w:rsid w:val="00C66057"/>
    <w:rsid w:val="00C67B2F"/>
    <w:rsid w:val="00C67E8B"/>
    <w:rsid w:val="00C70425"/>
    <w:rsid w:val="00C70883"/>
    <w:rsid w:val="00C71B92"/>
    <w:rsid w:val="00C72FD3"/>
    <w:rsid w:val="00C74692"/>
    <w:rsid w:val="00C74F72"/>
    <w:rsid w:val="00C766C6"/>
    <w:rsid w:val="00C806B4"/>
    <w:rsid w:val="00C80B5D"/>
    <w:rsid w:val="00C83E7F"/>
    <w:rsid w:val="00C83F49"/>
    <w:rsid w:val="00C84FB3"/>
    <w:rsid w:val="00C85C13"/>
    <w:rsid w:val="00C86197"/>
    <w:rsid w:val="00C8725E"/>
    <w:rsid w:val="00C874E2"/>
    <w:rsid w:val="00C87FC2"/>
    <w:rsid w:val="00C90DD5"/>
    <w:rsid w:val="00C9185B"/>
    <w:rsid w:val="00C934FE"/>
    <w:rsid w:val="00C93F9A"/>
    <w:rsid w:val="00C94FA1"/>
    <w:rsid w:val="00C95955"/>
    <w:rsid w:val="00C977B2"/>
    <w:rsid w:val="00CA0BFF"/>
    <w:rsid w:val="00CA1ACD"/>
    <w:rsid w:val="00CA1D55"/>
    <w:rsid w:val="00CA25FA"/>
    <w:rsid w:val="00CA4908"/>
    <w:rsid w:val="00CA60BF"/>
    <w:rsid w:val="00CA6C7D"/>
    <w:rsid w:val="00CA72A7"/>
    <w:rsid w:val="00CA7928"/>
    <w:rsid w:val="00CB1DC8"/>
    <w:rsid w:val="00CB6556"/>
    <w:rsid w:val="00CB7568"/>
    <w:rsid w:val="00CC14F9"/>
    <w:rsid w:val="00CC2F4B"/>
    <w:rsid w:val="00CC300A"/>
    <w:rsid w:val="00CC43AA"/>
    <w:rsid w:val="00CC48C3"/>
    <w:rsid w:val="00CC5698"/>
    <w:rsid w:val="00CC7004"/>
    <w:rsid w:val="00CC71A0"/>
    <w:rsid w:val="00CD0F38"/>
    <w:rsid w:val="00CD1532"/>
    <w:rsid w:val="00CD30D7"/>
    <w:rsid w:val="00CD6531"/>
    <w:rsid w:val="00CE07A0"/>
    <w:rsid w:val="00CE08CF"/>
    <w:rsid w:val="00CE13F3"/>
    <w:rsid w:val="00CE4FE0"/>
    <w:rsid w:val="00CE5B6B"/>
    <w:rsid w:val="00CE6C4E"/>
    <w:rsid w:val="00CF0BA7"/>
    <w:rsid w:val="00CF0E58"/>
    <w:rsid w:val="00CF1AC8"/>
    <w:rsid w:val="00CF2874"/>
    <w:rsid w:val="00CF3237"/>
    <w:rsid w:val="00CF34CB"/>
    <w:rsid w:val="00CF35B1"/>
    <w:rsid w:val="00CF45C4"/>
    <w:rsid w:val="00CF4608"/>
    <w:rsid w:val="00CF5DFD"/>
    <w:rsid w:val="00CF6B04"/>
    <w:rsid w:val="00CF7E26"/>
    <w:rsid w:val="00D03C73"/>
    <w:rsid w:val="00D067A1"/>
    <w:rsid w:val="00D06D44"/>
    <w:rsid w:val="00D1185C"/>
    <w:rsid w:val="00D13CD6"/>
    <w:rsid w:val="00D14EF7"/>
    <w:rsid w:val="00D1503D"/>
    <w:rsid w:val="00D15E28"/>
    <w:rsid w:val="00D15FD4"/>
    <w:rsid w:val="00D17391"/>
    <w:rsid w:val="00D20FD9"/>
    <w:rsid w:val="00D214D5"/>
    <w:rsid w:val="00D22853"/>
    <w:rsid w:val="00D23135"/>
    <w:rsid w:val="00D23850"/>
    <w:rsid w:val="00D25456"/>
    <w:rsid w:val="00D257FC"/>
    <w:rsid w:val="00D266BD"/>
    <w:rsid w:val="00D26BAA"/>
    <w:rsid w:val="00D27044"/>
    <w:rsid w:val="00D27614"/>
    <w:rsid w:val="00D2787B"/>
    <w:rsid w:val="00D30159"/>
    <w:rsid w:val="00D3023B"/>
    <w:rsid w:val="00D313C3"/>
    <w:rsid w:val="00D3166C"/>
    <w:rsid w:val="00D32168"/>
    <w:rsid w:val="00D32F31"/>
    <w:rsid w:val="00D32F99"/>
    <w:rsid w:val="00D3340F"/>
    <w:rsid w:val="00D3379E"/>
    <w:rsid w:val="00D33B34"/>
    <w:rsid w:val="00D343A5"/>
    <w:rsid w:val="00D35327"/>
    <w:rsid w:val="00D35897"/>
    <w:rsid w:val="00D36524"/>
    <w:rsid w:val="00D435AD"/>
    <w:rsid w:val="00D43841"/>
    <w:rsid w:val="00D43994"/>
    <w:rsid w:val="00D43A04"/>
    <w:rsid w:val="00D44D76"/>
    <w:rsid w:val="00D45D9C"/>
    <w:rsid w:val="00D478F7"/>
    <w:rsid w:val="00D51811"/>
    <w:rsid w:val="00D52D0A"/>
    <w:rsid w:val="00D532DF"/>
    <w:rsid w:val="00D54B2E"/>
    <w:rsid w:val="00D559D4"/>
    <w:rsid w:val="00D57017"/>
    <w:rsid w:val="00D63162"/>
    <w:rsid w:val="00D63296"/>
    <w:rsid w:val="00D655C4"/>
    <w:rsid w:val="00D66950"/>
    <w:rsid w:val="00D66DDD"/>
    <w:rsid w:val="00D70B36"/>
    <w:rsid w:val="00D72AF6"/>
    <w:rsid w:val="00D75CBE"/>
    <w:rsid w:val="00D763EF"/>
    <w:rsid w:val="00D8044D"/>
    <w:rsid w:val="00D81B86"/>
    <w:rsid w:val="00D81BB0"/>
    <w:rsid w:val="00D821DA"/>
    <w:rsid w:val="00D822E1"/>
    <w:rsid w:val="00D84977"/>
    <w:rsid w:val="00D85182"/>
    <w:rsid w:val="00D851A7"/>
    <w:rsid w:val="00D86404"/>
    <w:rsid w:val="00D9190E"/>
    <w:rsid w:val="00D91AF1"/>
    <w:rsid w:val="00D92A59"/>
    <w:rsid w:val="00D9318E"/>
    <w:rsid w:val="00D935A6"/>
    <w:rsid w:val="00D936E1"/>
    <w:rsid w:val="00D93D14"/>
    <w:rsid w:val="00D950D8"/>
    <w:rsid w:val="00D95126"/>
    <w:rsid w:val="00D95399"/>
    <w:rsid w:val="00D95BB3"/>
    <w:rsid w:val="00D9647A"/>
    <w:rsid w:val="00DA168B"/>
    <w:rsid w:val="00DA2BA4"/>
    <w:rsid w:val="00DA2CBB"/>
    <w:rsid w:val="00DA332C"/>
    <w:rsid w:val="00DA3990"/>
    <w:rsid w:val="00DA3C27"/>
    <w:rsid w:val="00DA3E64"/>
    <w:rsid w:val="00DA3EA2"/>
    <w:rsid w:val="00DA426A"/>
    <w:rsid w:val="00DA4D57"/>
    <w:rsid w:val="00DA4F0B"/>
    <w:rsid w:val="00DA5A7E"/>
    <w:rsid w:val="00DA746B"/>
    <w:rsid w:val="00DA7B3E"/>
    <w:rsid w:val="00DB18EE"/>
    <w:rsid w:val="00DB26EC"/>
    <w:rsid w:val="00DB3AB6"/>
    <w:rsid w:val="00DB3D5D"/>
    <w:rsid w:val="00DB64FA"/>
    <w:rsid w:val="00DC0524"/>
    <w:rsid w:val="00DC11A6"/>
    <w:rsid w:val="00DC2209"/>
    <w:rsid w:val="00DC3836"/>
    <w:rsid w:val="00DC411A"/>
    <w:rsid w:val="00DC45D7"/>
    <w:rsid w:val="00DC59A0"/>
    <w:rsid w:val="00DC7EE1"/>
    <w:rsid w:val="00DD026C"/>
    <w:rsid w:val="00DD02F0"/>
    <w:rsid w:val="00DD1426"/>
    <w:rsid w:val="00DD32C7"/>
    <w:rsid w:val="00DD3E13"/>
    <w:rsid w:val="00DD4393"/>
    <w:rsid w:val="00DD4605"/>
    <w:rsid w:val="00DD4939"/>
    <w:rsid w:val="00DD4B01"/>
    <w:rsid w:val="00DD4C43"/>
    <w:rsid w:val="00DD4CF2"/>
    <w:rsid w:val="00DD5310"/>
    <w:rsid w:val="00DD6521"/>
    <w:rsid w:val="00DD788D"/>
    <w:rsid w:val="00DE061D"/>
    <w:rsid w:val="00DE1189"/>
    <w:rsid w:val="00DE3254"/>
    <w:rsid w:val="00DE37A4"/>
    <w:rsid w:val="00DE4F77"/>
    <w:rsid w:val="00DE6271"/>
    <w:rsid w:val="00DF0484"/>
    <w:rsid w:val="00DF053B"/>
    <w:rsid w:val="00DF0CD7"/>
    <w:rsid w:val="00DF2608"/>
    <w:rsid w:val="00DF2974"/>
    <w:rsid w:val="00DF58E5"/>
    <w:rsid w:val="00DF6467"/>
    <w:rsid w:val="00DF6A23"/>
    <w:rsid w:val="00DF7305"/>
    <w:rsid w:val="00DF733E"/>
    <w:rsid w:val="00E00F9C"/>
    <w:rsid w:val="00E01512"/>
    <w:rsid w:val="00E02A24"/>
    <w:rsid w:val="00E03AF4"/>
    <w:rsid w:val="00E045BB"/>
    <w:rsid w:val="00E065A3"/>
    <w:rsid w:val="00E069D8"/>
    <w:rsid w:val="00E10476"/>
    <w:rsid w:val="00E107A4"/>
    <w:rsid w:val="00E10923"/>
    <w:rsid w:val="00E12BFF"/>
    <w:rsid w:val="00E139B4"/>
    <w:rsid w:val="00E13E82"/>
    <w:rsid w:val="00E17821"/>
    <w:rsid w:val="00E20FA7"/>
    <w:rsid w:val="00E21F3D"/>
    <w:rsid w:val="00E22215"/>
    <w:rsid w:val="00E2224F"/>
    <w:rsid w:val="00E2264A"/>
    <w:rsid w:val="00E22B08"/>
    <w:rsid w:val="00E23C1F"/>
    <w:rsid w:val="00E24415"/>
    <w:rsid w:val="00E24A33"/>
    <w:rsid w:val="00E24BD9"/>
    <w:rsid w:val="00E25F42"/>
    <w:rsid w:val="00E26034"/>
    <w:rsid w:val="00E267EC"/>
    <w:rsid w:val="00E26895"/>
    <w:rsid w:val="00E273B2"/>
    <w:rsid w:val="00E315E4"/>
    <w:rsid w:val="00E321BA"/>
    <w:rsid w:val="00E33328"/>
    <w:rsid w:val="00E33975"/>
    <w:rsid w:val="00E3401B"/>
    <w:rsid w:val="00E34335"/>
    <w:rsid w:val="00E35348"/>
    <w:rsid w:val="00E36279"/>
    <w:rsid w:val="00E36325"/>
    <w:rsid w:val="00E377EC"/>
    <w:rsid w:val="00E37F68"/>
    <w:rsid w:val="00E4114F"/>
    <w:rsid w:val="00E422D6"/>
    <w:rsid w:val="00E434C4"/>
    <w:rsid w:val="00E46EB7"/>
    <w:rsid w:val="00E473D0"/>
    <w:rsid w:val="00E47878"/>
    <w:rsid w:val="00E47C51"/>
    <w:rsid w:val="00E5048E"/>
    <w:rsid w:val="00E50CE2"/>
    <w:rsid w:val="00E51804"/>
    <w:rsid w:val="00E534CB"/>
    <w:rsid w:val="00E53D90"/>
    <w:rsid w:val="00E5447B"/>
    <w:rsid w:val="00E548A1"/>
    <w:rsid w:val="00E5511E"/>
    <w:rsid w:val="00E55CF3"/>
    <w:rsid w:val="00E56337"/>
    <w:rsid w:val="00E56380"/>
    <w:rsid w:val="00E601C3"/>
    <w:rsid w:val="00E6077D"/>
    <w:rsid w:val="00E63920"/>
    <w:rsid w:val="00E64D87"/>
    <w:rsid w:val="00E65122"/>
    <w:rsid w:val="00E677F1"/>
    <w:rsid w:val="00E70DDC"/>
    <w:rsid w:val="00E71E2F"/>
    <w:rsid w:val="00E73229"/>
    <w:rsid w:val="00E73DA0"/>
    <w:rsid w:val="00E73F43"/>
    <w:rsid w:val="00E74AAA"/>
    <w:rsid w:val="00E762F5"/>
    <w:rsid w:val="00E76C15"/>
    <w:rsid w:val="00E773A7"/>
    <w:rsid w:val="00E8252E"/>
    <w:rsid w:val="00E8258B"/>
    <w:rsid w:val="00E83A7D"/>
    <w:rsid w:val="00E8457A"/>
    <w:rsid w:val="00E90BDE"/>
    <w:rsid w:val="00E9138E"/>
    <w:rsid w:val="00E91DF6"/>
    <w:rsid w:val="00E93124"/>
    <w:rsid w:val="00E96110"/>
    <w:rsid w:val="00E962D3"/>
    <w:rsid w:val="00EA0C80"/>
    <w:rsid w:val="00EA0E26"/>
    <w:rsid w:val="00EA2438"/>
    <w:rsid w:val="00EA2883"/>
    <w:rsid w:val="00EA2E32"/>
    <w:rsid w:val="00EA66C0"/>
    <w:rsid w:val="00EA79C9"/>
    <w:rsid w:val="00EB1C47"/>
    <w:rsid w:val="00EB3BCF"/>
    <w:rsid w:val="00EB3E17"/>
    <w:rsid w:val="00EB4753"/>
    <w:rsid w:val="00EB5662"/>
    <w:rsid w:val="00EB5C4A"/>
    <w:rsid w:val="00EB638B"/>
    <w:rsid w:val="00EB6BCA"/>
    <w:rsid w:val="00EB6D79"/>
    <w:rsid w:val="00EB77B2"/>
    <w:rsid w:val="00EC0B29"/>
    <w:rsid w:val="00EC227C"/>
    <w:rsid w:val="00EC531B"/>
    <w:rsid w:val="00ED08EE"/>
    <w:rsid w:val="00ED3AB7"/>
    <w:rsid w:val="00ED5BA8"/>
    <w:rsid w:val="00ED6809"/>
    <w:rsid w:val="00ED68A6"/>
    <w:rsid w:val="00EE00BC"/>
    <w:rsid w:val="00EE01C6"/>
    <w:rsid w:val="00EE1537"/>
    <w:rsid w:val="00EE1B26"/>
    <w:rsid w:val="00EE3014"/>
    <w:rsid w:val="00EE42EB"/>
    <w:rsid w:val="00EE722B"/>
    <w:rsid w:val="00EE73F2"/>
    <w:rsid w:val="00EF0B66"/>
    <w:rsid w:val="00EF1CC3"/>
    <w:rsid w:val="00EF232A"/>
    <w:rsid w:val="00EF2523"/>
    <w:rsid w:val="00EF2BB2"/>
    <w:rsid w:val="00EF349B"/>
    <w:rsid w:val="00EF393C"/>
    <w:rsid w:val="00EF4A08"/>
    <w:rsid w:val="00F00254"/>
    <w:rsid w:val="00F0181B"/>
    <w:rsid w:val="00F02ECB"/>
    <w:rsid w:val="00F034D5"/>
    <w:rsid w:val="00F03B77"/>
    <w:rsid w:val="00F04009"/>
    <w:rsid w:val="00F045E2"/>
    <w:rsid w:val="00F05013"/>
    <w:rsid w:val="00F0521B"/>
    <w:rsid w:val="00F05624"/>
    <w:rsid w:val="00F05906"/>
    <w:rsid w:val="00F05E05"/>
    <w:rsid w:val="00F06728"/>
    <w:rsid w:val="00F10012"/>
    <w:rsid w:val="00F12071"/>
    <w:rsid w:val="00F1277F"/>
    <w:rsid w:val="00F1356E"/>
    <w:rsid w:val="00F13702"/>
    <w:rsid w:val="00F148D6"/>
    <w:rsid w:val="00F155DF"/>
    <w:rsid w:val="00F20BBB"/>
    <w:rsid w:val="00F21AC6"/>
    <w:rsid w:val="00F21C1D"/>
    <w:rsid w:val="00F249C2"/>
    <w:rsid w:val="00F24E26"/>
    <w:rsid w:val="00F24F73"/>
    <w:rsid w:val="00F322C3"/>
    <w:rsid w:val="00F33CBD"/>
    <w:rsid w:val="00F33ED5"/>
    <w:rsid w:val="00F363B9"/>
    <w:rsid w:val="00F36E43"/>
    <w:rsid w:val="00F37F71"/>
    <w:rsid w:val="00F403B5"/>
    <w:rsid w:val="00F40C54"/>
    <w:rsid w:val="00F41201"/>
    <w:rsid w:val="00F433F9"/>
    <w:rsid w:val="00F5013D"/>
    <w:rsid w:val="00F513DB"/>
    <w:rsid w:val="00F52E2C"/>
    <w:rsid w:val="00F5375A"/>
    <w:rsid w:val="00F55249"/>
    <w:rsid w:val="00F5598B"/>
    <w:rsid w:val="00F55AB2"/>
    <w:rsid w:val="00F55ED6"/>
    <w:rsid w:val="00F57E65"/>
    <w:rsid w:val="00F60D29"/>
    <w:rsid w:val="00F61103"/>
    <w:rsid w:val="00F6282D"/>
    <w:rsid w:val="00F64A8C"/>
    <w:rsid w:val="00F67C1E"/>
    <w:rsid w:val="00F70F61"/>
    <w:rsid w:val="00F73458"/>
    <w:rsid w:val="00F7450B"/>
    <w:rsid w:val="00F74673"/>
    <w:rsid w:val="00F75141"/>
    <w:rsid w:val="00F75707"/>
    <w:rsid w:val="00F80142"/>
    <w:rsid w:val="00F82A53"/>
    <w:rsid w:val="00F837EE"/>
    <w:rsid w:val="00F83845"/>
    <w:rsid w:val="00F86A72"/>
    <w:rsid w:val="00F93FE6"/>
    <w:rsid w:val="00F94B6B"/>
    <w:rsid w:val="00FA1E34"/>
    <w:rsid w:val="00FA210F"/>
    <w:rsid w:val="00FA22FE"/>
    <w:rsid w:val="00FA2A0E"/>
    <w:rsid w:val="00FA4A67"/>
    <w:rsid w:val="00FA5BB3"/>
    <w:rsid w:val="00FA5F84"/>
    <w:rsid w:val="00FA6A8C"/>
    <w:rsid w:val="00FA70C0"/>
    <w:rsid w:val="00FB0115"/>
    <w:rsid w:val="00FB1FDE"/>
    <w:rsid w:val="00FB23C6"/>
    <w:rsid w:val="00FB3483"/>
    <w:rsid w:val="00FB3C65"/>
    <w:rsid w:val="00FB48E1"/>
    <w:rsid w:val="00FB5BF3"/>
    <w:rsid w:val="00FB7959"/>
    <w:rsid w:val="00FC2917"/>
    <w:rsid w:val="00FC321A"/>
    <w:rsid w:val="00FC385F"/>
    <w:rsid w:val="00FC3B64"/>
    <w:rsid w:val="00FC4B89"/>
    <w:rsid w:val="00FC6032"/>
    <w:rsid w:val="00FC6B1F"/>
    <w:rsid w:val="00FC6FBF"/>
    <w:rsid w:val="00FC701F"/>
    <w:rsid w:val="00FC7186"/>
    <w:rsid w:val="00FC77B1"/>
    <w:rsid w:val="00FD009E"/>
    <w:rsid w:val="00FD1B7B"/>
    <w:rsid w:val="00FD2033"/>
    <w:rsid w:val="00FD362F"/>
    <w:rsid w:val="00FD5FC0"/>
    <w:rsid w:val="00FD7752"/>
    <w:rsid w:val="00FE08E9"/>
    <w:rsid w:val="00FE09FB"/>
    <w:rsid w:val="00FE1520"/>
    <w:rsid w:val="00FE1771"/>
    <w:rsid w:val="00FE2115"/>
    <w:rsid w:val="00FE3407"/>
    <w:rsid w:val="00FE363B"/>
    <w:rsid w:val="00FE3A2A"/>
    <w:rsid w:val="00FE6109"/>
    <w:rsid w:val="00FE6420"/>
    <w:rsid w:val="00FE677D"/>
    <w:rsid w:val="00FE7503"/>
    <w:rsid w:val="00FF0319"/>
    <w:rsid w:val="00FF0D89"/>
    <w:rsid w:val="00FF33BF"/>
    <w:rsid w:val="00FF507B"/>
    <w:rsid w:val="00FF5AC0"/>
    <w:rsid w:val="00FF76D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0607A6"/>
  <w14:defaultImageDpi w14:val="300"/>
  <w15:docId w15:val="{02DE0C4F-3EFF-3642-8046-FFD07B91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995"/>
    <w:rPr>
      <w:rFonts w:ascii="Times New Roman" w:eastAsia="Times New Roman" w:hAnsi="Times New Roman"/>
      <w:sz w:val="24"/>
      <w:szCs w:val="24"/>
      <w:lang w:eastAsia="en-GB"/>
    </w:rPr>
  </w:style>
  <w:style w:type="paragraph" w:styleId="Heading1">
    <w:name w:val="heading 1"/>
    <w:aliases w:val="Outline1"/>
    <w:basedOn w:val="Normal"/>
    <w:next w:val="Normal"/>
    <w:link w:val="Heading1Char"/>
    <w:uiPriority w:val="9"/>
    <w:qFormat/>
    <w:rsid w:val="00654415"/>
    <w:pPr>
      <w:keepNext/>
      <w:keepLines/>
      <w:spacing w:before="480"/>
      <w:outlineLvl w:val="0"/>
    </w:pPr>
    <w:rPr>
      <w:rFonts w:ascii="Calibri" w:eastAsia="MS ????" w:hAnsi="Calibri"/>
      <w:b/>
      <w:bCs/>
      <w:color w:val="345A8A"/>
      <w:sz w:val="32"/>
      <w:szCs w:val="32"/>
      <w:lang w:val="x-none" w:eastAsia="x-none"/>
    </w:rPr>
  </w:style>
  <w:style w:type="paragraph" w:styleId="Heading2">
    <w:name w:val="heading 2"/>
    <w:aliases w:val="Outline2"/>
    <w:basedOn w:val="Normal"/>
    <w:next w:val="Normal"/>
    <w:link w:val="Heading2Char"/>
    <w:qFormat/>
    <w:rsid w:val="00654415"/>
    <w:pPr>
      <w:keepNext/>
      <w:outlineLvl w:val="1"/>
    </w:pPr>
    <w:rPr>
      <w:rFonts w:ascii="Arial" w:eastAsia="Cambria" w:hAnsi="Arial"/>
      <w:b/>
      <w:sz w:val="20"/>
      <w:lang w:val="x-none" w:eastAsia="x-none"/>
    </w:rPr>
  </w:style>
  <w:style w:type="paragraph" w:styleId="Heading3">
    <w:name w:val="heading 3"/>
    <w:aliases w:val="Outline3"/>
    <w:basedOn w:val="Normal"/>
    <w:next w:val="Normal"/>
    <w:link w:val="Heading3Char"/>
    <w:qFormat/>
    <w:rsid w:val="00654415"/>
    <w:pPr>
      <w:keepNext/>
      <w:outlineLvl w:val="2"/>
    </w:pPr>
    <w:rPr>
      <w:rFonts w:ascii="Arial" w:eastAsia="Cambria" w:hAnsi="Arial"/>
      <w:b/>
      <w:sz w:val="20"/>
      <w:lang w:val="x-none" w:eastAsia="x-none"/>
    </w:rPr>
  </w:style>
  <w:style w:type="paragraph" w:styleId="Heading4">
    <w:name w:val="heading 4"/>
    <w:basedOn w:val="Normal"/>
    <w:next w:val="Normal"/>
    <w:link w:val="Heading4Char"/>
    <w:qFormat/>
    <w:rsid w:val="00654415"/>
    <w:pPr>
      <w:keepNext/>
      <w:jc w:val="both"/>
      <w:outlineLvl w:val="3"/>
    </w:pPr>
    <w:rPr>
      <w:rFonts w:ascii="Arial" w:eastAsia="Cambria" w:hAnsi="Arial"/>
      <w:b/>
      <w:i/>
      <w:sz w:val="20"/>
      <w:u w:val="single"/>
      <w:lang w:val="x-none" w:eastAsia="x-none"/>
    </w:rPr>
  </w:style>
  <w:style w:type="paragraph" w:styleId="Heading5">
    <w:name w:val="heading 5"/>
    <w:basedOn w:val="Normal"/>
    <w:next w:val="Normal"/>
    <w:link w:val="Heading5Char"/>
    <w:qFormat/>
    <w:rsid w:val="00484C08"/>
    <w:pPr>
      <w:keepNext/>
      <w:jc w:val="center"/>
      <w:outlineLvl w:val="4"/>
    </w:pPr>
    <w:rPr>
      <w:rFonts w:ascii="Arial" w:eastAsia="Cambria" w:hAnsi="Arial"/>
      <w:b/>
      <w:sz w:val="20"/>
      <w:lang w:val="x-none" w:eastAsia="x-none"/>
    </w:rPr>
  </w:style>
  <w:style w:type="paragraph" w:styleId="Heading6">
    <w:name w:val="heading 6"/>
    <w:basedOn w:val="Normal"/>
    <w:next w:val="Normal"/>
    <w:link w:val="Heading6Char"/>
    <w:qFormat/>
    <w:rsid w:val="00654415"/>
    <w:pPr>
      <w:tabs>
        <w:tab w:val="left" w:pos="720"/>
        <w:tab w:val="left" w:pos="1440"/>
        <w:tab w:val="left" w:pos="2160"/>
        <w:tab w:val="left" w:pos="2880"/>
        <w:tab w:val="left" w:pos="4680"/>
        <w:tab w:val="left" w:pos="5400"/>
        <w:tab w:val="right" w:pos="9000"/>
      </w:tabs>
      <w:spacing w:before="240" w:after="60" w:line="240" w:lineRule="atLeast"/>
      <w:jc w:val="both"/>
      <w:outlineLvl w:val="5"/>
    </w:pPr>
    <w:rPr>
      <w:rFonts w:ascii="Cambria" w:eastAsia="Cambria" w:hAnsi="Cambria"/>
      <w:b/>
      <w:bCs/>
      <w:sz w:val="22"/>
      <w:szCs w:val="22"/>
      <w:lang w:val="x-none"/>
    </w:rPr>
  </w:style>
  <w:style w:type="paragraph" w:styleId="Heading7">
    <w:name w:val="heading 7"/>
    <w:basedOn w:val="Normal"/>
    <w:next w:val="NormalIndent"/>
    <w:link w:val="Heading7Char"/>
    <w:qFormat/>
    <w:rsid w:val="00654415"/>
    <w:pPr>
      <w:ind w:left="720"/>
      <w:outlineLvl w:val="6"/>
    </w:pPr>
    <w:rPr>
      <w:rFonts w:eastAsia="Cambria"/>
      <w:i/>
      <w:sz w:val="20"/>
      <w:lang w:val="x-none"/>
    </w:rPr>
  </w:style>
  <w:style w:type="paragraph" w:styleId="Heading8">
    <w:name w:val="heading 8"/>
    <w:basedOn w:val="Normal"/>
    <w:next w:val="NormalIndent"/>
    <w:link w:val="Heading8Char"/>
    <w:qFormat/>
    <w:rsid w:val="00654415"/>
    <w:pPr>
      <w:ind w:left="720"/>
      <w:outlineLvl w:val="7"/>
    </w:pPr>
    <w:rPr>
      <w:rFonts w:eastAsia="Cambria"/>
      <w:i/>
      <w:sz w:val="20"/>
      <w:lang w:val="x-none"/>
    </w:rPr>
  </w:style>
  <w:style w:type="paragraph" w:styleId="Heading9">
    <w:name w:val="heading 9"/>
    <w:basedOn w:val="Normal"/>
    <w:next w:val="NormalIndent"/>
    <w:link w:val="Heading9Char"/>
    <w:qFormat/>
    <w:rsid w:val="00654415"/>
    <w:pPr>
      <w:ind w:left="720"/>
      <w:outlineLvl w:val="8"/>
    </w:pPr>
    <w:rPr>
      <w:rFonts w:eastAsia="Cambria"/>
      <w:i/>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link w:val="Heading1"/>
    <w:uiPriority w:val="9"/>
    <w:locked/>
    <w:rsid w:val="00654415"/>
    <w:rPr>
      <w:rFonts w:ascii="Calibri" w:eastAsia="MS ????" w:hAnsi="Calibri" w:cs="Times New Roman"/>
      <w:b/>
      <w:bCs/>
      <w:color w:val="345A8A"/>
      <w:sz w:val="32"/>
      <w:szCs w:val="32"/>
    </w:rPr>
  </w:style>
  <w:style w:type="character" w:customStyle="1" w:styleId="Heading2Char">
    <w:name w:val="Heading 2 Char"/>
    <w:aliases w:val="Outline2 Char"/>
    <w:link w:val="Heading2"/>
    <w:locked/>
    <w:rsid w:val="00654415"/>
    <w:rPr>
      <w:rFonts w:ascii="Arial" w:hAnsi="Arial" w:cs="Times New Roman"/>
      <w:b/>
      <w:sz w:val="20"/>
      <w:szCs w:val="20"/>
    </w:rPr>
  </w:style>
  <w:style w:type="character" w:customStyle="1" w:styleId="Heading3Char">
    <w:name w:val="Heading 3 Char"/>
    <w:aliases w:val="Outline3 Char"/>
    <w:link w:val="Heading3"/>
    <w:locked/>
    <w:rsid w:val="00654415"/>
    <w:rPr>
      <w:rFonts w:ascii="Arial" w:hAnsi="Arial" w:cs="Times New Roman"/>
      <w:b/>
      <w:sz w:val="20"/>
      <w:szCs w:val="20"/>
    </w:rPr>
  </w:style>
  <w:style w:type="character" w:customStyle="1" w:styleId="Heading4Char">
    <w:name w:val="Heading 4 Char"/>
    <w:link w:val="Heading4"/>
    <w:locked/>
    <w:rsid w:val="00654415"/>
    <w:rPr>
      <w:rFonts w:ascii="Arial" w:hAnsi="Arial" w:cs="Times New Roman"/>
      <w:b/>
      <w:i/>
      <w:sz w:val="20"/>
      <w:szCs w:val="20"/>
      <w:u w:val="single"/>
    </w:rPr>
  </w:style>
  <w:style w:type="character" w:customStyle="1" w:styleId="Heading5Char">
    <w:name w:val="Heading 5 Char"/>
    <w:link w:val="Heading5"/>
    <w:locked/>
    <w:rsid w:val="00484C08"/>
    <w:rPr>
      <w:rFonts w:ascii="Arial" w:hAnsi="Arial" w:cs="Times New Roman"/>
      <w:b/>
      <w:sz w:val="20"/>
      <w:szCs w:val="20"/>
    </w:rPr>
  </w:style>
  <w:style w:type="character" w:customStyle="1" w:styleId="Heading6Char">
    <w:name w:val="Heading 6 Char"/>
    <w:link w:val="Heading6"/>
    <w:locked/>
    <w:rsid w:val="00654415"/>
    <w:rPr>
      <w:rFonts w:ascii="Cambria" w:hAnsi="Cambria" w:cs="Times New Roman"/>
      <w:b/>
      <w:bCs/>
      <w:sz w:val="22"/>
      <w:szCs w:val="22"/>
      <w:lang w:val="x-none" w:eastAsia="en-GB"/>
    </w:rPr>
  </w:style>
  <w:style w:type="paragraph" w:styleId="NormalIndent">
    <w:name w:val="Normal Indent"/>
    <w:basedOn w:val="Normal"/>
    <w:rsid w:val="00654415"/>
    <w:pPr>
      <w:ind w:left="720"/>
    </w:pPr>
    <w:rPr>
      <w:rFonts w:eastAsia="Cambria"/>
    </w:rPr>
  </w:style>
  <w:style w:type="character" w:customStyle="1" w:styleId="Heading7Char">
    <w:name w:val="Heading 7 Char"/>
    <w:link w:val="Heading7"/>
    <w:locked/>
    <w:rsid w:val="00654415"/>
    <w:rPr>
      <w:rFonts w:ascii="Times New Roman" w:hAnsi="Times New Roman" w:cs="Times New Roman"/>
      <w:i/>
      <w:sz w:val="20"/>
      <w:szCs w:val="20"/>
      <w:lang w:val="x-none" w:eastAsia="en-GB"/>
    </w:rPr>
  </w:style>
  <w:style w:type="character" w:customStyle="1" w:styleId="Heading8Char">
    <w:name w:val="Heading 8 Char"/>
    <w:link w:val="Heading8"/>
    <w:locked/>
    <w:rsid w:val="00654415"/>
    <w:rPr>
      <w:rFonts w:ascii="Times New Roman" w:hAnsi="Times New Roman" w:cs="Times New Roman"/>
      <w:i/>
      <w:sz w:val="20"/>
      <w:szCs w:val="20"/>
      <w:lang w:val="x-none" w:eastAsia="en-GB"/>
    </w:rPr>
  </w:style>
  <w:style w:type="character" w:customStyle="1" w:styleId="Heading9Char">
    <w:name w:val="Heading 9 Char"/>
    <w:link w:val="Heading9"/>
    <w:locked/>
    <w:rsid w:val="00654415"/>
    <w:rPr>
      <w:rFonts w:ascii="Times New Roman" w:hAnsi="Times New Roman" w:cs="Times New Roman"/>
      <w:i/>
      <w:sz w:val="20"/>
      <w:szCs w:val="20"/>
      <w:lang w:val="x-none" w:eastAsia="en-GB"/>
    </w:rPr>
  </w:style>
  <w:style w:type="paragraph" w:customStyle="1" w:styleId="Paragraph-Arial">
    <w:name w:val="Paragraph-Arial"/>
    <w:basedOn w:val="Normal"/>
    <w:pPr>
      <w:spacing w:before="60" w:after="60"/>
      <w:jc w:val="both"/>
    </w:pPr>
    <w:rPr>
      <w:rFonts w:ascii="Arial" w:eastAsia="Cambria" w:hAnsi="Arial" w:cs="Arial"/>
    </w:rPr>
  </w:style>
  <w:style w:type="paragraph" w:styleId="BodyText">
    <w:name w:val="Body Text"/>
    <w:basedOn w:val="Normal"/>
    <w:link w:val="BodyTextChar"/>
    <w:rsid w:val="00484C08"/>
    <w:pPr>
      <w:spacing w:line="360" w:lineRule="auto"/>
      <w:jc w:val="center"/>
    </w:pPr>
    <w:rPr>
      <w:rFonts w:ascii="Arial" w:eastAsia="Cambria" w:hAnsi="Arial"/>
      <w:b/>
      <w:sz w:val="20"/>
      <w:lang w:val="x-none" w:eastAsia="x-none"/>
    </w:rPr>
  </w:style>
  <w:style w:type="character" w:customStyle="1" w:styleId="BodyTextChar">
    <w:name w:val="Body Text Char"/>
    <w:link w:val="BodyText"/>
    <w:locked/>
    <w:rsid w:val="00484C08"/>
    <w:rPr>
      <w:rFonts w:ascii="Arial" w:hAnsi="Arial" w:cs="Times New Roman"/>
      <w:b/>
      <w:sz w:val="20"/>
      <w:szCs w:val="20"/>
    </w:rPr>
  </w:style>
  <w:style w:type="character" w:styleId="CommentReference">
    <w:name w:val="annotation reference"/>
    <w:semiHidden/>
    <w:rsid w:val="00484C08"/>
    <w:rPr>
      <w:rFonts w:cs="Times New Roman"/>
      <w:sz w:val="18"/>
      <w:szCs w:val="18"/>
    </w:rPr>
  </w:style>
  <w:style w:type="paragraph" w:styleId="CommentText">
    <w:name w:val="annotation text"/>
    <w:basedOn w:val="Normal"/>
    <w:link w:val="CommentTextChar"/>
    <w:semiHidden/>
    <w:rsid w:val="00484C08"/>
    <w:rPr>
      <w:sz w:val="20"/>
      <w:lang w:val="x-none" w:eastAsia="x-none"/>
    </w:rPr>
  </w:style>
  <w:style w:type="character" w:customStyle="1" w:styleId="CommentTextChar">
    <w:name w:val="Comment Text Char"/>
    <w:link w:val="CommentText"/>
    <w:semiHidden/>
    <w:locked/>
    <w:rsid w:val="00484C08"/>
    <w:rPr>
      <w:rFonts w:ascii="Times New Roman" w:hAnsi="Times New Roman" w:cs="Times New Roman"/>
    </w:rPr>
  </w:style>
  <w:style w:type="paragraph" w:styleId="CommentSubject">
    <w:name w:val="annotation subject"/>
    <w:basedOn w:val="CommentText"/>
    <w:next w:val="CommentText"/>
    <w:link w:val="CommentSubjectChar"/>
    <w:semiHidden/>
    <w:rsid w:val="00484C08"/>
    <w:rPr>
      <w:b/>
      <w:bCs/>
    </w:rPr>
  </w:style>
  <w:style w:type="character" w:customStyle="1" w:styleId="CommentSubjectChar">
    <w:name w:val="Comment Subject Char"/>
    <w:link w:val="CommentSubject"/>
    <w:locked/>
    <w:rsid w:val="00484C08"/>
    <w:rPr>
      <w:rFonts w:ascii="Times New Roman" w:hAnsi="Times New Roman" w:cs="Times New Roman"/>
      <w:b/>
      <w:bCs/>
      <w:sz w:val="20"/>
      <w:szCs w:val="20"/>
    </w:rPr>
  </w:style>
  <w:style w:type="paragraph" w:styleId="BalloonText">
    <w:name w:val="Balloon Text"/>
    <w:basedOn w:val="Normal"/>
    <w:link w:val="BalloonTextChar"/>
    <w:semiHidden/>
    <w:rsid w:val="00484C08"/>
    <w:rPr>
      <w:rFonts w:ascii="Lucida Grande" w:eastAsia="Cambria" w:hAnsi="Lucida Grande"/>
      <w:sz w:val="18"/>
      <w:szCs w:val="18"/>
      <w:lang w:val="x-none" w:eastAsia="x-none"/>
    </w:rPr>
  </w:style>
  <w:style w:type="character" w:customStyle="1" w:styleId="BalloonTextChar">
    <w:name w:val="Balloon Text Char"/>
    <w:link w:val="BalloonText"/>
    <w:semiHidden/>
    <w:locked/>
    <w:rsid w:val="00484C08"/>
    <w:rPr>
      <w:rFonts w:ascii="Lucida Grande" w:hAnsi="Lucida Grande" w:cs="Times New Roman"/>
      <w:sz w:val="18"/>
      <w:szCs w:val="18"/>
    </w:rPr>
  </w:style>
  <w:style w:type="paragraph" w:customStyle="1" w:styleId="Headernonumber">
    <w:name w:val="Header no number"/>
    <w:basedOn w:val="Heading1"/>
    <w:autoRedefine/>
    <w:rsid w:val="00654415"/>
    <w:pPr>
      <w:keepLines w:val="0"/>
      <w:spacing w:before="120"/>
      <w:jc w:val="both"/>
    </w:pPr>
    <w:rPr>
      <w:rFonts w:ascii="Times New Roman" w:eastAsia="Arial Unicode MS" w:hAnsi="Times New Roman" w:cs="Arial"/>
      <w:b w:val="0"/>
      <w:bCs w:val="0"/>
      <w:color w:val="auto"/>
      <w:sz w:val="24"/>
      <w:szCs w:val="22"/>
    </w:rPr>
  </w:style>
  <w:style w:type="paragraph" w:styleId="BodyTextIndent">
    <w:name w:val="Body Text Indent"/>
    <w:basedOn w:val="Normal"/>
    <w:link w:val="BodyTextIndentChar"/>
    <w:rsid w:val="00654415"/>
    <w:pPr>
      <w:spacing w:after="120"/>
      <w:ind w:left="283"/>
    </w:pPr>
    <w:rPr>
      <w:rFonts w:eastAsia="Cambria"/>
      <w:sz w:val="20"/>
      <w:lang w:val="x-none" w:eastAsia="x-none"/>
    </w:rPr>
  </w:style>
  <w:style w:type="character" w:customStyle="1" w:styleId="BodyTextIndentChar">
    <w:name w:val="Body Text Indent Char"/>
    <w:link w:val="BodyTextIndent"/>
    <w:locked/>
    <w:rsid w:val="00654415"/>
    <w:rPr>
      <w:rFonts w:ascii="Times New Roman" w:hAnsi="Times New Roman" w:cs="Times New Roman"/>
      <w:sz w:val="20"/>
      <w:szCs w:val="20"/>
    </w:rPr>
  </w:style>
  <w:style w:type="paragraph" w:styleId="BodyText2">
    <w:name w:val="Body Text 2"/>
    <w:basedOn w:val="Normal"/>
    <w:link w:val="BodyText2Char"/>
    <w:rsid w:val="00654415"/>
    <w:pPr>
      <w:spacing w:after="120" w:line="480" w:lineRule="auto"/>
    </w:pPr>
    <w:rPr>
      <w:rFonts w:eastAsia="Cambria"/>
      <w:sz w:val="20"/>
      <w:lang w:val="x-none" w:eastAsia="x-none"/>
    </w:rPr>
  </w:style>
  <w:style w:type="character" w:customStyle="1" w:styleId="BodyText2Char">
    <w:name w:val="Body Text 2 Char"/>
    <w:link w:val="BodyText2"/>
    <w:locked/>
    <w:rsid w:val="00654415"/>
    <w:rPr>
      <w:rFonts w:ascii="Times New Roman" w:hAnsi="Times New Roman" w:cs="Times New Roman"/>
      <w:sz w:val="20"/>
      <w:szCs w:val="20"/>
    </w:rPr>
  </w:style>
  <w:style w:type="paragraph" w:styleId="BodyText3">
    <w:name w:val="Body Text 3"/>
    <w:basedOn w:val="Normal"/>
    <w:link w:val="BodyText3Char"/>
    <w:rsid w:val="00654415"/>
    <w:pPr>
      <w:spacing w:after="120"/>
    </w:pPr>
    <w:rPr>
      <w:rFonts w:eastAsia="Cambria"/>
      <w:sz w:val="16"/>
      <w:szCs w:val="16"/>
      <w:lang w:val="x-none" w:eastAsia="x-none"/>
    </w:rPr>
  </w:style>
  <w:style w:type="character" w:customStyle="1" w:styleId="BodyText3Char">
    <w:name w:val="Body Text 3 Char"/>
    <w:link w:val="BodyText3"/>
    <w:locked/>
    <w:rsid w:val="00654415"/>
    <w:rPr>
      <w:rFonts w:ascii="Times New Roman" w:hAnsi="Times New Roman" w:cs="Times New Roman"/>
      <w:sz w:val="16"/>
      <w:szCs w:val="16"/>
    </w:rPr>
  </w:style>
  <w:style w:type="paragraph" w:styleId="Header">
    <w:name w:val="header"/>
    <w:basedOn w:val="Normal"/>
    <w:link w:val="HeaderChar"/>
    <w:rsid w:val="00654415"/>
    <w:pPr>
      <w:tabs>
        <w:tab w:val="center" w:pos="4153"/>
        <w:tab w:val="right" w:pos="8306"/>
      </w:tabs>
    </w:pPr>
    <w:rPr>
      <w:rFonts w:eastAsia="Cambria"/>
      <w:sz w:val="20"/>
      <w:lang w:val="x-none" w:eastAsia="x-none"/>
    </w:rPr>
  </w:style>
  <w:style w:type="character" w:customStyle="1" w:styleId="HeaderChar">
    <w:name w:val="Header Char"/>
    <w:link w:val="Header"/>
    <w:locked/>
    <w:rsid w:val="00654415"/>
    <w:rPr>
      <w:rFonts w:ascii="Times New Roman" w:hAnsi="Times New Roman" w:cs="Times New Roman"/>
      <w:sz w:val="20"/>
      <w:szCs w:val="20"/>
    </w:rPr>
  </w:style>
  <w:style w:type="paragraph" w:styleId="Footer">
    <w:name w:val="footer"/>
    <w:basedOn w:val="Normal"/>
    <w:link w:val="FooterChar"/>
    <w:rsid w:val="00654415"/>
    <w:pPr>
      <w:tabs>
        <w:tab w:val="center" w:pos="4153"/>
        <w:tab w:val="right" w:pos="8306"/>
      </w:tabs>
    </w:pPr>
    <w:rPr>
      <w:rFonts w:eastAsia="Cambria"/>
      <w:sz w:val="20"/>
      <w:lang w:val="x-none" w:eastAsia="x-none"/>
    </w:rPr>
  </w:style>
  <w:style w:type="character" w:customStyle="1" w:styleId="FooterChar">
    <w:name w:val="Footer Char"/>
    <w:link w:val="Footer"/>
    <w:locked/>
    <w:rsid w:val="00654415"/>
    <w:rPr>
      <w:rFonts w:ascii="Times New Roman" w:hAnsi="Times New Roman" w:cs="Times New Roman"/>
      <w:sz w:val="20"/>
      <w:szCs w:val="20"/>
    </w:rPr>
  </w:style>
  <w:style w:type="character" w:styleId="PageNumber">
    <w:name w:val="page number"/>
    <w:rsid w:val="00654415"/>
    <w:rPr>
      <w:rFonts w:cs="Times New Roman"/>
    </w:rPr>
  </w:style>
  <w:style w:type="paragraph" w:styleId="EndnoteText">
    <w:name w:val="endnote text"/>
    <w:basedOn w:val="Normal"/>
    <w:link w:val="EndnoteTextChar"/>
    <w:semiHidden/>
    <w:rsid w:val="00654415"/>
    <w:rPr>
      <w:sz w:val="20"/>
      <w:lang w:val="en-US" w:eastAsia="x-none"/>
    </w:rPr>
  </w:style>
  <w:style w:type="character" w:customStyle="1" w:styleId="EndnoteTextChar">
    <w:name w:val="Endnote Text Char"/>
    <w:link w:val="EndnoteText"/>
    <w:locked/>
    <w:rsid w:val="00654415"/>
    <w:rPr>
      <w:rFonts w:ascii="Times New Roman" w:hAnsi="Times New Roman" w:cs="Times New Roman"/>
      <w:sz w:val="20"/>
      <w:szCs w:val="20"/>
      <w:lang w:val="en-US" w:eastAsia="x-none"/>
    </w:rPr>
  </w:style>
  <w:style w:type="paragraph" w:styleId="FootnoteText">
    <w:name w:val="footnote text"/>
    <w:basedOn w:val="Normal"/>
    <w:link w:val="FootnoteTextChar"/>
    <w:semiHidden/>
    <w:rsid w:val="00654415"/>
    <w:rPr>
      <w:sz w:val="20"/>
      <w:lang w:val="x-none" w:eastAsia="x-none"/>
    </w:rPr>
  </w:style>
  <w:style w:type="character" w:customStyle="1" w:styleId="FootnoteTextChar">
    <w:name w:val="Footnote Text Char"/>
    <w:link w:val="FootnoteText"/>
    <w:locked/>
    <w:rsid w:val="00654415"/>
    <w:rPr>
      <w:rFonts w:ascii="Times New Roman" w:hAnsi="Times New Roman" w:cs="Times New Roman"/>
      <w:sz w:val="20"/>
      <w:szCs w:val="20"/>
    </w:rPr>
  </w:style>
  <w:style w:type="character" w:styleId="FootnoteReference">
    <w:name w:val="footnote reference"/>
    <w:semiHidden/>
    <w:rsid w:val="00654415"/>
    <w:rPr>
      <w:rFonts w:cs="Times New Roman"/>
      <w:vertAlign w:val="superscript"/>
    </w:rPr>
  </w:style>
  <w:style w:type="character" w:styleId="Hyperlink">
    <w:name w:val="Hyperlink"/>
    <w:uiPriority w:val="99"/>
    <w:rsid w:val="00654415"/>
    <w:rPr>
      <w:rFonts w:cs="Times New Roman"/>
      <w:color w:val="0000FF"/>
      <w:u w:val="single"/>
    </w:rPr>
  </w:style>
  <w:style w:type="character" w:styleId="FollowedHyperlink">
    <w:name w:val="FollowedHyperlink"/>
    <w:rsid w:val="00654415"/>
    <w:rPr>
      <w:rFonts w:cs="Times New Roman"/>
      <w:color w:val="800080"/>
      <w:u w:val="single"/>
    </w:rPr>
  </w:style>
  <w:style w:type="paragraph" w:styleId="Title">
    <w:name w:val="Title"/>
    <w:basedOn w:val="Normal"/>
    <w:link w:val="TitleChar"/>
    <w:qFormat/>
    <w:rsid w:val="00654415"/>
    <w:pPr>
      <w:jc w:val="center"/>
    </w:pPr>
    <w:rPr>
      <w:rFonts w:ascii="Arial Narrow" w:eastAsia="Cambria" w:hAnsi="Arial Narrow"/>
      <w:b/>
      <w:sz w:val="20"/>
      <w:lang w:val="x-none" w:eastAsia="x-none"/>
    </w:rPr>
  </w:style>
  <w:style w:type="character" w:customStyle="1" w:styleId="TitleChar">
    <w:name w:val="Title Char"/>
    <w:link w:val="Title"/>
    <w:locked/>
    <w:rsid w:val="00654415"/>
    <w:rPr>
      <w:rFonts w:ascii="Arial Narrow" w:hAnsi="Arial Narrow" w:cs="Times New Roman"/>
      <w:b/>
      <w:sz w:val="20"/>
      <w:szCs w:val="20"/>
    </w:rPr>
  </w:style>
  <w:style w:type="paragraph" w:styleId="Caption">
    <w:name w:val="caption"/>
    <w:basedOn w:val="Normal"/>
    <w:next w:val="Normal"/>
    <w:qFormat/>
    <w:rsid w:val="00654415"/>
    <w:pPr>
      <w:pBdr>
        <w:top w:val="single" w:sz="12" w:space="2" w:color="auto"/>
        <w:left w:val="single" w:sz="12" w:space="13" w:color="auto"/>
        <w:bottom w:val="single" w:sz="12" w:space="0" w:color="auto"/>
        <w:right w:val="single" w:sz="12" w:space="18" w:color="auto"/>
      </w:pBdr>
      <w:shd w:val="clear" w:color="auto" w:fill="E0E0E0"/>
      <w:spacing w:before="120"/>
      <w:outlineLvl w:val="0"/>
    </w:pPr>
    <w:rPr>
      <w:rFonts w:ascii="Arial" w:eastAsia="Cambria" w:hAnsi="Arial" w:cs="Arial"/>
      <w:b/>
      <w:bCs/>
      <w:sz w:val="22"/>
      <w:szCs w:val="22"/>
    </w:rPr>
  </w:style>
  <w:style w:type="paragraph" w:customStyle="1" w:styleId="Outline4">
    <w:name w:val="Outline4"/>
    <w:basedOn w:val="Normal"/>
    <w:next w:val="Normal"/>
    <w:rsid w:val="00654415"/>
    <w:pPr>
      <w:tabs>
        <w:tab w:val="left" w:pos="720"/>
        <w:tab w:val="left" w:pos="1440"/>
        <w:tab w:val="left" w:pos="2160"/>
        <w:tab w:val="left" w:pos="2880"/>
        <w:tab w:val="left" w:pos="4680"/>
        <w:tab w:val="left" w:pos="5400"/>
        <w:tab w:val="right" w:pos="9000"/>
      </w:tabs>
      <w:spacing w:line="240" w:lineRule="atLeast"/>
      <w:ind w:left="2160"/>
      <w:jc w:val="both"/>
    </w:pPr>
    <w:rPr>
      <w:rFonts w:eastAsia="Cambria"/>
      <w:kern w:val="24"/>
    </w:rPr>
  </w:style>
  <w:style w:type="paragraph" w:customStyle="1" w:styleId="Outline5">
    <w:name w:val="Outline5"/>
    <w:basedOn w:val="Normal"/>
    <w:next w:val="Normal"/>
    <w:rsid w:val="00654415"/>
    <w:pPr>
      <w:tabs>
        <w:tab w:val="left" w:pos="720"/>
        <w:tab w:val="left" w:pos="1440"/>
        <w:tab w:val="left" w:pos="2160"/>
        <w:tab w:val="left" w:pos="2880"/>
        <w:tab w:val="left" w:pos="4680"/>
        <w:tab w:val="left" w:pos="5400"/>
        <w:tab w:val="right" w:pos="9000"/>
      </w:tabs>
      <w:spacing w:line="240" w:lineRule="atLeast"/>
      <w:ind w:left="720"/>
      <w:jc w:val="both"/>
    </w:pPr>
    <w:rPr>
      <w:rFonts w:eastAsia="Cambria"/>
      <w:kern w:val="24"/>
    </w:rPr>
  </w:style>
  <w:style w:type="paragraph" w:customStyle="1" w:styleId="Outline6">
    <w:name w:val="Outline6"/>
    <w:basedOn w:val="Normal"/>
    <w:next w:val="Normal"/>
    <w:rsid w:val="00654415"/>
    <w:pPr>
      <w:tabs>
        <w:tab w:val="left" w:pos="720"/>
        <w:tab w:val="left" w:pos="1440"/>
        <w:tab w:val="left" w:pos="2160"/>
        <w:tab w:val="left" w:pos="2880"/>
        <w:tab w:val="left" w:pos="4680"/>
        <w:tab w:val="left" w:pos="5400"/>
        <w:tab w:val="right" w:pos="9000"/>
      </w:tabs>
      <w:spacing w:after="240" w:line="240" w:lineRule="atLeast"/>
      <w:ind w:left="2160"/>
      <w:jc w:val="both"/>
    </w:pPr>
    <w:rPr>
      <w:rFonts w:eastAsia="Cambria"/>
      <w:kern w:val="24"/>
    </w:rPr>
  </w:style>
  <w:style w:type="paragraph" w:customStyle="1" w:styleId="Outline7">
    <w:name w:val="Outline7"/>
    <w:basedOn w:val="Normal"/>
    <w:next w:val="Normal"/>
    <w:rsid w:val="00654415"/>
    <w:pPr>
      <w:tabs>
        <w:tab w:val="left" w:pos="720"/>
        <w:tab w:val="left" w:pos="1440"/>
        <w:tab w:val="left" w:pos="2160"/>
        <w:tab w:val="left" w:pos="2880"/>
        <w:tab w:val="left" w:pos="4680"/>
        <w:tab w:val="left" w:pos="5400"/>
        <w:tab w:val="right" w:pos="9000"/>
      </w:tabs>
      <w:spacing w:after="240" w:line="240" w:lineRule="atLeast"/>
      <w:ind w:left="720"/>
      <w:jc w:val="both"/>
    </w:pPr>
    <w:rPr>
      <w:rFonts w:eastAsia="Cambria"/>
      <w:kern w:val="24"/>
    </w:rPr>
  </w:style>
  <w:style w:type="paragraph" w:customStyle="1" w:styleId="Bulletted">
    <w:name w:val="Bulletted"/>
    <w:basedOn w:val="Normal"/>
    <w:next w:val="Normal"/>
    <w:rsid w:val="00654415"/>
    <w:pPr>
      <w:numPr>
        <w:numId w:val="3"/>
      </w:numPr>
      <w:tabs>
        <w:tab w:val="left" w:pos="720"/>
        <w:tab w:val="left" w:pos="1440"/>
        <w:tab w:val="left" w:pos="2160"/>
        <w:tab w:val="left" w:pos="2880"/>
        <w:tab w:val="left" w:pos="4680"/>
        <w:tab w:val="left" w:pos="5400"/>
        <w:tab w:val="right" w:pos="9000"/>
      </w:tabs>
      <w:spacing w:line="240" w:lineRule="atLeast"/>
      <w:jc w:val="both"/>
    </w:pPr>
    <w:rPr>
      <w:rFonts w:eastAsia="Cambria"/>
    </w:rPr>
  </w:style>
  <w:style w:type="paragraph" w:styleId="List">
    <w:name w:val="List"/>
    <w:basedOn w:val="Normal"/>
    <w:rsid w:val="00654415"/>
    <w:pPr>
      <w:ind w:left="283" w:hanging="283"/>
    </w:pPr>
    <w:rPr>
      <w:rFonts w:eastAsia="Cambria"/>
    </w:rPr>
  </w:style>
  <w:style w:type="paragraph" w:styleId="DocumentMap">
    <w:name w:val="Document Map"/>
    <w:basedOn w:val="Normal"/>
    <w:link w:val="DocumentMapChar"/>
    <w:semiHidden/>
    <w:rsid w:val="00654415"/>
    <w:pPr>
      <w:shd w:val="clear" w:color="auto" w:fill="000080"/>
      <w:tabs>
        <w:tab w:val="left" w:pos="720"/>
        <w:tab w:val="left" w:pos="1440"/>
        <w:tab w:val="left" w:pos="2160"/>
        <w:tab w:val="left" w:pos="2880"/>
        <w:tab w:val="left" w:pos="4680"/>
        <w:tab w:val="left" w:pos="5400"/>
        <w:tab w:val="right" w:pos="9000"/>
      </w:tabs>
      <w:spacing w:line="240" w:lineRule="atLeast"/>
      <w:jc w:val="both"/>
    </w:pPr>
    <w:rPr>
      <w:rFonts w:ascii="Tahoma" w:hAnsi="Tahoma"/>
      <w:sz w:val="20"/>
      <w:lang w:val="x-none"/>
    </w:rPr>
  </w:style>
  <w:style w:type="character" w:customStyle="1" w:styleId="DocumentMapChar">
    <w:name w:val="Document Map Char"/>
    <w:link w:val="DocumentMap"/>
    <w:locked/>
    <w:rsid w:val="00654415"/>
    <w:rPr>
      <w:rFonts w:ascii="Tahoma" w:hAnsi="Tahoma" w:cs="Times New Roman"/>
      <w:sz w:val="20"/>
      <w:szCs w:val="20"/>
      <w:shd w:val="clear" w:color="auto" w:fill="000080"/>
      <w:lang w:val="x-none" w:eastAsia="en-GB"/>
    </w:rPr>
  </w:style>
  <w:style w:type="paragraph" w:customStyle="1" w:styleId="paper">
    <w:name w:val="paper"/>
    <w:basedOn w:val="Normal"/>
    <w:rsid w:val="00654415"/>
    <w:pPr>
      <w:spacing w:line="360" w:lineRule="auto"/>
      <w:jc w:val="both"/>
    </w:pPr>
    <w:rPr>
      <w:rFonts w:ascii="Times" w:eastAsia="Cambria" w:hAnsi="Times"/>
    </w:rPr>
  </w:style>
  <w:style w:type="paragraph" w:styleId="BodyTextIndent2">
    <w:name w:val="Body Text Indent 2"/>
    <w:basedOn w:val="Normal"/>
    <w:link w:val="BodyTextIndent2Char"/>
    <w:rsid w:val="00654415"/>
    <w:pPr>
      <w:spacing w:after="120" w:line="480" w:lineRule="auto"/>
      <w:ind w:left="283"/>
    </w:pPr>
    <w:rPr>
      <w:rFonts w:eastAsia="Cambria"/>
      <w:sz w:val="20"/>
      <w:lang w:val="x-none" w:eastAsia="x-none"/>
    </w:rPr>
  </w:style>
  <w:style w:type="character" w:customStyle="1" w:styleId="BodyTextIndent2Char">
    <w:name w:val="Body Text Indent 2 Char"/>
    <w:link w:val="BodyTextIndent2"/>
    <w:locked/>
    <w:rsid w:val="00654415"/>
    <w:rPr>
      <w:rFonts w:ascii="Times New Roman" w:hAnsi="Times New Roman" w:cs="Times New Roman"/>
      <w:sz w:val="20"/>
      <w:szCs w:val="20"/>
    </w:rPr>
  </w:style>
  <w:style w:type="character" w:customStyle="1" w:styleId="bibrecord-highlight1">
    <w:name w:val="bibrecord-highlight1"/>
    <w:rsid w:val="00654415"/>
    <w:rPr>
      <w:rFonts w:cs="Times New Roman"/>
      <w:b/>
      <w:bCs/>
      <w:color w:val="CC0000"/>
    </w:rPr>
  </w:style>
  <w:style w:type="character" w:customStyle="1" w:styleId="titles-title1">
    <w:name w:val="titles-title1"/>
    <w:rsid w:val="00654415"/>
    <w:rPr>
      <w:rFonts w:cs="Times New Roman"/>
      <w:b/>
      <w:bCs/>
    </w:rPr>
  </w:style>
  <w:style w:type="character" w:customStyle="1" w:styleId="titles-source1">
    <w:name w:val="titles-source1"/>
    <w:rsid w:val="00654415"/>
    <w:rPr>
      <w:rFonts w:cs="Times New Roman"/>
      <w:i/>
      <w:iCs/>
    </w:rPr>
  </w:style>
  <w:style w:type="paragraph" w:styleId="PlainText">
    <w:name w:val="Plain Text"/>
    <w:basedOn w:val="Normal"/>
    <w:link w:val="PlainTextChar"/>
    <w:rsid w:val="00654415"/>
    <w:rPr>
      <w:rFonts w:ascii="Courier New" w:eastAsia="Cambria" w:hAnsi="Courier New"/>
      <w:sz w:val="20"/>
      <w:lang w:val="x-none" w:eastAsia="x-none"/>
    </w:rPr>
  </w:style>
  <w:style w:type="character" w:customStyle="1" w:styleId="PlainTextChar">
    <w:name w:val="Plain Text Char"/>
    <w:link w:val="PlainText"/>
    <w:locked/>
    <w:rsid w:val="00654415"/>
    <w:rPr>
      <w:rFonts w:ascii="Courier New" w:hAnsi="Courier New" w:cs="Times New Roman"/>
      <w:sz w:val="20"/>
      <w:szCs w:val="20"/>
    </w:rPr>
  </w:style>
  <w:style w:type="character" w:customStyle="1" w:styleId="journalname">
    <w:name w:val="journalname"/>
    <w:rsid w:val="00654415"/>
    <w:rPr>
      <w:rFonts w:cs="Times New Roman"/>
    </w:rPr>
  </w:style>
  <w:style w:type="paragraph" w:customStyle="1" w:styleId="Default">
    <w:name w:val="Default"/>
    <w:rsid w:val="00654415"/>
    <w:pPr>
      <w:widowControl w:val="0"/>
      <w:autoSpaceDE w:val="0"/>
      <w:autoSpaceDN w:val="0"/>
      <w:adjustRightInd w:val="0"/>
    </w:pPr>
    <w:rPr>
      <w:rFonts w:ascii="Times New Roman" w:hAnsi="Times New Roman"/>
      <w:color w:val="000000"/>
      <w:sz w:val="24"/>
      <w:szCs w:val="24"/>
      <w:lang w:val="en-US"/>
    </w:rPr>
  </w:style>
  <w:style w:type="paragraph" w:styleId="TOC1">
    <w:name w:val="toc 1"/>
    <w:basedOn w:val="Normal"/>
    <w:next w:val="Normal"/>
    <w:autoRedefine/>
    <w:semiHidden/>
    <w:rsid w:val="00654415"/>
    <w:rPr>
      <w:rFonts w:ascii="Arial" w:eastAsia="Cambria" w:hAnsi="Arial"/>
      <w:caps/>
      <w:sz w:val="20"/>
    </w:rPr>
  </w:style>
  <w:style w:type="paragraph" w:styleId="TOC2">
    <w:name w:val="toc 2"/>
    <w:basedOn w:val="Normal"/>
    <w:next w:val="Normal"/>
    <w:autoRedefine/>
    <w:semiHidden/>
    <w:rsid w:val="00654415"/>
    <w:pPr>
      <w:ind w:left="240"/>
    </w:pPr>
    <w:rPr>
      <w:rFonts w:ascii="Arial" w:hAnsi="Arial"/>
      <w:sz w:val="20"/>
    </w:rPr>
  </w:style>
  <w:style w:type="paragraph" w:styleId="TOC3">
    <w:name w:val="toc 3"/>
    <w:basedOn w:val="Normal"/>
    <w:next w:val="Normal"/>
    <w:autoRedefine/>
    <w:semiHidden/>
    <w:rsid w:val="00654415"/>
    <w:pPr>
      <w:ind w:left="480"/>
    </w:pPr>
    <w:rPr>
      <w:rFonts w:ascii="Arial" w:hAnsi="Arial"/>
      <w:sz w:val="20"/>
    </w:rPr>
  </w:style>
  <w:style w:type="paragraph" w:styleId="TOC4">
    <w:name w:val="toc 4"/>
    <w:basedOn w:val="Normal"/>
    <w:next w:val="Normal"/>
    <w:autoRedefine/>
    <w:semiHidden/>
    <w:rsid w:val="00654415"/>
    <w:pPr>
      <w:ind w:left="720"/>
    </w:pPr>
    <w:rPr>
      <w:rFonts w:ascii="Arial" w:hAnsi="Arial"/>
      <w:sz w:val="20"/>
    </w:rPr>
  </w:style>
  <w:style w:type="paragraph" w:styleId="TOC5">
    <w:name w:val="toc 5"/>
    <w:basedOn w:val="Normal"/>
    <w:next w:val="Normal"/>
    <w:autoRedefine/>
    <w:semiHidden/>
    <w:rsid w:val="00654415"/>
    <w:pPr>
      <w:ind w:left="960"/>
    </w:pPr>
    <w:rPr>
      <w:rFonts w:ascii="Arial" w:hAnsi="Arial"/>
      <w:sz w:val="20"/>
    </w:rPr>
  </w:style>
  <w:style w:type="paragraph" w:styleId="TOC6">
    <w:name w:val="toc 6"/>
    <w:basedOn w:val="Normal"/>
    <w:next w:val="Normal"/>
    <w:autoRedefine/>
    <w:semiHidden/>
    <w:rsid w:val="00654415"/>
    <w:pPr>
      <w:ind w:left="1200"/>
    </w:pPr>
    <w:rPr>
      <w:rFonts w:ascii="Arial" w:hAnsi="Arial"/>
      <w:sz w:val="20"/>
    </w:rPr>
  </w:style>
  <w:style w:type="paragraph" w:styleId="TOC7">
    <w:name w:val="toc 7"/>
    <w:basedOn w:val="Normal"/>
    <w:next w:val="Normal"/>
    <w:autoRedefine/>
    <w:semiHidden/>
    <w:rsid w:val="00654415"/>
    <w:pPr>
      <w:ind w:left="1440"/>
    </w:pPr>
    <w:rPr>
      <w:rFonts w:ascii="Arial" w:hAnsi="Arial"/>
    </w:rPr>
  </w:style>
  <w:style w:type="paragraph" w:styleId="TOC8">
    <w:name w:val="toc 8"/>
    <w:basedOn w:val="Normal"/>
    <w:next w:val="Normal"/>
    <w:autoRedefine/>
    <w:semiHidden/>
    <w:rsid w:val="00654415"/>
    <w:pPr>
      <w:ind w:left="1680"/>
    </w:pPr>
    <w:rPr>
      <w:rFonts w:ascii="Arial" w:hAnsi="Arial"/>
      <w:sz w:val="20"/>
    </w:rPr>
  </w:style>
  <w:style w:type="paragraph" w:styleId="TOC9">
    <w:name w:val="toc 9"/>
    <w:basedOn w:val="Normal"/>
    <w:next w:val="Normal"/>
    <w:autoRedefine/>
    <w:semiHidden/>
    <w:rsid w:val="00654415"/>
    <w:pPr>
      <w:ind w:left="1920"/>
    </w:pPr>
    <w:rPr>
      <w:rFonts w:ascii="Arial" w:hAnsi="Arial"/>
      <w:sz w:val="20"/>
    </w:rPr>
  </w:style>
  <w:style w:type="paragraph" w:styleId="NormalWeb">
    <w:name w:val="Normal (Web)"/>
    <w:basedOn w:val="Normal"/>
    <w:uiPriority w:val="99"/>
    <w:rsid w:val="00654415"/>
    <w:pPr>
      <w:spacing w:before="100" w:beforeAutospacing="1" w:after="100" w:afterAutospacing="1"/>
    </w:pPr>
    <w:rPr>
      <w:rFonts w:ascii="Arial Unicode MS" w:eastAsia="Arial Unicode MS" w:hAnsi="Arial Unicode MS" w:cs="Arial Unicode MS"/>
    </w:rPr>
  </w:style>
  <w:style w:type="character" w:styleId="Strong">
    <w:name w:val="Strong"/>
    <w:qFormat/>
    <w:rsid w:val="00654415"/>
    <w:rPr>
      <w:rFonts w:cs="Times New Roman"/>
      <w:b/>
      <w:bCs/>
    </w:rPr>
  </w:style>
  <w:style w:type="paragraph" w:styleId="Date">
    <w:name w:val="Date"/>
    <w:basedOn w:val="Normal"/>
    <w:next w:val="Normal"/>
    <w:link w:val="DateChar"/>
    <w:rsid w:val="00654415"/>
    <w:rPr>
      <w:rFonts w:eastAsia="Cambria"/>
      <w:sz w:val="20"/>
      <w:lang w:val="x-none" w:eastAsia="x-none"/>
    </w:rPr>
  </w:style>
  <w:style w:type="character" w:customStyle="1" w:styleId="DateChar">
    <w:name w:val="Date Char"/>
    <w:link w:val="Date"/>
    <w:locked/>
    <w:rsid w:val="00654415"/>
    <w:rPr>
      <w:rFonts w:ascii="Times New Roman" w:hAnsi="Times New Roman" w:cs="Times New Roman"/>
    </w:rPr>
  </w:style>
  <w:style w:type="paragraph" w:customStyle="1" w:styleId="Header1">
    <w:name w:val="Header 1"/>
    <w:basedOn w:val="Heading1"/>
    <w:autoRedefine/>
    <w:rsid w:val="00654415"/>
    <w:pPr>
      <w:keepLines w:val="0"/>
      <w:numPr>
        <w:numId w:val="5"/>
      </w:numPr>
      <w:spacing w:before="0"/>
      <w:jc w:val="both"/>
    </w:pPr>
    <w:rPr>
      <w:rFonts w:ascii="Verdana" w:eastAsia="Cambria" w:hAnsi="Verdana"/>
      <w:bCs w:val="0"/>
      <w:color w:val="auto"/>
      <w:sz w:val="22"/>
      <w:szCs w:val="20"/>
    </w:rPr>
  </w:style>
  <w:style w:type="paragraph" w:customStyle="1" w:styleId="Header2">
    <w:name w:val="Header 2"/>
    <w:basedOn w:val="Heading2"/>
    <w:autoRedefine/>
    <w:rsid w:val="00654415"/>
    <w:pPr>
      <w:tabs>
        <w:tab w:val="num" w:pos="1440"/>
      </w:tabs>
      <w:autoSpaceDE w:val="0"/>
      <w:autoSpaceDN w:val="0"/>
      <w:adjustRightInd w:val="0"/>
      <w:ind w:left="1440" w:hanging="360"/>
    </w:pPr>
    <w:rPr>
      <w:rFonts w:ascii="Verdana" w:hAnsi="Verdana"/>
    </w:rPr>
  </w:style>
  <w:style w:type="paragraph" w:customStyle="1" w:styleId="Style1">
    <w:name w:val="Style1"/>
    <w:basedOn w:val="Heading3"/>
    <w:autoRedefine/>
    <w:rsid w:val="00654415"/>
    <w:pPr>
      <w:numPr>
        <w:ilvl w:val="2"/>
        <w:numId w:val="4"/>
      </w:numPr>
    </w:pPr>
    <w:rPr>
      <w:rFonts w:ascii="Verdana" w:hAnsi="Verdana"/>
      <w:lang w:eastAsia="en-GB"/>
    </w:rPr>
  </w:style>
  <w:style w:type="paragraph" w:customStyle="1" w:styleId="StyleHeadernonumberAsianArialUnicodeMS10pt">
    <w:name w:val="Style Header no number + (Asian) Arial Unicode MS 10 pt"/>
    <w:basedOn w:val="Headernonumber"/>
    <w:rsid w:val="00654415"/>
    <w:rPr>
      <w:bCs/>
      <w:caps/>
    </w:rPr>
  </w:style>
  <w:style w:type="paragraph" w:customStyle="1" w:styleId="Style2">
    <w:name w:val="Style2"/>
    <w:basedOn w:val="Header1"/>
    <w:autoRedefine/>
    <w:rsid w:val="00654415"/>
    <w:pPr>
      <w:numPr>
        <w:numId w:val="0"/>
      </w:numPr>
    </w:pPr>
    <w:rPr>
      <w:rFonts w:eastAsia="Arial Unicode MS"/>
    </w:rPr>
  </w:style>
  <w:style w:type="paragraph" w:customStyle="1" w:styleId="Table">
    <w:name w:val="Table"/>
    <w:basedOn w:val="Heading1"/>
    <w:rsid w:val="00654415"/>
    <w:pPr>
      <w:keepLines w:val="0"/>
      <w:spacing w:before="0"/>
      <w:jc w:val="both"/>
    </w:pPr>
    <w:rPr>
      <w:rFonts w:ascii="Verdana" w:eastAsia="Cambria" w:hAnsi="Verdana"/>
      <w:color w:val="auto"/>
      <w:sz w:val="20"/>
      <w:szCs w:val="24"/>
    </w:rPr>
  </w:style>
  <w:style w:type="paragraph" w:customStyle="1" w:styleId="Normal1">
    <w:name w:val="Normal1"/>
    <w:basedOn w:val="Normal"/>
    <w:rsid w:val="00654415"/>
    <w:rPr>
      <w:rFonts w:ascii="Arial" w:eastAsia="Cambria" w:hAnsi="Arial"/>
      <w:lang w:val="en-US"/>
    </w:rPr>
  </w:style>
  <w:style w:type="paragraph" w:customStyle="1" w:styleId="Heading3Arial">
    <w:name w:val="Heading 3 + Arial"/>
    <w:aliases w:val="11 pt,Bold,Black,No underline,Before:  6 pt,Line spac..."/>
    <w:basedOn w:val="Normal"/>
    <w:rsid w:val="00654415"/>
    <w:pPr>
      <w:numPr>
        <w:ilvl w:val="2"/>
        <w:numId w:val="6"/>
      </w:numPr>
      <w:autoSpaceDE w:val="0"/>
      <w:autoSpaceDN w:val="0"/>
      <w:adjustRightInd w:val="0"/>
    </w:pPr>
    <w:rPr>
      <w:rFonts w:ascii="Arial" w:eastAsia="Cambria" w:hAnsi="Arial" w:cs="Arial"/>
      <w:sz w:val="20"/>
    </w:rPr>
  </w:style>
  <w:style w:type="paragraph" w:customStyle="1" w:styleId="NormalJustified">
    <w:name w:val="Normal + Justified"/>
    <w:aliases w:val="Line spacing:  Double"/>
    <w:basedOn w:val="Normal"/>
    <w:rsid w:val="00E52C12"/>
    <w:pPr>
      <w:spacing w:line="480" w:lineRule="auto"/>
      <w:jc w:val="both"/>
    </w:pPr>
    <w:rPr>
      <w:rFonts w:eastAsia="Cambria"/>
    </w:rPr>
  </w:style>
  <w:style w:type="table" w:styleId="TableGrid">
    <w:name w:val="Table Grid"/>
    <w:basedOn w:val="TableNormal"/>
    <w:uiPriority w:val="39"/>
    <w:rsid w:val="0010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E261F"/>
  </w:style>
  <w:style w:type="paragraph" w:styleId="ListParagraph">
    <w:name w:val="List Paragraph"/>
    <w:basedOn w:val="Normal"/>
    <w:uiPriority w:val="34"/>
    <w:qFormat/>
    <w:rsid w:val="00743680"/>
    <w:pPr>
      <w:ind w:left="720"/>
      <w:contextualSpacing/>
    </w:pPr>
    <w:rPr>
      <w:rFonts w:eastAsia="Cambria"/>
    </w:rPr>
  </w:style>
  <w:style w:type="paragraph" w:styleId="Revision">
    <w:name w:val="Revision"/>
    <w:hidden/>
    <w:uiPriority w:val="99"/>
    <w:semiHidden/>
    <w:rsid w:val="009D6F6B"/>
    <w:rPr>
      <w:rFonts w:ascii="Times New Roman" w:hAnsi="Times New Roman"/>
      <w:sz w:val="24"/>
    </w:rPr>
  </w:style>
  <w:style w:type="paragraph" w:customStyle="1" w:styleId="p1">
    <w:name w:val="p1"/>
    <w:basedOn w:val="Normal"/>
    <w:rsid w:val="00912FE8"/>
    <w:rPr>
      <w:rFonts w:ascii="Times" w:eastAsia="Cambria" w:hAnsi="Times"/>
      <w:sz w:val="15"/>
      <w:szCs w:val="15"/>
    </w:rPr>
  </w:style>
  <w:style w:type="character" w:customStyle="1" w:styleId="apple-converted-space">
    <w:name w:val="apple-converted-space"/>
    <w:basedOn w:val="DefaultParagraphFont"/>
    <w:rsid w:val="00912FE8"/>
  </w:style>
  <w:style w:type="character" w:customStyle="1" w:styleId="s1">
    <w:name w:val="s1"/>
    <w:basedOn w:val="DefaultParagraphFont"/>
    <w:rsid w:val="000730CA"/>
    <w:rPr>
      <w:rFonts w:ascii="Helvetica" w:hAnsi="Helvetica" w:hint="default"/>
      <w:sz w:val="11"/>
      <w:szCs w:val="11"/>
    </w:rPr>
  </w:style>
  <w:style w:type="character" w:customStyle="1" w:styleId="s2">
    <w:name w:val="s2"/>
    <w:basedOn w:val="DefaultParagraphFont"/>
    <w:rsid w:val="000730CA"/>
    <w:rPr>
      <w:color w:val="23A8DB"/>
    </w:rPr>
  </w:style>
  <w:style w:type="table" w:styleId="PlainTable2">
    <w:name w:val="Plain Table 2"/>
    <w:basedOn w:val="TableNormal"/>
    <w:uiPriority w:val="42"/>
    <w:rsid w:val="007D3CE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
    <w:name w:val="EndNote Bibliography"/>
    <w:basedOn w:val="Normal"/>
    <w:rsid w:val="00930324"/>
    <w:pPr>
      <w:spacing w:after="120"/>
    </w:pPr>
    <w:rPr>
      <w:rFonts w:eastAsiaTheme="minorHAnsi"/>
    </w:rPr>
  </w:style>
  <w:style w:type="character" w:customStyle="1" w:styleId="highlight">
    <w:name w:val="highlight"/>
    <w:basedOn w:val="DefaultParagraphFont"/>
    <w:rsid w:val="0034191B"/>
  </w:style>
  <w:style w:type="character" w:customStyle="1" w:styleId="googqs-tidbit1">
    <w:name w:val="goog_qs-tidbit1"/>
    <w:rsid w:val="00DC0524"/>
    <w:rPr>
      <w:vanish w:val="0"/>
      <w:webHidden w:val="0"/>
      <w:specVanish w:val="0"/>
    </w:rPr>
  </w:style>
  <w:style w:type="paragraph" w:customStyle="1" w:styleId="Title1">
    <w:name w:val="Title1"/>
    <w:basedOn w:val="Normal"/>
    <w:rsid w:val="00281A37"/>
    <w:pPr>
      <w:spacing w:before="100" w:beforeAutospacing="1" w:after="100" w:afterAutospacing="1"/>
    </w:pPr>
    <w:rPr>
      <w:lang w:eastAsia="en-US"/>
    </w:rPr>
  </w:style>
  <w:style w:type="paragraph" w:customStyle="1" w:styleId="desc">
    <w:name w:val="desc"/>
    <w:basedOn w:val="Normal"/>
    <w:rsid w:val="00281A37"/>
    <w:pPr>
      <w:spacing w:before="100" w:beforeAutospacing="1" w:after="100" w:afterAutospacing="1"/>
    </w:pPr>
    <w:rPr>
      <w:lang w:eastAsia="en-US"/>
    </w:rPr>
  </w:style>
  <w:style w:type="paragraph" w:customStyle="1" w:styleId="details">
    <w:name w:val="details"/>
    <w:basedOn w:val="Normal"/>
    <w:rsid w:val="00281A37"/>
    <w:pPr>
      <w:spacing w:before="100" w:beforeAutospacing="1" w:after="100" w:afterAutospacing="1"/>
    </w:pPr>
    <w:rPr>
      <w:lang w:eastAsia="en-US"/>
    </w:rPr>
  </w:style>
  <w:style w:type="character" w:customStyle="1" w:styleId="jrnl">
    <w:name w:val="jrnl"/>
    <w:basedOn w:val="DefaultParagraphFont"/>
    <w:rsid w:val="00281A37"/>
  </w:style>
  <w:style w:type="paragraph" w:customStyle="1" w:styleId="Title2">
    <w:name w:val="Title2"/>
    <w:basedOn w:val="Normal"/>
    <w:rsid w:val="005E4864"/>
    <w:pPr>
      <w:spacing w:before="100" w:beforeAutospacing="1" w:after="100" w:afterAutospacing="1"/>
    </w:pPr>
    <w:rPr>
      <w:lang w:eastAsia="en-US"/>
    </w:rPr>
  </w:style>
  <w:style w:type="table" w:customStyle="1" w:styleId="TableGrid1">
    <w:name w:val="Table Grid1"/>
    <w:basedOn w:val="TableNormal"/>
    <w:next w:val="TableGrid"/>
    <w:uiPriority w:val="59"/>
    <w:rsid w:val="00070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1">
    <w:name w:val="s21"/>
    <w:basedOn w:val="DefaultParagraphFont"/>
    <w:rsid w:val="00053168"/>
  </w:style>
  <w:style w:type="character" w:customStyle="1" w:styleId="UnresolvedMention1">
    <w:name w:val="Unresolved Mention1"/>
    <w:basedOn w:val="DefaultParagraphFont"/>
    <w:uiPriority w:val="99"/>
    <w:semiHidden/>
    <w:unhideWhenUsed/>
    <w:rsid w:val="00955BBB"/>
    <w:rPr>
      <w:color w:val="605E5C"/>
      <w:shd w:val="clear" w:color="auto" w:fill="E1DFDD"/>
    </w:rPr>
  </w:style>
  <w:style w:type="paragraph" w:styleId="HTMLPreformatted">
    <w:name w:val="HTML Preformatted"/>
    <w:basedOn w:val="Normal"/>
    <w:link w:val="HTMLPreformattedChar"/>
    <w:semiHidden/>
    <w:unhideWhenUsed/>
    <w:rsid w:val="002F2B2D"/>
    <w:rPr>
      <w:rFonts w:ascii="Consolas" w:hAnsi="Consolas" w:cs="Consolas"/>
      <w:sz w:val="20"/>
      <w:szCs w:val="20"/>
    </w:rPr>
  </w:style>
  <w:style w:type="character" w:customStyle="1" w:styleId="HTMLPreformattedChar">
    <w:name w:val="HTML Preformatted Char"/>
    <w:basedOn w:val="DefaultParagraphFont"/>
    <w:link w:val="HTMLPreformatted"/>
    <w:semiHidden/>
    <w:rsid w:val="002F2B2D"/>
    <w:rPr>
      <w:rFonts w:ascii="Consolas" w:hAnsi="Consolas" w:cs="Consolas"/>
      <w:lang w:eastAsia="en-GB"/>
    </w:rPr>
  </w:style>
  <w:style w:type="character" w:customStyle="1" w:styleId="acopre">
    <w:name w:val="acopre"/>
    <w:basedOn w:val="DefaultParagraphFont"/>
    <w:rsid w:val="003E05A3"/>
  </w:style>
  <w:style w:type="character" w:styleId="UnresolvedMention">
    <w:name w:val="Unresolved Mention"/>
    <w:basedOn w:val="DefaultParagraphFont"/>
    <w:uiPriority w:val="99"/>
    <w:semiHidden/>
    <w:unhideWhenUsed/>
    <w:rsid w:val="00B10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3462249">
      <w:bodyDiv w:val="1"/>
      <w:marLeft w:val="0"/>
      <w:marRight w:val="0"/>
      <w:marTop w:val="0"/>
      <w:marBottom w:val="0"/>
      <w:divBdr>
        <w:top w:val="none" w:sz="0" w:space="0" w:color="auto"/>
        <w:left w:val="none" w:sz="0" w:space="0" w:color="auto"/>
        <w:bottom w:val="none" w:sz="0" w:space="0" w:color="auto"/>
        <w:right w:val="none" w:sz="0" w:space="0" w:color="auto"/>
      </w:divBdr>
      <w:divsChild>
        <w:div w:id="338044227">
          <w:marLeft w:val="0"/>
          <w:marRight w:val="0"/>
          <w:marTop w:val="0"/>
          <w:marBottom w:val="0"/>
          <w:divBdr>
            <w:top w:val="none" w:sz="0" w:space="0" w:color="auto"/>
            <w:left w:val="none" w:sz="0" w:space="0" w:color="auto"/>
            <w:bottom w:val="none" w:sz="0" w:space="0" w:color="auto"/>
            <w:right w:val="none" w:sz="0" w:space="0" w:color="auto"/>
          </w:divBdr>
        </w:div>
      </w:divsChild>
    </w:div>
    <w:div w:id="14310798">
      <w:bodyDiv w:val="1"/>
      <w:marLeft w:val="0"/>
      <w:marRight w:val="0"/>
      <w:marTop w:val="0"/>
      <w:marBottom w:val="0"/>
      <w:divBdr>
        <w:top w:val="none" w:sz="0" w:space="0" w:color="auto"/>
        <w:left w:val="none" w:sz="0" w:space="0" w:color="auto"/>
        <w:bottom w:val="none" w:sz="0" w:space="0" w:color="auto"/>
        <w:right w:val="none" w:sz="0" w:space="0" w:color="auto"/>
      </w:divBdr>
    </w:div>
    <w:div w:id="28456521">
      <w:bodyDiv w:val="1"/>
      <w:marLeft w:val="0"/>
      <w:marRight w:val="0"/>
      <w:marTop w:val="0"/>
      <w:marBottom w:val="0"/>
      <w:divBdr>
        <w:top w:val="none" w:sz="0" w:space="0" w:color="auto"/>
        <w:left w:val="none" w:sz="0" w:space="0" w:color="auto"/>
        <w:bottom w:val="none" w:sz="0" w:space="0" w:color="auto"/>
        <w:right w:val="none" w:sz="0" w:space="0" w:color="auto"/>
      </w:divBdr>
    </w:div>
    <w:div w:id="32313397">
      <w:bodyDiv w:val="1"/>
      <w:marLeft w:val="0"/>
      <w:marRight w:val="0"/>
      <w:marTop w:val="0"/>
      <w:marBottom w:val="0"/>
      <w:divBdr>
        <w:top w:val="none" w:sz="0" w:space="0" w:color="auto"/>
        <w:left w:val="none" w:sz="0" w:space="0" w:color="auto"/>
        <w:bottom w:val="none" w:sz="0" w:space="0" w:color="auto"/>
        <w:right w:val="none" w:sz="0" w:space="0" w:color="auto"/>
      </w:divBdr>
    </w:div>
    <w:div w:id="44767674">
      <w:bodyDiv w:val="1"/>
      <w:marLeft w:val="0"/>
      <w:marRight w:val="0"/>
      <w:marTop w:val="0"/>
      <w:marBottom w:val="0"/>
      <w:divBdr>
        <w:top w:val="none" w:sz="0" w:space="0" w:color="auto"/>
        <w:left w:val="none" w:sz="0" w:space="0" w:color="auto"/>
        <w:bottom w:val="none" w:sz="0" w:space="0" w:color="auto"/>
        <w:right w:val="none" w:sz="0" w:space="0" w:color="auto"/>
      </w:divBdr>
      <w:divsChild>
        <w:div w:id="1496340529">
          <w:marLeft w:val="0"/>
          <w:marRight w:val="0"/>
          <w:marTop w:val="0"/>
          <w:marBottom w:val="0"/>
          <w:divBdr>
            <w:top w:val="none" w:sz="0" w:space="0" w:color="auto"/>
            <w:left w:val="none" w:sz="0" w:space="0" w:color="auto"/>
            <w:bottom w:val="none" w:sz="0" w:space="0" w:color="auto"/>
            <w:right w:val="none" w:sz="0" w:space="0" w:color="auto"/>
          </w:divBdr>
        </w:div>
      </w:divsChild>
    </w:div>
    <w:div w:id="75060889">
      <w:bodyDiv w:val="1"/>
      <w:marLeft w:val="0"/>
      <w:marRight w:val="0"/>
      <w:marTop w:val="0"/>
      <w:marBottom w:val="0"/>
      <w:divBdr>
        <w:top w:val="none" w:sz="0" w:space="0" w:color="auto"/>
        <w:left w:val="none" w:sz="0" w:space="0" w:color="auto"/>
        <w:bottom w:val="none" w:sz="0" w:space="0" w:color="auto"/>
        <w:right w:val="none" w:sz="0" w:space="0" w:color="auto"/>
      </w:divBdr>
    </w:div>
    <w:div w:id="77290815">
      <w:bodyDiv w:val="1"/>
      <w:marLeft w:val="0"/>
      <w:marRight w:val="0"/>
      <w:marTop w:val="0"/>
      <w:marBottom w:val="0"/>
      <w:divBdr>
        <w:top w:val="none" w:sz="0" w:space="0" w:color="auto"/>
        <w:left w:val="none" w:sz="0" w:space="0" w:color="auto"/>
        <w:bottom w:val="none" w:sz="0" w:space="0" w:color="auto"/>
        <w:right w:val="none" w:sz="0" w:space="0" w:color="auto"/>
      </w:divBdr>
    </w:div>
    <w:div w:id="83190266">
      <w:bodyDiv w:val="1"/>
      <w:marLeft w:val="0"/>
      <w:marRight w:val="0"/>
      <w:marTop w:val="0"/>
      <w:marBottom w:val="0"/>
      <w:divBdr>
        <w:top w:val="none" w:sz="0" w:space="0" w:color="auto"/>
        <w:left w:val="none" w:sz="0" w:space="0" w:color="auto"/>
        <w:bottom w:val="none" w:sz="0" w:space="0" w:color="auto"/>
        <w:right w:val="none" w:sz="0" w:space="0" w:color="auto"/>
      </w:divBdr>
    </w:div>
    <w:div w:id="87116449">
      <w:bodyDiv w:val="1"/>
      <w:marLeft w:val="0"/>
      <w:marRight w:val="0"/>
      <w:marTop w:val="0"/>
      <w:marBottom w:val="0"/>
      <w:divBdr>
        <w:top w:val="none" w:sz="0" w:space="0" w:color="auto"/>
        <w:left w:val="none" w:sz="0" w:space="0" w:color="auto"/>
        <w:bottom w:val="none" w:sz="0" w:space="0" w:color="auto"/>
        <w:right w:val="none" w:sz="0" w:space="0" w:color="auto"/>
      </w:divBdr>
    </w:div>
    <w:div w:id="89592604">
      <w:bodyDiv w:val="1"/>
      <w:marLeft w:val="0"/>
      <w:marRight w:val="0"/>
      <w:marTop w:val="0"/>
      <w:marBottom w:val="0"/>
      <w:divBdr>
        <w:top w:val="none" w:sz="0" w:space="0" w:color="auto"/>
        <w:left w:val="none" w:sz="0" w:space="0" w:color="auto"/>
        <w:bottom w:val="none" w:sz="0" w:space="0" w:color="auto"/>
        <w:right w:val="none" w:sz="0" w:space="0" w:color="auto"/>
      </w:divBdr>
    </w:div>
    <w:div w:id="97608573">
      <w:bodyDiv w:val="1"/>
      <w:marLeft w:val="0"/>
      <w:marRight w:val="0"/>
      <w:marTop w:val="0"/>
      <w:marBottom w:val="0"/>
      <w:divBdr>
        <w:top w:val="none" w:sz="0" w:space="0" w:color="auto"/>
        <w:left w:val="none" w:sz="0" w:space="0" w:color="auto"/>
        <w:bottom w:val="none" w:sz="0" w:space="0" w:color="auto"/>
        <w:right w:val="none" w:sz="0" w:space="0" w:color="auto"/>
      </w:divBdr>
      <w:divsChild>
        <w:div w:id="614479727">
          <w:marLeft w:val="0"/>
          <w:marRight w:val="0"/>
          <w:marTop w:val="0"/>
          <w:marBottom w:val="0"/>
          <w:divBdr>
            <w:top w:val="none" w:sz="0" w:space="0" w:color="auto"/>
            <w:left w:val="none" w:sz="0" w:space="0" w:color="auto"/>
            <w:bottom w:val="none" w:sz="0" w:space="0" w:color="auto"/>
            <w:right w:val="none" w:sz="0" w:space="0" w:color="auto"/>
          </w:divBdr>
        </w:div>
        <w:div w:id="562986570">
          <w:marLeft w:val="0"/>
          <w:marRight w:val="0"/>
          <w:marTop w:val="0"/>
          <w:marBottom w:val="0"/>
          <w:divBdr>
            <w:top w:val="none" w:sz="0" w:space="0" w:color="auto"/>
            <w:left w:val="none" w:sz="0" w:space="0" w:color="auto"/>
            <w:bottom w:val="none" w:sz="0" w:space="0" w:color="auto"/>
            <w:right w:val="none" w:sz="0" w:space="0" w:color="auto"/>
          </w:divBdr>
          <w:divsChild>
            <w:div w:id="903368937">
              <w:marLeft w:val="0"/>
              <w:marRight w:val="0"/>
              <w:marTop w:val="0"/>
              <w:marBottom w:val="0"/>
              <w:divBdr>
                <w:top w:val="none" w:sz="0" w:space="0" w:color="auto"/>
                <w:left w:val="none" w:sz="0" w:space="0" w:color="auto"/>
                <w:bottom w:val="none" w:sz="0" w:space="0" w:color="auto"/>
                <w:right w:val="none" w:sz="0" w:space="0" w:color="auto"/>
              </w:divBdr>
              <w:divsChild>
                <w:div w:id="993332640">
                  <w:marLeft w:val="0"/>
                  <w:marRight w:val="0"/>
                  <w:marTop w:val="0"/>
                  <w:marBottom w:val="0"/>
                  <w:divBdr>
                    <w:top w:val="none" w:sz="0" w:space="0" w:color="auto"/>
                    <w:left w:val="none" w:sz="0" w:space="0" w:color="auto"/>
                    <w:bottom w:val="none" w:sz="0" w:space="0" w:color="auto"/>
                    <w:right w:val="none" w:sz="0" w:space="0" w:color="auto"/>
                  </w:divBdr>
                </w:div>
                <w:div w:id="95244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3765">
      <w:bodyDiv w:val="1"/>
      <w:marLeft w:val="0"/>
      <w:marRight w:val="0"/>
      <w:marTop w:val="0"/>
      <w:marBottom w:val="0"/>
      <w:divBdr>
        <w:top w:val="none" w:sz="0" w:space="0" w:color="auto"/>
        <w:left w:val="none" w:sz="0" w:space="0" w:color="auto"/>
        <w:bottom w:val="none" w:sz="0" w:space="0" w:color="auto"/>
        <w:right w:val="none" w:sz="0" w:space="0" w:color="auto"/>
      </w:divBdr>
    </w:div>
    <w:div w:id="110441869">
      <w:bodyDiv w:val="1"/>
      <w:marLeft w:val="0"/>
      <w:marRight w:val="0"/>
      <w:marTop w:val="0"/>
      <w:marBottom w:val="0"/>
      <w:divBdr>
        <w:top w:val="none" w:sz="0" w:space="0" w:color="auto"/>
        <w:left w:val="none" w:sz="0" w:space="0" w:color="auto"/>
        <w:bottom w:val="none" w:sz="0" w:space="0" w:color="auto"/>
        <w:right w:val="none" w:sz="0" w:space="0" w:color="auto"/>
      </w:divBdr>
    </w:div>
    <w:div w:id="128281807">
      <w:bodyDiv w:val="1"/>
      <w:marLeft w:val="0"/>
      <w:marRight w:val="0"/>
      <w:marTop w:val="0"/>
      <w:marBottom w:val="0"/>
      <w:divBdr>
        <w:top w:val="none" w:sz="0" w:space="0" w:color="auto"/>
        <w:left w:val="none" w:sz="0" w:space="0" w:color="auto"/>
        <w:bottom w:val="none" w:sz="0" w:space="0" w:color="auto"/>
        <w:right w:val="none" w:sz="0" w:space="0" w:color="auto"/>
      </w:divBdr>
      <w:divsChild>
        <w:div w:id="1233543872">
          <w:marLeft w:val="0"/>
          <w:marRight w:val="0"/>
          <w:marTop w:val="0"/>
          <w:marBottom w:val="0"/>
          <w:divBdr>
            <w:top w:val="none" w:sz="0" w:space="0" w:color="auto"/>
            <w:left w:val="none" w:sz="0" w:space="0" w:color="auto"/>
            <w:bottom w:val="none" w:sz="0" w:space="0" w:color="auto"/>
            <w:right w:val="none" w:sz="0" w:space="0" w:color="auto"/>
          </w:divBdr>
        </w:div>
      </w:divsChild>
    </w:div>
    <w:div w:id="140781063">
      <w:bodyDiv w:val="1"/>
      <w:marLeft w:val="0"/>
      <w:marRight w:val="0"/>
      <w:marTop w:val="0"/>
      <w:marBottom w:val="0"/>
      <w:divBdr>
        <w:top w:val="none" w:sz="0" w:space="0" w:color="auto"/>
        <w:left w:val="none" w:sz="0" w:space="0" w:color="auto"/>
        <w:bottom w:val="none" w:sz="0" w:space="0" w:color="auto"/>
        <w:right w:val="none" w:sz="0" w:space="0" w:color="auto"/>
      </w:divBdr>
      <w:divsChild>
        <w:div w:id="225996301">
          <w:marLeft w:val="0"/>
          <w:marRight w:val="0"/>
          <w:marTop w:val="0"/>
          <w:marBottom w:val="0"/>
          <w:divBdr>
            <w:top w:val="none" w:sz="0" w:space="0" w:color="auto"/>
            <w:left w:val="none" w:sz="0" w:space="0" w:color="auto"/>
            <w:bottom w:val="none" w:sz="0" w:space="0" w:color="auto"/>
            <w:right w:val="none" w:sz="0" w:space="0" w:color="auto"/>
          </w:divBdr>
        </w:div>
      </w:divsChild>
    </w:div>
    <w:div w:id="161631739">
      <w:bodyDiv w:val="1"/>
      <w:marLeft w:val="0"/>
      <w:marRight w:val="0"/>
      <w:marTop w:val="0"/>
      <w:marBottom w:val="0"/>
      <w:divBdr>
        <w:top w:val="none" w:sz="0" w:space="0" w:color="auto"/>
        <w:left w:val="none" w:sz="0" w:space="0" w:color="auto"/>
        <w:bottom w:val="none" w:sz="0" w:space="0" w:color="auto"/>
        <w:right w:val="none" w:sz="0" w:space="0" w:color="auto"/>
      </w:divBdr>
    </w:div>
    <w:div w:id="163591171">
      <w:bodyDiv w:val="1"/>
      <w:marLeft w:val="0"/>
      <w:marRight w:val="0"/>
      <w:marTop w:val="0"/>
      <w:marBottom w:val="0"/>
      <w:divBdr>
        <w:top w:val="none" w:sz="0" w:space="0" w:color="auto"/>
        <w:left w:val="none" w:sz="0" w:space="0" w:color="auto"/>
        <w:bottom w:val="none" w:sz="0" w:space="0" w:color="auto"/>
        <w:right w:val="none" w:sz="0" w:space="0" w:color="auto"/>
      </w:divBdr>
    </w:div>
    <w:div w:id="185490039">
      <w:bodyDiv w:val="1"/>
      <w:marLeft w:val="0"/>
      <w:marRight w:val="0"/>
      <w:marTop w:val="0"/>
      <w:marBottom w:val="0"/>
      <w:divBdr>
        <w:top w:val="none" w:sz="0" w:space="0" w:color="auto"/>
        <w:left w:val="none" w:sz="0" w:space="0" w:color="auto"/>
        <w:bottom w:val="none" w:sz="0" w:space="0" w:color="auto"/>
        <w:right w:val="none" w:sz="0" w:space="0" w:color="auto"/>
      </w:divBdr>
      <w:divsChild>
        <w:div w:id="1463579233">
          <w:marLeft w:val="0"/>
          <w:marRight w:val="0"/>
          <w:marTop w:val="0"/>
          <w:marBottom w:val="0"/>
          <w:divBdr>
            <w:top w:val="none" w:sz="0" w:space="0" w:color="auto"/>
            <w:left w:val="none" w:sz="0" w:space="0" w:color="auto"/>
            <w:bottom w:val="none" w:sz="0" w:space="0" w:color="auto"/>
            <w:right w:val="none" w:sz="0" w:space="0" w:color="auto"/>
          </w:divBdr>
        </w:div>
      </w:divsChild>
    </w:div>
    <w:div w:id="185681425">
      <w:bodyDiv w:val="1"/>
      <w:marLeft w:val="0"/>
      <w:marRight w:val="0"/>
      <w:marTop w:val="0"/>
      <w:marBottom w:val="0"/>
      <w:divBdr>
        <w:top w:val="none" w:sz="0" w:space="0" w:color="auto"/>
        <w:left w:val="none" w:sz="0" w:space="0" w:color="auto"/>
        <w:bottom w:val="none" w:sz="0" w:space="0" w:color="auto"/>
        <w:right w:val="none" w:sz="0" w:space="0" w:color="auto"/>
      </w:divBdr>
    </w:div>
    <w:div w:id="186145545">
      <w:bodyDiv w:val="1"/>
      <w:marLeft w:val="0"/>
      <w:marRight w:val="0"/>
      <w:marTop w:val="0"/>
      <w:marBottom w:val="0"/>
      <w:divBdr>
        <w:top w:val="none" w:sz="0" w:space="0" w:color="auto"/>
        <w:left w:val="none" w:sz="0" w:space="0" w:color="auto"/>
        <w:bottom w:val="none" w:sz="0" w:space="0" w:color="auto"/>
        <w:right w:val="none" w:sz="0" w:space="0" w:color="auto"/>
      </w:divBdr>
    </w:div>
    <w:div w:id="201791741">
      <w:bodyDiv w:val="1"/>
      <w:marLeft w:val="0"/>
      <w:marRight w:val="0"/>
      <w:marTop w:val="0"/>
      <w:marBottom w:val="0"/>
      <w:divBdr>
        <w:top w:val="none" w:sz="0" w:space="0" w:color="auto"/>
        <w:left w:val="none" w:sz="0" w:space="0" w:color="auto"/>
        <w:bottom w:val="none" w:sz="0" w:space="0" w:color="auto"/>
        <w:right w:val="none" w:sz="0" w:space="0" w:color="auto"/>
      </w:divBdr>
    </w:div>
    <w:div w:id="202405363">
      <w:bodyDiv w:val="1"/>
      <w:marLeft w:val="0"/>
      <w:marRight w:val="0"/>
      <w:marTop w:val="0"/>
      <w:marBottom w:val="0"/>
      <w:divBdr>
        <w:top w:val="none" w:sz="0" w:space="0" w:color="auto"/>
        <w:left w:val="none" w:sz="0" w:space="0" w:color="auto"/>
        <w:bottom w:val="none" w:sz="0" w:space="0" w:color="auto"/>
        <w:right w:val="none" w:sz="0" w:space="0" w:color="auto"/>
      </w:divBdr>
    </w:div>
    <w:div w:id="205874063">
      <w:bodyDiv w:val="1"/>
      <w:marLeft w:val="0"/>
      <w:marRight w:val="0"/>
      <w:marTop w:val="0"/>
      <w:marBottom w:val="0"/>
      <w:divBdr>
        <w:top w:val="none" w:sz="0" w:space="0" w:color="auto"/>
        <w:left w:val="none" w:sz="0" w:space="0" w:color="auto"/>
        <w:bottom w:val="none" w:sz="0" w:space="0" w:color="auto"/>
        <w:right w:val="none" w:sz="0" w:space="0" w:color="auto"/>
      </w:divBdr>
    </w:div>
    <w:div w:id="211967575">
      <w:bodyDiv w:val="1"/>
      <w:marLeft w:val="0"/>
      <w:marRight w:val="0"/>
      <w:marTop w:val="0"/>
      <w:marBottom w:val="0"/>
      <w:divBdr>
        <w:top w:val="none" w:sz="0" w:space="0" w:color="auto"/>
        <w:left w:val="none" w:sz="0" w:space="0" w:color="auto"/>
        <w:bottom w:val="none" w:sz="0" w:space="0" w:color="auto"/>
        <w:right w:val="none" w:sz="0" w:space="0" w:color="auto"/>
      </w:divBdr>
    </w:div>
    <w:div w:id="252320352">
      <w:bodyDiv w:val="1"/>
      <w:marLeft w:val="0"/>
      <w:marRight w:val="0"/>
      <w:marTop w:val="0"/>
      <w:marBottom w:val="0"/>
      <w:divBdr>
        <w:top w:val="none" w:sz="0" w:space="0" w:color="auto"/>
        <w:left w:val="none" w:sz="0" w:space="0" w:color="auto"/>
        <w:bottom w:val="none" w:sz="0" w:space="0" w:color="auto"/>
        <w:right w:val="none" w:sz="0" w:space="0" w:color="auto"/>
      </w:divBdr>
    </w:div>
    <w:div w:id="252973642">
      <w:bodyDiv w:val="1"/>
      <w:marLeft w:val="0"/>
      <w:marRight w:val="0"/>
      <w:marTop w:val="0"/>
      <w:marBottom w:val="0"/>
      <w:divBdr>
        <w:top w:val="none" w:sz="0" w:space="0" w:color="auto"/>
        <w:left w:val="none" w:sz="0" w:space="0" w:color="auto"/>
        <w:bottom w:val="none" w:sz="0" w:space="0" w:color="auto"/>
        <w:right w:val="none" w:sz="0" w:space="0" w:color="auto"/>
      </w:divBdr>
    </w:div>
    <w:div w:id="269289471">
      <w:bodyDiv w:val="1"/>
      <w:marLeft w:val="0"/>
      <w:marRight w:val="0"/>
      <w:marTop w:val="0"/>
      <w:marBottom w:val="0"/>
      <w:divBdr>
        <w:top w:val="none" w:sz="0" w:space="0" w:color="auto"/>
        <w:left w:val="none" w:sz="0" w:space="0" w:color="auto"/>
        <w:bottom w:val="none" w:sz="0" w:space="0" w:color="auto"/>
        <w:right w:val="none" w:sz="0" w:space="0" w:color="auto"/>
      </w:divBdr>
    </w:div>
    <w:div w:id="279843194">
      <w:bodyDiv w:val="1"/>
      <w:marLeft w:val="0"/>
      <w:marRight w:val="0"/>
      <w:marTop w:val="0"/>
      <w:marBottom w:val="0"/>
      <w:divBdr>
        <w:top w:val="none" w:sz="0" w:space="0" w:color="auto"/>
        <w:left w:val="none" w:sz="0" w:space="0" w:color="auto"/>
        <w:bottom w:val="none" w:sz="0" w:space="0" w:color="auto"/>
        <w:right w:val="none" w:sz="0" w:space="0" w:color="auto"/>
      </w:divBdr>
    </w:div>
    <w:div w:id="287441109">
      <w:bodyDiv w:val="1"/>
      <w:marLeft w:val="0"/>
      <w:marRight w:val="0"/>
      <w:marTop w:val="0"/>
      <w:marBottom w:val="0"/>
      <w:divBdr>
        <w:top w:val="none" w:sz="0" w:space="0" w:color="auto"/>
        <w:left w:val="none" w:sz="0" w:space="0" w:color="auto"/>
        <w:bottom w:val="none" w:sz="0" w:space="0" w:color="auto"/>
        <w:right w:val="none" w:sz="0" w:space="0" w:color="auto"/>
      </w:divBdr>
      <w:divsChild>
        <w:div w:id="66342237">
          <w:marLeft w:val="0"/>
          <w:marRight w:val="0"/>
          <w:marTop w:val="0"/>
          <w:marBottom w:val="0"/>
          <w:divBdr>
            <w:top w:val="none" w:sz="0" w:space="0" w:color="auto"/>
            <w:left w:val="none" w:sz="0" w:space="0" w:color="auto"/>
            <w:bottom w:val="none" w:sz="0" w:space="0" w:color="auto"/>
            <w:right w:val="none" w:sz="0" w:space="0" w:color="auto"/>
          </w:divBdr>
          <w:divsChild>
            <w:div w:id="983005656">
              <w:marLeft w:val="0"/>
              <w:marRight w:val="0"/>
              <w:marTop w:val="0"/>
              <w:marBottom w:val="0"/>
              <w:divBdr>
                <w:top w:val="none" w:sz="0" w:space="0" w:color="auto"/>
                <w:left w:val="none" w:sz="0" w:space="0" w:color="auto"/>
                <w:bottom w:val="none" w:sz="0" w:space="0" w:color="auto"/>
                <w:right w:val="none" w:sz="0" w:space="0" w:color="auto"/>
              </w:divBdr>
              <w:divsChild>
                <w:div w:id="1894854454">
                  <w:marLeft w:val="0"/>
                  <w:marRight w:val="0"/>
                  <w:marTop w:val="0"/>
                  <w:marBottom w:val="0"/>
                  <w:divBdr>
                    <w:top w:val="none" w:sz="0" w:space="0" w:color="auto"/>
                    <w:left w:val="none" w:sz="0" w:space="0" w:color="auto"/>
                    <w:bottom w:val="none" w:sz="0" w:space="0" w:color="auto"/>
                    <w:right w:val="none" w:sz="0" w:space="0" w:color="auto"/>
                  </w:divBdr>
                  <w:divsChild>
                    <w:div w:id="209558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576761">
      <w:bodyDiv w:val="1"/>
      <w:marLeft w:val="0"/>
      <w:marRight w:val="0"/>
      <w:marTop w:val="0"/>
      <w:marBottom w:val="0"/>
      <w:divBdr>
        <w:top w:val="none" w:sz="0" w:space="0" w:color="auto"/>
        <w:left w:val="none" w:sz="0" w:space="0" w:color="auto"/>
        <w:bottom w:val="none" w:sz="0" w:space="0" w:color="auto"/>
        <w:right w:val="none" w:sz="0" w:space="0" w:color="auto"/>
      </w:divBdr>
    </w:div>
    <w:div w:id="303657170">
      <w:bodyDiv w:val="1"/>
      <w:marLeft w:val="0"/>
      <w:marRight w:val="0"/>
      <w:marTop w:val="0"/>
      <w:marBottom w:val="0"/>
      <w:divBdr>
        <w:top w:val="none" w:sz="0" w:space="0" w:color="auto"/>
        <w:left w:val="none" w:sz="0" w:space="0" w:color="auto"/>
        <w:bottom w:val="none" w:sz="0" w:space="0" w:color="auto"/>
        <w:right w:val="none" w:sz="0" w:space="0" w:color="auto"/>
      </w:divBdr>
    </w:div>
    <w:div w:id="305744490">
      <w:bodyDiv w:val="1"/>
      <w:marLeft w:val="0"/>
      <w:marRight w:val="0"/>
      <w:marTop w:val="0"/>
      <w:marBottom w:val="0"/>
      <w:divBdr>
        <w:top w:val="none" w:sz="0" w:space="0" w:color="auto"/>
        <w:left w:val="none" w:sz="0" w:space="0" w:color="auto"/>
        <w:bottom w:val="none" w:sz="0" w:space="0" w:color="auto"/>
        <w:right w:val="none" w:sz="0" w:space="0" w:color="auto"/>
      </w:divBdr>
    </w:div>
    <w:div w:id="326641386">
      <w:bodyDiv w:val="1"/>
      <w:marLeft w:val="0"/>
      <w:marRight w:val="0"/>
      <w:marTop w:val="0"/>
      <w:marBottom w:val="0"/>
      <w:divBdr>
        <w:top w:val="none" w:sz="0" w:space="0" w:color="auto"/>
        <w:left w:val="none" w:sz="0" w:space="0" w:color="auto"/>
        <w:bottom w:val="none" w:sz="0" w:space="0" w:color="auto"/>
        <w:right w:val="none" w:sz="0" w:space="0" w:color="auto"/>
      </w:divBdr>
    </w:div>
    <w:div w:id="329143363">
      <w:bodyDiv w:val="1"/>
      <w:marLeft w:val="0"/>
      <w:marRight w:val="0"/>
      <w:marTop w:val="0"/>
      <w:marBottom w:val="0"/>
      <w:divBdr>
        <w:top w:val="none" w:sz="0" w:space="0" w:color="auto"/>
        <w:left w:val="none" w:sz="0" w:space="0" w:color="auto"/>
        <w:bottom w:val="none" w:sz="0" w:space="0" w:color="auto"/>
        <w:right w:val="none" w:sz="0" w:space="0" w:color="auto"/>
      </w:divBdr>
    </w:div>
    <w:div w:id="335303301">
      <w:bodyDiv w:val="1"/>
      <w:marLeft w:val="0"/>
      <w:marRight w:val="0"/>
      <w:marTop w:val="0"/>
      <w:marBottom w:val="0"/>
      <w:divBdr>
        <w:top w:val="none" w:sz="0" w:space="0" w:color="auto"/>
        <w:left w:val="none" w:sz="0" w:space="0" w:color="auto"/>
        <w:bottom w:val="none" w:sz="0" w:space="0" w:color="auto"/>
        <w:right w:val="none" w:sz="0" w:space="0" w:color="auto"/>
      </w:divBdr>
    </w:div>
    <w:div w:id="360327421">
      <w:bodyDiv w:val="1"/>
      <w:marLeft w:val="0"/>
      <w:marRight w:val="0"/>
      <w:marTop w:val="0"/>
      <w:marBottom w:val="0"/>
      <w:divBdr>
        <w:top w:val="none" w:sz="0" w:space="0" w:color="auto"/>
        <w:left w:val="none" w:sz="0" w:space="0" w:color="auto"/>
        <w:bottom w:val="none" w:sz="0" w:space="0" w:color="auto"/>
        <w:right w:val="none" w:sz="0" w:space="0" w:color="auto"/>
      </w:divBdr>
    </w:div>
    <w:div w:id="362752816">
      <w:bodyDiv w:val="1"/>
      <w:marLeft w:val="0"/>
      <w:marRight w:val="0"/>
      <w:marTop w:val="0"/>
      <w:marBottom w:val="0"/>
      <w:divBdr>
        <w:top w:val="none" w:sz="0" w:space="0" w:color="auto"/>
        <w:left w:val="none" w:sz="0" w:space="0" w:color="auto"/>
        <w:bottom w:val="none" w:sz="0" w:space="0" w:color="auto"/>
        <w:right w:val="none" w:sz="0" w:space="0" w:color="auto"/>
      </w:divBdr>
    </w:div>
    <w:div w:id="364449983">
      <w:bodyDiv w:val="1"/>
      <w:marLeft w:val="0"/>
      <w:marRight w:val="0"/>
      <w:marTop w:val="0"/>
      <w:marBottom w:val="0"/>
      <w:divBdr>
        <w:top w:val="none" w:sz="0" w:space="0" w:color="auto"/>
        <w:left w:val="none" w:sz="0" w:space="0" w:color="auto"/>
        <w:bottom w:val="none" w:sz="0" w:space="0" w:color="auto"/>
        <w:right w:val="none" w:sz="0" w:space="0" w:color="auto"/>
      </w:divBdr>
      <w:divsChild>
        <w:div w:id="613024015">
          <w:marLeft w:val="0"/>
          <w:marRight w:val="0"/>
          <w:marTop w:val="0"/>
          <w:marBottom w:val="0"/>
          <w:divBdr>
            <w:top w:val="none" w:sz="0" w:space="0" w:color="auto"/>
            <w:left w:val="none" w:sz="0" w:space="0" w:color="auto"/>
            <w:bottom w:val="none" w:sz="0" w:space="0" w:color="auto"/>
            <w:right w:val="none" w:sz="0" w:space="0" w:color="auto"/>
          </w:divBdr>
        </w:div>
      </w:divsChild>
    </w:div>
    <w:div w:id="364990526">
      <w:bodyDiv w:val="1"/>
      <w:marLeft w:val="0"/>
      <w:marRight w:val="0"/>
      <w:marTop w:val="0"/>
      <w:marBottom w:val="0"/>
      <w:divBdr>
        <w:top w:val="none" w:sz="0" w:space="0" w:color="auto"/>
        <w:left w:val="none" w:sz="0" w:space="0" w:color="auto"/>
        <w:bottom w:val="none" w:sz="0" w:space="0" w:color="auto"/>
        <w:right w:val="none" w:sz="0" w:space="0" w:color="auto"/>
      </w:divBdr>
    </w:div>
    <w:div w:id="370155833">
      <w:bodyDiv w:val="1"/>
      <w:marLeft w:val="0"/>
      <w:marRight w:val="0"/>
      <w:marTop w:val="0"/>
      <w:marBottom w:val="0"/>
      <w:divBdr>
        <w:top w:val="none" w:sz="0" w:space="0" w:color="auto"/>
        <w:left w:val="none" w:sz="0" w:space="0" w:color="auto"/>
        <w:bottom w:val="none" w:sz="0" w:space="0" w:color="auto"/>
        <w:right w:val="none" w:sz="0" w:space="0" w:color="auto"/>
      </w:divBdr>
      <w:divsChild>
        <w:div w:id="1640570140">
          <w:marLeft w:val="0"/>
          <w:marRight w:val="0"/>
          <w:marTop w:val="0"/>
          <w:marBottom w:val="0"/>
          <w:divBdr>
            <w:top w:val="none" w:sz="0" w:space="0" w:color="auto"/>
            <w:left w:val="none" w:sz="0" w:space="0" w:color="auto"/>
            <w:bottom w:val="none" w:sz="0" w:space="0" w:color="auto"/>
            <w:right w:val="none" w:sz="0" w:space="0" w:color="auto"/>
          </w:divBdr>
        </w:div>
        <w:div w:id="979072279">
          <w:marLeft w:val="0"/>
          <w:marRight w:val="0"/>
          <w:marTop w:val="0"/>
          <w:marBottom w:val="0"/>
          <w:divBdr>
            <w:top w:val="none" w:sz="0" w:space="0" w:color="auto"/>
            <w:left w:val="none" w:sz="0" w:space="0" w:color="auto"/>
            <w:bottom w:val="none" w:sz="0" w:space="0" w:color="auto"/>
            <w:right w:val="none" w:sz="0" w:space="0" w:color="auto"/>
          </w:divBdr>
        </w:div>
      </w:divsChild>
    </w:div>
    <w:div w:id="383021561">
      <w:bodyDiv w:val="1"/>
      <w:marLeft w:val="0"/>
      <w:marRight w:val="0"/>
      <w:marTop w:val="0"/>
      <w:marBottom w:val="0"/>
      <w:divBdr>
        <w:top w:val="none" w:sz="0" w:space="0" w:color="auto"/>
        <w:left w:val="none" w:sz="0" w:space="0" w:color="auto"/>
        <w:bottom w:val="none" w:sz="0" w:space="0" w:color="auto"/>
        <w:right w:val="none" w:sz="0" w:space="0" w:color="auto"/>
      </w:divBdr>
    </w:div>
    <w:div w:id="385223147">
      <w:bodyDiv w:val="1"/>
      <w:marLeft w:val="0"/>
      <w:marRight w:val="0"/>
      <w:marTop w:val="0"/>
      <w:marBottom w:val="0"/>
      <w:divBdr>
        <w:top w:val="none" w:sz="0" w:space="0" w:color="auto"/>
        <w:left w:val="none" w:sz="0" w:space="0" w:color="auto"/>
        <w:bottom w:val="none" w:sz="0" w:space="0" w:color="auto"/>
        <w:right w:val="none" w:sz="0" w:space="0" w:color="auto"/>
      </w:divBdr>
    </w:div>
    <w:div w:id="401367928">
      <w:bodyDiv w:val="1"/>
      <w:marLeft w:val="0"/>
      <w:marRight w:val="0"/>
      <w:marTop w:val="0"/>
      <w:marBottom w:val="0"/>
      <w:divBdr>
        <w:top w:val="none" w:sz="0" w:space="0" w:color="auto"/>
        <w:left w:val="none" w:sz="0" w:space="0" w:color="auto"/>
        <w:bottom w:val="none" w:sz="0" w:space="0" w:color="auto"/>
        <w:right w:val="none" w:sz="0" w:space="0" w:color="auto"/>
      </w:divBdr>
    </w:div>
    <w:div w:id="401485126">
      <w:bodyDiv w:val="1"/>
      <w:marLeft w:val="0"/>
      <w:marRight w:val="0"/>
      <w:marTop w:val="0"/>
      <w:marBottom w:val="0"/>
      <w:divBdr>
        <w:top w:val="none" w:sz="0" w:space="0" w:color="auto"/>
        <w:left w:val="none" w:sz="0" w:space="0" w:color="auto"/>
        <w:bottom w:val="none" w:sz="0" w:space="0" w:color="auto"/>
        <w:right w:val="none" w:sz="0" w:space="0" w:color="auto"/>
      </w:divBdr>
    </w:div>
    <w:div w:id="408355748">
      <w:bodyDiv w:val="1"/>
      <w:marLeft w:val="0"/>
      <w:marRight w:val="0"/>
      <w:marTop w:val="0"/>
      <w:marBottom w:val="0"/>
      <w:divBdr>
        <w:top w:val="none" w:sz="0" w:space="0" w:color="auto"/>
        <w:left w:val="none" w:sz="0" w:space="0" w:color="auto"/>
        <w:bottom w:val="none" w:sz="0" w:space="0" w:color="auto"/>
        <w:right w:val="none" w:sz="0" w:space="0" w:color="auto"/>
      </w:divBdr>
    </w:div>
    <w:div w:id="418216698">
      <w:bodyDiv w:val="1"/>
      <w:marLeft w:val="0"/>
      <w:marRight w:val="0"/>
      <w:marTop w:val="0"/>
      <w:marBottom w:val="0"/>
      <w:divBdr>
        <w:top w:val="none" w:sz="0" w:space="0" w:color="auto"/>
        <w:left w:val="none" w:sz="0" w:space="0" w:color="auto"/>
        <w:bottom w:val="none" w:sz="0" w:space="0" w:color="auto"/>
        <w:right w:val="none" w:sz="0" w:space="0" w:color="auto"/>
      </w:divBdr>
    </w:div>
    <w:div w:id="419981958">
      <w:bodyDiv w:val="1"/>
      <w:marLeft w:val="0"/>
      <w:marRight w:val="0"/>
      <w:marTop w:val="0"/>
      <w:marBottom w:val="0"/>
      <w:divBdr>
        <w:top w:val="none" w:sz="0" w:space="0" w:color="auto"/>
        <w:left w:val="none" w:sz="0" w:space="0" w:color="auto"/>
        <w:bottom w:val="none" w:sz="0" w:space="0" w:color="auto"/>
        <w:right w:val="none" w:sz="0" w:space="0" w:color="auto"/>
      </w:divBdr>
    </w:div>
    <w:div w:id="430515805">
      <w:bodyDiv w:val="1"/>
      <w:marLeft w:val="0"/>
      <w:marRight w:val="0"/>
      <w:marTop w:val="0"/>
      <w:marBottom w:val="0"/>
      <w:divBdr>
        <w:top w:val="none" w:sz="0" w:space="0" w:color="auto"/>
        <w:left w:val="none" w:sz="0" w:space="0" w:color="auto"/>
        <w:bottom w:val="none" w:sz="0" w:space="0" w:color="auto"/>
        <w:right w:val="none" w:sz="0" w:space="0" w:color="auto"/>
      </w:divBdr>
    </w:div>
    <w:div w:id="435907427">
      <w:bodyDiv w:val="1"/>
      <w:marLeft w:val="0"/>
      <w:marRight w:val="0"/>
      <w:marTop w:val="0"/>
      <w:marBottom w:val="0"/>
      <w:divBdr>
        <w:top w:val="none" w:sz="0" w:space="0" w:color="auto"/>
        <w:left w:val="none" w:sz="0" w:space="0" w:color="auto"/>
        <w:bottom w:val="none" w:sz="0" w:space="0" w:color="auto"/>
        <w:right w:val="none" w:sz="0" w:space="0" w:color="auto"/>
      </w:divBdr>
    </w:div>
    <w:div w:id="447510045">
      <w:bodyDiv w:val="1"/>
      <w:marLeft w:val="0"/>
      <w:marRight w:val="0"/>
      <w:marTop w:val="0"/>
      <w:marBottom w:val="0"/>
      <w:divBdr>
        <w:top w:val="none" w:sz="0" w:space="0" w:color="auto"/>
        <w:left w:val="none" w:sz="0" w:space="0" w:color="auto"/>
        <w:bottom w:val="none" w:sz="0" w:space="0" w:color="auto"/>
        <w:right w:val="none" w:sz="0" w:space="0" w:color="auto"/>
      </w:divBdr>
      <w:divsChild>
        <w:div w:id="15889497">
          <w:marLeft w:val="0"/>
          <w:marRight w:val="0"/>
          <w:marTop w:val="0"/>
          <w:marBottom w:val="0"/>
          <w:divBdr>
            <w:top w:val="none" w:sz="0" w:space="0" w:color="auto"/>
            <w:left w:val="none" w:sz="0" w:space="0" w:color="auto"/>
            <w:bottom w:val="none" w:sz="0" w:space="0" w:color="auto"/>
            <w:right w:val="none" w:sz="0" w:space="0" w:color="auto"/>
          </w:divBdr>
          <w:divsChild>
            <w:div w:id="1742290998">
              <w:marLeft w:val="0"/>
              <w:marRight w:val="0"/>
              <w:marTop w:val="0"/>
              <w:marBottom w:val="0"/>
              <w:divBdr>
                <w:top w:val="none" w:sz="0" w:space="0" w:color="auto"/>
                <w:left w:val="none" w:sz="0" w:space="0" w:color="auto"/>
                <w:bottom w:val="none" w:sz="0" w:space="0" w:color="auto"/>
                <w:right w:val="none" w:sz="0" w:space="0" w:color="auto"/>
              </w:divBdr>
              <w:divsChild>
                <w:div w:id="1242712896">
                  <w:marLeft w:val="0"/>
                  <w:marRight w:val="0"/>
                  <w:marTop w:val="0"/>
                  <w:marBottom w:val="0"/>
                  <w:divBdr>
                    <w:top w:val="none" w:sz="0" w:space="0" w:color="auto"/>
                    <w:left w:val="none" w:sz="0" w:space="0" w:color="auto"/>
                    <w:bottom w:val="none" w:sz="0" w:space="0" w:color="auto"/>
                    <w:right w:val="none" w:sz="0" w:space="0" w:color="auto"/>
                  </w:divBdr>
                  <w:divsChild>
                    <w:div w:id="1566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159315">
      <w:bodyDiv w:val="1"/>
      <w:marLeft w:val="0"/>
      <w:marRight w:val="0"/>
      <w:marTop w:val="0"/>
      <w:marBottom w:val="0"/>
      <w:divBdr>
        <w:top w:val="none" w:sz="0" w:space="0" w:color="auto"/>
        <w:left w:val="none" w:sz="0" w:space="0" w:color="auto"/>
        <w:bottom w:val="none" w:sz="0" w:space="0" w:color="auto"/>
        <w:right w:val="none" w:sz="0" w:space="0" w:color="auto"/>
      </w:divBdr>
    </w:div>
    <w:div w:id="449861681">
      <w:bodyDiv w:val="1"/>
      <w:marLeft w:val="0"/>
      <w:marRight w:val="0"/>
      <w:marTop w:val="0"/>
      <w:marBottom w:val="0"/>
      <w:divBdr>
        <w:top w:val="none" w:sz="0" w:space="0" w:color="auto"/>
        <w:left w:val="none" w:sz="0" w:space="0" w:color="auto"/>
        <w:bottom w:val="none" w:sz="0" w:space="0" w:color="auto"/>
        <w:right w:val="none" w:sz="0" w:space="0" w:color="auto"/>
      </w:divBdr>
      <w:divsChild>
        <w:div w:id="1627348552">
          <w:marLeft w:val="0"/>
          <w:marRight w:val="0"/>
          <w:marTop w:val="0"/>
          <w:marBottom w:val="0"/>
          <w:divBdr>
            <w:top w:val="none" w:sz="0" w:space="0" w:color="auto"/>
            <w:left w:val="none" w:sz="0" w:space="0" w:color="auto"/>
            <w:bottom w:val="none" w:sz="0" w:space="0" w:color="auto"/>
            <w:right w:val="none" w:sz="0" w:space="0" w:color="auto"/>
          </w:divBdr>
        </w:div>
      </w:divsChild>
    </w:div>
    <w:div w:id="456920408">
      <w:bodyDiv w:val="1"/>
      <w:marLeft w:val="0"/>
      <w:marRight w:val="0"/>
      <w:marTop w:val="0"/>
      <w:marBottom w:val="0"/>
      <w:divBdr>
        <w:top w:val="none" w:sz="0" w:space="0" w:color="auto"/>
        <w:left w:val="none" w:sz="0" w:space="0" w:color="auto"/>
        <w:bottom w:val="none" w:sz="0" w:space="0" w:color="auto"/>
        <w:right w:val="none" w:sz="0" w:space="0" w:color="auto"/>
      </w:divBdr>
      <w:divsChild>
        <w:div w:id="1447458415">
          <w:marLeft w:val="0"/>
          <w:marRight w:val="0"/>
          <w:marTop w:val="0"/>
          <w:marBottom w:val="0"/>
          <w:divBdr>
            <w:top w:val="none" w:sz="0" w:space="0" w:color="auto"/>
            <w:left w:val="none" w:sz="0" w:space="0" w:color="auto"/>
            <w:bottom w:val="none" w:sz="0" w:space="0" w:color="auto"/>
            <w:right w:val="none" w:sz="0" w:space="0" w:color="auto"/>
          </w:divBdr>
        </w:div>
      </w:divsChild>
    </w:div>
    <w:div w:id="467748115">
      <w:bodyDiv w:val="1"/>
      <w:marLeft w:val="0"/>
      <w:marRight w:val="0"/>
      <w:marTop w:val="0"/>
      <w:marBottom w:val="0"/>
      <w:divBdr>
        <w:top w:val="none" w:sz="0" w:space="0" w:color="auto"/>
        <w:left w:val="none" w:sz="0" w:space="0" w:color="auto"/>
        <w:bottom w:val="none" w:sz="0" w:space="0" w:color="auto"/>
        <w:right w:val="none" w:sz="0" w:space="0" w:color="auto"/>
      </w:divBdr>
      <w:divsChild>
        <w:div w:id="2004890381">
          <w:marLeft w:val="0"/>
          <w:marRight w:val="0"/>
          <w:marTop w:val="0"/>
          <w:marBottom w:val="0"/>
          <w:divBdr>
            <w:top w:val="none" w:sz="0" w:space="0" w:color="auto"/>
            <w:left w:val="none" w:sz="0" w:space="0" w:color="auto"/>
            <w:bottom w:val="none" w:sz="0" w:space="0" w:color="auto"/>
            <w:right w:val="none" w:sz="0" w:space="0" w:color="auto"/>
          </w:divBdr>
        </w:div>
      </w:divsChild>
    </w:div>
    <w:div w:id="482507686">
      <w:bodyDiv w:val="1"/>
      <w:marLeft w:val="0"/>
      <w:marRight w:val="0"/>
      <w:marTop w:val="0"/>
      <w:marBottom w:val="0"/>
      <w:divBdr>
        <w:top w:val="none" w:sz="0" w:space="0" w:color="auto"/>
        <w:left w:val="none" w:sz="0" w:space="0" w:color="auto"/>
        <w:bottom w:val="none" w:sz="0" w:space="0" w:color="auto"/>
        <w:right w:val="none" w:sz="0" w:space="0" w:color="auto"/>
      </w:divBdr>
    </w:div>
    <w:div w:id="486094335">
      <w:bodyDiv w:val="1"/>
      <w:marLeft w:val="0"/>
      <w:marRight w:val="0"/>
      <w:marTop w:val="0"/>
      <w:marBottom w:val="0"/>
      <w:divBdr>
        <w:top w:val="none" w:sz="0" w:space="0" w:color="auto"/>
        <w:left w:val="none" w:sz="0" w:space="0" w:color="auto"/>
        <w:bottom w:val="none" w:sz="0" w:space="0" w:color="auto"/>
        <w:right w:val="none" w:sz="0" w:space="0" w:color="auto"/>
      </w:divBdr>
      <w:divsChild>
        <w:div w:id="226034472">
          <w:marLeft w:val="0"/>
          <w:marRight w:val="0"/>
          <w:marTop w:val="0"/>
          <w:marBottom w:val="0"/>
          <w:divBdr>
            <w:top w:val="none" w:sz="0" w:space="0" w:color="auto"/>
            <w:left w:val="none" w:sz="0" w:space="0" w:color="auto"/>
            <w:bottom w:val="none" w:sz="0" w:space="0" w:color="auto"/>
            <w:right w:val="none" w:sz="0" w:space="0" w:color="auto"/>
          </w:divBdr>
        </w:div>
      </w:divsChild>
    </w:div>
    <w:div w:id="486871622">
      <w:bodyDiv w:val="1"/>
      <w:marLeft w:val="0"/>
      <w:marRight w:val="0"/>
      <w:marTop w:val="0"/>
      <w:marBottom w:val="0"/>
      <w:divBdr>
        <w:top w:val="none" w:sz="0" w:space="0" w:color="auto"/>
        <w:left w:val="none" w:sz="0" w:space="0" w:color="auto"/>
        <w:bottom w:val="none" w:sz="0" w:space="0" w:color="auto"/>
        <w:right w:val="none" w:sz="0" w:space="0" w:color="auto"/>
      </w:divBdr>
    </w:div>
    <w:div w:id="490560297">
      <w:bodyDiv w:val="1"/>
      <w:marLeft w:val="0"/>
      <w:marRight w:val="0"/>
      <w:marTop w:val="0"/>
      <w:marBottom w:val="0"/>
      <w:divBdr>
        <w:top w:val="none" w:sz="0" w:space="0" w:color="auto"/>
        <w:left w:val="none" w:sz="0" w:space="0" w:color="auto"/>
        <w:bottom w:val="none" w:sz="0" w:space="0" w:color="auto"/>
        <w:right w:val="none" w:sz="0" w:space="0" w:color="auto"/>
      </w:divBdr>
      <w:divsChild>
        <w:div w:id="660547751">
          <w:marLeft w:val="0"/>
          <w:marRight w:val="0"/>
          <w:marTop w:val="0"/>
          <w:marBottom w:val="0"/>
          <w:divBdr>
            <w:top w:val="none" w:sz="0" w:space="0" w:color="auto"/>
            <w:left w:val="none" w:sz="0" w:space="0" w:color="auto"/>
            <w:bottom w:val="none" w:sz="0" w:space="0" w:color="auto"/>
            <w:right w:val="none" w:sz="0" w:space="0" w:color="auto"/>
          </w:divBdr>
        </w:div>
      </w:divsChild>
    </w:div>
    <w:div w:id="492381849">
      <w:bodyDiv w:val="1"/>
      <w:marLeft w:val="0"/>
      <w:marRight w:val="0"/>
      <w:marTop w:val="0"/>
      <w:marBottom w:val="0"/>
      <w:divBdr>
        <w:top w:val="none" w:sz="0" w:space="0" w:color="auto"/>
        <w:left w:val="none" w:sz="0" w:space="0" w:color="auto"/>
        <w:bottom w:val="none" w:sz="0" w:space="0" w:color="auto"/>
        <w:right w:val="none" w:sz="0" w:space="0" w:color="auto"/>
      </w:divBdr>
      <w:divsChild>
        <w:div w:id="597175213">
          <w:marLeft w:val="0"/>
          <w:marRight w:val="0"/>
          <w:marTop w:val="0"/>
          <w:marBottom w:val="0"/>
          <w:divBdr>
            <w:top w:val="none" w:sz="0" w:space="0" w:color="auto"/>
            <w:left w:val="none" w:sz="0" w:space="0" w:color="auto"/>
            <w:bottom w:val="none" w:sz="0" w:space="0" w:color="auto"/>
            <w:right w:val="none" w:sz="0" w:space="0" w:color="auto"/>
          </w:divBdr>
        </w:div>
      </w:divsChild>
    </w:div>
    <w:div w:id="493375088">
      <w:bodyDiv w:val="1"/>
      <w:marLeft w:val="0"/>
      <w:marRight w:val="0"/>
      <w:marTop w:val="0"/>
      <w:marBottom w:val="0"/>
      <w:divBdr>
        <w:top w:val="none" w:sz="0" w:space="0" w:color="auto"/>
        <w:left w:val="none" w:sz="0" w:space="0" w:color="auto"/>
        <w:bottom w:val="none" w:sz="0" w:space="0" w:color="auto"/>
        <w:right w:val="none" w:sz="0" w:space="0" w:color="auto"/>
      </w:divBdr>
    </w:div>
    <w:div w:id="495414587">
      <w:bodyDiv w:val="1"/>
      <w:marLeft w:val="0"/>
      <w:marRight w:val="0"/>
      <w:marTop w:val="0"/>
      <w:marBottom w:val="0"/>
      <w:divBdr>
        <w:top w:val="none" w:sz="0" w:space="0" w:color="auto"/>
        <w:left w:val="none" w:sz="0" w:space="0" w:color="auto"/>
        <w:bottom w:val="none" w:sz="0" w:space="0" w:color="auto"/>
        <w:right w:val="none" w:sz="0" w:space="0" w:color="auto"/>
      </w:divBdr>
    </w:div>
    <w:div w:id="502284316">
      <w:bodyDiv w:val="1"/>
      <w:marLeft w:val="0"/>
      <w:marRight w:val="0"/>
      <w:marTop w:val="0"/>
      <w:marBottom w:val="0"/>
      <w:divBdr>
        <w:top w:val="none" w:sz="0" w:space="0" w:color="auto"/>
        <w:left w:val="none" w:sz="0" w:space="0" w:color="auto"/>
        <w:bottom w:val="none" w:sz="0" w:space="0" w:color="auto"/>
        <w:right w:val="none" w:sz="0" w:space="0" w:color="auto"/>
      </w:divBdr>
    </w:div>
    <w:div w:id="507712798">
      <w:bodyDiv w:val="1"/>
      <w:marLeft w:val="0"/>
      <w:marRight w:val="0"/>
      <w:marTop w:val="0"/>
      <w:marBottom w:val="0"/>
      <w:divBdr>
        <w:top w:val="none" w:sz="0" w:space="0" w:color="auto"/>
        <w:left w:val="none" w:sz="0" w:space="0" w:color="auto"/>
        <w:bottom w:val="none" w:sz="0" w:space="0" w:color="auto"/>
        <w:right w:val="none" w:sz="0" w:space="0" w:color="auto"/>
      </w:divBdr>
    </w:div>
    <w:div w:id="534192941">
      <w:bodyDiv w:val="1"/>
      <w:marLeft w:val="0"/>
      <w:marRight w:val="0"/>
      <w:marTop w:val="0"/>
      <w:marBottom w:val="0"/>
      <w:divBdr>
        <w:top w:val="none" w:sz="0" w:space="0" w:color="auto"/>
        <w:left w:val="none" w:sz="0" w:space="0" w:color="auto"/>
        <w:bottom w:val="none" w:sz="0" w:space="0" w:color="auto"/>
        <w:right w:val="none" w:sz="0" w:space="0" w:color="auto"/>
      </w:divBdr>
    </w:div>
    <w:div w:id="535701900">
      <w:bodyDiv w:val="1"/>
      <w:marLeft w:val="0"/>
      <w:marRight w:val="0"/>
      <w:marTop w:val="0"/>
      <w:marBottom w:val="0"/>
      <w:divBdr>
        <w:top w:val="none" w:sz="0" w:space="0" w:color="auto"/>
        <w:left w:val="none" w:sz="0" w:space="0" w:color="auto"/>
        <w:bottom w:val="none" w:sz="0" w:space="0" w:color="auto"/>
        <w:right w:val="none" w:sz="0" w:space="0" w:color="auto"/>
      </w:divBdr>
    </w:div>
    <w:div w:id="538129225">
      <w:bodyDiv w:val="1"/>
      <w:marLeft w:val="0"/>
      <w:marRight w:val="0"/>
      <w:marTop w:val="0"/>
      <w:marBottom w:val="0"/>
      <w:divBdr>
        <w:top w:val="none" w:sz="0" w:space="0" w:color="auto"/>
        <w:left w:val="none" w:sz="0" w:space="0" w:color="auto"/>
        <w:bottom w:val="none" w:sz="0" w:space="0" w:color="auto"/>
        <w:right w:val="none" w:sz="0" w:space="0" w:color="auto"/>
      </w:divBdr>
    </w:div>
    <w:div w:id="544217124">
      <w:bodyDiv w:val="1"/>
      <w:marLeft w:val="0"/>
      <w:marRight w:val="0"/>
      <w:marTop w:val="0"/>
      <w:marBottom w:val="0"/>
      <w:divBdr>
        <w:top w:val="none" w:sz="0" w:space="0" w:color="auto"/>
        <w:left w:val="none" w:sz="0" w:space="0" w:color="auto"/>
        <w:bottom w:val="none" w:sz="0" w:space="0" w:color="auto"/>
        <w:right w:val="none" w:sz="0" w:space="0" w:color="auto"/>
      </w:divBdr>
      <w:divsChild>
        <w:div w:id="514226392">
          <w:marLeft w:val="0"/>
          <w:marRight w:val="0"/>
          <w:marTop w:val="0"/>
          <w:marBottom w:val="0"/>
          <w:divBdr>
            <w:top w:val="none" w:sz="0" w:space="0" w:color="auto"/>
            <w:left w:val="none" w:sz="0" w:space="0" w:color="auto"/>
            <w:bottom w:val="none" w:sz="0" w:space="0" w:color="auto"/>
            <w:right w:val="none" w:sz="0" w:space="0" w:color="auto"/>
          </w:divBdr>
        </w:div>
      </w:divsChild>
    </w:div>
    <w:div w:id="549196056">
      <w:bodyDiv w:val="1"/>
      <w:marLeft w:val="0"/>
      <w:marRight w:val="0"/>
      <w:marTop w:val="0"/>
      <w:marBottom w:val="0"/>
      <w:divBdr>
        <w:top w:val="none" w:sz="0" w:space="0" w:color="auto"/>
        <w:left w:val="none" w:sz="0" w:space="0" w:color="auto"/>
        <w:bottom w:val="none" w:sz="0" w:space="0" w:color="auto"/>
        <w:right w:val="none" w:sz="0" w:space="0" w:color="auto"/>
      </w:divBdr>
    </w:div>
    <w:div w:id="550774627">
      <w:bodyDiv w:val="1"/>
      <w:marLeft w:val="0"/>
      <w:marRight w:val="0"/>
      <w:marTop w:val="0"/>
      <w:marBottom w:val="0"/>
      <w:divBdr>
        <w:top w:val="none" w:sz="0" w:space="0" w:color="auto"/>
        <w:left w:val="none" w:sz="0" w:space="0" w:color="auto"/>
        <w:bottom w:val="none" w:sz="0" w:space="0" w:color="auto"/>
        <w:right w:val="none" w:sz="0" w:space="0" w:color="auto"/>
      </w:divBdr>
    </w:div>
    <w:div w:id="554508779">
      <w:bodyDiv w:val="1"/>
      <w:marLeft w:val="0"/>
      <w:marRight w:val="0"/>
      <w:marTop w:val="0"/>
      <w:marBottom w:val="0"/>
      <w:divBdr>
        <w:top w:val="none" w:sz="0" w:space="0" w:color="auto"/>
        <w:left w:val="none" w:sz="0" w:space="0" w:color="auto"/>
        <w:bottom w:val="none" w:sz="0" w:space="0" w:color="auto"/>
        <w:right w:val="none" w:sz="0" w:space="0" w:color="auto"/>
      </w:divBdr>
    </w:div>
    <w:div w:id="578826778">
      <w:bodyDiv w:val="1"/>
      <w:marLeft w:val="0"/>
      <w:marRight w:val="0"/>
      <w:marTop w:val="0"/>
      <w:marBottom w:val="0"/>
      <w:divBdr>
        <w:top w:val="none" w:sz="0" w:space="0" w:color="auto"/>
        <w:left w:val="none" w:sz="0" w:space="0" w:color="auto"/>
        <w:bottom w:val="none" w:sz="0" w:space="0" w:color="auto"/>
        <w:right w:val="none" w:sz="0" w:space="0" w:color="auto"/>
      </w:divBdr>
      <w:divsChild>
        <w:div w:id="1729112418">
          <w:marLeft w:val="0"/>
          <w:marRight w:val="0"/>
          <w:marTop w:val="0"/>
          <w:marBottom w:val="0"/>
          <w:divBdr>
            <w:top w:val="none" w:sz="0" w:space="0" w:color="auto"/>
            <w:left w:val="none" w:sz="0" w:space="0" w:color="auto"/>
            <w:bottom w:val="none" w:sz="0" w:space="0" w:color="auto"/>
            <w:right w:val="none" w:sz="0" w:space="0" w:color="auto"/>
          </w:divBdr>
        </w:div>
      </w:divsChild>
    </w:div>
    <w:div w:id="587543543">
      <w:bodyDiv w:val="1"/>
      <w:marLeft w:val="0"/>
      <w:marRight w:val="0"/>
      <w:marTop w:val="0"/>
      <w:marBottom w:val="0"/>
      <w:divBdr>
        <w:top w:val="none" w:sz="0" w:space="0" w:color="auto"/>
        <w:left w:val="none" w:sz="0" w:space="0" w:color="auto"/>
        <w:bottom w:val="none" w:sz="0" w:space="0" w:color="auto"/>
        <w:right w:val="none" w:sz="0" w:space="0" w:color="auto"/>
      </w:divBdr>
    </w:div>
    <w:div w:id="590047099">
      <w:bodyDiv w:val="1"/>
      <w:marLeft w:val="0"/>
      <w:marRight w:val="0"/>
      <w:marTop w:val="0"/>
      <w:marBottom w:val="0"/>
      <w:divBdr>
        <w:top w:val="none" w:sz="0" w:space="0" w:color="auto"/>
        <w:left w:val="none" w:sz="0" w:space="0" w:color="auto"/>
        <w:bottom w:val="none" w:sz="0" w:space="0" w:color="auto"/>
        <w:right w:val="none" w:sz="0" w:space="0" w:color="auto"/>
      </w:divBdr>
    </w:div>
    <w:div w:id="632753054">
      <w:bodyDiv w:val="1"/>
      <w:marLeft w:val="0"/>
      <w:marRight w:val="0"/>
      <w:marTop w:val="0"/>
      <w:marBottom w:val="0"/>
      <w:divBdr>
        <w:top w:val="none" w:sz="0" w:space="0" w:color="auto"/>
        <w:left w:val="none" w:sz="0" w:space="0" w:color="auto"/>
        <w:bottom w:val="none" w:sz="0" w:space="0" w:color="auto"/>
        <w:right w:val="none" w:sz="0" w:space="0" w:color="auto"/>
      </w:divBdr>
    </w:div>
    <w:div w:id="643049109">
      <w:bodyDiv w:val="1"/>
      <w:marLeft w:val="0"/>
      <w:marRight w:val="0"/>
      <w:marTop w:val="0"/>
      <w:marBottom w:val="0"/>
      <w:divBdr>
        <w:top w:val="none" w:sz="0" w:space="0" w:color="auto"/>
        <w:left w:val="none" w:sz="0" w:space="0" w:color="auto"/>
        <w:bottom w:val="none" w:sz="0" w:space="0" w:color="auto"/>
        <w:right w:val="none" w:sz="0" w:space="0" w:color="auto"/>
      </w:divBdr>
    </w:div>
    <w:div w:id="650445666">
      <w:bodyDiv w:val="1"/>
      <w:marLeft w:val="0"/>
      <w:marRight w:val="0"/>
      <w:marTop w:val="0"/>
      <w:marBottom w:val="0"/>
      <w:divBdr>
        <w:top w:val="none" w:sz="0" w:space="0" w:color="auto"/>
        <w:left w:val="none" w:sz="0" w:space="0" w:color="auto"/>
        <w:bottom w:val="none" w:sz="0" w:space="0" w:color="auto"/>
        <w:right w:val="none" w:sz="0" w:space="0" w:color="auto"/>
      </w:divBdr>
    </w:div>
    <w:div w:id="672338794">
      <w:bodyDiv w:val="1"/>
      <w:marLeft w:val="0"/>
      <w:marRight w:val="0"/>
      <w:marTop w:val="0"/>
      <w:marBottom w:val="0"/>
      <w:divBdr>
        <w:top w:val="none" w:sz="0" w:space="0" w:color="auto"/>
        <w:left w:val="none" w:sz="0" w:space="0" w:color="auto"/>
        <w:bottom w:val="none" w:sz="0" w:space="0" w:color="auto"/>
        <w:right w:val="none" w:sz="0" w:space="0" w:color="auto"/>
      </w:divBdr>
      <w:divsChild>
        <w:div w:id="1408310432">
          <w:marLeft w:val="0"/>
          <w:marRight w:val="0"/>
          <w:marTop w:val="0"/>
          <w:marBottom w:val="0"/>
          <w:divBdr>
            <w:top w:val="none" w:sz="0" w:space="0" w:color="auto"/>
            <w:left w:val="none" w:sz="0" w:space="0" w:color="auto"/>
            <w:bottom w:val="none" w:sz="0" w:space="0" w:color="auto"/>
            <w:right w:val="none" w:sz="0" w:space="0" w:color="auto"/>
          </w:divBdr>
        </w:div>
        <w:div w:id="1171603732">
          <w:marLeft w:val="0"/>
          <w:marRight w:val="0"/>
          <w:marTop w:val="0"/>
          <w:marBottom w:val="0"/>
          <w:divBdr>
            <w:top w:val="none" w:sz="0" w:space="0" w:color="auto"/>
            <w:left w:val="none" w:sz="0" w:space="0" w:color="auto"/>
            <w:bottom w:val="none" w:sz="0" w:space="0" w:color="auto"/>
            <w:right w:val="none" w:sz="0" w:space="0" w:color="auto"/>
          </w:divBdr>
        </w:div>
      </w:divsChild>
    </w:div>
    <w:div w:id="692534449">
      <w:bodyDiv w:val="1"/>
      <w:marLeft w:val="0"/>
      <w:marRight w:val="0"/>
      <w:marTop w:val="0"/>
      <w:marBottom w:val="0"/>
      <w:divBdr>
        <w:top w:val="none" w:sz="0" w:space="0" w:color="auto"/>
        <w:left w:val="none" w:sz="0" w:space="0" w:color="auto"/>
        <w:bottom w:val="none" w:sz="0" w:space="0" w:color="auto"/>
        <w:right w:val="none" w:sz="0" w:space="0" w:color="auto"/>
      </w:divBdr>
    </w:div>
    <w:div w:id="693113564">
      <w:bodyDiv w:val="1"/>
      <w:marLeft w:val="0"/>
      <w:marRight w:val="0"/>
      <w:marTop w:val="0"/>
      <w:marBottom w:val="0"/>
      <w:divBdr>
        <w:top w:val="none" w:sz="0" w:space="0" w:color="auto"/>
        <w:left w:val="none" w:sz="0" w:space="0" w:color="auto"/>
        <w:bottom w:val="none" w:sz="0" w:space="0" w:color="auto"/>
        <w:right w:val="none" w:sz="0" w:space="0" w:color="auto"/>
      </w:divBdr>
      <w:divsChild>
        <w:div w:id="240725747">
          <w:marLeft w:val="0"/>
          <w:marRight w:val="0"/>
          <w:marTop w:val="0"/>
          <w:marBottom w:val="0"/>
          <w:divBdr>
            <w:top w:val="none" w:sz="0" w:space="0" w:color="auto"/>
            <w:left w:val="none" w:sz="0" w:space="0" w:color="auto"/>
            <w:bottom w:val="none" w:sz="0" w:space="0" w:color="auto"/>
            <w:right w:val="none" w:sz="0" w:space="0" w:color="auto"/>
          </w:divBdr>
        </w:div>
      </w:divsChild>
    </w:div>
    <w:div w:id="693264988">
      <w:bodyDiv w:val="1"/>
      <w:marLeft w:val="0"/>
      <w:marRight w:val="0"/>
      <w:marTop w:val="0"/>
      <w:marBottom w:val="0"/>
      <w:divBdr>
        <w:top w:val="none" w:sz="0" w:space="0" w:color="auto"/>
        <w:left w:val="none" w:sz="0" w:space="0" w:color="auto"/>
        <w:bottom w:val="none" w:sz="0" w:space="0" w:color="auto"/>
        <w:right w:val="none" w:sz="0" w:space="0" w:color="auto"/>
      </w:divBdr>
      <w:divsChild>
        <w:div w:id="2113432818">
          <w:marLeft w:val="0"/>
          <w:marRight w:val="0"/>
          <w:marTop w:val="0"/>
          <w:marBottom w:val="0"/>
          <w:divBdr>
            <w:top w:val="none" w:sz="0" w:space="0" w:color="auto"/>
            <w:left w:val="none" w:sz="0" w:space="0" w:color="auto"/>
            <w:bottom w:val="none" w:sz="0" w:space="0" w:color="auto"/>
            <w:right w:val="none" w:sz="0" w:space="0" w:color="auto"/>
          </w:divBdr>
        </w:div>
        <w:div w:id="721172044">
          <w:marLeft w:val="0"/>
          <w:marRight w:val="0"/>
          <w:marTop w:val="0"/>
          <w:marBottom w:val="0"/>
          <w:divBdr>
            <w:top w:val="none" w:sz="0" w:space="0" w:color="auto"/>
            <w:left w:val="none" w:sz="0" w:space="0" w:color="auto"/>
            <w:bottom w:val="none" w:sz="0" w:space="0" w:color="auto"/>
            <w:right w:val="none" w:sz="0" w:space="0" w:color="auto"/>
          </w:divBdr>
        </w:div>
      </w:divsChild>
    </w:div>
    <w:div w:id="696929528">
      <w:bodyDiv w:val="1"/>
      <w:marLeft w:val="0"/>
      <w:marRight w:val="0"/>
      <w:marTop w:val="0"/>
      <w:marBottom w:val="0"/>
      <w:divBdr>
        <w:top w:val="none" w:sz="0" w:space="0" w:color="auto"/>
        <w:left w:val="none" w:sz="0" w:space="0" w:color="auto"/>
        <w:bottom w:val="none" w:sz="0" w:space="0" w:color="auto"/>
        <w:right w:val="none" w:sz="0" w:space="0" w:color="auto"/>
      </w:divBdr>
    </w:div>
    <w:div w:id="717511312">
      <w:bodyDiv w:val="1"/>
      <w:marLeft w:val="0"/>
      <w:marRight w:val="0"/>
      <w:marTop w:val="0"/>
      <w:marBottom w:val="0"/>
      <w:divBdr>
        <w:top w:val="none" w:sz="0" w:space="0" w:color="auto"/>
        <w:left w:val="none" w:sz="0" w:space="0" w:color="auto"/>
        <w:bottom w:val="none" w:sz="0" w:space="0" w:color="auto"/>
        <w:right w:val="none" w:sz="0" w:space="0" w:color="auto"/>
      </w:divBdr>
    </w:div>
    <w:div w:id="722561060">
      <w:bodyDiv w:val="1"/>
      <w:marLeft w:val="0"/>
      <w:marRight w:val="0"/>
      <w:marTop w:val="0"/>
      <w:marBottom w:val="0"/>
      <w:divBdr>
        <w:top w:val="none" w:sz="0" w:space="0" w:color="auto"/>
        <w:left w:val="none" w:sz="0" w:space="0" w:color="auto"/>
        <w:bottom w:val="none" w:sz="0" w:space="0" w:color="auto"/>
        <w:right w:val="none" w:sz="0" w:space="0" w:color="auto"/>
      </w:divBdr>
    </w:div>
    <w:div w:id="723336476">
      <w:bodyDiv w:val="1"/>
      <w:marLeft w:val="0"/>
      <w:marRight w:val="0"/>
      <w:marTop w:val="0"/>
      <w:marBottom w:val="0"/>
      <w:divBdr>
        <w:top w:val="none" w:sz="0" w:space="0" w:color="auto"/>
        <w:left w:val="none" w:sz="0" w:space="0" w:color="auto"/>
        <w:bottom w:val="none" w:sz="0" w:space="0" w:color="auto"/>
        <w:right w:val="none" w:sz="0" w:space="0" w:color="auto"/>
      </w:divBdr>
    </w:div>
    <w:div w:id="732696368">
      <w:bodyDiv w:val="1"/>
      <w:marLeft w:val="0"/>
      <w:marRight w:val="0"/>
      <w:marTop w:val="0"/>
      <w:marBottom w:val="0"/>
      <w:divBdr>
        <w:top w:val="none" w:sz="0" w:space="0" w:color="auto"/>
        <w:left w:val="none" w:sz="0" w:space="0" w:color="auto"/>
        <w:bottom w:val="none" w:sz="0" w:space="0" w:color="auto"/>
        <w:right w:val="none" w:sz="0" w:space="0" w:color="auto"/>
      </w:divBdr>
      <w:divsChild>
        <w:div w:id="294994669">
          <w:marLeft w:val="0"/>
          <w:marRight w:val="0"/>
          <w:marTop w:val="0"/>
          <w:marBottom w:val="0"/>
          <w:divBdr>
            <w:top w:val="none" w:sz="0" w:space="0" w:color="auto"/>
            <w:left w:val="none" w:sz="0" w:space="0" w:color="auto"/>
            <w:bottom w:val="none" w:sz="0" w:space="0" w:color="auto"/>
            <w:right w:val="none" w:sz="0" w:space="0" w:color="auto"/>
          </w:divBdr>
          <w:divsChild>
            <w:div w:id="669481272">
              <w:marLeft w:val="0"/>
              <w:marRight w:val="0"/>
              <w:marTop w:val="0"/>
              <w:marBottom w:val="0"/>
              <w:divBdr>
                <w:top w:val="none" w:sz="0" w:space="0" w:color="auto"/>
                <w:left w:val="none" w:sz="0" w:space="0" w:color="auto"/>
                <w:bottom w:val="none" w:sz="0" w:space="0" w:color="auto"/>
                <w:right w:val="none" w:sz="0" w:space="0" w:color="auto"/>
              </w:divBdr>
              <w:divsChild>
                <w:div w:id="1886991071">
                  <w:marLeft w:val="0"/>
                  <w:marRight w:val="0"/>
                  <w:marTop w:val="0"/>
                  <w:marBottom w:val="0"/>
                  <w:divBdr>
                    <w:top w:val="none" w:sz="0" w:space="0" w:color="auto"/>
                    <w:left w:val="none" w:sz="0" w:space="0" w:color="auto"/>
                    <w:bottom w:val="none" w:sz="0" w:space="0" w:color="auto"/>
                    <w:right w:val="none" w:sz="0" w:space="0" w:color="auto"/>
                  </w:divBdr>
                  <w:divsChild>
                    <w:div w:id="9801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281966">
      <w:bodyDiv w:val="1"/>
      <w:marLeft w:val="0"/>
      <w:marRight w:val="0"/>
      <w:marTop w:val="0"/>
      <w:marBottom w:val="0"/>
      <w:divBdr>
        <w:top w:val="none" w:sz="0" w:space="0" w:color="auto"/>
        <w:left w:val="none" w:sz="0" w:space="0" w:color="auto"/>
        <w:bottom w:val="none" w:sz="0" w:space="0" w:color="auto"/>
        <w:right w:val="none" w:sz="0" w:space="0" w:color="auto"/>
      </w:divBdr>
    </w:div>
    <w:div w:id="734476567">
      <w:bodyDiv w:val="1"/>
      <w:marLeft w:val="0"/>
      <w:marRight w:val="0"/>
      <w:marTop w:val="0"/>
      <w:marBottom w:val="0"/>
      <w:divBdr>
        <w:top w:val="none" w:sz="0" w:space="0" w:color="auto"/>
        <w:left w:val="none" w:sz="0" w:space="0" w:color="auto"/>
        <w:bottom w:val="none" w:sz="0" w:space="0" w:color="auto"/>
        <w:right w:val="none" w:sz="0" w:space="0" w:color="auto"/>
      </w:divBdr>
    </w:div>
    <w:div w:id="737551643">
      <w:bodyDiv w:val="1"/>
      <w:marLeft w:val="0"/>
      <w:marRight w:val="0"/>
      <w:marTop w:val="0"/>
      <w:marBottom w:val="0"/>
      <w:divBdr>
        <w:top w:val="none" w:sz="0" w:space="0" w:color="auto"/>
        <w:left w:val="none" w:sz="0" w:space="0" w:color="auto"/>
        <w:bottom w:val="none" w:sz="0" w:space="0" w:color="auto"/>
        <w:right w:val="none" w:sz="0" w:space="0" w:color="auto"/>
      </w:divBdr>
    </w:div>
    <w:div w:id="745229017">
      <w:bodyDiv w:val="1"/>
      <w:marLeft w:val="0"/>
      <w:marRight w:val="0"/>
      <w:marTop w:val="0"/>
      <w:marBottom w:val="0"/>
      <w:divBdr>
        <w:top w:val="none" w:sz="0" w:space="0" w:color="auto"/>
        <w:left w:val="none" w:sz="0" w:space="0" w:color="auto"/>
        <w:bottom w:val="none" w:sz="0" w:space="0" w:color="auto"/>
        <w:right w:val="none" w:sz="0" w:space="0" w:color="auto"/>
      </w:divBdr>
      <w:divsChild>
        <w:div w:id="725757362">
          <w:marLeft w:val="0"/>
          <w:marRight w:val="0"/>
          <w:marTop w:val="0"/>
          <w:marBottom w:val="0"/>
          <w:divBdr>
            <w:top w:val="none" w:sz="0" w:space="0" w:color="auto"/>
            <w:left w:val="none" w:sz="0" w:space="0" w:color="auto"/>
            <w:bottom w:val="none" w:sz="0" w:space="0" w:color="auto"/>
            <w:right w:val="none" w:sz="0" w:space="0" w:color="auto"/>
          </w:divBdr>
        </w:div>
      </w:divsChild>
    </w:div>
    <w:div w:id="753163081">
      <w:bodyDiv w:val="1"/>
      <w:marLeft w:val="0"/>
      <w:marRight w:val="0"/>
      <w:marTop w:val="0"/>
      <w:marBottom w:val="0"/>
      <w:divBdr>
        <w:top w:val="none" w:sz="0" w:space="0" w:color="auto"/>
        <w:left w:val="none" w:sz="0" w:space="0" w:color="auto"/>
        <w:bottom w:val="none" w:sz="0" w:space="0" w:color="auto"/>
        <w:right w:val="none" w:sz="0" w:space="0" w:color="auto"/>
      </w:divBdr>
    </w:div>
    <w:div w:id="756944206">
      <w:bodyDiv w:val="1"/>
      <w:marLeft w:val="0"/>
      <w:marRight w:val="0"/>
      <w:marTop w:val="0"/>
      <w:marBottom w:val="0"/>
      <w:divBdr>
        <w:top w:val="none" w:sz="0" w:space="0" w:color="auto"/>
        <w:left w:val="none" w:sz="0" w:space="0" w:color="auto"/>
        <w:bottom w:val="none" w:sz="0" w:space="0" w:color="auto"/>
        <w:right w:val="none" w:sz="0" w:space="0" w:color="auto"/>
      </w:divBdr>
    </w:div>
    <w:div w:id="762846219">
      <w:bodyDiv w:val="1"/>
      <w:marLeft w:val="0"/>
      <w:marRight w:val="0"/>
      <w:marTop w:val="0"/>
      <w:marBottom w:val="0"/>
      <w:divBdr>
        <w:top w:val="none" w:sz="0" w:space="0" w:color="auto"/>
        <w:left w:val="none" w:sz="0" w:space="0" w:color="auto"/>
        <w:bottom w:val="none" w:sz="0" w:space="0" w:color="auto"/>
        <w:right w:val="none" w:sz="0" w:space="0" w:color="auto"/>
      </w:divBdr>
    </w:div>
    <w:div w:id="764806695">
      <w:bodyDiv w:val="1"/>
      <w:marLeft w:val="0"/>
      <w:marRight w:val="0"/>
      <w:marTop w:val="0"/>
      <w:marBottom w:val="0"/>
      <w:divBdr>
        <w:top w:val="none" w:sz="0" w:space="0" w:color="auto"/>
        <w:left w:val="none" w:sz="0" w:space="0" w:color="auto"/>
        <w:bottom w:val="none" w:sz="0" w:space="0" w:color="auto"/>
        <w:right w:val="none" w:sz="0" w:space="0" w:color="auto"/>
      </w:divBdr>
    </w:div>
    <w:div w:id="769205753">
      <w:bodyDiv w:val="1"/>
      <w:marLeft w:val="0"/>
      <w:marRight w:val="0"/>
      <w:marTop w:val="0"/>
      <w:marBottom w:val="0"/>
      <w:divBdr>
        <w:top w:val="none" w:sz="0" w:space="0" w:color="auto"/>
        <w:left w:val="none" w:sz="0" w:space="0" w:color="auto"/>
        <w:bottom w:val="none" w:sz="0" w:space="0" w:color="auto"/>
        <w:right w:val="none" w:sz="0" w:space="0" w:color="auto"/>
      </w:divBdr>
    </w:div>
    <w:div w:id="777483158">
      <w:bodyDiv w:val="1"/>
      <w:marLeft w:val="0"/>
      <w:marRight w:val="0"/>
      <w:marTop w:val="0"/>
      <w:marBottom w:val="0"/>
      <w:divBdr>
        <w:top w:val="none" w:sz="0" w:space="0" w:color="auto"/>
        <w:left w:val="none" w:sz="0" w:space="0" w:color="auto"/>
        <w:bottom w:val="none" w:sz="0" w:space="0" w:color="auto"/>
        <w:right w:val="none" w:sz="0" w:space="0" w:color="auto"/>
      </w:divBdr>
    </w:div>
    <w:div w:id="793599434">
      <w:bodyDiv w:val="1"/>
      <w:marLeft w:val="0"/>
      <w:marRight w:val="0"/>
      <w:marTop w:val="0"/>
      <w:marBottom w:val="0"/>
      <w:divBdr>
        <w:top w:val="none" w:sz="0" w:space="0" w:color="auto"/>
        <w:left w:val="none" w:sz="0" w:space="0" w:color="auto"/>
        <w:bottom w:val="none" w:sz="0" w:space="0" w:color="auto"/>
        <w:right w:val="none" w:sz="0" w:space="0" w:color="auto"/>
      </w:divBdr>
    </w:div>
    <w:div w:id="802698996">
      <w:bodyDiv w:val="1"/>
      <w:marLeft w:val="0"/>
      <w:marRight w:val="0"/>
      <w:marTop w:val="0"/>
      <w:marBottom w:val="0"/>
      <w:divBdr>
        <w:top w:val="none" w:sz="0" w:space="0" w:color="auto"/>
        <w:left w:val="none" w:sz="0" w:space="0" w:color="auto"/>
        <w:bottom w:val="none" w:sz="0" w:space="0" w:color="auto"/>
        <w:right w:val="none" w:sz="0" w:space="0" w:color="auto"/>
      </w:divBdr>
    </w:div>
    <w:div w:id="803080392">
      <w:bodyDiv w:val="1"/>
      <w:marLeft w:val="0"/>
      <w:marRight w:val="0"/>
      <w:marTop w:val="0"/>
      <w:marBottom w:val="0"/>
      <w:divBdr>
        <w:top w:val="none" w:sz="0" w:space="0" w:color="auto"/>
        <w:left w:val="none" w:sz="0" w:space="0" w:color="auto"/>
        <w:bottom w:val="none" w:sz="0" w:space="0" w:color="auto"/>
        <w:right w:val="none" w:sz="0" w:space="0" w:color="auto"/>
      </w:divBdr>
    </w:div>
    <w:div w:id="814562906">
      <w:bodyDiv w:val="1"/>
      <w:marLeft w:val="0"/>
      <w:marRight w:val="0"/>
      <w:marTop w:val="0"/>
      <w:marBottom w:val="0"/>
      <w:divBdr>
        <w:top w:val="none" w:sz="0" w:space="0" w:color="auto"/>
        <w:left w:val="none" w:sz="0" w:space="0" w:color="auto"/>
        <w:bottom w:val="none" w:sz="0" w:space="0" w:color="auto"/>
        <w:right w:val="none" w:sz="0" w:space="0" w:color="auto"/>
      </w:divBdr>
    </w:div>
    <w:div w:id="827793618">
      <w:bodyDiv w:val="1"/>
      <w:marLeft w:val="0"/>
      <w:marRight w:val="0"/>
      <w:marTop w:val="0"/>
      <w:marBottom w:val="0"/>
      <w:divBdr>
        <w:top w:val="none" w:sz="0" w:space="0" w:color="auto"/>
        <w:left w:val="none" w:sz="0" w:space="0" w:color="auto"/>
        <w:bottom w:val="none" w:sz="0" w:space="0" w:color="auto"/>
        <w:right w:val="none" w:sz="0" w:space="0" w:color="auto"/>
      </w:divBdr>
    </w:div>
    <w:div w:id="833498826">
      <w:bodyDiv w:val="1"/>
      <w:marLeft w:val="0"/>
      <w:marRight w:val="0"/>
      <w:marTop w:val="0"/>
      <w:marBottom w:val="0"/>
      <w:divBdr>
        <w:top w:val="none" w:sz="0" w:space="0" w:color="auto"/>
        <w:left w:val="none" w:sz="0" w:space="0" w:color="auto"/>
        <w:bottom w:val="none" w:sz="0" w:space="0" w:color="auto"/>
        <w:right w:val="none" w:sz="0" w:space="0" w:color="auto"/>
      </w:divBdr>
      <w:divsChild>
        <w:div w:id="1822195158">
          <w:marLeft w:val="0"/>
          <w:marRight w:val="0"/>
          <w:marTop w:val="0"/>
          <w:marBottom w:val="0"/>
          <w:divBdr>
            <w:top w:val="none" w:sz="0" w:space="0" w:color="auto"/>
            <w:left w:val="none" w:sz="0" w:space="0" w:color="auto"/>
            <w:bottom w:val="none" w:sz="0" w:space="0" w:color="auto"/>
            <w:right w:val="none" w:sz="0" w:space="0" w:color="auto"/>
          </w:divBdr>
        </w:div>
      </w:divsChild>
    </w:div>
    <w:div w:id="835650821">
      <w:bodyDiv w:val="1"/>
      <w:marLeft w:val="0"/>
      <w:marRight w:val="0"/>
      <w:marTop w:val="0"/>
      <w:marBottom w:val="0"/>
      <w:divBdr>
        <w:top w:val="none" w:sz="0" w:space="0" w:color="auto"/>
        <w:left w:val="none" w:sz="0" w:space="0" w:color="auto"/>
        <w:bottom w:val="none" w:sz="0" w:space="0" w:color="auto"/>
        <w:right w:val="none" w:sz="0" w:space="0" w:color="auto"/>
      </w:divBdr>
      <w:divsChild>
        <w:div w:id="852690545">
          <w:marLeft w:val="0"/>
          <w:marRight w:val="0"/>
          <w:marTop w:val="0"/>
          <w:marBottom w:val="0"/>
          <w:divBdr>
            <w:top w:val="none" w:sz="0" w:space="0" w:color="auto"/>
            <w:left w:val="none" w:sz="0" w:space="0" w:color="auto"/>
            <w:bottom w:val="none" w:sz="0" w:space="0" w:color="auto"/>
            <w:right w:val="none" w:sz="0" w:space="0" w:color="auto"/>
          </w:divBdr>
        </w:div>
      </w:divsChild>
    </w:div>
    <w:div w:id="843327015">
      <w:bodyDiv w:val="1"/>
      <w:marLeft w:val="0"/>
      <w:marRight w:val="0"/>
      <w:marTop w:val="0"/>
      <w:marBottom w:val="0"/>
      <w:divBdr>
        <w:top w:val="none" w:sz="0" w:space="0" w:color="auto"/>
        <w:left w:val="none" w:sz="0" w:space="0" w:color="auto"/>
        <w:bottom w:val="none" w:sz="0" w:space="0" w:color="auto"/>
        <w:right w:val="none" w:sz="0" w:space="0" w:color="auto"/>
      </w:divBdr>
    </w:div>
    <w:div w:id="857237027">
      <w:bodyDiv w:val="1"/>
      <w:marLeft w:val="0"/>
      <w:marRight w:val="0"/>
      <w:marTop w:val="0"/>
      <w:marBottom w:val="0"/>
      <w:divBdr>
        <w:top w:val="none" w:sz="0" w:space="0" w:color="auto"/>
        <w:left w:val="none" w:sz="0" w:space="0" w:color="auto"/>
        <w:bottom w:val="none" w:sz="0" w:space="0" w:color="auto"/>
        <w:right w:val="none" w:sz="0" w:space="0" w:color="auto"/>
      </w:divBdr>
      <w:divsChild>
        <w:div w:id="1377199980">
          <w:marLeft w:val="0"/>
          <w:marRight w:val="0"/>
          <w:marTop w:val="0"/>
          <w:marBottom w:val="0"/>
          <w:divBdr>
            <w:top w:val="none" w:sz="0" w:space="0" w:color="auto"/>
            <w:left w:val="none" w:sz="0" w:space="0" w:color="auto"/>
            <w:bottom w:val="none" w:sz="0" w:space="0" w:color="auto"/>
            <w:right w:val="none" w:sz="0" w:space="0" w:color="auto"/>
          </w:divBdr>
        </w:div>
      </w:divsChild>
    </w:div>
    <w:div w:id="863977708">
      <w:bodyDiv w:val="1"/>
      <w:marLeft w:val="0"/>
      <w:marRight w:val="0"/>
      <w:marTop w:val="0"/>
      <w:marBottom w:val="0"/>
      <w:divBdr>
        <w:top w:val="none" w:sz="0" w:space="0" w:color="auto"/>
        <w:left w:val="none" w:sz="0" w:space="0" w:color="auto"/>
        <w:bottom w:val="none" w:sz="0" w:space="0" w:color="auto"/>
        <w:right w:val="none" w:sz="0" w:space="0" w:color="auto"/>
      </w:divBdr>
    </w:div>
    <w:div w:id="874578228">
      <w:bodyDiv w:val="1"/>
      <w:marLeft w:val="0"/>
      <w:marRight w:val="0"/>
      <w:marTop w:val="0"/>
      <w:marBottom w:val="0"/>
      <w:divBdr>
        <w:top w:val="none" w:sz="0" w:space="0" w:color="auto"/>
        <w:left w:val="none" w:sz="0" w:space="0" w:color="auto"/>
        <w:bottom w:val="none" w:sz="0" w:space="0" w:color="auto"/>
        <w:right w:val="none" w:sz="0" w:space="0" w:color="auto"/>
      </w:divBdr>
      <w:divsChild>
        <w:div w:id="1050156339">
          <w:marLeft w:val="0"/>
          <w:marRight w:val="0"/>
          <w:marTop w:val="0"/>
          <w:marBottom w:val="0"/>
          <w:divBdr>
            <w:top w:val="none" w:sz="0" w:space="0" w:color="auto"/>
            <w:left w:val="none" w:sz="0" w:space="0" w:color="auto"/>
            <w:bottom w:val="none" w:sz="0" w:space="0" w:color="auto"/>
            <w:right w:val="none" w:sz="0" w:space="0" w:color="auto"/>
          </w:divBdr>
        </w:div>
      </w:divsChild>
    </w:div>
    <w:div w:id="877428480">
      <w:bodyDiv w:val="1"/>
      <w:marLeft w:val="0"/>
      <w:marRight w:val="0"/>
      <w:marTop w:val="0"/>
      <w:marBottom w:val="0"/>
      <w:divBdr>
        <w:top w:val="none" w:sz="0" w:space="0" w:color="auto"/>
        <w:left w:val="none" w:sz="0" w:space="0" w:color="auto"/>
        <w:bottom w:val="none" w:sz="0" w:space="0" w:color="auto"/>
        <w:right w:val="none" w:sz="0" w:space="0" w:color="auto"/>
      </w:divBdr>
      <w:divsChild>
        <w:div w:id="621419420">
          <w:marLeft w:val="0"/>
          <w:marRight w:val="0"/>
          <w:marTop w:val="0"/>
          <w:marBottom w:val="0"/>
          <w:divBdr>
            <w:top w:val="none" w:sz="0" w:space="0" w:color="auto"/>
            <w:left w:val="none" w:sz="0" w:space="0" w:color="auto"/>
            <w:bottom w:val="none" w:sz="0" w:space="0" w:color="auto"/>
            <w:right w:val="none" w:sz="0" w:space="0" w:color="auto"/>
          </w:divBdr>
        </w:div>
      </w:divsChild>
    </w:div>
    <w:div w:id="878467301">
      <w:bodyDiv w:val="1"/>
      <w:marLeft w:val="0"/>
      <w:marRight w:val="0"/>
      <w:marTop w:val="0"/>
      <w:marBottom w:val="0"/>
      <w:divBdr>
        <w:top w:val="none" w:sz="0" w:space="0" w:color="auto"/>
        <w:left w:val="none" w:sz="0" w:space="0" w:color="auto"/>
        <w:bottom w:val="none" w:sz="0" w:space="0" w:color="auto"/>
        <w:right w:val="none" w:sz="0" w:space="0" w:color="auto"/>
      </w:divBdr>
      <w:divsChild>
        <w:div w:id="786772393">
          <w:marLeft w:val="0"/>
          <w:marRight w:val="0"/>
          <w:marTop w:val="0"/>
          <w:marBottom w:val="0"/>
          <w:divBdr>
            <w:top w:val="none" w:sz="0" w:space="0" w:color="auto"/>
            <w:left w:val="none" w:sz="0" w:space="0" w:color="auto"/>
            <w:bottom w:val="none" w:sz="0" w:space="0" w:color="auto"/>
            <w:right w:val="none" w:sz="0" w:space="0" w:color="auto"/>
          </w:divBdr>
          <w:divsChild>
            <w:div w:id="530805195">
              <w:marLeft w:val="0"/>
              <w:marRight w:val="0"/>
              <w:marTop w:val="0"/>
              <w:marBottom w:val="0"/>
              <w:divBdr>
                <w:top w:val="none" w:sz="0" w:space="0" w:color="auto"/>
                <w:left w:val="none" w:sz="0" w:space="0" w:color="auto"/>
                <w:bottom w:val="none" w:sz="0" w:space="0" w:color="auto"/>
                <w:right w:val="none" w:sz="0" w:space="0" w:color="auto"/>
              </w:divBdr>
              <w:divsChild>
                <w:div w:id="290945160">
                  <w:marLeft w:val="0"/>
                  <w:marRight w:val="0"/>
                  <w:marTop w:val="0"/>
                  <w:marBottom w:val="0"/>
                  <w:divBdr>
                    <w:top w:val="none" w:sz="0" w:space="0" w:color="auto"/>
                    <w:left w:val="none" w:sz="0" w:space="0" w:color="auto"/>
                    <w:bottom w:val="none" w:sz="0" w:space="0" w:color="auto"/>
                    <w:right w:val="none" w:sz="0" w:space="0" w:color="auto"/>
                  </w:divBdr>
                  <w:divsChild>
                    <w:div w:id="2986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995512">
      <w:bodyDiv w:val="1"/>
      <w:marLeft w:val="0"/>
      <w:marRight w:val="0"/>
      <w:marTop w:val="0"/>
      <w:marBottom w:val="0"/>
      <w:divBdr>
        <w:top w:val="none" w:sz="0" w:space="0" w:color="auto"/>
        <w:left w:val="none" w:sz="0" w:space="0" w:color="auto"/>
        <w:bottom w:val="none" w:sz="0" w:space="0" w:color="auto"/>
        <w:right w:val="none" w:sz="0" w:space="0" w:color="auto"/>
      </w:divBdr>
    </w:div>
    <w:div w:id="891774876">
      <w:bodyDiv w:val="1"/>
      <w:marLeft w:val="0"/>
      <w:marRight w:val="0"/>
      <w:marTop w:val="0"/>
      <w:marBottom w:val="0"/>
      <w:divBdr>
        <w:top w:val="none" w:sz="0" w:space="0" w:color="auto"/>
        <w:left w:val="none" w:sz="0" w:space="0" w:color="auto"/>
        <w:bottom w:val="none" w:sz="0" w:space="0" w:color="auto"/>
        <w:right w:val="none" w:sz="0" w:space="0" w:color="auto"/>
      </w:divBdr>
    </w:div>
    <w:div w:id="902059204">
      <w:bodyDiv w:val="1"/>
      <w:marLeft w:val="0"/>
      <w:marRight w:val="0"/>
      <w:marTop w:val="0"/>
      <w:marBottom w:val="0"/>
      <w:divBdr>
        <w:top w:val="none" w:sz="0" w:space="0" w:color="auto"/>
        <w:left w:val="none" w:sz="0" w:space="0" w:color="auto"/>
        <w:bottom w:val="none" w:sz="0" w:space="0" w:color="auto"/>
        <w:right w:val="none" w:sz="0" w:space="0" w:color="auto"/>
      </w:divBdr>
    </w:div>
    <w:div w:id="910386715">
      <w:bodyDiv w:val="1"/>
      <w:marLeft w:val="0"/>
      <w:marRight w:val="0"/>
      <w:marTop w:val="0"/>
      <w:marBottom w:val="0"/>
      <w:divBdr>
        <w:top w:val="none" w:sz="0" w:space="0" w:color="auto"/>
        <w:left w:val="none" w:sz="0" w:space="0" w:color="auto"/>
        <w:bottom w:val="none" w:sz="0" w:space="0" w:color="auto"/>
        <w:right w:val="none" w:sz="0" w:space="0" w:color="auto"/>
      </w:divBdr>
    </w:div>
    <w:div w:id="911625587">
      <w:bodyDiv w:val="1"/>
      <w:marLeft w:val="0"/>
      <w:marRight w:val="0"/>
      <w:marTop w:val="0"/>
      <w:marBottom w:val="0"/>
      <w:divBdr>
        <w:top w:val="none" w:sz="0" w:space="0" w:color="auto"/>
        <w:left w:val="none" w:sz="0" w:space="0" w:color="auto"/>
        <w:bottom w:val="none" w:sz="0" w:space="0" w:color="auto"/>
        <w:right w:val="none" w:sz="0" w:space="0" w:color="auto"/>
      </w:divBdr>
    </w:div>
    <w:div w:id="914358686">
      <w:bodyDiv w:val="1"/>
      <w:marLeft w:val="0"/>
      <w:marRight w:val="0"/>
      <w:marTop w:val="0"/>
      <w:marBottom w:val="0"/>
      <w:divBdr>
        <w:top w:val="none" w:sz="0" w:space="0" w:color="auto"/>
        <w:left w:val="none" w:sz="0" w:space="0" w:color="auto"/>
        <w:bottom w:val="none" w:sz="0" w:space="0" w:color="auto"/>
        <w:right w:val="none" w:sz="0" w:space="0" w:color="auto"/>
      </w:divBdr>
    </w:div>
    <w:div w:id="929311346">
      <w:bodyDiv w:val="1"/>
      <w:marLeft w:val="0"/>
      <w:marRight w:val="0"/>
      <w:marTop w:val="0"/>
      <w:marBottom w:val="0"/>
      <w:divBdr>
        <w:top w:val="none" w:sz="0" w:space="0" w:color="auto"/>
        <w:left w:val="none" w:sz="0" w:space="0" w:color="auto"/>
        <w:bottom w:val="none" w:sz="0" w:space="0" w:color="auto"/>
        <w:right w:val="none" w:sz="0" w:space="0" w:color="auto"/>
      </w:divBdr>
    </w:div>
    <w:div w:id="960649447">
      <w:bodyDiv w:val="1"/>
      <w:marLeft w:val="0"/>
      <w:marRight w:val="0"/>
      <w:marTop w:val="0"/>
      <w:marBottom w:val="0"/>
      <w:divBdr>
        <w:top w:val="none" w:sz="0" w:space="0" w:color="auto"/>
        <w:left w:val="none" w:sz="0" w:space="0" w:color="auto"/>
        <w:bottom w:val="none" w:sz="0" w:space="0" w:color="auto"/>
        <w:right w:val="none" w:sz="0" w:space="0" w:color="auto"/>
      </w:divBdr>
    </w:div>
    <w:div w:id="972516822">
      <w:bodyDiv w:val="1"/>
      <w:marLeft w:val="0"/>
      <w:marRight w:val="0"/>
      <w:marTop w:val="0"/>
      <w:marBottom w:val="0"/>
      <w:divBdr>
        <w:top w:val="none" w:sz="0" w:space="0" w:color="auto"/>
        <w:left w:val="none" w:sz="0" w:space="0" w:color="auto"/>
        <w:bottom w:val="none" w:sz="0" w:space="0" w:color="auto"/>
        <w:right w:val="none" w:sz="0" w:space="0" w:color="auto"/>
      </w:divBdr>
    </w:div>
    <w:div w:id="979531879">
      <w:bodyDiv w:val="1"/>
      <w:marLeft w:val="0"/>
      <w:marRight w:val="0"/>
      <w:marTop w:val="0"/>
      <w:marBottom w:val="0"/>
      <w:divBdr>
        <w:top w:val="none" w:sz="0" w:space="0" w:color="auto"/>
        <w:left w:val="none" w:sz="0" w:space="0" w:color="auto"/>
        <w:bottom w:val="none" w:sz="0" w:space="0" w:color="auto"/>
        <w:right w:val="none" w:sz="0" w:space="0" w:color="auto"/>
      </w:divBdr>
    </w:div>
    <w:div w:id="991718366">
      <w:bodyDiv w:val="1"/>
      <w:marLeft w:val="0"/>
      <w:marRight w:val="0"/>
      <w:marTop w:val="0"/>
      <w:marBottom w:val="0"/>
      <w:divBdr>
        <w:top w:val="none" w:sz="0" w:space="0" w:color="auto"/>
        <w:left w:val="none" w:sz="0" w:space="0" w:color="auto"/>
        <w:bottom w:val="none" w:sz="0" w:space="0" w:color="auto"/>
        <w:right w:val="none" w:sz="0" w:space="0" w:color="auto"/>
      </w:divBdr>
    </w:div>
    <w:div w:id="993801221">
      <w:bodyDiv w:val="1"/>
      <w:marLeft w:val="0"/>
      <w:marRight w:val="0"/>
      <w:marTop w:val="0"/>
      <w:marBottom w:val="0"/>
      <w:divBdr>
        <w:top w:val="none" w:sz="0" w:space="0" w:color="auto"/>
        <w:left w:val="none" w:sz="0" w:space="0" w:color="auto"/>
        <w:bottom w:val="none" w:sz="0" w:space="0" w:color="auto"/>
        <w:right w:val="none" w:sz="0" w:space="0" w:color="auto"/>
      </w:divBdr>
      <w:divsChild>
        <w:div w:id="1585336596">
          <w:marLeft w:val="0"/>
          <w:marRight w:val="0"/>
          <w:marTop w:val="0"/>
          <w:marBottom w:val="0"/>
          <w:divBdr>
            <w:top w:val="none" w:sz="0" w:space="0" w:color="auto"/>
            <w:left w:val="none" w:sz="0" w:space="0" w:color="auto"/>
            <w:bottom w:val="none" w:sz="0" w:space="0" w:color="auto"/>
            <w:right w:val="none" w:sz="0" w:space="0" w:color="auto"/>
          </w:divBdr>
        </w:div>
        <w:div w:id="438258311">
          <w:marLeft w:val="0"/>
          <w:marRight w:val="0"/>
          <w:marTop w:val="0"/>
          <w:marBottom w:val="0"/>
          <w:divBdr>
            <w:top w:val="none" w:sz="0" w:space="0" w:color="auto"/>
            <w:left w:val="none" w:sz="0" w:space="0" w:color="auto"/>
            <w:bottom w:val="none" w:sz="0" w:space="0" w:color="auto"/>
            <w:right w:val="none" w:sz="0" w:space="0" w:color="auto"/>
          </w:divBdr>
        </w:div>
      </w:divsChild>
    </w:div>
    <w:div w:id="995062540">
      <w:bodyDiv w:val="1"/>
      <w:marLeft w:val="0"/>
      <w:marRight w:val="0"/>
      <w:marTop w:val="0"/>
      <w:marBottom w:val="0"/>
      <w:divBdr>
        <w:top w:val="none" w:sz="0" w:space="0" w:color="auto"/>
        <w:left w:val="none" w:sz="0" w:space="0" w:color="auto"/>
        <w:bottom w:val="none" w:sz="0" w:space="0" w:color="auto"/>
        <w:right w:val="none" w:sz="0" w:space="0" w:color="auto"/>
      </w:divBdr>
    </w:div>
    <w:div w:id="995306051">
      <w:bodyDiv w:val="1"/>
      <w:marLeft w:val="0"/>
      <w:marRight w:val="0"/>
      <w:marTop w:val="0"/>
      <w:marBottom w:val="0"/>
      <w:divBdr>
        <w:top w:val="none" w:sz="0" w:space="0" w:color="auto"/>
        <w:left w:val="none" w:sz="0" w:space="0" w:color="auto"/>
        <w:bottom w:val="none" w:sz="0" w:space="0" w:color="auto"/>
        <w:right w:val="none" w:sz="0" w:space="0" w:color="auto"/>
      </w:divBdr>
      <w:divsChild>
        <w:div w:id="833759162">
          <w:marLeft w:val="0"/>
          <w:marRight w:val="0"/>
          <w:marTop w:val="0"/>
          <w:marBottom w:val="0"/>
          <w:divBdr>
            <w:top w:val="none" w:sz="0" w:space="0" w:color="auto"/>
            <w:left w:val="none" w:sz="0" w:space="0" w:color="auto"/>
            <w:bottom w:val="none" w:sz="0" w:space="0" w:color="auto"/>
            <w:right w:val="none" w:sz="0" w:space="0" w:color="auto"/>
          </w:divBdr>
        </w:div>
        <w:div w:id="374894491">
          <w:marLeft w:val="0"/>
          <w:marRight w:val="0"/>
          <w:marTop w:val="0"/>
          <w:marBottom w:val="0"/>
          <w:divBdr>
            <w:top w:val="none" w:sz="0" w:space="0" w:color="auto"/>
            <w:left w:val="none" w:sz="0" w:space="0" w:color="auto"/>
            <w:bottom w:val="none" w:sz="0" w:space="0" w:color="auto"/>
            <w:right w:val="none" w:sz="0" w:space="0" w:color="auto"/>
          </w:divBdr>
        </w:div>
      </w:divsChild>
    </w:div>
    <w:div w:id="1022510035">
      <w:bodyDiv w:val="1"/>
      <w:marLeft w:val="0"/>
      <w:marRight w:val="0"/>
      <w:marTop w:val="0"/>
      <w:marBottom w:val="0"/>
      <w:divBdr>
        <w:top w:val="none" w:sz="0" w:space="0" w:color="auto"/>
        <w:left w:val="none" w:sz="0" w:space="0" w:color="auto"/>
        <w:bottom w:val="none" w:sz="0" w:space="0" w:color="auto"/>
        <w:right w:val="none" w:sz="0" w:space="0" w:color="auto"/>
      </w:divBdr>
      <w:divsChild>
        <w:div w:id="665786414">
          <w:marLeft w:val="0"/>
          <w:marRight w:val="0"/>
          <w:marTop w:val="0"/>
          <w:marBottom w:val="0"/>
          <w:divBdr>
            <w:top w:val="none" w:sz="0" w:space="0" w:color="auto"/>
            <w:left w:val="none" w:sz="0" w:space="0" w:color="auto"/>
            <w:bottom w:val="none" w:sz="0" w:space="0" w:color="auto"/>
            <w:right w:val="none" w:sz="0" w:space="0" w:color="auto"/>
          </w:divBdr>
        </w:div>
      </w:divsChild>
    </w:div>
    <w:div w:id="1027566548">
      <w:bodyDiv w:val="1"/>
      <w:marLeft w:val="0"/>
      <w:marRight w:val="0"/>
      <w:marTop w:val="0"/>
      <w:marBottom w:val="0"/>
      <w:divBdr>
        <w:top w:val="none" w:sz="0" w:space="0" w:color="auto"/>
        <w:left w:val="none" w:sz="0" w:space="0" w:color="auto"/>
        <w:bottom w:val="none" w:sz="0" w:space="0" w:color="auto"/>
        <w:right w:val="none" w:sz="0" w:space="0" w:color="auto"/>
      </w:divBdr>
    </w:div>
    <w:div w:id="1038168977">
      <w:bodyDiv w:val="1"/>
      <w:marLeft w:val="0"/>
      <w:marRight w:val="0"/>
      <w:marTop w:val="0"/>
      <w:marBottom w:val="0"/>
      <w:divBdr>
        <w:top w:val="none" w:sz="0" w:space="0" w:color="auto"/>
        <w:left w:val="none" w:sz="0" w:space="0" w:color="auto"/>
        <w:bottom w:val="none" w:sz="0" w:space="0" w:color="auto"/>
        <w:right w:val="none" w:sz="0" w:space="0" w:color="auto"/>
      </w:divBdr>
    </w:div>
    <w:div w:id="1056665064">
      <w:bodyDiv w:val="1"/>
      <w:marLeft w:val="0"/>
      <w:marRight w:val="0"/>
      <w:marTop w:val="0"/>
      <w:marBottom w:val="0"/>
      <w:divBdr>
        <w:top w:val="none" w:sz="0" w:space="0" w:color="auto"/>
        <w:left w:val="none" w:sz="0" w:space="0" w:color="auto"/>
        <w:bottom w:val="none" w:sz="0" w:space="0" w:color="auto"/>
        <w:right w:val="none" w:sz="0" w:space="0" w:color="auto"/>
      </w:divBdr>
      <w:divsChild>
        <w:div w:id="664549899">
          <w:marLeft w:val="0"/>
          <w:marRight w:val="0"/>
          <w:marTop w:val="0"/>
          <w:marBottom w:val="0"/>
          <w:divBdr>
            <w:top w:val="none" w:sz="0" w:space="0" w:color="auto"/>
            <w:left w:val="none" w:sz="0" w:space="0" w:color="auto"/>
            <w:bottom w:val="none" w:sz="0" w:space="0" w:color="auto"/>
            <w:right w:val="none" w:sz="0" w:space="0" w:color="auto"/>
          </w:divBdr>
        </w:div>
      </w:divsChild>
    </w:div>
    <w:div w:id="1059864752">
      <w:bodyDiv w:val="1"/>
      <w:marLeft w:val="0"/>
      <w:marRight w:val="0"/>
      <w:marTop w:val="0"/>
      <w:marBottom w:val="0"/>
      <w:divBdr>
        <w:top w:val="none" w:sz="0" w:space="0" w:color="auto"/>
        <w:left w:val="none" w:sz="0" w:space="0" w:color="auto"/>
        <w:bottom w:val="none" w:sz="0" w:space="0" w:color="auto"/>
        <w:right w:val="none" w:sz="0" w:space="0" w:color="auto"/>
      </w:divBdr>
      <w:divsChild>
        <w:div w:id="2146507246">
          <w:marLeft w:val="0"/>
          <w:marRight w:val="0"/>
          <w:marTop w:val="0"/>
          <w:marBottom w:val="0"/>
          <w:divBdr>
            <w:top w:val="none" w:sz="0" w:space="0" w:color="auto"/>
            <w:left w:val="none" w:sz="0" w:space="0" w:color="auto"/>
            <w:bottom w:val="none" w:sz="0" w:space="0" w:color="auto"/>
            <w:right w:val="none" w:sz="0" w:space="0" w:color="auto"/>
          </w:divBdr>
        </w:div>
      </w:divsChild>
    </w:div>
    <w:div w:id="1063796095">
      <w:bodyDiv w:val="1"/>
      <w:marLeft w:val="0"/>
      <w:marRight w:val="0"/>
      <w:marTop w:val="0"/>
      <w:marBottom w:val="0"/>
      <w:divBdr>
        <w:top w:val="none" w:sz="0" w:space="0" w:color="auto"/>
        <w:left w:val="none" w:sz="0" w:space="0" w:color="auto"/>
        <w:bottom w:val="none" w:sz="0" w:space="0" w:color="auto"/>
        <w:right w:val="none" w:sz="0" w:space="0" w:color="auto"/>
      </w:divBdr>
      <w:divsChild>
        <w:div w:id="462894946">
          <w:marLeft w:val="0"/>
          <w:marRight w:val="0"/>
          <w:marTop w:val="0"/>
          <w:marBottom w:val="0"/>
          <w:divBdr>
            <w:top w:val="none" w:sz="0" w:space="0" w:color="auto"/>
            <w:left w:val="none" w:sz="0" w:space="0" w:color="auto"/>
            <w:bottom w:val="none" w:sz="0" w:space="0" w:color="auto"/>
            <w:right w:val="none" w:sz="0" w:space="0" w:color="auto"/>
          </w:divBdr>
        </w:div>
      </w:divsChild>
    </w:div>
    <w:div w:id="1070618954">
      <w:bodyDiv w:val="1"/>
      <w:marLeft w:val="0"/>
      <w:marRight w:val="0"/>
      <w:marTop w:val="0"/>
      <w:marBottom w:val="0"/>
      <w:divBdr>
        <w:top w:val="none" w:sz="0" w:space="0" w:color="auto"/>
        <w:left w:val="none" w:sz="0" w:space="0" w:color="auto"/>
        <w:bottom w:val="none" w:sz="0" w:space="0" w:color="auto"/>
        <w:right w:val="none" w:sz="0" w:space="0" w:color="auto"/>
      </w:divBdr>
      <w:divsChild>
        <w:div w:id="344211012">
          <w:marLeft w:val="0"/>
          <w:marRight w:val="0"/>
          <w:marTop w:val="0"/>
          <w:marBottom w:val="0"/>
          <w:divBdr>
            <w:top w:val="none" w:sz="0" w:space="0" w:color="auto"/>
            <w:left w:val="none" w:sz="0" w:space="0" w:color="auto"/>
            <w:bottom w:val="none" w:sz="0" w:space="0" w:color="auto"/>
            <w:right w:val="none" w:sz="0" w:space="0" w:color="auto"/>
          </w:divBdr>
        </w:div>
      </w:divsChild>
    </w:div>
    <w:div w:id="1074469811">
      <w:bodyDiv w:val="1"/>
      <w:marLeft w:val="0"/>
      <w:marRight w:val="0"/>
      <w:marTop w:val="0"/>
      <w:marBottom w:val="0"/>
      <w:divBdr>
        <w:top w:val="none" w:sz="0" w:space="0" w:color="auto"/>
        <w:left w:val="none" w:sz="0" w:space="0" w:color="auto"/>
        <w:bottom w:val="none" w:sz="0" w:space="0" w:color="auto"/>
        <w:right w:val="none" w:sz="0" w:space="0" w:color="auto"/>
      </w:divBdr>
      <w:divsChild>
        <w:div w:id="955259127">
          <w:marLeft w:val="0"/>
          <w:marRight w:val="0"/>
          <w:marTop w:val="0"/>
          <w:marBottom w:val="0"/>
          <w:divBdr>
            <w:top w:val="none" w:sz="0" w:space="0" w:color="auto"/>
            <w:left w:val="none" w:sz="0" w:space="0" w:color="auto"/>
            <w:bottom w:val="none" w:sz="0" w:space="0" w:color="auto"/>
            <w:right w:val="none" w:sz="0" w:space="0" w:color="auto"/>
          </w:divBdr>
        </w:div>
        <w:div w:id="1037196823">
          <w:marLeft w:val="0"/>
          <w:marRight w:val="0"/>
          <w:marTop w:val="0"/>
          <w:marBottom w:val="0"/>
          <w:divBdr>
            <w:top w:val="none" w:sz="0" w:space="0" w:color="auto"/>
            <w:left w:val="none" w:sz="0" w:space="0" w:color="auto"/>
            <w:bottom w:val="none" w:sz="0" w:space="0" w:color="auto"/>
            <w:right w:val="none" w:sz="0" w:space="0" w:color="auto"/>
          </w:divBdr>
        </w:div>
      </w:divsChild>
    </w:div>
    <w:div w:id="1085347115">
      <w:bodyDiv w:val="1"/>
      <w:marLeft w:val="0"/>
      <w:marRight w:val="0"/>
      <w:marTop w:val="0"/>
      <w:marBottom w:val="0"/>
      <w:divBdr>
        <w:top w:val="none" w:sz="0" w:space="0" w:color="auto"/>
        <w:left w:val="none" w:sz="0" w:space="0" w:color="auto"/>
        <w:bottom w:val="none" w:sz="0" w:space="0" w:color="auto"/>
        <w:right w:val="none" w:sz="0" w:space="0" w:color="auto"/>
      </w:divBdr>
    </w:div>
    <w:div w:id="1087311895">
      <w:bodyDiv w:val="1"/>
      <w:marLeft w:val="0"/>
      <w:marRight w:val="0"/>
      <w:marTop w:val="0"/>
      <w:marBottom w:val="0"/>
      <w:divBdr>
        <w:top w:val="none" w:sz="0" w:space="0" w:color="auto"/>
        <w:left w:val="none" w:sz="0" w:space="0" w:color="auto"/>
        <w:bottom w:val="none" w:sz="0" w:space="0" w:color="auto"/>
        <w:right w:val="none" w:sz="0" w:space="0" w:color="auto"/>
      </w:divBdr>
      <w:divsChild>
        <w:div w:id="575364536">
          <w:marLeft w:val="0"/>
          <w:marRight w:val="0"/>
          <w:marTop w:val="0"/>
          <w:marBottom w:val="0"/>
          <w:divBdr>
            <w:top w:val="none" w:sz="0" w:space="0" w:color="auto"/>
            <w:left w:val="none" w:sz="0" w:space="0" w:color="auto"/>
            <w:bottom w:val="none" w:sz="0" w:space="0" w:color="auto"/>
            <w:right w:val="none" w:sz="0" w:space="0" w:color="auto"/>
          </w:divBdr>
          <w:divsChild>
            <w:div w:id="447968188">
              <w:marLeft w:val="0"/>
              <w:marRight w:val="0"/>
              <w:marTop w:val="0"/>
              <w:marBottom w:val="0"/>
              <w:divBdr>
                <w:top w:val="none" w:sz="0" w:space="0" w:color="auto"/>
                <w:left w:val="none" w:sz="0" w:space="0" w:color="auto"/>
                <w:bottom w:val="none" w:sz="0" w:space="0" w:color="auto"/>
                <w:right w:val="none" w:sz="0" w:space="0" w:color="auto"/>
              </w:divBdr>
            </w:div>
          </w:divsChild>
        </w:div>
        <w:div w:id="1251423936">
          <w:marLeft w:val="0"/>
          <w:marRight w:val="0"/>
          <w:marTop w:val="0"/>
          <w:marBottom w:val="0"/>
          <w:divBdr>
            <w:top w:val="none" w:sz="0" w:space="0" w:color="auto"/>
            <w:left w:val="none" w:sz="0" w:space="0" w:color="auto"/>
            <w:bottom w:val="none" w:sz="0" w:space="0" w:color="auto"/>
            <w:right w:val="none" w:sz="0" w:space="0" w:color="auto"/>
          </w:divBdr>
        </w:div>
        <w:div w:id="1528526354">
          <w:marLeft w:val="0"/>
          <w:marRight w:val="0"/>
          <w:marTop w:val="0"/>
          <w:marBottom w:val="0"/>
          <w:divBdr>
            <w:top w:val="none" w:sz="0" w:space="0" w:color="auto"/>
            <w:left w:val="none" w:sz="0" w:space="0" w:color="auto"/>
            <w:bottom w:val="none" w:sz="0" w:space="0" w:color="auto"/>
            <w:right w:val="none" w:sz="0" w:space="0" w:color="auto"/>
          </w:divBdr>
          <w:divsChild>
            <w:div w:id="654142133">
              <w:marLeft w:val="0"/>
              <w:marRight w:val="0"/>
              <w:marTop w:val="0"/>
              <w:marBottom w:val="0"/>
              <w:divBdr>
                <w:top w:val="none" w:sz="0" w:space="0" w:color="auto"/>
                <w:left w:val="none" w:sz="0" w:space="0" w:color="auto"/>
                <w:bottom w:val="none" w:sz="0" w:space="0" w:color="auto"/>
                <w:right w:val="none" w:sz="0" w:space="0" w:color="auto"/>
              </w:divBdr>
              <w:divsChild>
                <w:div w:id="594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2188">
      <w:bodyDiv w:val="1"/>
      <w:marLeft w:val="0"/>
      <w:marRight w:val="0"/>
      <w:marTop w:val="0"/>
      <w:marBottom w:val="0"/>
      <w:divBdr>
        <w:top w:val="none" w:sz="0" w:space="0" w:color="auto"/>
        <w:left w:val="none" w:sz="0" w:space="0" w:color="auto"/>
        <w:bottom w:val="none" w:sz="0" w:space="0" w:color="auto"/>
        <w:right w:val="none" w:sz="0" w:space="0" w:color="auto"/>
      </w:divBdr>
      <w:divsChild>
        <w:div w:id="578710227">
          <w:marLeft w:val="0"/>
          <w:marRight w:val="0"/>
          <w:marTop w:val="0"/>
          <w:marBottom w:val="0"/>
          <w:divBdr>
            <w:top w:val="none" w:sz="0" w:space="0" w:color="auto"/>
            <w:left w:val="none" w:sz="0" w:space="0" w:color="auto"/>
            <w:bottom w:val="none" w:sz="0" w:space="0" w:color="auto"/>
            <w:right w:val="none" w:sz="0" w:space="0" w:color="auto"/>
          </w:divBdr>
          <w:divsChild>
            <w:div w:id="1343052754">
              <w:marLeft w:val="0"/>
              <w:marRight w:val="0"/>
              <w:marTop w:val="0"/>
              <w:marBottom w:val="0"/>
              <w:divBdr>
                <w:top w:val="none" w:sz="0" w:space="0" w:color="auto"/>
                <w:left w:val="none" w:sz="0" w:space="0" w:color="auto"/>
                <w:bottom w:val="none" w:sz="0" w:space="0" w:color="auto"/>
                <w:right w:val="none" w:sz="0" w:space="0" w:color="auto"/>
              </w:divBdr>
              <w:divsChild>
                <w:div w:id="13770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02557">
      <w:bodyDiv w:val="1"/>
      <w:marLeft w:val="0"/>
      <w:marRight w:val="0"/>
      <w:marTop w:val="0"/>
      <w:marBottom w:val="0"/>
      <w:divBdr>
        <w:top w:val="none" w:sz="0" w:space="0" w:color="auto"/>
        <w:left w:val="none" w:sz="0" w:space="0" w:color="auto"/>
        <w:bottom w:val="none" w:sz="0" w:space="0" w:color="auto"/>
        <w:right w:val="none" w:sz="0" w:space="0" w:color="auto"/>
      </w:divBdr>
    </w:div>
    <w:div w:id="1105854691">
      <w:bodyDiv w:val="1"/>
      <w:marLeft w:val="0"/>
      <w:marRight w:val="0"/>
      <w:marTop w:val="0"/>
      <w:marBottom w:val="0"/>
      <w:divBdr>
        <w:top w:val="none" w:sz="0" w:space="0" w:color="auto"/>
        <w:left w:val="none" w:sz="0" w:space="0" w:color="auto"/>
        <w:bottom w:val="none" w:sz="0" w:space="0" w:color="auto"/>
        <w:right w:val="none" w:sz="0" w:space="0" w:color="auto"/>
      </w:divBdr>
    </w:div>
    <w:div w:id="1109590665">
      <w:bodyDiv w:val="1"/>
      <w:marLeft w:val="0"/>
      <w:marRight w:val="0"/>
      <w:marTop w:val="0"/>
      <w:marBottom w:val="0"/>
      <w:divBdr>
        <w:top w:val="none" w:sz="0" w:space="0" w:color="auto"/>
        <w:left w:val="none" w:sz="0" w:space="0" w:color="auto"/>
        <w:bottom w:val="none" w:sz="0" w:space="0" w:color="auto"/>
        <w:right w:val="none" w:sz="0" w:space="0" w:color="auto"/>
      </w:divBdr>
    </w:div>
    <w:div w:id="1115293969">
      <w:bodyDiv w:val="1"/>
      <w:marLeft w:val="0"/>
      <w:marRight w:val="0"/>
      <w:marTop w:val="0"/>
      <w:marBottom w:val="0"/>
      <w:divBdr>
        <w:top w:val="none" w:sz="0" w:space="0" w:color="auto"/>
        <w:left w:val="none" w:sz="0" w:space="0" w:color="auto"/>
        <w:bottom w:val="none" w:sz="0" w:space="0" w:color="auto"/>
        <w:right w:val="none" w:sz="0" w:space="0" w:color="auto"/>
      </w:divBdr>
    </w:div>
    <w:div w:id="1135684257">
      <w:bodyDiv w:val="1"/>
      <w:marLeft w:val="0"/>
      <w:marRight w:val="0"/>
      <w:marTop w:val="0"/>
      <w:marBottom w:val="0"/>
      <w:divBdr>
        <w:top w:val="none" w:sz="0" w:space="0" w:color="auto"/>
        <w:left w:val="none" w:sz="0" w:space="0" w:color="auto"/>
        <w:bottom w:val="none" w:sz="0" w:space="0" w:color="auto"/>
        <w:right w:val="none" w:sz="0" w:space="0" w:color="auto"/>
      </w:divBdr>
    </w:div>
    <w:div w:id="1142624031">
      <w:bodyDiv w:val="1"/>
      <w:marLeft w:val="0"/>
      <w:marRight w:val="0"/>
      <w:marTop w:val="0"/>
      <w:marBottom w:val="0"/>
      <w:divBdr>
        <w:top w:val="none" w:sz="0" w:space="0" w:color="auto"/>
        <w:left w:val="none" w:sz="0" w:space="0" w:color="auto"/>
        <w:bottom w:val="none" w:sz="0" w:space="0" w:color="auto"/>
        <w:right w:val="none" w:sz="0" w:space="0" w:color="auto"/>
      </w:divBdr>
    </w:div>
    <w:div w:id="1145587437">
      <w:bodyDiv w:val="1"/>
      <w:marLeft w:val="0"/>
      <w:marRight w:val="0"/>
      <w:marTop w:val="0"/>
      <w:marBottom w:val="0"/>
      <w:divBdr>
        <w:top w:val="none" w:sz="0" w:space="0" w:color="auto"/>
        <w:left w:val="none" w:sz="0" w:space="0" w:color="auto"/>
        <w:bottom w:val="none" w:sz="0" w:space="0" w:color="auto"/>
        <w:right w:val="none" w:sz="0" w:space="0" w:color="auto"/>
      </w:divBdr>
      <w:divsChild>
        <w:div w:id="452939993">
          <w:marLeft w:val="0"/>
          <w:marRight w:val="0"/>
          <w:marTop w:val="0"/>
          <w:marBottom w:val="0"/>
          <w:divBdr>
            <w:top w:val="none" w:sz="0" w:space="0" w:color="auto"/>
            <w:left w:val="none" w:sz="0" w:space="0" w:color="auto"/>
            <w:bottom w:val="none" w:sz="0" w:space="0" w:color="auto"/>
            <w:right w:val="none" w:sz="0" w:space="0" w:color="auto"/>
          </w:divBdr>
        </w:div>
      </w:divsChild>
    </w:div>
    <w:div w:id="1168986187">
      <w:bodyDiv w:val="1"/>
      <w:marLeft w:val="0"/>
      <w:marRight w:val="0"/>
      <w:marTop w:val="0"/>
      <w:marBottom w:val="0"/>
      <w:divBdr>
        <w:top w:val="none" w:sz="0" w:space="0" w:color="auto"/>
        <w:left w:val="none" w:sz="0" w:space="0" w:color="auto"/>
        <w:bottom w:val="none" w:sz="0" w:space="0" w:color="auto"/>
        <w:right w:val="none" w:sz="0" w:space="0" w:color="auto"/>
      </w:divBdr>
    </w:div>
    <w:div w:id="1172529284">
      <w:bodyDiv w:val="1"/>
      <w:marLeft w:val="0"/>
      <w:marRight w:val="0"/>
      <w:marTop w:val="0"/>
      <w:marBottom w:val="0"/>
      <w:divBdr>
        <w:top w:val="none" w:sz="0" w:space="0" w:color="auto"/>
        <w:left w:val="none" w:sz="0" w:space="0" w:color="auto"/>
        <w:bottom w:val="none" w:sz="0" w:space="0" w:color="auto"/>
        <w:right w:val="none" w:sz="0" w:space="0" w:color="auto"/>
      </w:divBdr>
      <w:divsChild>
        <w:div w:id="505630217">
          <w:marLeft w:val="0"/>
          <w:marRight w:val="0"/>
          <w:marTop w:val="0"/>
          <w:marBottom w:val="0"/>
          <w:divBdr>
            <w:top w:val="none" w:sz="0" w:space="0" w:color="auto"/>
            <w:left w:val="none" w:sz="0" w:space="0" w:color="auto"/>
            <w:bottom w:val="none" w:sz="0" w:space="0" w:color="auto"/>
            <w:right w:val="none" w:sz="0" w:space="0" w:color="auto"/>
          </w:divBdr>
          <w:divsChild>
            <w:div w:id="755632269">
              <w:marLeft w:val="0"/>
              <w:marRight w:val="0"/>
              <w:marTop w:val="0"/>
              <w:marBottom w:val="0"/>
              <w:divBdr>
                <w:top w:val="none" w:sz="0" w:space="0" w:color="auto"/>
                <w:left w:val="none" w:sz="0" w:space="0" w:color="auto"/>
                <w:bottom w:val="none" w:sz="0" w:space="0" w:color="auto"/>
                <w:right w:val="none" w:sz="0" w:space="0" w:color="auto"/>
              </w:divBdr>
              <w:divsChild>
                <w:div w:id="17307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56530">
      <w:bodyDiv w:val="1"/>
      <w:marLeft w:val="0"/>
      <w:marRight w:val="0"/>
      <w:marTop w:val="0"/>
      <w:marBottom w:val="0"/>
      <w:divBdr>
        <w:top w:val="none" w:sz="0" w:space="0" w:color="auto"/>
        <w:left w:val="none" w:sz="0" w:space="0" w:color="auto"/>
        <w:bottom w:val="none" w:sz="0" w:space="0" w:color="auto"/>
        <w:right w:val="none" w:sz="0" w:space="0" w:color="auto"/>
      </w:divBdr>
    </w:div>
    <w:div w:id="1195460552">
      <w:bodyDiv w:val="1"/>
      <w:marLeft w:val="0"/>
      <w:marRight w:val="0"/>
      <w:marTop w:val="0"/>
      <w:marBottom w:val="0"/>
      <w:divBdr>
        <w:top w:val="none" w:sz="0" w:space="0" w:color="auto"/>
        <w:left w:val="none" w:sz="0" w:space="0" w:color="auto"/>
        <w:bottom w:val="none" w:sz="0" w:space="0" w:color="auto"/>
        <w:right w:val="none" w:sz="0" w:space="0" w:color="auto"/>
      </w:divBdr>
    </w:div>
    <w:div w:id="1199468671">
      <w:bodyDiv w:val="1"/>
      <w:marLeft w:val="0"/>
      <w:marRight w:val="0"/>
      <w:marTop w:val="0"/>
      <w:marBottom w:val="0"/>
      <w:divBdr>
        <w:top w:val="none" w:sz="0" w:space="0" w:color="auto"/>
        <w:left w:val="none" w:sz="0" w:space="0" w:color="auto"/>
        <w:bottom w:val="none" w:sz="0" w:space="0" w:color="auto"/>
        <w:right w:val="none" w:sz="0" w:space="0" w:color="auto"/>
      </w:divBdr>
    </w:div>
    <w:div w:id="1215383555">
      <w:bodyDiv w:val="1"/>
      <w:marLeft w:val="0"/>
      <w:marRight w:val="0"/>
      <w:marTop w:val="0"/>
      <w:marBottom w:val="0"/>
      <w:divBdr>
        <w:top w:val="none" w:sz="0" w:space="0" w:color="auto"/>
        <w:left w:val="none" w:sz="0" w:space="0" w:color="auto"/>
        <w:bottom w:val="none" w:sz="0" w:space="0" w:color="auto"/>
        <w:right w:val="none" w:sz="0" w:space="0" w:color="auto"/>
      </w:divBdr>
    </w:div>
    <w:div w:id="1219320934">
      <w:bodyDiv w:val="1"/>
      <w:marLeft w:val="0"/>
      <w:marRight w:val="0"/>
      <w:marTop w:val="0"/>
      <w:marBottom w:val="0"/>
      <w:divBdr>
        <w:top w:val="none" w:sz="0" w:space="0" w:color="auto"/>
        <w:left w:val="none" w:sz="0" w:space="0" w:color="auto"/>
        <w:bottom w:val="none" w:sz="0" w:space="0" w:color="auto"/>
        <w:right w:val="none" w:sz="0" w:space="0" w:color="auto"/>
      </w:divBdr>
    </w:div>
    <w:div w:id="1220050533">
      <w:bodyDiv w:val="1"/>
      <w:marLeft w:val="0"/>
      <w:marRight w:val="0"/>
      <w:marTop w:val="0"/>
      <w:marBottom w:val="0"/>
      <w:divBdr>
        <w:top w:val="none" w:sz="0" w:space="0" w:color="auto"/>
        <w:left w:val="none" w:sz="0" w:space="0" w:color="auto"/>
        <w:bottom w:val="none" w:sz="0" w:space="0" w:color="auto"/>
        <w:right w:val="none" w:sz="0" w:space="0" w:color="auto"/>
      </w:divBdr>
    </w:div>
    <w:div w:id="1251085081">
      <w:bodyDiv w:val="1"/>
      <w:marLeft w:val="0"/>
      <w:marRight w:val="0"/>
      <w:marTop w:val="0"/>
      <w:marBottom w:val="0"/>
      <w:divBdr>
        <w:top w:val="none" w:sz="0" w:space="0" w:color="auto"/>
        <w:left w:val="none" w:sz="0" w:space="0" w:color="auto"/>
        <w:bottom w:val="none" w:sz="0" w:space="0" w:color="auto"/>
        <w:right w:val="none" w:sz="0" w:space="0" w:color="auto"/>
      </w:divBdr>
      <w:divsChild>
        <w:div w:id="1388993915">
          <w:marLeft w:val="0"/>
          <w:marRight w:val="0"/>
          <w:marTop w:val="0"/>
          <w:marBottom w:val="0"/>
          <w:divBdr>
            <w:top w:val="none" w:sz="0" w:space="0" w:color="auto"/>
            <w:left w:val="none" w:sz="0" w:space="0" w:color="auto"/>
            <w:bottom w:val="none" w:sz="0" w:space="0" w:color="auto"/>
            <w:right w:val="none" w:sz="0" w:space="0" w:color="auto"/>
          </w:divBdr>
          <w:divsChild>
            <w:div w:id="1276711983">
              <w:marLeft w:val="0"/>
              <w:marRight w:val="0"/>
              <w:marTop w:val="0"/>
              <w:marBottom w:val="0"/>
              <w:divBdr>
                <w:top w:val="none" w:sz="0" w:space="0" w:color="auto"/>
                <w:left w:val="none" w:sz="0" w:space="0" w:color="auto"/>
                <w:bottom w:val="none" w:sz="0" w:space="0" w:color="auto"/>
                <w:right w:val="none" w:sz="0" w:space="0" w:color="auto"/>
              </w:divBdr>
              <w:divsChild>
                <w:div w:id="703098409">
                  <w:marLeft w:val="0"/>
                  <w:marRight w:val="0"/>
                  <w:marTop w:val="0"/>
                  <w:marBottom w:val="0"/>
                  <w:divBdr>
                    <w:top w:val="none" w:sz="0" w:space="0" w:color="auto"/>
                    <w:left w:val="none" w:sz="0" w:space="0" w:color="auto"/>
                    <w:bottom w:val="none" w:sz="0" w:space="0" w:color="auto"/>
                    <w:right w:val="none" w:sz="0" w:space="0" w:color="auto"/>
                  </w:divBdr>
                  <w:divsChild>
                    <w:div w:id="2108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330167">
      <w:bodyDiv w:val="1"/>
      <w:marLeft w:val="0"/>
      <w:marRight w:val="0"/>
      <w:marTop w:val="0"/>
      <w:marBottom w:val="0"/>
      <w:divBdr>
        <w:top w:val="none" w:sz="0" w:space="0" w:color="auto"/>
        <w:left w:val="none" w:sz="0" w:space="0" w:color="auto"/>
        <w:bottom w:val="none" w:sz="0" w:space="0" w:color="auto"/>
        <w:right w:val="none" w:sz="0" w:space="0" w:color="auto"/>
      </w:divBdr>
      <w:divsChild>
        <w:div w:id="364136932">
          <w:marLeft w:val="0"/>
          <w:marRight w:val="0"/>
          <w:marTop w:val="0"/>
          <w:marBottom w:val="0"/>
          <w:divBdr>
            <w:top w:val="none" w:sz="0" w:space="0" w:color="auto"/>
            <w:left w:val="none" w:sz="0" w:space="0" w:color="auto"/>
            <w:bottom w:val="none" w:sz="0" w:space="0" w:color="auto"/>
            <w:right w:val="none" w:sz="0" w:space="0" w:color="auto"/>
          </w:divBdr>
          <w:divsChild>
            <w:div w:id="540094171">
              <w:marLeft w:val="0"/>
              <w:marRight w:val="0"/>
              <w:marTop w:val="0"/>
              <w:marBottom w:val="0"/>
              <w:divBdr>
                <w:top w:val="none" w:sz="0" w:space="0" w:color="auto"/>
                <w:left w:val="none" w:sz="0" w:space="0" w:color="auto"/>
                <w:bottom w:val="none" w:sz="0" w:space="0" w:color="auto"/>
                <w:right w:val="none" w:sz="0" w:space="0" w:color="auto"/>
              </w:divBdr>
              <w:divsChild>
                <w:div w:id="1535339218">
                  <w:marLeft w:val="0"/>
                  <w:marRight w:val="0"/>
                  <w:marTop w:val="0"/>
                  <w:marBottom w:val="0"/>
                  <w:divBdr>
                    <w:top w:val="none" w:sz="0" w:space="0" w:color="auto"/>
                    <w:left w:val="none" w:sz="0" w:space="0" w:color="auto"/>
                    <w:bottom w:val="none" w:sz="0" w:space="0" w:color="auto"/>
                    <w:right w:val="none" w:sz="0" w:space="0" w:color="auto"/>
                  </w:divBdr>
                  <w:divsChild>
                    <w:div w:id="100317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51124">
      <w:bodyDiv w:val="1"/>
      <w:marLeft w:val="0"/>
      <w:marRight w:val="0"/>
      <w:marTop w:val="0"/>
      <w:marBottom w:val="0"/>
      <w:divBdr>
        <w:top w:val="none" w:sz="0" w:space="0" w:color="auto"/>
        <w:left w:val="none" w:sz="0" w:space="0" w:color="auto"/>
        <w:bottom w:val="none" w:sz="0" w:space="0" w:color="auto"/>
        <w:right w:val="none" w:sz="0" w:space="0" w:color="auto"/>
      </w:divBdr>
    </w:div>
    <w:div w:id="1284340489">
      <w:bodyDiv w:val="1"/>
      <w:marLeft w:val="0"/>
      <w:marRight w:val="0"/>
      <w:marTop w:val="0"/>
      <w:marBottom w:val="0"/>
      <w:divBdr>
        <w:top w:val="none" w:sz="0" w:space="0" w:color="auto"/>
        <w:left w:val="none" w:sz="0" w:space="0" w:color="auto"/>
        <w:bottom w:val="none" w:sz="0" w:space="0" w:color="auto"/>
        <w:right w:val="none" w:sz="0" w:space="0" w:color="auto"/>
      </w:divBdr>
    </w:div>
    <w:div w:id="1301036117">
      <w:bodyDiv w:val="1"/>
      <w:marLeft w:val="0"/>
      <w:marRight w:val="0"/>
      <w:marTop w:val="0"/>
      <w:marBottom w:val="0"/>
      <w:divBdr>
        <w:top w:val="none" w:sz="0" w:space="0" w:color="auto"/>
        <w:left w:val="none" w:sz="0" w:space="0" w:color="auto"/>
        <w:bottom w:val="none" w:sz="0" w:space="0" w:color="auto"/>
        <w:right w:val="none" w:sz="0" w:space="0" w:color="auto"/>
      </w:divBdr>
    </w:div>
    <w:div w:id="1325277346">
      <w:bodyDiv w:val="1"/>
      <w:marLeft w:val="0"/>
      <w:marRight w:val="0"/>
      <w:marTop w:val="0"/>
      <w:marBottom w:val="0"/>
      <w:divBdr>
        <w:top w:val="none" w:sz="0" w:space="0" w:color="auto"/>
        <w:left w:val="none" w:sz="0" w:space="0" w:color="auto"/>
        <w:bottom w:val="none" w:sz="0" w:space="0" w:color="auto"/>
        <w:right w:val="none" w:sz="0" w:space="0" w:color="auto"/>
      </w:divBdr>
    </w:div>
    <w:div w:id="1343126521">
      <w:bodyDiv w:val="1"/>
      <w:marLeft w:val="0"/>
      <w:marRight w:val="0"/>
      <w:marTop w:val="0"/>
      <w:marBottom w:val="0"/>
      <w:divBdr>
        <w:top w:val="none" w:sz="0" w:space="0" w:color="auto"/>
        <w:left w:val="none" w:sz="0" w:space="0" w:color="auto"/>
        <w:bottom w:val="none" w:sz="0" w:space="0" w:color="auto"/>
        <w:right w:val="none" w:sz="0" w:space="0" w:color="auto"/>
      </w:divBdr>
    </w:div>
    <w:div w:id="1347710165">
      <w:bodyDiv w:val="1"/>
      <w:marLeft w:val="0"/>
      <w:marRight w:val="0"/>
      <w:marTop w:val="0"/>
      <w:marBottom w:val="0"/>
      <w:divBdr>
        <w:top w:val="none" w:sz="0" w:space="0" w:color="auto"/>
        <w:left w:val="none" w:sz="0" w:space="0" w:color="auto"/>
        <w:bottom w:val="none" w:sz="0" w:space="0" w:color="auto"/>
        <w:right w:val="none" w:sz="0" w:space="0" w:color="auto"/>
      </w:divBdr>
    </w:div>
    <w:div w:id="1366713111">
      <w:bodyDiv w:val="1"/>
      <w:marLeft w:val="0"/>
      <w:marRight w:val="0"/>
      <w:marTop w:val="0"/>
      <w:marBottom w:val="0"/>
      <w:divBdr>
        <w:top w:val="none" w:sz="0" w:space="0" w:color="auto"/>
        <w:left w:val="none" w:sz="0" w:space="0" w:color="auto"/>
        <w:bottom w:val="none" w:sz="0" w:space="0" w:color="auto"/>
        <w:right w:val="none" w:sz="0" w:space="0" w:color="auto"/>
      </w:divBdr>
      <w:divsChild>
        <w:div w:id="491411891">
          <w:marLeft w:val="0"/>
          <w:marRight w:val="0"/>
          <w:marTop w:val="0"/>
          <w:marBottom w:val="0"/>
          <w:divBdr>
            <w:top w:val="none" w:sz="0" w:space="0" w:color="auto"/>
            <w:left w:val="none" w:sz="0" w:space="0" w:color="auto"/>
            <w:bottom w:val="none" w:sz="0" w:space="0" w:color="auto"/>
            <w:right w:val="none" w:sz="0" w:space="0" w:color="auto"/>
          </w:divBdr>
        </w:div>
      </w:divsChild>
    </w:div>
    <w:div w:id="1366903913">
      <w:bodyDiv w:val="1"/>
      <w:marLeft w:val="0"/>
      <w:marRight w:val="0"/>
      <w:marTop w:val="0"/>
      <w:marBottom w:val="0"/>
      <w:divBdr>
        <w:top w:val="none" w:sz="0" w:space="0" w:color="auto"/>
        <w:left w:val="none" w:sz="0" w:space="0" w:color="auto"/>
        <w:bottom w:val="none" w:sz="0" w:space="0" w:color="auto"/>
        <w:right w:val="none" w:sz="0" w:space="0" w:color="auto"/>
      </w:divBdr>
    </w:div>
    <w:div w:id="1387411436">
      <w:bodyDiv w:val="1"/>
      <w:marLeft w:val="0"/>
      <w:marRight w:val="0"/>
      <w:marTop w:val="0"/>
      <w:marBottom w:val="0"/>
      <w:divBdr>
        <w:top w:val="none" w:sz="0" w:space="0" w:color="auto"/>
        <w:left w:val="none" w:sz="0" w:space="0" w:color="auto"/>
        <w:bottom w:val="none" w:sz="0" w:space="0" w:color="auto"/>
        <w:right w:val="none" w:sz="0" w:space="0" w:color="auto"/>
      </w:divBdr>
      <w:divsChild>
        <w:div w:id="624236187">
          <w:marLeft w:val="0"/>
          <w:marRight w:val="0"/>
          <w:marTop w:val="0"/>
          <w:marBottom w:val="0"/>
          <w:divBdr>
            <w:top w:val="none" w:sz="0" w:space="0" w:color="auto"/>
            <w:left w:val="none" w:sz="0" w:space="0" w:color="auto"/>
            <w:bottom w:val="none" w:sz="0" w:space="0" w:color="auto"/>
            <w:right w:val="none" w:sz="0" w:space="0" w:color="auto"/>
          </w:divBdr>
        </w:div>
      </w:divsChild>
    </w:div>
    <w:div w:id="1389838578">
      <w:bodyDiv w:val="1"/>
      <w:marLeft w:val="0"/>
      <w:marRight w:val="0"/>
      <w:marTop w:val="0"/>
      <w:marBottom w:val="0"/>
      <w:divBdr>
        <w:top w:val="none" w:sz="0" w:space="0" w:color="auto"/>
        <w:left w:val="none" w:sz="0" w:space="0" w:color="auto"/>
        <w:bottom w:val="none" w:sz="0" w:space="0" w:color="auto"/>
        <w:right w:val="none" w:sz="0" w:space="0" w:color="auto"/>
      </w:divBdr>
    </w:div>
    <w:div w:id="1393385356">
      <w:bodyDiv w:val="1"/>
      <w:marLeft w:val="0"/>
      <w:marRight w:val="0"/>
      <w:marTop w:val="0"/>
      <w:marBottom w:val="0"/>
      <w:divBdr>
        <w:top w:val="none" w:sz="0" w:space="0" w:color="auto"/>
        <w:left w:val="none" w:sz="0" w:space="0" w:color="auto"/>
        <w:bottom w:val="none" w:sz="0" w:space="0" w:color="auto"/>
        <w:right w:val="none" w:sz="0" w:space="0" w:color="auto"/>
      </w:divBdr>
      <w:divsChild>
        <w:div w:id="916785295">
          <w:marLeft w:val="0"/>
          <w:marRight w:val="0"/>
          <w:marTop w:val="0"/>
          <w:marBottom w:val="0"/>
          <w:divBdr>
            <w:top w:val="none" w:sz="0" w:space="0" w:color="auto"/>
            <w:left w:val="none" w:sz="0" w:space="0" w:color="auto"/>
            <w:bottom w:val="none" w:sz="0" w:space="0" w:color="auto"/>
            <w:right w:val="none" w:sz="0" w:space="0" w:color="auto"/>
          </w:divBdr>
        </w:div>
      </w:divsChild>
    </w:div>
    <w:div w:id="1393575904">
      <w:bodyDiv w:val="1"/>
      <w:marLeft w:val="0"/>
      <w:marRight w:val="0"/>
      <w:marTop w:val="0"/>
      <w:marBottom w:val="0"/>
      <w:divBdr>
        <w:top w:val="none" w:sz="0" w:space="0" w:color="auto"/>
        <w:left w:val="none" w:sz="0" w:space="0" w:color="auto"/>
        <w:bottom w:val="none" w:sz="0" w:space="0" w:color="auto"/>
        <w:right w:val="none" w:sz="0" w:space="0" w:color="auto"/>
      </w:divBdr>
    </w:div>
    <w:div w:id="1409425488">
      <w:bodyDiv w:val="1"/>
      <w:marLeft w:val="0"/>
      <w:marRight w:val="0"/>
      <w:marTop w:val="0"/>
      <w:marBottom w:val="0"/>
      <w:divBdr>
        <w:top w:val="none" w:sz="0" w:space="0" w:color="auto"/>
        <w:left w:val="none" w:sz="0" w:space="0" w:color="auto"/>
        <w:bottom w:val="none" w:sz="0" w:space="0" w:color="auto"/>
        <w:right w:val="none" w:sz="0" w:space="0" w:color="auto"/>
      </w:divBdr>
    </w:div>
    <w:div w:id="1410081077">
      <w:bodyDiv w:val="1"/>
      <w:marLeft w:val="0"/>
      <w:marRight w:val="0"/>
      <w:marTop w:val="0"/>
      <w:marBottom w:val="0"/>
      <w:divBdr>
        <w:top w:val="none" w:sz="0" w:space="0" w:color="auto"/>
        <w:left w:val="none" w:sz="0" w:space="0" w:color="auto"/>
        <w:bottom w:val="none" w:sz="0" w:space="0" w:color="auto"/>
        <w:right w:val="none" w:sz="0" w:space="0" w:color="auto"/>
      </w:divBdr>
    </w:div>
    <w:div w:id="1411348825">
      <w:bodyDiv w:val="1"/>
      <w:marLeft w:val="0"/>
      <w:marRight w:val="0"/>
      <w:marTop w:val="0"/>
      <w:marBottom w:val="0"/>
      <w:divBdr>
        <w:top w:val="none" w:sz="0" w:space="0" w:color="auto"/>
        <w:left w:val="none" w:sz="0" w:space="0" w:color="auto"/>
        <w:bottom w:val="none" w:sz="0" w:space="0" w:color="auto"/>
        <w:right w:val="none" w:sz="0" w:space="0" w:color="auto"/>
      </w:divBdr>
    </w:div>
    <w:div w:id="1411737485">
      <w:bodyDiv w:val="1"/>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87778249">
              <w:marLeft w:val="0"/>
              <w:marRight w:val="0"/>
              <w:marTop w:val="0"/>
              <w:marBottom w:val="0"/>
              <w:divBdr>
                <w:top w:val="none" w:sz="0" w:space="0" w:color="auto"/>
                <w:left w:val="none" w:sz="0" w:space="0" w:color="auto"/>
                <w:bottom w:val="none" w:sz="0" w:space="0" w:color="auto"/>
                <w:right w:val="none" w:sz="0" w:space="0" w:color="auto"/>
              </w:divBdr>
              <w:divsChild>
                <w:div w:id="421997287">
                  <w:marLeft w:val="0"/>
                  <w:marRight w:val="0"/>
                  <w:marTop w:val="0"/>
                  <w:marBottom w:val="0"/>
                  <w:divBdr>
                    <w:top w:val="none" w:sz="0" w:space="0" w:color="auto"/>
                    <w:left w:val="none" w:sz="0" w:space="0" w:color="auto"/>
                    <w:bottom w:val="none" w:sz="0" w:space="0" w:color="auto"/>
                    <w:right w:val="none" w:sz="0" w:space="0" w:color="auto"/>
                  </w:divBdr>
                  <w:divsChild>
                    <w:div w:id="9130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5415">
      <w:bodyDiv w:val="1"/>
      <w:marLeft w:val="0"/>
      <w:marRight w:val="0"/>
      <w:marTop w:val="0"/>
      <w:marBottom w:val="0"/>
      <w:divBdr>
        <w:top w:val="none" w:sz="0" w:space="0" w:color="auto"/>
        <w:left w:val="none" w:sz="0" w:space="0" w:color="auto"/>
        <w:bottom w:val="none" w:sz="0" w:space="0" w:color="auto"/>
        <w:right w:val="none" w:sz="0" w:space="0" w:color="auto"/>
      </w:divBdr>
      <w:divsChild>
        <w:div w:id="1635217328">
          <w:marLeft w:val="0"/>
          <w:marRight w:val="0"/>
          <w:marTop w:val="0"/>
          <w:marBottom w:val="0"/>
          <w:divBdr>
            <w:top w:val="none" w:sz="0" w:space="0" w:color="auto"/>
            <w:left w:val="none" w:sz="0" w:space="0" w:color="auto"/>
            <w:bottom w:val="none" w:sz="0" w:space="0" w:color="auto"/>
            <w:right w:val="none" w:sz="0" w:space="0" w:color="auto"/>
          </w:divBdr>
        </w:div>
      </w:divsChild>
    </w:div>
    <w:div w:id="1428964310">
      <w:bodyDiv w:val="1"/>
      <w:marLeft w:val="0"/>
      <w:marRight w:val="0"/>
      <w:marTop w:val="0"/>
      <w:marBottom w:val="0"/>
      <w:divBdr>
        <w:top w:val="none" w:sz="0" w:space="0" w:color="auto"/>
        <w:left w:val="none" w:sz="0" w:space="0" w:color="auto"/>
        <w:bottom w:val="none" w:sz="0" w:space="0" w:color="auto"/>
        <w:right w:val="none" w:sz="0" w:space="0" w:color="auto"/>
      </w:divBdr>
    </w:div>
    <w:div w:id="1438981057">
      <w:bodyDiv w:val="1"/>
      <w:marLeft w:val="0"/>
      <w:marRight w:val="0"/>
      <w:marTop w:val="0"/>
      <w:marBottom w:val="0"/>
      <w:divBdr>
        <w:top w:val="none" w:sz="0" w:space="0" w:color="auto"/>
        <w:left w:val="none" w:sz="0" w:space="0" w:color="auto"/>
        <w:bottom w:val="none" w:sz="0" w:space="0" w:color="auto"/>
        <w:right w:val="none" w:sz="0" w:space="0" w:color="auto"/>
      </w:divBdr>
    </w:div>
    <w:div w:id="1452282901">
      <w:bodyDiv w:val="1"/>
      <w:marLeft w:val="0"/>
      <w:marRight w:val="0"/>
      <w:marTop w:val="0"/>
      <w:marBottom w:val="0"/>
      <w:divBdr>
        <w:top w:val="none" w:sz="0" w:space="0" w:color="auto"/>
        <w:left w:val="none" w:sz="0" w:space="0" w:color="auto"/>
        <w:bottom w:val="none" w:sz="0" w:space="0" w:color="auto"/>
        <w:right w:val="none" w:sz="0" w:space="0" w:color="auto"/>
      </w:divBdr>
    </w:div>
    <w:div w:id="1452935002">
      <w:bodyDiv w:val="1"/>
      <w:marLeft w:val="0"/>
      <w:marRight w:val="0"/>
      <w:marTop w:val="0"/>
      <w:marBottom w:val="0"/>
      <w:divBdr>
        <w:top w:val="none" w:sz="0" w:space="0" w:color="auto"/>
        <w:left w:val="none" w:sz="0" w:space="0" w:color="auto"/>
        <w:bottom w:val="none" w:sz="0" w:space="0" w:color="auto"/>
        <w:right w:val="none" w:sz="0" w:space="0" w:color="auto"/>
      </w:divBdr>
      <w:divsChild>
        <w:div w:id="372578371">
          <w:marLeft w:val="0"/>
          <w:marRight w:val="0"/>
          <w:marTop w:val="0"/>
          <w:marBottom w:val="0"/>
          <w:divBdr>
            <w:top w:val="none" w:sz="0" w:space="0" w:color="auto"/>
            <w:left w:val="none" w:sz="0" w:space="0" w:color="auto"/>
            <w:bottom w:val="none" w:sz="0" w:space="0" w:color="auto"/>
            <w:right w:val="none" w:sz="0" w:space="0" w:color="auto"/>
          </w:divBdr>
        </w:div>
      </w:divsChild>
    </w:div>
    <w:div w:id="1458986791">
      <w:bodyDiv w:val="1"/>
      <w:marLeft w:val="0"/>
      <w:marRight w:val="0"/>
      <w:marTop w:val="0"/>
      <w:marBottom w:val="0"/>
      <w:divBdr>
        <w:top w:val="none" w:sz="0" w:space="0" w:color="auto"/>
        <w:left w:val="none" w:sz="0" w:space="0" w:color="auto"/>
        <w:bottom w:val="none" w:sz="0" w:space="0" w:color="auto"/>
        <w:right w:val="none" w:sz="0" w:space="0" w:color="auto"/>
      </w:divBdr>
      <w:divsChild>
        <w:div w:id="567152510">
          <w:marLeft w:val="0"/>
          <w:marRight w:val="0"/>
          <w:marTop w:val="0"/>
          <w:marBottom w:val="0"/>
          <w:divBdr>
            <w:top w:val="none" w:sz="0" w:space="0" w:color="auto"/>
            <w:left w:val="none" w:sz="0" w:space="0" w:color="auto"/>
            <w:bottom w:val="none" w:sz="0" w:space="0" w:color="auto"/>
            <w:right w:val="none" w:sz="0" w:space="0" w:color="auto"/>
          </w:divBdr>
          <w:divsChild>
            <w:div w:id="1512646403">
              <w:marLeft w:val="0"/>
              <w:marRight w:val="0"/>
              <w:marTop w:val="0"/>
              <w:marBottom w:val="0"/>
              <w:divBdr>
                <w:top w:val="none" w:sz="0" w:space="0" w:color="auto"/>
                <w:left w:val="none" w:sz="0" w:space="0" w:color="auto"/>
                <w:bottom w:val="none" w:sz="0" w:space="0" w:color="auto"/>
                <w:right w:val="none" w:sz="0" w:space="0" w:color="auto"/>
              </w:divBdr>
              <w:divsChild>
                <w:div w:id="813108154">
                  <w:marLeft w:val="0"/>
                  <w:marRight w:val="0"/>
                  <w:marTop w:val="0"/>
                  <w:marBottom w:val="0"/>
                  <w:divBdr>
                    <w:top w:val="none" w:sz="0" w:space="0" w:color="auto"/>
                    <w:left w:val="none" w:sz="0" w:space="0" w:color="auto"/>
                    <w:bottom w:val="none" w:sz="0" w:space="0" w:color="auto"/>
                    <w:right w:val="none" w:sz="0" w:space="0" w:color="auto"/>
                  </w:divBdr>
                  <w:divsChild>
                    <w:div w:id="6371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692042">
      <w:bodyDiv w:val="1"/>
      <w:marLeft w:val="0"/>
      <w:marRight w:val="0"/>
      <w:marTop w:val="0"/>
      <w:marBottom w:val="0"/>
      <w:divBdr>
        <w:top w:val="none" w:sz="0" w:space="0" w:color="auto"/>
        <w:left w:val="none" w:sz="0" w:space="0" w:color="auto"/>
        <w:bottom w:val="none" w:sz="0" w:space="0" w:color="auto"/>
        <w:right w:val="none" w:sz="0" w:space="0" w:color="auto"/>
      </w:divBdr>
      <w:divsChild>
        <w:div w:id="1518539149">
          <w:marLeft w:val="0"/>
          <w:marRight w:val="0"/>
          <w:marTop w:val="0"/>
          <w:marBottom w:val="0"/>
          <w:divBdr>
            <w:top w:val="none" w:sz="0" w:space="0" w:color="auto"/>
            <w:left w:val="none" w:sz="0" w:space="0" w:color="auto"/>
            <w:bottom w:val="none" w:sz="0" w:space="0" w:color="auto"/>
            <w:right w:val="none" w:sz="0" w:space="0" w:color="auto"/>
          </w:divBdr>
        </w:div>
      </w:divsChild>
    </w:div>
    <w:div w:id="1483348093">
      <w:bodyDiv w:val="1"/>
      <w:marLeft w:val="0"/>
      <w:marRight w:val="0"/>
      <w:marTop w:val="0"/>
      <w:marBottom w:val="0"/>
      <w:divBdr>
        <w:top w:val="none" w:sz="0" w:space="0" w:color="auto"/>
        <w:left w:val="none" w:sz="0" w:space="0" w:color="auto"/>
        <w:bottom w:val="none" w:sz="0" w:space="0" w:color="auto"/>
        <w:right w:val="none" w:sz="0" w:space="0" w:color="auto"/>
      </w:divBdr>
    </w:div>
    <w:div w:id="1485004528">
      <w:bodyDiv w:val="1"/>
      <w:marLeft w:val="0"/>
      <w:marRight w:val="0"/>
      <w:marTop w:val="0"/>
      <w:marBottom w:val="0"/>
      <w:divBdr>
        <w:top w:val="none" w:sz="0" w:space="0" w:color="auto"/>
        <w:left w:val="none" w:sz="0" w:space="0" w:color="auto"/>
        <w:bottom w:val="none" w:sz="0" w:space="0" w:color="auto"/>
        <w:right w:val="none" w:sz="0" w:space="0" w:color="auto"/>
      </w:divBdr>
      <w:divsChild>
        <w:div w:id="1903716982">
          <w:marLeft w:val="0"/>
          <w:marRight w:val="0"/>
          <w:marTop w:val="0"/>
          <w:marBottom w:val="0"/>
          <w:divBdr>
            <w:top w:val="none" w:sz="0" w:space="0" w:color="auto"/>
            <w:left w:val="none" w:sz="0" w:space="0" w:color="auto"/>
            <w:bottom w:val="none" w:sz="0" w:space="0" w:color="auto"/>
            <w:right w:val="none" w:sz="0" w:space="0" w:color="auto"/>
          </w:divBdr>
          <w:divsChild>
            <w:div w:id="2038965250">
              <w:marLeft w:val="0"/>
              <w:marRight w:val="0"/>
              <w:marTop w:val="0"/>
              <w:marBottom w:val="0"/>
              <w:divBdr>
                <w:top w:val="none" w:sz="0" w:space="0" w:color="auto"/>
                <w:left w:val="none" w:sz="0" w:space="0" w:color="auto"/>
                <w:bottom w:val="none" w:sz="0" w:space="0" w:color="auto"/>
                <w:right w:val="none" w:sz="0" w:space="0" w:color="auto"/>
              </w:divBdr>
              <w:divsChild>
                <w:div w:id="18370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57612">
      <w:bodyDiv w:val="1"/>
      <w:marLeft w:val="0"/>
      <w:marRight w:val="0"/>
      <w:marTop w:val="0"/>
      <w:marBottom w:val="0"/>
      <w:divBdr>
        <w:top w:val="none" w:sz="0" w:space="0" w:color="auto"/>
        <w:left w:val="none" w:sz="0" w:space="0" w:color="auto"/>
        <w:bottom w:val="none" w:sz="0" w:space="0" w:color="auto"/>
        <w:right w:val="none" w:sz="0" w:space="0" w:color="auto"/>
      </w:divBdr>
      <w:divsChild>
        <w:div w:id="759641163">
          <w:marLeft w:val="0"/>
          <w:marRight w:val="0"/>
          <w:marTop w:val="0"/>
          <w:marBottom w:val="0"/>
          <w:divBdr>
            <w:top w:val="none" w:sz="0" w:space="0" w:color="auto"/>
            <w:left w:val="none" w:sz="0" w:space="0" w:color="auto"/>
            <w:bottom w:val="none" w:sz="0" w:space="0" w:color="auto"/>
            <w:right w:val="none" w:sz="0" w:space="0" w:color="auto"/>
          </w:divBdr>
        </w:div>
        <w:div w:id="679702024">
          <w:marLeft w:val="0"/>
          <w:marRight w:val="0"/>
          <w:marTop w:val="0"/>
          <w:marBottom w:val="0"/>
          <w:divBdr>
            <w:top w:val="none" w:sz="0" w:space="0" w:color="auto"/>
            <w:left w:val="none" w:sz="0" w:space="0" w:color="auto"/>
            <w:bottom w:val="none" w:sz="0" w:space="0" w:color="auto"/>
            <w:right w:val="none" w:sz="0" w:space="0" w:color="auto"/>
          </w:divBdr>
        </w:div>
      </w:divsChild>
    </w:div>
    <w:div w:id="1500731755">
      <w:bodyDiv w:val="1"/>
      <w:marLeft w:val="0"/>
      <w:marRight w:val="0"/>
      <w:marTop w:val="0"/>
      <w:marBottom w:val="0"/>
      <w:divBdr>
        <w:top w:val="none" w:sz="0" w:space="0" w:color="auto"/>
        <w:left w:val="none" w:sz="0" w:space="0" w:color="auto"/>
        <w:bottom w:val="none" w:sz="0" w:space="0" w:color="auto"/>
        <w:right w:val="none" w:sz="0" w:space="0" w:color="auto"/>
      </w:divBdr>
      <w:divsChild>
        <w:div w:id="2064215405">
          <w:marLeft w:val="0"/>
          <w:marRight w:val="0"/>
          <w:marTop w:val="0"/>
          <w:marBottom w:val="0"/>
          <w:divBdr>
            <w:top w:val="none" w:sz="0" w:space="0" w:color="auto"/>
            <w:left w:val="none" w:sz="0" w:space="0" w:color="auto"/>
            <w:bottom w:val="none" w:sz="0" w:space="0" w:color="auto"/>
            <w:right w:val="none" w:sz="0" w:space="0" w:color="auto"/>
          </w:divBdr>
        </w:div>
        <w:div w:id="699235786">
          <w:marLeft w:val="0"/>
          <w:marRight w:val="0"/>
          <w:marTop w:val="0"/>
          <w:marBottom w:val="0"/>
          <w:divBdr>
            <w:top w:val="none" w:sz="0" w:space="0" w:color="auto"/>
            <w:left w:val="none" w:sz="0" w:space="0" w:color="auto"/>
            <w:bottom w:val="none" w:sz="0" w:space="0" w:color="auto"/>
            <w:right w:val="none" w:sz="0" w:space="0" w:color="auto"/>
          </w:divBdr>
        </w:div>
      </w:divsChild>
    </w:div>
    <w:div w:id="1502041833">
      <w:bodyDiv w:val="1"/>
      <w:marLeft w:val="0"/>
      <w:marRight w:val="0"/>
      <w:marTop w:val="0"/>
      <w:marBottom w:val="0"/>
      <w:divBdr>
        <w:top w:val="none" w:sz="0" w:space="0" w:color="auto"/>
        <w:left w:val="none" w:sz="0" w:space="0" w:color="auto"/>
        <w:bottom w:val="none" w:sz="0" w:space="0" w:color="auto"/>
        <w:right w:val="none" w:sz="0" w:space="0" w:color="auto"/>
      </w:divBdr>
    </w:div>
    <w:div w:id="1516263229">
      <w:bodyDiv w:val="1"/>
      <w:marLeft w:val="0"/>
      <w:marRight w:val="0"/>
      <w:marTop w:val="0"/>
      <w:marBottom w:val="0"/>
      <w:divBdr>
        <w:top w:val="none" w:sz="0" w:space="0" w:color="auto"/>
        <w:left w:val="none" w:sz="0" w:space="0" w:color="auto"/>
        <w:bottom w:val="none" w:sz="0" w:space="0" w:color="auto"/>
        <w:right w:val="none" w:sz="0" w:space="0" w:color="auto"/>
      </w:divBdr>
      <w:divsChild>
        <w:div w:id="675184488">
          <w:marLeft w:val="0"/>
          <w:marRight w:val="0"/>
          <w:marTop w:val="0"/>
          <w:marBottom w:val="0"/>
          <w:divBdr>
            <w:top w:val="none" w:sz="0" w:space="0" w:color="auto"/>
            <w:left w:val="none" w:sz="0" w:space="0" w:color="auto"/>
            <w:bottom w:val="none" w:sz="0" w:space="0" w:color="auto"/>
            <w:right w:val="none" w:sz="0" w:space="0" w:color="auto"/>
          </w:divBdr>
          <w:divsChild>
            <w:div w:id="1859927812">
              <w:marLeft w:val="0"/>
              <w:marRight w:val="0"/>
              <w:marTop w:val="0"/>
              <w:marBottom w:val="0"/>
              <w:divBdr>
                <w:top w:val="none" w:sz="0" w:space="0" w:color="auto"/>
                <w:left w:val="none" w:sz="0" w:space="0" w:color="auto"/>
                <w:bottom w:val="none" w:sz="0" w:space="0" w:color="auto"/>
                <w:right w:val="none" w:sz="0" w:space="0" w:color="auto"/>
              </w:divBdr>
              <w:divsChild>
                <w:div w:id="2769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94264">
      <w:bodyDiv w:val="1"/>
      <w:marLeft w:val="0"/>
      <w:marRight w:val="0"/>
      <w:marTop w:val="0"/>
      <w:marBottom w:val="0"/>
      <w:divBdr>
        <w:top w:val="none" w:sz="0" w:space="0" w:color="auto"/>
        <w:left w:val="none" w:sz="0" w:space="0" w:color="auto"/>
        <w:bottom w:val="none" w:sz="0" w:space="0" w:color="auto"/>
        <w:right w:val="none" w:sz="0" w:space="0" w:color="auto"/>
      </w:divBdr>
      <w:divsChild>
        <w:div w:id="1596011302">
          <w:marLeft w:val="0"/>
          <w:marRight w:val="0"/>
          <w:marTop w:val="0"/>
          <w:marBottom w:val="0"/>
          <w:divBdr>
            <w:top w:val="none" w:sz="0" w:space="0" w:color="auto"/>
            <w:left w:val="none" w:sz="0" w:space="0" w:color="auto"/>
            <w:bottom w:val="none" w:sz="0" w:space="0" w:color="auto"/>
            <w:right w:val="none" w:sz="0" w:space="0" w:color="auto"/>
          </w:divBdr>
        </w:div>
      </w:divsChild>
    </w:div>
    <w:div w:id="1528323773">
      <w:bodyDiv w:val="1"/>
      <w:marLeft w:val="0"/>
      <w:marRight w:val="0"/>
      <w:marTop w:val="0"/>
      <w:marBottom w:val="0"/>
      <w:divBdr>
        <w:top w:val="none" w:sz="0" w:space="0" w:color="auto"/>
        <w:left w:val="none" w:sz="0" w:space="0" w:color="auto"/>
        <w:bottom w:val="none" w:sz="0" w:space="0" w:color="auto"/>
        <w:right w:val="none" w:sz="0" w:space="0" w:color="auto"/>
      </w:divBdr>
    </w:div>
    <w:div w:id="1540242307">
      <w:bodyDiv w:val="1"/>
      <w:marLeft w:val="0"/>
      <w:marRight w:val="0"/>
      <w:marTop w:val="0"/>
      <w:marBottom w:val="0"/>
      <w:divBdr>
        <w:top w:val="none" w:sz="0" w:space="0" w:color="auto"/>
        <w:left w:val="none" w:sz="0" w:space="0" w:color="auto"/>
        <w:bottom w:val="none" w:sz="0" w:space="0" w:color="auto"/>
        <w:right w:val="none" w:sz="0" w:space="0" w:color="auto"/>
      </w:divBdr>
    </w:div>
    <w:div w:id="1541238577">
      <w:bodyDiv w:val="1"/>
      <w:marLeft w:val="0"/>
      <w:marRight w:val="0"/>
      <w:marTop w:val="0"/>
      <w:marBottom w:val="0"/>
      <w:divBdr>
        <w:top w:val="none" w:sz="0" w:space="0" w:color="auto"/>
        <w:left w:val="none" w:sz="0" w:space="0" w:color="auto"/>
        <w:bottom w:val="none" w:sz="0" w:space="0" w:color="auto"/>
        <w:right w:val="none" w:sz="0" w:space="0" w:color="auto"/>
      </w:divBdr>
      <w:divsChild>
        <w:div w:id="701780713">
          <w:marLeft w:val="0"/>
          <w:marRight w:val="0"/>
          <w:marTop w:val="0"/>
          <w:marBottom w:val="0"/>
          <w:divBdr>
            <w:top w:val="none" w:sz="0" w:space="0" w:color="auto"/>
            <w:left w:val="none" w:sz="0" w:space="0" w:color="auto"/>
            <w:bottom w:val="none" w:sz="0" w:space="0" w:color="auto"/>
            <w:right w:val="none" w:sz="0" w:space="0" w:color="auto"/>
          </w:divBdr>
        </w:div>
      </w:divsChild>
    </w:div>
    <w:div w:id="1542979759">
      <w:bodyDiv w:val="1"/>
      <w:marLeft w:val="0"/>
      <w:marRight w:val="0"/>
      <w:marTop w:val="0"/>
      <w:marBottom w:val="0"/>
      <w:divBdr>
        <w:top w:val="none" w:sz="0" w:space="0" w:color="auto"/>
        <w:left w:val="none" w:sz="0" w:space="0" w:color="auto"/>
        <w:bottom w:val="none" w:sz="0" w:space="0" w:color="auto"/>
        <w:right w:val="none" w:sz="0" w:space="0" w:color="auto"/>
      </w:divBdr>
    </w:div>
    <w:div w:id="1556307512">
      <w:bodyDiv w:val="1"/>
      <w:marLeft w:val="0"/>
      <w:marRight w:val="0"/>
      <w:marTop w:val="0"/>
      <w:marBottom w:val="0"/>
      <w:divBdr>
        <w:top w:val="none" w:sz="0" w:space="0" w:color="auto"/>
        <w:left w:val="none" w:sz="0" w:space="0" w:color="auto"/>
        <w:bottom w:val="none" w:sz="0" w:space="0" w:color="auto"/>
        <w:right w:val="none" w:sz="0" w:space="0" w:color="auto"/>
      </w:divBdr>
      <w:divsChild>
        <w:div w:id="528765295">
          <w:marLeft w:val="0"/>
          <w:marRight w:val="0"/>
          <w:marTop w:val="0"/>
          <w:marBottom w:val="0"/>
          <w:divBdr>
            <w:top w:val="none" w:sz="0" w:space="0" w:color="auto"/>
            <w:left w:val="none" w:sz="0" w:space="0" w:color="auto"/>
            <w:bottom w:val="none" w:sz="0" w:space="0" w:color="auto"/>
            <w:right w:val="none" w:sz="0" w:space="0" w:color="auto"/>
          </w:divBdr>
        </w:div>
        <w:div w:id="920212325">
          <w:marLeft w:val="0"/>
          <w:marRight w:val="0"/>
          <w:marTop w:val="0"/>
          <w:marBottom w:val="0"/>
          <w:divBdr>
            <w:top w:val="none" w:sz="0" w:space="0" w:color="auto"/>
            <w:left w:val="none" w:sz="0" w:space="0" w:color="auto"/>
            <w:bottom w:val="none" w:sz="0" w:space="0" w:color="auto"/>
            <w:right w:val="none" w:sz="0" w:space="0" w:color="auto"/>
          </w:divBdr>
        </w:div>
      </w:divsChild>
    </w:div>
    <w:div w:id="1573194141">
      <w:bodyDiv w:val="1"/>
      <w:marLeft w:val="0"/>
      <w:marRight w:val="0"/>
      <w:marTop w:val="0"/>
      <w:marBottom w:val="0"/>
      <w:divBdr>
        <w:top w:val="none" w:sz="0" w:space="0" w:color="auto"/>
        <w:left w:val="none" w:sz="0" w:space="0" w:color="auto"/>
        <w:bottom w:val="none" w:sz="0" w:space="0" w:color="auto"/>
        <w:right w:val="none" w:sz="0" w:space="0" w:color="auto"/>
      </w:divBdr>
    </w:div>
    <w:div w:id="1573544052">
      <w:bodyDiv w:val="1"/>
      <w:marLeft w:val="0"/>
      <w:marRight w:val="0"/>
      <w:marTop w:val="0"/>
      <w:marBottom w:val="0"/>
      <w:divBdr>
        <w:top w:val="none" w:sz="0" w:space="0" w:color="auto"/>
        <w:left w:val="none" w:sz="0" w:space="0" w:color="auto"/>
        <w:bottom w:val="none" w:sz="0" w:space="0" w:color="auto"/>
        <w:right w:val="none" w:sz="0" w:space="0" w:color="auto"/>
      </w:divBdr>
    </w:div>
    <w:div w:id="1581594237">
      <w:bodyDiv w:val="1"/>
      <w:marLeft w:val="0"/>
      <w:marRight w:val="0"/>
      <w:marTop w:val="0"/>
      <w:marBottom w:val="0"/>
      <w:divBdr>
        <w:top w:val="none" w:sz="0" w:space="0" w:color="auto"/>
        <w:left w:val="none" w:sz="0" w:space="0" w:color="auto"/>
        <w:bottom w:val="none" w:sz="0" w:space="0" w:color="auto"/>
        <w:right w:val="none" w:sz="0" w:space="0" w:color="auto"/>
      </w:divBdr>
    </w:div>
    <w:div w:id="1589194070">
      <w:bodyDiv w:val="1"/>
      <w:marLeft w:val="0"/>
      <w:marRight w:val="0"/>
      <w:marTop w:val="0"/>
      <w:marBottom w:val="0"/>
      <w:divBdr>
        <w:top w:val="none" w:sz="0" w:space="0" w:color="auto"/>
        <w:left w:val="none" w:sz="0" w:space="0" w:color="auto"/>
        <w:bottom w:val="none" w:sz="0" w:space="0" w:color="auto"/>
        <w:right w:val="none" w:sz="0" w:space="0" w:color="auto"/>
      </w:divBdr>
    </w:div>
    <w:div w:id="1600261063">
      <w:bodyDiv w:val="1"/>
      <w:marLeft w:val="0"/>
      <w:marRight w:val="0"/>
      <w:marTop w:val="0"/>
      <w:marBottom w:val="0"/>
      <w:divBdr>
        <w:top w:val="none" w:sz="0" w:space="0" w:color="auto"/>
        <w:left w:val="none" w:sz="0" w:space="0" w:color="auto"/>
        <w:bottom w:val="none" w:sz="0" w:space="0" w:color="auto"/>
        <w:right w:val="none" w:sz="0" w:space="0" w:color="auto"/>
      </w:divBdr>
    </w:div>
    <w:div w:id="1608150827">
      <w:bodyDiv w:val="1"/>
      <w:marLeft w:val="0"/>
      <w:marRight w:val="0"/>
      <w:marTop w:val="0"/>
      <w:marBottom w:val="0"/>
      <w:divBdr>
        <w:top w:val="none" w:sz="0" w:space="0" w:color="auto"/>
        <w:left w:val="none" w:sz="0" w:space="0" w:color="auto"/>
        <w:bottom w:val="none" w:sz="0" w:space="0" w:color="auto"/>
        <w:right w:val="none" w:sz="0" w:space="0" w:color="auto"/>
      </w:divBdr>
    </w:div>
    <w:div w:id="1618953598">
      <w:bodyDiv w:val="1"/>
      <w:marLeft w:val="0"/>
      <w:marRight w:val="0"/>
      <w:marTop w:val="0"/>
      <w:marBottom w:val="0"/>
      <w:divBdr>
        <w:top w:val="none" w:sz="0" w:space="0" w:color="auto"/>
        <w:left w:val="none" w:sz="0" w:space="0" w:color="auto"/>
        <w:bottom w:val="none" w:sz="0" w:space="0" w:color="auto"/>
        <w:right w:val="none" w:sz="0" w:space="0" w:color="auto"/>
      </w:divBdr>
      <w:divsChild>
        <w:div w:id="1482036629">
          <w:marLeft w:val="0"/>
          <w:marRight w:val="0"/>
          <w:marTop w:val="0"/>
          <w:marBottom w:val="0"/>
          <w:divBdr>
            <w:top w:val="none" w:sz="0" w:space="0" w:color="auto"/>
            <w:left w:val="none" w:sz="0" w:space="0" w:color="auto"/>
            <w:bottom w:val="none" w:sz="0" w:space="0" w:color="auto"/>
            <w:right w:val="none" w:sz="0" w:space="0" w:color="auto"/>
          </w:divBdr>
        </w:div>
        <w:div w:id="241836233">
          <w:marLeft w:val="0"/>
          <w:marRight w:val="0"/>
          <w:marTop w:val="0"/>
          <w:marBottom w:val="0"/>
          <w:divBdr>
            <w:top w:val="none" w:sz="0" w:space="0" w:color="auto"/>
            <w:left w:val="none" w:sz="0" w:space="0" w:color="auto"/>
            <w:bottom w:val="none" w:sz="0" w:space="0" w:color="auto"/>
            <w:right w:val="none" w:sz="0" w:space="0" w:color="auto"/>
          </w:divBdr>
        </w:div>
      </w:divsChild>
    </w:div>
    <w:div w:id="1629623582">
      <w:bodyDiv w:val="1"/>
      <w:marLeft w:val="0"/>
      <w:marRight w:val="0"/>
      <w:marTop w:val="0"/>
      <w:marBottom w:val="0"/>
      <w:divBdr>
        <w:top w:val="none" w:sz="0" w:space="0" w:color="auto"/>
        <w:left w:val="none" w:sz="0" w:space="0" w:color="auto"/>
        <w:bottom w:val="none" w:sz="0" w:space="0" w:color="auto"/>
        <w:right w:val="none" w:sz="0" w:space="0" w:color="auto"/>
      </w:divBdr>
    </w:div>
    <w:div w:id="1663658610">
      <w:bodyDiv w:val="1"/>
      <w:marLeft w:val="0"/>
      <w:marRight w:val="0"/>
      <w:marTop w:val="0"/>
      <w:marBottom w:val="0"/>
      <w:divBdr>
        <w:top w:val="none" w:sz="0" w:space="0" w:color="auto"/>
        <w:left w:val="none" w:sz="0" w:space="0" w:color="auto"/>
        <w:bottom w:val="none" w:sz="0" w:space="0" w:color="auto"/>
        <w:right w:val="none" w:sz="0" w:space="0" w:color="auto"/>
      </w:divBdr>
      <w:divsChild>
        <w:div w:id="1558933354">
          <w:marLeft w:val="0"/>
          <w:marRight w:val="0"/>
          <w:marTop w:val="0"/>
          <w:marBottom w:val="0"/>
          <w:divBdr>
            <w:top w:val="none" w:sz="0" w:space="0" w:color="auto"/>
            <w:left w:val="none" w:sz="0" w:space="0" w:color="auto"/>
            <w:bottom w:val="none" w:sz="0" w:space="0" w:color="auto"/>
            <w:right w:val="none" w:sz="0" w:space="0" w:color="auto"/>
          </w:divBdr>
        </w:div>
      </w:divsChild>
    </w:div>
    <w:div w:id="1671063400">
      <w:bodyDiv w:val="1"/>
      <w:marLeft w:val="0"/>
      <w:marRight w:val="0"/>
      <w:marTop w:val="0"/>
      <w:marBottom w:val="0"/>
      <w:divBdr>
        <w:top w:val="none" w:sz="0" w:space="0" w:color="auto"/>
        <w:left w:val="none" w:sz="0" w:space="0" w:color="auto"/>
        <w:bottom w:val="none" w:sz="0" w:space="0" w:color="auto"/>
        <w:right w:val="none" w:sz="0" w:space="0" w:color="auto"/>
      </w:divBdr>
    </w:div>
    <w:div w:id="1674183784">
      <w:bodyDiv w:val="1"/>
      <w:marLeft w:val="0"/>
      <w:marRight w:val="0"/>
      <w:marTop w:val="0"/>
      <w:marBottom w:val="0"/>
      <w:divBdr>
        <w:top w:val="none" w:sz="0" w:space="0" w:color="auto"/>
        <w:left w:val="none" w:sz="0" w:space="0" w:color="auto"/>
        <w:bottom w:val="none" w:sz="0" w:space="0" w:color="auto"/>
        <w:right w:val="none" w:sz="0" w:space="0" w:color="auto"/>
      </w:divBdr>
      <w:divsChild>
        <w:div w:id="61146759">
          <w:marLeft w:val="0"/>
          <w:marRight w:val="0"/>
          <w:marTop w:val="0"/>
          <w:marBottom w:val="0"/>
          <w:divBdr>
            <w:top w:val="none" w:sz="0" w:space="0" w:color="auto"/>
            <w:left w:val="none" w:sz="0" w:space="0" w:color="auto"/>
            <w:bottom w:val="none" w:sz="0" w:space="0" w:color="auto"/>
            <w:right w:val="none" w:sz="0" w:space="0" w:color="auto"/>
          </w:divBdr>
        </w:div>
        <w:div w:id="1762020695">
          <w:marLeft w:val="0"/>
          <w:marRight w:val="0"/>
          <w:marTop w:val="0"/>
          <w:marBottom w:val="0"/>
          <w:divBdr>
            <w:top w:val="none" w:sz="0" w:space="0" w:color="auto"/>
            <w:left w:val="none" w:sz="0" w:space="0" w:color="auto"/>
            <w:bottom w:val="none" w:sz="0" w:space="0" w:color="auto"/>
            <w:right w:val="none" w:sz="0" w:space="0" w:color="auto"/>
          </w:divBdr>
        </w:div>
        <w:div w:id="498080232">
          <w:marLeft w:val="0"/>
          <w:marRight w:val="0"/>
          <w:marTop w:val="0"/>
          <w:marBottom w:val="0"/>
          <w:divBdr>
            <w:top w:val="none" w:sz="0" w:space="0" w:color="auto"/>
            <w:left w:val="none" w:sz="0" w:space="0" w:color="auto"/>
            <w:bottom w:val="none" w:sz="0" w:space="0" w:color="auto"/>
            <w:right w:val="none" w:sz="0" w:space="0" w:color="auto"/>
          </w:divBdr>
        </w:div>
      </w:divsChild>
    </w:div>
    <w:div w:id="1674532635">
      <w:bodyDiv w:val="1"/>
      <w:marLeft w:val="0"/>
      <w:marRight w:val="0"/>
      <w:marTop w:val="0"/>
      <w:marBottom w:val="0"/>
      <w:divBdr>
        <w:top w:val="none" w:sz="0" w:space="0" w:color="auto"/>
        <w:left w:val="none" w:sz="0" w:space="0" w:color="auto"/>
        <w:bottom w:val="none" w:sz="0" w:space="0" w:color="auto"/>
        <w:right w:val="none" w:sz="0" w:space="0" w:color="auto"/>
      </w:divBdr>
    </w:div>
    <w:div w:id="1682315920">
      <w:bodyDiv w:val="1"/>
      <w:marLeft w:val="0"/>
      <w:marRight w:val="0"/>
      <w:marTop w:val="0"/>
      <w:marBottom w:val="0"/>
      <w:divBdr>
        <w:top w:val="none" w:sz="0" w:space="0" w:color="auto"/>
        <w:left w:val="none" w:sz="0" w:space="0" w:color="auto"/>
        <w:bottom w:val="none" w:sz="0" w:space="0" w:color="auto"/>
        <w:right w:val="none" w:sz="0" w:space="0" w:color="auto"/>
      </w:divBdr>
    </w:div>
    <w:div w:id="1683045034">
      <w:bodyDiv w:val="1"/>
      <w:marLeft w:val="0"/>
      <w:marRight w:val="0"/>
      <w:marTop w:val="0"/>
      <w:marBottom w:val="0"/>
      <w:divBdr>
        <w:top w:val="none" w:sz="0" w:space="0" w:color="auto"/>
        <w:left w:val="none" w:sz="0" w:space="0" w:color="auto"/>
        <w:bottom w:val="none" w:sz="0" w:space="0" w:color="auto"/>
        <w:right w:val="none" w:sz="0" w:space="0" w:color="auto"/>
      </w:divBdr>
    </w:div>
    <w:div w:id="1690909168">
      <w:bodyDiv w:val="1"/>
      <w:marLeft w:val="0"/>
      <w:marRight w:val="0"/>
      <w:marTop w:val="0"/>
      <w:marBottom w:val="0"/>
      <w:divBdr>
        <w:top w:val="none" w:sz="0" w:space="0" w:color="auto"/>
        <w:left w:val="none" w:sz="0" w:space="0" w:color="auto"/>
        <w:bottom w:val="none" w:sz="0" w:space="0" w:color="auto"/>
        <w:right w:val="none" w:sz="0" w:space="0" w:color="auto"/>
      </w:divBdr>
      <w:divsChild>
        <w:div w:id="131606165">
          <w:marLeft w:val="0"/>
          <w:marRight w:val="0"/>
          <w:marTop w:val="0"/>
          <w:marBottom w:val="0"/>
          <w:divBdr>
            <w:top w:val="none" w:sz="0" w:space="0" w:color="auto"/>
            <w:left w:val="none" w:sz="0" w:space="0" w:color="auto"/>
            <w:bottom w:val="none" w:sz="0" w:space="0" w:color="auto"/>
            <w:right w:val="none" w:sz="0" w:space="0" w:color="auto"/>
          </w:divBdr>
        </w:div>
        <w:div w:id="1129006020">
          <w:marLeft w:val="0"/>
          <w:marRight w:val="0"/>
          <w:marTop w:val="0"/>
          <w:marBottom w:val="0"/>
          <w:divBdr>
            <w:top w:val="none" w:sz="0" w:space="0" w:color="auto"/>
            <w:left w:val="none" w:sz="0" w:space="0" w:color="auto"/>
            <w:bottom w:val="none" w:sz="0" w:space="0" w:color="auto"/>
            <w:right w:val="none" w:sz="0" w:space="0" w:color="auto"/>
          </w:divBdr>
        </w:div>
      </w:divsChild>
    </w:div>
    <w:div w:id="1699551853">
      <w:bodyDiv w:val="1"/>
      <w:marLeft w:val="0"/>
      <w:marRight w:val="0"/>
      <w:marTop w:val="0"/>
      <w:marBottom w:val="0"/>
      <w:divBdr>
        <w:top w:val="none" w:sz="0" w:space="0" w:color="auto"/>
        <w:left w:val="none" w:sz="0" w:space="0" w:color="auto"/>
        <w:bottom w:val="none" w:sz="0" w:space="0" w:color="auto"/>
        <w:right w:val="none" w:sz="0" w:space="0" w:color="auto"/>
      </w:divBdr>
    </w:div>
    <w:div w:id="1713265488">
      <w:bodyDiv w:val="1"/>
      <w:marLeft w:val="0"/>
      <w:marRight w:val="0"/>
      <w:marTop w:val="0"/>
      <w:marBottom w:val="0"/>
      <w:divBdr>
        <w:top w:val="none" w:sz="0" w:space="0" w:color="auto"/>
        <w:left w:val="none" w:sz="0" w:space="0" w:color="auto"/>
        <w:bottom w:val="none" w:sz="0" w:space="0" w:color="auto"/>
        <w:right w:val="none" w:sz="0" w:space="0" w:color="auto"/>
      </w:divBdr>
    </w:div>
    <w:div w:id="1719275744">
      <w:bodyDiv w:val="1"/>
      <w:marLeft w:val="0"/>
      <w:marRight w:val="0"/>
      <w:marTop w:val="0"/>
      <w:marBottom w:val="0"/>
      <w:divBdr>
        <w:top w:val="none" w:sz="0" w:space="0" w:color="auto"/>
        <w:left w:val="none" w:sz="0" w:space="0" w:color="auto"/>
        <w:bottom w:val="none" w:sz="0" w:space="0" w:color="auto"/>
        <w:right w:val="none" w:sz="0" w:space="0" w:color="auto"/>
      </w:divBdr>
      <w:divsChild>
        <w:div w:id="1643995112">
          <w:marLeft w:val="0"/>
          <w:marRight w:val="0"/>
          <w:marTop w:val="0"/>
          <w:marBottom w:val="0"/>
          <w:divBdr>
            <w:top w:val="none" w:sz="0" w:space="0" w:color="auto"/>
            <w:left w:val="none" w:sz="0" w:space="0" w:color="auto"/>
            <w:bottom w:val="none" w:sz="0" w:space="0" w:color="auto"/>
            <w:right w:val="none" w:sz="0" w:space="0" w:color="auto"/>
          </w:divBdr>
          <w:divsChild>
            <w:div w:id="159278386">
              <w:marLeft w:val="0"/>
              <w:marRight w:val="0"/>
              <w:marTop w:val="0"/>
              <w:marBottom w:val="0"/>
              <w:divBdr>
                <w:top w:val="none" w:sz="0" w:space="0" w:color="auto"/>
                <w:left w:val="none" w:sz="0" w:space="0" w:color="auto"/>
                <w:bottom w:val="none" w:sz="0" w:space="0" w:color="auto"/>
                <w:right w:val="none" w:sz="0" w:space="0" w:color="auto"/>
              </w:divBdr>
              <w:divsChild>
                <w:div w:id="2144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371044">
      <w:bodyDiv w:val="1"/>
      <w:marLeft w:val="0"/>
      <w:marRight w:val="0"/>
      <w:marTop w:val="0"/>
      <w:marBottom w:val="0"/>
      <w:divBdr>
        <w:top w:val="none" w:sz="0" w:space="0" w:color="auto"/>
        <w:left w:val="none" w:sz="0" w:space="0" w:color="auto"/>
        <w:bottom w:val="none" w:sz="0" w:space="0" w:color="auto"/>
        <w:right w:val="none" w:sz="0" w:space="0" w:color="auto"/>
      </w:divBdr>
      <w:divsChild>
        <w:div w:id="1883132556">
          <w:marLeft w:val="0"/>
          <w:marRight w:val="0"/>
          <w:marTop w:val="0"/>
          <w:marBottom w:val="0"/>
          <w:divBdr>
            <w:top w:val="none" w:sz="0" w:space="0" w:color="auto"/>
            <w:left w:val="none" w:sz="0" w:space="0" w:color="auto"/>
            <w:bottom w:val="none" w:sz="0" w:space="0" w:color="auto"/>
            <w:right w:val="none" w:sz="0" w:space="0" w:color="auto"/>
          </w:divBdr>
        </w:div>
      </w:divsChild>
    </w:div>
    <w:div w:id="1745377244">
      <w:bodyDiv w:val="1"/>
      <w:marLeft w:val="0"/>
      <w:marRight w:val="0"/>
      <w:marTop w:val="0"/>
      <w:marBottom w:val="0"/>
      <w:divBdr>
        <w:top w:val="none" w:sz="0" w:space="0" w:color="auto"/>
        <w:left w:val="none" w:sz="0" w:space="0" w:color="auto"/>
        <w:bottom w:val="none" w:sz="0" w:space="0" w:color="auto"/>
        <w:right w:val="none" w:sz="0" w:space="0" w:color="auto"/>
      </w:divBdr>
      <w:divsChild>
        <w:div w:id="1692336628">
          <w:marLeft w:val="0"/>
          <w:marRight w:val="0"/>
          <w:marTop w:val="0"/>
          <w:marBottom w:val="0"/>
          <w:divBdr>
            <w:top w:val="none" w:sz="0" w:space="0" w:color="auto"/>
            <w:left w:val="none" w:sz="0" w:space="0" w:color="auto"/>
            <w:bottom w:val="none" w:sz="0" w:space="0" w:color="auto"/>
            <w:right w:val="none" w:sz="0" w:space="0" w:color="auto"/>
          </w:divBdr>
        </w:div>
      </w:divsChild>
    </w:div>
    <w:div w:id="1755517185">
      <w:bodyDiv w:val="1"/>
      <w:marLeft w:val="0"/>
      <w:marRight w:val="0"/>
      <w:marTop w:val="0"/>
      <w:marBottom w:val="0"/>
      <w:divBdr>
        <w:top w:val="none" w:sz="0" w:space="0" w:color="auto"/>
        <w:left w:val="none" w:sz="0" w:space="0" w:color="auto"/>
        <w:bottom w:val="none" w:sz="0" w:space="0" w:color="auto"/>
        <w:right w:val="none" w:sz="0" w:space="0" w:color="auto"/>
      </w:divBdr>
    </w:div>
    <w:div w:id="1769349147">
      <w:bodyDiv w:val="1"/>
      <w:marLeft w:val="0"/>
      <w:marRight w:val="0"/>
      <w:marTop w:val="0"/>
      <w:marBottom w:val="0"/>
      <w:divBdr>
        <w:top w:val="none" w:sz="0" w:space="0" w:color="auto"/>
        <w:left w:val="none" w:sz="0" w:space="0" w:color="auto"/>
        <w:bottom w:val="none" w:sz="0" w:space="0" w:color="auto"/>
        <w:right w:val="none" w:sz="0" w:space="0" w:color="auto"/>
      </w:divBdr>
      <w:divsChild>
        <w:div w:id="1013805020">
          <w:marLeft w:val="0"/>
          <w:marRight w:val="0"/>
          <w:marTop w:val="0"/>
          <w:marBottom w:val="0"/>
          <w:divBdr>
            <w:top w:val="none" w:sz="0" w:space="0" w:color="auto"/>
            <w:left w:val="none" w:sz="0" w:space="0" w:color="auto"/>
            <w:bottom w:val="none" w:sz="0" w:space="0" w:color="auto"/>
            <w:right w:val="none" w:sz="0" w:space="0" w:color="auto"/>
          </w:divBdr>
        </w:div>
      </w:divsChild>
    </w:div>
    <w:div w:id="1778596240">
      <w:bodyDiv w:val="1"/>
      <w:marLeft w:val="0"/>
      <w:marRight w:val="0"/>
      <w:marTop w:val="0"/>
      <w:marBottom w:val="0"/>
      <w:divBdr>
        <w:top w:val="none" w:sz="0" w:space="0" w:color="auto"/>
        <w:left w:val="none" w:sz="0" w:space="0" w:color="auto"/>
        <w:bottom w:val="none" w:sz="0" w:space="0" w:color="auto"/>
        <w:right w:val="none" w:sz="0" w:space="0" w:color="auto"/>
      </w:divBdr>
    </w:div>
    <w:div w:id="1779058123">
      <w:bodyDiv w:val="1"/>
      <w:marLeft w:val="0"/>
      <w:marRight w:val="0"/>
      <w:marTop w:val="0"/>
      <w:marBottom w:val="0"/>
      <w:divBdr>
        <w:top w:val="none" w:sz="0" w:space="0" w:color="auto"/>
        <w:left w:val="none" w:sz="0" w:space="0" w:color="auto"/>
        <w:bottom w:val="none" w:sz="0" w:space="0" w:color="auto"/>
        <w:right w:val="none" w:sz="0" w:space="0" w:color="auto"/>
      </w:divBdr>
    </w:div>
    <w:div w:id="1789467313">
      <w:bodyDiv w:val="1"/>
      <w:marLeft w:val="0"/>
      <w:marRight w:val="0"/>
      <w:marTop w:val="0"/>
      <w:marBottom w:val="0"/>
      <w:divBdr>
        <w:top w:val="none" w:sz="0" w:space="0" w:color="auto"/>
        <w:left w:val="none" w:sz="0" w:space="0" w:color="auto"/>
        <w:bottom w:val="none" w:sz="0" w:space="0" w:color="auto"/>
        <w:right w:val="none" w:sz="0" w:space="0" w:color="auto"/>
      </w:divBdr>
    </w:div>
    <w:div w:id="1790080155">
      <w:bodyDiv w:val="1"/>
      <w:marLeft w:val="0"/>
      <w:marRight w:val="0"/>
      <w:marTop w:val="0"/>
      <w:marBottom w:val="0"/>
      <w:divBdr>
        <w:top w:val="none" w:sz="0" w:space="0" w:color="auto"/>
        <w:left w:val="none" w:sz="0" w:space="0" w:color="auto"/>
        <w:bottom w:val="none" w:sz="0" w:space="0" w:color="auto"/>
        <w:right w:val="none" w:sz="0" w:space="0" w:color="auto"/>
      </w:divBdr>
    </w:div>
    <w:div w:id="1800688347">
      <w:bodyDiv w:val="1"/>
      <w:marLeft w:val="0"/>
      <w:marRight w:val="0"/>
      <w:marTop w:val="0"/>
      <w:marBottom w:val="0"/>
      <w:divBdr>
        <w:top w:val="none" w:sz="0" w:space="0" w:color="auto"/>
        <w:left w:val="none" w:sz="0" w:space="0" w:color="auto"/>
        <w:bottom w:val="none" w:sz="0" w:space="0" w:color="auto"/>
        <w:right w:val="none" w:sz="0" w:space="0" w:color="auto"/>
      </w:divBdr>
    </w:div>
    <w:div w:id="1802308189">
      <w:bodyDiv w:val="1"/>
      <w:marLeft w:val="0"/>
      <w:marRight w:val="0"/>
      <w:marTop w:val="0"/>
      <w:marBottom w:val="0"/>
      <w:divBdr>
        <w:top w:val="none" w:sz="0" w:space="0" w:color="auto"/>
        <w:left w:val="none" w:sz="0" w:space="0" w:color="auto"/>
        <w:bottom w:val="none" w:sz="0" w:space="0" w:color="auto"/>
        <w:right w:val="none" w:sz="0" w:space="0" w:color="auto"/>
      </w:divBdr>
    </w:div>
    <w:div w:id="1808742324">
      <w:bodyDiv w:val="1"/>
      <w:marLeft w:val="0"/>
      <w:marRight w:val="0"/>
      <w:marTop w:val="0"/>
      <w:marBottom w:val="0"/>
      <w:divBdr>
        <w:top w:val="none" w:sz="0" w:space="0" w:color="auto"/>
        <w:left w:val="none" w:sz="0" w:space="0" w:color="auto"/>
        <w:bottom w:val="none" w:sz="0" w:space="0" w:color="auto"/>
        <w:right w:val="none" w:sz="0" w:space="0" w:color="auto"/>
      </w:divBdr>
    </w:div>
    <w:div w:id="1822579384">
      <w:bodyDiv w:val="1"/>
      <w:marLeft w:val="0"/>
      <w:marRight w:val="0"/>
      <w:marTop w:val="0"/>
      <w:marBottom w:val="0"/>
      <w:divBdr>
        <w:top w:val="none" w:sz="0" w:space="0" w:color="auto"/>
        <w:left w:val="none" w:sz="0" w:space="0" w:color="auto"/>
        <w:bottom w:val="none" w:sz="0" w:space="0" w:color="auto"/>
        <w:right w:val="none" w:sz="0" w:space="0" w:color="auto"/>
      </w:divBdr>
    </w:div>
    <w:div w:id="1858347706">
      <w:bodyDiv w:val="1"/>
      <w:marLeft w:val="0"/>
      <w:marRight w:val="0"/>
      <w:marTop w:val="0"/>
      <w:marBottom w:val="0"/>
      <w:divBdr>
        <w:top w:val="none" w:sz="0" w:space="0" w:color="auto"/>
        <w:left w:val="none" w:sz="0" w:space="0" w:color="auto"/>
        <w:bottom w:val="none" w:sz="0" w:space="0" w:color="auto"/>
        <w:right w:val="none" w:sz="0" w:space="0" w:color="auto"/>
      </w:divBdr>
      <w:divsChild>
        <w:div w:id="1152019830">
          <w:marLeft w:val="0"/>
          <w:marRight w:val="0"/>
          <w:marTop w:val="0"/>
          <w:marBottom w:val="0"/>
          <w:divBdr>
            <w:top w:val="none" w:sz="0" w:space="0" w:color="auto"/>
            <w:left w:val="none" w:sz="0" w:space="0" w:color="auto"/>
            <w:bottom w:val="none" w:sz="0" w:space="0" w:color="auto"/>
            <w:right w:val="none" w:sz="0" w:space="0" w:color="auto"/>
          </w:divBdr>
          <w:divsChild>
            <w:div w:id="604457177">
              <w:marLeft w:val="0"/>
              <w:marRight w:val="0"/>
              <w:marTop w:val="0"/>
              <w:marBottom w:val="0"/>
              <w:divBdr>
                <w:top w:val="none" w:sz="0" w:space="0" w:color="auto"/>
                <w:left w:val="none" w:sz="0" w:space="0" w:color="auto"/>
                <w:bottom w:val="none" w:sz="0" w:space="0" w:color="auto"/>
                <w:right w:val="none" w:sz="0" w:space="0" w:color="auto"/>
              </w:divBdr>
              <w:divsChild>
                <w:div w:id="17764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99346">
      <w:bodyDiv w:val="1"/>
      <w:marLeft w:val="0"/>
      <w:marRight w:val="0"/>
      <w:marTop w:val="0"/>
      <w:marBottom w:val="0"/>
      <w:divBdr>
        <w:top w:val="none" w:sz="0" w:space="0" w:color="auto"/>
        <w:left w:val="none" w:sz="0" w:space="0" w:color="auto"/>
        <w:bottom w:val="none" w:sz="0" w:space="0" w:color="auto"/>
        <w:right w:val="none" w:sz="0" w:space="0" w:color="auto"/>
      </w:divBdr>
    </w:div>
    <w:div w:id="1873565491">
      <w:bodyDiv w:val="1"/>
      <w:marLeft w:val="0"/>
      <w:marRight w:val="0"/>
      <w:marTop w:val="0"/>
      <w:marBottom w:val="0"/>
      <w:divBdr>
        <w:top w:val="none" w:sz="0" w:space="0" w:color="auto"/>
        <w:left w:val="none" w:sz="0" w:space="0" w:color="auto"/>
        <w:bottom w:val="none" w:sz="0" w:space="0" w:color="auto"/>
        <w:right w:val="none" w:sz="0" w:space="0" w:color="auto"/>
      </w:divBdr>
    </w:div>
    <w:div w:id="1882550648">
      <w:bodyDiv w:val="1"/>
      <w:marLeft w:val="0"/>
      <w:marRight w:val="0"/>
      <w:marTop w:val="0"/>
      <w:marBottom w:val="0"/>
      <w:divBdr>
        <w:top w:val="none" w:sz="0" w:space="0" w:color="auto"/>
        <w:left w:val="none" w:sz="0" w:space="0" w:color="auto"/>
        <w:bottom w:val="none" w:sz="0" w:space="0" w:color="auto"/>
        <w:right w:val="none" w:sz="0" w:space="0" w:color="auto"/>
      </w:divBdr>
    </w:div>
    <w:div w:id="1884750942">
      <w:bodyDiv w:val="1"/>
      <w:marLeft w:val="0"/>
      <w:marRight w:val="0"/>
      <w:marTop w:val="0"/>
      <w:marBottom w:val="0"/>
      <w:divBdr>
        <w:top w:val="none" w:sz="0" w:space="0" w:color="auto"/>
        <w:left w:val="none" w:sz="0" w:space="0" w:color="auto"/>
        <w:bottom w:val="none" w:sz="0" w:space="0" w:color="auto"/>
        <w:right w:val="none" w:sz="0" w:space="0" w:color="auto"/>
      </w:divBdr>
      <w:divsChild>
        <w:div w:id="503977828">
          <w:marLeft w:val="0"/>
          <w:marRight w:val="0"/>
          <w:marTop w:val="0"/>
          <w:marBottom w:val="0"/>
          <w:divBdr>
            <w:top w:val="none" w:sz="0" w:space="0" w:color="auto"/>
            <w:left w:val="none" w:sz="0" w:space="0" w:color="auto"/>
            <w:bottom w:val="none" w:sz="0" w:space="0" w:color="auto"/>
            <w:right w:val="none" w:sz="0" w:space="0" w:color="auto"/>
          </w:divBdr>
        </w:div>
      </w:divsChild>
    </w:div>
    <w:div w:id="1885823502">
      <w:bodyDiv w:val="1"/>
      <w:marLeft w:val="0"/>
      <w:marRight w:val="0"/>
      <w:marTop w:val="0"/>
      <w:marBottom w:val="0"/>
      <w:divBdr>
        <w:top w:val="none" w:sz="0" w:space="0" w:color="auto"/>
        <w:left w:val="none" w:sz="0" w:space="0" w:color="auto"/>
        <w:bottom w:val="none" w:sz="0" w:space="0" w:color="auto"/>
        <w:right w:val="none" w:sz="0" w:space="0" w:color="auto"/>
      </w:divBdr>
    </w:div>
    <w:div w:id="1892383568">
      <w:bodyDiv w:val="1"/>
      <w:marLeft w:val="0"/>
      <w:marRight w:val="0"/>
      <w:marTop w:val="0"/>
      <w:marBottom w:val="0"/>
      <w:divBdr>
        <w:top w:val="none" w:sz="0" w:space="0" w:color="auto"/>
        <w:left w:val="none" w:sz="0" w:space="0" w:color="auto"/>
        <w:bottom w:val="none" w:sz="0" w:space="0" w:color="auto"/>
        <w:right w:val="none" w:sz="0" w:space="0" w:color="auto"/>
      </w:divBdr>
      <w:divsChild>
        <w:div w:id="1909607058">
          <w:marLeft w:val="0"/>
          <w:marRight w:val="0"/>
          <w:marTop w:val="0"/>
          <w:marBottom w:val="0"/>
          <w:divBdr>
            <w:top w:val="none" w:sz="0" w:space="0" w:color="auto"/>
            <w:left w:val="none" w:sz="0" w:space="0" w:color="auto"/>
            <w:bottom w:val="none" w:sz="0" w:space="0" w:color="auto"/>
            <w:right w:val="none" w:sz="0" w:space="0" w:color="auto"/>
          </w:divBdr>
        </w:div>
      </w:divsChild>
    </w:div>
    <w:div w:id="1892690625">
      <w:bodyDiv w:val="1"/>
      <w:marLeft w:val="0"/>
      <w:marRight w:val="0"/>
      <w:marTop w:val="0"/>
      <w:marBottom w:val="0"/>
      <w:divBdr>
        <w:top w:val="none" w:sz="0" w:space="0" w:color="auto"/>
        <w:left w:val="none" w:sz="0" w:space="0" w:color="auto"/>
        <w:bottom w:val="none" w:sz="0" w:space="0" w:color="auto"/>
        <w:right w:val="none" w:sz="0" w:space="0" w:color="auto"/>
      </w:divBdr>
      <w:divsChild>
        <w:div w:id="890923055">
          <w:marLeft w:val="0"/>
          <w:marRight w:val="0"/>
          <w:marTop w:val="0"/>
          <w:marBottom w:val="0"/>
          <w:divBdr>
            <w:top w:val="none" w:sz="0" w:space="0" w:color="auto"/>
            <w:left w:val="none" w:sz="0" w:space="0" w:color="auto"/>
            <w:bottom w:val="none" w:sz="0" w:space="0" w:color="auto"/>
            <w:right w:val="none" w:sz="0" w:space="0" w:color="auto"/>
          </w:divBdr>
          <w:divsChild>
            <w:div w:id="1615019881">
              <w:marLeft w:val="0"/>
              <w:marRight w:val="0"/>
              <w:marTop w:val="0"/>
              <w:marBottom w:val="0"/>
              <w:divBdr>
                <w:top w:val="none" w:sz="0" w:space="0" w:color="auto"/>
                <w:left w:val="none" w:sz="0" w:space="0" w:color="auto"/>
                <w:bottom w:val="none" w:sz="0" w:space="0" w:color="auto"/>
                <w:right w:val="none" w:sz="0" w:space="0" w:color="auto"/>
              </w:divBdr>
              <w:divsChild>
                <w:div w:id="4684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982891">
      <w:bodyDiv w:val="1"/>
      <w:marLeft w:val="0"/>
      <w:marRight w:val="0"/>
      <w:marTop w:val="0"/>
      <w:marBottom w:val="0"/>
      <w:divBdr>
        <w:top w:val="none" w:sz="0" w:space="0" w:color="auto"/>
        <w:left w:val="none" w:sz="0" w:space="0" w:color="auto"/>
        <w:bottom w:val="none" w:sz="0" w:space="0" w:color="auto"/>
        <w:right w:val="none" w:sz="0" w:space="0" w:color="auto"/>
      </w:divBdr>
    </w:div>
    <w:div w:id="1916862515">
      <w:bodyDiv w:val="1"/>
      <w:marLeft w:val="0"/>
      <w:marRight w:val="0"/>
      <w:marTop w:val="0"/>
      <w:marBottom w:val="0"/>
      <w:divBdr>
        <w:top w:val="none" w:sz="0" w:space="0" w:color="auto"/>
        <w:left w:val="none" w:sz="0" w:space="0" w:color="auto"/>
        <w:bottom w:val="none" w:sz="0" w:space="0" w:color="auto"/>
        <w:right w:val="none" w:sz="0" w:space="0" w:color="auto"/>
      </w:divBdr>
    </w:div>
    <w:div w:id="1933004491">
      <w:bodyDiv w:val="1"/>
      <w:marLeft w:val="0"/>
      <w:marRight w:val="0"/>
      <w:marTop w:val="0"/>
      <w:marBottom w:val="0"/>
      <w:divBdr>
        <w:top w:val="none" w:sz="0" w:space="0" w:color="auto"/>
        <w:left w:val="none" w:sz="0" w:space="0" w:color="auto"/>
        <w:bottom w:val="none" w:sz="0" w:space="0" w:color="auto"/>
        <w:right w:val="none" w:sz="0" w:space="0" w:color="auto"/>
      </w:divBdr>
      <w:divsChild>
        <w:div w:id="2036228584">
          <w:marLeft w:val="0"/>
          <w:marRight w:val="0"/>
          <w:marTop w:val="0"/>
          <w:marBottom w:val="0"/>
          <w:divBdr>
            <w:top w:val="none" w:sz="0" w:space="0" w:color="auto"/>
            <w:left w:val="none" w:sz="0" w:space="0" w:color="auto"/>
            <w:bottom w:val="none" w:sz="0" w:space="0" w:color="auto"/>
            <w:right w:val="none" w:sz="0" w:space="0" w:color="auto"/>
          </w:divBdr>
        </w:div>
        <w:div w:id="557864886">
          <w:marLeft w:val="0"/>
          <w:marRight w:val="0"/>
          <w:marTop w:val="0"/>
          <w:marBottom w:val="0"/>
          <w:divBdr>
            <w:top w:val="none" w:sz="0" w:space="0" w:color="auto"/>
            <w:left w:val="none" w:sz="0" w:space="0" w:color="auto"/>
            <w:bottom w:val="none" w:sz="0" w:space="0" w:color="auto"/>
            <w:right w:val="none" w:sz="0" w:space="0" w:color="auto"/>
          </w:divBdr>
        </w:div>
      </w:divsChild>
    </w:div>
    <w:div w:id="1947888593">
      <w:bodyDiv w:val="1"/>
      <w:marLeft w:val="0"/>
      <w:marRight w:val="0"/>
      <w:marTop w:val="0"/>
      <w:marBottom w:val="0"/>
      <w:divBdr>
        <w:top w:val="none" w:sz="0" w:space="0" w:color="auto"/>
        <w:left w:val="none" w:sz="0" w:space="0" w:color="auto"/>
        <w:bottom w:val="none" w:sz="0" w:space="0" w:color="auto"/>
        <w:right w:val="none" w:sz="0" w:space="0" w:color="auto"/>
      </w:divBdr>
      <w:divsChild>
        <w:div w:id="109134332">
          <w:marLeft w:val="0"/>
          <w:marRight w:val="0"/>
          <w:marTop w:val="0"/>
          <w:marBottom w:val="0"/>
          <w:divBdr>
            <w:top w:val="none" w:sz="0" w:space="0" w:color="auto"/>
            <w:left w:val="none" w:sz="0" w:space="0" w:color="auto"/>
            <w:bottom w:val="none" w:sz="0" w:space="0" w:color="auto"/>
            <w:right w:val="none" w:sz="0" w:space="0" w:color="auto"/>
          </w:divBdr>
        </w:div>
      </w:divsChild>
    </w:div>
    <w:div w:id="1957330732">
      <w:bodyDiv w:val="1"/>
      <w:marLeft w:val="0"/>
      <w:marRight w:val="0"/>
      <w:marTop w:val="0"/>
      <w:marBottom w:val="0"/>
      <w:divBdr>
        <w:top w:val="none" w:sz="0" w:space="0" w:color="auto"/>
        <w:left w:val="none" w:sz="0" w:space="0" w:color="auto"/>
        <w:bottom w:val="none" w:sz="0" w:space="0" w:color="auto"/>
        <w:right w:val="none" w:sz="0" w:space="0" w:color="auto"/>
      </w:divBdr>
      <w:divsChild>
        <w:div w:id="1858423783">
          <w:marLeft w:val="0"/>
          <w:marRight w:val="0"/>
          <w:marTop w:val="0"/>
          <w:marBottom w:val="0"/>
          <w:divBdr>
            <w:top w:val="none" w:sz="0" w:space="0" w:color="auto"/>
            <w:left w:val="none" w:sz="0" w:space="0" w:color="auto"/>
            <w:bottom w:val="none" w:sz="0" w:space="0" w:color="auto"/>
            <w:right w:val="none" w:sz="0" w:space="0" w:color="auto"/>
          </w:divBdr>
          <w:divsChild>
            <w:div w:id="131749220">
              <w:marLeft w:val="0"/>
              <w:marRight w:val="0"/>
              <w:marTop w:val="0"/>
              <w:marBottom w:val="0"/>
              <w:divBdr>
                <w:top w:val="none" w:sz="0" w:space="0" w:color="auto"/>
                <w:left w:val="none" w:sz="0" w:space="0" w:color="auto"/>
                <w:bottom w:val="none" w:sz="0" w:space="0" w:color="auto"/>
                <w:right w:val="none" w:sz="0" w:space="0" w:color="auto"/>
              </w:divBdr>
              <w:divsChild>
                <w:div w:id="384182221">
                  <w:marLeft w:val="0"/>
                  <w:marRight w:val="0"/>
                  <w:marTop w:val="0"/>
                  <w:marBottom w:val="0"/>
                  <w:divBdr>
                    <w:top w:val="none" w:sz="0" w:space="0" w:color="auto"/>
                    <w:left w:val="none" w:sz="0" w:space="0" w:color="auto"/>
                    <w:bottom w:val="none" w:sz="0" w:space="0" w:color="auto"/>
                    <w:right w:val="none" w:sz="0" w:space="0" w:color="auto"/>
                  </w:divBdr>
                  <w:divsChild>
                    <w:div w:id="10085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518286">
      <w:bodyDiv w:val="1"/>
      <w:marLeft w:val="0"/>
      <w:marRight w:val="0"/>
      <w:marTop w:val="0"/>
      <w:marBottom w:val="0"/>
      <w:divBdr>
        <w:top w:val="none" w:sz="0" w:space="0" w:color="auto"/>
        <w:left w:val="none" w:sz="0" w:space="0" w:color="auto"/>
        <w:bottom w:val="none" w:sz="0" w:space="0" w:color="auto"/>
        <w:right w:val="none" w:sz="0" w:space="0" w:color="auto"/>
      </w:divBdr>
      <w:divsChild>
        <w:div w:id="1868829553">
          <w:marLeft w:val="0"/>
          <w:marRight w:val="0"/>
          <w:marTop w:val="0"/>
          <w:marBottom w:val="0"/>
          <w:divBdr>
            <w:top w:val="none" w:sz="0" w:space="0" w:color="auto"/>
            <w:left w:val="none" w:sz="0" w:space="0" w:color="auto"/>
            <w:bottom w:val="none" w:sz="0" w:space="0" w:color="auto"/>
            <w:right w:val="none" w:sz="0" w:space="0" w:color="auto"/>
          </w:divBdr>
        </w:div>
        <w:div w:id="1770079867">
          <w:marLeft w:val="0"/>
          <w:marRight w:val="0"/>
          <w:marTop w:val="0"/>
          <w:marBottom w:val="0"/>
          <w:divBdr>
            <w:top w:val="none" w:sz="0" w:space="0" w:color="auto"/>
            <w:left w:val="none" w:sz="0" w:space="0" w:color="auto"/>
            <w:bottom w:val="none" w:sz="0" w:space="0" w:color="auto"/>
            <w:right w:val="none" w:sz="0" w:space="0" w:color="auto"/>
          </w:divBdr>
        </w:div>
      </w:divsChild>
    </w:div>
    <w:div w:id="1974675404">
      <w:bodyDiv w:val="1"/>
      <w:marLeft w:val="0"/>
      <w:marRight w:val="0"/>
      <w:marTop w:val="0"/>
      <w:marBottom w:val="0"/>
      <w:divBdr>
        <w:top w:val="none" w:sz="0" w:space="0" w:color="auto"/>
        <w:left w:val="none" w:sz="0" w:space="0" w:color="auto"/>
        <w:bottom w:val="none" w:sz="0" w:space="0" w:color="auto"/>
        <w:right w:val="none" w:sz="0" w:space="0" w:color="auto"/>
      </w:divBdr>
      <w:divsChild>
        <w:div w:id="1583375533">
          <w:marLeft w:val="0"/>
          <w:marRight w:val="0"/>
          <w:marTop w:val="0"/>
          <w:marBottom w:val="0"/>
          <w:divBdr>
            <w:top w:val="none" w:sz="0" w:space="0" w:color="auto"/>
            <w:left w:val="none" w:sz="0" w:space="0" w:color="auto"/>
            <w:bottom w:val="none" w:sz="0" w:space="0" w:color="auto"/>
            <w:right w:val="none" w:sz="0" w:space="0" w:color="auto"/>
          </w:divBdr>
        </w:div>
      </w:divsChild>
    </w:div>
    <w:div w:id="2002080027">
      <w:bodyDiv w:val="1"/>
      <w:marLeft w:val="0"/>
      <w:marRight w:val="0"/>
      <w:marTop w:val="0"/>
      <w:marBottom w:val="0"/>
      <w:divBdr>
        <w:top w:val="none" w:sz="0" w:space="0" w:color="auto"/>
        <w:left w:val="none" w:sz="0" w:space="0" w:color="auto"/>
        <w:bottom w:val="none" w:sz="0" w:space="0" w:color="auto"/>
        <w:right w:val="none" w:sz="0" w:space="0" w:color="auto"/>
      </w:divBdr>
    </w:div>
    <w:div w:id="2002583801">
      <w:bodyDiv w:val="1"/>
      <w:marLeft w:val="0"/>
      <w:marRight w:val="0"/>
      <w:marTop w:val="0"/>
      <w:marBottom w:val="0"/>
      <w:divBdr>
        <w:top w:val="none" w:sz="0" w:space="0" w:color="auto"/>
        <w:left w:val="none" w:sz="0" w:space="0" w:color="auto"/>
        <w:bottom w:val="none" w:sz="0" w:space="0" w:color="auto"/>
        <w:right w:val="none" w:sz="0" w:space="0" w:color="auto"/>
      </w:divBdr>
    </w:div>
    <w:div w:id="2017417244">
      <w:bodyDiv w:val="1"/>
      <w:marLeft w:val="0"/>
      <w:marRight w:val="0"/>
      <w:marTop w:val="0"/>
      <w:marBottom w:val="0"/>
      <w:divBdr>
        <w:top w:val="none" w:sz="0" w:space="0" w:color="auto"/>
        <w:left w:val="none" w:sz="0" w:space="0" w:color="auto"/>
        <w:bottom w:val="none" w:sz="0" w:space="0" w:color="auto"/>
        <w:right w:val="none" w:sz="0" w:space="0" w:color="auto"/>
      </w:divBdr>
      <w:divsChild>
        <w:div w:id="139084104">
          <w:marLeft w:val="0"/>
          <w:marRight w:val="0"/>
          <w:marTop w:val="0"/>
          <w:marBottom w:val="0"/>
          <w:divBdr>
            <w:top w:val="none" w:sz="0" w:space="0" w:color="auto"/>
            <w:left w:val="none" w:sz="0" w:space="0" w:color="auto"/>
            <w:bottom w:val="none" w:sz="0" w:space="0" w:color="auto"/>
            <w:right w:val="none" w:sz="0" w:space="0" w:color="auto"/>
          </w:divBdr>
        </w:div>
      </w:divsChild>
    </w:div>
    <w:div w:id="2022195968">
      <w:bodyDiv w:val="1"/>
      <w:marLeft w:val="0"/>
      <w:marRight w:val="0"/>
      <w:marTop w:val="0"/>
      <w:marBottom w:val="0"/>
      <w:divBdr>
        <w:top w:val="none" w:sz="0" w:space="0" w:color="auto"/>
        <w:left w:val="none" w:sz="0" w:space="0" w:color="auto"/>
        <w:bottom w:val="none" w:sz="0" w:space="0" w:color="auto"/>
        <w:right w:val="none" w:sz="0" w:space="0" w:color="auto"/>
      </w:divBdr>
    </w:div>
    <w:div w:id="2031291720">
      <w:bodyDiv w:val="1"/>
      <w:marLeft w:val="0"/>
      <w:marRight w:val="0"/>
      <w:marTop w:val="0"/>
      <w:marBottom w:val="0"/>
      <w:divBdr>
        <w:top w:val="none" w:sz="0" w:space="0" w:color="auto"/>
        <w:left w:val="none" w:sz="0" w:space="0" w:color="auto"/>
        <w:bottom w:val="none" w:sz="0" w:space="0" w:color="auto"/>
        <w:right w:val="none" w:sz="0" w:space="0" w:color="auto"/>
      </w:divBdr>
    </w:div>
    <w:div w:id="2050454313">
      <w:bodyDiv w:val="1"/>
      <w:marLeft w:val="0"/>
      <w:marRight w:val="0"/>
      <w:marTop w:val="0"/>
      <w:marBottom w:val="0"/>
      <w:divBdr>
        <w:top w:val="none" w:sz="0" w:space="0" w:color="auto"/>
        <w:left w:val="none" w:sz="0" w:space="0" w:color="auto"/>
        <w:bottom w:val="none" w:sz="0" w:space="0" w:color="auto"/>
        <w:right w:val="none" w:sz="0" w:space="0" w:color="auto"/>
      </w:divBdr>
    </w:div>
    <w:div w:id="2064909462">
      <w:bodyDiv w:val="1"/>
      <w:marLeft w:val="0"/>
      <w:marRight w:val="0"/>
      <w:marTop w:val="0"/>
      <w:marBottom w:val="0"/>
      <w:divBdr>
        <w:top w:val="none" w:sz="0" w:space="0" w:color="auto"/>
        <w:left w:val="none" w:sz="0" w:space="0" w:color="auto"/>
        <w:bottom w:val="none" w:sz="0" w:space="0" w:color="auto"/>
        <w:right w:val="none" w:sz="0" w:space="0" w:color="auto"/>
      </w:divBdr>
      <w:divsChild>
        <w:div w:id="1065227564">
          <w:marLeft w:val="0"/>
          <w:marRight w:val="0"/>
          <w:marTop w:val="0"/>
          <w:marBottom w:val="0"/>
          <w:divBdr>
            <w:top w:val="none" w:sz="0" w:space="0" w:color="auto"/>
            <w:left w:val="none" w:sz="0" w:space="0" w:color="auto"/>
            <w:bottom w:val="none" w:sz="0" w:space="0" w:color="auto"/>
            <w:right w:val="none" w:sz="0" w:space="0" w:color="auto"/>
          </w:divBdr>
        </w:div>
        <w:div w:id="1245142282">
          <w:marLeft w:val="0"/>
          <w:marRight w:val="0"/>
          <w:marTop w:val="0"/>
          <w:marBottom w:val="0"/>
          <w:divBdr>
            <w:top w:val="none" w:sz="0" w:space="0" w:color="auto"/>
            <w:left w:val="none" w:sz="0" w:space="0" w:color="auto"/>
            <w:bottom w:val="none" w:sz="0" w:space="0" w:color="auto"/>
            <w:right w:val="none" w:sz="0" w:space="0" w:color="auto"/>
          </w:divBdr>
        </w:div>
      </w:divsChild>
    </w:div>
    <w:div w:id="2067878186">
      <w:bodyDiv w:val="1"/>
      <w:marLeft w:val="0"/>
      <w:marRight w:val="0"/>
      <w:marTop w:val="0"/>
      <w:marBottom w:val="0"/>
      <w:divBdr>
        <w:top w:val="none" w:sz="0" w:space="0" w:color="auto"/>
        <w:left w:val="none" w:sz="0" w:space="0" w:color="auto"/>
        <w:bottom w:val="none" w:sz="0" w:space="0" w:color="auto"/>
        <w:right w:val="none" w:sz="0" w:space="0" w:color="auto"/>
      </w:divBdr>
    </w:div>
    <w:div w:id="2070105559">
      <w:bodyDiv w:val="1"/>
      <w:marLeft w:val="0"/>
      <w:marRight w:val="0"/>
      <w:marTop w:val="0"/>
      <w:marBottom w:val="0"/>
      <w:divBdr>
        <w:top w:val="none" w:sz="0" w:space="0" w:color="auto"/>
        <w:left w:val="none" w:sz="0" w:space="0" w:color="auto"/>
        <w:bottom w:val="none" w:sz="0" w:space="0" w:color="auto"/>
        <w:right w:val="none" w:sz="0" w:space="0" w:color="auto"/>
      </w:divBdr>
    </w:div>
    <w:div w:id="2094933552">
      <w:bodyDiv w:val="1"/>
      <w:marLeft w:val="0"/>
      <w:marRight w:val="0"/>
      <w:marTop w:val="0"/>
      <w:marBottom w:val="0"/>
      <w:divBdr>
        <w:top w:val="none" w:sz="0" w:space="0" w:color="auto"/>
        <w:left w:val="none" w:sz="0" w:space="0" w:color="auto"/>
        <w:bottom w:val="none" w:sz="0" w:space="0" w:color="auto"/>
        <w:right w:val="none" w:sz="0" w:space="0" w:color="auto"/>
      </w:divBdr>
      <w:divsChild>
        <w:div w:id="1938825615">
          <w:marLeft w:val="0"/>
          <w:marRight w:val="0"/>
          <w:marTop w:val="0"/>
          <w:marBottom w:val="0"/>
          <w:divBdr>
            <w:top w:val="none" w:sz="0" w:space="0" w:color="auto"/>
            <w:left w:val="none" w:sz="0" w:space="0" w:color="auto"/>
            <w:bottom w:val="none" w:sz="0" w:space="0" w:color="auto"/>
            <w:right w:val="none" w:sz="0" w:space="0" w:color="auto"/>
          </w:divBdr>
        </w:div>
        <w:div w:id="72363515">
          <w:marLeft w:val="0"/>
          <w:marRight w:val="0"/>
          <w:marTop w:val="0"/>
          <w:marBottom w:val="0"/>
          <w:divBdr>
            <w:top w:val="none" w:sz="0" w:space="0" w:color="auto"/>
            <w:left w:val="none" w:sz="0" w:space="0" w:color="auto"/>
            <w:bottom w:val="none" w:sz="0" w:space="0" w:color="auto"/>
            <w:right w:val="none" w:sz="0" w:space="0" w:color="auto"/>
          </w:divBdr>
        </w:div>
      </w:divsChild>
    </w:div>
    <w:div w:id="2096196877">
      <w:bodyDiv w:val="1"/>
      <w:marLeft w:val="0"/>
      <w:marRight w:val="0"/>
      <w:marTop w:val="0"/>
      <w:marBottom w:val="0"/>
      <w:divBdr>
        <w:top w:val="none" w:sz="0" w:space="0" w:color="auto"/>
        <w:left w:val="none" w:sz="0" w:space="0" w:color="auto"/>
        <w:bottom w:val="none" w:sz="0" w:space="0" w:color="auto"/>
        <w:right w:val="none" w:sz="0" w:space="0" w:color="auto"/>
      </w:divBdr>
      <w:divsChild>
        <w:div w:id="1988777289">
          <w:marLeft w:val="0"/>
          <w:marRight w:val="0"/>
          <w:marTop w:val="0"/>
          <w:marBottom w:val="0"/>
          <w:divBdr>
            <w:top w:val="none" w:sz="0" w:space="0" w:color="auto"/>
            <w:left w:val="none" w:sz="0" w:space="0" w:color="auto"/>
            <w:bottom w:val="none" w:sz="0" w:space="0" w:color="auto"/>
            <w:right w:val="none" w:sz="0" w:space="0" w:color="auto"/>
          </w:divBdr>
        </w:div>
      </w:divsChild>
    </w:div>
    <w:div w:id="2115398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ick.mills@ed.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ign.ac.uk" TargetMode="External"/><Relationship Id="rId4" Type="http://schemas.openxmlformats.org/officeDocument/2006/relationships/settings" Target="settings.xml"/><Relationship Id="rId9" Type="http://schemas.openxmlformats.org/officeDocument/2006/relationships/hyperlink" Target="http://www.highsteac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53AED-D1AB-4847-AB9E-A6B56B0C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37</Pages>
  <Words>8550</Words>
  <Characters>48735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Role of multidetector computed tomography in the diagnosis and management of patients attending the Rapid Access Chest Pain Clinic</vt:lpstr>
    </vt:vector>
  </TitlesOfParts>
  <Company>Desktop Services</Company>
  <LinksUpToDate>false</LinksUpToDate>
  <CharactersWithSpaces>57171</CharactersWithSpaces>
  <SharedDoc>false</SharedDoc>
  <HLinks>
    <vt:vector size="12" baseType="variant">
      <vt:variant>
        <vt:i4>65548</vt:i4>
      </vt:variant>
      <vt:variant>
        <vt:i4>105</vt:i4>
      </vt:variant>
      <vt:variant>
        <vt:i4>0</vt:i4>
      </vt:variant>
      <vt:variant>
        <vt:i4>5</vt:i4>
      </vt:variant>
      <vt:variant>
        <vt:lpwstr>http://en.wikipedia.org/wiki/Serum_creatinine</vt:lpwstr>
      </vt:variant>
      <vt:variant>
        <vt:lpwstr/>
      </vt:variant>
      <vt:variant>
        <vt:i4>786442</vt:i4>
      </vt:variant>
      <vt:variant>
        <vt:i4>72</vt:i4>
      </vt:variant>
      <vt:variant>
        <vt:i4>0</vt:i4>
      </vt:variant>
      <vt:variant>
        <vt:i4>5</vt:i4>
      </vt:variant>
      <vt:variant>
        <vt:lpwstr>http://assign-score.com/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multidetector computed tomography in the diagnosis and management of patients attending the Rapid Access Chest Pain Clinic</dc:title>
  <dc:subject/>
  <dc:creator>MILLS Nicholas</dc:creator>
  <cp:keywords/>
  <dc:description/>
  <cp:lastModifiedBy>MILLS Nicholas</cp:lastModifiedBy>
  <cp:revision>32</cp:revision>
  <cp:lastPrinted>2019-07-30T07:50:00Z</cp:lastPrinted>
  <dcterms:created xsi:type="dcterms:W3CDTF">2021-02-26T18:52:00Z</dcterms:created>
  <dcterms:modified xsi:type="dcterms:W3CDTF">2021-03-08T22:18:00Z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http://www.zotero.org/styles/bmc-bioinformatics</vt:lpwstr>
  </property>
  <property fmtid="{D5CDD505-2E9C-101B-9397-08002B2CF9AE}" pid="4" name="Mendeley User Name_1">
    <vt:lpwstr>michelle@michmog.com@www.mendeley.com</vt:lpwstr>
  </property>
</Properties>
</file>