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EC6B0" w14:textId="77777777" w:rsidR="00EA4A77" w:rsidRPr="00F00A67" w:rsidRDefault="00EA4A77" w:rsidP="00EA4A77">
      <w:pPr>
        <w:widowControl w:val="0"/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bookmarkStart w:id="0" w:name="_GoBack"/>
      <w:r w:rsidRPr="00F00A67">
        <w:rPr>
          <w:rFonts w:ascii="Arial" w:hAnsi="Arial" w:cs="Arial"/>
          <w:b/>
          <w:u w:val="single"/>
        </w:rPr>
        <w:t xml:space="preserve">Intestinal </w:t>
      </w:r>
      <w:proofErr w:type="spellStart"/>
      <w:r w:rsidRPr="00F00A67">
        <w:rPr>
          <w:rFonts w:ascii="Arial" w:hAnsi="Arial" w:cs="Arial"/>
          <w:b/>
          <w:u w:val="single"/>
        </w:rPr>
        <w:t>helminth</w:t>
      </w:r>
      <w:proofErr w:type="spellEnd"/>
      <w:r w:rsidRPr="00F00A67">
        <w:rPr>
          <w:rFonts w:ascii="Arial" w:hAnsi="Arial" w:cs="Arial"/>
          <w:b/>
          <w:u w:val="single"/>
        </w:rPr>
        <w:t xml:space="preserve"> co-infection is an unrecognised risk factor for increased pneumococcal carriage density and invasive disease.</w:t>
      </w:r>
    </w:p>
    <w:p w14:paraId="61090DED" w14:textId="77777777" w:rsidR="00EA4A77" w:rsidRPr="00F00A67" w:rsidRDefault="00EA4A77" w:rsidP="00EA4A77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</w:rPr>
        <w:t>Alice E. Law</w:t>
      </w:r>
      <w:r w:rsidRPr="00F00A67">
        <w:rPr>
          <w:rFonts w:ascii="Arial" w:hAnsi="Arial" w:cs="Arial"/>
          <w:sz w:val="20"/>
          <w:szCs w:val="20"/>
          <w:vertAlign w:val="superscript"/>
        </w:rPr>
        <w:t>1†</w:t>
      </w:r>
      <w:r w:rsidRPr="00F00A67">
        <w:rPr>
          <w:rFonts w:ascii="Arial" w:hAnsi="Arial" w:cs="Arial"/>
          <w:sz w:val="20"/>
          <w:szCs w:val="20"/>
        </w:rPr>
        <w:t>, Rebecca K. Shears</w:t>
      </w:r>
      <w:r w:rsidRPr="00F00A67">
        <w:rPr>
          <w:rFonts w:ascii="Arial" w:hAnsi="Arial" w:cs="Arial"/>
          <w:sz w:val="20"/>
          <w:szCs w:val="20"/>
          <w:vertAlign w:val="superscript"/>
        </w:rPr>
        <w:t>1†</w:t>
      </w:r>
      <w:r w:rsidRPr="00F00A67">
        <w:rPr>
          <w:rFonts w:ascii="Arial" w:hAnsi="Arial" w:cs="Arial"/>
          <w:sz w:val="20"/>
          <w:szCs w:val="20"/>
        </w:rPr>
        <w:t>, Andrea A. Lopez Rodas</w:t>
      </w:r>
      <w:r w:rsidRPr="00F00A67">
        <w:rPr>
          <w:rFonts w:ascii="Arial" w:hAnsi="Arial" w:cs="Arial"/>
          <w:sz w:val="20"/>
          <w:szCs w:val="20"/>
          <w:vertAlign w:val="superscript"/>
        </w:rPr>
        <w:t>2</w:t>
      </w:r>
      <w:r w:rsidRPr="00F00A67">
        <w:rPr>
          <w:rFonts w:ascii="Arial" w:hAnsi="Arial" w:cs="Arial"/>
          <w:sz w:val="20"/>
          <w:szCs w:val="20"/>
        </w:rPr>
        <w:t>, Richard K. Grencis</w:t>
      </w:r>
      <w:r w:rsidRPr="00F00A67">
        <w:rPr>
          <w:rFonts w:ascii="Arial" w:hAnsi="Arial" w:cs="Arial"/>
          <w:sz w:val="20"/>
          <w:szCs w:val="20"/>
          <w:vertAlign w:val="superscript"/>
        </w:rPr>
        <w:t>3</w:t>
      </w:r>
      <w:r w:rsidRPr="00F00A67">
        <w:rPr>
          <w:rFonts w:ascii="Arial" w:hAnsi="Arial" w:cs="Arial"/>
          <w:sz w:val="20"/>
          <w:szCs w:val="20"/>
        </w:rPr>
        <w:t>, Philip J. Cooper</w:t>
      </w:r>
      <w:r w:rsidRPr="00F00A67">
        <w:rPr>
          <w:rFonts w:ascii="Arial" w:hAnsi="Arial" w:cs="Arial"/>
          <w:sz w:val="20"/>
          <w:szCs w:val="20"/>
          <w:vertAlign w:val="superscript"/>
        </w:rPr>
        <w:t>2</w:t>
      </w:r>
      <w:proofErr w:type="gramStart"/>
      <w:r w:rsidRPr="00F00A67">
        <w:rPr>
          <w:rFonts w:ascii="Arial" w:hAnsi="Arial" w:cs="Arial"/>
          <w:sz w:val="20"/>
          <w:szCs w:val="20"/>
          <w:vertAlign w:val="superscript"/>
        </w:rPr>
        <w:t>,4</w:t>
      </w:r>
      <w:proofErr w:type="gramEnd"/>
      <w:r w:rsidRPr="00F00A67">
        <w:rPr>
          <w:rFonts w:ascii="Arial" w:hAnsi="Arial" w:cs="Arial"/>
          <w:sz w:val="20"/>
          <w:szCs w:val="20"/>
        </w:rPr>
        <w:t>, Daniel R. Neill</w:t>
      </w:r>
      <w:r w:rsidRPr="00F00A67">
        <w:rPr>
          <w:rFonts w:ascii="Arial" w:hAnsi="Arial" w:cs="Arial"/>
          <w:sz w:val="20"/>
          <w:szCs w:val="20"/>
          <w:vertAlign w:val="superscript"/>
        </w:rPr>
        <w:t>1*</w:t>
      </w:r>
      <w:r w:rsidRPr="00F00A67">
        <w:rPr>
          <w:rFonts w:ascii="Arial" w:hAnsi="Arial" w:cs="Arial"/>
          <w:sz w:val="20"/>
          <w:szCs w:val="20"/>
        </w:rPr>
        <w:t>, Aras Kadioglu</w:t>
      </w:r>
      <w:r w:rsidRPr="00F00A67">
        <w:rPr>
          <w:rFonts w:ascii="Arial" w:hAnsi="Arial" w:cs="Arial"/>
          <w:sz w:val="20"/>
          <w:szCs w:val="20"/>
          <w:vertAlign w:val="superscript"/>
        </w:rPr>
        <w:t>1*</w:t>
      </w:r>
      <w:r w:rsidRPr="00F00A67">
        <w:rPr>
          <w:rFonts w:ascii="Arial" w:hAnsi="Arial" w:cs="Arial"/>
          <w:b/>
          <w:sz w:val="20"/>
          <w:szCs w:val="20"/>
          <w:vertAlign w:val="superscript"/>
        </w:rPr>
        <w:t>¶</w:t>
      </w:r>
    </w:p>
    <w:p w14:paraId="33681B95" w14:textId="77777777" w:rsidR="00EA4A77" w:rsidRPr="00F00A67" w:rsidRDefault="00EA4A77" w:rsidP="00EA4A77">
      <w:pPr>
        <w:spacing w:line="48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3BF6FED7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1</w:t>
      </w:r>
      <w:r w:rsidRPr="00F00A67">
        <w:rPr>
          <w:rFonts w:ascii="Arial" w:hAnsi="Arial" w:cs="Arial"/>
          <w:sz w:val="20"/>
          <w:szCs w:val="20"/>
        </w:rPr>
        <w:t>Department of Clinical Immunology, Microbiology and Immunology, Institute of Infection, Veterinary and Ecological Sciences, University of Liverpool, Liverpool, UK</w:t>
      </w:r>
    </w:p>
    <w:p w14:paraId="0D9B6489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2</w:t>
      </w:r>
      <w:r w:rsidRPr="00F00A67">
        <w:rPr>
          <w:rFonts w:ascii="Arial" w:hAnsi="Arial" w:cs="Arial"/>
          <w:sz w:val="20"/>
          <w:szCs w:val="20"/>
          <w:shd w:val="clear" w:color="auto" w:fill="FFFFFF"/>
        </w:rPr>
        <w:t xml:space="preserve">School of Medicine, Universidad </w:t>
      </w:r>
      <w:proofErr w:type="spellStart"/>
      <w:r w:rsidRPr="00F00A67">
        <w:rPr>
          <w:rFonts w:ascii="Arial" w:hAnsi="Arial" w:cs="Arial"/>
          <w:sz w:val="20"/>
          <w:szCs w:val="20"/>
          <w:shd w:val="clear" w:color="auto" w:fill="FFFFFF"/>
        </w:rPr>
        <w:t>Internacional</w:t>
      </w:r>
      <w:proofErr w:type="spellEnd"/>
      <w:r w:rsidRPr="00F00A67">
        <w:rPr>
          <w:rFonts w:ascii="Arial" w:hAnsi="Arial" w:cs="Arial"/>
          <w:sz w:val="20"/>
          <w:szCs w:val="20"/>
          <w:shd w:val="clear" w:color="auto" w:fill="FFFFFF"/>
        </w:rPr>
        <w:t xml:space="preserve"> del Ecuador, Quito, Ecuador</w:t>
      </w:r>
    </w:p>
    <w:p w14:paraId="1D6C9ADD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3</w:t>
      </w:r>
      <w:r w:rsidRPr="00F00A67">
        <w:rPr>
          <w:rFonts w:ascii="Arial" w:hAnsi="Arial" w:cs="Arial"/>
          <w:sz w:val="20"/>
          <w:szCs w:val="20"/>
        </w:rPr>
        <w:t xml:space="preserve">School of Biological Sciences, Lydia Becker Institute of Immunology and Inflammation, </w:t>
      </w:r>
      <w:proofErr w:type="spellStart"/>
      <w:r w:rsidRPr="00F00A67">
        <w:rPr>
          <w:rFonts w:ascii="Arial" w:hAnsi="Arial" w:cs="Arial"/>
          <w:sz w:val="20"/>
          <w:szCs w:val="20"/>
        </w:rPr>
        <w:t>Wellcome</w:t>
      </w:r>
      <w:proofErr w:type="spellEnd"/>
      <w:r w:rsidRPr="00F00A67">
        <w:rPr>
          <w:rFonts w:ascii="Arial" w:hAnsi="Arial" w:cs="Arial"/>
          <w:sz w:val="20"/>
          <w:szCs w:val="20"/>
        </w:rPr>
        <w:t xml:space="preserve"> Centre for Cell Matrix Research, Faculty of Biology, Medicine and Health, Manchester Academic Health Science Centre, University of Manchester, Manchester, UK</w:t>
      </w:r>
    </w:p>
    <w:p w14:paraId="6A7DC183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4</w:t>
      </w:r>
      <w:r w:rsidRPr="00F00A67">
        <w:rPr>
          <w:rFonts w:ascii="Arial" w:hAnsi="Arial" w:cs="Arial"/>
          <w:sz w:val="20"/>
          <w:szCs w:val="20"/>
        </w:rPr>
        <w:t>Institute of Infection and Immunity, St George’s University of London</w:t>
      </w:r>
    </w:p>
    <w:p w14:paraId="7575A563" w14:textId="77777777" w:rsidR="00EA4A77" w:rsidRPr="00F00A67" w:rsidRDefault="00EA4A77" w:rsidP="00EA4A77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3D56CF43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†</w:t>
      </w:r>
      <w:r w:rsidRPr="00F00A67">
        <w:rPr>
          <w:rFonts w:ascii="Arial" w:hAnsi="Arial" w:cs="Arial"/>
          <w:sz w:val="20"/>
          <w:szCs w:val="20"/>
        </w:rPr>
        <w:t>These authors contributed equally</w:t>
      </w:r>
    </w:p>
    <w:p w14:paraId="465A0067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  <w:vertAlign w:val="superscript"/>
        </w:rPr>
        <w:t>*</w:t>
      </w:r>
      <w:r w:rsidRPr="00F00A67">
        <w:rPr>
          <w:rFonts w:ascii="Arial" w:hAnsi="Arial" w:cs="Arial"/>
          <w:sz w:val="20"/>
          <w:szCs w:val="20"/>
        </w:rPr>
        <w:t>Co-senior authors</w:t>
      </w:r>
    </w:p>
    <w:p w14:paraId="05CE38B4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361F73B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bCs/>
          <w:sz w:val="20"/>
          <w:szCs w:val="20"/>
          <w:vertAlign w:val="superscript"/>
        </w:rPr>
      </w:pPr>
      <w:r w:rsidRPr="00F00A67">
        <w:rPr>
          <w:rFonts w:ascii="Arial" w:hAnsi="Arial" w:cs="Arial"/>
          <w:b/>
          <w:sz w:val="20"/>
          <w:szCs w:val="20"/>
          <w:vertAlign w:val="superscript"/>
        </w:rPr>
        <w:t xml:space="preserve">¶ </w:t>
      </w:r>
      <w:r w:rsidRPr="00F00A67">
        <w:rPr>
          <w:rFonts w:ascii="Arial" w:hAnsi="Arial" w:cs="Arial"/>
          <w:sz w:val="20"/>
          <w:szCs w:val="20"/>
        </w:rPr>
        <w:t xml:space="preserve">Correspondence to: </w:t>
      </w:r>
    </w:p>
    <w:p w14:paraId="705661DB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F00A67">
        <w:rPr>
          <w:rFonts w:ascii="Arial" w:hAnsi="Arial" w:cs="Arial"/>
          <w:sz w:val="20"/>
          <w:szCs w:val="20"/>
        </w:rPr>
        <w:t>Prof.</w:t>
      </w:r>
      <w:proofErr w:type="spellEnd"/>
      <w:r w:rsidRPr="00F00A67">
        <w:rPr>
          <w:rFonts w:ascii="Arial" w:hAnsi="Arial" w:cs="Arial"/>
          <w:sz w:val="20"/>
          <w:szCs w:val="20"/>
        </w:rPr>
        <w:t xml:space="preserve"> Aras </w:t>
      </w:r>
      <w:proofErr w:type="spellStart"/>
      <w:r w:rsidRPr="00F00A67">
        <w:rPr>
          <w:rFonts w:ascii="Arial" w:hAnsi="Arial" w:cs="Arial"/>
          <w:sz w:val="20"/>
          <w:szCs w:val="20"/>
        </w:rPr>
        <w:t>Kadioglu</w:t>
      </w:r>
      <w:proofErr w:type="spellEnd"/>
    </w:p>
    <w:p w14:paraId="3CF4FD14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sz w:val="20"/>
          <w:szCs w:val="20"/>
        </w:rPr>
        <w:t>Department of Clinical Immunology, Microbiology and Immunology, Institute of Infection and Global Health, University of Liverpool, Liverpool, UK</w:t>
      </w:r>
    </w:p>
    <w:p w14:paraId="1D9DBF1C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00A67">
        <w:rPr>
          <w:rFonts w:ascii="Arial" w:hAnsi="Arial" w:cs="Arial"/>
          <w:sz w:val="20"/>
          <w:szCs w:val="20"/>
        </w:rPr>
        <w:t>a</w:t>
      </w:r>
      <w:proofErr w:type="gramEnd"/>
      <w:r w:rsidRPr="00F00A67">
        <w:rPr>
          <w:rFonts w:ascii="Arial" w:hAnsi="Arial" w:cs="Arial"/>
          <w:sz w:val="20"/>
          <w:szCs w:val="20"/>
        </w:rPr>
        <w:t>.kadioglu@liverpool.ac.uk</w:t>
      </w:r>
    </w:p>
    <w:p w14:paraId="47B95CA7" w14:textId="77777777" w:rsidR="00EA4A77" w:rsidRPr="00F00A67" w:rsidRDefault="00EA4A77" w:rsidP="00EA4A7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p w14:paraId="2D245773" w14:textId="77777777" w:rsidR="00EA4A77" w:rsidRPr="00F00A67" w:rsidRDefault="00EA4A77" w:rsidP="00EA4A77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00A67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Key words: </w:t>
      </w:r>
      <w:r w:rsidRPr="00F00A67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pneumococcus, nasopharyngeal carriage, invasive pneumococcal disease, co-infection, </w:t>
      </w:r>
      <w:proofErr w:type="spellStart"/>
      <w:proofErr w:type="gramStart"/>
      <w:r w:rsidRPr="00F00A67">
        <w:rPr>
          <w:rFonts w:ascii="Arial" w:eastAsia="Times New Roman" w:hAnsi="Arial" w:cs="Arial"/>
          <w:sz w:val="20"/>
          <w:szCs w:val="20"/>
          <w:shd w:val="clear" w:color="auto" w:fill="FFFFFF"/>
        </w:rPr>
        <w:t>helminths</w:t>
      </w:r>
      <w:proofErr w:type="spellEnd"/>
      <w:proofErr w:type="gramEnd"/>
      <w:r w:rsidRPr="00F00A67"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</w:p>
    <w:p w14:paraId="663B9604" w14:textId="77777777" w:rsidR="00EA4A77" w:rsidRPr="00F00A67" w:rsidRDefault="00EA4A77" w:rsidP="00EA4A77">
      <w:pPr>
        <w:spacing w:line="360" w:lineRule="auto"/>
        <w:jc w:val="bot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16F6FCFC" w14:textId="77777777" w:rsidR="00EA4A77" w:rsidRPr="00F00A67" w:rsidRDefault="00EA4A77" w:rsidP="00EA4A77">
      <w:pPr>
        <w:spacing w:line="360" w:lineRule="auto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</w:p>
    <w:p w14:paraId="1C5407BF" w14:textId="77777777" w:rsidR="00EA4A77" w:rsidRPr="00F00A67" w:rsidRDefault="00EA4A77" w:rsidP="00EA4A77">
      <w:pPr>
        <w:spacing w:line="360" w:lineRule="auto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</w:p>
    <w:p w14:paraId="5EB9E6B4" w14:textId="77777777" w:rsidR="00EA4A77" w:rsidRPr="00F00A67" w:rsidRDefault="00EA4A77" w:rsidP="00EA4A77">
      <w:pPr>
        <w:spacing w:line="360" w:lineRule="auto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</w:p>
    <w:p w14:paraId="1CD469B3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1BE7B77E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237730D8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2E99A0AB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56B57D90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0B9ED50F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67604875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3C8B08E" w14:textId="77777777" w:rsidR="00EA4A77" w:rsidRPr="00F00A67" w:rsidRDefault="00EA4A77" w:rsidP="00EA4A77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2A21AE" w14:textId="77777777" w:rsidR="00EA4A77" w:rsidRPr="00F00A67" w:rsidRDefault="00EA4A77" w:rsidP="00EA4A77">
      <w:pPr>
        <w:spacing w:line="360" w:lineRule="auto"/>
        <w:rPr>
          <w:rFonts w:ascii="Arial" w:hAnsi="Arial" w:cs="Arial"/>
          <w:sz w:val="20"/>
          <w:szCs w:val="20"/>
        </w:rPr>
      </w:pPr>
    </w:p>
    <w:p w14:paraId="6C5B1834" w14:textId="77777777" w:rsidR="00EA4A77" w:rsidRPr="00F00A67" w:rsidRDefault="00EA4A77" w:rsidP="00EA4A77">
      <w:pPr>
        <w:spacing w:line="480" w:lineRule="auto"/>
        <w:jc w:val="both"/>
        <w:rPr>
          <w:rFonts w:ascii="Arial" w:eastAsia="Times New Roman" w:hAnsi="Arial" w:cs="Arial"/>
          <w:b/>
          <w:sz w:val="20"/>
          <w:szCs w:val="20"/>
          <w:shd w:val="clear" w:color="auto" w:fill="FFFFFF"/>
        </w:rPr>
      </w:pPr>
    </w:p>
    <w:p w14:paraId="7DBC76CD" w14:textId="77777777" w:rsidR="00EA4A77" w:rsidRPr="00F00A67" w:rsidRDefault="00EA4A77" w:rsidP="00EA4A77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b/>
          <w:bCs/>
          <w:sz w:val="20"/>
          <w:szCs w:val="20"/>
        </w:rPr>
        <w:lastRenderedPageBreak/>
        <w:t xml:space="preserve">Fig S1. </w:t>
      </w:r>
      <w:r w:rsidRPr="00F00A67">
        <w:rPr>
          <w:rFonts w:ascii="Arial" w:hAnsi="Arial" w:cs="Arial"/>
          <w:b/>
          <w:sz w:val="20"/>
          <w:szCs w:val="20"/>
        </w:rPr>
        <w:t>Anthelminthic (</w:t>
      </w:r>
      <w:proofErr w:type="spellStart"/>
      <w:r w:rsidRPr="00F00A67">
        <w:rPr>
          <w:rFonts w:ascii="Arial" w:hAnsi="Arial" w:cs="Arial"/>
          <w:b/>
          <w:sz w:val="20"/>
          <w:szCs w:val="20"/>
        </w:rPr>
        <w:t>mebendazole</w:t>
      </w:r>
      <w:proofErr w:type="spellEnd"/>
      <w:r w:rsidRPr="00F00A67">
        <w:rPr>
          <w:rFonts w:ascii="Arial" w:hAnsi="Arial" w:cs="Arial"/>
          <w:b/>
          <w:sz w:val="20"/>
          <w:szCs w:val="20"/>
        </w:rPr>
        <w:t xml:space="preserve">) treatment led to a small reduction in nasopharyngeal bacterial load. </w:t>
      </w:r>
      <w:proofErr w:type="spellStart"/>
      <w:r w:rsidRPr="00F00A67">
        <w:rPr>
          <w:rFonts w:ascii="Arial" w:hAnsi="Arial" w:cs="Arial"/>
          <w:i/>
          <w:sz w:val="20"/>
          <w:szCs w:val="20"/>
        </w:rPr>
        <w:t>S.p</w:t>
      </w:r>
      <w:proofErr w:type="spellEnd"/>
      <w:r w:rsidRPr="00F00A67">
        <w:rPr>
          <w:rFonts w:ascii="Arial" w:hAnsi="Arial" w:cs="Arial"/>
          <w:i/>
          <w:sz w:val="20"/>
          <w:szCs w:val="20"/>
        </w:rPr>
        <w:t>.</w:t>
      </w:r>
      <w:r w:rsidRPr="00F00A67">
        <w:rPr>
          <w:rFonts w:ascii="Arial" w:hAnsi="Arial" w:cs="Arial"/>
          <w:sz w:val="20"/>
          <w:szCs w:val="20"/>
        </w:rPr>
        <w:t xml:space="preserve">= </w:t>
      </w:r>
      <w:r w:rsidRPr="00F00A67">
        <w:rPr>
          <w:rFonts w:ascii="Arial" w:hAnsi="Arial" w:cs="Arial"/>
          <w:i/>
          <w:sz w:val="20"/>
          <w:szCs w:val="20"/>
        </w:rPr>
        <w:t>S. </w:t>
      </w:r>
      <w:proofErr w:type="spellStart"/>
      <w:r w:rsidRPr="00F00A67">
        <w:rPr>
          <w:rFonts w:ascii="Arial" w:hAnsi="Arial" w:cs="Arial"/>
          <w:i/>
          <w:sz w:val="20"/>
          <w:szCs w:val="20"/>
        </w:rPr>
        <w:t>pneumoniae</w:t>
      </w:r>
      <w:proofErr w:type="spellEnd"/>
      <w:r w:rsidRPr="00F00A67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00A67">
        <w:rPr>
          <w:rFonts w:ascii="Arial" w:hAnsi="Arial" w:cs="Arial"/>
          <w:i/>
          <w:sz w:val="20"/>
          <w:szCs w:val="20"/>
        </w:rPr>
        <w:t>T.m</w:t>
      </w:r>
      <w:proofErr w:type="spellEnd"/>
      <w:r w:rsidRPr="00F00A67">
        <w:rPr>
          <w:rFonts w:ascii="Arial" w:hAnsi="Arial" w:cs="Arial"/>
          <w:i/>
          <w:sz w:val="20"/>
          <w:szCs w:val="20"/>
        </w:rPr>
        <w:t xml:space="preserve">.= T. </w:t>
      </w:r>
      <w:proofErr w:type="spellStart"/>
      <w:r w:rsidRPr="00F00A67">
        <w:rPr>
          <w:rFonts w:ascii="Arial" w:hAnsi="Arial" w:cs="Arial"/>
          <w:i/>
          <w:sz w:val="20"/>
          <w:szCs w:val="20"/>
        </w:rPr>
        <w:t>muris</w:t>
      </w:r>
      <w:proofErr w:type="spellEnd"/>
      <w:r w:rsidRPr="00F00A67">
        <w:rPr>
          <w:rFonts w:ascii="Arial" w:hAnsi="Arial" w:cs="Arial"/>
          <w:i/>
          <w:sz w:val="20"/>
          <w:szCs w:val="20"/>
        </w:rPr>
        <w:t xml:space="preserve">, </w:t>
      </w:r>
      <w:r w:rsidRPr="00F00A67">
        <w:rPr>
          <w:rFonts w:ascii="Arial" w:hAnsi="Arial" w:cs="Arial"/>
          <w:sz w:val="20"/>
          <w:szCs w:val="20"/>
        </w:rPr>
        <w:t xml:space="preserve">MBZ= </w:t>
      </w:r>
      <w:proofErr w:type="spellStart"/>
      <w:r w:rsidRPr="00F00A67">
        <w:rPr>
          <w:rFonts w:ascii="Arial" w:hAnsi="Arial" w:cs="Arial"/>
          <w:sz w:val="20"/>
          <w:szCs w:val="20"/>
        </w:rPr>
        <w:t>mebendazole</w:t>
      </w:r>
      <w:proofErr w:type="spellEnd"/>
      <w:r w:rsidRPr="00F00A67">
        <w:rPr>
          <w:rFonts w:ascii="Arial" w:hAnsi="Arial" w:cs="Arial"/>
          <w:sz w:val="20"/>
          <w:szCs w:val="20"/>
        </w:rPr>
        <w:t>. Mean and SEM are indicated.</w:t>
      </w:r>
    </w:p>
    <w:p w14:paraId="422696AD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00A67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550F8346" wp14:editId="4F2BE773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983865" cy="3009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F3C98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F747394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182BEE0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FE13D24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EF35689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84B9D8C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7E7E8DD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6DD3A6E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0176721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CDC1650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250ACD1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C02A66B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CB71E33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80E87BC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079FEDC" w14:textId="77777777" w:rsidR="00425EF1" w:rsidRPr="00F00A67" w:rsidRDefault="00425EF1" w:rsidP="00EA4A7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332DCF1" w14:textId="77777777" w:rsidR="00EA4A77" w:rsidRPr="00F00A67" w:rsidRDefault="00EA4A77" w:rsidP="00EA4A7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0A67">
        <w:rPr>
          <w:rFonts w:ascii="Arial" w:hAnsi="Arial" w:cs="Arial"/>
          <w:b/>
          <w:sz w:val="20"/>
          <w:szCs w:val="20"/>
        </w:rPr>
        <w:t xml:space="preserve">Fig S2. </w:t>
      </w:r>
      <w:proofErr w:type="gramStart"/>
      <w:r w:rsidRPr="00F00A67">
        <w:rPr>
          <w:rFonts w:ascii="Arial" w:hAnsi="Arial" w:cs="Arial"/>
          <w:b/>
          <w:sz w:val="20"/>
          <w:szCs w:val="20"/>
        </w:rPr>
        <w:t xml:space="preserve">Correlation between </w:t>
      </w:r>
      <w:proofErr w:type="spellStart"/>
      <w:r w:rsidRPr="00F00A67">
        <w:rPr>
          <w:rFonts w:ascii="Arial" w:hAnsi="Arial" w:cs="Arial"/>
          <w:b/>
          <w:i/>
          <w:sz w:val="20"/>
          <w:szCs w:val="20"/>
        </w:rPr>
        <w:t>lytA</w:t>
      </w:r>
      <w:proofErr w:type="spellEnd"/>
      <w:r w:rsidRPr="00F00A67">
        <w:rPr>
          <w:rFonts w:ascii="Arial" w:hAnsi="Arial" w:cs="Arial"/>
          <w:b/>
          <w:i/>
          <w:sz w:val="20"/>
          <w:szCs w:val="20"/>
        </w:rPr>
        <w:t xml:space="preserve"> </w:t>
      </w:r>
      <w:r w:rsidRPr="00F00A67">
        <w:rPr>
          <w:rFonts w:ascii="Arial" w:hAnsi="Arial" w:cs="Arial"/>
          <w:b/>
          <w:sz w:val="20"/>
          <w:szCs w:val="20"/>
        </w:rPr>
        <w:t xml:space="preserve">and </w:t>
      </w:r>
      <w:proofErr w:type="spellStart"/>
      <w:r w:rsidRPr="00F00A67">
        <w:rPr>
          <w:rFonts w:ascii="Arial" w:hAnsi="Arial" w:cs="Arial"/>
          <w:b/>
          <w:i/>
          <w:sz w:val="20"/>
          <w:szCs w:val="20"/>
        </w:rPr>
        <w:t>cpsA</w:t>
      </w:r>
      <w:proofErr w:type="spellEnd"/>
      <w:r w:rsidRPr="00F00A67">
        <w:rPr>
          <w:rFonts w:ascii="Arial" w:hAnsi="Arial" w:cs="Arial"/>
          <w:b/>
          <w:i/>
          <w:sz w:val="20"/>
          <w:szCs w:val="20"/>
        </w:rPr>
        <w:t xml:space="preserve"> </w:t>
      </w:r>
      <w:r w:rsidRPr="00F00A67">
        <w:rPr>
          <w:rFonts w:ascii="Arial" w:hAnsi="Arial" w:cs="Arial"/>
          <w:b/>
          <w:sz w:val="20"/>
          <w:szCs w:val="20"/>
        </w:rPr>
        <w:t>DNA copies.</w:t>
      </w:r>
      <w:proofErr w:type="gramEnd"/>
      <w:r w:rsidRPr="00F00A67">
        <w:rPr>
          <w:rFonts w:ascii="Arial" w:hAnsi="Arial" w:cs="Arial"/>
          <w:b/>
          <w:sz w:val="20"/>
          <w:szCs w:val="20"/>
        </w:rPr>
        <w:t xml:space="preserve"> </w:t>
      </w:r>
      <w:r w:rsidRPr="00F00A67">
        <w:rPr>
          <w:rFonts w:ascii="Arial" w:hAnsi="Arial" w:cs="Arial"/>
          <w:sz w:val="20"/>
          <w:szCs w:val="20"/>
        </w:rPr>
        <w:t>To address concerns of the specificity</w:t>
      </w:r>
      <w:r w:rsidRPr="00F00A67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F00A67">
        <w:rPr>
          <w:rFonts w:ascii="Arial" w:hAnsi="Arial" w:cs="Arial"/>
          <w:sz w:val="20"/>
          <w:szCs w:val="20"/>
        </w:rPr>
        <w:t>oropharyngeal</w:t>
      </w:r>
      <w:proofErr w:type="spellEnd"/>
      <w:r w:rsidRPr="00F00A67">
        <w:rPr>
          <w:rFonts w:ascii="Arial" w:hAnsi="Arial" w:cs="Arial"/>
          <w:sz w:val="20"/>
          <w:szCs w:val="20"/>
        </w:rPr>
        <w:t xml:space="preserve"> pneumococcal carriage density was assessed via </w:t>
      </w:r>
      <w:proofErr w:type="spellStart"/>
      <w:r w:rsidRPr="00F00A67">
        <w:rPr>
          <w:rFonts w:ascii="Arial" w:hAnsi="Arial" w:cs="Arial"/>
          <w:sz w:val="20"/>
          <w:szCs w:val="20"/>
        </w:rPr>
        <w:t>qPCR</w:t>
      </w:r>
      <w:proofErr w:type="spellEnd"/>
      <w:r w:rsidRPr="00F00A67">
        <w:rPr>
          <w:rFonts w:ascii="Arial" w:hAnsi="Arial" w:cs="Arial"/>
          <w:sz w:val="20"/>
          <w:szCs w:val="20"/>
        </w:rPr>
        <w:t xml:space="preserve"> targeting both </w:t>
      </w:r>
      <w:proofErr w:type="spellStart"/>
      <w:r w:rsidRPr="00F00A67">
        <w:rPr>
          <w:rFonts w:ascii="Arial" w:hAnsi="Arial" w:cs="Arial"/>
          <w:i/>
          <w:iCs/>
          <w:sz w:val="20"/>
          <w:szCs w:val="20"/>
        </w:rPr>
        <w:t>lytA</w:t>
      </w:r>
      <w:proofErr w:type="spellEnd"/>
      <w:r w:rsidRPr="00F00A67">
        <w:rPr>
          <w:rFonts w:ascii="Arial" w:hAnsi="Arial" w:cs="Arial"/>
          <w:iCs/>
          <w:sz w:val="20"/>
          <w:szCs w:val="20"/>
        </w:rPr>
        <w:t xml:space="preserve"> </w:t>
      </w:r>
      <w:r w:rsidRPr="00F00A67">
        <w:rPr>
          <w:rFonts w:ascii="Arial" w:hAnsi="Arial" w:cs="Arial"/>
          <w:sz w:val="20"/>
          <w:szCs w:val="20"/>
        </w:rPr>
        <w:t xml:space="preserve">and the </w:t>
      </w:r>
      <w:proofErr w:type="spellStart"/>
      <w:r w:rsidRPr="00F00A67">
        <w:rPr>
          <w:rFonts w:ascii="Arial" w:hAnsi="Arial" w:cs="Arial"/>
          <w:i/>
          <w:iCs/>
          <w:sz w:val="20"/>
          <w:szCs w:val="20"/>
        </w:rPr>
        <w:t>cpsA</w:t>
      </w:r>
      <w:proofErr w:type="spellEnd"/>
      <w:r w:rsidRPr="00F00A67">
        <w:rPr>
          <w:rFonts w:ascii="Arial" w:hAnsi="Arial" w:cs="Arial"/>
          <w:i/>
          <w:iCs/>
          <w:sz w:val="20"/>
          <w:szCs w:val="20"/>
        </w:rPr>
        <w:t xml:space="preserve"> </w:t>
      </w:r>
      <w:r w:rsidRPr="00F00A67">
        <w:rPr>
          <w:rFonts w:ascii="Arial" w:hAnsi="Arial" w:cs="Arial"/>
          <w:sz w:val="20"/>
          <w:szCs w:val="20"/>
        </w:rPr>
        <w:t xml:space="preserve">genes. There was a positive correlation between pneumococcal DNA copies of both genes as determined by </w:t>
      </w:r>
      <w:proofErr w:type="spellStart"/>
      <w:r w:rsidRPr="00F00A67">
        <w:rPr>
          <w:rFonts w:ascii="Arial" w:hAnsi="Arial" w:cs="Arial"/>
          <w:i/>
          <w:iCs/>
          <w:sz w:val="20"/>
          <w:szCs w:val="20"/>
        </w:rPr>
        <w:t>cpsA</w:t>
      </w:r>
      <w:proofErr w:type="spellEnd"/>
      <w:r w:rsidRPr="00F00A67">
        <w:rPr>
          <w:rFonts w:ascii="Arial" w:hAnsi="Arial" w:cs="Arial"/>
          <w:iCs/>
          <w:sz w:val="20"/>
          <w:szCs w:val="20"/>
        </w:rPr>
        <w:t xml:space="preserve"> </w:t>
      </w:r>
      <w:r w:rsidRPr="00F00A67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F00A67">
        <w:rPr>
          <w:rFonts w:ascii="Arial" w:hAnsi="Arial" w:cs="Arial"/>
          <w:i/>
          <w:iCs/>
          <w:sz w:val="20"/>
          <w:szCs w:val="20"/>
        </w:rPr>
        <w:t>lytA</w:t>
      </w:r>
      <w:proofErr w:type="spellEnd"/>
      <w:r w:rsidRPr="00F00A67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F00A67">
        <w:rPr>
          <w:rFonts w:ascii="Arial" w:hAnsi="Arial" w:cs="Arial"/>
          <w:sz w:val="20"/>
          <w:szCs w:val="20"/>
        </w:rPr>
        <w:t>qPCR</w:t>
      </w:r>
      <w:proofErr w:type="spellEnd"/>
      <w:r w:rsidRPr="00F00A67">
        <w:rPr>
          <w:rFonts w:ascii="Arial" w:hAnsi="Arial" w:cs="Arial"/>
          <w:sz w:val="20"/>
          <w:szCs w:val="20"/>
        </w:rPr>
        <w:t xml:space="preserve"> (</w:t>
      </w:r>
      <w:r w:rsidRPr="00F00A67">
        <w:rPr>
          <w:rFonts w:ascii="Arial" w:hAnsi="Arial" w:cs="Arial"/>
          <w:i/>
          <w:sz w:val="20"/>
          <w:szCs w:val="20"/>
        </w:rPr>
        <w:t xml:space="preserve">P </w:t>
      </w:r>
      <w:r w:rsidRPr="00F00A67">
        <w:rPr>
          <w:rFonts w:ascii="Arial" w:hAnsi="Arial" w:cs="Arial"/>
          <w:sz w:val="20"/>
          <w:szCs w:val="20"/>
        </w:rPr>
        <w:t xml:space="preserve">&lt; 0.0001). </w:t>
      </w:r>
    </w:p>
    <w:p w14:paraId="3152EB09" w14:textId="10972D50" w:rsidR="00A434D3" w:rsidRPr="00F00A67" w:rsidRDefault="00D6671A">
      <w:r w:rsidRPr="00F00A67">
        <w:rPr>
          <w:noProof/>
          <w:lang w:val="en-US"/>
        </w:rPr>
        <w:drawing>
          <wp:inline distT="0" distB="0" distL="0" distR="0" wp14:anchorId="12B2153B" wp14:editId="54E530A1">
            <wp:extent cx="3822699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69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A434D3" w:rsidRPr="00F00A67" w:rsidSect="00A434D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77"/>
    <w:rsid w:val="00425EF1"/>
    <w:rsid w:val="00A434D3"/>
    <w:rsid w:val="00D6671A"/>
    <w:rsid w:val="00EA4A77"/>
    <w:rsid w:val="00F0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AEED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E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E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1500</Characters>
  <Application>Microsoft Macintosh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mqbssgy2</dc:creator>
  <cp:keywords/>
  <dc:description/>
  <cp:lastModifiedBy>mqbssgy2</cp:lastModifiedBy>
  <cp:revision>4</cp:revision>
  <dcterms:created xsi:type="dcterms:W3CDTF">2020-11-25T14:13:00Z</dcterms:created>
  <dcterms:modified xsi:type="dcterms:W3CDTF">2020-11-26T10:57:00Z</dcterms:modified>
</cp:coreProperties>
</file>