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6EF" w:rsidRPr="0079125A" w:rsidRDefault="00FD56EF" w:rsidP="00FD56EF">
      <w:pPr>
        <w:shd w:val="clear" w:color="auto" w:fill="FFFFFF"/>
        <w:spacing w:after="100" w:afterAutospacing="1" w:line="480" w:lineRule="auto"/>
        <w:outlineLvl w:val="1"/>
        <w:rPr>
          <w:rFonts w:ascii="Times New Roman" w:eastAsia="Times New Roman" w:hAnsi="Times New Roman" w:cs="Times New Roman"/>
          <w:bCs/>
          <w:sz w:val="24"/>
          <w:szCs w:val="24"/>
        </w:rPr>
      </w:pPr>
      <w:bookmarkStart w:id="0" w:name="_GoBack"/>
      <w:bookmarkEnd w:id="0"/>
      <w:r w:rsidRPr="0079125A">
        <w:rPr>
          <w:rFonts w:ascii="Times New Roman" w:eastAsia="Times New Roman" w:hAnsi="Times New Roman" w:cs="Times New Roman"/>
          <w:bCs/>
          <w:sz w:val="24"/>
          <w:szCs w:val="24"/>
          <w:u w:val="single"/>
        </w:rPr>
        <w:t>Abstract</w:t>
      </w:r>
      <w:r w:rsidR="007E1596">
        <w:rPr>
          <w:rFonts w:ascii="Times New Roman" w:eastAsia="Times New Roman" w:hAnsi="Times New Roman" w:cs="Times New Roman"/>
          <w:bCs/>
          <w:sz w:val="24"/>
          <w:szCs w:val="24"/>
          <w:u w:val="single"/>
        </w:rPr>
        <w:br/>
      </w:r>
      <w:r w:rsidR="007E1596">
        <w:rPr>
          <w:rFonts w:ascii="Times New Roman" w:eastAsia="Times New Roman" w:hAnsi="Times New Roman" w:cs="Times New Roman"/>
          <w:bCs/>
          <w:sz w:val="24"/>
          <w:szCs w:val="24"/>
          <w:u w:val="single"/>
        </w:rPr>
        <w:br/>
        <w:t>Background</w:t>
      </w:r>
      <w:r>
        <w:rPr>
          <w:rFonts w:ascii="Times New Roman" w:eastAsia="Times New Roman" w:hAnsi="Times New Roman" w:cs="Times New Roman"/>
          <w:bCs/>
          <w:sz w:val="24"/>
          <w:szCs w:val="24"/>
          <w:u w:val="single"/>
        </w:rPr>
        <w:br/>
      </w:r>
      <w:r>
        <w:rPr>
          <w:rFonts w:ascii="Times New Roman" w:eastAsia="Times New Roman" w:hAnsi="Times New Roman" w:cs="Times New Roman"/>
          <w:bCs/>
          <w:sz w:val="24"/>
          <w:szCs w:val="24"/>
        </w:rPr>
        <w:t xml:space="preserve">Orthostatic hypotension that occurs </w:t>
      </w:r>
      <w:r w:rsidRPr="0079125A">
        <w:rPr>
          <w:rFonts w:ascii="Times New Roman" w:hAnsi="Times New Roman" w:cs="Times New Roman"/>
          <w:sz w:val="24"/>
          <w:szCs w:val="24"/>
        </w:rPr>
        <w:t>within</w:t>
      </w:r>
      <w:r>
        <w:rPr>
          <w:rFonts w:ascii="Times New Roman" w:hAnsi="Times New Roman" w:cs="Times New Roman"/>
          <w:sz w:val="24"/>
          <w:szCs w:val="24"/>
        </w:rPr>
        <w:t>, or at, one minute of standing</w:t>
      </w:r>
      <w:r w:rsidRPr="0079125A">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79125A">
        <w:rPr>
          <w:rFonts w:ascii="Times New Roman" w:hAnsi="Times New Roman" w:cs="Times New Roman"/>
          <w:sz w:val="24"/>
          <w:szCs w:val="24"/>
        </w:rPr>
        <w:t xml:space="preserve">associated with higher risk of falls, myocardial infarction, syncope and mortality, compared </w:t>
      </w:r>
      <w:r>
        <w:rPr>
          <w:rFonts w:ascii="Times New Roman" w:hAnsi="Times New Roman" w:cs="Times New Roman"/>
          <w:sz w:val="24"/>
          <w:szCs w:val="24"/>
        </w:rPr>
        <w:t xml:space="preserve">to orthostatic hypotension that occurs after one minute of standing. Whether vitamin D deficiency increases risk of orthostatic hypotension is controversial. </w:t>
      </w:r>
      <w:r>
        <w:rPr>
          <w:rFonts w:ascii="Times New Roman" w:eastAsia="Times New Roman" w:hAnsi="Times New Roman" w:cs="Times New Roman"/>
          <w:bCs/>
          <w:sz w:val="24"/>
          <w:szCs w:val="24"/>
        </w:rPr>
        <w:br/>
      </w:r>
      <w:r>
        <w:rPr>
          <w:rFonts w:ascii="Times New Roman" w:eastAsia="Times New Roman" w:hAnsi="Times New Roman" w:cs="Times New Roman"/>
          <w:bCs/>
          <w:sz w:val="24"/>
          <w:szCs w:val="24"/>
          <w:u w:val="single"/>
        </w:rPr>
        <w:br/>
        <w:t>Methods</w:t>
      </w:r>
      <w:r w:rsidRPr="0079125A">
        <w:rPr>
          <w:rFonts w:ascii="Times New Roman" w:eastAsia="Times New Roman" w:hAnsi="Times New Roman" w:cs="Times New Roman"/>
          <w:bCs/>
          <w:sz w:val="24"/>
          <w:szCs w:val="24"/>
        </w:rPr>
        <w:br/>
      </w:r>
      <w:r>
        <w:rPr>
          <w:rFonts w:ascii="Times New Roman" w:eastAsia="Times New Roman" w:hAnsi="Times New Roman" w:cs="Times New Roman"/>
          <w:bCs/>
          <w:sz w:val="24"/>
          <w:szCs w:val="24"/>
        </w:rPr>
        <w:t xml:space="preserve">This was a cross-sectional analysis of </w:t>
      </w:r>
      <w:r w:rsidRPr="0079125A">
        <w:rPr>
          <w:rFonts w:ascii="Times New Roman" w:eastAsia="Times New Roman" w:hAnsi="Times New Roman" w:cs="Times New Roman"/>
          <w:bCs/>
          <w:sz w:val="24"/>
          <w:szCs w:val="24"/>
        </w:rPr>
        <w:t xml:space="preserve">3620 </w:t>
      </w:r>
      <w:r>
        <w:rPr>
          <w:rFonts w:ascii="Times New Roman" w:eastAsia="Times New Roman" w:hAnsi="Times New Roman" w:cs="Times New Roman"/>
          <w:bCs/>
          <w:sz w:val="24"/>
          <w:szCs w:val="24"/>
        </w:rPr>
        <w:t xml:space="preserve">older, </w:t>
      </w:r>
      <w:r w:rsidRPr="0079125A">
        <w:rPr>
          <w:rFonts w:ascii="Times New Roman" w:eastAsia="Times New Roman" w:hAnsi="Times New Roman" w:cs="Times New Roman"/>
          <w:bCs/>
          <w:sz w:val="24"/>
          <w:szCs w:val="24"/>
        </w:rPr>
        <w:t>community-dwelling m</w:t>
      </w:r>
      <w:r>
        <w:rPr>
          <w:rFonts w:ascii="Times New Roman" w:eastAsia="Times New Roman" w:hAnsi="Times New Roman" w:cs="Times New Roman"/>
          <w:bCs/>
          <w:sz w:val="24"/>
          <w:szCs w:val="24"/>
        </w:rPr>
        <w:t>en</w:t>
      </w:r>
      <w:r w:rsidR="004214E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79125A">
        <w:rPr>
          <w:rFonts w:ascii="Times New Roman" w:eastAsia="Times New Roman" w:hAnsi="Times New Roman" w:cs="Times New Roman"/>
          <w:bCs/>
          <w:sz w:val="24"/>
          <w:szCs w:val="24"/>
        </w:rPr>
        <w:t>Multinomial, multiple logistic regression m</w:t>
      </w:r>
      <w:r>
        <w:rPr>
          <w:rFonts w:ascii="Times New Roman" w:eastAsia="Times New Roman" w:hAnsi="Times New Roman" w:cs="Times New Roman"/>
          <w:bCs/>
          <w:sz w:val="24"/>
          <w:szCs w:val="24"/>
        </w:rPr>
        <w:t>odels were used to calculate</w:t>
      </w:r>
      <w:r w:rsidRPr="0079125A">
        <w:rPr>
          <w:rFonts w:ascii="Times New Roman" w:eastAsia="Times New Roman" w:hAnsi="Times New Roman" w:cs="Times New Roman"/>
          <w:bCs/>
          <w:sz w:val="24"/>
          <w:szCs w:val="24"/>
        </w:rPr>
        <w:t xml:space="preserve"> risk of orthostatic hypotension across categories of vitamin D status </w:t>
      </w:r>
      <w:r>
        <w:rPr>
          <w:rFonts w:ascii="Times New Roman" w:eastAsia="Times New Roman" w:hAnsi="Times New Roman" w:cs="Times New Roman"/>
          <w:bCs/>
          <w:sz w:val="24"/>
          <w:szCs w:val="24"/>
        </w:rPr>
        <w:t>(deficient</w:t>
      </w:r>
      <w:r w:rsidR="007A58E8">
        <w:rPr>
          <w:rFonts w:ascii="Times New Roman" w:eastAsia="Times New Roman" w:hAnsi="Times New Roman" w:cs="Times New Roman"/>
          <w:bCs/>
          <w:sz w:val="24"/>
          <w:szCs w:val="24"/>
        </w:rPr>
        <w:t xml:space="preserve"> [&lt;</w:t>
      </w:r>
      <w:r w:rsidR="007A58E8" w:rsidRPr="007A58E8">
        <w:rPr>
          <w:rFonts w:ascii="Times New Roman" w:eastAsia="Times New Roman" w:hAnsi="Times New Roman" w:cs="Times New Roman"/>
          <w:bCs/>
          <w:sz w:val="24"/>
          <w:szCs w:val="24"/>
        </w:rPr>
        <w:t>25 nmol/L</w:t>
      </w:r>
      <w:r w:rsidR="007A58E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insufficient</w:t>
      </w:r>
      <w:r w:rsidR="007A58E8">
        <w:rPr>
          <w:rFonts w:ascii="Times New Roman" w:eastAsia="Times New Roman" w:hAnsi="Times New Roman" w:cs="Times New Roman"/>
          <w:bCs/>
          <w:sz w:val="24"/>
          <w:szCs w:val="24"/>
        </w:rPr>
        <w:t xml:space="preserve"> [</w:t>
      </w:r>
      <w:r w:rsidR="004214E3">
        <w:rPr>
          <w:rFonts w:ascii="Times New Roman" w:eastAsia="Times New Roman" w:hAnsi="Times New Roman" w:cs="Times New Roman"/>
          <w:bCs/>
          <w:sz w:val="24"/>
          <w:szCs w:val="24"/>
        </w:rPr>
        <w:t>≥25-</w:t>
      </w:r>
      <w:r w:rsidR="007A58E8" w:rsidRPr="007A58E8">
        <w:rPr>
          <w:rFonts w:ascii="Times New Roman" w:eastAsia="Times New Roman" w:hAnsi="Times New Roman" w:cs="Times New Roman"/>
          <w:bCs/>
          <w:sz w:val="24"/>
          <w:szCs w:val="24"/>
        </w:rPr>
        <w:t xml:space="preserve">&lt;50 </w:t>
      </w:r>
      <w:r w:rsidR="007A58E8">
        <w:rPr>
          <w:rFonts w:ascii="Times New Roman" w:eastAsia="Times New Roman" w:hAnsi="Times New Roman" w:cs="Times New Roman"/>
          <w:bCs/>
          <w:sz w:val="24"/>
          <w:szCs w:val="24"/>
        </w:rPr>
        <w:t>nmol/L]</w:t>
      </w:r>
      <w:r w:rsidR="007A58E8" w:rsidRPr="007A58E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and sufficient</w:t>
      </w:r>
      <w:r w:rsidR="007A58E8">
        <w:rPr>
          <w:rFonts w:ascii="Times New Roman" w:eastAsia="Times New Roman" w:hAnsi="Times New Roman" w:cs="Times New Roman"/>
          <w:bCs/>
          <w:sz w:val="24"/>
          <w:szCs w:val="24"/>
        </w:rPr>
        <w:t xml:space="preserve"> [</w:t>
      </w:r>
      <w:r w:rsidR="007A58E8" w:rsidRPr="007A58E8">
        <w:rPr>
          <w:rFonts w:ascii="Times New Roman" w:eastAsia="Times New Roman" w:hAnsi="Times New Roman" w:cs="Times New Roman"/>
          <w:bCs/>
          <w:sz w:val="24"/>
          <w:szCs w:val="24"/>
        </w:rPr>
        <w:t>≥50</w:t>
      </w:r>
      <w:r w:rsidR="007A58E8">
        <w:rPr>
          <w:rFonts w:ascii="Times New Roman" w:eastAsia="Times New Roman" w:hAnsi="Times New Roman" w:cs="Times New Roman"/>
          <w:bCs/>
          <w:sz w:val="24"/>
          <w:szCs w:val="24"/>
        </w:rPr>
        <w:t xml:space="preserve"> nmol/L]</w:t>
      </w:r>
      <w:r>
        <w:rPr>
          <w:rFonts w:ascii="Times New Roman" w:eastAsia="Times New Roman" w:hAnsi="Times New Roman" w:cs="Times New Roman"/>
          <w:bCs/>
          <w:sz w:val="24"/>
          <w:szCs w:val="24"/>
        </w:rPr>
        <w:t xml:space="preserve">) </w:t>
      </w:r>
      <w:r w:rsidRPr="0079125A">
        <w:rPr>
          <w:rFonts w:ascii="Times New Roman" w:eastAsia="Times New Roman" w:hAnsi="Times New Roman" w:cs="Times New Roman"/>
          <w:bCs/>
          <w:sz w:val="24"/>
          <w:szCs w:val="24"/>
        </w:rPr>
        <w:t>and parathyroid hormone quintile</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br/>
      </w:r>
      <w:r w:rsidR="002557A9">
        <w:rPr>
          <w:rFonts w:ascii="Times New Roman" w:eastAsia="Times New Roman" w:hAnsi="Times New Roman" w:cs="Times New Roman"/>
          <w:bCs/>
          <w:sz w:val="24"/>
          <w:szCs w:val="24"/>
          <w:u w:val="single"/>
        </w:rPr>
        <w:br/>
      </w:r>
      <w:r w:rsidRPr="00560973">
        <w:rPr>
          <w:rFonts w:ascii="Times New Roman" w:eastAsia="Times New Roman" w:hAnsi="Times New Roman" w:cs="Times New Roman"/>
          <w:bCs/>
          <w:sz w:val="24"/>
          <w:szCs w:val="24"/>
          <w:u w:val="single"/>
        </w:rPr>
        <w:t>Results</w:t>
      </w:r>
      <w:r>
        <w:rPr>
          <w:rFonts w:ascii="Times New Roman" w:eastAsia="Times New Roman" w:hAnsi="Times New Roman" w:cs="Times New Roman"/>
          <w:bCs/>
          <w:sz w:val="24"/>
          <w:szCs w:val="24"/>
        </w:rPr>
        <w:br/>
      </w:r>
      <w:r w:rsidRPr="0079125A">
        <w:rPr>
          <w:rFonts w:ascii="Times New Roman" w:eastAsia="Times New Roman" w:hAnsi="Times New Roman" w:cs="Times New Roman"/>
          <w:bCs/>
          <w:sz w:val="24"/>
          <w:szCs w:val="24"/>
        </w:rPr>
        <w:t>Men with vitamin D deficiency were more likely to have orthostatic hypotension that occurred within one minute of standing in univariate logistic regression (OR 1.88, 95% CI 1.40–2.53) and multinomial, multiple logistic regression (OR 1.51, 95% CI 1.06–2.15)</w:t>
      </w:r>
      <w:r>
        <w:rPr>
          <w:rFonts w:ascii="Times New Roman" w:eastAsia="Times New Roman" w:hAnsi="Times New Roman" w:cs="Times New Roman"/>
          <w:bCs/>
          <w:sz w:val="24"/>
          <w:szCs w:val="24"/>
        </w:rPr>
        <w:t>, compared to men with sufficient levels of vitamin D</w:t>
      </w:r>
      <w:r w:rsidRPr="0079125A">
        <w:rPr>
          <w:rFonts w:ascii="Times New Roman" w:eastAsia="Times New Roman" w:hAnsi="Times New Roman" w:cs="Times New Roman"/>
          <w:bCs/>
          <w:sz w:val="24"/>
          <w:szCs w:val="24"/>
        </w:rPr>
        <w:t>. Vitamin D insufficiency was not associated with risk of orthostatic hypotension. Elevated parathyroid hormone was not associated with risk of orthostatic hypotension.</w:t>
      </w:r>
      <w:r>
        <w:rPr>
          <w:rFonts w:ascii="Times New Roman" w:eastAsia="Times New Roman" w:hAnsi="Times New Roman" w:cs="Times New Roman"/>
          <w:bCs/>
          <w:sz w:val="24"/>
          <w:szCs w:val="24"/>
        </w:rPr>
        <w:br/>
      </w:r>
      <w:r w:rsidRPr="0079125A">
        <w:rPr>
          <w:rFonts w:ascii="Times New Roman" w:eastAsia="Times New Roman" w:hAnsi="Times New Roman" w:cs="Times New Roman"/>
          <w:bCs/>
          <w:sz w:val="24"/>
          <w:szCs w:val="24"/>
        </w:rPr>
        <w:br/>
      </w:r>
      <w:r>
        <w:rPr>
          <w:rFonts w:ascii="Times New Roman" w:eastAsia="Times New Roman" w:hAnsi="Times New Roman" w:cs="Times New Roman"/>
          <w:bCs/>
          <w:sz w:val="24"/>
          <w:szCs w:val="24"/>
          <w:u w:val="single"/>
        </w:rPr>
        <w:t>Conclusion</w:t>
      </w:r>
      <w:r w:rsidRPr="0079125A">
        <w:rPr>
          <w:rFonts w:ascii="Times New Roman" w:eastAsia="Times New Roman" w:hAnsi="Times New Roman" w:cs="Times New Roman"/>
          <w:bCs/>
          <w:sz w:val="24"/>
          <w:szCs w:val="24"/>
        </w:rPr>
        <w:br/>
      </w:r>
      <w:r w:rsidRPr="0079125A">
        <w:rPr>
          <w:rFonts w:ascii="Times New Roman" w:eastAsia="Times New Roman" w:hAnsi="Times New Roman" w:cs="Times New Roman"/>
          <w:bCs/>
          <w:sz w:val="24"/>
          <w:szCs w:val="24"/>
        </w:rPr>
        <w:lastRenderedPageBreak/>
        <w:t xml:space="preserve">The absence of an association between vitamin D insufficiency and risk of orthostatic hypotension, and presence of an association between vitamin D deficiency and risk of orthostatic hypotension, suggests there may be a threshold effect; it is only below a particular level of vitamin D that risk of orthostatic hypotension is increased. In this cohort, the threshold was &lt;25 nmol/L. Future work should investigate whether treating vitamin D deficiency </w:t>
      </w:r>
      <w:r w:rsidR="00C155C7">
        <w:rPr>
          <w:rFonts w:ascii="Times New Roman" w:eastAsia="Times New Roman" w:hAnsi="Times New Roman" w:cs="Times New Roman"/>
          <w:bCs/>
          <w:sz w:val="24"/>
          <w:szCs w:val="24"/>
        </w:rPr>
        <w:t xml:space="preserve">can </w:t>
      </w:r>
      <w:r w:rsidR="003663B4">
        <w:rPr>
          <w:rFonts w:ascii="Times New Roman" w:eastAsia="Times New Roman" w:hAnsi="Times New Roman" w:cs="Times New Roman"/>
          <w:bCs/>
          <w:sz w:val="24"/>
          <w:szCs w:val="24"/>
        </w:rPr>
        <w:t xml:space="preserve">improve postural </w:t>
      </w:r>
      <w:r w:rsidR="00C155C7">
        <w:rPr>
          <w:rFonts w:ascii="Times New Roman" w:eastAsia="Times New Roman" w:hAnsi="Times New Roman" w:cs="Times New Roman"/>
          <w:bCs/>
          <w:sz w:val="24"/>
          <w:szCs w:val="24"/>
        </w:rPr>
        <w:t>blood pressure</w:t>
      </w:r>
      <w:r w:rsidRPr="0079125A">
        <w:rPr>
          <w:rFonts w:ascii="Times New Roman" w:eastAsia="Times New Roman" w:hAnsi="Times New Roman" w:cs="Times New Roman"/>
          <w:bCs/>
          <w:sz w:val="24"/>
          <w:szCs w:val="24"/>
        </w:rPr>
        <w:t>, or if preventin</w:t>
      </w:r>
      <w:r>
        <w:rPr>
          <w:rFonts w:ascii="Times New Roman" w:eastAsia="Times New Roman" w:hAnsi="Times New Roman" w:cs="Times New Roman"/>
          <w:bCs/>
          <w:sz w:val="24"/>
          <w:szCs w:val="24"/>
        </w:rPr>
        <w:t xml:space="preserve">g vitamin D deficiency </w:t>
      </w:r>
      <w:r w:rsidRPr="0079125A">
        <w:rPr>
          <w:rFonts w:ascii="Times New Roman" w:eastAsia="Times New Roman" w:hAnsi="Times New Roman" w:cs="Times New Roman"/>
          <w:bCs/>
          <w:sz w:val="24"/>
          <w:szCs w:val="24"/>
        </w:rPr>
        <w:t>reduce</w:t>
      </w:r>
      <w:r>
        <w:rPr>
          <w:rFonts w:ascii="Times New Roman" w:eastAsia="Times New Roman" w:hAnsi="Times New Roman" w:cs="Times New Roman"/>
          <w:bCs/>
          <w:sz w:val="24"/>
          <w:szCs w:val="24"/>
        </w:rPr>
        <w:t>s</w:t>
      </w:r>
      <w:r w:rsidRPr="0079125A">
        <w:rPr>
          <w:rFonts w:ascii="Times New Roman" w:eastAsia="Times New Roman" w:hAnsi="Times New Roman" w:cs="Times New Roman"/>
          <w:bCs/>
          <w:sz w:val="24"/>
          <w:szCs w:val="24"/>
        </w:rPr>
        <w:t xml:space="preserve"> the incidence of orthostatic hypotension. </w:t>
      </w:r>
      <w:r>
        <w:rPr>
          <w:rFonts w:ascii="Times New Roman" w:eastAsia="Times New Roman" w:hAnsi="Times New Roman" w:cs="Times New Roman"/>
          <w:bCs/>
          <w:sz w:val="24"/>
          <w:szCs w:val="24"/>
        </w:rPr>
        <w:t xml:space="preserve"> </w:t>
      </w:r>
    </w:p>
    <w:p w:rsidR="00FD56EF" w:rsidRPr="0079125A" w:rsidRDefault="00FD56EF" w:rsidP="00FD56EF">
      <w:pPr>
        <w:shd w:val="clear" w:color="auto" w:fill="FFFFFF"/>
        <w:spacing w:after="100" w:afterAutospacing="1" w:line="480" w:lineRule="auto"/>
        <w:outlineLvl w:val="1"/>
        <w:rPr>
          <w:rFonts w:ascii="Times New Roman" w:eastAsia="Times New Roman" w:hAnsi="Times New Roman" w:cs="Times New Roman"/>
          <w:bCs/>
          <w:sz w:val="24"/>
          <w:szCs w:val="24"/>
          <w:u w:val="single"/>
        </w:rPr>
      </w:pPr>
      <w:r w:rsidRPr="0079125A">
        <w:rPr>
          <w:rFonts w:ascii="Times New Roman" w:eastAsia="Times New Roman" w:hAnsi="Times New Roman" w:cs="Times New Roman"/>
          <w:bCs/>
          <w:sz w:val="24"/>
          <w:szCs w:val="24"/>
          <w:u w:val="single"/>
        </w:rPr>
        <w:t>Introduction</w:t>
      </w:r>
    </w:p>
    <w:p w:rsidR="00FD56EF" w:rsidRPr="0079125A" w:rsidRDefault="00DD277C" w:rsidP="00FD56EF">
      <w:pPr>
        <w:spacing w:line="480" w:lineRule="auto"/>
        <w:rPr>
          <w:rFonts w:ascii="Times New Roman" w:hAnsi="Times New Roman" w:cs="Times New Roman"/>
          <w:sz w:val="24"/>
          <w:szCs w:val="24"/>
          <w:u w:val="single"/>
        </w:rPr>
      </w:pPr>
      <w:r>
        <w:rPr>
          <w:rFonts w:ascii="Times New Roman" w:hAnsi="Times New Roman" w:cs="Times New Roman"/>
          <w:sz w:val="24"/>
          <w:szCs w:val="24"/>
        </w:rPr>
        <w:t>W</w:t>
      </w:r>
      <w:r w:rsidR="00FD56EF">
        <w:rPr>
          <w:rFonts w:ascii="Times New Roman" w:hAnsi="Times New Roman" w:cs="Times New Roman"/>
          <w:sz w:val="24"/>
          <w:szCs w:val="24"/>
        </w:rPr>
        <w:t>hether vitamin D deficiency increases risk of</w:t>
      </w:r>
      <w:r>
        <w:rPr>
          <w:rFonts w:ascii="Times New Roman" w:hAnsi="Times New Roman" w:cs="Times New Roman"/>
          <w:sz w:val="24"/>
          <w:szCs w:val="24"/>
        </w:rPr>
        <w:t xml:space="preserve"> orthostatic hypotension (</w:t>
      </w:r>
      <w:r w:rsidR="003B2FFE">
        <w:rPr>
          <w:rFonts w:ascii="Times New Roman" w:hAnsi="Times New Roman" w:cs="Times New Roman"/>
          <w:sz w:val="24"/>
          <w:szCs w:val="24"/>
        </w:rPr>
        <w:t>OH</w:t>
      </w:r>
      <w:r>
        <w:rPr>
          <w:rFonts w:ascii="Times New Roman" w:hAnsi="Times New Roman" w:cs="Times New Roman"/>
          <w:sz w:val="24"/>
          <w:szCs w:val="24"/>
        </w:rPr>
        <w:t>)</w:t>
      </w:r>
      <w:r w:rsidR="00FD56EF">
        <w:rPr>
          <w:rFonts w:ascii="Times New Roman" w:hAnsi="Times New Roman" w:cs="Times New Roman"/>
          <w:sz w:val="24"/>
          <w:szCs w:val="24"/>
        </w:rPr>
        <w:t xml:space="preserve"> is controversial </w:t>
      </w:r>
      <w:r w:rsidR="00A46A88">
        <w:rPr>
          <w:rFonts w:ascii="Times New Roman" w:hAnsi="Times New Roman" w:cs="Times New Roman"/>
          <w:noProof/>
          <w:sz w:val="24"/>
          <w:szCs w:val="24"/>
        </w:rPr>
        <w:t>[</w:t>
      </w:r>
      <w:r w:rsidR="00FD56EF">
        <w:rPr>
          <w:rFonts w:ascii="Times New Roman" w:hAnsi="Times New Roman" w:cs="Times New Roman"/>
          <w:noProof/>
          <w:sz w:val="24"/>
          <w:szCs w:val="24"/>
        </w:rPr>
        <w:t>1-7</w:t>
      </w:r>
      <w:r w:rsidR="00A46A88">
        <w:rPr>
          <w:rFonts w:ascii="Times New Roman" w:hAnsi="Times New Roman" w:cs="Times New Roman"/>
          <w:noProof/>
          <w:sz w:val="24"/>
          <w:szCs w:val="24"/>
        </w:rPr>
        <w:t>]</w:t>
      </w:r>
      <w:r w:rsidR="00FD56EF">
        <w:rPr>
          <w:rFonts w:ascii="Times New Roman" w:hAnsi="Times New Roman" w:cs="Times New Roman"/>
          <w:sz w:val="24"/>
          <w:szCs w:val="24"/>
        </w:rPr>
        <w:t xml:space="preserve">. Almost 1 in 3 </w:t>
      </w:r>
      <w:proofErr w:type="gramStart"/>
      <w:r w:rsidR="00FD56EF">
        <w:rPr>
          <w:rFonts w:ascii="Times New Roman" w:hAnsi="Times New Roman" w:cs="Times New Roman"/>
          <w:sz w:val="24"/>
          <w:szCs w:val="24"/>
        </w:rPr>
        <w:t xml:space="preserve">adults  </w:t>
      </w:r>
      <w:r w:rsidR="003B2FFE">
        <w:rPr>
          <w:rFonts w:ascii="Times New Roman" w:hAnsi="Times New Roman" w:cs="Times New Roman"/>
          <w:sz w:val="24"/>
          <w:szCs w:val="24"/>
        </w:rPr>
        <w:t>&gt;</w:t>
      </w:r>
      <w:proofErr w:type="gramEnd"/>
      <w:r w:rsidR="00FD56EF">
        <w:rPr>
          <w:rFonts w:ascii="Times New Roman" w:hAnsi="Times New Roman" w:cs="Times New Roman"/>
          <w:sz w:val="24"/>
          <w:szCs w:val="24"/>
        </w:rPr>
        <w:t>65 years</w:t>
      </w:r>
      <w:r w:rsidR="003B2FFE">
        <w:rPr>
          <w:rFonts w:ascii="Times New Roman" w:hAnsi="Times New Roman" w:cs="Times New Roman"/>
          <w:sz w:val="24"/>
          <w:szCs w:val="24"/>
        </w:rPr>
        <w:t xml:space="preserve"> old</w:t>
      </w:r>
      <w:r w:rsidR="00FD56EF">
        <w:rPr>
          <w:rFonts w:ascii="Times New Roman" w:hAnsi="Times New Roman" w:cs="Times New Roman"/>
          <w:sz w:val="24"/>
          <w:szCs w:val="24"/>
        </w:rPr>
        <w:t xml:space="preserve"> are deficient in vitamin D during the winter months in the United Kingdom </w:t>
      </w:r>
      <w:r w:rsidR="00A46A88">
        <w:rPr>
          <w:rFonts w:ascii="Times New Roman" w:hAnsi="Times New Roman" w:cs="Times New Roman"/>
          <w:sz w:val="24"/>
          <w:szCs w:val="24"/>
        </w:rPr>
        <w:t>[</w:t>
      </w:r>
      <w:r w:rsidR="00FD56EF">
        <w:rPr>
          <w:rFonts w:ascii="Times New Roman" w:hAnsi="Times New Roman" w:cs="Times New Roman"/>
          <w:noProof/>
          <w:sz w:val="24"/>
          <w:szCs w:val="24"/>
        </w:rPr>
        <w:t>8</w:t>
      </w:r>
      <w:r w:rsidR="00A46A88">
        <w:rPr>
          <w:rFonts w:ascii="Times New Roman" w:hAnsi="Times New Roman" w:cs="Times New Roman"/>
          <w:noProof/>
          <w:sz w:val="24"/>
          <w:szCs w:val="24"/>
        </w:rPr>
        <w:t>]</w:t>
      </w:r>
      <w:r w:rsidR="003B2FFE">
        <w:rPr>
          <w:rFonts w:ascii="Times New Roman" w:hAnsi="Times New Roman" w:cs="Times New Roman"/>
          <w:sz w:val="24"/>
          <w:szCs w:val="24"/>
        </w:rPr>
        <w:t xml:space="preserve">, while OH is found in over 1 in 5 community-dwelling older adults </w:t>
      </w:r>
      <w:r w:rsidR="00A46A88">
        <w:rPr>
          <w:rFonts w:ascii="Times New Roman" w:hAnsi="Times New Roman" w:cs="Times New Roman"/>
          <w:sz w:val="24"/>
          <w:szCs w:val="24"/>
        </w:rPr>
        <w:t>[</w:t>
      </w:r>
      <w:r w:rsidR="00A46A88">
        <w:rPr>
          <w:rFonts w:ascii="Times New Roman" w:hAnsi="Times New Roman" w:cs="Times New Roman"/>
          <w:noProof/>
          <w:sz w:val="24"/>
          <w:szCs w:val="24"/>
        </w:rPr>
        <w:t>9]</w:t>
      </w:r>
      <w:r w:rsidR="00FD56EF">
        <w:rPr>
          <w:rFonts w:ascii="Times New Roman" w:hAnsi="Times New Roman" w:cs="Times New Roman"/>
          <w:sz w:val="24"/>
          <w:szCs w:val="24"/>
        </w:rPr>
        <w:t xml:space="preserve">. </w:t>
      </w:r>
      <w:proofErr w:type="gramStart"/>
      <w:r w:rsidR="00FD56EF">
        <w:rPr>
          <w:rFonts w:ascii="Times New Roman" w:hAnsi="Times New Roman" w:cs="Times New Roman"/>
          <w:sz w:val="24"/>
          <w:szCs w:val="24"/>
        </w:rPr>
        <w:t>OH</w:t>
      </w:r>
      <w:proofErr w:type="gramEnd"/>
      <w:r w:rsidR="00FD56EF" w:rsidRPr="0079125A">
        <w:rPr>
          <w:rFonts w:ascii="Times New Roman" w:hAnsi="Times New Roman" w:cs="Times New Roman"/>
          <w:sz w:val="24"/>
          <w:szCs w:val="24"/>
        </w:rPr>
        <w:t xml:space="preserve"> increases risk of falls, fractures, cardiovascular disease and all-cause mortality </w:t>
      </w:r>
      <w:r w:rsidR="00A46A88">
        <w:rPr>
          <w:rFonts w:ascii="Times New Roman" w:hAnsi="Times New Roman" w:cs="Times New Roman"/>
          <w:noProof/>
          <w:sz w:val="24"/>
          <w:szCs w:val="24"/>
        </w:rPr>
        <w:t>[</w:t>
      </w:r>
      <w:r w:rsidR="00A851BB">
        <w:rPr>
          <w:rFonts w:ascii="Times New Roman" w:hAnsi="Times New Roman" w:cs="Times New Roman"/>
          <w:noProof/>
          <w:sz w:val="24"/>
          <w:szCs w:val="24"/>
        </w:rPr>
        <w:t>10-</w:t>
      </w:r>
      <w:r w:rsidR="00FD56EF">
        <w:rPr>
          <w:rFonts w:ascii="Times New Roman" w:hAnsi="Times New Roman" w:cs="Times New Roman"/>
          <w:noProof/>
          <w:sz w:val="24"/>
          <w:szCs w:val="24"/>
        </w:rPr>
        <w:t>12</w:t>
      </w:r>
      <w:r w:rsidR="00A46A88">
        <w:rPr>
          <w:rFonts w:ascii="Times New Roman" w:hAnsi="Times New Roman" w:cs="Times New Roman"/>
          <w:noProof/>
          <w:sz w:val="24"/>
          <w:szCs w:val="24"/>
        </w:rPr>
        <w:t>]</w:t>
      </w:r>
      <w:r w:rsidR="00FD56EF" w:rsidRPr="0079125A">
        <w:rPr>
          <w:rFonts w:ascii="Times New Roman" w:hAnsi="Times New Roman" w:cs="Times New Roman"/>
          <w:sz w:val="24"/>
          <w:szCs w:val="24"/>
        </w:rPr>
        <w:t>.</w:t>
      </w:r>
      <w:r w:rsidR="00FD56EF">
        <w:rPr>
          <w:rFonts w:ascii="Times New Roman" w:hAnsi="Times New Roman" w:cs="Times New Roman"/>
          <w:sz w:val="24"/>
          <w:szCs w:val="24"/>
        </w:rPr>
        <w:t xml:space="preserve"> It is also associated with late-life depression and dementia </w:t>
      </w:r>
      <w:r w:rsidR="00A46A88">
        <w:rPr>
          <w:rFonts w:ascii="Times New Roman" w:hAnsi="Times New Roman" w:cs="Times New Roman"/>
          <w:noProof/>
          <w:sz w:val="24"/>
          <w:szCs w:val="24"/>
        </w:rPr>
        <w:t>[</w:t>
      </w:r>
      <w:r w:rsidR="00A851BB">
        <w:rPr>
          <w:rFonts w:ascii="Times New Roman" w:hAnsi="Times New Roman" w:cs="Times New Roman"/>
          <w:noProof/>
          <w:sz w:val="24"/>
          <w:szCs w:val="24"/>
        </w:rPr>
        <w:t>13-</w:t>
      </w:r>
      <w:r w:rsidR="00A46A88">
        <w:rPr>
          <w:rFonts w:ascii="Times New Roman" w:hAnsi="Times New Roman" w:cs="Times New Roman"/>
          <w:noProof/>
          <w:sz w:val="24"/>
          <w:szCs w:val="24"/>
        </w:rPr>
        <w:t>14]</w:t>
      </w:r>
      <w:r w:rsidR="00FD56EF">
        <w:rPr>
          <w:rFonts w:ascii="Times New Roman" w:hAnsi="Times New Roman" w:cs="Times New Roman"/>
          <w:sz w:val="24"/>
          <w:szCs w:val="24"/>
        </w:rPr>
        <w:t xml:space="preserve">. </w:t>
      </w:r>
      <w:proofErr w:type="gramStart"/>
      <w:r w:rsidR="00FD56EF" w:rsidRPr="0079125A">
        <w:rPr>
          <w:rFonts w:ascii="Times New Roman" w:hAnsi="Times New Roman" w:cs="Times New Roman"/>
          <w:sz w:val="24"/>
          <w:szCs w:val="24"/>
        </w:rPr>
        <w:t>OH</w:t>
      </w:r>
      <w:proofErr w:type="gramEnd"/>
      <w:r w:rsidR="00FD56EF" w:rsidRPr="0079125A">
        <w:rPr>
          <w:rFonts w:ascii="Times New Roman" w:hAnsi="Times New Roman" w:cs="Times New Roman"/>
          <w:sz w:val="24"/>
          <w:szCs w:val="24"/>
        </w:rPr>
        <w:t xml:space="preserve"> that occurs within</w:t>
      </w:r>
      <w:r w:rsidR="00FD56EF">
        <w:rPr>
          <w:rFonts w:ascii="Times New Roman" w:hAnsi="Times New Roman" w:cs="Times New Roman"/>
          <w:sz w:val="24"/>
          <w:szCs w:val="24"/>
        </w:rPr>
        <w:t>, or at,</w:t>
      </w:r>
      <w:r w:rsidR="00FD56EF" w:rsidRPr="0079125A">
        <w:rPr>
          <w:rFonts w:ascii="Times New Roman" w:hAnsi="Times New Roman" w:cs="Times New Roman"/>
          <w:sz w:val="24"/>
          <w:szCs w:val="24"/>
        </w:rPr>
        <w:t xml:space="preserve"> one minute of standing has been associated with higher risk of falls, myocardial infarction, syncope and mortality, compared to OH that occurs after one minute of standing </w:t>
      </w:r>
      <w:r w:rsidR="00A46A88">
        <w:rPr>
          <w:rFonts w:ascii="Times New Roman" w:hAnsi="Times New Roman" w:cs="Times New Roman"/>
          <w:noProof/>
          <w:sz w:val="24"/>
          <w:szCs w:val="24"/>
        </w:rPr>
        <w:t>[</w:t>
      </w:r>
      <w:r w:rsidR="00FD56EF">
        <w:rPr>
          <w:rFonts w:ascii="Times New Roman" w:hAnsi="Times New Roman" w:cs="Times New Roman"/>
          <w:noProof/>
          <w:sz w:val="24"/>
          <w:szCs w:val="24"/>
        </w:rPr>
        <w:t>15-17</w:t>
      </w:r>
      <w:r w:rsidR="00A46A88">
        <w:rPr>
          <w:rFonts w:ascii="Times New Roman" w:hAnsi="Times New Roman" w:cs="Times New Roman"/>
          <w:noProof/>
          <w:sz w:val="24"/>
          <w:szCs w:val="24"/>
        </w:rPr>
        <w:t>]</w:t>
      </w:r>
      <w:r w:rsidR="00FD56EF" w:rsidRPr="0079125A">
        <w:rPr>
          <w:rFonts w:ascii="Times New Roman" w:hAnsi="Times New Roman" w:cs="Times New Roman"/>
          <w:sz w:val="24"/>
          <w:szCs w:val="24"/>
        </w:rPr>
        <w:t>.</w:t>
      </w:r>
      <w:r w:rsidR="00FD56EF">
        <w:rPr>
          <w:rFonts w:ascii="Times New Roman" w:hAnsi="Times New Roman" w:cs="Times New Roman"/>
          <w:sz w:val="24"/>
          <w:szCs w:val="24"/>
        </w:rPr>
        <w:t xml:space="preserve"> It is important to clarify the association between vitamin D deficiency and OH because current treatment options for OH are limited and vitamin D supplements are cheaply and widely available.   </w:t>
      </w:r>
      <w:r w:rsidR="00FD56EF" w:rsidRPr="0079125A">
        <w:rPr>
          <w:rFonts w:ascii="Times New Roman" w:hAnsi="Times New Roman" w:cs="Times New Roman"/>
          <w:sz w:val="24"/>
          <w:szCs w:val="24"/>
        </w:rPr>
        <w:br/>
      </w:r>
      <w:r w:rsidR="00FD56EF" w:rsidRPr="0079125A">
        <w:rPr>
          <w:rFonts w:ascii="Times New Roman" w:hAnsi="Times New Roman" w:cs="Times New Roman"/>
          <w:sz w:val="24"/>
          <w:szCs w:val="24"/>
        </w:rPr>
        <w:br/>
      </w:r>
      <w:r w:rsidR="00FD56EF">
        <w:rPr>
          <w:rFonts w:ascii="Times New Roman" w:hAnsi="Times New Roman" w:cs="Times New Roman"/>
          <w:sz w:val="24"/>
          <w:szCs w:val="24"/>
        </w:rPr>
        <w:t xml:space="preserve">Smaller studies suggest lower levels of circulating vitamin D are associated with increased risk of OH </w:t>
      </w:r>
      <w:r w:rsidR="003766DD">
        <w:rPr>
          <w:rFonts w:ascii="Times New Roman" w:hAnsi="Times New Roman" w:cs="Times New Roman"/>
          <w:noProof/>
          <w:sz w:val="24"/>
          <w:szCs w:val="24"/>
        </w:rPr>
        <w:t>[</w:t>
      </w:r>
      <w:r w:rsidR="00FD56EF">
        <w:rPr>
          <w:rFonts w:ascii="Times New Roman" w:hAnsi="Times New Roman" w:cs="Times New Roman"/>
          <w:noProof/>
          <w:sz w:val="24"/>
          <w:szCs w:val="24"/>
        </w:rPr>
        <w:t>1-3, 5, 7</w:t>
      </w:r>
      <w:r w:rsidR="003766DD">
        <w:rPr>
          <w:rFonts w:ascii="Times New Roman" w:hAnsi="Times New Roman" w:cs="Times New Roman"/>
          <w:noProof/>
          <w:sz w:val="24"/>
          <w:szCs w:val="24"/>
        </w:rPr>
        <w:t>]</w:t>
      </w:r>
      <w:r w:rsidR="00FD56EF">
        <w:rPr>
          <w:rFonts w:ascii="Times New Roman" w:hAnsi="Times New Roman" w:cs="Times New Roman"/>
          <w:sz w:val="24"/>
          <w:szCs w:val="24"/>
        </w:rPr>
        <w:t xml:space="preserve">, while larger studies do not </w:t>
      </w:r>
      <w:r w:rsidR="003766DD">
        <w:rPr>
          <w:rFonts w:ascii="Times New Roman" w:hAnsi="Times New Roman" w:cs="Times New Roman"/>
          <w:noProof/>
          <w:sz w:val="24"/>
          <w:szCs w:val="24"/>
        </w:rPr>
        <w:t>[</w:t>
      </w:r>
      <w:r w:rsidR="00FD56EF">
        <w:rPr>
          <w:rFonts w:ascii="Times New Roman" w:hAnsi="Times New Roman" w:cs="Times New Roman"/>
          <w:noProof/>
          <w:sz w:val="24"/>
          <w:szCs w:val="24"/>
        </w:rPr>
        <w:t>6, 18</w:t>
      </w:r>
      <w:r w:rsidR="003766DD">
        <w:rPr>
          <w:rFonts w:ascii="Times New Roman" w:hAnsi="Times New Roman" w:cs="Times New Roman"/>
          <w:noProof/>
          <w:sz w:val="24"/>
          <w:szCs w:val="24"/>
        </w:rPr>
        <w:t>]</w:t>
      </w:r>
      <w:r w:rsidR="00FE7907">
        <w:rPr>
          <w:rFonts w:ascii="Times New Roman" w:hAnsi="Times New Roman" w:cs="Times New Roman"/>
          <w:noProof/>
          <w:sz w:val="24"/>
          <w:szCs w:val="24"/>
        </w:rPr>
        <w:t>,</w:t>
      </w:r>
      <w:r w:rsidR="00E134B3">
        <w:rPr>
          <w:rFonts w:ascii="Times New Roman" w:hAnsi="Times New Roman" w:cs="Times New Roman"/>
          <w:sz w:val="24"/>
          <w:szCs w:val="24"/>
        </w:rPr>
        <w:t xml:space="preserve"> and </w:t>
      </w:r>
      <w:r w:rsidR="00FE7907">
        <w:rPr>
          <w:rFonts w:ascii="Times New Roman" w:hAnsi="Times New Roman" w:cs="Times New Roman"/>
          <w:sz w:val="24"/>
          <w:szCs w:val="24"/>
        </w:rPr>
        <w:t xml:space="preserve">the current evidence base has </w:t>
      </w:r>
      <w:r w:rsidR="00FD56EF">
        <w:rPr>
          <w:rFonts w:ascii="Times New Roman" w:hAnsi="Times New Roman" w:cs="Times New Roman"/>
          <w:sz w:val="24"/>
          <w:szCs w:val="24"/>
        </w:rPr>
        <w:t xml:space="preserve">specific limitations. </w:t>
      </w:r>
      <w:r w:rsidR="00FD56EF" w:rsidRPr="0079125A">
        <w:rPr>
          <w:rFonts w:ascii="Times New Roman" w:hAnsi="Times New Roman" w:cs="Times New Roman"/>
          <w:sz w:val="24"/>
          <w:szCs w:val="24"/>
        </w:rPr>
        <w:t xml:space="preserve">Firstly, not all of the studies </w:t>
      </w:r>
      <w:r w:rsidR="00FD56EF">
        <w:rPr>
          <w:rFonts w:ascii="Times New Roman" w:hAnsi="Times New Roman" w:cs="Times New Roman"/>
          <w:sz w:val="24"/>
          <w:szCs w:val="24"/>
        </w:rPr>
        <w:t xml:space="preserve">controlled for </w:t>
      </w:r>
      <w:r w:rsidR="00FD56EF" w:rsidRPr="0079125A">
        <w:rPr>
          <w:rFonts w:ascii="Times New Roman" w:hAnsi="Times New Roman" w:cs="Times New Roman"/>
          <w:sz w:val="24"/>
          <w:szCs w:val="24"/>
        </w:rPr>
        <w:t>parathyroid hormone (PTH). PTH and vitamin D work in conce</w:t>
      </w:r>
      <w:r w:rsidR="00FD56EF">
        <w:rPr>
          <w:rFonts w:ascii="Times New Roman" w:hAnsi="Times New Roman" w:cs="Times New Roman"/>
          <w:sz w:val="24"/>
          <w:szCs w:val="24"/>
        </w:rPr>
        <w:t xml:space="preserve">rt, through feedback cycles </w:t>
      </w:r>
      <w:r w:rsidR="003766DD">
        <w:rPr>
          <w:rFonts w:ascii="Times New Roman" w:hAnsi="Times New Roman" w:cs="Times New Roman"/>
          <w:noProof/>
          <w:sz w:val="24"/>
          <w:szCs w:val="24"/>
        </w:rPr>
        <w:t>[</w:t>
      </w:r>
      <w:r w:rsidR="00FD56EF">
        <w:rPr>
          <w:rFonts w:ascii="Times New Roman" w:hAnsi="Times New Roman" w:cs="Times New Roman"/>
          <w:noProof/>
          <w:sz w:val="24"/>
          <w:szCs w:val="24"/>
        </w:rPr>
        <w:t>19</w:t>
      </w:r>
      <w:r w:rsidR="003766DD">
        <w:rPr>
          <w:rFonts w:ascii="Times New Roman" w:hAnsi="Times New Roman" w:cs="Times New Roman"/>
          <w:noProof/>
          <w:sz w:val="24"/>
          <w:szCs w:val="24"/>
        </w:rPr>
        <w:t>]</w:t>
      </w:r>
      <w:r w:rsidR="00FD56EF">
        <w:rPr>
          <w:rFonts w:ascii="Times New Roman" w:hAnsi="Times New Roman" w:cs="Times New Roman"/>
          <w:sz w:val="24"/>
          <w:szCs w:val="24"/>
        </w:rPr>
        <w:t xml:space="preserve">, so PTH may </w:t>
      </w:r>
      <w:r w:rsidR="00FD56EF" w:rsidRPr="0079125A">
        <w:rPr>
          <w:rFonts w:ascii="Times New Roman" w:hAnsi="Times New Roman" w:cs="Times New Roman"/>
          <w:sz w:val="24"/>
          <w:szCs w:val="24"/>
        </w:rPr>
        <w:t xml:space="preserve">mediate, or confound, the </w:t>
      </w:r>
      <w:r w:rsidR="00FD56EF" w:rsidRPr="0079125A">
        <w:rPr>
          <w:rFonts w:ascii="Times New Roman" w:hAnsi="Times New Roman" w:cs="Times New Roman"/>
          <w:sz w:val="24"/>
          <w:szCs w:val="24"/>
        </w:rPr>
        <w:lastRenderedPageBreak/>
        <w:t>association between vitamin D and OH. Secondly</w:t>
      </w:r>
      <w:r w:rsidR="00FD56EF">
        <w:rPr>
          <w:rFonts w:ascii="Times New Roman" w:hAnsi="Times New Roman" w:cs="Times New Roman"/>
          <w:sz w:val="24"/>
          <w:szCs w:val="24"/>
        </w:rPr>
        <w:t xml:space="preserve">, </w:t>
      </w:r>
      <w:r w:rsidR="00070090">
        <w:rPr>
          <w:rFonts w:ascii="Times New Roman" w:hAnsi="Times New Roman" w:cs="Times New Roman"/>
          <w:sz w:val="24"/>
          <w:szCs w:val="24"/>
        </w:rPr>
        <w:t>men have been under</w:t>
      </w:r>
      <w:r w:rsidR="00FD56EF" w:rsidRPr="0079125A">
        <w:rPr>
          <w:rFonts w:ascii="Times New Roman" w:hAnsi="Times New Roman" w:cs="Times New Roman"/>
          <w:sz w:val="24"/>
          <w:szCs w:val="24"/>
        </w:rPr>
        <w:t xml:space="preserve">represented in the current evidence base: </w:t>
      </w:r>
      <w:r w:rsidR="00070090">
        <w:rPr>
          <w:rFonts w:ascii="Times New Roman" w:hAnsi="Times New Roman" w:cs="Times New Roman"/>
          <w:sz w:val="24"/>
          <w:szCs w:val="24"/>
        </w:rPr>
        <w:t>only 27% of those with lo</w:t>
      </w:r>
      <w:r w:rsidR="00844FF2">
        <w:rPr>
          <w:rFonts w:ascii="Times New Roman" w:hAnsi="Times New Roman" w:cs="Times New Roman"/>
          <w:sz w:val="24"/>
          <w:szCs w:val="24"/>
        </w:rPr>
        <w:t>w circulating vitamin D</w:t>
      </w:r>
      <w:r w:rsidR="00070090">
        <w:rPr>
          <w:rFonts w:ascii="Times New Roman" w:hAnsi="Times New Roman" w:cs="Times New Roman"/>
          <w:sz w:val="24"/>
          <w:szCs w:val="24"/>
        </w:rPr>
        <w:t xml:space="preserve"> </w:t>
      </w:r>
      <w:r w:rsidR="00FD56EF" w:rsidRPr="0079125A">
        <w:rPr>
          <w:rFonts w:ascii="Times New Roman" w:hAnsi="Times New Roman" w:cs="Times New Roman"/>
          <w:sz w:val="24"/>
          <w:szCs w:val="24"/>
        </w:rPr>
        <w:t>in a systematic review and meta-analysis investigating the association between circulating vitamin D and OH</w:t>
      </w:r>
      <w:r w:rsidR="00844FF2">
        <w:rPr>
          <w:rFonts w:ascii="Times New Roman" w:hAnsi="Times New Roman" w:cs="Times New Roman"/>
          <w:sz w:val="24"/>
          <w:szCs w:val="24"/>
        </w:rPr>
        <w:t xml:space="preserve"> were </w:t>
      </w:r>
      <w:proofErr w:type="gramStart"/>
      <w:r w:rsidR="00844FF2">
        <w:rPr>
          <w:rFonts w:ascii="Times New Roman" w:hAnsi="Times New Roman" w:cs="Times New Roman"/>
          <w:sz w:val="24"/>
          <w:szCs w:val="24"/>
        </w:rPr>
        <w:t>men</w:t>
      </w:r>
      <w:r w:rsidR="003766DD">
        <w:rPr>
          <w:rFonts w:ascii="Times New Roman" w:hAnsi="Times New Roman" w:cs="Times New Roman"/>
          <w:noProof/>
          <w:sz w:val="24"/>
          <w:szCs w:val="24"/>
        </w:rPr>
        <w:t>[</w:t>
      </w:r>
      <w:proofErr w:type="gramEnd"/>
      <w:r w:rsidR="00FD56EF">
        <w:rPr>
          <w:rFonts w:ascii="Times New Roman" w:hAnsi="Times New Roman" w:cs="Times New Roman"/>
          <w:noProof/>
          <w:sz w:val="24"/>
          <w:szCs w:val="24"/>
        </w:rPr>
        <w:t>4</w:t>
      </w:r>
      <w:r w:rsidR="003766DD">
        <w:rPr>
          <w:rFonts w:ascii="Times New Roman" w:hAnsi="Times New Roman" w:cs="Times New Roman"/>
          <w:noProof/>
          <w:sz w:val="24"/>
          <w:szCs w:val="24"/>
        </w:rPr>
        <w:t>]</w:t>
      </w:r>
      <w:r w:rsidR="00FD56EF" w:rsidRPr="0079125A">
        <w:rPr>
          <w:rFonts w:ascii="Times New Roman" w:hAnsi="Times New Roman" w:cs="Times New Roman"/>
          <w:sz w:val="24"/>
          <w:szCs w:val="24"/>
        </w:rPr>
        <w:t xml:space="preserve">. Thirdly, few studies have examined whether vitamin D status relates to the timeframe within which OH occurs </w:t>
      </w:r>
      <w:r w:rsidR="003766DD">
        <w:rPr>
          <w:rFonts w:ascii="Times New Roman" w:hAnsi="Times New Roman" w:cs="Times New Roman"/>
          <w:sz w:val="24"/>
          <w:szCs w:val="24"/>
        </w:rPr>
        <w:t>[</w:t>
      </w:r>
      <w:r w:rsidR="00FD56EF">
        <w:rPr>
          <w:rFonts w:ascii="Times New Roman" w:hAnsi="Times New Roman" w:cs="Times New Roman"/>
          <w:noProof/>
          <w:sz w:val="24"/>
          <w:szCs w:val="24"/>
        </w:rPr>
        <w:t>6, 18</w:t>
      </w:r>
      <w:r w:rsidR="003766DD">
        <w:rPr>
          <w:rFonts w:ascii="Times New Roman" w:hAnsi="Times New Roman" w:cs="Times New Roman"/>
          <w:noProof/>
          <w:sz w:val="24"/>
          <w:szCs w:val="24"/>
        </w:rPr>
        <w:t>]</w:t>
      </w:r>
      <w:r w:rsidR="00FD56EF" w:rsidRPr="0079125A">
        <w:rPr>
          <w:rFonts w:ascii="Times New Roman" w:hAnsi="Times New Roman" w:cs="Times New Roman"/>
          <w:sz w:val="24"/>
          <w:szCs w:val="24"/>
        </w:rPr>
        <w:t xml:space="preserve">. Finally, none of the available studies have investigated a UK-based </w:t>
      </w:r>
      <w:r w:rsidR="00FD56EF">
        <w:rPr>
          <w:rFonts w:ascii="Times New Roman" w:hAnsi="Times New Roman" w:cs="Times New Roman"/>
          <w:sz w:val="24"/>
          <w:szCs w:val="24"/>
        </w:rPr>
        <w:t>cohort</w:t>
      </w:r>
      <w:r w:rsidR="00FD56EF" w:rsidRPr="0079125A">
        <w:rPr>
          <w:rFonts w:ascii="Times New Roman" w:hAnsi="Times New Roman" w:cs="Times New Roman"/>
          <w:sz w:val="24"/>
          <w:szCs w:val="24"/>
        </w:rPr>
        <w:t>. This is relevant because circulating vitamin D</w:t>
      </w:r>
      <w:r w:rsidR="00FD56EF">
        <w:rPr>
          <w:rFonts w:ascii="Times New Roman" w:hAnsi="Times New Roman" w:cs="Times New Roman"/>
          <w:sz w:val="24"/>
          <w:szCs w:val="24"/>
        </w:rPr>
        <w:t xml:space="preserve"> concentration</w:t>
      </w:r>
      <w:r w:rsidR="00FD56EF" w:rsidRPr="0079125A">
        <w:rPr>
          <w:rFonts w:ascii="Times New Roman" w:hAnsi="Times New Roman" w:cs="Times New Roman"/>
          <w:sz w:val="24"/>
          <w:szCs w:val="24"/>
        </w:rPr>
        <w:t xml:space="preserve"> is determined by dietary sources and synthesis in the skin via exposure to ultraviolet radiation </w:t>
      </w:r>
      <w:r w:rsidR="003766DD">
        <w:rPr>
          <w:rFonts w:ascii="Times New Roman" w:hAnsi="Times New Roman" w:cs="Times New Roman"/>
          <w:noProof/>
          <w:sz w:val="24"/>
          <w:szCs w:val="24"/>
        </w:rPr>
        <w:t>[</w:t>
      </w:r>
      <w:r w:rsidR="00FD56EF">
        <w:rPr>
          <w:rFonts w:ascii="Times New Roman" w:hAnsi="Times New Roman" w:cs="Times New Roman"/>
          <w:noProof/>
          <w:sz w:val="24"/>
          <w:szCs w:val="24"/>
        </w:rPr>
        <w:t>20</w:t>
      </w:r>
      <w:r w:rsidR="003766DD">
        <w:rPr>
          <w:rFonts w:ascii="Times New Roman" w:hAnsi="Times New Roman" w:cs="Times New Roman"/>
          <w:noProof/>
          <w:sz w:val="24"/>
          <w:szCs w:val="24"/>
        </w:rPr>
        <w:t>]</w:t>
      </w:r>
      <w:r w:rsidR="00FD56EF">
        <w:rPr>
          <w:rFonts w:ascii="Times New Roman" w:hAnsi="Times New Roman" w:cs="Times New Roman"/>
          <w:sz w:val="24"/>
          <w:szCs w:val="24"/>
        </w:rPr>
        <w:t xml:space="preserve">, factors that are geographically-dependent </w:t>
      </w:r>
      <w:r w:rsidR="003766DD">
        <w:rPr>
          <w:rFonts w:ascii="Times New Roman" w:hAnsi="Times New Roman" w:cs="Times New Roman"/>
          <w:noProof/>
          <w:sz w:val="24"/>
          <w:szCs w:val="24"/>
        </w:rPr>
        <w:t>[</w:t>
      </w:r>
      <w:r w:rsidR="00FD56EF">
        <w:rPr>
          <w:rFonts w:ascii="Times New Roman" w:hAnsi="Times New Roman" w:cs="Times New Roman"/>
          <w:noProof/>
          <w:sz w:val="24"/>
          <w:szCs w:val="24"/>
        </w:rPr>
        <w:t>21</w:t>
      </w:r>
      <w:r w:rsidR="003766DD">
        <w:rPr>
          <w:rFonts w:ascii="Times New Roman" w:hAnsi="Times New Roman" w:cs="Times New Roman"/>
          <w:noProof/>
          <w:sz w:val="24"/>
          <w:szCs w:val="24"/>
        </w:rPr>
        <w:t>]</w:t>
      </w:r>
      <w:r w:rsidR="00FD56EF" w:rsidRPr="0079125A">
        <w:rPr>
          <w:rFonts w:ascii="Times New Roman" w:hAnsi="Times New Roman" w:cs="Times New Roman"/>
          <w:sz w:val="24"/>
          <w:szCs w:val="24"/>
        </w:rPr>
        <w:t xml:space="preserve">. Therefore, the external validity of the currently available data is limited. </w:t>
      </w:r>
      <w:r w:rsidR="00FD56EF" w:rsidRPr="0079125A">
        <w:rPr>
          <w:rFonts w:ascii="Times New Roman" w:hAnsi="Times New Roman" w:cs="Times New Roman"/>
          <w:sz w:val="24"/>
          <w:szCs w:val="24"/>
        </w:rPr>
        <w:br/>
      </w:r>
      <w:r w:rsidR="00FD56EF" w:rsidRPr="0079125A">
        <w:rPr>
          <w:rFonts w:ascii="Times New Roman" w:hAnsi="Times New Roman" w:cs="Times New Roman"/>
          <w:sz w:val="24"/>
          <w:szCs w:val="24"/>
        </w:rPr>
        <w:br/>
        <w:t xml:space="preserve">In this cross-sectional study, we aimed to address these issues by exploring the association between circulating vitamin D, PTH and OH in older, community-dwelling, men. </w:t>
      </w:r>
      <w:r w:rsidR="00FD56EF">
        <w:rPr>
          <w:rFonts w:ascii="Times New Roman" w:hAnsi="Times New Roman" w:cs="Times New Roman"/>
          <w:sz w:val="24"/>
          <w:szCs w:val="24"/>
        </w:rPr>
        <w:br/>
      </w:r>
    </w:p>
    <w:p w:rsidR="00FD56EF" w:rsidRDefault="00FD56EF" w:rsidP="00FD56EF">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M</w:t>
      </w:r>
      <w:r w:rsidRPr="0079125A">
        <w:rPr>
          <w:rFonts w:ascii="Times New Roman" w:hAnsi="Times New Roman" w:cs="Times New Roman"/>
          <w:sz w:val="24"/>
          <w:szCs w:val="24"/>
          <w:u w:val="single"/>
        </w:rPr>
        <w:t>ethods</w:t>
      </w:r>
      <w:r w:rsidRPr="0079125A">
        <w:rPr>
          <w:rFonts w:ascii="Times New Roman" w:hAnsi="Times New Roman" w:cs="Times New Roman"/>
          <w:sz w:val="24"/>
          <w:szCs w:val="24"/>
        </w:rPr>
        <w:br/>
      </w:r>
      <w:r w:rsidRPr="0079125A">
        <w:rPr>
          <w:rFonts w:ascii="Times New Roman" w:hAnsi="Times New Roman" w:cs="Times New Roman"/>
          <w:sz w:val="24"/>
          <w:szCs w:val="24"/>
        </w:rPr>
        <w:br/>
      </w:r>
      <w:r w:rsidRPr="0079125A">
        <w:rPr>
          <w:rFonts w:ascii="Times New Roman" w:hAnsi="Times New Roman" w:cs="Times New Roman"/>
          <w:i/>
          <w:sz w:val="24"/>
          <w:szCs w:val="24"/>
        </w:rPr>
        <w:t>Study Population –</w:t>
      </w:r>
      <w:r w:rsidRPr="0079125A">
        <w:rPr>
          <w:rFonts w:ascii="Times New Roman" w:hAnsi="Times New Roman" w:cs="Times New Roman"/>
          <w:sz w:val="24"/>
          <w:szCs w:val="24"/>
        </w:rPr>
        <w:t xml:space="preserve"> This analysis was based on data from the 20</w:t>
      </w:r>
      <w:r w:rsidRPr="0079125A">
        <w:rPr>
          <w:rFonts w:ascii="Times New Roman" w:hAnsi="Times New Roman" w:cs="Times New Roman"/>
          <w:sz w:val="24"/>
          <w:szCs w:val="24"/>
          <w:vertAlign w:val="superscript"/>
        </w:rPr>
        <w:t>th</w:t>
      </w:r>
      <w:r w:rsidRPr="0079125A">
        <w:rPr>
          <w:rFonts w:ascii="Times New Roman" w:hAnsi="Times New Roman" w:cs="Times New Roman"/>
          <w:sz w:val="24"/>
          <w:szCs w:val="24"/>
        </w:rPr>
        <w:t xml:space="preserve"> year re-screen of participants of The British Regional Heart Study (BRHS). Sampling methods have been described previously </w:t>
      </w:r>
      <w:r w:rsidR="003766DD">
        <w:rPr>
          <w:rFonts w:ascii="Times New Roman" w:hAnsi="Times New Roman" w:cs="Times New Roman"/>
          <w:sz w:val="24"/>
          <w:szCs w:val="24"/>
        </w:rPr>
        <w:t>[</w:t>
      </w:r>
      <w:r>
        <w:rPr>
          <w:rFonts w:ascii="Times New Roman" w:hAnsi="Times New Roman" w:cs="Times New Roman"/>
          <w:noProof/>
          <w:sz w:val="24"/>
          <w:szCs w:val="24"/>
        </w:rPr>
        <w:t>22</w:t>
      </w:r>
      <w:r w:rsidR="003766DD">
        <w:rPr>
          <w:rFonts w:ascii="Times New Roman" w:hAnsi="Times New Roman" w:cs="Times New Roman"/>
          <w:noProof/>
          <w:sz w:val="24"/>
          <w:szCs w:val="24"/>
        </w:rPr>
        <w:t>]</w:t>
      </w:r>
      <w:r w:rsidRPr="0079125A">
        <w:rPr>
          <w:rFonts w:ascii="Times New Roman" w:hAnsi="Times New Roman" w:cs="Times New Roman"/>
          <w:sz w:val="24"/>
          <w:szCs w:val="24"/>
        </w:rPr>
        <w:t>. The BRHS is an on-going prospective cohort study that first recruited 7735 men, aged 40–59 years, between 1978 and 1980</w:t>
      </w:r>
      <w:r w:rsidR="00DE15E6">
        <w:rPr>
          <w:rFonts w:ascii="Times New Roman" w:hAnsi="Times New Roman" w:cs="Times New Roman"/>
          <w:sz w:val="24"/>
          <w:szCs w:val="24"/>
        </w:rPr>
        <w:t>,</w:t>
      </w:r>
      <w:r w:rsidR="000A141C">
        <w:rPr>
          <w:rFonts w:ascii="Times New Roman" w:hAnsi="Times New Roman" w:cs="Times New Roman"/>
          <w:sz w:val="24"/>
          <w:szCs w:val="24"/>
        </w:rPr>
        <w:t xml:space="preserve"> </w:t>
      </w:r>
      <w:r w:rsidRPr="0079125A">
        <w:rPr>
          <w:rFonts w:ascii="Times New Roman" w:hAnsi="Times New Roman" w:cs="Times New Roman"/>
          <w:sz w:val="24"/>
          <w:szCs w:val="24"/>
        </w:rPr>
        <w:t>from one general practice in each of 24 British towns. The sample was socioeconomically representative of the population. Participants were predominantly (&gt;99%) of white European ethnicity. For the 20</w:t>
      </w:r>
      <w:r w:rsidRPr="0079125A">
        <w:rPr>
          <w:rFonts w:ascii="Times New Roman" w:hAnsi="Times New Roman" w:cs="Times New Roman"/>
          <w:sz w:val="24"/>
          <w:szCs w:val="24"/>
          <w:vertAlign w:val="superscript"/>
        </w:rPr>
        <w:t>th</w:t>
      </w:r>
      <w:r w:rsidRPr="0079125A">
        <w:rPr>
          <w:rFonts w:ascii="Times New Roman" w:hAnsi="Times New Roman" w:cs="Times New Roman"/>
          <w:sz w:val="24"/>
          <w:szCs w:val="24"/>
        </w:rPr>
        <w:t xml:space="preserve"> year re-screen, all surviving men were invited for re-examination that took place between 1998 and 2000. 4252 men completed a self-administered questionnaire and underwent physical examination (77% response </w:t>
      </w:r>
      <w:proofErr w:type="gramStart"/>
      <w:r w:rsidRPr="0079125A">
        <w:rPr>
          <w:rFonts w:ascii="Times New Roman" w:hAnsi="Times New Roman" w:cs="Times New Roman"/>
          <w:sz w:val="24"/>
          <w:szCs w:val="24"/>
        </w:rPr>
        <w:t>rate)</w:t>
      </w:r>
      <w:r w:rsidR="003766DD">
        <w:rPr>
          <w:rFonts w:ascii="Times New Roman" w:hAnsi="Times New Roman" w:cs="Times New Roman"/>
          <w:noProof/>
          <w:sz w:val="24"/>
          <w:szCs w:val="24"/>
        </w:rPr>
        <w:t>[</w:t>
      </w:r>
      <w:proofErr w:type="gramEnd"/>
      <w:r>
        <w:rPr>
          <w:rFonts w:ascii="Times New Roman" w:hAnsi="Times New Roman" w:cs="Times New Roman"/>
          <w:noProof/>
          <w:sz w:val="24"/>
          <w:szCs w:val="24"/>
        </w:rPr>
        <w:t>22, 23</w:t>
      </w:r>
      <w:r w:rsidR="003766DD">
        <w:rPr>
          <w:rFonts w:ascii="Times New Roman" w:hAnsi="Times New Roman" w:cs="Times New Roman"/>
          <w:noProof/>
          <w:sz w:val="24"/>
          <w:szCs w:val="24"/>
        </w:rPr>
        <w:t>]</w:t>
      </w:r>
      <w:r w:rsidRPr="0079125A">
        <w:rPr>
          <w:rFonts w:ascii="Times New Roman" w:hAnsi="Times New Roman" w:cs="Times New Roman"/>
          <w:sz w:val="24"/>
          <w:szCs w:val="24"/>
        </w:rPr>
        <w:t>.</w:t>
      </w:r>
      <w:r w:rsidR="002557A9">
        <w:rPr>
          <w:rFonts w:ascii="Times New Roman" w:hAnsi="Times New Roman" w:cs="Times New Roman"/>
          <w:sz w:val="24"/>
          <w:szCs w:val="24"/>
        </w:rPr>
        <w:t xml:space="preserve"> </w:t>
      </w:r>
      <w:r w:rsidRPr="0079125A">
        <w:rPr>
          <w:rFonts w:ascii="Times New Roman" w:hAnsi="Times New Roman" w:cs="Times New Roman"/>
          <w:sz w:val="24"/>
          <w:szCs w:val="24"/>
        </w:rPr>
        <w:lastRenderedPageBreak/>
        <w:t>Ethical approval was obtained from the National Research Ethics Service Committee London.</w:t>
      </w:r>
      <w:r w:rsidRPr="0079125A">
        <w:rPr>
          <w:rFonts w:ascii="Times New Roman" w:hAnsi="Times New Roman" w:cs="Times New Roman"/>
          <w:sz w:val="24"/>
          <w:szCs w:val="24"/>
        </w:rPr>
        <w:br/>
      </w:r>
      <w:r w:rsidRPr="0079125A">
        <w:rPr>
          <w:rFonts w:ascii="Times New Roman" w:hAnsi="Times New Roman" w:cs="Times New Roman"/>
          <w:sz w:val="24"/>
          <w:szCs w:val="24"/>
        </w:rPr>
        <w:br/>
        <w:t>3799 men had a</w:t>
      </w:r>
      <w:r>
        <w:rPr>
          <w:rFonts w:ascii="Times New Roman" w:hAnsi="Times New Roman" w:cs="Times New Roman"/>
          <w:sz w:val="24"/>
          <w:szCs w:val="24"/>
        </w:rPr>
        <w:t xml:space="preserve"> vitamin D</w:t>
      </w:r>
      <w:r w:rsidRPr="0079125A">
        <w:rPr>
          <w:rFonts w:ascii="Times New Roman" w:hAnsi="Times New Roman" w:cs="Times New Roman"/>
          <w:sz w:val="24"/>
          <w:szCs w:val="24"/>
        </w:rPr>
        <w:t xml:space="preserve"> measurement. 109 men with prevalent heart failure were excluded because </w:t>
      </w:r>
      <w:r w:rsidR="00F6519C">
        <w:rPr>
          <w:rFonts w:ascii="Times New Roman" w:hAnsi="Times New Roman" w:cs="Times New Roman"/>
          <w:sz w:val="24"/>
          <w:szCs w:val="24"/>
        </w:rPr>
        <w:t xml:space="preserve">heart failure is strongly associated with </w:t>
      </w:r>
      <w:r>
        <w:rPr>
          <w:rFonts w:ascii="Times New Roman" w:hAnsi="Times New Roman" w:cs="Times New Roman"/>
          <w:sz w:val="24"/>
          <w:szCs w:val="24"/>
        </w:rPr>
        <w:t>hypertension</w:t>
      </w:r>
      <w:r w:rsidR="00F6519C">
        <w:rPr>
          <w:rFonts w:ascii="Times New Roman" w:hAnsi="Times New Roman" w:cs="Times New Roman"/>
          <w:sz w:val="24"/>
          <w:szCs w:val="24"/>
        </w:rPr>
        <w:t xml:space="preserve"> [24], a major </w:t>
      </w:r>
      <w:r w:rsidRPr="0079125A">
        <w:rPr>
          <w:rFonts w:ascii="Times New Roman" w:hAnsi="Times New Roman" w:cs="Times New Roman"/>
          <w:sz w:val="24"/>
          <w:szCs w:val="24"/>
        </w:rPr>
        <w:t xml:space="preserve">determinant of OH </w:t>
      </w:r>
      <w:r w:rsidR="003766DD">
        <w:rPr>
          <w:rFonts w:ascii="Times New Roman" w:hAnsi="Times New Roman" w:cs="Times New Roman"/>
          <w:sz w:val="24"/>
          <w:szCs w:val="24"/>
        </w:rPr>
        <w:t>[</w:t>
      </w:r>
      <w:r>
        <w:rPr>
          <w:rFonts w:ascii="Times New Roman" w:eastAsia="Times New Roman" w:hAnsi="Times New Roman" w:cs="Times New Roman"/>
          <w:bCs/>
          <w:noProof/>
          <w:sz w:val="24"/>
          <w:szCs w:val="24"/>
        </w:rPr>
        <w:t>25-28</w:t>
      </w:r>
      <w:r w:rsidR="003766DD">
        <w:rPr>
          <w:rFonts w:ascii="Times New Roman" w:eastAsia="Times New Roman" w:hAnsi="Times New Roman" w:cs="Times New Roman"/>
          <w:bCs/>
          <w:noProof/>
          <w:sz w:val="24"/>
          <w:szCs w:val="24"/>
        </w:rPr>
        <w:t>]</w:t>
      </w:r>
      <w:r w:rsidR="00F6519C">
        <w:rPr>
          <w:rFonts w:ascii="Times New Roman" w:eastAsia="Times New Roman" w:hAnsi="Times New Roman" w:cs="Times New Roman"/>
          <w:bCs/>
          <w:noProof/>
          <w:sz w:val="24"/>
          <w:szCs w:val="24"/>
        </w:rPr>
        <w:t xml:space="preserve">, and because of their exceptionally high risk of mortality </w:t>
      </w:r>
      <w:r w:rsidR="003766DD" w:rsidRPr="00F6519C">
        <w:rPr>
          <w:rFonts w:ascii="Times New Roman" w:hAnsi="Times New Roman" w:cs="Times New Roman"/>
          <w:sz w:val="24"/>
          <w:szCs w:val="24"/>
        </w:rPr>
        <w:t>[</w:t>
      </w:r>
      <w:r w:rsidRPr="00F6519C">
        <w:rPr>
          <w:rFonts w:ascii="Times New Roman" w:hAnsi="Times New Roman" w:cs="Times New Roman"/>
          <w:noProof/>
          <w:sz w:val="24"/>
          <w:szCs w:val="24"/>
        </w:rPr>
        <w:t>29</w:t>
      </w:r>
      <w:r w:rsidR="003766DD" w:rsidRPr="00F6519C">
        <w:rPr>
          <w:rFonts w:ascii="Times New Roman" w:hAnsi="Times New Roman" w:cs="Times New Roman"/>
          <w:noProof/>
          <w:sz w:val="24"/>
          <w:szCs w:val="24"/>
        </w:rPr>
        <w:t>]</w:t>
      </w:r>
      <w:r w:rsidRPr="00F6519C">
        <w:rPr>
          <w:rFonts w:ascii="Times New Roman" w:hAnsi="Times New Roman" w:cs="Times New Roman"/>
          <w:sz w:val="24"/>
          <w:szCs w:val="24"/>
        </w:rPr>
        <w:t xml:space="preserve">. </w:t>
      </w:r>
      <w:r w:rsidRPr="0079125A">
        <w:rPr>
          <w:rFonts w:ascii="Times New Roman" w:hAnsi="Times New Roman" w:cs="Times New Roman"/>
          <w:sz w:val="24"/>
          <w:szCs w:val="24"/>
        </w:rPr>
        <w:t xml:space="preserve">67 participants </w:t>
      </w:r>
      <w:r>
        <w:rPr>
          <w:rFonts w:ascii="Times New Roman" w:hAnsi="Times New Roman" w:cs="Times New Roman"/>
          <w:sz w:val="24"/>
          <w:szCs w:val="24"/>
        </w:rPr>
        <w:t>with</w:t>
      </w:r>
      <w:r w:rsidRPr="0079125A">
        <w:rPr>
          <w:rFonts w:ascii="Times New Roman" w:hAnsi="Times New Roman" w:cs="Times New Roman"/>
          <w:sz w:val="24"/>
          <w:szCs w:val="24"/>
        </w:rPr>
        <w:t xml:space="preserve"> incomplete sitting and standing </w:t>
      </w:r>
      <w:r>
        <w:rPr>
          <w:rFonts w:ascii="Times New Roman" w:hAnsi="Times New Roman" w:cs="Times New Roman"/>
          <w:sz w:val="24"/>
          <w:szCs w:val="24"/>
        </w:rPr>
        <w:t>blood pressure (BP)</w:t>
      </w:r>
      <w:r w:rsidRPr="0079125A">
        <w:rPr>
          <w:rFonts w:ascii="Times New Roman" w:hAnsi="Times New Roman" w:cs="Times New Roman"/>
          <w:sz w:val="24"/>
          <w:szCs w:val="24"/>
        </w:rPr>
        <w:t xml:space="preserve"> measurements</w:t>
      </w:r>
      <w:r>
        <w:rPr>
          <w:rFonts w:ascii="Times New Roman" w:hAnsi="Times New Roman" w:cs="Times New Roman"/>
          <w:sz w:val="24"/>
          <w:szCs w:val="24"/>
        </w:rPr>
        <w:t xml:space="preserve"> were also excluded</w:t>
      </w:r>
      <w:r w:rsidRPr="0079125A">
        <w:rPr>
          <w:rFonts w:ascii="Times New Roman" w:hAnsi="Times New Roman" w:cs="Times New Roman"/>
          <w:sz w:val="24"/>
          <w:szCs w:val="24"/>
        </w:rPr>
        <w:t xml:space="preserve">. </w:t>
      </w:r>
      <w:r w:rsidR="00F6519C">
        <w:rPr>
          <w:rFonts w:ascii="Times New Roman" w:hAnsi="Times New Roman" w:cs="Times New Roman"/>
          <w:sz w:val="24"/>
          <w:szCs w:val="24"/>
        </w:rPr>
        <w:t xml:space="preserve">We further excluded two men with </w:t>
      </w:r>
      <w:r w:rsidRPr="0079125A">
        <w:rPr>
          <w:rFonts w:ascii="Times New Roman" w:hAnsi="Times New Roman" w:cs="Times New Roman"/>
          <w:sz w:val="24"/>
          <w:szCs w:val="24"/>
        </w:rPr>
        <w:t xml:space="preserve">PTH measurements &gt;200 </w:t>
      </w:r>
      <w:proofErr w:type="spellStart"/>
      <w:r w:rsidRPr="0079125A">
        <w:rPr>
          <w:rFonts w:ascii="Times New Roman" w:hAnsi="Times New Roman" w:cs="Times New Roman"/>
          <w:sz w:val="24"/>
          <w:szCs w:val="24"/>
        </w:rPr>
        <w:t>pg</w:t>
      </w:r>
      <w:proofErr w:type="spellEnd"/>
      <w:r w:rsidRPr="0079125A">
        <w:rPr>
          <w:rFonts w:ascii="Times New Roman" w:hAnsi="Times New Roman" w:cs="Times New Roman"/>
          <w:sz w:val="24"/>
          <w:szCs w:val="24"/>
        </w:rPr>
        <w:t>/mL</w:t>
      </w:r>
      <w:r w:rsidR="00F6519C">
        <w:rPr>
          <w:rFonts w:ascii="Times New Roman" w:hAnsi="Times New Roman" w:cs="Times New Roman"/>
          <w:sz w:val="24"/>
          <w:szCs w:val="24"/>
        </w:rPr>
        <w:t>, as</w:t>
      </w:r>
      <w:r w:rsidRPr="0079125A">
        <w:rPr>
          <w:rFonts w:ascii="Times New Roman" w:hAnsi="Times New Roman" w:cs="Times New Roman"/>
          <w:sz w:val="24"/>
          <w:szCs w:val="24"/>
        </w:rPr>
        <w:t xml:space="preserve"> these measurements likely reflected a specific disease such as hyperparathyroidism</w:t>
      </w:r>
      <w:r w:rsidR="00F6519C">
        <w:rPr>
          <w:rFonts w:ascii="Times New Roman" w:hAnsi="Times New Roman" w:cs="Times New Roman"/>
          <w:sz w:val="24"/>
          <w:szCs w:val="24"/>
        </w:rPr>
        <w:t>, and one man with</w:t>
      </w:r>
      <w:r w:rsidR="00DE15E6">
        <w:rPr>
          <w:rFonts w:ascii="Times New Roman" w:hAnsi="Times New Roman" w:cs="Times New Roman"/>
          <w:sz w:val="24"/>
          <w:szCs w:val="24"/>
        </w:rPr>
        <w:t xml:space="preserve"> </w:t>
      </w:r>
      <w:r w:rsidR="00BF14C8">
        <w:rPr>
          <w:rFonts w:ascii="Times New Roman" w:hAnsi="Times New Roman" w:cs="Times New Roman"/>
          <w:sz w:val="24"/>
          <w:szCs w:val="24"/>
        </w:rPr>
        <w:t xml:space="preserve">a </w:t>
      </w:r>
      <w:r w:rsidR="00DE15E6">
        <w:rPr>
          <w:rFonts w:ascii="Times New Roman" w:hAnsi="Times New Roman" w:cs="Times New Roman"/>
          <w:sz w:val="24"/>
          <w:szCs w:val="24"/>
        </w:rPr>
        <w:t>circulating</w:t>
      </w:r>
      <w:r w:rsidR="00F6519C">
        <w:rPr>
          <w:rFonts w:ascii="Times New Roman" w:hAnsi="Times New Roman" w:cs="Times New Roman"/>
          <w:sz w:val="24"/>
          <w:szCs w:val="24"/>
        </w:rPr>
        <w:t xml:space="preserve"> vitamin D level </w:t>
      </w:r>
      <w:r w:rsidRPr="0079125A">
        <w:rPr>
          <w:rFonts w:ascii="Times New Roman" w:hAnsi="Times New Roman" w:cs="Times New Roman"/>
          <w:sz w:val="24"/>
          <w:szCs w:val="24"/>
        </w:rPr>
        <w:t>&gt;250 nmol/L. Thus, 3620 participants were left</w:t>
      </w:r>
      <w:r>
        <w:rPr>
          <w:rFonts w:ascii="Times New Roman" w:hAnsi="Times New Roman" w:cs="Times New Roman"/>
          <w:sz w:val="24"/>
          <w:szCs w:val="24"/>
        </w:rPr>
        <w:t xml:space="preserve"> for analysis. </w:t>
      </w:r>
      <w:r w:rsidRPr="0079125A">
        <w:rPr>
          <w:rFonts w:ascii="Times New Roman" w:hAnsi="Times New Roman" w:cs="Times New Roman"/>
          <w:sz w:val="24"/>
          <w:szCs w:val="24"/>
        </w:rPr>
        <w:t>Of these, 3618 had PTH measurements.</w:t>
      </w:r>
      <w:r w:rsidRPr="0079125A">
        <w:rPr>
          <w:rFonts w:ascii="Times New Roman" w:hAnsi="Times New Roman" w:cs="Times New Roman"/>
          <w:sz w:val="24"/>
          <w:szCs w:val="24"/>
        </w:rPr>
        <w:br/>
      </w:r>
      <w:r w:rsidRPr="0079125A">
        <w:rPr>
          <w:rFonts w:ascii="Times New Roman" w:hAnsi="Times New Roman" w:cs="Times New Roman"/>
          <w:sz w:val="24"/>
          <w:szCs w:val="24"/>
        </w:rPr>
        <w:br/>
      </w:r>
      <w:r w:rsidRPr="0079125A">
        <w:rPr>
          <w:rFonts w:ascii="Times New Roman" w:hAnsi="Times New Roman" w:cs="Times New Roman"/>
          <w:i/>
          <w:sz w:val="24"/>
          <w:szCs w:val="24"/>
        </w:rPr>
        <w:t xml:space="preserve">Vitamin D and PTH measurements – </w:t>
      </w:r>
      <w:r w:rsidRPr="0079125A">
        <w:rPr>
          <w:rFonts w:ascii="Times New Roman" w:hAnsi="Times New Roman" w:cs="Times New Roman"/>
          <w:sz w:val="24"/>
          <w:szCs w:val="24"/>
        </w:rPr>
        <w:t xml:space="preserve">A fasting blood sample was taken on the same day as the physical examination. </w:t>
      </w:r>
      <w:r w:rsidR="00882A4D">
        <w:rPr>
          <w:rFonts w:ascii="Times New Roman" w:hAnsi="Times New Roman" w:cs="Times New Roman"/>
          <w:sz w:val="24"/>
          <w:szCs w:val="24"/>
        </w:rPr>
        <w:t>T</w:t>
      </w:r>
      <w:r w:rsidRPr="0079125A">
        <w:rPr>
          <w:rFonts w:ascii="Times New Roman" w:hAnsi="Times New Roman" w:cs="Times New Roman"/>
          <w:sz w:val="24"/>
          <w:szCs w:val="24"/>
        </w:rPr>
        <w:t>otal vitamin D (</w:t>
      </w:r>
      <w:r w:rsidRPr="0079125A">
        <w:rPr>
          <w:rFonts w:ascii="Times New Roman" w:hAnsi="Times New Roman" w:cs="Times New Roman"/>
          <w:color w:val="000000"/>
          <w:sz w:val="24"/>
          <w:szCs w:val="24"/>
          <w:shd w:val="clear" w:color="auto" w:fill="FFFFFF"/>
        </w:rPr>
        <w:t>25OHD</w:t>
      </w:r>
      <w:r w:rsidRPr="0079125A">
        <w:rPr>
          <w:rFonts w:ascii="Times New Roman" w:hAnsi="Times New Roman" w:cs="Times New Roman"/>
          <w:color w:val="000000"/>
          <w:sz w:val="24"/>
          <w:szCs w:val="24"/>
          <w:shd w:val="clear" w:color="auto" w:fill="FFFFFF"/>
          <w:vertAlign w:val="subscript"/>
        </w:rPr>
        <w:t>2</w:t>
      </w:r>
      <w:r w:rsidRPr="0079125A">
        <w:rPr>
          <w:rFonts w:ascii="Times New Roman" w:hAnsi="Times New Roman" w:cs="Times New Roman"/>
          <w:color w:val="000000"/>
          <w:sz w:val="24"/>
          <w:szCs w:val="24"/>
          <w:shd w:val="clear" w:color="auto" w:fill="FFFFFF"/>
        </w:rPr>
        <w:t> plus 25OHD</w:t>
      </w:r>
      <w:r w:rsidRPr="0079125A">
        <w:rPr>
          <w:rFonts w:ascii="Times New Roman" w:hAnsi="Times New Roman" w:cs="Times New Roman"/>
          <w:color w:val="000000"/>
          <w:sz w:val="24"/>
          <w:szCs w:val="24"/>
          <w:shd w:val="clear" w:color="auto" w:fill="FFFFFF"/>
          <w:vertAlign w:val="subscript"/>
        </w:rPr>
        <w:t>3</w:t>
      </w:r>
      <w:r w:rsidRPr="0079125A">
        <w:rPr>
          <w:rFonts w:ascii="Times New Roman" w:hAnsi="Times New Roman" w:cs="Times New Roman"/>
          <w:sz w:val="24"/>
          <w:szCs w:val="24"/>
        </w:rPr>
        <w:t>; referred to here as “vitamin D”)</w:t>
      </w:r>
      <w:r w:rsidR="00BF14C8">
        <w:rPr>
          <w:rFonts w:ascii="Times New Roman" w:hAnsi="Times New Roman" w:cs="Times New Roman"/>
          <w:sz w:val="24"/>
          <w:szCs w:val="24"/>
        </w:rPr>
        <w:t xml:space="preserve"> </w:t>
      </w:r>
      <w:r w:rsidRPr="0079125A">
        <w:rPr>
          <w:rFonts w:ascii="Times New Roman" w:hAnsi="Times New Roman" w:cs="Times New Roman"/>
          <w:sz w:val="24"/>
          <w:szCs w:val="24"/>
        </w:rPr>
        <w:t>was measured using a gold-standard liquid chromatography-tandem mass spectrometry method following an automated solid-phase extraction procedure</w:t>
      </w:r>
      <w:r>
        <w:rPr>
          <w:rFonts w:ascii="Times New Roman" w:hAnsi="Times New Roman" w:cs="Times New Roman"/>
          <w:sz w:val="24"/>
          <w:szCs w:val="24"/>
        </w:rPr>
        <w:t xml:space="preserve"> </w:t>
      </w:r>
      <w:r w:rsidR="003766DD">
        <w:rPr>
          <w:rFonts w:ascii="Times New Roman" w:hAnsi="Times New Roman" w:cs="Times New Roman"/>
          <w:noProof/>
          <w:sz w:val="24"/>
          <w:szCs w:val="24"/>
        </w:rPr>
        <w:t>[</w:t>
      </w:r>
      <w:r>
        <w:rPr>
          <w:rFonts w:ascii="Times New Roman" w:hAnsi="Times New Roman" w:cs="Times New Roman"/>
          <w:noProof/>
          <w:sz w:val="24"/>
          <w:szCs w:val="24"/>
        </w:rPr>
        <w:t>30</w:t>
      </w:r>
      <w:r w:rsidR="003766DD">
        <w:rPr>
          <w:rFonts w:ascii="Times New Roman" w:hAnsi="Times New Roman" w:cs="Times New Roman"/>
          <w:noProof/>
          <w:sz w:val="24"/>
          <w:szCs w:val="24"/>
        </w:rPr>
        <w:t>]</w:t>
      </w:r>
      <w:r w:rsidRPr="0079125A">
        <w:rPr>
          <w:rFonts w:ascii="Times New Roman" w:hAnsi="Times New Roman" w:cs="Times New Roman"/>
          <w:sz w:val="24"/>
          <w:szCs w:val="24"/>
        </w:rPr>
        <w:t>. Measurements were made in ng/mL and converted into nmol/L. The lower limit of sensitivity was 10 nmol/L. PTH was measured by electrochemiluminescence using a clinically validated assay for intact PTH</w:t>
      </w:r>
      <w:r>
        <w:rPr>
          <w:rFonts w:ascii="Times New Roman" w:hAnsi="Times New Roman" w:cs="Times New Roman"/>
          <w:sz w:val="24"/>
          <w:szCs w:val="24"/>
        </w:rPr>
        <w:t xml:space="preserve"> </w:t>
      </w:r>
      <w:r w:rsidR="003766DD">
        <w:rPr>
          <w:rFonts w:ascii="Times New Roman" w:hAnsi="Times New Roman" w:cs="Times New Roman"/>
          <w:sz w:val="24"/>
          <w:szCs w:val="24"/>
        </w:rPr>
        <w:t>[</w:t>
      </w:r>
      <w:r>
        <w:rPr>
          <w:rFonts w:ascii="Times New Roman" w:hAnsi="Times New Roman" w:cs="Times New Roman"/>
          <w:noProof/>
          <w:sz w:val="24"/>
          <w:szCs w:val="24"/>
        </w:rPr>
        <w:t>30</w:t>
      </w:r>
      <w:r w:rsidR="003766DD">
        <w:rPr>
          <w:rFonts w:ascii="Times New Roman" w:hAnsi="Times New Roman" w:cs="Times New Roman"/>
          <w:noProof/>
          <w:sz w:val="24"/>
          <w:szCs w:val="24"/>
        </w:rPr>
        <w:t>]</w:t>
      </w:r>
      <w:r w:rsidRPr="0079125A">
        <w:rPr>
          <w:rFonts w:ascii="Times New Roman" w:hAnsi="Times New Roman" w:cs="Times New Roman"/>
          <w:sz w:val="24"/>
          <w:szCs w:val="24"/>
        </w:rPr>
        <w:t xml:space="preserve">. </w:t>
      </w:r>
      <w:r w:rsidRPr="0079125A">
        <w:rPr>
          <w:rFonts w:ascii="Times New Roman" w:hAnsi="Times New Roman" w:cs="Times New Roman"/>
          <w:sz w:val="24"/>
          <w:szCs w:val="24"/>
        </w:rPr>
        <w:br/>
      </w:r>
      <w:r w:rsidRPr="0079125A">
        <w:rPr>
          <w:rFonts w:ascii="Times New Roman" w:hAnsi="Times New Roman" w:cs="Times New Roman"/>
          <w:sz w:val="24"/>
          <w:szCs w:val="24"/>
        </w:rPr>
        <w:br/>
      </w:r>
      <w:r>
        <w:rPr>
          <w:rFonts w:ascii="Times New Roman" w:hAnsi="Times New Roman" w:cs="Times New Roman"/>
          <w:i/>
          <w:sz w:val="24"/>
          <w:szCs w:val="24"/>
        </w:rPr>
        <w:t xml:space="preserve">BP </w:t>
      </w:r>
      <w:r w:rsidRPr="0079125A">
        <w:rPr>
          <w:rFonts w:ascii="Times New Roman" w:hAnsi="Times New Roman" w:cs="Times New Roman"/>
          <w:i/>
          <w:sz w:val="24"/>
          <w:szCs w:val="24"/>
        </w:rPr>
        <w:t>measurement</w:t>
      </w:r>
      <w:r w:rsidRPr="0079125A">
        <w:rPr>
          <w:rFonts w:ascii="Times New Roman" w:hAnsi="Times New Roman" w:cs="Times New Roman"/>
          <w:sz w:val="24"/>
          <w:szCs w:val="24"/>
        </w:rPr>
        <w:t xml:space="preserve"> – </w:t>
      </w:r>
      <w:r>
        <w:rPr>
          <w:rFonts w:ascii="Times New Roman" w:hAnsi="Times New Roman" w:cs="Times New Roman"/>
          <w:sz w:val="24"/>
          <w:szCs w:val="24"/>
        </w:rPr>
        <w:t>BP</w:t>
      </w:r>
      <w:r w:rsidRPr="0079125A">
        <w:rPr>
          <w:rFonts w:ascii="Times New Roman" w:hAnsi="Times New Roman" w:cs="Times New Roman"/>
          <w:sz w:val="24"/>
          <w:szCs w:val="24"/>
        </w:rPr>
        <w:t xml:space="preserve"> measurements were taken </w:t>
      </w:r>
      <w:r w:rsidR="00E134B3">
        <w:rPr>
          <w:rFonts w:ascii="Times New Roman" w:hAnsi="Times New Roman" w:cs="Times New Roman"/>
          <w:sz w:val="24"/>
          <w:szCs w:val="24"/>
        </w:rPr>
        <w:t xml:space="preserve">on the right arm </w:t>
      </w:r>
      <w:r w:rsidRPr="0079125A">
        <w:rPr>
          <w:rFonts w:ascii="Times New Roman" w:hAnsi="Times New Roman" w:cs="Times New Roman"/>
          <w:sz w:val="24"/>
          <w:szCs w:val="24"/>
        </w:rPr>
        <w:t xml:space="preserve">using an automatic </w:t>
      </w:r>
      <w:proofErr w:type="spellStart"/>
      <w:r w:rsidRPr="0079125A">
        <w:rPr>
          <w:rFonts w:ascii="Times New Roman" w:hAnsi="Times New Roman" w:cs="Times New Roman"/>
          <w:sz w:val="24"/>
          <w:szCs w:val="24"/>
        </w:rPr>
        <w:t>Dinamap</w:t>
      </w:r>
      <w:proofErr w:type="spellEnd"/>
      <w:r w:rsidRPr="0079125A">
        <w:rPr>
          <w:rFonts w:ascii="Times New Roman" w:hAnsi="Times New Roman" w:cs="Times New Roman"/>
          <w:sz w:val="24"/>
          <w:szCs w:val="24"/>
        </w:rPr>
        <w:t xml:space="preserve"> 1846SX. The </w:t>
      </w:r>
      <w:proofErr w:type="spellStart"/>
      <w:r w:rsidRPr="0079125A">
        <w:rPr>
          <w:rFonts w:ascii="Times New Roman" w:hAnsi="Times New Roman" w:cs="Times New Roman"/>
          <w:sz w:val="24"/>
          <w:szCs w:val="24"/>
        </w:rPr>
        <w:t>Dinamap</w:t>
      </w:r>
      <w:proofErr w:type="spellEnd"/>
      <w:r w:rsidRPr="0079125A">
        <w:rPr>
          <w:rFonts w:ascii="Times New Roman" w:hAnsi="Times New Roman" w:cs="Times New Roman"/>
          <w:sz w:val="24"/>
          <w:szCs w:val="24"/>
        </w:rPr>
        <w:t xml:space="preserve"> </w:t>
      </w:r>
      <w:r>
        <w:rPr>
          <w:rFonts w:ascii="Times New Roman" w:hAnsi="Times New Roman" w:cs="Times New Roman"/>
          <w:sz w:val="24"/>
          <w:szCs w:val="24"/>
        </w:rPr>
        <w:t>BP</w:t>
      </w:r>
      <w:r w:rsidRPr="0079125A">
        <w:rPr>
          <w:rFonts w:ascii="Times New Roman" w:hAnsi="Times New Roman" w:cs="Times New Roman"/>
          <w:sz w:val="24"/>
          <w:szCs w:val="24"/>
        </w:rPr>
        <w:t xml:space="preserve"> monitor overestimated systolic </w:t>
      </w:r>
      <w:r>
        <w:rPr>
          <w:rFonts w:ascii="Times New Roman" w:hAnsi="Times New Roman" w:cs="Times New Roman"/>
          <w:sz w:val="24"/>
          <w:szCs w:val="24"/>
        </w:rPr>
        <w:t>BP</w:t>
      </w:r>
      <w:r w:rsidRPr="0079125A">
        <w:rPr>
          <w:rFonts w:ascii="Times New Roman" w:hAnsi="Times New Roman" w:cs="Times New Roman"/>
          <w:sz w:val="24"/>
          <w:szCs w:val="24"/>
        </w:rPr>
        <w:t xml:space="preserve"> by ~8 mmHg compared with the standard mercury sphygmomanometer that was the standard reference instrument for </w:t>
      </w:r>
      <w:r>
        <w:rPr>
          <w:rFonts w:ascii="Times New Roman" w:hAnsi="Times New Roman" w:cs="Times New Roman"/>
          <w:sz w:val="24"/>
          <w:szCs w:val="24"/>
        </w:rPr>
        <w:t>BP</w:t>
      </w:r>
      <w:r w:rsidRPr="0079125A">
        <w:rPr>
          <w:rFonts w:ascii="Times New Roman" w:hAnsi="Times New Roman" w:cs="Times New Roman"/>
          <w:sz w:val="24"/>
          <w:szCs w:val="24"/>
        </w:rPr>
        <w:t xml:space="preserve"> measurement at the time </w:t>
      </w:r>
      <w:r w:rsidR="003766DD">
        <w:rPr>
          <w:rFonts w:ascii="Times New Roman" w:hAnsi="Times New Roman" w:cs="Times New Roman"/>
          <w:sz w:val="24"/>
          <w:szCs w:val="24"/>
        </w:rPr>
        <w:t>[</w:t>
      </w:r>
      <w:r>
        <w:rPr>
          <w:rFonts w:ascii="Times New Roman" w:hAnsi="Times New Roman" w:cs="Times New Roman"/>
          <w:noProof/>
          <w:sz w:val="24"/>
          <w:szCs w:val="24"/>
        </w:rPr>
        <w:t>31</w:t>
      </w:r>
      <w:r w:rsidR="003766DD">
        <w:rPr>
          <w:rFonts w:ascii="Times New Roman" w:hAnsi="Times New Roman" w:cs="Times New Roman"/>
          <w:noProof/>
          <w:sz w:val="24"/>
          <w:szCs w:val="24"/>
        </w:rPr>
        <w:t>]</w:t>
      </w:r>
      <w:r w:rsidRPr="0079125A">
        <w:rPr>
          <w:rFonts w:ascii="Times New Roman" w:hAnsi="Times New Roman" w:cs="Times New Roman"/>
          <w:sz w:val="24"/>
          <w:szCs w:val="24"/>
        </w:rPr>
        <w:t xml:space="preserve">. 8 mmHg was therefore subtracted from raw systolic </w:t>
      </w:r>
      <w:r>
        <w:rPr>
          <w:rFonts w:ascii="Times New Roman" w:hAnsi="Times New Roman" w:cs="Times New Roman"/>
          <w:sz w:val="24"/>
          <w:szCs w:val="24"/>
        </w:rPr>
        <w:t>BP</w:t>
      </w:r>
      <w:r w:rsidRPr="0079125A">
        <w:rPr>
          <w:rFonts w:ascii="Times New Roman" w:hAnsi="Times New Roman" w:cs="Times New Roman"/>
          <w:sz w:val="24"/>
          <w:szCs w:val="24"/>
        </w:rPr>
        <w:t xml:space="preserve"> readings. An adult cuff was used if the arm circumference was &lt;32 cm; a large adult cuff if it was ≥32 cm. </w:t>
      </w:r>
      <w:r w:rsidRPr="0079125A">
        <w:rPr>
          <w:rFonts w:ascii="Times New Roman" w:hAnsi="Times New Roman" w:cs="Times New Roman"/>
          <w:sz w:val="24"/>
          <w:szCs w:val="24"/>
        </w:rPr>
        <w:lastRenderedPageBreak/>
        <w:t xml:space="preserve">For sitting measurements, participants were asked to rest their arm on the examination table, such that the upper arm was at chest level. During measurements, participants were discouraged from talking and encouraged to keep the arm still.  </w:t>
      </w:r>
      <w:r w:rsidRPr="0079125A">
        <w:rPr>
          <w:rFonts w:ascii="Times New Roman" w:hAnsi="Times New Roman" w:cs="Times New Roman"/>
          <w:sz w:val="24"/>
          <w:szCs w:val="24"/>
        </w:rPr>
        <w:br/>
      </w:r>
      <w:r w:rsidRPr="0079125A">
        <w:rPr>
          <w:rFonts w:ascii="Times New Roman" w:hAnsi="Times New Roman" w:cs="Times New Roman"/>
          <w:sz w:val="24"/>
          <w:szCs w:val="24"/>
        </w:rPr>
        <w:br/>
        <w:t xml:space="preserve">The </w:t>
      </w:r>
      <w:proofErr w:type="spellStart"/>
      <w:r w:rsidRPr="0079125A">
        <w:rPr>
          <w:rFonts w:ascii="Times New Roman" w:hAnsi="Times New Roman" w:cs="Times New Roman"/>
          <w:sz w:val="24"/>
          <w:szCs w:val="24"/>
        </w:rPr>
        <w:t>Dinamap</w:t>
      </w:r>
      <w:proofErr w:type="spellEnd"/>
      <w:r w:rsidRPr="0079125A">
        <w:rPr>
          <w:rFonts w:ascii="Times New Roman" w:hAnsi="Times New Roman" w:cs="Times New Roman"/>
          <w:sz w:val="24"/>
          <w:szCs w:val="24"/>
        </w:rPr>
        <w:t xml:space="preserve"> was set to take repeated measurements at </w:t>
      </w:r>
      <w:proofErr w:type="gramStart"/>
      <w:r w:rsidRPr="0079125A">
        <w:rPr>
          <w:rFonts w:ascii="Times New Roman" w:hAnsi="Times New Roman" w:cs="Times New Roman"/>
          <w:sz w:val="24"/>
          <w:szCs w:val="24"/>
        </w:rPr>
        <w:t>one minute</w:t>
      </w:r>
      <w:proofErr w:type="gramEnd"/>
      <w:r w:rsidRPr="0079125A">
        <w:rPr>
          <w:rFonts w:ascii="Times New Roman" w:hAnsi="Times New Roman" w:cs="Times New Roman"/>
          <w:sz w:val="24"/>
          <w:szCs w:val="24"/>
        </w:rPr>
        <w:t xml:space="preserve"> intervals. </w:t>
      </w:r>
      <w:r w:rsidR="00E134B3">
        <w:rPr>
          <w:rFonts w:ascii="Times New Roman" w:hAnsi="Times New Roman" w:cs="Times New Roman"/>
          <w:sz w:val="24"/>
          <w:szCs w:val="24"/>
        </w:rPr>
        <w:t>F</w:t>
      </w:r>
      <w:r w:rsidRPr="0079125A">
        <w:rPr>
          <w:rFonts w:ascii="Times New Roman" w:hAnsi="Times New Roman" w:cs="Times New Roman"/>
          <w:sz w:val="24"/>
          <w:szCs w:val="24"/>
        </w:rPr>
        <w:t>our consecutive</w:t>
      </w:r>
      <w:r>
        <w:rPr>
          <w:rFonts w:ascii="Times New Roman" w:hAnsi="Times New Roman" w:cs="Times New Roman"/>
          <w:sz w:val="24"/>
          <w:szCs w:val="24"/>
        </w:rPr>
        <w:t xml:space="preserve"> BP </w:t>
      </w:r>
      <w:r w:rsidRPr="0079125A">
        <w:rPr>
          <w:rFonts w:ascii="Times New Roman" w:hAnsi="Times New Roman" w:cs="Times New Roman"/>
          <w:sz w:val="24"/>
          <w:szCs w:val="24"/>
        </w:rPr>
        <w:t xml:space="preserve">measurements were taken: two sitting, followed by two standing. Participants had not been seated, nor supine, for a prescribed duration prior to </w:t>
      </w:r>
      <w:r>
        <w:rPr>
          <w:rFonts w:ascii="Times New Roman" w:hAnsi="Times New Roman" w:cs="Times New Roman"/>
          <w:sz w:val="24"/>
          <w:szCs w:val="24"/>
        </w:rPr>
        <w:t xml:space="preserve">the </w:t>
      </w:r>
      <w:r w:rsidRPr="0079125A">
        <w:rPr>
          <w:rFonts w:ascii="Times New Roman" w:hAnsi="Times New Roman" w:cs="Times New Roman"/>
          <w:sz w:val="24"/>
          <w:szCs w:val="24"/>
        </w:rPr>
        <w:t xml:space="preserve">first </w:t>
      </w:r>
      <w:r w:rsidR="005A065D">
        <w:rPr>
          <w:rFonts w:ascii="Times New Roman" w:hAnsi="Times New Roman" w:cs="Times New Roman"/>
          <w:sz w:val="24"/>
          <w:szCs w:val="24"/>
        </w:rPr>
        <w:t xml:space="preserve">sitting </w:t>
      </w:r>
      <w:r w:rsidRPr="0079125A">
        <w:rPr>
          <w:rFonts w:ascii="Times New Roman" w:hAnsi="Times New Roman" w:cs="Times New Roman"/>
          <w:sz w:val="24"/>
          <w:szCs w:val="24"/>
        </w:rPr>
        <w:t>measurement. After the second sitting measurement completed, the participant was asked to stand up</w:t>
      </w:r>
      <w:r w:rsidR="00844FF2">
        <w:rPr>
          <w:rFonts w:ascii="Times New Roman" w:hAnsi="Times New Roman" w:cs="Times New Roman"/>
          <w:sz w:val="24"/>
          <w:szCs w:val="24"/>
        </w:rPr>
        <w:t xml:space="preserve"> (at least 1 minute and 30 seconds after </w:t>
      </w:r>
      <w:r w:rsidR="0008401C">
        <w:rPr>
          <w:rFonts w:ascii="Times New Roman" w:hAnsi="Times New Roman" w:cs="Times New Roman"/>
          <w:sz w:val="24"/>
          <w:szCs w:val="24"/>
        </w:rPr>
        <w:t xml:space="preserve">sitting down for the </w:t>
      </w:r>
      <w:r w:rsidR="00844FF2">
        <w:rPr>
          <w:rFonts w:ascii="Times New Roman" w:hAnsi="Times New Roman" w:cs="Times New Roman"/>
          <w:sz w:val="24"/>
          <w:szCs w:val="24"/>
        </w:rPr>
        <w:t>first blood pressure measurement</w:t>
      </w:r>
      <w:r w:rsidR="005A065D">
        <w:rPr>
          <w:rFonts w:ascii="Times New Roman" w:hAnsi="Times New Roman" w:cs="Times New Roman"/>
          <w:sz w:val="24"/>
          <w:szCs w:val="24"/>
        </w:rPr>
        <w:t>)</w:t>
      </w:r>
      <w:r w:rsidRPr="0079125A">
        <w:rPr>
          <w:rFonts w:ascii="Times New Roman" w:hAnsi="Times New Roman" w:cs="Times New Roman"/>
          <w:sz w:val="24"/>
          <w:szCs w:val="24"/>
        </w:rPr>
        <w:t xml:space="preserve">. The first standing </w:t>
      </w:r>
      <w:r>
        <w:rPr>
          <w:rFonts w:ascii="Times New Roman" w:hAnsi="Times New Roman" w:cs="Times New Roman"/>
          <w:sz w:val="24"/>
          <w:szCs w:val="24"/>
        </w:rPr>
        <w:t xml:space="preserve">BP </w:t>
      </w:r>
      <w:r w:rsidRPr="0079125A">
        <w:rPr>
          <w:rFonts w:ascii="Times New Roman" w:hAnsi="Times New Roman" w:cs="Times New Roman"/>
          <w:sz w:val="24"/>
          <w:szCs w:val="24"/>
        </w:rPr>
        <w:t xml:space="preserve">measurement began within one minute of the participant standing. The second standing </w:t>
      </w:r>
      <w:r>
        <w:rPr>
          <w:rFonts w:ascii="Times New Roman" w:hAnsi="Times New Roman" w:cs="Times New Roman"/>
          <w:sz w:val="24"/>
          <w:szCs w:val="24"/>
        </w:rPr>
        <w:t xml:space="preserve">BP </w:t>
      </w:r>
      <w:r w:rsidRPr="0079125A">
        <w:rPr>
          <w:rFonts w:ascii="Times New Roman" w:hAnsi="Times New Roman" w:cs="Times New Roman"/>
          <w:sz w:val="24"/>
          <w:szCs w:val="24"/>
        </w:rPr>
        <w:t xml:space="preserve">measurement began after one minute of standing.     </w:t>
      </w:r>
      <w:r w:rsidRPr="0079125A">
        <w:rPr>
          <w:rFonts w:ascii="Times New Roman" w:hAnsi="Times New Roman" w:cs="Times New Roman"/>
          <w:sz w:val="24"/>
          <w:szCs w:val="24"/>
        </w:rPr>
        <w:br/>
      </w:r>
      <w:r w:rsidRPr="0079125A">
        <w:rPr>
          <w:rFonts w:ascii="Times New Roman" w:hAnsi="Times New Roman" w:cs="Times New Roman"/>
          <w:sz w:val="24"/>
          <w:szCs w:val="24"/>
        </w:rPr>
        <w:br/>
      </w:r>
      <w:r w:rsidRPr="0079125A">
        <w:rPr>
          <w:rFonts w:ascii="Times New Roman" w:hAnsi="Times New Roman" w:cs="Times New Roman"/>
          <w:i/>
          <w:sz w:val="24"/>
          <w:szCs w:val="24"/>
        </w:rPr>
        <w:t>Definition of OH</w:t>
      </w:r>
      <w:r w:rsidRPr="0079125A">
        <w:rPr>
          <w:rFonts w:ascii="Times New Roman" w:hAnsi="Times New Roman" w:cs="Times New Roman"/>
          <w:sz w:val="24"/>
          <w:szCs w:val="24"/>
        </w:rPr>
        <w:t xml:space="preserve"> – “Consensus OH” was defined by consensus </w:t>
      </w:r>
      <w:r w:rsidR="003766DD">
        <w:rPr>
          <w:rFonts w:ascii="Times New Roman" w:hAnsi="Times New Roman" w:cs="Times New Roman"/>
          <w:sz w:val="24"/>
          <w:szCs w:val="24"/>
        </w:rPr>
        <w:t>[</w:t>
      </w:r>
      <w:r>
        <w:rPr>
          <w:rFonts w:ascii="Times New Roman" w:hAnsi="Times New Roman" w:cs="Times New Roman"/>
          <w:noProof/>
          <w:sz w:val="24"/>
          <w:szCs w:val="24"/>
        </w:rPr>
        <w:t>32</w:t>
      </w:r>
      <w:r w:rsidR="003766DD">
        <w:rPr>
          <w:rFonts w:ascii="Times New Roman" w:hAnsi="Times New Roman" w:cs="Times New Roman"/>
          <w:noProof/>
          <w:sz w:val="24"/>
          <w:szCs w:val="24"/>
        </w:rPr>
        <w:t>]</w:t>
      </w:r>
      <w:r w:rsidRPr="0079125A">
        <w:rPr>
          <w:rFonts w:ascii="Times New Roman" w:hAnsi="Times New Roman" w:cs="Times New Roman"/>
          <w:sz w:val="24"/>
          <w:szCs w:val="24"/>
        </w:rPr>
        <w:t xml:space="preserve"> as a decrease in systolic </w:t>
      </w:r>
      <w:r>
        <w:rPr>
          <w:rFonts w:ascii="Times New Roman" w:hAnsi="Times New Roman" w:cs="Times New Roman"/>
          <w:sz w:val="24"/>
          <w:szCs w:val="24"/>
        </w:rPr>
        <w:t xml:space="preserve">BP </w:t>
      </w:r>
      <w:r w:rsidRPr="0079125A">
        <w:rPr>
          <w:rFonts w:ascii="Times New Roman" w:hAnsi="Times New Roman" w:cs="Times New Roman"/>
          <w:sz w:val="24"/>
          <w:szCs w:val="24"/>
        </w:rPr>
        <w:t xml:space="preserve">≥20 mmHg and/or diastolic </w:t>
      </w:r>
      <w:r>
        <w:rPr>
          <w:rFonts w:ascii="Times New Roman" w:hAnsi="Times New Roman" w:cs="Times New Roman"/>
          <w:sz w:val="24"/>
          <w:szCs w:val="24"/>
        </w:rPr>
        <w:t xml:space="preserve">BP </w:t>
      </w:r>
      <w:r w:rsidRPr="0079125A">
        <w:rPr>
          <w:rFonts w:ascii="Times New Roman" w:hAnsi="Times New Roman" w:cs="Times New Roman"/>
          <w:sz w:val="24"/>
          <w:szCs w:val="24"/>
        </w:rPr>
        <w:t xml:space="preserve">≥10 mmHg that occurred between either the first, or second, standing </w:t>
      </w:r>
      <w:r>
        <w:rPr>
          <w:rFonts w:ascii="Times New Roman" w:hAnsi="Times New Roman" w:cs="Times New Roman"/>
          <w:sz w:val="24"/>
          <w:szCs w:val="24"/>
        </w:rPr>
        <w:t>BP</w:t>
      </w:r>
      <w:r w:rsidRPr="0079125A">
        <w:rPr>
          <w:rFonts w:ascii="Times New Roman" w:hAnsi="Times New Roman" w:cs="Times New Roman"/>
          <w:sz w:val="24"/>
          <w:szCs w:val="24"/>
        </w:rPr>
        <w:t xml:space="preserve"> measurements and the mean of the two preceding sitting </w:t>
      </w:r>
      <w:r>
        <w:rPr>
          <w:rFonts w:ascii="Times New Roman" w:hAnsi="Times New Roman" w:cs="Times New Roman"/>
          <w:sz w:val="24"/>
          <w:szCs w:val="24"/>
        </w:rPr>
        <w:t>BP</w:t>
      </w:r>
      <w:r w:rsidRPr="0079125A">
        <w:rPr>
          <w:rFonts w:ascii="Times New Roman" w:hAnsi="Times New Roman" w:cs="Times New Roman"/>
          <w:sz w:val="24"/>
          <w:szCs w:val="24"/>
        </w:rPr>
        <w:t xml:space="preserve"> measurements. Consensus OH was sub-divided, based on the timeframe within which it occurred, into OH-1 and OH-2. OH-1 was OH that occurred within one minute of standing, regardless of whether it persisted or corrected during the second minute of standing; OH-2 was OH that only occurred during the second minute of standing.  </w:t>
      </w:r>
      <w:r w:rsidRPr="0079125A">
        <w:rPr>
          <w:rFonts w:ascii="Times New Roman" w:hAnsi="Times New Roman" w:cs="Times New Roman"/>
          <w:sz w:val="24"/>
          <w:szCs w:val="24"/>
        </w:rPr>
        <w:br/>
      </w:r>
      <w:r w:rsidRPr="0079125A">
        <w:rPr>
          <w:rFonts w:ascii="Times New Roman" w:hAnsi="Times New Roman" w:cs="Times New Roman"/>
          <w:sz w:val="24"/>
          <w:szCs w:val="24"/>
        </w:rPr>
        <w:br/>
      </w:r>
      <w:r w:rsidRPr="0079125A">
        <w:rPr>
          <w:rFonts w:ascii="Times New Roman" w:hAnsi="Times New Roman" w:cs="Times New Roman"/>
          <w:i/>
          <w:sz w:val="24"/>
          <w:szCs w:val="24"/>
        </w:rPr>
        <w:t>Statistical methods</w:t>
      </w:r>
      <w:r w:rsidRPr="0079125A">
        <w:rPr>
          <w:rFonts w:ascii="Times New Roman" w:hAnsi="Times New Roman" w:cs="Times New Roman"/>
          <w:sz w:val="24"/>
          <w:szCs w:val="24"/>
        </w:rPr>
        <w:t xml:space="preserve"> – Statistical analyses were performed using SAS 9.4. Vitamin D status was categorised as per the United Kingdom’s National Institute for Health and Care Excellence</w:t>
      </w:r>
      <w:r>
        <w:rPr>
          <w:rFonts w:ascii="Times New Roman" w:hAnsi="Times New Roman" w:cs="Times New Roman"/>
          <w:sz w:val="24"/>
          <w:szCs w:val="24"/>
        </w:rPr>
        <w:t xml:space="preserve"> (NICE)</w:t>
      </w:r>
      <w:r w:rsidRPr="0079125A">
        <w:rPr>
          <w:rFonts w:ascii="Times New Roman" w:hAnsi="Times New Roman" w:cs="Times New Roman"/>
          <w:sz w:val="24"/>
          <w:szCs w:val="24"/>
        </w:rPr>
        <w:t xml:space="preserve"> </w:t>
      </w:r>
      <w:r>
        <w:rPr>
          <w:rFonts w:ascii="Times New Roman" w:hAnsi="Times New Roman" w:cs="Times New Roman"/>
          <w:sz w:val="24"/>
          <w:szCs w:val="24"/>
        </w:rPr>
        <w:t xml:space="preserve">Clinical Knowledge Summaries (CKS) </w:t>
      </w:r>
      <w:r w:rsidR="003766DD">
        <w:rPr>
          <w:rFonts w:ascii="Times New Roman" w:hAnsi="Times New Roman" w:cs="Times New Roman"/>
          <w:sz w:val="24"/>
          <w:szCs w:val="24"/>
        </w:rPr>
        <w:t>[</w:t>
      </w:r>
      <w:r>
        <w:rPr>
          <w:rFonts w:ascii="Times New Roman" w:hAnsi="Times New Roman" w:cs="Times New Roman"/>
          <w:noProof/>
          <w:sz w:val="24"/>
          <w:szCs w:val="24"/>
        </w:rPr>
        <w:t>33</w:t>
      </w:r>
      <w:r w:rsidR="003766DD">
        <w:rPr>
          <w:rFonts w:ascii="Times New Roman" w:hAnsi="Times New Roman" w:cs="Times New Roman"/>
          <w:noProof/>
          <w:sz w:val="24"/>
          <w:szCs w:val="24"/>
        </w:rPr>
        <w:t>]</w:t>
      </w:r>
      <w:r w:rsidRPr="0079125A">
        <w:rPr>
          <w:rFonts w:ascii="Times New Roman" w:hAnsi="Times New Roman" w:cs="Times New Roman"/>
          <w:sz w:val="24"/>
          <w:szCs w:val="24"/>
        </w:rPr>
        <w:t xml:space="preserve">: deficient (&lt;25 nmol/L), insufficient (≥25–&lt; </w:t>
      </w:r>
      <w:r w:rsidRPr="0079125A">
        <w:rPr>
          <w:rFonts w:ascii="Times New Roman" w:hAnsi="Times New Roman" w:cs="Times New Roman"/>
          <w:sz w:val="24"/>
          <w:szCs w:val="24"/>
        </w:rPr>
        <w:lastRenderedPageBreak/>
        <w:t>50 nmol/L) or sufficient (≥50 nmol/L). The “sufficient” group was the reference group for hypothesis testing. In the case of PTH, participants were divided into quintiles</w:t>
      </w:r>
      <w:r>
        <w:rPr>
          <w:rFonts w:ascii="Times New Roman" w:hAnsi="Times New Roman" w:cs="Times New Roman"/>
          <w:sz w:val="24"/>
          <w:szCs w:val="24"/>
        </w:rPr>
        <w:t>. T</w:t>
      </w:r>
      <w:r w:rsidRPr="0079125A">
        <w:rPr>
          <w:rFonts w:ascii="Times New Roman" w:hAnsi="Times New Roman" w:cs="Times New Roman"/>
          <w:sz w:val="24"/>
          <w:szCs w:val="24"/>
        </w:rPr>
        <w:t xml:space="preserve">he first (lowest) quintile </w:t>
      </w:r>
      <w:r>
        <w:rPr>
          <w:rFonts w:ascii="Times New Roman" w:hAnsi="Times New Roman" w:cs="Times New Roman"/>
          <w:sz w:val="24"/>
          <w:szCs w:val="24"/>
        </w:rPr>
        <w:t>was</w:t>
      </w:r>
      <w:r w:rsidRPr="0079125A">
        <w:rPr>
          <w:rFonts w:ascii="Times New Roman" w:hAnsi="Times New Roman" w:cs="Times New Roman"/>
          <w:sz w:val="24"/>
          <w:szCs w:val="24"/>
        </w:rPr>
        <w:t xml:space="preserve"> the reference group. Comparisons of baseline characteristics were performed using the chi-square test for categorical variables and generalised linear models for continuous variables. </w:t>
      </w:r>
      <w:r w:rsidRPr="0079125A">
        <w:rPr>
          <w:rFonts w:ascii="Times New Roman" w:hAnsi="Times New Roman" w:cs="Times New Roman"/>
          <w:sz w:val="24"/>
          <w:szCs w:val="24"/>
        </w:rPr>
        <w:br/>
      </w:r>
      <w:r w:rsidRPr="0079125A">
        <w:rPr>
          <w:rFonts w:ascii="Times New Roman" w:hAnsi="Times New Roman" w:cs="Times New Roman"/>
          <w:sz w:val="24"/>
          <w:szCs w:val="24"/>
        </w:rPr>
        <w:br/>
        <w:t>Loess regression was used to plot the curves for the association between probability of OH and circulating vitamin D and PTH. Logistic regression was used to assess the association between vitamin D status and OH</w:t>
      </w:r>
      <w:r w:rsidR="00D438B9">
        <w:rPr>
          <w:rFonts w:ascii="Times New Roman" w:hAnsi="Times New Roman" w:cs="Times New Roman"/>
          <w:sz w:val="24"/>
          <w:szCs w:val="24"/>
        </w:rPr>
        <w:t>,</w:t>
      </w:r>
      <w:r w:rsidRPr="0079125A">
        <w:rPr>
          <w:rFonts w:ascii="Times New Roman" w:hAnsi="Times New Roman" w:cs="Times New Roman"/>
          <w:sz w:val="24"/>
          <w:szCs w:val="24"/>
        </w:rPr>
        <w:t xml:space="preserve"> and PTH quintile and OH. Multinomial logistic regression was used to examine the association between vitamin D status and timeframe of OH (OH-1 and OH-2). The reference group (“No OH”) consisted of participants who had neither OH-1 nor OH-2. </w:t>
      </w:r>
      <w:r w:rsidR="00BF14C8">
        <w:rPr>
          <w:rFonts w:ascii="Times New Roman" w:hAnsi="Times New Roman" w:cs="Times New Roman"/>
          <w:sz w:val="24"/>
          <w:szCs w:val="24"/>
        </w:rPr>
        <w:t>Age</w:t>
      </w:r>
      <w:r w:rsidR="00BF14C8" w:rsidRPr="0079125A">
        <w:rPr>
          <w:rFonts w:ascii="Times New Roman" w:hAnsi="Times New Roman" w:cs="Times New Roman"/>
          <w:sz w:val="24"/>
          <w:szCs w:val="24"/>
        </w:rPr>
        <w:t>, body mass index (BMI), resting pulse, systolic BP, total cholesterol, PTH and IL-6</w:t>
      </w:r>
      <w:r w:rsidR="00BF14C8">
        <w:rPr>
          <w:rFonts w:ascii="Times New Roman" w:hAnsi="Times New Roman" w:cs="Times New Roman"/>
          <w:sz w:val="24"/>
          <w:szCs w:val="24"/>
        </w:rPr>
        <w:t xml:space="preserve"> were fitted as</w:t>
      </w:r>
      <w:r w:rsidR="00BF14C8" w:rsidRPr="0079125A">
        <w:rPr>
          <w:rFonts w:ascii="Times New Roman" w:hAnsi="Times New Roman" w:cs="Times New Roman"/>
          <w:sz w:val="24"/>
          <w:szCs w:val="24"/>
        </w:rPr>
        <w:t xml:space="preserve"> continuous variables</w:t>
      </w:r>
      <w:r w:rsidR="00BF14C8">
        <w:rPr>
          <w:rFonts w:ascii="Times New Roman" w:hAnsi="Times New Roman" w:cs="Times New Roman"/>
          <w:sz w:val="24"/>
          <w:szCs w:val="24"/>
        </w:rPr>
        <w:t xml:space="preserve"> in the </w:t>
      </w:r>
      <w:r w:rsidR="00BF14C8" w:rsidRPr="0079125A">
        <w:rPr>
          <w:rFonts w:ascii="Times New Roman" w:hAnsi="Times New Roman" w:cs="Times New Roman"/>
          <w:sz w:val="24"/>
          <w:szCs w:val="24"/>
        </w:rPr>
        <w:t>multiple regression models</w:t>
      </w:r>
      <w:r w:rsidR="00BF14C8">
        <w:rPr>
          <w:rFonts w:ascii="Times New Roman" w:hAnsi="Times New Roman" w:cs="Times New Roman"/>
          <w:sz w:val="24"/>
          <w:szCs w:val="24"/>
        </w:rPr>
        <w:t>.</w:t>
      </w:r>
      <w:r w:rsidR="00BF14C8" w:rsidRPr="0079125A">
        <w:rPr>
          <w:rFonts w:ascii="Times New Roman" w:hAnsi="Times New Roman" w:cs="Times New Roman"/>
          <w:sz w:val="24"/>
          <w:szCs w:val="24"/>
        </w:rPr>
        <w:t xml:space="preserve"> </w:t>
      </w:r>
      <w:r w:rsidRPr="0079125A">
        <w:rPr>
          <w:rFonts w:ascii="Times New Roman" w:hAnsi="Times New Roman" w:cs="Times New Roman"/>
          <w:sz w:val="24"/>
          <w:szCs w:val="24"/>
        </w:rPr>
        <w:t>Categorical covariates were smoking status (never smoked, ex-smoker for 0–15 years, ex-smoker for &gt;15 years and current smoker), alcohol use (0–</w:t>
      </w:r>
      <w:r>
        <w:rPr>
          <w:rFonts w:ascii="Times New Roman" w:hAnsi="Times New Roman" w:cs="Times New Roman"/>
          <w:sz w:val="24"/>
          <w:szCs w:val="24"/>
        </w:rPr>
        <w:t>15 units/week and &gt;16 units/</w:t>
      </w:r>
      <w:r w:rsidRPr="0079125A">
        <w:rPr>
          <w:rFonts w:ascii="Times New Roman" w:hAnsi="Times New Roman" w:cs="Times New Roman"/>
          <w:sz w:val="24"/>
          <w:szCs w:val="24"/>
        </w:rPr>
        <w:t xml:space="preserve">week), season in which blood samples for vitamin D measurement were taken (spring, summer, autumn </w:t>
      </w:r>
      <w:r>
        <w:rPr>
          <w:rFonts w:ascii="Times New Roman" w:hAnsi="Times New Roman" w:cs="Times New Roman"/>
          <w:sz w:val="24"/>
          <w:szCs w:val="24"/>
        </w:rPr>
        <w:t>or</w:t>
      </w:r>
      <w:r w:rsidRPr="0079125A">
        <w:rPr>
          <w:rFonts w:ascii="Times New Roman" w:hAnsi="Times New Roman" w:cs="Times New Roman"/>
          <w:sz w:val="24"/>
          <w:szCs w:val="24"/>
        </w:rPr>
        <w:t xml:space="preserve"> winter), physical activity (active or inactive), physical disability (no disability, mild disability </w:t>
      </w:r>
      <w:r>
        <w:rPr>
          <w:rFonts w:ascii="Times New Roman" w:hAnsi="Times New Roman" w:cs="Times New Roman"/>
          <w:sz w:val="24"/>
          <w:szCs w:val="24"/>
        </w:rPr>
        <w:t>or</w:t>
      </w:r>
      <w:r w:rsidRPr="0079125A">
        <w:rPr>
          <w:rFonts w:ascii="Times New Roman" w:hAnsi="Times New Roman" w:cs="Times New Roman"/>
          <w:sz w:val="24"/>
          <w:szCs w:val="24"/>
        </w:rPr>
        <w:t xml:space="preserve"> moderate disability), self-reported vitamin D or multivitamin supplementation (taking supplementation or not taking supplementation), social class (manual or non-manual) and the presence of prevalent stroke, myocardial infarction (MI), atrial fibrillation (AF), diabetes, chronic kidney disease (CKD), chronic obstructive pulmonary disease (COPD) and current antihypertensive medication use. </w:t>
      </w:r>
      <w:r w:rsidRPr="0079125A">
        <w:rPr>
          <w:rFonts w:ascii="Times New Roman" w:hAnsi="Times New Roman" w:cs="Times New Roman"/>
          <w:sz w:val="24"/>
          <w:szCs w:val="24"/>
        </w:rPr>
        <w:br/>
      </w:r>
      <w:r w:rsidRPr="0079125A">
        <w:rPr>
          <w:rFonts w:ascii="Times New Roman" w:hAnsi="Times New Roman" w:cs="Times New Roman"/>
          <w:sz w:val="24"/>
          <w:szCs w:val="24"/>
        </w:rPr>
        <w:br/>
        <w:t xml:space="preserve">Case definitions of MI, stroke and diabetes were obtained from primary care record reviews </w:t>
      </w:r>
      <w:r w:rsidR="003766DD">
        <w:rPr>
          <w:rFonts w:ascii="Times New Roman" w:hAnsi="Times New Roman" w:cs="Times New Roman"/>
          <w:noProof/>
          <w:sz w:val="24"/>
          <w:szCs w:val="24"/>
        </w:rPr>
        <w:t>[</w:t>
      </w:r>
      <w:r>
        <w:rPr>
          <w:rFonts w:ascii="Times New Roman" w:hAnsi="Times New Roman" w:cs="Times New Roman"/>
          <w:noProof/>
          <w:sz w:val="24"/>
          <w:szCs w:val="24"/>
        </w:rPr>
        <w:t>34</w:t>
      </w:r>
      <w:r w:rsidR="003766DD">
        <w:rPr>
          <w:rFonts w:ascii="Times New Roman" w:hAnsi="Times New Roman" w:cs="Times New Roman"/>
          <w:noProof/>
          <w:sz w:val="24"/>
          <w:szCs w:val="24"/>
        </w:rPr>
        <w:t>]</w:t>
      </w:r>
      <w:r w:rsidRPr="0079125A">
        <w:rPr>
          <w:rFonts w:ascii="Times New Roman" w:hAnsi="Times New Roman" w:cs="Times New Roman"/>
          <w:sz w:val="24"/>
          <w:szCs w:val="24"/>
        </w:rPr>
        <w:t xml:space="preserve">. </w:t>
      </w:r>
      <w:r w:rsidRPr="0079125A">
        <w:rPr>
          <w:rFonts w:ascii="Times New Roman" w:hAnsi="Times New Roman" w:cs="Times New Roman"/>
          <w:sz w:val="24"/>
          <w:szCs w:val="24"/>
        </w:rPr>
        <w:lastRenderedPageBreak/>
        <w:t xml:space="preserve">AF was defined according to Minnesota codes 8.3.1 and 8.3.3. Hypertension was defined as mean sitting systolic </w:t>
      </w:r>
      <w:r>
        <w:rPr>
          <w:rFonts w:ascii="Times New Roman" w:hAnsi="Times New Roman" w:cs="Times New Roman"/>
          <w:sz w:val="24"/>
          <w:szCs w:val="24"/>
        </w:rPr>
        <w:t>BP</w:t>
      </w:r>
      <w:r w:rsidRPr="0079125A">
        <w:rPr>
          <w:rFonts w:ascii="Times New Roman" w:hAnsi="Times New Roman" w:cs="Times New Roman"/>
          <w:sz w:val="24"/>
          <w:szCs w:val="24"/>
        </w:rPr>
        <w:t xml:space="preserve"> ≥140 mmHg and/or mean sitting diastolic </w:t>
      </w:r>
      <w:r>
        <w:rPr>
          <w:rFonts w:ascii="Times New Roman" w:hAnsi="Times New Roman" w:cs="Times New Roman"/>
          <w:sz w:val="24"/>
          <w:szCs w:val="24"/>
        </w:rPr>
        <w:t>BP</w:t>
      </w:r>
      <w:r w:rsidRPr="0079125A">
        <w:rPr>
          <w:rFonts w:ascii="Times New Roman" w:hAnsi="Times New Roman" w:cs="Times New Roman"/>
          <w:sz w:val="24"/>
          <w:szCs w:val="24"/>
        </w:rPr>
        <w:t xml:space="preserve"> ≥90 mmHg and/or antihypertensive medication use. Antihypertensive medication use was based on self-report and defined as use of any antihypertensive medication as per British National Formulary (version 38) code 3.1.</w:t>
      </w:r>
      <w:r w:rsidRPr="0079125A">
        <w:rPr>
          <w:rFonts w:ascii="Times New Roman" w:hAnsi="Times New Roman" w:cs="Times New Roman"/>
          <w:color w:val="FF0000"/>
          <w:sz w:val="24"/>
          <w:szCs w:val="24"/>
        </w:rPr>
        <w:t xml:space="preserve"> </w:t>
      </w:r>
      <w:r w:rsidRPr="0079125A">
        <w:rPr>
          <w:rFonts w:ascii="Times New Roman" w:hAnsi="Times New Roman" w:cs="Times New Roman"/>
          <w:sz w:val="24"/>
          <w:szCs w:val="24"/>
        </w:rPr>
        <w:t>CKD was defined as an estimated glomerular filtration rate &lt;60 ml/min/1.73m</w:t>
      </w:r>
      <w:r w:rsidRPr="0079125A">
        <w:rPr>
          <w:rFonts w:ascii="Times New Roman" w:hAnsi="Times New Roman" w:cs="Times New Roman"/>
          <w:sz w:val="24"/>
          <w:szCs w:val="24"/>
          <w:vertAlign w:val="superscript"/>
        </w:rPr>
        <w:t>2</w:t>
      </w:r>
      <w:r w:rsidRPr="0079125A">
        <w:rPr>
          <w:rFonts w:ascii="Times New Roman" w:hAnsi="Times New Roman" w:cs="Times New Roman"/>
          <w:sz w:val="24"/>
          <w:szCs w:val="24"/>
        </w:rPr>
        <w:t xml:space="preserve">, as estimated from serum creatinine using the Modification of Diet in Renal Disease equation </w:t>
      </w:r>
      <w:r w:rsidR="003766DD">
        <w:rPr>
          <w:rFonts w:ascii="Times New Roman" w:hAnsi="Times New Roman" w:cs="Times New Roman"/>
          <w:sz w:val="24"/>
          <w:szCs w:val="24"/>
        </w:rPr>
        <w:t>[</w:t>
      </w:r>
      <w:r>
        <w:rPr>
          <w:rFonts w:ascii="Times New Roman" w:hAnsi="Times New Roman" w:cs="Times New Roman"/>
          <w:noProof/>
          <w:sz w:val="24"/>
          <w:szCs w:val="24"/>
        </w:rPr>
        <w:t>35</w:t>
      </w:r>
      <w:r w:rsidR="003766DD">
        <w:rPr>
          <w:rFonts w:ascii="Times New Roman" w:hAnsi="Times New Roman" w:cs="Times New Roman"/>
          <w:noProof/>
          <w:sz w:val="24"/>
          <w:szCs w:val="24"/>
        </w:rPr>
        <w:t>]</w:t>
      </w:r>
      <w:r w:rsidRPr="0079125A">
        <w:rPr>
          <w:rFonts w:ascii="Times New Roman" w:hAnsi="Times New Roman" w:cs="Times New Roman"/>
          <w:sz w:val="24"/>
          <w:szCs w:val="24"/>
        </w:rPr>
        <w:t xml:space="preserve">. “Inactive” was defined as inactivity or occasional physical activity based on self-reported questionnaire data. Definitions of physical disability were based on self-reported questionnaire responses to questions regarding difficulty going up or down stairs and difficulty walking for a quarter of a mile on the level. “No disability” was if participants did not have difficulty with either, “mild disability” if they reported difficulty with one or the other and “moderate disability” if they reported difficulty with both. Methods of measurement and classification for measures of lipids, lung function, smoking status, physical activity, alcohol intake and social class have been described previously </w:t>
      </w:r>
      <w:r w:rsidR="003766DD">
        <w:rPr>
          <w:rFonts w:ascii="Times New Roman" w:hAnsi="Times New Roman" w:cs="Times New Roman"/>
          <w:noProof/>
          <w:sz w:val="24"/>
          <w:szCs w:val="24"/>
        </w:rPr>
        <w:t>[</w:t>
      </w:r>
      <w:r>
        <w:rPr>
          <w:rFonts w:ascii="Times New Roman" w:hAnsi="Times New Roman" w:cs="Times New Roman"/>
          <w:noProof/>
          <w:sz w:val="24"/>
          <w:szCs w:val="24"/>
        </w:rPr>
        <w:t>36, 37</w:t>
      </w:r>
      <w:r w:rsidR="003766DD">
        <w:rPr>
          <w:rFonts w:ascii="Times New Roman" w:hAnsi="Times New Roman" w:cs="Times New Roman"/>
          <w:noProof/>
          <w:sz w:val="24"/>
          <w:szCs w:val="24"/>
        </w:rPr>
        <w:t>]</w:t>
      </w:r>
      <w:r w:rsidRPr="0079125A">
        <w:rPr>
          <w:rFonts w:ascii="Times New Roman" w:hAnsi="Times New Roman" w:cs="Times New Roman"/>
          <w:sz w:val="24"/>
          <w:szCs w:val="24"/>
        </w:rPr>
        <w:t xml:space="preserve">. </w:t>
      </w:r>
      <w:r w:rsidRPr="0079125A">
        <w:rPr>
          <w:rFonts w:ascii="Times New Roman" w:hAnsi="Times New Roman" w:cs="Times New Roman"/>
          <w:color w:val="FF0000"/>
          <w:sz w:val="24"/>
          <w:szCs w:val="24"/>
        </w:rPr>
        <w:br/>
      </w:r>
      <w:r w:rsidRPr="0079125A">
        <w:rPr>
          <w:rFonts w:ascii="Times New Roman" w:hAnsi="Times New Roman" w:cs="Times New Roman"/>
          <w:color w:val="FF0000"/>
          <w:sz w:val="24"/>
          <w:szCs w:val="24"/>
        </w:rPr>
        <w:br/>
      </w:r>
    </w:p>
    <w:p w:rsidR="00FD56EF" w:rsidRPr="0079125A" w:rsidRDefault="00FD56EF" w:rsidP="00FD56EF">
      <w:pPr>
        <w:spacing w:line="480" w:lineRule="auto"/>
        <w:rPr>
          <w:rFonts w:ascii="Times New Roman" w:hAnsi="Times New Roman" w:cs="Times New Roman"/>
          <w:sz w:val="24"/>
          <w:szCs w:val="24"/>
        </w:rPr>
      </w:pPr>
      <w:r w:rsidRPr="0079125A">
        <w:rPr>
          <w:rFonts w:ascii="Times New Roman" w:hAnsi="Times New Roman" w:cs="Times New Roman"/>
          <w:sz w:val="24"/>
          <w:szCs w:val="24"/>
          <w:u w:val="single"/>
        </w:rPr>
        <w:t>Results</w:t>
      </w:r>
      <w:r w:rsidRPr="0079125A">
        <w:rPr>
          <w:rFonts w:ascii="Times New Roman" w:hAnsi="Times New Roman" w:cs="Times New Roman"/>
          <w:sz w:val="24"/>
          <w:szCs w:val="24"/>
          <w:u w:val="single"/>
        </w:rPr>
        <w:br/>
      </w:r>
      <w:r w:rsidRPr="0079125A">
        <w:rPr>
          <w:rFonts w:ascii="Times New Roman" w:hAnsi="Times New Roman" w:cs="Times New Roman"/>
          <w:i/>
          <w:sz w:val="24"/>
          <w:szCs w:val="24"/>
        </w:rPr>
        <w:br/>
      </w:r>
      <w:r w:rsidRPr="0079125A">
        <w:rPr>
          <w:rFonts w:ascii="Times New Roman" w:hAnsi="Times New Roman" w:cs="Times New Roman"/>
          <w:sz w:val="24"/>
          <w:szCs w:val="24"/>
        </w:rPr>
        <w:t xml:space="preserve">Among 3620 community-dwelling men (mean age 68.6 years, </w:t>
      </w:r>
      <w:r>
        <w:rPr>
          <w:rFonts w:ascii="Times New Roman" w:hAnsi="Times New Roman" w:cs="Times New Roman"/>
          <w:sz w:val="24"/>
          <w:szCs w:val="24"/>
        </w:rPr>
        <w:t>SD</w:t>
      </w:r>
      <w:r w:rsidRPr="0079125A">
        <w:rPr>
          <w:rFonts w:ascii="Times New Roman" w:hAnsi="Times New Roman" w:cs="Times New Roman"/>
          <w:sz w:val="24"/>
          <w:szCs w:val="24"/>
        </w:rPr>
        <w:t xml:space="preserve"> 5.5 years),</w:t>
      </w:r>
      <w:r>
        <w:rPr>
          <w:rFonts w:ascii="Times New Roman" w:hAnsi="Times New Roman" w:cs="Times New Roman"/>
          <w:sz w:val="24"/>
          <w:szCs w:val="24"/>
        </w:rPr>
        <w:t xml:space="preserve"> 10% had</w:t>
      </w:r>
      <w:r w:rsidRPr="0079125A">
        <w:rPr>
          <w:rFonts w:ascii="Times New Roman" w:hAnsi="Times New Roman" w:cs="Times New Roman"/>
          <w:sz w:val="24"/>
          <w:szCs w:val="24"/>
        </w:rPr>
        <w:t xml:space="preserve"> vitamin D deficiency</w:t>
      </w:r>
      <w:r>
        <w:rPr>
          <w:rFonts w:ascii="Times New Roman" w:hAnsi="Times New Roman" w:cs="Times New Roman"/>
          <w:sz w:val="24"/>
          <w:szCs w:val="24"/>
        </w:rPr>
        <w:t>.</w:t>
      </w:r>
      <w:r w:rsidRPr="0079125A">
        <w:rPr>
          <w:rFonts w:ascii="Times New Roman" w:hAnsi="Times New Roman" w:cs="Times New Roman"/>
          <w:sz w:val="24"/>
          <w:szCs w:val="24"/>
        </w:rPr>
        <w:t xml:space="preserve">  </w:t>
      </w:r>
      <w:r w:rsidR="005A5E19">
        <w:rPr>
          <w:rFonts w:ascii="Times New Roman" w:hAnsi="Times New Roman" w:cs="Times New Roman"/>
          <w:sz w:val="24"/>
          <w:szCs w:val="24"/>
        </w:rPr>
        <w:t xml:space="preserve">Men </w:t>
      </w:r>
      <w:r w:rsidRPr="0079125A">
        <w:rPr>
          <w:rFonts w:ascii="Times New Roman" w:hAnsi="Times New Roman" w:cs="Times New Roman"/>
          <w:sz w:val="24"/>
          <w:szCs w:val="24"/>
        </w:rPr>
        <w:t xml:space="preserve">with vitamin D deficiency </w:t>
      </w:r>
      <w:r w:rsidR="005A5E19">
        <w:rPr>
          <w:rFonts w:ascii="Times New Roman" w:hAnsi="Times New Roman" w:cs="Times New Roman"/>
          <w:sz w:val="24"/>
          <w:szCs w:val="24"/>
        </w:rPr>
        <w:t xml:space="preserve">tended to have the most adverse characteristics </w:t>
      </w:r>
      <w:r w:rsidRPr="0079125A">
        <w:rPr>
          <w:rFonts w:ascii="Times New Roman" w:hAnsi="Times New Roman" w:cs="Times New Roman"/>
          <w:sz w:val="24"/>
          <w:szCs w:val="24"/>
        </w:rPr>
        <w:t xml:space="preserve">(Table 1). They were </w:t>
      </w:r>
      <w:r w:rsidR="005A5E19">
        <w:rPr>
          <w:rFonts w:ascii="Times New Roman" w:hAnsi="Times New Roman" w:cs="Times New Roman"/>
          <w:sz w:val="24"/>
          <w:szCs w:val="24"/>
        </w:rPr>
        <w:t xml:space="preserve">older, </w:t>
      </w:r>
      <w:r w:rsidRPr="0079125A">
        <w:rPr>
          <w:rFonts w:ascii="Times New Roman" w:hAnsi="Times New Roman" w:cs="Times New Roman"/>
          <w:sz w:val="24"/>
          <w:szCs w:val="24"/>
        </w:rPr>
        <w:t>more likely to be current smokers, inactive</w:t>
      </w:r>
      <w:r w:rsidR="005A5E19">
        <w:rPr>
          <w:rFonts w:ascii="Times New Roman" w:hAnsi="Times New Roman" w:cs="Times New Roman"/>
          <w:sz w:val="24"/>
          <w:szCs w:val="24"/>
        </w:rPr>
        <w:t>, d</w:t>
      </w:r>
      <w:r w:rsidRPr="0079125A">
        <w:rPr>
          <w:rFonts w:ascii="Times New Roman" w:hAnsi="Times New Roman" w:cs="Times New Roman"/>
          <w:sz w:val="24"/>
          <w:szCs w:val="24"/>
        </w:rPr>
        <w:t>isabled</w:t>
      </w:r>
      <w:r w:rsidR="005A5E19">
        <w:rPr>
          <w:rFonts w:ascii="Times New Roman" w:hAnsi="Times New Roman" w:cs="Times New Roman"/>
          <w:sz w:val="24"/>
          <w:szCs w:val="24"/>
        </w:rPr>
        <w:t xml:space="preserve"> and had the highest prevalence of </w:t>
      </w:r>
      <w:r w:rsidRPr="0079125A">
        <w:rPr>
          <w:rFonts w:ascii="Times New Roman" w:hAnsi="Times New Roman" w:cs="Times New Roman"/>
          <w:sz w:val="24"/>
          <w:szCs w:val="24"/>
        </w:rPr>
        <w:t>stroke, diabetes</w:t>
      </w:r>
      <w:r>
        <w:rPr>
          <w:rFonts w:ascii="Times New Roman" w:hAnsi="Times New Roman" w:cs="Times New Roman"/>
          <w:sz w:val="24"/>
          <w:szCs w:val="24"/>
        </w:rPr>
        <w:t xml:space="preserve">, </w:t>
      </w:r>
      <w:r w:rsidRPr="0079125A">
        <w:rPr>
          <w:rFonts w:ascii="Times New Roman" w:hAnsi="Times New Roman" w:cs="Times New Roman"/>
          <w:sz w:val="24"/>
          <w:szCs w:val="24"/>
        </w:rPr>
        <w:t>COPD</w:t>
      </w:r>
      <w:r>
        <w:rPr>
          <w:rFonts w:ascii="Times New Roman" w:hAnsi="Times New Roman" w:cs="Times New Roman"/>
          <w:sz w:val="24"/>
          <w:szCs w:val="24"/>
        </w:rPr>
        <w:t xml:space="preserve"> and antihypertensive medication use. </w:t>
      </w:r>
      <w:r w:rsidRPr="0079125A">
        <w:rPr>
          <w:rFonts w:ascii="Times New Roman" w:hAnsi="Times New Roman" w:cs="Times New Roman"/>
          <w:sz w:val="24"/>
          <w:szCs w:val="24"/>
        </w:rPr>
        <w:t xml:space="preserve">They had </w:t>
      </w:r>
      <w:r w:rsidR="00122D17">
        <w:rPr>
          <w:rFonts w:ascii="Times New Roman" w:hAnsi="Times New Roman" w:cs="Times New Roman"/>
          <w:sz w:val="24"/>
          <w:szCs w:val="24"/>
        </w:rPr>
        <w:t xml:space="preserve">the highest mean levels of </w:t>
      </w:r>
      <w:r w:rsidR="005A5E19">
        <w:rPr>
          <w:rFonts w:ascii="Times New Roman" w:hAnsi="Times New Roman" w:cs="Times New Roman"/>
          <w:sz w:val="24"/>
          <w:szCs w:val="24"/>
        </w:rPr>
        <w:t>resting pulse, sitting systolic BP,</w:t>
      </w:r>
      <w:r w:rsidRPr="0079125A">
        <w:rPr>
          <w:rFonts w:ascii="Times New Roman" w:hAnsi="Times New Roman" w:cs="Times New Roman"/>
          <w:sz w:val="24"/>
          <w:szCs w:val="24"/>
        </w:rPr>
        <w:t xml:space="preserve"> CRP, IL-6 and PTH</w:t>
      </w:r>
      <w:r w:rsidR="005A5E19">
        <w:rPr>
          <w:rFonts w:ascii="Times New Roman" w:hAnsi="Times New Roman" w:cs="Times New Roman"/>
          <w:sz w:val="24"/>
          <w:szCs w:val="24"/>
        </w:rPr>
        <w:t>.</w:t>
      </w:r>
      <w:r w:rsidRPr="0079125A">
        <w:rPr>
          <w:rFonts w:ascii="Times New Roman" w:hAnsi="Times New Roman" w:cs="Times New Roman"/>
          <w:sz w:val="24"/>
          <w:szCs w:val="24"/>
        </w:rPr>
        <w:t xml:space="preserve"> </w:t>
      </w:r>
      <w:r w:rsidRPr="0079125A">
        <w:rPr>
          <w:rFonts w:ascii="Times New Roman" w:hAnsi="Times New Roman" w:cs="Times New Roman"/>
          <w:sz w:val="24"/>
          <w:szCs w:val="24"/>
        </w:rPr>
        <w:br/>
      </w:r>
      <w:r w:rsidRPr="0079125A">
        <w:rPr>
          <w:rFonts w:ascii="Times New Roman" w:hAnsi="Times New Roman" w:cs="Times New Roman"/>
          <w:i/>
          <w:sz w:val="24"/>
          <w:szCs w:val="24"/>
        </w:rPr>
        <w:lastRenderedPageBreak/>
        <w:br/>
      </w:r>
      <w:r w:rsidRPr="0079125A">
        <w:rPr>
          <w:rFonts w:ascii="Times New Roman" w:hAnsi="Times New Roman" w:cs="Times New Roman"/>
          <w:sz w:val="24"/>
          <w:szCs w:val="24"/>
        </w:rPr>
        <w:t>There was a non-linear association between probability of consensus OH and circulating vitamin D level, suggestive of a threshold effect occurring at a level below approximately 40 nmol/L</w:t>
      </w:r>
      <w:r>
        <w:rPr>
          <w:rFonts w:ascii="Times New Roman" w:hAnsi="Times New Roman" w:cs="Times New Roman"/>
          <w:sz w:val="24"/>
          <w:szCs w:val="24"/>
        </w:rPr>
        <w:t>, where probability of OH increased</w:t>
      </w:r>
      <w:r w:rsidRPr="0079125A">
        <w:rPr>
          <w:rFonts w:ascii="Times New Roman" w:hAnsi="Times New Roman" w:cs="Times New Roman"/>
          <w:sz w:val="24"/>
          <w:szCs w:val="24"/>
        </w:rPr>
        <w:t xml:space="preserve"> (Figure 1A). Higher concentration of PTH correlated with increased probability of consensus OH (Figure 1B). </w:t>
      </w:r>
    </w:p>
    <w:p w:rsidR="00FD56EF" w:rsidRPr="0079125A" w:rsidRDefault="00FD56EF" w:rsidP="00FD56EF">
      <w:pPr>
        <w:spacing w:line="480" w:lineRule="auto"/>
        <w:rPr>
          <w:rFonts w:ascii="Times New Roman" w:hAnsi="Times New Roman" w:cs="Times New Roman"/>
          <w:sz w:val="24"/>
          <w:szCs w:val="24"/>
        </w:rPr>
      </w:pPr>
      <w:r w:rsidRPr="0079125A">
        <w:rPr>
          <w:rFonts w:ascii="Times New Roman" w:hAnsi="Times New Roman" w:cs="Times New Roman"/>
          <w:sz w:val="24"/>
          <w:szCs w:val="24"/>
        </w:rPr>
        <w:br/>
      </w:r>
      <w:r w:rsidRPr="0079125A">
        <w:rPr>
          <w:rFonts w:ascii="Times New Roman" w:hAnsi="Times New Roman" w:cs="Times New Roman"/>
          <w:i/>
          <w:sz w:val="24"/>
          <w:szCs w:val="24"/>
        </w:rPr>
        <w:t>Vitamin D Status and Risk of OH –</w:t>
      </w:r>
      <w:r w:rsidRPr="0079125A">
        <w:rPr>
          <w:rFonts w:ascii="Times New Roman" w:hAnsi="Times New Roman" w:cs="Times New Roman"/>
          <w:sz w:val="24"/>
          <w:szCs w:val="24"/>
        </w:rPr>
        <w:t xml:space="preserve"> </w:t>
      </w:r>
      <w:r w:rsidR="00E15738" w:rsidRPr="0079125A">
        <w:rPr>
          <w:rFonts w:ascii="Times New Roman" w:hAnsi="Times New Roman" w:cs="Times New Roman"/>
          <w:sz w:val="24"/>
          <w:szCs w:val="24"/>
        </w:rPr>
        <w:t>Consensus OH was found in 26.5%</w:t>
      </w:r>
      <w:r w:rsidR="00E15738">
        <w:rPr>
          <w:rFonts w:ascii="Times New Roman" w:hAnsi="Times New Roman" w:cs="Times New Roman"/>
          <w:sz w:val="24"/>
          <w:szCs w:val="24"/>
        </w:rPr>
        <w:t xml:space="preserve">, </w:t>
      </w:r>
      <w:r w:rsidR="00E15738" w:rsidRPr="0079125A">
        <w:rPr>
          <w:rFonts w:ascii="Times New Roman" w:hAnsi="Times New Roman" w:cs="Times New Roman"/>
          <w:sz w:val="24"/>
          <w:szCs w:val="24"/>
        </w:rPr>
        <w:t xml:space="preserve">19.6% </w:t>
      </w:r>
      <w:r w:rsidR="00E15738">
        <w:rPr>
          <w:rFonts w:ascii="Times New Roman" w:hAnsi="Times New Roman" w:cs="Times New Roman"/>
          <w:sz w:val="24"/>
          <w:szCs w:val="24"/>
        </w:rPr>
        <w:t xml:space="preserve">and </w:t>
      </w:r>
      <w:r w:rsidR="00E15738" w:rsidRPr="0079125A">
        <w:rPr>
          <w:rFonts w:ascii="Times New Roman" w:hAnsi="Times New Roman" w:cs="Times New Roman"/>
          <w:sz w:val="24"/>
          <w:szCs w:val="24"/>
        </w:rPr>
        <w:t xml:space="preserve">18.6% of those with </w:t>
      </w:r>
      <w:r w:rsidR="00E15738">
        <w:rPr>
          <w:rFonts w:ascii="Times New Roman" w:hAnsi="Times New Roman" w:cs="Times New Roman"/>
          <w:sz w:val="24"/>
          <w:szCs w:val="24"/>
        </w:rPr>
        <w:t xml:space="preserve">vitamin D deficiency, vitamin D insufficiency and </w:t>
      </w:r>
      <w:r w:rsidR="00E15738" w:rsidRPr="0079125A">
        <w:rPr>
          <w:rFonts w:ascii="Times New Roman" w:hAnsi="Times New Roman" w:cs="Times New Roman"/>
          <w:sz w:val="24"/>
          <w:szCs w:val="24"/>
        </w:rPr>
        <w:t>sufficient circulating vitamin D</w:t>
      </w:r>
      <w:r w:rsidR="00E15738">
        <w:rPr>
          <w:rFonts w:ascii="Times New Roman" w:hAnsi="Times New Roman" w:cs="Times New Roman"/>
          <w:sz w:val="24"/>
          <w:szCs w:val="24"/>
        </w:rPr>
        <w:t>, respectively (Table 2)</w:t>
      </w:r>
      <w:r w:rsidR="00E15738" w:rsidRPr="0079125A">
        <w:rPr>
          <w:rFonts w:ascii="Times New Roman" w:hAnsi="Times New Roman" w:cs="Times New Roman"/>
          <w:sz w:val="24"/>
          <w:szCs w:val="24"/>
        </w:rPr>
        <w:t>.</w:t>
      </w:r>
      <w:r w:rsidR="00E15738">
        <w:rPr>
          <w:rFonts w:ascii="Times New Roman" w:hAnsi="Times New Roman" w:cs="Times New Roman"/>
          <w:sz w:val="24"/>
          <w:szCs w:val="24"/>
        </w:rPr>
        <w:t xml:space="preserve"> </w:t>
      </w:r>
      <w:r>
        <w:rPr>
          <w:rFonts w:ascii="Times New Roman" w:hAnsi="Times New Roman" w:cs="Times New Roman"/>
          <w:sz w:val="24"/>
          <w:szCs w:val="24"/>
        </w:rPr>
        <w:t>C</w:t>
      </w:r>
      <w:r w:rsidRPr="0079125A">
        <w:rPr>
          <w:rFonts w:ascii="Times New Roman" w:hAnsi="Times New Roman" w:cs="Times New Roman"/>
          <w:sz w:val="24"/>
          <w:szCs w:val="24"/>
        </w:rPr>
        <w:t>ompared to men with sufficient circulating vitamin D</w:t>
      </w:r>
      <w:r>
        <w:rPr>
          <w:rFonts w:ascii="Times New Roman" w:hAnsi="Times New Roman" w:cs="Times New Roman"/>
          <w:sz w:val="24"/>
          <w:szCs w:val="24"/>
        </w:rPr>
        <w:t xml:space="preserve">, </w:t>
      </w:r>
      <w:r w:rsidR="00E15738">
        <w:rPr>
          <w:rFonts w:ascii="Times New Roman" w:hAnsi="Times New Roman" w:cs="Times New Roman"/>
          <w:sz w:val="24"/>
          <w:szCs w:val="24"/>
        </w:rPr>
        <w:t xml:space="preserve">only men with </w:t>
      </w:r>
      <w:r>
        <w:rPr>
          <w:rFonts w:ascii="Times New Roman" w:hAnsi="Times New Roman" w:cs="Times New Roman"/>
          <w:sz w:val="24"/>
          <w:szCs w:val="24"/>
        </w:rPr>
        <w:t>vitamin D d</w:t>
      </w:r>
      <w:r w:rsidRPr="0079125A">
        <w:rPr>
          <w:rFonts w:ascii="Times New Roman" w:hAnsi="Times New Roman" w:cs="Times New Roman"/>
          <w:sz w:val="24"/>
          <w:szCs w:val="24"/>
        </w:rPr>
        <w:t xml:space="preserve">eficiency </w:t>
      </w:r>
      <w:r>
        <w:rPr>
          <w:rFonts w:ascii="Times New Roman" w:hAnsi="Times New Roman" w:cs="Times New Roman"/>
          <w:sz w:val="24"/>
          <w:szCs w:val="24"/>
        </w:rPr>
        <w:t>had</w:t>
      </w:r>
      <w:r w:rsidR="00E15738">
        <w:rPr>
          <w:rFonts w:ascii="Times New Roman" w:hAnsi="Times New Roman" w:cs="Times New Roman"/>
          <w:sz w:val="24"/>
          <w:szCs w:val="24"/>
        </w:rPr>
        <w:t xml:space="preserve"> statistically significantly</w:t>
      </w:r>
      <w:r>
        <w:rPr>
          <w:rFonts w:ascii="Times New Roman" w:hAnsi="Times New Roman" w:cs="Times New Roman"/>
          <w:sz w:val="24"/>
          <w:szCs w:val="24"/>
        </w:rPr>
        <w:t xml:space="preserve"> i</w:t>
      </w:r>
      <w:r w:rsidRPr="0079125A">
        <w:rPr>
          <w:rFonts w:ascii="Times New Roman" w:hAnsi="Times New Roman" w:cs="Times New Roman"/>
          <w:sz w:val="24"/>
          <w:szCs w:val="24"/>
        </w:rPr>
        <w:t>ncreased risk of consensus OH</w:t>
      </w:r>
      <w:r>
        <w:rPr>
          <w:rFonts w:ascii="Times New Roman" w:hAnsi="Times New Roman" w:cs="Times New Roman"/>
          <w:sz w:val="24"/>
          <w:szCs w:val="24"/>
        </w:rPr>
        <w:t xml:space="preserve"> </w:t>
      </w:r>
      <w:r w:rsidRPr="0079125A">
        <w:rPr>
          <w:rFonts w:ascii="Times New Roman" w:hAnsi="Times New Roman" w:cs="Times New Roman"/>
          <w:sz w:val="24"/>
          <w:szCs w:val="24"/>
        </w:rPr>
        <w:t>(OR 1.57, 95% CI 1.21 - 2.05). T</w:t>
      </w:r>
      <w:r>
        <w:rPr>
          <w:rFonts w:ascii="Times New Roman" w:hAnsi="Times New Roman" w:cs="Times New Roman"/>
          <w:sz w:val="24"/>
          <w:szCs w:val="24"/>
        </w:rPr>
        <w:t>his</w:t>
      </w:r>
      <w:r w:rsidRPr="0079125A">
        <w:rPr>
          <w:rFonts w:ascii="Times New Roman" w:hAnsi="Times New Roman" w:cs="Times New Roman"/>
          <w:sz w:val="24"/>
          <w:szCs w:val="24"/>
        </w:rPr>
        <w:t xml:space="preserve"> association </w:t>
      </w:r>
      <w:r>
        <w:rPr>
          <w:rFonts w:ascii="Times New Roman" w:hAnsi="Times New Roman" w:cs="Times New Roman"/>
          <w:sz w:val="24"/>
          <w:szCs w:val="24"/>
        </w:rPr>
        <w:t>w</w:t>
      </w:r>
      <w:r w:rsidRPr="0079125A">
        <w:rPr>
          <w:rFonts w:ascii="Times New Roman" w:hAnsi="Times New Roman" w:cs="Times New Roman"/>
          <w:sz w:val="24"/>
          <w:szCs w:val="24"/>
        </w:rPr>
        <w:t>as markedly attenuated</w:t>
      </w:r>
      <w:r>
        <w:rPr>
          <w:rFonts w:ascii="Times New Roman" w:hAnsi="Times New Roman" w:cs="Times New Roman"/>
          <w:sz w:val="24"/>
          <w:szCs w:val="24"/>
        </w:rPr>
        <w:t>,</w:t>
      </w:r>
      <w:r w:rsidRPr="0079125A">
        <w:rPr>
          <w:rFonts w:ascii="Times New Roman" w:hAnsi="Times New Roman" w:cs="Times New Roman"/>
          <w:sz w:val="24"/>
          <w:szCs w:val="24"/>
        </w:rPr>
        <w:t xml:space="preserve"> and not statistically significant</w:t>
      </w:r>
      <w:r>
        <w:rPr>
          <w:rFonts w:ascii="Times New Roman" w:hAnsi="Times New Roman" w:cs="Times New Roman"/>
          <w:sz w:val="24"/>
          <w:szCs w:val="24"/>
        </w:rPr>
        <w:t>,</w:t>
      </w:r>
      <w:r w:rsidRPr="0079125A">
        <w:rPr>
          <w:rFonts w:ascii="Times New Roman" w:hAnsi="Times New Roman" w:cs="Times New Roman"/>
          <w:sz w:val="24"/>
          <w:szCs w:val="24"/>
        </w:rPr>
        <w:t xml:space="preserve"> in multiple logistic regression analysis (OR 1.31, 95% CI 0.96 - 1.78)</w:t>
      </w:r>
      <w:r>
        <w:rPr>
          <w:rFonts w:ascii="Times New Roman" w:hAnsi="Times New Roman" w:cs="Times New Roman"/>
          <w:sz w:val="24"/>
          <w:szCs w:val="24"/>
        </w:rPr>
        <w:t xml:space="preserve"> (Table 2)</w:t>
      </w:r>
      <w:r w:rsidRPr="0079125A">
        <w:rPr>
          <w:rFonts w:ascii="Times New Roman" w:hAnsi="Times New Roman" w:cs="Times New Roman"/>
          <w:sz w:val="24"/>
          <w:szCs w:val="24"/>
        </w:rPr>
        <w:t>.</w:t>
      </w:r>
      <w:r>
        <w:rPr>
          <w:rFonts w:ascii="Times New Roman" w:hAnsi="Times New Roman" w:cs="Times New Roman"/>
          <w:sz w:val="24"/>
          <w:szCs w:val="24"/>
        </w:rPr>
        <w:t xml:space="preserve"> When consensus OH was divided into its components based on timeframe, i</w:t>
      </w:r>
      <w:r w:rsidRPr="0079125A">
        <w:rPr>
          <w:rFonts w:ascii="Times New Roman" w:hAnsi="Times New Roman" w:cs="Times New Roman"/>
          <w:sz w:val="24"/>
          <w:szCs w:val="24"/>
        </w:rPr>
        <w:t>n multinomial, multiple logistic regression analysis</w:t>
      </w:r>
      <w:r>
        <w:rPr>
          <w:rFonts w:ascii="Times New Roman" w:hAnsi="Times New Roman" w:cs="Times New Roman"/>
          <w:sz w:val="24"/>
          <w:szCs w:val="24"/>
        </w:rPr>
        <w:t xml:space="preserve"> that included PTH and co-morbidities as covariates, </w:t>
      </w:r>
      <w:r w:rsidRPr="0079125A">
        <w:rPr>
          <w:rFonts w:ascii="Times New Roman" w:hAnsi="Times New Roman" w:cs="Times New Roman"/>
          <w:sz w:val="24"/>
          <w:szCs w:val="24"/>
        </w:rPr>
        <w:t>there was a statistically significant association between vitamin D deficiency and OH-1 (OR 1.51, 95% CI 1.06 - 2.15)</w:t>
      </w:r>
      <w:r>
        <w:rPr>
          <w:rFonts w:ascii="Times New Roman" w:hAnsi="Times New Roman" w:cs="Times New Roman"/>
          <w:sz w:val="24"/>
          <w:szCs w:val="24"/>
        </w:rPr>
        <w:t xml:space="preserve"> but not OH-2</w:t>
      </w:r>
      <w:r w:rsidRPr="0079125A">
        <w:rPr>
          <w:rFonts w:ascii="Times New Roman" w:hAnsi="Times New Roman" w:cs="Times New Roman"/>
          <w:sz w:val="24"/>
          <w:szCs w:val="24"/>
        </w:rPr>
        <w:t xml:space="preserve">. </w:t>
      </w:r>
      <w:r>
        <w:rPr>
          <w:rFonts w:ascii="Times New Roman" w:hAnsi="Times New Roman" w:cs="Times New Roman"/>
          <w:sz w:val="24"/>
          <w:szCs w:val="24"/>
        </w:rPr>
        <w:t>Vitamin D insufficiency was not statistically significantly associated with OH-1 or OH-2 (Table 2).</w:t>
      </w:r>
      <w:r w:rsidRPr="00D305A6">
        <w:rPr>
          <w:rFonts w:ascii="Times New Roman" w:hAnsi="Times New Roman" w:cs="Times New Roman"/>
          <w:color w:val="FF0000"/>
          <w:sz w:val="24"/>
          <w:szCs w:val="24"/>
        </w:rPr>
        <w:t xml:space="preserve">  </w:t>
      </w:r>
    </w:p>
    <w:p w:rsidR="00FD56EF" w:rsidRPr="0079125A" w:rsidRDefault="00FD56EF" w:rsidP="00FD56EF">
      <w:pPr>
        <w:shd w:val="clear" w:color="auto" w:fill="FFFFFF"/>
        <w:spacing w:after="100" w:afterAutospacing="1" w:line="480" w:lineRule="auto"/>
        <w:outlineLvl w:val="1"/>
        <w:rPr>
          <w:rFonts w:ascii="Times New Roman" w:hAnsi="Times New Roman" w:cs="Times New Roman"/>
          <w:sz w:val="24"/>
          <w:szCs w:val="24"/>
        </w:rPr>
      </w:pPr>
      <w:r w:rsidRPr="0079125A">
        <w:rPr>
          <w:rFonts w:ascii="Times New Roman" w:hAnsi="Times New Roman" w:cs="Times New Roman"/>
          <w:i/>
          <w:sz w:val="24"/>
          <w:szCs w:val="24"/>
        </w:rPr>
        <w:br/>
        <w:t xml:space="preserve">PTH and Risk of OH – </w:t>
      </w:r>
      <w:r>
        <w:rPr>
          <w:rFonts w:ascii="Times New Roman" w:hAnsi="Times New Roman" w:cs="Times New Roman"/>
          <w:sz w:val="24"/>
          <w:szCs w:val="24"/>
        </w:rPr>
        <w:t xml:space="preserve">After adjustment for age, BMI, resting pulse and mean sitting systolic blood pressure, there was no statistically significantly increased risk of consensus OH, OH-1 or OH-2 in participants with elevated PTH levels (Table </w:t>
      </w:r>
      <w:r w:rsidR="005A065D">
        <w:rPr>
          <w:rFonts w:ascii="Times New Roman" w:hAnsi="Times New Roman" w:cs="Times New Roman"/>
          <w:sz w:val="24"/>
          <w:szCs w:val="24"/>
        </w:rPr>
        <w:t>3</w:t>
      </w:r>
      <w:r>
        <w:rPr>
          <w:rFonts w:ascii="Times New Roman" w:hAnsi="Times New Roman" w:cs="Times New Roman"/>
          <w:sz w:val="24"/>
          <w:szCs w:val="24"/>
        </w:rPr>
        <w:t xml:space="preserve">). </w:t>
      </w:r>
    </w:p>
    <w:p w:rsidR="00FD56EF" w:rsidRPr="0079125A" w:rsidRDefault="00FD56EF" w:rsidP="00FD56EF">
      <w:pPr>
        <w:shd w:val="clear" w:color="auto" w:fill="FFFFFF"/>
        <w:spacing w:after="100" w:afterAutospacing="1" w:line="480" w:lineRule="auto"/>
        <w:outlineLvl w:val="1"/>
        <w:rPr>
          <w:rFonts w:ascii="Times New Roman" w:hAnsi="Times New Roman" w:cs="Times New Roman"/>
          <w:sz w:val="24"/>
          <w:szCs w:val="24"/>
        </w:rPr>
      </w:pPr>
      <w:r w:rsidRPr="0079125A">
        <w:rPr>
          <w:rFonts w:ascii="Times New Roman" w:hAnsi="Times New Roman" w:cs="Times New Roman"/>
          <w:sz w:val="24"/>
          <w:szCs w:val="24"/>
          <w:u w:val="single"/>
        </w:rPr>
        <w:lastRenderedPageBreak/>
        <w:t>Discussion</w:t>
      </w:r>
      <w:r w:rsidRPr="0079125A">
        <w:rPr>
          <w:rFonts w:ascii="Times New Roman" w:hAnsi="Times New Roman" w:cs="Times New Roman"/>
          <w:sz w:val="24"/>
          <w:szCs w:val="24"/>
          <w:u w:val="single"/>
        </w:rPr>
        <w:br/>
      </w:r>
      <w:r w:rsidRPr="0079125A">
        <w:rPr>
          <w:rFonts w:ascii="Times New Roman" w:hAnsi="Times New Roman" w:cs="Times New Roman"/>
          <w:sz w:val="24"/>
          <w:szCs w:val="24"/>
        </w:rPr>
        <w:br/>
        <w:t>In this cross-sectional study of older</w:t>
      </w:r>
      <w:r>
        <w:rPr>
          <w:rFonts w:ascii="Times New Roman" w:hAnsi="Times New Roman" w:cs="Times New Roman"/>
          <w:sz w:val="24"/>
          <w:szCs w:val="24"/>
        </w:rPr>
        <w:t xml:space="preserve">, community-dwelling men, </w:t>
      </w:r>
      <w:r w:rsidRPr="0079125A">
        <w:rPr>
          <w:rFonts w:ascii="Times New Roman" w:hAnsi="Times New Roman" w:cs="Times New Roman"/>
          <w:sz w:val="24"/>
          <w:szCs w:val="24"/>
        </w:rPr>
        <w:t>vitamin D deficiency was associated with increased risk of OH that occurred within one minute of standing. No association was seen between vitamin D insufficiency and risk of OH or elevated PTH and risk of OH</w:t>
      </w:r>
      <w:r>
        <w:rPr>
          <w:rFonts w:ascii="Times New Roman" w:hAnsi="Times New Roman" w:cs="Times New Roman"/>
          <w:sz w:val="24"/>
          <w:szCs w:val="24"/>
        </w:rPr>
        <w:t>, regardless of the timeframe within which</w:t>
      </w:r>
      <w:r w:rsidRPr="0079125A">
        <w:rPr>
          <w:rFonts w:ascii="Times New Roman" w:hAnsi="Times New Roman" w:cs="Times New Roman"/>
          <w:sz w:val="24"/>
          <w:szCs w:val="24"/>
        </w:rPr>
        <w:t xml:space="preserve"> OH occurred.</w:t>
      </w:r>
      <w:r>
        <w:rPr>
          <w:rFonts w:ascii="Times New Roman" w:hAnsi="Times New Roman" w:cs="Times New Roman"/>
          <w:sz w:val="24"/>
          <w:szCs w:val="24"/>
        </w:rPr>
        <w:t xml:space="preserve"> The association between vitamin D deficiency and OH was independent of </w:t>
      </w:r>
      <w:r w:rsidR="00895291">
        <w:rPr>
          <w:rFonts w:ascii="Times New Roman" w:hAnsi="Times New Roman" w:cs="Times New Roman"/>
          <w:sz w:val="24"/>
          <w:szCs w:val="24"/>
        </w:rPr>
        <w:t xml:space="preserve">blood pressure and </w:t>
      </w:r>
      <w:r>
        <w:rPr>
          <w:rFonts w:ascii="Times New Roman" w:hAnsi="Times New Roman" w:cs="Times New Roman"/>
          <w:sz w:val="24"/>
          <w:szCs w:val="24"/>
        </w:rPr>
        <w:t>PTH</w:t>
      </w:r>
      <w:r w:rsidR="00895291">
        <w:rPr>
          <w:rFonts w:ascii="Times New Roman" w:hAnsi="Times New Roman" w:cs="Times New Roman"/>
          <w:sz w:val="24"/>
          <w:szCs w:val="24"/>
        </w:rPr>
        <w:t>.</w:t>
      </w:r>
      <w:r w:rsidRPr="0079125A">
        <w:rPr>
          <w:rFonts w:ascii="Times New Roman" w:hAnsi="Times New Roman" w:cs="Times New Roman"/>
          <w:sz w:val="24"/>
          <w:szCs w:val="24"/>
        </w:rPr>
        <w:t xml:space="preserve"> </w:t>
      </w:r>
      <w:r>
        <w:rPr>
          <w:rFonts w:ascii="Times New Roman" w:hAnsi="Times New Roman" w:cs="Times New Roman"/>
          <w:sz w:val="24"/>
          <w:szCs w:val="24"/>
        </w:rPr>
        <w:t>T</w:t>
      </w:r>
      <w:r w:rsidRPr="0079125A">
        <w:rPr>
          <w:rFonts w:ascii="Times New Roman" w:hAnsi="Times New Roman" w:cs="Times New Roman"/>
          <w:sz w:val="24"/>
          <w:szCs w:val="24"/>
        </w:rPr>
        <w:t>he vitamin D receptor is found in cardiomyocytes and vascular endothelial cells</w:t>
      </w:r>
      <w:r w:rsidRPr="0079125A">
        <w:rPr>
          <w:rFonts w:ascii="Times New Roman" w:eastAsia="Times New Roman" w:hAnsi="Times New Roman" w:cs="Times New Roman"/>
          <w:bCs/>
          <w:sz w:val="24"/>
          <w:szCs w:val="24"/>
        </w:rPr>
        <w:t xml:space="preserve"> </w:t>
      </w:r>
      <w:r w:rsidR="003766DD">
        <w:rPr>
          <w:rFonts w:ascii="Times New Roman" w:eastAsia="Times New Roman" w:hAnsi="Times New Roman" w:cs="Times New Roman"/>
          <w:bCs/>
          <w:noProof/>
          <w:sz w:val="24"/>
          <w:szCs w:val="24"/>
        </w:rPr>
        <w:t>[</w:t>
      </w:r>
      <w:r>
        <w:rPr>
          <w:rFonts w:ascii="Times New Roman" w:eastAsia="Times New Roman" w:hAnsi="Times New Roman" w:cs="Times New Roman"/>
          <w:bCs/>
          <w:noProof/>
          <w:sz w:val="24"/>
          <w:szCs w:val="24"/>
        </w:rPr>
        <w:t>38</w:t>
      </w:r>
      <w:r w:rsidR="003766DD">
        <w:rPr>
          <w:rFonts w:ascii="Times New Roman" w:eastAsia="Times New Roman" w:hAnsi="Times New Roman" w:cs="Times New Roman"/>
          <w:bCs/>
          <w:noProof/>
          <w:sz w:val="24"/>
          <w:szCs w:val="24"/>
        </w:rPr>
        <w:t>]</w:t>
      </w:r>
      <w:r w:rsidRPr="0079125A">
        <w:rPr>
          <w:rFonts w:ascii="Times New Roman" w:eastAsia="Times New Roman" w:hAnsi="Times New Roman" w:cs="Times New Roman"/>
          <w:bCs/>
          <w:sz w:val="24"/>
          <w:szCs w:val="24"/>
        </w:rPr>
        <w:t xml:space="preserve">, vitamin D deficiency may contribute to endothelial dysfunction </w:t>
      </w:r>
      <w:r w:rsidR="003766DD">
        <w:rPr>
          <w:rFonts w:ascii="Times New Roman" w:eastAsia="Times New Roman" w:hAnsi="Times New Roman" w:cs="Times New Roman"/>
          <w:bCs/>
          <w:sz w:val="24"/>
          <w:szCs w:val="24"/>
        </w:rPr>
        <w:t>[</w:t>
      </w:r>
      <w:r>
        <w:rPr>
          <w:rFonts w:ascii="Times New Roman" w:eastAsia="Times New Roman" w:hAnsi="Times New Roman" w:cs="Times New Roman"/>
          <w:bCs/>
          <w:noProof/>
          <w:sz w:val="24"/>
          <w:szCs w:val="24"/>
        </w:rPr>
        <w:t>39</w:t>
      </w:r>
      <w:r w:rsidR="003766DD">
        <w:rPr>
          <w:rFonts w:ascii="Times New Roman" w:eastAsia="Times New Roman" w:hAnsi="Times New Roman" w:cs="Times New Roman"/>
          <w:bCs/>
          <w:noProof/>
          <w:sz w:val="24"/>
          <w:szCs w:val="24"/>
        </w:rPr>
        <w:t>]</w:t>
      </w:r>
      <w:r w:rsidRPr="0079125A">
        <w:rPr>
          <w:rFonts w:ascii="Times New Roman" w:eastAsia="Times New Roman" w:hAnsi="Times New Roman" w:cs="Times New Roman"/>
          <w:bCs/>
          <w:sz w:val="24"/>
          <w:szCs w:val="24"/>
        </w:rPr>
        <w:t xml:space="preserve"> and upregulation of the renin-angiotensin-aldosterone system </w:t>
      </w:r>
      <w:r w:rsidR="003766DD">
        <w:rPr>
          <w:rFonts w:ascii="Times New Roman" w:eastAsia="Times New Roman" w:hAnsi="Times New Roman" w:cs="Times New Roman"/>
          <w:bCs/>
          <w:noProof/>
          <w:sz w:val="24"/>
          <w:szCs w:val="24"/>
        </w:rPr>
        <w:t>[</w:t>
      </w:r>
      <w:r>
        <w:rPr>
          <w:rFonts w:ascii="Times New Roman" w:eastAsia="Times New Roman" w:hAnsi="Times New Roman" w:cs="Times New Roman"/>
          <w:bCs/>
          <w:noProof/>
          <w:sz w:val="24"/>
          <w:szCs w:val="24"/>
        </w:rPr>
        <w:t>40</w:t>
      </w:r>
      <w:r w:rsidR="003766DD">
        <w:rPr>
          <w:rFonts w:ascii="Times New Roman" w:eastAsia="Times New Roman" w:hAnsi="Times New Roman" w:cs="Times New Roman"/>
          <w:bCs/>
          <w:noProof/>
          <w:sz w:val="24"/>
          <w:szCs w:val="24"/>
        </w:rPr>
        <w:t>]</w:t>
      </w:r>
      <w:r w:rsidRPr="0079125A">
        <w:rPr>
          <w:rFonts w:ascii="Times New Roman" w:eastAsia="Times New Roman" w:hAnsi="Times New Roman" w:cs="Times New Roman"/>
          <w:bCs/>
          <w:sz w:val="24"/>
          <w:szCs w:val="24"/>
        </w:rPr>
        <w:t xml:space="preserve">, and vitamin D itself may promote vascular regeneration after injury </w:t>
      </w:r>
      <w:r w:rsidR="003766DD">
        <w:rPr>
          <w:rFonts w:ascii="Times New Roman" w:eastAsia="Times New Roman" w:hAnsi="Times New Roman" w:cs="Times New Roman"/>
          <w:bCs/>
          <w:sz w:val="24"/>
          <w:szCs w:val="24"/>
        </w:rPr>
        <w:t>[</w:t>
      </w:r>
      <w:r>
        <w:rPr>
          <w:rFonts w:ascii="Times New Roman" w:eastAsia="Times New Roman" w:hAnsi="Times New Roman" w:cs="Times New Roman"/>
          <w:bCs/>
          <w:noProof/>
          <w:sz w:val="24"/>
          <w:szCs w:val="24"/>
        </w:rPr>
        <w:t>41</w:t>
      </w:r>
      <w:r w:rsidR="003766DD">
        <w:rPr>
          <w:rFonts w:ascii="Times New Roman" w:eastAsia="Times New Roman" w:hAnsi="Times New Roman" w:cs="Times New Roman"/>
          <w:bCs/>
          <w:noProof/>
          <w:sz w:val="24"/>
          <w:szCs w:val="24"/>
        </w:rPr>
        <w:t>]</w:t>
      </w:r>
      <w:r>
        <w:rPr>
          <w:rFonts w:ascii="Times New Roman" w:eastAsia="Times New Roman" w:hAnsi="Times New Roman" w:cs="Times New Roman"/>
          <w:bCs/>
          <w:sz w:val="24"/>
          <w:szCs w:val="24"/>
        </w:rPr>
        <w:t xml:space="preserve">. Hence, there may be a speculative, but biologically plausible, mechanism that may underlie the observed association.  </w:t>
      </w:r>
      <w:r w:rsidRPr="0079125A">
        <w:rPr>
          <w:rFonts w:ascii="Times New Roman" w:hAnsi="Times New Roman" w:cs="Times New Roman"/>
          <w:sz w:val="24"/>
          <w:szCs w:val="24"/>
        </w:rPr>
        <w:t xml:space="preserve"> </w:t>
      </w:r>
      <w:r w:rsidRPr="0079125A">
        <w:rPr>
          <w:rFonts w:ascii="Times New Roman" w:hAnsi="Times New Roman" w:cs="Times New Roman"/>
          <w:sz w:val="24"/>
          <w:szCs w:val="24"/>
        </w:rPr>
        <w:br/>
      </w:r>
      <w:r w:rsidRPr="0079125A">
        <w:rPr>
          <w:rFonts w:ascii="Times New Roman" w:hAnsi="Times New Roman" w:cs="Times New Roman"/>
          <w:sz w:val="24"/>
          <w:szCs w:val="24"/>
        </w:rPr>
        <w:br/>
        <w:t>Smaller studies have reported an association between vitamin D status and OH</w:t>
      </w:r>
      <w:r>
        <w:rPr>
          <w:rFonts w:ascii="Times New Roman" w:hAnsi="Times New Roman" w:cs="Times New Roman"/>
          <w:sz w:val="24"/>
          <w:szCs w:val="24"/>
        </w:rPr>
        <w:t xml:space="preserve"> </w:t>
      </w:r>
      <w:r w:rsidR="003766DD">
        <w:rPr>
          <w:rFonts w:ascii="Times New Roman" w:hAnsi="Times New Roman" w:cs="Times New Roman"/>
          <w:noProof/>
          <w:sz w:val="24"/>
          <w:szCs w:val="24"/>
        </w:rPr>
        <w:t>[</w:t>
      </w:r>
      <w:r>
        <w:rPr>
          <w:rFonts w:ascii="Times New Roman" w:hAnsi="Times New Roman" w:cs="Times New Roman"/>
          <w:noProof/>
          <w:sz w:val="24"/>
          <w:szCs w:val="24"/>
        </w:rPr>
        <w:t>1-3, 5, 7</w:t>
      </w:r>
      <w:r w:rsidR="003766DD">
        <w:rPr>
          <w:rFonts w:ascii="Times New Roman" w:hAnsi="Times New Roman" w:cs="Times New Roman"/>
          <w:noProof/>
          <w:sz w:val="24"/>
          <w:szCs w:val="24"/>
        </w:rPr>
        <w:t>]</w:t>
      </w:r>
      <w:r w:rsidRPr="0079125A">
        <w:rPr>
          <w:rFonts w:ascii="Times New Roman" w:hAnsi="Times New Roman" w:cs="Times New Roman"/>
          <w:sz w:val="24"/>
          <w:szCs w:val="24"/>
        </w:rPr>
        <w:t xml:space="preserve">, while larger studies have </w:t>
      </w:r>
      <w:r>
        <w:rPr>
          <w:rFonts w:ascii="Times New Roman" w:hAnsi="Times New Roman" w:cs="Times New Roman"/>
          <w:sz w:val="24"/>
          <w:szCs w:val="24"/>
        </w:rPr>
        <w:t xml:space="preserve">not </w:t>
      </w:r>
      <w:r w:rsidR="003766DD">
        <w:rPr>
          <w:rFonts w:ascii="Times New Roman" w:hAnsi="Times New Roman" w:cs="Times New Roman"/>
          <w:noProof/>
          <w:sz w:val="24"/>
          <w:szCs w:val="24"/>
        </w:rPr>
        <w:t>[</w:t>
      </w:r>
      <w:r>
        <w:rPr>
          <w:rFonts w:ascii="Times New Roman" w:hAnsi="Times New Roman" w:cs="Times New Roman"/>
          <w:noProof/>
          <w:sz w:val="24"/>
          <w:szCs w:val="24"/>
        </w:rPr>
        <w:t>6, 18</w:t>
      </w:r>
      <w:r w:rsidR="003766DD">
        <w:rPr>
          <w:rFonts w:ascii="Times New Roman" w:hAnsi="Times New Roman" w:cs="Times New Roman"/>
          <w:noProof/>
          <w:sz w:val="24"/>
          <w:szCs w:val="24"/>
        </w:rPr>
        <w:t>]</w:t>
      </w:r>
      <w:r>
        <w:rPr>
          <w:rFonts w:ascii="Times New Roman" w:hAnsi="Times New Roman" w:cs="Times New Roman"/>
          <w:sz w:val="24"/>
          <w:szCs w:val="24"/>
        </w:rPr>
        <w:t xml:space="preserve">. </w:t>
      </w:r>
      <w:r w:rsidRPr="0079125A">
        <w:rPr>
          <w:rFonts w:ascii="Times New Roman" w:hAnsi="Times New Roman" w:cs="Times New Roman"/>
          <w:sz w:val="24"/>
          <w:szCs w:val="24"/>
        </w:rPr>
        <w:t xml:space="preserve">The inconsistencies may be explained by different </w:t>
      </w:r>
      <w:r>
        <w:rPr>
          <w:rFonts w:ascii="Times New Roman" w:hAnsi="Times New Roman" w:cs="Times New Roman"/>
          <w:sz w:val="24"/>
          <w:szCs w:val="24"/>
        </w:rPr>
        <w:t>definitions of v</w:t>
      </w:r>
      <w:r w:rsidRPr="0079125A">
        <w:rPr>
          <w:rFonts w:ascii="Times New Roman" w:hAnsi="Times New Roman" w:cs="Times New Roman"/>
          <w:sz w:val="24"/>
          <w:szCs w:val="24"/>
        </w:rPr>
        <w:t>itamin D deficiency, different reference groups and different definitions of OH, with respect to the timeframe within which OH occurs (</w:t>
      </w:r>
      <w:r w:rsidR="006F6513">
        <w:rPr>
          <w:rFonts w:ascii="Times New Roman" w:hAnsi="Times New Roman" w:cs="Times New Roman"/>
          <w:sz w:val="24"/>
          <w:szCs w:val="24"/>
        </w:rPr>
        <w:t xml:space="preserve">Table </w:t>
      </w:r>
      <w:r w:rsidR="005A065D">
        <w:rPr>
          <w:rFonts w:ascii="Times New Roman" w:hAnsi="Times New Roman" w:cs="Times New Roman"/>
          <w:sz w:val="24"/>
          <w:szCs w:val="24"/>
        </w:rPr>
        <w:t>4</w:t>
      </w:r>
      <w:r w:rsidRPr="0079125A">
        <w:rPr>
          <w:rFonts w:ascii="Times New Roman" w:hAnsi="Times New Roman" w:cs="Times New Roman"/>
          <w:sz w:val="24"/>
          <w:szCs w:val="24"/>
        </w:rPr>
        <w:t>)</w:t>
      </w:r>
      <w:r>
        <w:rPr>
          <w:rFonts w:ascii="Times New Roman" w:hAnsi="Times New Roman" w:cs="Times New Roman"/>
          <w:sz w:val="24"/>
          <w:szCs w:val="24"/>
        </w:rPr>
        <w:t>.</w:t>
      </w:r>
      <w:r w:rsidRPr="0079125A">
        <w:rPr>
          <w:rFonts w:ascii="Times New Roman" w:hAnsi="Times New Roman" w:cs="Times New Roman"/>
          <w:sz w:val="24"/>
          <w:szCs w:val="24"/>
        </w:rPr>
        <w:t xml:space="preserve"> Indeed, we detected a statistically significant association between vitamin D </w:t>
      </w:r>
      <w:r>
        <w:rPr>
          <w:rFonts w:ascii="Times New Roman" w:hAnsi="Times New Roman" w:cs="Times New Roman"/>
          <w:sz w:val="24"/>
          <w:szCs w:val="24"/>
        </w:rPr>
        <w:t xml:space="preserve">deficiency and OH-1, but not OH-2. </w:t>
      </w:r>
      <w:r w:rsidRPr="0079125A">
        <w:rPr>
          <w:rFonts w:ascii="Times New Roman" w:hAnsi="Times New Roman" w:cs="Times New Roman"/>
          <w:sz w:val="24"/>
          <w:szCs w:val="24"/>
        </w:rPr>
        <w:t xml:space="preserve">Furthermore, when we re-analysed our data with &lt;30 nmol/L as the cut-off </w:t>
      </w:r>
      <w:r>
        <w:rPr>
          <w:rFonts w:ascii="Times New Roman" w:hAnsi="Times New Roman" w:cs="Times New Roman"/>
          <w:sz w:val="24"/>
          <w:szCs w:val="24"/>
        </w:rPr>
        <w:t>to define</w:t>
      </w:r>
      <w:r w:rsidRPr="0079125A">
        <w:rPr>
          <w:rFonts w:ascii="Times New Roman" w:hAnsi="Times New Roman" w:cs="Times New Roman"/>
          <w:sz w:val="24"/>
          <w:szCs w:val="24"/>
        </w:rPr>
        <w:t xml:space="preserve"> vitamin D deficiency (data not shown), there was no statistically significant association between vitamin D deficiency and OH, irrespective of ti</w:t>
      </w:r>
      <w:r>
        <w:rPr>
          <w:rFonts w:ascii="Times New Roman" w:hAnsi="Times New Roman" w:cs="Times New Roman"/>
          <w:sz w:val="24"/>
          <w:szCs w:val="24"/>
        </w:rPr>
        <w:t>meframe</w:t>
      </w:r>
      <w:r w:rsidRPr="0079125A">
        <w:rPr>
          <w:rFonts w:ascii="Times New Roman" w:hAnsi="Times New Roman" w:cs="Times New Roman"/>
          <w:sz w:val="24"/>
          <w:szCs w:val="24"/>
        </w:rPr>
        <w:t>.</w:t>
      </w:r>
      <w:r>
        <w:rPr>
          <w:rFonts w:ascii="Times New Roman" w:hAnsi="Times New Roman" w:cs="Times New Roman"/>
          <w:sz w:val="24"/>
          <w:szCs w:val="24"/>
        </w:rPr>
        <w:t xml:space="preserve"> </w:t>
      </w:r>
      <w:r w:rsidR="00C9538A">
        <w:rPr>
          <w:rFonts w:ascii="Times New Roman" w:hAnsi="Times New Roman" w:cs="Times New Roman"/>
          <w:sz w:val="24"/>
          <w:szCs w:val="24"/>
        </w:rPr>
        <w:t>In one</w:t>
      </w:r>
      <w:r w:rsidR="00BB49FC">
        <w:rPr>
          <w:rFonts w:ascii="Times New Roman" w:hAnsi="Times New Roman" w:cs="Times New Roman"/>
          <w:sz w:val="24"/>
          <w:szCs w:val="24"/>
        </w:rPr>
        <w:t xml:space="preserve"> randomised controlled trial</w:t>
      </w:r>
      <w:r w:rsidR="00C9538A">
        <w:rPr>
          <w:rFonts w:ascii="Times New Roman" w:hAnsi="Times New Roman" w:cs="Times New Roman"/>
          <w:sz w:val="24"/>
          <w:szCs w:val="24"/>
        </w:rPr>
        <w:t xml:space="preserve">, vitamin D supplementation did not result in a statistically significant improvement in OH </w:t>
      </w:r>
      <w:r w:rsidR="00BB49FC">
        <w:rPr>
          <w:rFonts w:ascii="Times New Roman" w:hAnsi="Times New Roman" w:cs="Times New Roman"/>
          <w:noProof/>
          <w:sz w:val="24"/>
          <w:szCs w:val="24"/>
        </w:rPr>
        <w:t>[4</w:t>
      </w:r>
      <w:r w:rsidR="00A25B0D">
        <w:rPr>
          <w:rFonts w:ascii="Times New Roman" w:hAnsi="Times New Roman" w:cs="Times New Roman"/>
          <w:noProof/>
          <w:sz w:val="24"/>
          <w:szCs w:val="24"/>
        </w:rPr>
        <w:t>2</w:t>
      </w:r>
      <w:r w:rsidR="00BB49FC">
        <w:rPr>
          <w:rFonts w:ascii="Times New Roman" w:hAnsi="Times New Roman" w:cs="Times New Roman"/>
          <w:noProof/>
          <w:sz w:val="24"/>
          <w:szCs w:val="24"/>
        </w:rPr>
        <w:t>]</w:t>
      </w:r>
      <w:r w:rsidR="00BB49FC" w:rsidRPr="0079125A">
        <w:rPr>
          <w:rFonts w:ascii="Times New Roman" w:hAnsi="Times New Roman" w:cs="Times New Roman"/>
          <w:sz w:val="24"/>
          <w:szCs w:val="24"/>
        </w:rPr>
        <w:t>. However, the sample size limited the size of the reduction in OH that could have been detected.</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lastRenderedPageBreak/>
        <w:t xml:space="preserve">The definition of vitamin D deficiency remains controversial </w:t>
      </w:r>
      <w:r w:rsidR="003766DD">
        <w:rPr>
          <w:rFonts w:ascii="Times New Roman" w:hAnsi="Times New Roman" w:cs="Times New Roman"/>
          <w:noProof/>
          <w:sz w:val="24"/>
          <w:szCs w:val="24"/>
        </w:rPr>
        <w:t>[</w:t>
      </w:r>
      <w:r>
        <w:rPr>
          <w:rFonts w:ascii="Times New Roman" w:hAnsi="Times New Roman" w:cs="Times New Roman"/>
          <w:noProof/>
          <w:sz w:val="24"/>
          <w:szCs w:val="24"/>
        </w:rPr>
        <w:t>4</w:t>
      </w:r>
      <w:r w:rsidR="00A25B0D">
        <w:rPr>
          <w:rFonts w:ascii="Times New Roman" w:hAnsi="Times New Roman" w:cs="Times New Roman"/>
          <w:noProof/>
          <w:sz w:val="24"/>
          <w:szCs w:val="24"/>
        </w:rPr>
        <w:t>3</w:t>
      </w:r>
      <w:r w:rsidR="003766DD">
        <w:rPr>
          <w:rFonts w:ascii="Times New Roman" w:hAnsi="Times New Roman" w:cs="Times New Roman"/>
          <w:noProof/>
          <w:sz w:val="24"/>
          <w:szCs w:val="24"/>
        </w:rPr>
        <w:t>]</w:t>
      </w:r>
      <w:r>
        <w:rPr>
          <w:rFonts w:ascii="Times New Roman" w:hAnsi="Times New Roman" w:cs="Times New Roman"/>
          <w:sz w:val="24"/>
          <w:szCs w:val="24"/>
        </w:rPr>
        <w:t xml:space="preserve">; the United Kingdom’s </w:t>
      </w:r>
      <w:r w:rsidRPr="0079125A">
        <w:rPr>
          <w:rFonts w:ascii="Times New Roman" w:hAnsi="Times New Roman" w:cs="Times New Roman"/>
          <w:sz w:val="24"/>
          <w:szCs w:val="24"/>
        </w:rPr>
        <w:t>N</w:t>
      </w:r>
      <w:r>
        <w:rPr>
          <w:rFonts w:ascii="Times New Roman" w:hAnsi="Times New Roman" w:cs="Times New Roman"/>
          <w:sz w:val="24"/>
          <w:szCs w:val="24"/>
        </w:rPr>
        <w:t>ICE</w:t>
      </w:r>
      <w:r w:rsidRPr="0079125A">
        <w:rPr>
          <w:rFonts w:ascii="Times New Roman" w:hAnsi="Times New Roman" w:cs="Times New Roman"/>
          <w:sz w:val="24"/>
          <w:szCs w:val="24"/>
        </w:rPr>
        <w:t xml:space="preserve"> </w:t>
      </w:r>
      <w:r>
        <w:rPr>
          <w:rFonts w:ascii="Times New Roman" w:hAnsi="Times New Roman" w:cs="Times New Roman"/>
          <w:sz w:val="24"/>
          <w:szCs w:val="24"/>
        </w:rPr>
        <w:t>CKS define</w:t>
      </w:r>
      <w:r w:rsidR="00BA5228">
        <w:rPr>
          <w:rFonts w:ascii="Times New Roman" w:hAnsi="Times New Roman" w:cs="Times New Roman"/>
          <w:sz w:val="24"/>
          <w:szCs w:val="24"/>
        </w:rPr>
        <w:t>s</w:t>
      </w:r>
      <w:r>
        <w:rPr>
          <w:rFonts w:ascii="Times New Roman" w:hAnsi="Times New Roman" w:cs="Times New Roman"/>
          <w:sz w:val="24"/>
          <w:szCs w:val="24"/>
        </w:rPr>
        <w:t xml:space="preserve"> it as &lt;25 nmol/L </w:t>
      </w:r>
      <w:r w:rsidR="003766DD">
        <w:rPr>
          <w:rFonts w:ascii="Times New Roman" w:hAnsi="Times New Roman" w:cs="Times New Roman"/>
          <w:noProof/>
          <w:sz w:val="24"/>
          <w:szCs w:val="24"/>
        </w:rPr>
        <w:t>[</w:t>
      </w:r>
      <w:r>
        <w:rPr>
          <w:rFonts w:ascii="Times New Roman" w:hAnsi="Times New Roman" w:cs="Times New Roman"/>
          <w:noProof/>
          <w:sz w:val="24"/>
          <w:szCs w:val="24"/>
        </w:rPr>
        <w:t>33</w:t>
      </w:r>
      <w:r w:rsidR="003766DD">
        <w:rPr>
          <w:rFonts w:ascii="Times New Roman" w:hAnsi="Times New Roman" w:cs="Times New Roman"/>
          <w:noProof/>
          <w:sz w:val="24"/>
          <w:szCs w:val="24"/>
        </w:rPr>
        <w:t>]</w:t>
      </w:r>
      <w:r>
        <w:rPr>
          <w:rFonts w:ascii="Times New Roman" w:hAnsi="Times New Roman" w:cs="Times New Roman"/>
          <w:sz w:val="24"/>
          <w:szCs w:val="24"/>
        </w:rPr>
        <w:t xml:space="preserve">, while the United States’ Institute of Medicine defines it as &lt;30 nmol/L </w:t>
      </w:r>
      <w:r w:rsidR="003766DD">
        <w:rPr>
          <w:rFonts w:ascii="Times New Roman" w:hAnsi="Times New Roman" w:cs="Times New Roman"/>
          <w:noProof/>
          <w:sz w:val="24"/>
          <w:szCs w:val="24"/>
        </w:rPr>
        <w:t>[</w:t>
      </w:r>
      <w:r>
        <w:rPr>
          <w:rFonts w:ascii="Times New Roman" w:hAnsi="Times New Roman" w:cs="Times New Roman"/>
          <w:noProof/>
          <w:sz w:val="24"/>
          <w:szCs w:val="24"/>
        </w:rPr>
        <w:t>4</w:t>
      </w:r>
      <w:r w:rsidR="00A25B0D">
        <w:rPr>
          <w:rFonts w:ascii="Times New Roman" w:hAnsi="Times New Roman" w:cs="Times New Roman"/>
          <w:noProof/>
          <w:sz w:val="24"/>
          <w:szCs w:val="24"/>
        </w:rPr>
        <w:t>4</w:t>
      </w:r>
      <w:r w:rsidR="003766DD">
        <w:rPr>
          <w:rFonts w:ascii="Times New Roman" w:hAnsi="Times New Roman" w:cs="Times New Roman"/>
          <w:noProof/>
          <w:sz w:val="24"/>
          <w:szCs w:val="24"/>
        </w:rPr>
        <w:t>]</w:t>
      </w:r>
      <w:r>
        <w:rPr>
          <w:rFonts w:ascii="Times New Roman" w:hAnsi="Times New Roman" w:cs="Times New Roman"/>
          <w:sz w:val="24"/>
          <w:szCs w:val="24"/>
        </w:rPr>
        <w:t xml:space="preserve">. The cut-offs may need to be disease and/or adverse-outcome specific; our findings suggest a cut-off of &lt;25 nmol/L is associated with risk of OH, while a cut-off of &lt;30 nmol/L is not, i.e. only those with extremely low </w:t>
      </w:r>
      <w:r w:rsidR="00353A10">
        <w:rPr>
          <w:rFonts w:ascii="Times New Roman" w:hAnsi="Times New Roman" w:cs="Times New Roman"/>
          <w:sz w:val="24"/>
          <w:szCs w:val="24"/>
        </w:rPr>
        <w:t xml:space="preserve">circulating </w:t>
      </w:r>
      <w:r>
        <w:rPr>
          <w:rFonts w:ascii="Times New Roman" w:hAnsi="Times New Roman" w:cs="Times New Roman"/>
          <w:sz w:val="24"/>
          <w:szCs w:val="24"/>
        </w:rPr>
        <w:t xml:space="preserve">vitamin D </w:t>
      </w:r>
      <w:r w:rsidR="00353A10">
        <w:rPr>
          <w:rFonts w:ascii="Times New Roman" w:hAnsi="Times New Roman" w:cs="Times New Roman"/>
          <w:sz w:val="24"/>
          <w:szCs w:val="24"/>
        </w:rPr>
        <w:t xml:space="preserve">concentrations </w:t>
      </w:r>
      <w:r>
        <w:rPr>
          <w:rFonts w:ascii="Times New Roman" w:hAnsi="Times New Roman" w:cs="Times New Roman"/>
          <w:sz w:val="24"/>
          <w:szCs w:val="24"/>
        </w:rPr>
        <w:t xml:space="preserve">are at increased risk of OH. </w:t>
      </w:r>
      <w:r>
        <w:rPr>
          <w:rFonts w:ascii="Times New Roman" w:hAnsi="Times New Roman" w:cs="Times New Roman"/>
          <w:sz w:val="24"/>
          <w:szCs w:val="24"/>
        </w:rPr>
        <w:br/>
      </w:r>
      <w:r>
        <w:rPr>
          <w:rFonts w:ascii="Times New Roman" w:hAnsi="Times New Roman" w:cs="Times New Roman"/>
          <w:sz w:val="24"/>
          <w:szCs w:val="24"/>
        </w:rPr>
        <w:br/>
      </w:r>
      <w:r w:rsidRPr="0079125A">
        <w:rPr>
          <w:rFonts w:ascii="Times New Roman" w:hAnsi="Times New Roman" w:cs="Times New Roman"/>
          <w:sz w:val="24"/>
          <w:szCs w:val="24"/>
        </w:rPr>
        <w:t xml:space="preserve"> </w:t>
      </w:r>
    </w:p>
    <w:p w:rsidR="00FD56EF" w:rsidRPr="0079125A" w:rsidRDefault="00FD56EF" w:rsidP="00AD5169">
      <w:pPr>
        <w:spacing w:line="480" w:lineRule="auto"/>
        <w:rPr>
          <w:rFonts w:ascii="Times New Roman" w:hAnsi="Times New Roman" w:cs="Times New Roman"/>
          <w:sz w:val="24"/>
          <w:szCs w:val="24"/>
        </w:rPr>
      </w:pPr>
      <w:r w:rsidRPr="007F703A">
        <w:rPr>
          <w:rFonts w:ascii="Times New Roman" w:hAnsi="Times New Roman" w:cs="Times New Roman"/>
          <w:sz w:val="24"/>
          <w:szCs w:val="24"/>
        </w:rPr>
        <w:t>Strengths of our study include the large sample size, a gold standard measurement of vitamin D, and that we examined PTH, alongside a wide range of other possible confounders or mediators.</w:t>
      </w:r>
      <w:r w:rsidR="00BA5228">
        <w:rPr>
          <w:rFonts w:ascii="Times New Roman" w:hAnsi="Times New Roman" w:cs="Times New Roman"/>
          <w:sz w:val="24"/>
          <w:szCs w:val="24"/>
        </w:rPr>
        <w:t xml:space="preserve"> Limitations include, firstly, that </w:t>
      </w:r>
      <w:r w:rsidR="007F703A" w:rsidRPr="00AD5169">
        <w:rPr>
          <w:rFonts w:ascii="Times New Roman" w:hAnsi="Times New Roman" w:cs="Times New Roman"/>
          <w:sz w:val="24"/>
          <w:szCs w:val="24"/>
        </w:rPr>
        <w:t xml:space="preserve">men with </w:t>
      </w:r>
      <w:r w:rsidR="00705225">
        <w:rPr>
          <w:rFonts w:ascii="Times New Roman" w:hAnsi="Times New Roman" w:cs="Times New Roman"/>
          <w:sz w:val="24"/>
          <w:szCs w:val="24"/>
        </w:rPr>
        <w:t>OH</w:t>
      </w:r>
      <w:r w:rsidR="007F703A" w:rsidRPr="00AD5169">
        <w:rPr>
          <w:rFonts w:ascii="Times New Roman" w:hAnsi="Times New Roman" w:cs="Times New Roman"/>
          <w:sz w:val="24"/>
          <w:szCs w:val="24"/>
        </w:rPr>
        <w:t xml:space="preserve"> were identified based on sitting and standing blood pressure measurements, rather than lying and standings measurements. We </w:t>
      </w:r>
      <w:r w:rsidR="00705225">
        <w:rPr>
          <w:rFonts w:ascii="Times New Roman" w:hAnsi="Times New Roman" w:cs="Times New Roman"/>
          <w:sz w:val="24"/>
          <w:szCs w:val="24"/>
        </w:rPr>
        <w:t>used</w:t>
      </w:r>
      <w:r w:rsidR="007F703A" w:rsidRPr="00AD5169">
        <w:rPr>
          <w:rFonts w:ascii="Times New Roman" w:hAnsi="Times New Roman" w:cs="Times New Roman"/>
          <w:sz w:val="24"/>
          <w:szCs w:val="24"/>
        </w:rPr>
        <w:t xml:space="preserve"> the thresholds that are ordinarily used for lying and standing measurements to identify men with OH, as the optimal thresholds to diagnose OH based on sitting and standing measurements are not known. If these thresholds are lower than those for lying and standing measurements then we would have underestimated the proportion of m</w:t>
      </w:r>
      <w:r w:rsidR="002261E9" w:rsidRPr="002261E9">
        <w:rPr>
          <w:rFonts w:ascii="Times New Roman" w:hAnsi="Times New Roman" w:cs="Times New Roman"/>
          <w:sz w:val="24"/>
          <w:szCs w:val="24"/>
        </w:rPr>
        <w:t>en with OH. Further</w:t>
      </w:r>
      <w:r w:rsidR="007F703A" w:rsidRPr="00AD5169">
        <w:rPr>
          <w:rFonts w:ascii="Times New Roman" w:hAnsi="Times New Roman" w:cs="Times New Roman"/>
          <w:sz w:val="24"/>
          <w:szCs w:val="24"/>
        </w:rPr>
        <w:t xml:space="preserve"> f</w:t>
      </w:r>
      <w:r w:rsidR="002261E9" w:rsidRPr="002261E9">
        <w:rPr>
          <w:rFonts w:ascii="Times New Roman" w:hAnsi="Times New Roman" w:cs="Times New Roman"/>
          <w:sz w:val="24"/>
          <w:szCs w:val="24"/>
        </w:rPr>
        <w:t xml:space="preserve">actors that may have reduced </w:t>
      </w:r>
      <w:r w:rsidR="007F703A" w:rsidRPr="00AD5169">
        <w:rPr>
          <w:rFonts w:ascii="Times New Roman" w:hAnsi="Times New Roman" w:cs="Times New Roman"/>
          <w:sz w:val="24"/>
          <w:szCs w:val="24"/>
        </w:rPr>
        <w:t xml:space="preserve">detection of OH include the men not being seated for a prescribed duration prior to the first blood pressure measurement and using an automatic blood pressure monitor to measure blood pressure, rather than taking continuous beat-to-beat blood pressure measurements. Secondly, we did not have data on diagnosis of Parkinson’s Disease, a neurodegenerative condition in which OH is often found, and are unable to exclude this as a confounding factor. Thirdly, although </w:t>
      </w:r>
      <w:r w:rsidR="00BB49FC">
        <w:rPr>
          <w:rFonts w:ascii="Times New Roman" w:hAnsi="Times New Roman" w:cs="Times New Roman"/>
          <w:sz w:val="24"/>
          <w:szCs w:val="24"/>
        </w:rPr>
        <w:t xml:space="preserve">we adjusted for </w:t>
      </w:r>
      <w:r w:rsidR="007F703A" w:rsidRPr="00AD5169">
        <w:rPr>
          <w:rFonts w:ascii="Times New Roman" w:hAnsi="Times New Roman" w:cs="Times New Roman"/>
          <w:sz w:val="24"/>
          <w:szCs w:val="24"/>
        </w:rPr>
        <w:t xml:space="preserve">anti-hypertensive medications, we did not adjust for other drugs that may cause OH, such as anti-psychotics, anti-depressants or </w:t>
      </w:r>
      <w:proofErr w:type="spellStart"/>
      <w:r w:rsidR="007F703A" w:rsidRPr="00AD5169">
        <w:rPr>
          <w:rFonts w:ascii="Times New Roman" w:hAnsi="Times New Roman" w:cs="Times New Roman"/>
          <w:sz w:val="24"/>
          <w:szCs w:val="24"/>
        </w:rPr>
        <w:t>opiods</w:t>
      </w:r>
      <w:proofErr w:type="spellEnd"/>
      <w:r w:rsidR="007F703A" w:rsidRPr="00AD5169">
        <w:rPr>
          <w:rFonts w:ascii="Times New Roman" w:hAnsi="Times New Roman" w:cs="Times New Roman"/>
          <w:sz w:val="24"/>
          <w:szCs w:val="24"/>
        </w:rPr>
        <w:t xml:space="preserve">. Fourthly, 424 men </w:t>
      </w:r>
      <w:r w:rsidR="007F703A" w:rsidRPr="00AD5169">
        <w:rPr>
          <w:rFonts w:ascii="Times New Roman" w:hAnsi="Times New Roman" w:cs="Times New Roman"/>
          <w:sz w:val="24"/>
          <w:szCs w:val="24"/>
        </w:rPr>
        <w:lastRenderedPageBreak/>
        <w:t xml:space="preserve">did not have a vitamin D measurement and were excluded from the </w:t>
      </w:r>
      <w:r w:rsidR="005625CA">
        <w:rPr>
          <w:rFonts w:ascii="Times New Roman" w:hAnsi="Times New Roman" w:cs="Times New Roman"/>
          <w:sz w:val="24"/>
          <w:szCs w:val="24"/>
        </w:rPr>
        <w:t>sample</w:t>
      </w:r>
      <w:r w:rsidR="007F703A" w:rsidRPr="00AD5169">
        <w:rPr>
          <w:rFonts w:ascii="Times New Roman" w:hAnsi="Times New Roman" w:cs="Times New Roman"/>
          <w:sz w:val="24"/>
          <w:szCs w:val="24"/>
        </w:rPr>
        <w:t xml:space="preserve">. </w:t>
      </w:r>
      <w:r w:rsidR="00BB49FC">
        <w:rPr>
          <w:rFonts w:ascii="Times New Roman" w:hAnsi="Times New Roman" w:cs="Times New Roman"/>
          <w:sz w:val="24"/>
          <w:szCs w:val="24"/>
        </w:rPr>
        <w:t xml:space="preserve">However, </w:t>
      </w:r>
      <w:r w:rsidR="007F703A" w:rsidRPr="00AD5169">
        <w:rPr>
          <w:rFonts w:ascii="Times New Roman" w:hAnsi="Times New Roman" w:cs="Times New Roman"/>
          <w:sz w:val="24"/>
          <w:szCs w:val="24"/>
        </w:rPr>
        <w:t>there was no statistically significant difference in age, physical disability and in proportion of people with OH</w:t>
      </w:r>
      <w:r w:rsidR="00BB49FC">
        <w:rPr>
          <w:rFonts w:ascii="Times New Roman" w:hAnsi="Times New Roman" w:cs="Times New Roman"/>
          <w:sz w:val="24"/>
          <w:szCs w:val="24"/>
        </w:rPr>
        <w:t xml:space="preserve"> between these men and those </w:t>
      </w:r>
      <w:r w:rsidR="007F703A" w:rsidRPr="00AD5169">
        <w:rPr>
          <w:rFonts w:ascii="Times New Roman" w:hAnsi="Times New Roman" w:cs="Times New Roman"/>
          <w:sz w:val="24"/>
          <w:szCs w:val="24"/>
        </w:rPr>
        <w:t xml:space="preserve">who had vitamin D measurements. Therefore, </w:t>
      </w:r>
      <w:r w:rsidR="005625CA">
        <w:rPr>
          <w:rFonts w:ascii="Times New Roman" w:hAnsi="Times New Roman" w:cs="Times New Roman"/>
          <w:sz w:val="24"/>
          <w:szCs w:val="24"/>
        </w:rPr>
        <w:t xml:space="preserve">their </w:t>
      </w:r>
      <w:r w:rsidR="007F703A" w:rsidRPr="00AD5169">
        <w:rPr>
          <w:rFonts w:ascii="Times New Roman" w:hAnsi="Times New Roman" w:cs="Times New Roman"/>
          <w:sz w:val="24"/>
          <w:szCs w:val="24"/>
        </w:rPr>
        <w:t xml:space="preserve">exclusion </w:t>
      </w:r>
      <w:r w:rsidR="005625CA">
        <w:rPr>
          <w:rFonts w:ascii="Times New Roman" w:hAnsi="Times New Roman" w:cs="Times New Roman"/>
          <w:sz w:val="24"/>
          <w:szCs w:val="24"/>
        </w:rPr>
        <w:t>was unlikel</w:t>
      </w:r>
      <w:r w:rsidR="007F703A" w:rsidRPr="00AD5169">
        <w:rPr>
          <w:rFonts w:ascii="Times New Roman" w:hAnsi="Times New Roman" w:cs="Times New Roman"/>
          <w:sz w:val="24"/>
          <w:szCs w:val="24"/>
        </w:rPr>
        <w:t>y to bias the findings.</w:t>
      </w:r>
      <w:r w:rsidR="007F703A">
        <w:rPr>
          <w:rFonts w:ascii="Times New Roman" w:hAnsi="Times New Roman" w:cs="Times New Roman"/>
          <w:sz w:val="24"/>
          <w:szCs w:val="24"/>
        </w:rPr>
        <w:t xml:space="preserve"> </w:t>
      </w:r>
      <w:r w:rsidR="00E928E5">
        <w:rPr>
          <w:rFonts w:ascii="Times New Roman" w:hAnsi="Times New Roman" w:cs="Times New Roman"/>
          <w:sz w:val="24"/>
          <w:szCs w:val="24"/>
        </w:rPr>
        <w:t xml:space="preserve">Fifthly, </w:t>
      </w:r>
      <w:r w:rsidR="00BB49FC">
        <w:rPr>
          <w:rFonts w:ascii="Times New Roman" w:hAnsi="Times New Roman" w:cs="Times New Roman"/>
          <w:sz w:val="24"/>
          <w:szCs w:val="24"/>
        </w:rPr>
        <w:t>although we controlled for physical disability, we were unable to control</w:t>
      </w:r>
      <w:r w:rsidRPr="0079125A">
        <w:rPr>
          <w:rFonts w:ascii="Times New Roman" w:hAnsi="Times New Roman" w:cs="Times New Roman"/>
          <w:sz w:val="24"/>
          <w:szCs w:val="24"/>
        </w:rPr>
        <w:t xml:space="preserve"> specifically for frailty, which is associated with both vitamin D </w:t>
      </w:r>
      <w:r w:rsidR="003766DD">
        <w:rPr>
          <w:rFonts w:ascii="Times New Roman" w:hAnsi="Times New Roman" w:cs="Times New Roman"/>
          <w:noProof/>
          <w:sz w:val="24"/>
          <w:szCs w:val="24"/>
        </w:rPr>
        <w:t>[</w:t>
      </w:r>
      <w:r>
        <w:rPr>
          <w:rFonts w:ascii="Times New Roman" w:hAnsi="Times New Roman" w:cs="Times New Roman"/>
          <w:noProof/>
          <w:sz w:val="24"/>
          <w:szCs w:val="24"/>
        </w:rPr>
        <w:t>45</w:t>
      </w:r>
      <w:r w:rsidR="003766DD">
        <w:rPr>
          <w:rFonts w:ascii="Times New Roman" w:hAnsi="Times New Roman" w:cs="Times New Roman"/>
          <w:noProof/>
          <w:sz w:val="24"/>
          <w:szCs w:val="24"/>
        </w:rPr>
        <w:t>]</w:t>
      </w:r>
      <w:r w:rsidRPr="0079125A">
        <w:rPr>
          <w:rFonts w:ascii="Times New Roman" w:hAnsi="Times New Roman" w:cs="Times New Roman"/>
          <w:sz w:val="24"/>
          <w:szCs w:val="24"/>
        </w:rPr>
        <w:t xml:space="preserve"> and OH </w:t>
      </w:r>
      <w:r w:rsidR="003766DD">
        <w:rPr>
          <w:rFonts w:ascii="Times New Roman" w:hAnsi="Times New Roman" w:cs="Times New Roman"/>
          <w:noProof/>
          <w:sz w:val="24"/>
          <w:szCs w:val="24"/>
        </w:rPr>
        <w:t>[</w:t>
      </w:r>
      <w:r>
        <w:rPr>
          <w:rFonts w:ascii="Times New Roman" w:hAnsi="Times New Roman" w:cs="Times New Roman"/>
          <w:noProof/>
          <w:sz w:val="24"/>
          <w:szCs w:val="24"/>
        </w:rPr>
        <w:t>46</w:t>
      </w:r>
      <w:r w:rsidR="003766DD">
        <w:rPr>
          <w:rFonts w:ascii="Times New Roman" w:hAnsi="Times New Roman" w:cs="Times New Roman"/>
          <w:noProof/>
          <w:sz w:val="24"/>
          <w:szCs w:val="24"/>
        </w:rPr>
        <w:t>]</w:t>
      </w:r>
      <w:r w:rsidRPr="0079125A">
        <w:rPr>
          <w:rFonts w:ascii="Times New Roman" w:hAnsi="Times New Roman" w:cs="Times New Roman"/>
          <w:sz w:val="24"/>
          <w:szCs w:val="24"/>
        </w:rPr>
        <w:t xml:space="preserve">, </w:t>
      </w:r>
      <w:r w:rsidR="00BB49FC">
        <w:rPr>
          <w:rFonts w:ascii="Times New Roman" w:hAnsi="Times New Roman" w:cs="Times New Roman"/>
          <w:sz w:val="24"/>
          <w:szCs w:val="24"/>
        </w:rPr>
        <w:t xml:space="preserve">and therefore cannot </w:t>
      </w:r>
      <w:r w:rsidRPr="0079125A">
        <w:rPr>
          <w:rFonts w:ascii="Times New Roman" w:hAnsi="Times New Roman" w:cs="Times New Roman"/>
          <w:sz w:val="24"/>
          <w:szCs w:val="24"/>
        </w:rPr>
        <w:t xml:space="preserve">exclude the possibility of residual confounding. </w:t>
      </w:r>
      <w:r w:rsidR="00E928E5">
        <w:rPr>
          <w:rFonts w:ascii="Times New Roman" w:hAnsi="Times New Roman" w:cs="Times New Roman"/>
          <w:sz w:val="24"/>
          <w:szCs w:val="24"/>
        </w:rPr>
        <w:t>Sixthly</w:t>
      </w:r>
      <w:r w:rsidRPr="0079125A">
        <w:rPr>
          <w:rFonts w:ascii="Times New Roman" w:hAnsi="Times New Roman" w:cs="Times New Roman"/>
          <w:sz w:val="24"/>
          <w:szCs w:val="24"/>
        </w:rPr>
        <w:t>, all of our participants were men and the vast majority (&gt;99%) were of white European ethnicity</w:t>
      </w:r>
      <w:r>
        <w:rPr>
          <w:rFonts w:ascii="Times New Roman" w:hAnsi="Times New Roman" w:cs="Times New Roman"/>
          <w:sz w:val="24"/>
          <w:szCs w:val="24"/>
        </w:rPr>
        <w:t xml:space="preserve">; </w:t>
      </w:r>
      <w:r w:rsidRPr="0079125A">
        <w:rPr>
          <w:rFonts w:ascii="Times New Roman" w:hAnsi="Times New Roman" w:cs="Times New Roman"/>
          <w:sz w:val="24"/>
          <w:szCs w:val="24"/>
        </w:rPr>
        <w:t xml:space="preserve">the generalisability of our findings is restricted. Finally, this study was cross-sectional; we are unable to comment on temporality and causation. </w:t>
      </w:r>
    </w:p>
    <w:p w:rsidR="00FD56EF" w:rsidRDefault="00353A10" w:rsidP="00FD56EF">
      <w:pPr>
        <w:shd w:val="clear" w:color="auto" w:fill="FFFFFF"/>
        <w:spacing w:after="100" w:afterAutospacing="1" w:line="480" w:lineRule="auto"/>
        <w:outlineLvl w:val="1"/>
        <w:rPr>
          <w:rFonts w:ascii="Times New Roman" w:hAnsi="Times New Roman" w:cs="Times New Roman"/>
          <w:sz w:val="24"/>
          <w:szCs w:val="24"/>
        </w:rPr>
      </w:pPr>
      <w:r>
        <w:rPr>
          <w:rFonts w:ascii="Times New Roman" w:hAnsi="Times New Roman" w:cs="Times New Roman"/>
          <w:sz w:val="24"/>
          <w:szCs w:val="24"/>
        </w:rPr>
        <w:br/>
      </w:r>
      <w:r w:rsidR="00FD56EF">
        <w:rPr>
          <w:rFonts w:ascii="Times New Roman" w:hAnsi="Times New Roman" w:cs="Times New Roman"/>
          <w:sz w:val="24"/>
          <w:szCs w:val="24"/>
        </w:rPr>
        <w:t>In conclusion, v</w:t>
      </w:r>
      <w:r w:rsidR="00FD56EF" w:rsidRPr="0079125A">
        <w:rPr>
          <w:rFonts w:ascii="Times New Roman" w:hAnsi="Times New Roman" w:cs="Times New Roman"/>
          <w:sz w:val="24"/>
          <w:szCs w:val="24"/>
        </w:rPr>
        <w:t>itamin D deficiency increased odds of OH that occurred within one minute of standing in</w:t>
      </w:r>
      <w:r w:rsidR="00FD56EF">
        <w:rPr>
          <w:rFonts w:ascii="Times New Roman" w:hAnsi="Times New Roman" w:cs="Times New Roman"/>
          <w:sz w:val="24"/>
          <w:szCs w:val="24"/>
        </w:rPr>
        <w:t xml:space="preserve"> this cohort of</w:t>
      </w:r>
      <w:r w:rsidR="00FD56EF" w:rsidRPr="0079125A">
        <w:rPr>
          <w:rFonts w:ascii="Times New Roman" w:hAnsi="Times New Roman" w:cs="Times New Roman"/>
          <w:sz w:val="24"/>
          <w:szCs w:val="24"/>
        </w:rPr>
        <w:t xml:space="preserve"> older men. </w:t>
      </w:r>
      <w:r w:rsidR="00FD56EF">
        <w:rPr>
          <w:rFonts w:ascii="Times New Roman" w:hAnsi="Times New Roman" w:cs="Times New Roman"/>
          <w:sz w:val="24"/>
          <w:szCs w:val="24"/>
        </w:rPr>
        <w:t>Risk of OH increased only below a particular threshold</w:t>
      </w:r>
      <w:r w:rsidR="005625CA">
        <w:rPr>
          <w:rFonts w:ascii="Times New Roman" w:hAnsi="Times New Roman" w:cs="Times New Roman"/>
          <w:sz w:val="24"/>
          <w:szCs w:val="24"/>
        </w:rPr>
        <w:t xml:space="preserve"> of circulating vitamin D</w:t>
      </w:r>
      <w:r w:rsidR="00BB49FC">
        <w:rPr>
          <w:rFonts w:ascii="Times New Roman" w:hAnsi="Times New Roman" w:cs="Times New Roman"/>
          <w:sz w:val="24"/>
          <w:szCs w:val="24"/>
        </w:rPr>
        <w:t xml:space="preserve"> (</w:t>
      </w:r>
      <w:r w:rsidR="00FD56EF" w:rsidRPr="0079125A">
        <w:rPr>
          <w:rFonts w:ascii="Times New Roman" w:hAnsi="Times New Roman" w:cs="Times New Roman"/>
          <w:sz w:val="24"/>
          <w:szCs w:val="24"/>
        </w:rPr>
        <w:t>&lt;25 nmol/L</w:t>
      </w:r>
      <w:r w:rsidR="00BB49FC">
        <w:rPr>
          <w:rFonts w:ascii="Times New Roman" w:hAnsi="Times New Roman" w:cs="Times New Roman"/>
          <w:sz w:val="24"/>
          <w:szCs w:val="24"/>
        </w:rPr>
        <w:t>)</w:t>
      </w:r>
      <w:r w:rsidR="00FD56EF" w:rsidRPr="0079125A">
        <w:rPr>
          <w:rFonts w:ascii="Times New Roman" w:hAnsi="Times New Roman" w:cs="Times New Roman"/>
          <w:sz w:val="24"/>
          <w:szCs w:val="24"/>
        </w:rPr>
        <w:t>.</w:t>
      </w:r>
      <w:r w:rsidR="00BB49FC">
        <w:rPr>
          <w:rFonts w:ascii="Times New Roman" w:hAnsi="Times New Roman" w:cs="Times New Roman"/>
          <w:sz w:val="24"/>
          <w:szCs w:val="24"/>
        </w:rPr>
        <w:t xml:space="preserve"> </w:t>
      </w:r>
      <w:r w:rsidR="00FD56EF" w:rsidRPr="0079125A">
        <w:rPr>
          <w:rFonts w:ascii="Times New Roman" w:hAnsi="Times New Roman" w:cs="Times New Roman"/>
          <w:sz w:val="24"/>
          <w:szCs w:val="24"/>
        </w:rPr>
        <w:t xml:space="preserve">Prospective </w:t>
      </w:r>
      <w:r w:rsidR="00FD56EF">
        <w:rPr>
          <w:rFonts w:ascii="Times New Roman" w:hAnsi="Times New Roman" w:cs="Times New Roman"/>
          <w:sz w:val="24"/>
          <w:szCs w:val="24"/>
        </w:rPr>
        <w:t xml:space="preserve">studies </w:t>
      </w:r>
      <w:r w:rsidR="007D6278" w:rsidRPr="0079125A">
        <w:rPr>
          <w:rFonts w:ascii="Times New Roman" w:hAnsi="Times New Roman" w:cs="Times New Roman"/>
          <w:sz w:val="24"/>
          <w:szCs w:val="24"/>
        </w:rPr>
        <w:t>specifically looking at threshold effects</w:t>
      </w:r>
      <w:r w:rsidR="007D6278">
        <w:rPr>
          <w:rFonts w:ascii="Times New Roman" w:hAnsi="Times New Roman" w:cs="Times New Roman"/>
          <w:sz w:val="24"/>
          <w:szCs w:val="24"/>
        </w:rPr>
        <w:t xml:space="preserve"> and the significance of timeframe of OH </w:t>
      </w:r>
      <w:r w:rsidR="00BB49FC">
        <w:rPr>
          <w:rFonts w:ascii="Times New Roman" w:hAnsi="Times New Roman" w:cs="Times New Roman"/>
          <w:sz w:val="24"/>
          <w:szCs w:val="24"/>
        </w:rPr>
        <w:t xml:space="preserve">are required to assess </w:t>
      </w:r>
      <w:r w:rsidR="00FD56EF">
        <w:rPr>
          <w:rFonts w:ascii="Times New Roman" w:hAnsi="Times New Roman" w:cs="Times New Roman"/>
          <w:sz w:val="24"/>
          <w:szCs w:val="24"/>
        </w:rPr>
        <w:t>whether vitamin D deficiency precedes OH</w:t>
      </w:r>
      <w:r w:rsidR="007D6278">
        <w:rPr>
          <w:rFonts w:ascii="Times New Roman" w:hAnsi="Times New Roman" w:cs="Times New Roman"/>
          <w:sz w:val="24"/>
          <w:szCs w:val="24"/>
        </w:rPr>
        <w:t>.</w:t>
      </w:r>
      <w:r>
        <w:rPr>
          <w:rFonts w:ascii="Times New Roman" w:hAnsi="Times New Roman" w:cs="Times New Roman"/>
          <w:sz w:val="24"/>
          <w:szCs w:val="24"/>
        </w:rPr>
        <w:t xml:space="preserve"> </w:t>
      </w:r>
      <w:r w:rsidR="00053384">
        <w:rPr>
          <w:rFonts w:ascii="Times New Roman" w:hAnsi="Times New Roman" w:cs="Times New Roman"/>
          <w:sz w:val="24"/>
          <w:szCs w:val="24"/>
        </w:rPr>
        <w:t>I</w:t>
      </w:r>
      <w:r w:rsidR="00FD56EF">
        <w:rPr>
          <w:rFonts w:ascii="Times New Roman" w:hAnsi="Times New Roman" w:cs="Times New Roman"/>
          <w:sz w:val="24"/>
          <w:szCs w:val="24"/>
        </w:rPr>
        <w:t xml:space="preserve">nterventional studies may </w:t>
      </w:r>
      <w:r w:rsidR="00FD56EF" w:rsidRPr="0079125A">
        <w:rPr>
          <w:rFonts w:ascii="Times New Roman" w:hAnsi="Times New Roman" w:cs="Times New Roman"/>
          <w:sz w:val="24"/>
          <w:szCs w:val="24"/>
        </w:rPr>
        <w:t xml:space="preserve">clarify whether vitamin D supplementation could be an effective preventative measure against OH, or whether it may be a treatment option for those </w:t>
      </w:r>
      <w:r w:rsidR="005625CA">
        <w:rPr>
          <w:rFonts w:ascii="Times New Roman" w:hAnsi="Times New Roman" w:cs="Times New Roman"/>
          <w:sz w:val="24"/>
          <w:szCs w:val="24"/>
        </w:rPr>
        <w:t xml:space="preserve">who have OH. </w:t>
      </w:r>
      <w:r w:rsidR="00FD56EF">
        <w:rPr>
          <w:rFonts w:ascii="Times New Roman" w:hAnsi="Times New Roman" w:cs="Times New Roman"/>
          <w:sz w:val="24"/>
          <w:szCs w:val="24"/>
        </w:rPr>
        <w:t xml:space="preserve"> </w:t>
      </w:r>
    </w:p>
    <w:p w:rsidR="00FD56EF" w:rsidRPr="0079125A" w:rsidRDefault="00FD56EF" w:rsidP="00FD56EF">
      <w:pPr>
        <w:spacing w:line="480" w:lineRule="auto"/>
        <w:rPr>
          <w:rFonts w:ascii="Times New Roman" w:hAnsi="Times New Roman" w:cs="Times New Roman"/>
          <w:sz w:val="24"/>
          <w:szCs w:val="24"/>
        </w:rPr>
      </w:pPr>
      <w:r w:rsidRPr="0079125A">
        <w:rPr>
          <w:rFonts w:ascii="Times New Roman" w:hAnsi="Times New Roman" w:cs="Times New Roman"/>
          <w:sz w:val="24"/>
          <w:szCs w:val="24"/>
          <w:u w:val="single"/>
        </w:rPr>
        <w:t>Conflict(s) of Interest/Disclosure(s)</w:t>
      </w:r>
      <w:r w:rsidRPr="0079125A">
        <w:rPr>
          <w:rFonts w:ascii="Times New Roman" w:hAnsi="Times New Roman" w:cs="Times New Roman"/>
          <w:sz w:val="24"/>
          <w:szCs w:val="24"/>
        </w:rPr>
        <w:br/>
        <w:t>None</w:t>
      </w:r>
      <w:r w:rsidRPr="0079125A">
        <w:rPr>
          <w:rFonts w:ascii="Times New Roman" w:hAnsi="Times New Roman" w:cs="Times New Roman"/>
          <w:sz w:val="24"/>
          <w:szCs w:val="24"/>
        </w:rPr>
        <w:br w:type="page"/>
      </w:r>
    </w:p>
    <w:p w:rsidR="00FD56EF" w:rsidRPr="0079125A" w:rsidRDefault="00FD56EF" w:rsidP="00FD56EF">
      <w:pPr>
        <w:spacing w:line="480" w:lineRule="auto"/>
        <w:rPr>
          <w:rFonts w:ascii="Times New Roman" w:hAnsi="Times New Roman" w:cs="Times New Roman"/>
          <w:sz w:val="24"/>
          <w:szCs w:val="24"/>
        </w:rPr>
      </w:pPr>
      <w:r w:rsidRPr="0079125A">
        <w:rPr>
          <w:rFonts w:ascii="Times New Roman" w:hAnsi="Times New Roman" w:cs="Times New Roman"/>
          <w:sz w:val="24"/>
          <w:szCs w:val="24"/>
        </w:rPr>
        <w:lastRenderedPageBreak/>
        <w:t>References</w:t>
      </w:r>
    </w:p>
    <w:p w:rsidR="00FD56EF" w:rsidRPr="005A0A49" w:rsidRDefault="00FD56EF" w:rsidP="00FD56EF">
      <w:pPr>
        <w:pStyle w:val="EndNoteBibliography"/>
        <w:spacing w:after="0"/>
      </w:pPr>
      <w:r w:rsidRPr="005A0A49">
        <w:t>1.</w:t>
      </w:r>
      <w:r w:rsidRPr="005A0A49">
        <w:tab/>
        <w:t>Annweiler C, Schott AM, Rolland Y, Beauchet O. Vitamin D deficiency is associated with orthostatic hypotension in oldest-old women. Journal of Internal Medicine. 2014;276(3):285-95.</w:t>
      </w:r>
    </w:p>
    <w:p w:rsidR="00FD56EF" w:rsidRPr="005A0A49" w:rsidRDefault="00FD56EF" w:rsidP="00FD56EF">
      <w:pPr>
        <w:pStyle w:val="EndNoteBibliography"/>
        <w:spacing w:after="0"/>
      </w:pPr>
      <w:r w:rsidRPr="005A0A49">
        <w:t>2.</w:t>
      </w:r>
      <w:r w:rsidRPr="005A0A49">
        <w:tab/>
        <w:t>Duval GT, Brangier A, Barré J, Launay CP, Beauchet O, Annweiler C. Vitamin D Deficiency and Incident Onset of Orthostatic Hypotension in Older Adults: Preliminary Results from the ‘MERE’ Study. Journal of the American Geriatrics Society. 2015;63(6):1245-7.</w:t>
      </w:r>
    </w:p>
    <w:p w:rsidR="00FD56EF" w:rsidRPr="005A0A49" w:rsidRDefault="00FD56EF" w:rsidP="00FD56EF">
      <w:pPr>
        <w:pStyle w:val="EndNoteBibliography"/>
        <w:spacing w:after="0"/>
      </w:pPr>
      <w:r w:rsidRPr="005A0A49">
        <w:t>3.</w:t>
      </w:r>
      <w:r w:rsidRPr="005A0A49">
        <w:tab/>
        <w:t>McCarroll KG, Robinson DJ, Coughlan A, Healy M, Kenny RA, Cunningham C. Vitamin D and orthostatic hypotension. Age and Ageing. 2012;41(6):810-3.</w:t>
      </w:r>
    </w:p>
    <w:p w:rsidR="00FD56EF" w:rsidRPr="005A0A49" w:rsidRDefault="00FD56EF" w:rsidP="00FD56EF">
      <w:pPr>
        <w:pStyle w:val="EndNoteBibliography"/>
        <w:spacing w:after="0"/>
      </w:pPr>
      <w:r w:rsidRPr="005A0A49">
        <w:t>4.</w:t>
      </w:r>
      <w:r w:rsidRPr="005A0A49">
        <w:tab/>
        <w:t>Ometto F, Stubbs B, Annweiler C, Duval GT, Jang W, Kim H-T, et al. Hypovitaminosis D and orthostatic hypotension: a systematic review and meta-analysis. Journal of Hypertension. 2016;34(6):1036-43.</w:t>
      </w:r>
    </w:p>
    <w:p w:rsidR="00FD56EF" w:rsidRPr="005A0A49" w:rsidRDefault="00FD56EF" w:rsidP="00FD56EF">
      <w:pPr>
        <w:pStyle w:val="EndNoteBibliography"/>
        <w:spacing w:after="0"/>
      </w:pPr>
      <w:r w:rsidRPr="005A0A49">
        <w:t>5.</w:t>
      </w:r>
      <w:r w:rsidRPr="005A0A49">
        <w:tab/>
        <w:t>Soysal P, Yay A, Isik AT. Does vitamin D deficiency increase orthostatic hypotension risk in the elderly patients? Archives of Gerontology and Geriatrics. 2014;59(1):74-7.</w:t>
      </w:r>
    </w:p>
    <w:p w:rsidR="00FD56EF" w:rsidRPr="005A0A49" w:rsidRDefault="00FD56EF" w:rsidP="00FD56EF">
      <w:pPr>
        <w:pStyle w:val="EndNoteBibliography"/>
        <w:spacing w:after="0"/>
      </w:pPr>
      <w:r w:rsidRPr="005A0A49">
        <w:t>6.</w:t>
      </w:r>
      <w:r w:rsidRPr="005A0A49">
        <w:tab/>
        <w:t>Veronese N, Bolzetta F, De Rui M, Zambon S, Corti M-C, Musacchio E, et al. Serum 25-Hydroxyvitamin D and Orthostatic Hypotension in Old People. Hypertension. 2014;64(3):481-6.</w:t>
      </w:r>
    </w:p>
    <w:p w:rsidR="00FD56EF" w:rsidRPr="005A0A49" w:rsidRDefault="00FD56EF" w:rsidP="00FD56EF">
      <w:pPr>
        <w:pStyle w:val="EndNoteBibliography"/>
        <w:spacing w:after="0"/>
      </w:pPr>
      <w:r w:rsidRPr="005A0A49">
        <w:t>7.</w:t>
      </w:r>
      <w:r w:rsidRPr="005A0A49">
        <w:tab/>
        <w:t>Veronese N, Trevisan C, Bolzetta F, De Rui M, Zambon S, Musacchio E, et al. Hypovitaminosis D predicts the onset of orthostatic hypotension in older adults. Journal of the American Society of Hypertension. 2016;10(9):724-32.</w:t>
      </w:r>
    </w:p>
    <w:p w:rsidR="00FD56EF" w:rsidRPr="005A0A49" w:rsidRDefault="00FD56EF" w:rsidP="00FD56EF">
      <w:pPr>
        <w:pStyle w:val="EndNoteBibliography"/>
        <w:spacing w:after="0"/>
      </w:pPr>
      <w:r w:rsidRPr="005A0A49">
        <w:t>8.</w:t>
      </w:r>
      <w:r w:rsidRPr="005A0A49">
        <w:tab/>
        <w:t>Spiro A, Buttriss JL. Vitamin D: An overview of vitamin D status and intake in Europe. Nutrition bulletin. 2014;39(4):322-50.</w:t>
      </w:r>
    </w:p>
    <w:p w:rsidR="00FD56EF" w:rsidRPr="005A0A49" w:rsidRDefault="00FD56EF" w:rsidP="00FD56EF">
      <w:pPr>
        <w:pStyle w:val="EndNoteBibliography"/>
        <w:spacing w:after="0"/>
      </w:pPr>
      <w:r w:rsidRPr="005A0A49">
        <w:t>9.</w:t>
      </w:r>
      <w:r w:rsidRPr="005A0A49">
        <w:tab/>
        <w:t>Saedon NIz, Pin Tan M, Frith J. The Prevalence of Orthostatic Hypotension: A Systematic Review and Meta-Analysis. The Journals of Gerontology: Series A. 2018.</w:t>
      </w:r>
    </w:p>
    <w:p w:rsidR="00FD56EF" w:rsidRPr="005A0A49" w:rsidRDefault="00FD56EF" w:rsidP="00FD56EF">
      <w:pPr>
        <w:pStyle w:val="EndNoteBibliography"/>
        <w:spacing w:after="0"/>
      </w:pPr>
      <w:r w:rsidRPr="005A0A49">
        <w:t>10.</w:t>
      </w:r>
      <w:r w:rsidRPr="005A0A49">
        <w:tab/>
        <w:t>Mol A, Bui Hoang PTS, Sharmin S, Reijnierse EM, van Wezel RJA, Meskers CGM, et al. Orthostatic Hypotension and Falls in Older Adults: A Systematic Review and Meta-analysis. Journal of the American Medical Directors Association. 2019;20(5):589-97.e5.</w:t>
      </w:r>
    </w:p>
    <w:p w:rsidR="00FD56EF" w:rsidRPr="005A0A49" w:rsidRDefault="00FD56EF" w:rsidP="00FD56EF">
      <w:pPr>
        <w:pStyle w:val="EndNoteBibliography"/>
        <w:spacing w:after="0"/>
      </w:pPr>
      <w:r w:rsidRPr="005A0A49">
        <w:t>11.</w:t>
      </w:r>
      <w:r w:rsidRPr="005A0A49">
        <w:tab/>
        <w:t>Hamrefors V, Härstedt M, Holmberg A, Rogmark C, Sutton R, Melander O, et al. Orthostatic Hypotension and Elevated Resting Heart Rate Predict Low-Energy Fractures in the Population: The Malmö Preventive Project. PLoS One. 2016;11(4):e0154249-e.</w:t>
      </w:r>
    </w:p>
    <w:p w:rsidR="00FD56EF" w:rsidRPr="005A0A49" w:rsidRDefault="00FD56EF" w:rsidP="00FD56EF">
      <w:pPr>
        <w:pStyle w:val="EndNoteBibliography"/>
        <w:spacing w:after="0"/>
      </w:pPr>
      <w:r w:rsidRPr="005A0A49">
        <w:t>12.</w:t>
      </w:r>
      <w:r w:rsidRPr="005A0A49">
        <w:tab/>
        <w:t>Ricci F, Fedorowski A, Radico F, Romanello M, Tatasciore A, Di Nicola M, et al. Cardiovascular morbidity and mortality related to orthostatic hypotension: a meta-analysis of prospective observational studies. European Heart Journal. 2015;36(25):1609-17.</w:t>
      </w:r>
    </w:p>
    <w:p w:rsidR="00FD56EF" w:rsidRPr="005A0A49" w:rsidRDefault="00FD56EF" w:rsidP="00FD56EF">
      <w:pPr>
        <w:pStyle w:val="EndNoteBibliography"/>
        <w:spacing w:after="0"/>
      </w:pPr>
      <w:r w:rsidRPr="005A0A49">
        <w:t>13.</w:t>
      </w:r>
      <w:r w:rsidRPr="005A0A49">
        <w:tab/>
        <w:t>Richardson J, Kerr SRJ, Shaw F, Kenny RA, O'Brien JT, Thomas AJ. A Study of Orthostatic Hypotension in Late-Life Depression. The American Journal of Geriatric Psychiatry. 2009;17(11):996-9.</w:t>
      </w:r>
    </w:p>
    <w:p w:rsidR="00FD56EF" w:rsidRPr="005A0A49" w:rsidRDefault="00FD56EF" w:rsidP="00FD56EF">
      <w:pPr>
        <w:pStyle w:val="EndNoteBibliography"/>
        <w:spacing w:after="0"/>
      </w:pPr>
      <w:r w:rsidRPr="005A0A49">
        <w:t>14.</w:t>
      </w:r>
      <w:r w:rsidRPr="005A0A49">
        <w:tab/>
        <w:t>Min M, Shi T, Sun C, Liang M, Zhang Y, Wu Y, et al. The association between orthostatic hypotension and dementia: A meta-analysis of prospective cohort studies. International Journal of Geriatric Psychiatry. 2018;33(12):1541-7.</w:t>
      </w:r>
    </w:p>
    <w:p w:rsidR="00FD56EF" w:rsidRPr="005A0A49" w:rsidRDefault="00FD56EF" w:rsidP="00FD56EF">
      <w:pPr>
        <w:pStyle w:val="EndNoteBibliography"/>
        <w:spacing w:after="0"/>
      </w:pPr>
      <w:r w:rsidRPr="005A0A49">
        <w:t>15.</w:t>
      </w:r>
      <w:r w:rsidRPr="005A0A49">
        <w:tab/>
        <w:t>Juraschek SP, Daya N, Rawlings AM, Appel LJ, Miller ER, 3rd, Windham BG, et al. Association of History of Dizziness and Long-term Adverse Outcomes With Early vs Later Orthostatic Hypotension Assessment Times in Middle-aged Adults. JAMA Intern Med. 2017;177(9):1316-23.</w:t>
      </w:r>
    </w:p>
    <w:p w:rsidR="00FD56EF" w:rsidRPr="005A0A49" w:rsidRDefault="00FD56EF" w:rsidP="00FD56EF">
      <w:pPr>
        <w:pStyle w:val="EndNoteBibliography"/>
        <w:spacing w:after="0"/>
      </w:pPr>
      <w:r w:rsidRPr="005A0A49">
        <w:t>16.</w:t>
      </w:r>
      <w:r w:rsidRPr="005A0A49">
        <w:tab/>
        <w:t>Luukinen H, Koski K, Laippala P, Airaksinen KEJ. Orthostatic hypotension and the risk of myocardial infarction in the home-dwelling elderly. Journal of Internal Medicine. 2004;255(4):486-93.</w:t>
      </w:r>
    </w:p>
    <w:p w:rsidR="00FD56EF" w:rsidRPr="005A0A49" w:rsidRDefault="00FD56EF" w:rsidP="00FD56EF">
      <w:pPr>
        <w:pStyle w:val="EndNoteBibliography"/>
        <w:spacing w:after="0"/>
      </w:pPr>
      <w:r w:rsidRPr="005A0A49">
        <w:t>17.</w:t>
      </w:r>
      <w:r w:rsidRPr="005A0A49">
        <w:tab/>
        <w:t>Gangavati A, Hajjar I, Quach L, Jones RN, Kiely DK, Gagnon P, et al. Hypertension, orthostatic hypotension, and the risk of falls in a community-dwelling elderly population: the maintenance of balance, independent living, intellect, and zest in the elderly of Boston study. Journal of the American Geriatrics Society. 2011;59(3):383-9.</w:t>
      </w:r>
    </w:p>
    <w:p w:rsidR="00FD56EF" w:rsidRPr="005A0A49" w:rsidRDefault="00FD56EF" w:rsidP="00FD56EF">
      <w:pPr>
        <w:pStyle w:val="EndNoteBibliography"/>
        <w:spacing w:after="0"/>
      </w:pPr>
      <w:r w:rsidRPr="005A0A49">
        <w:lastRenderedPageBreak/>
        <w:t>18.</w:t>
      </w:r>
      <w:r w:rsidRPr="005A0A49">
        <w:tab/>
        <w:t>Laird Eamon J, McNicholas T, O’Halloran Aisling M, Healy M, Molloy Anne M, Carey D, et al. Vitamin D Status Is Not Associated With Orthostatic Hypotension in Older Adults. Hypertension. 2019;</w:t>
      </w:r>
      <w:r w:rsidR="00523709">
        <w:t>74(3):639-644</w:t>
      </w:r>
      <w:r w:rsidRPr="005A0A49">
        <w:t>.</w:t>
      </w:r>
    </w:p>
    <w:p w:rsidR="00FD56EF" w:rsidRPr="005A0A49" w:rsidRDefault="00FD56EF" w:rsidP="00FD56EF">
      <w:pPr>
        <w:pStyle w:val="EndNoteBibliography"/>
        <w:spacing w:after="0"/>
      </w:pPr>
      <w:r w:rsidRPr="005A0A49">
        <w:t>30.</w:t>
      </w:r>
      <w:r w:rsidRPr="005A0A49">
        <w:tab/>
        <w:t>Wannamethee SG, Welsh P, Papacosta O, Lennon L, Whincup Peter H, Sattar N. Elevated Parathyroid Hormone, But Not Vitamin D Deficiency, Is Associated With Increased Risk of Heart Failure in Older Men With and Without Cardiovascular Disease. Circulation: Heart Failure. 2014;7(5):732-9.</w:t>
      </w:r>
    </w:p>
    <w:p w:rsidR="00FD56EF" w:rsidRPr="005A0A49" w:rsidRDefault="00FD56EF" w:rsidP="00FD56EF">
      <w:pPr>
        <w:pStyle w:val="EndNoteBibliography"/>
        <w:spacing w:after="0"/>
      </w:pPr>
      <w:r w:rsidRPr="005A0A49">
        <w:t>32.</w:t>
      </w:r>
      <w:r w:rsidRPr="005A0A49">
        <w:tab/>
        <w:t>Freeman R, Wieling W, Axelrod FB, Benditt DG, Benarroch E, Biaggioni I, et al. Consensus statement on the definition of orthostatic hypotension, neurally mediated syncope and the postural tachycardia syndrome. Autonomic Neuroscience. 2011;161(1):46-8.</w:t>
      </w:r>
    </w:p>
    <w:p w:rsidR="00FD56EF" w:rsidRPr="005A0A49" w:rsidRDefault="00FD56EF" w:rsidP="00FD56EF">
      <w:pPr>
        <w:pStyle w:val="EndNoteBibliography"/>
        <w:spacing w:after="0"/>
      </w:pPr>
      <w:r w:rsidRPr="005A0A49">
        <w:t>33.</w:t>
      </w:r>
      <w:r w:rsidRPr="005A0A49">
        <w:tab/>
        <w:t xml:space="preserve">National Institue for Health and Care Excellence Clinical Knowledge Summaries. Vitamin D deficiency in adults - treatment and prevention: How should I diagnose vitamin D deficiency in adults? </w:t>
      </w:r>
      <w:r w:rsidR="00E502CC">
        <w:t xml:space="preserve">Available from: </w:t>
      </w:r>
      <w:r w:rsidRPr="00FD56EF">
        <w:t>https://cks.nice.org.uk/vitamin-d-deficiency-in-adults-treatment-and-prevention#!diagnosisSub:1</w:t>
      </w:r>
      <w:r w:rsidR="00E502CC">
        <w:t xml:space="preserve"> [Accessed 17</w:t>
      </w:r>
      <w:r w:rsidR="00E502CC">
        <w:rPr>
          <w:vertAlign w:val="superscript"/>
        </w:rPr>
        <w:t xml:space="preserve">th </w:t>
      </w:r>
      <w:r w:rsidR="00E502CC">
        <w:t>December 2019]</w:t>
      </w:r>
      <w:r w:rsidRPr="005A0A49">
        <w:t>.</w:t>
      </w:r>
    </w:p>
    <w:p w:rsidR="00FD56EF" w:rsidRPr="005A0A49" w:rsidRDefault="00FD56EF" w:rsidP="00FD56EF">
      <w:pPr>
        <w:pStyle w:val="EndNoteBibliography"/>
        <w:spacing w:after="0"/>
      </w:pPr>
      <w:r w:rsidRPr="005A0A49">
        <w:t>38.</w:t>
      </w:r>
      <w:r w:rsidRPr="005A0A49">
        <w:tab/>
        <w:t>Al Mheid I, Quyyumi AA. Vitamin D and Cardiovascular Disease. Journal of the American College of Cardiology. 2017;70(1):89.</w:t>
      </w:r>
    </w:p>
    <w:p w:rsidR="00FD56EF" w:rsidRPr="005A0A49" w:rsidRDefault="00FD56EF" w:rsidP="00FD56EF">
      <w:pPr>
        <w:pStyle w:val="EndNoteBibliography"/>
        <w:spacing w:after="0"/>
      </w:pPr>
      <w:r w:rsidRPr="005A0A49">
        <w:t>39.</w:t>
      </w:r>
      <w:r w:rsidRPr="005A0A49">
        <w:tab/>
        <w:t>Tarcin O, Yavuz DG, Ozben B, Telli A, Ogunc AV, Yuksel M, et al. Effect of Vitamin D Deficiency and Replacement on Endothelial Function in Asymptomatic Subjects. The Journal of Clinical Endocrinology &amp; Metabolism. 2009;94(10):4023-30.</w:t>
      </w:r>
    </w:p>
    <w:p w:rsidR="00FD56EF" w:rsidRPr="005A0A49" w:rsidRDefault="00FD56EF" w:rsidP="00FD56EF">
      <w:pPr>
        <w:pStyle w:val="EndNoteBibliography"/>
        <w:spacing w:after="0"/>
      </w:pPr>
      <w:r w:rsidRPr="005A0A49">
        <w:t>40.</w:t>
      </w:r>
      <w:r w:rsidRPr="005A0A49">
        <w:tab/>
        <w:t>Forman John P, Williams Jonathan S, Fisher Naomi DL. Plasma 25-Hydroxyvitamin D and Regulation of the Renin-Angiotensin System in Humans. Hypertension. 2010;55(5):1283-8.</w:t>
      </w:r>
    </w:p>
    <w:p w:rsidR="00A25B0D" w:rsidRPr="005A0A49" w:rsidRDefault="00FD56EF" w:rsidP="00A25B0D">
      <w:pPr>
        <w:pStyle w:val="EndNoteBibliography"/>
        <w:spacing w:after="0"/>
      </w:pPr>
      <w:r w:rsidRPr="005A0A49">
        <w:t>41.</w:t>
      </w:r>
      <w:r w:rsidRPr="005A0A49">
        <w:tab/>
        <w:t>Wong Michael Sze K, Leisegang Matthias S, Kruse C, Vogel J, Schürmann C, Dehne N, et al. Vitamin D Promotes Vascular Regeneration. Circulation. 2014;130(12):976-86.</w:t>
      </w:r>
      <w:r w:rsidR="00A25B0D">
        <w:br/>
      </w:r>
      <w:r w:rsidR="00A25B0D" w:rsidRPr="005A0A49">
        <w:t>4</w:t>
      </w:r>
      <w:r w:rsidR="00A25B0D">
        <w:t>2</w:t>
      </w:r>
      <w:r w:rsidR="00A25B0D" w:rsidRPr="005A0A49">
        <w:t>.</w:t>
      </w:r>
      <w:r w:rsidR="00A25B0D" w:rsidRPr="005A0A49">
        <w:tab/>
        <w:t>Witham MD, Price RJG, Struthers AD, Donnan PT, Messow M, McConnachie A, et al. Effect of vitamin D supplementation on orthostatic hypotension. Journal of Hypertension. 2014;32(8):1693-9.</w:t>
      </w:r>
    </w:p>
    <w:p w:rsidR="00FD56EF" w:rsidRPr="005A0A49" w:rsidRDefault="00FD56EF" w:rsidP="00FD56EF">
      <w:pPr>
        <w:pStyle w:val="EndNoteBibliography"/>
        <w:spacing w:after="0"/>
      </w:pPr>
      <w:r w:rsidRPr="005A0A49">
        <w:t>4</w:t>
      </w:r>
      <w:r w:rsidR="00A25B0D">
        <w:t>3</w:t>
      </w:r>
      <w:r w:rsidRPr="005A0A49">
        <w:t>.</w:t>
      </w:r>
      <w:r w:rsidRPr="005A0A49">
        <w:tab/>
        <w:t>Binkley N, Ramamurthy R, Krueger D. Low vitamin D status: definition, prevalence, consequences, and correction. Endocrinol Metab Clin North Am. 2010;39(2):287-contents.</w:t>
      </w:r>
    </w:p>
    <w:p w:rsidR="00FD56EF" w:rsidRPr="005A0A49" w:rsidRDefault="00FD56EF" w:rsidP="00FD56EF">
      <w:pPr>
        <w:pStyle w:val="EndNoteBibliography"/>
        <w:spacing w:after="0"/>
      </w:pPr>
      <w:r w:rsidRPr="005A0A49">
        <w:t>4</w:t>
      </w:r>
      <w:r w:rsidR="00A25B0D">
        <w:t>4</w:t>
      </w:r>
      <w:r w:rsidRPr="005A0A49">
        <w:t>.</w:t>
      </w:r>
      <w:r w:rsidRPr="005A0A49">
        <w:tab/>
        <w:t>National Institutes of Health. Vitamin D: Fact sheet for health professionals: US Department of Health and Human Services</w:t>
      </w:r>
      <w:r w:rsidR="00E502CC">
        <w:t xml:space="preserve">. </w:t>
      </w:r>
      <w:r w:rsidRPr="005A0A49">
        <w:t xml:space="preserve">Available from: </w:t>
      </w:r>
      <w:r w:rsidRPr="00FD56EF">
        <w:t>https://ods.od.nih.gov/factsheets/VitaminD-HealthProfessional/</w:t>
      </w:r>
      <w:r w:rsidR="00E502CC">
        <w:t xml:space="preserve"> [Accessed 17</w:t>
      </w:r>
      <w:r w:rsidR="00E502CC" w:rsidRPr="00E502CC">
        <w:rPr>
          <w:vertAlign w:val="superscript"/>
        </w:rPr>
        <w:t>th</w:t>
      </w:r>
      <w:r w:rsidR="00E502CC">
        <w:t xml:space="preserve"> December 2019]</w:t>
      </w:r>
      <w:r w:rsidRPr="005A0A49">
        <w:t>.</w:t>
      </w:r>
    </w:p>
    <w:p w:rsidR="00FD56EF" w:rsidRPr="005A0A49" w:rsidRDefault="00FD56EF" w:rsidP="00FD56EF">
      <w:pPr>
        <w:pStyle w:val="EndNoteBibliography"/>
        <w:spacing w:after="0"/>
      </w:pPr>
      <w:r w:rsidRPr="005A0A49">
        <w:t>45.</w:t>
      </w:r>
      <w:r w:rsidRPr="005A0A49">
        <w:tab/>
        <w:t>Zhou J, Huang P, Liu P, Hao Q, Chen S, Dong B, et al. Association of vitamin D deficiency and frailty: A systematic review and meta-analysis. Maturitas. 2016;94:70-6.</w:t>
      </w:r>
    </w:p>
    <w:p w:rsidR="00FD56EF" w:rsidRPr="005A0A49" w:rsidRDefault="00FD56EF" w:rsidP="00FD56EF">
      <w:pPr>
        <w:pStyle w:val="EndNoteBibliography"/>
      </w:pPr>
      <w:r w:rsidRPr="005A0A49">
        <w:t>46.</w:t>
      </w:r>
      <w:r w:rsidRPr="005A0A49">
        <w:tab/>
        <w:t>Liguori I, Russo G, Coscia V, Aran L, Bulli G, Curcio F, et al. Orthostatic Hypotension in the Elderly: A Marker of Clinical Frailty? Journal of the American Medical Directors Association. 2018;19(9):779-85.</w:t>
      </w:r>
    </w:p>
    <w:p w:rsidR="00FD56EF" w:rsidRDefault="00FD56EF" w:rsidP="00FD56EF">
      <w:pPr>
        <w:pStyle w:val="EndNoteBibliography"/>
        <w:spacing w:line="480" w:lineRule="auto"/>
        <w:rPr>
          <w:rFonts w:ascii="Times New Roman" w:hAnsi="Times New Roman" w:cs="Times New Roman"/>
          <w:sz w:val="24"/>
          <w:szCs w:val="24"/>
        </w:rPr>
      </w:pPr>
    </w:p>
    <w:p w:rsidR="00FD56EF" w:rsidRDefault="00FD56EF">
      <w:pPr>
        <w:rPr>
          <w:rFonts w:ascii="Times New Roman" w:hAnsi="Times New Roman" w:cs="Times New Roman"/>
          <w:noProof/>
          <w:sz w:val="24"/>
          <w:szCs w:val="24"/>
        </w:rPr>
      </w:pPr>
      <w:r>
        <w:rPr>
          <w:rFonts w:ascii="Times New Roman" w:hAnsi="Times New Roman" w:cs="Times New Roman"/>
          <w:sz w:val="24"/>
          <w:szCs w:val="24"/>
        </w:rPr>
        <w:br w:type="page"/>
      </w:r>
    </w:p>
    <w:p w:rsidR="00527418" w:rsidRPr="00E13977" w:rsidRDefault="00527418" w:rsidP="00527418">
      <w:pPr>
        <w:spacing w:line="480" w:lineRule="auto"/>
        <w:rPr>
          <w:rFonts w:ascii="Times New Roman" w:hAnsi="Times New Roman" w:cs="Times New Roman"/>
          <w:sz w:val="24"/>
          <w:szCs w:val="24"/>
        </w:rPr>
      </w:pPr>
      <w:r w:rsidRPr="00E13977">
        <w:rPr>
          <w:rFonts w:ascii="Times New Roman" w:hAnsi="Times New Roman" w:cs="Times New Roman"/>
          <w:sz w:val="24"/>
          <w:szCs w:val="24"/>
        </w:rPr>
        <w:lastRenderedPageBreak/>
        <w:t xml:space="preserve">Figure </w:t>
      </w:r>
      <w:r w:rsidRPr="00E13977">
        <w:rPr>
          <w:rFonts w:ascii="Times New Roman" w:hAnsi="Times New Roman" w:cs="Times New Roman"/>
          <w:sz w:val="24"/>
          <w:szCs w:val="24"/>
        </w:rPr>
        <w:fldChar w:fldCharType="begin"/>
      </w:r>
      <w:r w:rsidRPr="00E13977">
        <w:rPr>
          <w:rFonts w:ascii="Times New Roman" w:hAnsi="Times New Roman" w:cs="Times New Roman"/>
          <w:sz w:val="24"/>
          <w:szCs w:val="24"/>
        </w:rPr>
        <w:instrText xml:space="preserve"> SEQ Figure \* ARABIC </w:instrText>
      </w:r>
      <w:r w:rsidRPr="00E13977">
        <w:rPr>
          <w:rFonts w:ascii="Times New Roman" w:hAnsi="Times New Roman" w:cs="Times New Roman"/>
          <w:sz w:val="24"/>
          <w:szCs w:val="24"/>
        </w:rPr>
        <w:fldChar w:fldCharType="separate"/>
      </w:r>
      <w:r>
        <w:rPr>
          <w:rFonts w:ascii="Times New Roman" w:hAnsi="Times New Roman" w:cs="Times New Roman"/>
          <w:noProof/>
          <w:sz w:val="24"/>
          <w:szCs w:val="24"/>
        </w:rPr>
        <w:t>1</w:t>
      </w:r>
      <w:r w:rsidRPr="00E13977">
        <w:rPr>
          <w:rFonts w:ascii="Times New Roman" w:hAnsi="Times New Roman" w:cs="Times New Roman"/>
          <w:sz w:val="24"/>
          <w:szCs w:val="24"/>
        </w:rPr>
        <w:fldChar w:fldCharType="end"/>
      </w:r>
      <w:r w:rsidRPr="00E13977">
        <w:rPr>
          <w:rFonts w:ascii="Times New Roman" w:hAnsi="Times New Roman" w:cs="Times New Roman"/>
          <w:sz w:val="24"/>
          <w:szCs w:val="24"/>
        </w:rPr>
        <w:t>:</w:t>
      </w:r>
      <w:r>
        <w:rPr>
          <w:rFonts w:ascii="Times New Roman" w:hAnsi="Times New Roman" w:cs="Times New Roman"/>
          <w:sz w:val="24"/>
          <w:szCs w:val="24"/>
        </w:rPr>
        <w:t xml:space="preserve"> Fit plots generated through loess regression for the probability between OH and vitamin D (A) </w:t>
      </w:r>
      <w:r w:rsidRPr="009600F5">
        <w:rPr>
          <w:rFonts w:ascii="Times New Roman" w:hAnsi="Times New Roman" w:cs="Times New Roman"/>
          <w:sz w:val="24"/>
          <w:szCs w:val="24"/>
        </w:rPr>
        <w:t>and</w:t>
      </w:r>
      <w:r>
        <w:rPr>
          <w:rFonts w:ascii="Times New Roman" w:hAnsi="Times New Roman" w:cs="Times New Roman"/>
          <w:sz w:val="24"/>
          <w:szCs w:val="24"/>
        </w:rPr>
        <w:t xml:space="preserve"> OH and PTH (B).</w:t>
      </w:r>
    </w:p>
    <w:p w:rsidR="00527418" w:rsidRDefault="00527418" w:rsidP="00527418">
      <w:r>
        <w:rPr>
          <w:rFonts w:ascii="Times New Roman" w:hAnsi="Times New Roman" w:cs="Times New Roman"/>
          <w:noProof/>
          <w:sz w:val="24"/>
          <w:szCs w:val="24"/>
          <w:lang w:val="en-US"/>
        </w:rPr>
        <w:drawing>
          <wp:inline distT="0" distB="0" distL="0" distR="0" wp14:anchorId="3D9475BD" wp14:editId="0375B333">
            <wp:extent cx="4447540" cy="6496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7540" cy="6496050"/>
                    </a:xfrm>
                    <a:prstGeom prst="rect">
                      <a:avLst/>
                    </a:prstGeom>
                    <a:noFill/>
                    <a:ln>
                      <a:noFill/>
                    </a:ln>
                  </pic:spPr>
                </pic:pic>
              </a:graphicData>
            </a:graphic>
          </wp:inline>
        </w:drawing>
      </w:r>
    </w:p>
    <w:p w:rsidR="00527418" w:rsidRDefault="00527418" w:rsidP="00527418">
      <w:pPr>
        <w:rPr>
          <w:rFonts w:ascii="Times New Roman" w:hAnsi="Times New Roman" w:cs="Times New Roman"/>
          <w:sz w:val="24"/>
          <w:szCs w:val="24"/>
        </w:rPr>
      </w:pPr>
    </w:p>
    <w:p w:rsidR="00527418" w:rsidRDefault="00527418">
      <w:pPr>
        <w:rPr>
          <w:rFonts w:ascii="Times New Roman" w:hAnsi="Times New Roman" w:cs="Times New Roman"/>
          <w:sz w:val="20"/>
          <w:szCs w:val="20"/>
        </w:rPr>
      </w:pPr>
      <w:r>
        <w:rPr>
          <w:rFonts w:ascii="Times New Roman" w:hAnsi="Times New Roman" w:cs="Times New Roman"/>
          <w:sz w:val="20"/>
          <w:szCs w:val="20"/>
        </w:rPr>
        <w:br w:type="page"/>
      </w:r>
    </w:p>
    <w:p w:rsidR="00FD56EF" w:rsidRPr="000C362A" w:rsidRDefault="00FD56EF" w:rsidP="00FD56EF">
      <w:pPr>
        <w:rPr>
          <w:rFonts w:ascii="Times New Roman" w:hAnsi="Times New Roman" w:cs="Times New Roman"/>
          <w:sz w:val="24"/>
          <w:szCs w:val="24"/>
        </w:rPr>
      </w:pPr>
      <w:r w:rsidRPr="00E073A8">
        <w:rPr>
          <w:rFonts w:ascii="Times New Roman" w:hAnsi="Times New Roman" w:cs="Times New Roman"/>
          <w:sz w:val="20"/>
          <w:szCs w:val="20"/>
        </w:rPr>
        <w:lastRenderedPageBreak/>
        <w:t xml:space="preserve">Table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Table \* ARABIC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r w:rsidRPr="00E073A8">
        <w:rPr>
          <w:rFonts w:ascii="Times New Roman" w:hAnsi="Times New Roman" w:cs="Times New Roman"/>
          <w:sz w:val="20"/>
          <w:szCs w:val="20"/>
        </w:rPr>
        <w:t xml:space="preserve">: Baseline characteristics of the study population </w:t>
      </w:r>
      <w:r>
        <w:rPr>
          <w:rFonts w:ascii="Times New Roman" w:hAnsi="Times New Roman" w:cs="Times New Roman"/>
          <w:sz w:val="20"/>
          <w:szCs w:val="20"/>
        </w:rPr>
        <w:t>stratified by vitamin D status (nmol/L).</w:t>
      </w:r>
    </w:p>
    <w:tbl>
      <w:tblPr>
        <w:tblStyle w:val="PlainTable5"/>
        <w:tblW w:w="8910" w:type="dxa"/>
        <w:tblLook w:val="04A0" w:firstRow="1" w:lastRow="0" w:firstColumn="1" w:lastColumn="0" w:noHBand="0" w:noVBand="1"/>
      </w:tblPr>
      <w:tblGrid>
        <w:gridCol w:w="2880"/>
        <w:gridCol w:w="1620"/>
        <w:gridCol w:w="1890"/>
        <w:gridCol w:w="1620"/>
        <w:gridCol w:w="900"/>
      </w:tblGrid>
      <w:tr w:rsidR="00FD56EF" w:rsidRPr="00977044" w:rsidTr="00FD56E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880" w:type="dxa"/>
            <w:noWrap/>
            <w:hideMark/>
          </w:tcPr>
          <w:p w:rsidR="00FD56EF" w:rsidRPr="00977044" w:rsidRDefault="00FD56EF" w:rsidP="00FD56EF">
            <w:pPr>
              <w:spacing w:line="276" w:lineRule="auto"/>
              <w:jc w:val="left"/>
              <w:rPr>
                <w:rFonts w:ascii="Times New Roman" w:eastAsia="Times New Roman" w:hAnsi="Times New Roman" w:cs="Times New Roman"/>
                <w:b/>
                <w:bCs/>
                <w:color w:val="000000"/>
                <w:sz w:val="20"/>
                <w:szCs w:val="20"/>
                <w:lang w:val="en-US"/>
              </w:rPr>
            </w:pPr>
          </w:p>
        </w:tc>
        <w:tc>
          <w:tcPr>
            <w:tcW w:w="1620" w:type="dxa"/>
            <w:hideMark/>
          </w:tcPr>
          <w:p w:rsidR="00FD56EF" w:rsidRDefault="00FD56EF" w:rsidP="00FD56EF">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en-US"/>
              </w:rPr>
            </w:pPr>
            <w:r w:rsidRPr="00977044">
              <w:rPr>
                <w:rFonts w:ascii="Times New Roman" w:eastAsia="Times New Roman" w:hAnsi="Times New Roman" w:cs="Times New Roman"/>
                <w:b/>
                <w:bCs/>
                <w:color w:val="000000"/>
                <w:sz w:val="20"/>
                <w:szCs w:val="20"/>
                <w:lang w:val="en-US"/>
              </w:rPr>
              <w:t xml:space="preserve">Deficient: </w:t>
            </w:r>
          </w:p>
          <w:p w:rsidR="00FD56EF" w:rsidRPr="00977044" w:rsidRDefault="00FD56EF" w:rsidP="00FD56EF">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en-US"/>
              </w:rPr>
            </w:pPr>
            <w:r w:rsidRPr="00977044">
              <w:rPr>
                <w:rFonts w:ascii="Times New Roman" w:eastAsia="Times New Roman" w:hAnsi="Times New Roman" w:cs="Times New Roman"/>
                <w:b/>
                <w:bCs/>
                <w:color w:val="000000"/>
                <w:sz w:val="20"/>
                <w:szCs w:val="20"/>
                <w:lang w:val="en-US"/>
              </w:rPr>
              <w:t>&lt;25 (n=363)</w:t>
            </w:r>
          </w:p>
        </w:tc>
        <w:tc>
          <w:tcPr>
            <w:tcW w:w="1890" w:type="dxa"/>
            <w:hideMark/>
          </w:tcPr>
          <w:p w:rsidR="00FD56EF" w:rsidRDefault="00FD56EF" w:rsidP="00FD56EF">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en-US"/>
              </w:rPr>
            </w:pPr>
            <w:r w:rsidRPr="00977044">
              <w:rPr>
                <w:rFonts w:ascii="Times New Roman" w:eastAsia="Times New Roman" w:hAnsi="Times New Roman" w:cs="Times New Roman"/>
                <w:b/>
                <w:bCs/>
                <w:color w:val="000000"/>
                <w:sz w:val="20"/>
                <w:szCs w:val="20"/>
                <w:lang w:val="en-US"/>
              </w:rPr>
              <w:t xml:space="preserve">Insufficient: </w:t>
            </w:r>
          </w:p>
          <w:p w:rsidR="00FD56EF" w:rsidRPr="00977044" w:rsidRDefault="00FD56EF" w:rsidP="00FD56EF">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en-US"/>
              </w:rPr>
            </w:pPr>
            <w:r w:rsidRPr="00977044">
              <w:rPr>
                <w:rFonts w:ascii="Times New Roman" w:eastAsia="Times New Roman" w:hAnsi="Times New Roman" w:cs="Times New Roman"/>
                <w:b/>
                <w:bCs/>
                <w:color w:val="000000"/>
                <w:sz w:val="20"/>
                <w:szCs w:val="20"/>
                <w:lang w:val="en-US"/>
              </w:rPr>
              <w:t xml:space="preserve">≥25 - &lt;50 </w:t>
            </w:r>
            <w:r>
              <w:rPr>
                <w:rFonts w:ascii="Times New Roman" w:eastAsia="Times New Roman" w:hAnsi="Times New Roman" w:cs="Times New Roman"/>
                <w:b/>
                <w:bCs/>
                <w:color w:val="000000"/>
                <w:sz w:val="20"/>
                <w:szCs w:val="20"/>
                <w:lang w:val="en-US"/>
              </w:rPr>
              <w:t>(</w:t>
            </w:r>
            <w:r w:rsidRPr="00977044">
              <w:rPr>
                <w:rFonts w:ascii="Times New Roman" w:eastAsia="Times New Roman" w:hAnsi="Times New Roman" w:cs="Times New Roman"/>
                <w:b/>
                <w:bCs/>
                <w:color w:val="000000"/>
                <w:sz w:val="20"/>
                <w:szCs w:val="20"/>
                <w:lang w:val="en-US"/>
              </w:rPr>
              <w:t>n=1533)</w:t>
            </w:r>
          </w:p>
        </w:tc>
        <w:tc>
          <w:tcPr>
            <w:tcW w:w="1620" w:type="dxa"/>
            <w:hideMark/>
          </w:tcPr>
          <w:p w:rsidR="00FD56EF" w:rsidRDefault="00FD56EF" w:rsidP="00FD56EF">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en-US"/>
              </w:rPr>
            </w:pPr>
            <w:r w:rsidRPr="00977044">
              <w:rPr>
                <w:rFonts w:ascii="Times New Roman" w:eastAsia="Times New Roman" w:hAnsi="Times New Roman" w:cs="Times New Roman"/>
                <w:b/>
                <w:bCs/>
                <w:color w:val="000000"/>
                <w:sz w:val="20"/>
                <w:szCs w:val="20"/>
                <w:lang w:val="en-US"/>
              </w:rPr>
              <w:t>Sufficient:</w:t>
            </w:r>
          </w:p>
          <w:p w:rsidR="00FD56EF" w:rsidRPr="00977044" w:rsidRDefault="00FD56EF" w:rsidP="00FD56EF">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en-US"/>
              </w:rPr>
            </w:pPr>
            <w:r w:rsidRPr="00977044">
              <w:rPr>
                <w:rFonts w:ascii="Times New Roman" w:eastAsia="Times New Roman" w:hAnsi="Times New Roman" w:cs="Times New Roman"/>
                <w:b/>
                <w:bCs/>
                <w:color w:val="000000"/>
                <w:sz w:val="20"/>
                <w:szCs w:val="20"/>
                <w:lang w:val="en-US"/>
              </w:rPr>
              <w:t xml:space="preserve"> ≥50 (n=1724)</w:t>
            </w:r>
          </w:p>
        </w:tc>
        <w:tc>
          <w:tcPr>
            <w:tcW w:w="900" w:type="dxa"/>
            <w:noWrap/>
            <w:hideMark/>
          </w:tcPr>
          <w:p w:rsidR="00FD56EF" w:rsidRPr="00977044" w:rsidRDefault="00FD56EF" w:rsidP="00FD56EF">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en-US"/>
              </w:rPr>
            </w:pPr>
          </w:p>
        </w:tc>
      </w:tr>
      <w:tr w:rsidR="00FD56EF" w:rsidRPr="00977044" w:rsidTr="00FD56EF">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880" w:type="dxa"/>
            <w:noWrap/>
            <w:hideMark/>
          </w:tcPr>
          <w:p w:rsidR="00FD56EF" w:rsidRPr="00977044" w:rsidRDefault="00FD56EF" w:rsidP="00FD56EF">
            <w:pPr>
              <w:spacing w:line="276" w:lineRule="auto"/>
              <w:jc w:val="left"/>
              <w:rPr>
                <w:rFonts w:ascii="Times New Roman" w:eastAsia="Times New Roman" w:hAnsi="Times New Roman" w:cs="Times New Roman"/>
                <w:b/>
                <w:bCs/>
                <w:color w:val="000000"/>
                <w:sz w:val="20"/>
                <w:szCs w:val="20"/>
                <w:lang w:val="en-US"/>
              </w:rPr>
            </w:pPr>
            <w:r w:rsidRPr="00977044">
              <w:rPr>
                <w:rFonts w:ascii="Times New Roman" w:eastAsia="Times New Roman" w:hAnsi="Times New Roman" w:cs="Times New Roman"/>
                <w:b/>
                <w:bCs/>
                <w:color w:val="000000"/>
                <w:sz w:val="20"/>
                <w:szCs w:val="20"/>
                <w:lang w:val="en-US"/>
              </w:rPr>
              <w:t> </w:t>
            </w:r>
            <w:r>
              <w:rPr>
                <w:rFonts w:ascii="Times New Roman" w:eastAsia="Times New Roman" w:hAnsi="Times New Roman" w:cs="Times New Roman"/>
                <w:b/>
                <w:bCs/>
                <w:color w:val="000000"/>
                <w:sz w:val="20"/>
                <w:szCs w:val="20"/>
                <w:lang w:val="en-US"/>
              </w:rPr>
              <w:t xml:space="preserve">Anthropometric Measurements </w:t>
            </w:r>
          </w:p>
        </w:tc>
        <w:tc>
          <w:tcPr>
            <w:tcW w:w="5130" w:type="dxa"/>
            <w:gridSpan w:val="3"/>
            <w:noWrap/>
            <w:hideMark/>
          </w:tcPr>
          <w:p w:rsidR="00FD56EF" w:rsidRPr="00977044" w:rsidRDefault="00FD56EF"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en-US"/>
              </w:rPr>
            </w:pPr>
            <w:r w:rsidRPr="00977044">
              <w:rPr>
                <w:rFonts w:ascii="Times New Roman" w:eastAsia="Times New Roman" w:hAnsi="Times New Roman" w:cs="Times New Roman"/>
                <w:b/>
                <w:bCs/>
                <w:color w:val="000000"/>
                <w:sz w:val="20"/>
                <w:szCs w:val="20"/>
                <w:lang w:val="en-US"/>
              </w:rPr>
              <w:t>Mean (SD)</w:t>
            </w:r>
          </w:p>
        </w:tc>
        <w:tc>
          <w:tcPr>
            <w:tcW w:w="900" w:type="dxa"/>
            <w:noWrap/>
            <w:hideMark/>
          </w:tcPr>
          <w:p w:rsidR="00FD56EF" w:rsidRPr="00977044" w:rsidRDefault="00FD56EF"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en-US"/>
              </w:rPr>
            </w:pPr>
            <w:r w:rsidRPr="00977044">
              <w:rPr>
                <w:rFonts w:ascii="Times New Roman" w:eastAsia="Times New Roman" w:hAnsi="Times New Roman" w:cs="Times New Roman"/>
                <w:b/>
                <w:bCs/>
                <w:color w:val="000000"/>
                <w:sz w:val="20"/>
                <w:szCs w:val="20"/>
                <w:lang w:val="en-US"/>
              </w:rPr>
              <w:t> </w:t>
            </w:r>
            <w:r>
              <w:rPr>
                <w:rFonts w:ascii="Times New Roman" w:eastAsia="Times New Roman" w:hAnsi="Times New Roman" w:cs="Times New Roman"/>
                <w:b/>
                <w:bCs/>
                <w:color w:val="000000"/>
                <w:sz w:val="20"/>
                <w:szCs w:val="20"/>
                <w:lang w:val="en-US"/>
              </w:rPr>
              <w:t>p</w:t>
            </w:r>
          </w:p>
        </w:tc>
      </w:tr>
      <w:tr w:rsidR="00FD56EF" w:rsidRPr="00977044" w:rsidTr="00FD56EF">
        <w:trPr>
          <w:trHeight w:val="198"/>
        </w:trPr>
        <w:tc>
          <w:tcPr>
            <w:cnfStyle w:val="001000000000" w:firstRow="0" w:lastRow="0" w:firstColumn="1" w:lastColumn="0" w:oddVBand="0" w:evenVBand="0" w:oddHBand="0" w:evenHBand="0" w:firstRowFirstColumn="0" w:firstRowLastColumn="0" w:lastRowFirstColumn="0" w:lastRowLastColumn="0"/>
            <w:tcW w:w="2880" w:type="dxa"/>
            <w:noWrap/>
            <w:hideMark/>
          </w:tcPr>
          <w:p w:rsidR="00FD56EF" w:rsidRPr="00977044" w:rsidRDefault="00FD56EF" w:rsidP="00FD56EF">
            <w:pPr>
              <w:spacing w:line="276" w:lineRule="auto"/>
              <w:jc w:val="left"/>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Age, years</w:t>
            </w:r>
          </w:p>
        </w:tc>
        <w:tc>
          <w:tcPr>
            <w:tcW w:w="1620" w:type="dxa"/>
            <w:noWrap/>
            <w:hideMark/>
          </w:tcPr>
          <w:p w:rsidR="00FD56EF" w:rsidRPr="00977044" w:rsidRDefault="00FD56EF"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69.3 (5.7)</w:t>
            </w:r>
          </w:p>
        </w:tc>
        <w:tc>
          <w:tcPr>
            <w:tcW w:w="1890" w:type="dxa"/>
            <w:noWrap/>
            <w:hideMark/>
          </w:tcPr>
          <w:p w:rsidR="00FD56EF" w:rsidRPr="00977044" w:rsidRDefault="00FD56EF"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68.7 (5.5)</w:t>
            </w:r>
          </w:p>
        </w:tc>
        <w:tc>
          <w:tcPr>
            <w:tcW w:w="1620" w:type="dxa"/>
            <w:noWrap/>
            <w:hideMark/>
          </w:tcPr>
          <w:p w:rsidR="00FD56EF" w:rsidRPr="00977044" w:rsidRDefault="00FD56EF"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68.4 (5.4)</w:t>
            </w:r>
          </w:p>
        </w:tc>
        <w:tc>
          <w:tcPr>
            <w:tcW w:w="900" w:type="dxa"/>
            <w:noWrap/>
            <w:hideMark/>
          </w:tcPr>
          <w:p w:rsidR="00FD56EF" w:rsidRPr="00977044" w:rsidRDefault="00FD56EF"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en-US"/>
              </w:rPr>
            </w:pPr>
            <w:r w:rsidRPr="00977044">
              <w:rPr>
                <w:rFonts w:ascii="Times New Roman" w:eastAsia="Times New Roman" w:hAnsi="Times New Roman" w:cs="Times New Roman"/>
                <w:b/>
                <w:bCs/>
                <w:color w:val="000000"/>
                <w:sz w:val="20"/>
                <w:szCs w:val="20"/>
                <w:lang w:val="en-US"/>
              </w:rPr>
              <w:t>0.0064</w:t>
            </w:r>
          </w:p>
        </w:tc>
      </w:tr>
      <w:tr w:rsidR="00FD56EF" w:rsidRPr="00977044" w:rsidTr="00FD56EF">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880" w:type="dxa"/>
            <w:noWrap/>
            <w:hideMark/>
          </w:tcPr>
          <w:p w:rsidR="00FD56EF" w:rsidRPr="00977044" w:rsidRDefault="00FD56EF" w:rsidP="00FD56EF">
            <w:pPr>
              <w:spacing w:line="276" w:lineRule="auto"/>
              <w:jc w:val="left"/>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BMI, kg/m</w:t>
            </w:r>
            <w:r w:rsidRPr="00A523EF">
              <w:rPr>
                <w:rFonts w:ascii="Times New Roman" w:eastAsia="Times New Roman" w:hAnsi="Times New Roman" w:cs="Times New Roman"/>
                <w:color w:val="000000"/>
                <w:sz w:val="20"/>
                <w:szCs w:val="20"/>
                <w:vertAlign w:val="superscript"/>
                <w:lang w:val="en-US"/>
              </w:rPr>
              <w:t>2</w:t>
            </w:r>
          </w:p>
        </w:tc>
        <w:tc>
          <w:tcPr>
            <w:tcW w:w="1620" w:type="dxa"/>
            <w:noWrap/>
            <w:hideMark/>
          </w:tcPr>
          <w:p w:rsidR="00FD56EF" w:rsidRPr="00977044" w:rsidRDefault="00FD56EF"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26.8 (4.5)</w:t>
            </w:r>
          </w:p>
        </w:tc>
        <w:tc>
          <w:tcPr>
            <w:tcW w:w="1890" w:type="dxa"/>
            <w:noWrap/>
            <w:hideMark/>
          </w:tcPr>
          <w:p w:rsidR="00FD56EF" w:rsidRPr="00977044" w:rsidRDefault="00FD56EF"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27.1 (3.8)</w:t>
            </w:r>
          </w:p>
        </w:tc>
        <w:tc>
          <w:tcPr>
            <w:tcW w:w="1620" w:type="dxa"/>
            <w:noWrap/>
            <w:hideMark/>
          </w:tcPr>
          <w:p w:rsidR="00FD56EF" w:rsidRPr="00977044" w:rsidRDefault="00FD56EF"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26.6 (3.3)</w:t>
            </w:r>
          </w:p>
        </w:tc>
        <w:tc>
          <w:tcPr>
            <w:tcW w:w="900" w:type="dxa"/>
            <w:noWrap/>
            <w:hideMark/>
          </w:tcPr>
          <w:p w:rsidR="00FD56EF" w:rsidRPr="00977044" w:rsidRDefault="00FD56EF"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en-US"/>
              </w:rPr>
            </w:pPr>
            <w:r w:rsidRPr="00977044">
              <w:rPr>
                <w:rFonts w:ascii="Times New Roman" w:eastAsia="Times New Roman" w:hAnsi="Times New Roman" w:cs="Times New Roman"/>
                <w:b/>
                <w:bCs/>
                <w:color w:val="000000"/>
                <w:sz w:val="20"/>
                <w:szCs w:val="20"/>
                <w:lang w:val="en-US"/>
              </w:rPr>
              <w:t>0.0003</w:t>
            </w:r>
          </w:p>
        </w:tc>
      </w:tr>
      <w:tr w:rsidR="00FD56EF" w:rsidRPr="00977044" w:rsidTr="00FD56EF">
        <w:trPr>
          <w:trHeight w:val="117"/>
        </w:trPr>
        <w:tc>
          <w:tcPr>
            <w:cnfStyle w:val="001000000000" w:firstRow="0" w:lastRow="0" w:firstColumn="1" w:lastColumn="0" w:oddVBand="0" w:evenVBand="0" w:oddHBand="0" w:evenHBand="0" w:firstRowFirstColumn="0" w:firstRowLastColumn="0" w:lastRowFirstColumn="0" w:lastRowLastColumn="0"/>
            <w:tcW w:w="2880" w:type="dxa"/>
            <w:noWrap/>
            <w:hideMark/>
          </w:tcPr>
          <w:p w:rsidR="00FD56EF" w:rsidRPr="00977044" w:rsidRDefault="00FD56EF" w:rsidP="00FD56EF">
            <w:pPr>
              <w:spacing w:line="276" w:lineRule="auto"/>
              <w:jc w:val="left"/>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Waist Circumference, cm</w:t>
            </w:r>
          </w:p>
        </w:tc>
        <w:tc>
          <w:tcPr>
            <w:tcW w:w="1620" w:type="dxa"/>
            <w:noWrap/>
            <w:hideMark/>
          </w:tcPr>
          <w:p w:rsidR="00FD56EF" w:rsidRPr="00977044" w:rsidRDefault="00FD56EF"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98.3 (12.5)</w:t>
            </w:r>
          </w:p>
        </w:tc>
        <w:tc>
          <w:tcPr>
            <w:tcW w:w="1890" w:type="dxa"/>
            <w:noWrap/>
            <w:hideMark/>
          </w:tcPr>
          <w:p w:rsidR="00FD56EF" w:rsidRPr="00977044" w:rsidRDefault="00FD56EF"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97.8 (10.6)</w:t>
            </w:r>
          </w:p>
        </w:tc>
        <w:tc>
          <w:tcPr>
            <w:tcW w:w="1620" w:type="dxa"/>
            <w:noWrap/>
            <w:hideMark/>
          </w:tcPr>
          <w:p w:rsidR="00FD56EF" w:rsidRPr="00977044" w:rsidRDefault="00FD56EF"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96</w:t>
            </w:r>
            <w:r>
              <w:rPr>
                <w:rFonts w:ascii="Times New Roman" w:eastAsia="Times New Roman" w:hAnsi="Times New Roman" w:cs="Times New Roman"/>
                <w:color w:val="000000"/>
                <w:sz w:val="20"/>
                <w:szCs w:val="20"/>
                <w:lang w:val="en-US"/>
              </w:rPr>
              <w:t>.0</w:t>
            </w:r>
            <w:r w:rsidRPr="00977044">
              <w:rPr>
                <w:rFonts w:ascii="Times New Roman" w:eastAsia="Times New Roman" w:hAnsi="Times New Roman" w:cs="Times New Roman"/>
                <w:color w:val="000000"/>
                <w:sz w:val="20"/>
                <w:szCs w:val="20"/>
                <w:lang w:val="en-US"/>
              </w:rPr>
              <w:t xml:space="preserve"> (9.5)</w:t>
            </w:r>
          </w:p>
        </w:tc>
        <w:tc>
          <w:tcPr>
            <w:tcW w:w="900" w:type="dxa"/>
            <w:noWrap/>
            <w:hideMark/>
          </w:tcPr>
          <w:p w:rsidR="00FD56EF" w:rsidRPr="00977044" w:rsidRDefault="00FD56EF"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en-US"/>
              </w:rPr>
            </w:pPr>
            <w:r w:rsidRPr="00977044">
              <w:rPr>
                <w:rFonts w:ascii="Times New Roman" w:eastAsia="Times New Roman" w:hAnsi="Times New Roman" w:cs="Times New Roman"/>
                <w:b/>
                <w:bCs/>
                <w:color w:val="000000"/>
                <w:sz w:val="20"/>
                <w:szCs w:val="20"/>
                <w:lang w:val="en-US"/>
              </w:rPr>
              <w:t>&lt;.0001</w:t>
            </w:r>
          </w:p>
        </w:tc>
      </w:tr>
      <w:tr w:rsidR="00FD56EF" w:rsidRPr="00977044" w:rsidTr="00FD56EF">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2880" w:type="dxa"/>
            <w:noWrap/>
            <w:hideMark/>
          </w:tcPr>
          <w:p w:rsidR="00FD56EF" w:rsidRPr="00977044" w:rsidRDefault="00FD56EF" w:rsidP="00FD56EF">
            <w:pPr>
              <w:spacing w:line="276" w:lineRule="auto"/>
              <w:jc w:val="lef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Sitting systolic BP, mm</w:t>
            </w:r>
            <w:r w:rsidRPr="00977044">
              <w:rPr>
                <w:rFonts w:ascii="Times New Roman" w:eastAsia="Times New Roman" w:hAnsi="Times New Roman" w:cs="Times New Roman"/>
                <w:color w:val="000000"/>
                <w:sz w:val="20"/>
                <w:szCs w:val="20"/>
                <w:lang w:val="en-US"/>
              </w:rPr>
              <w:t>Hg</w:t>
            </w:r>
          </w:p>
        </w:tc>
        <w:tc>
          <w:tcPr>
            <w:tcW w:w="1620" w:type="dxa"/>
            <w:noWrap/>
            <w:hideMark/>
          </w:tcPr>
          <w:p w:rsidR="00FD56EF" w:rsidRPr="00977044" w:rsidRDefault="00FD56EF"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152.6 (26.5)</w:t>
            </w:r>
          </w:p>
        </w:tc>
        <w:tc>
          <w:tcPr>
            <w:tcW w:w="1890" w:type="dxa"/>
            <w:noWrap/>
            <w:hideMark/>
          </w:tcPr>
          <w:p w:rsidR="00FD56EF" w:rsidRPr="00977044" w:rsidRDefault="00FD56EF"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148.7 (24.1)</w:t>
            </w:r>
          </w:p>
        </w:tc>
        <w:tc>
          <w:tcPr>
            <w:tcW w:w="1620" w:type="dxa"/>
            <w:noWrap/>
            <w:hideMark/>
          </w:tcPr>
          <w:p w:rsidR="00FD56EF" w:rsidRPr="00977044" w:rsidRDefault="00FD56EF"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149.1 (23.6)</w:t>
            </w:r>
          </w:p>
        </w:tc>
        <w:tc>
          <w:tcPr>
            <w:tcW w:w="900" w:type="dxa"/>
            <w:noWrap/>
            <w:hideMark/>
          </w:tcPr>
          <w:p w:rsidR="00FD56EF" w:rsidRPr="00977044" w:rsidRDefault="00FD56EF"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en-US"/>
              </w:rPr>
            </w:pPr>
            <w:r w:rsidRPr="00977044">
              <w:rPr>
                <w:rFonts w:ascii="Times New Roman" w:eastAsia="Times New Roman" w:hAnsi="Times New Roman" w:cs="Times New Roman"/>
                <w:b/>
                <w:bCs/>
                <w:color w:val="000000"/>
                <w:sz w:val="20"/>
                <w:szCs w:val="20"/>
                <w:lang w:val="en-US"/>
              </w:rPr>
              <w:t>0.0207</w:t>
            </w:r>
          </w:p>
        </w:tc>
      </w:tr>
      <w:tr w:rsidR="00FD56EF" w:rsidRPr="00977044" w:rsidTr="00FD56EF">
        <w:trPr>
          <w:trHeight w:val="135"/>
        </w:trPr>
        <w:tc>
          <w:tcPr>
            <w:cnfStyle w:val="001000000000" w:firstRow="0" w:lastRow="0" w:firstColumn="1" w:lastColumn="0" w:oddVBand="0" w:evenVBand="0" w:oddHBand="0" w:evenHBand="0" w:firstRowFirstColumn="0" w:firstRowLastColumn="0" w:lastRowFirstColumn="0" w:lastRowLastColumn="0"/>
            <w:tcW w:w="2880" w:type="dxa"/>
            <w:noWrap/>
            <w:hideMark/>
          </w:tcPr>
          <w:p w:rsidR="00FD56EF" w:rsidRPr="00977044" w:rsidRDefault="00FD56EF" w:rsidP="00FD56EF">
            <w:pPr>
              <w:spacing w:line="276" w:lineRule="auto"/>
              <w:jc w:val="lef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Sitting diastolic BP, mm</w:t>
            </w:r>
            <w:r w:rsidRPr="00977044">
              <w:rPr>
                <w:rFonts w:ascii="Times New Roman" w:eastAsia="Times New Roman" w:hAnsi="Times New Roman" w:cs="Times New Roman"/>
                <w:color w:val="000000"/>
                <w:sz w:val="20"/>
                <w:szCs w:val="20"/>
                <w:lang w:val="en-US"/>
              </w:rPr>
              <w:t>Hg</w:t>
            </w:r>
          </w:p>
        </w:tc>
        <w:tc>
          <w:tcPr>
            <w:tcW w:w="1620" w:type="dxa"/>
            <w:noWrap/>
            <w:hideMark/>
          </w:tcPr>
          <w:p w:rsidR="00FD56EF" w:rsidRPr="00977044" w:rsidRDefault="00FD56EF"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84.9 (12.1)</w:t>
            </w:r>
          </w:p>
        </w:tc>
        <w:tc>
          <w:tcPr>
            <w:tcW w:w="1890" w:type="dxa"/>
            <w:noWrap/>
            <w:hideMark/>
          </w:tcPr>
          <w:p w:rsidR="00FD56EF" w:rsidRPr="00977044" w:rsidRDefault="00FD56EF"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85.1 (11.3)</w:t>
            </w:r>
          </w:p>
        </w:tc>
        <w:tc>
          <w:tcPr>
            <w:tcW w:w="1620" w:type="dxa"/>
            <w:noWrap/>
            <w:hideMark/>
          </w:tcPr>
          <w:p w:rsidR="00FD56EF" w:rsidRPr="00977044" w:rsidRDefault="00FD56EF"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85.4 (10.8)</w:t>
            </w:r>
          </w:p>
        </w:tc>
        <w:tc>
          <w:tcPr>
            <w:tcW w:w="900" w:type="dxa"/>
            <w:noWrap/>
            <w:hideMark/>
          </w:tcPr>
          <w:p w:rsidR="00FD56EF" w:rsidRPr="00977044" w:rsidRDefault="00FD56EF"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en-US"/>
              </w:rPr>
            </w:pPr>
            <w:r w:rsidRPr="00977044">
              <w:rPr>
                <w:rFonts w:ascii="Times New Roman" w:eastAsia="Times New Roman" w:hAnsi="Times New Roman" w:cs="Times New Roman"/>
                <w:b/>
                <w:bCs/>
                <w:color w:val="000000"/>
                <w:sz w:val="20"/>
                <w:szCs w:val="20"/>
                <w:lang w:val="en-US"/>
              </w:rPr>
              <w:t>0.5148</w:t>
            </w:r>
          </w:p>
        </w:tc>
      </w:tr>
      <w:tr w:rsidR="00FD56EF" w:rsidRPr="00977044" w:rsidTr="00FD56E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880" w:type="dxa"/>
            <w:noWrap/>
            <w:hideMark/>
          </w:tcPr>
          <w:p w:rsidR="00FD56EF" w:rsidRPr="00977044" w:rsidRDefault="00FD56EF" w:rsidP="00FD56EF">
            <w:pPr>
              <w:spacing w:line="276" w:lineRule="auto"/>
              <w:jc w:val="left"/>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Heart rate, beats per minute</w:t>
            </w:r>
          </w:p>
        </w:tc>
        <w:tc>
          <w:tcPr>
            <w:tcW w:w="1620" w:type="dxa"/>
            <w:noWrap/>
            <w:hideMark/>
          </w:tcPr>
          <w:p w:rsidR="00FD56EF" w:rsidRPr="00977044" w:rsidRDefault="00FD56EF"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68 (13)</w:t>
            </w:r>
          </w:p>
        </w:tc>
        <w:tc>
          <w:tcPr>
            <w:tcW w:w="1890" w:type="dxa"/>
            <w:noWrap/>
            <w:hideMark/>
          </w:tcPr>
          <w:p w:rsidR="00FD56EF" w:rsidRPr="00977044" w:rsidRDefault="00FD56EF"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66 (13)</w:t>
            </w:r>
          </w:p>
        </w:tc>
        <w:tc>
          <w:tcPr>
            <w:tcW w:w="1620" w:type="dxa"/>
            <w:noWrap/>
            <w:hideMark/>
          </w:tcPr>
          <w:p w:rsidR="00FD56EF" w:rsidRPr="00977044" w:rsidRDefault="00FD56EF"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65 (12)</w:t>
            </w:r>
          </w:p>
        </w:tc>
        <w:tc>
          <w:tcPr>
            <w:tcW w:w="900" w:type="dxa"/>
            <w:noWrap/>
            <w:hideMark/>
          </w:tcPr>
          <w:p w:rsidR="00FD56EF" w:rsidRPr="00977044" w:rsidRDefault="00FD56EF"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en-US"/>
              </w:rPr>
            </w:pPr>
            <w:r w:rsidRPr="00977044">
              <w:rPr>
                <w:rFonts w:ascii="Times New Roman" w:eastAsia="Times New Roman" w:hAnsi="Times New Roman" w:cs="Times New Roman"/>
                <w:b/>
                <w:bCs/>
                <w:color w:val="000000"/>
                <w:sz w:val="20"/>
                <w:szCs w:val="20"/>
                <w:lang w:val="en-US"/>
              </w:rPr>
              <w:t>&lt;.0001</w:t>
            </w:r>
          </w:p>
        </w:tc>
      </w:tr>
      <w:tr w:rsidR="00FD56EF" w:rsidRPr="00977044" w:rsidTr="00FD56EF">
        <w:trPr>
          <w:trHeight w:val="66"/>
        </w:trPr>
        <w:tc>
          <w:tcPr>
            <w:cnfStyle w:val="001000000000" w:firstRow="0" w:lastRow="0" w:firstColumn="1" w:lastColumn="0" w:oddVBand="0" w:evenVBand="0" w:oddHBand="0" w:evenHBand="0" w:firstRowFirstColumn="0" w:firstRowLastColumn="0" w:lastRowFirstColumn="0" w:lastRowLastColumn="0"/>
            <w:tcW w:w="2880" w:type="dxa"/>
            <w:noWrap/>
            <w:hideMark/>
          </w:tcPr>
          <w:p w:rsidR="00FD56EF" w:rsidRPr="00977044" w:rsidRDefault="00FD56EF" w:rsidP="00FD56EF">
            <w:pPr>
              <w:spacing w:line="276" w:lineRule="auto"/>
              <w:jc w:val="left"/>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Arm circumference, cm</w:t>
            </w:r>
          </w:p>
        </w:tc>
        <w:tc>
          <w:tcPr>
            <w:tcW w:w="1620" w:type="dxa"/>
            <w:noWrap/>
            <w:hideMark/>
          </w:tcPr>
          <w:p w:rsidR="00FD56EF" w:rsidRPr="00977044" w:rsidRDefault="00FD56EF"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30</w:t>
            </w:r>
            <w:r>
              <w:rPr>
                <w:rFonts w:ascii="Times New Roman" w:eastAsia="Times New Roman" w:hAnsi="Times New Roman" w:cs="Times New Roman"/>
                <w:color w:val="000000"/>
                <w:sz w:val="20"/>
                <w:szCs w:val="20"/>
                <w:lang w:val="en-US"/>
              </w:rPr>
              <w:t>.0</w:t>
            </w:r>
            <w:r w:rsidRPr="00977044">
              <w:rPr>
                <w:rFonts w:ascii="Times New Roman" w:eastAsia="Times New Roman" w:hAnsi="Times New Roman" w:cs="Times New Roman"/>
                <w:color w:val="000000"/>
                <w:sz w:val="20"/>
                <w:szCs w:val="20"/>
                <w:lang w:val="en-US"/>
              </w:rPr>
              <w:t xml:space="preserve"> (3.4)</w:t>
            </w:r>
          </w:p>
        </w:tc>
        <w:tc>
          <w:tcPr>
            <w:tcW w:w="1890" w:type="dxa"/>
            <w:noWrap/>
            <w:hideMark/>
          </w:tcPr>
          <w:p w:rsidR="00FD56EF" w:rsidRPr="00977044" w:rsidRDefault="00FD56EF"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30.5 (2.9)</w:t>
            </w:r>
          </w:p>
        </w:tc>
        <w:tc>
          <w:tcPr>
            <w:tcW w:w="1620" w:type="dxa"/>
            <w:noWrap/>
            <w:hideMark/>
          </w:tcPr>
          <w:p w:rsidR="00FD56EF" w:rsidRPr="00977044" w:rsidRDefault="00FD56EF"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30.3 (2.6)</w:t>
            </w:r>
          </w:p>
        </w:tc>
        <w:tc>
          <w:tcPr>
            <w:tcW w:w="900" w:type="dxa"/>
            <w:noWrap/>
            <w:hideMark/>
          </w:tcPr>
          <w:p w:rsidR="00FD56EF" w:rsidRPr="00977044" w:rsidRDefault="00FD56EF"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en-US"/>
              </w:rPr>
            </w:pPr>
            <w:r w:rsidRPr="00977044">
              <w:rPr>
                <w:rFonts w:ascii="Times New Roman" w:eastAsia="Times New Roman" w:hAnsi="Times New Roman" w:cs="Times New Roman"/>
                <w:b/>
                <w:bCs/>
                <w:color w:val="000000"/>
                <w:sz w:val="20"/>
                <w:szCs w:val="20"/>
                <w:lang w:val="en-US"/>
              </w:rPr>
              <w:t>0.0266</w:t>
            </w:r>
          </w:p>
        </w:tc>
      </w:tr>
      <w:tr w:rsidR="00FD56EF" w:rsidRPr="00977044" w:rsidTr="00FD56EF">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2880" w:type="dxa"/>
            <w:noWrap/>
          </w:tcPr>
          <w:p w:rsidR="00FD56EF" w:rsidRPr="00A523EF" w:rsidRDefault="00FD56EF" w:rsidP="00FD56EF">
            <w:pPr>
              <w:spacing w:line="276" w:lineRule="auto"/>
              <w:jc w:val="left"/>
              <w:rPr>
                <w:rFonts w:ascii="Times New Roman" w:eastAsia="Times New Roman" w:hAnsi="Times New Roman" w:cs="Times New Roman"/>
                <w:b/>
                <w:color w:val="000000"/>
                <w:sz w:val="20"/>
                <w:szCs w:val="20"/>
                <w:lang w:val="en-US"/>
              </w:rPr>
            </w:pPr>
            <w:r w:rsidRPr="00A523EF">
              <w:rPr>
                <w:rFonts w:ascii="Times New Roman" w:eastAsia="Times New Roman" w:hAnsi="Times New Roman" w:cs="Times New Roman"/>
                <w:b/>
                <w:color w:val="000000"/>
                <w:sz w:val="20"/>
                <w:szCs w:val="20"/>
                <w:lang w:val="en-US"/>
              </w:rPr>
              <w:t>Biochemical Measurements</w:t>
            </w:r>
          </w:p>
        </w:tc>
        <w:tc>
          <w:tcPr>
            <w:tcW w:w="5130" w:type="dxa"/>
            <w:gridSpan w:val="3"/>
            <w:noWrap/>
          </w:tcPr>
          <w:p w:rsidR="00FD56EF" w:rsidRPr="00A523EF" w:rsidRDefault="00FD56EF"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US"/>
              </w:rPr>
            </w:pPr>
            <w:r w:rsidRPr="00A523EF">
              <w:rPr>
                <w:rFonts w:ascii="Times New Roman" w:eastAsia="Times New Roman" w:hAnsi="Times New Roman" w:cs="Times New Roman"/>
                <w:b/>
                <w:color w:val="000000"/>
                <w:sz w:val="20"/>
                <w:szCs w:val="20"/>
                <w:lang w:val="en-US"/>
              </w:rPr>
              <w:t>Mean (SD)</w:t>
            </w:r>
          </w:p>
        </w:tc>
        <w:tc>
          <w:tcPr>
            <w:tcW w:w="900" w:type="dxa"/>
            <w:noWrap/>
          </w:tcPr>
          <w:p w:rsidR="00FD56EF" w:rsidRPr="00977044" w:rsidRDefault="00FD56EF"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en-US"/>
              </w:rPr>
            </w:pPr>
          </w:p>
        </w:tc>
      </w:tr>
      <w:tr w:rsidR="00FD56EF" w:rsidRPr="00977044" w:rsidTr="00FD56EF">
        <w:trPr>
          <w:trHeight w:val="72"/>
        </w:trPr>
        <w:tc>
          <w:tcPr>
            <w:cnfStyle w:val="001000000000" w:firstRow="0" w:lastRow="0" w:firstColumn="1" w:lastColumn="0" w:oddVBand="0" w:evenVBand="0" w:oddHBand="0" w:evenHBand="0" w:firstRowFirstColumn="0" w:firstRowLastColumn="0" w:lastRowFirstColumn="0" w:lastRowLastColumn="0"/>
            <w:tcW w:w="2880" w:type="dxa"/>
            <w:noWrap/>
            <w:hideMark/>
          </w:tcPr>
          <w:p w:rsidR="00FD56EF" w:rsidRPr="00977044" w:rsidRDefault="00FD56EF" w:rsidP="00FD56EF">
            <w:pPr>
              <w:spacing w:line="276" w:lineRule="auto"/>
              <w:jc w:val="left"/>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CRP*, mg/L</w:t>
            </w:r>
          </w:p>
        </w:tc>
        <w:tc>
          <w:tcPr>
            <w:tcW w:w="1620" w:type="dxa"/>
            <w:noWrap/>
            <w:hideMark/>
          </w:tcPr>
          <w:p w:rsidR="00FD56EF" w:rsidRPr="00977044" w:rsidRDefault="00FD56EF"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2.3 (1</w:t>
            </w:r>
            <w:r>
              <w:rPr>
                <w:rFonts w:ascii="Times New Roman" w:eastAsia="Times New Roman" w:hAnsi="Times New Roman" w:cs="Times New Roman"/>
                <w:color w:val="000000"/>
                <w:sz w:val="20"/>
                <w:szCs w:val="20"/>
                <w:lang w:val="en-US"/>
              </w:rPr>
              <w:t>.0</w:t>
            </w:r>
            <w:r w:rsidRPr="00977044">
              <w:rPr>
                <w:rFonts w:ascii="Times New Roman" w:eastAsia="Times New Roman" w:hAnsi="Times New Roman" w:cs="Times New Roman"/>
                <w:color w:val="000000"/>
                <w:sz w:val="20"/>
                <w:szCs w:val="20"/>
                <w:lang w:val="en-US"/>
              </w:rPr>
              <w:t xml:space="preserve"> - 5.1)</w:t>
            </w:r>
          </w:p>
        </w:tc>
        <w:tc>
          <w:tcPr>
            <w:tcW w:w="1890" w:type="dxa"/>
            <w:noWrap/>
            <w:hideMark/>
          </w:tcPr>
          <w:p w:rsidR="00FD56EF" w:rsidRPr="00977044" w:rsidRDefault="00FD56EF"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1.7 (0.9 - 3.4)</w:t>
            </w:r>
          </w:p>
        </w:tc>
        <w:tc>
          <w:tcPr>
            <w:tcW w:w="1620" w:type="dxa"/>
            <w:noWrap/>
            <w:hideMark/>
          </w:tcPr>
          <w:p w:rsidR="00FD56EF" w:rsidRPr="00977044" w:rsidRDefault="00FD56EF"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1.6 (0.8 - 3.1)</w:t>
            </w:r>
          </w:p>
        </w:tc>
        <w:tc>
          <w:tcPr>
            <w:tcW w:w="900" w:type="dxa"/>
            <w:noWrap/>
            <w:hideMark/>
          </w:tcPr>
          <w:p w:rsidR="00FD56EF" w:rsidRPr="00977044" w:rsidRDefault="00FD56EF"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en-US"/>
              </w:rPr>
            </w:pPr>
            <w:r w:rsidRPr="00977044">
              <w:rPr>
                <w:rFonts w:ascii="Times New Roman" w:eastAsia="Times New Roman" w:hAnsi="Times New Roman" w:cs="Times New Roman"/>
                <w:b/>
                <w:bCs/>
                <w:color w:val="000000"/>
                <w:sz w:val="20"/>
                <w:szCs w:val="20"/>
                <w:lang w:val="en-US"/>
              </w:rPr>
              <w:t>&lt;.0001</w:t>
            </w:r>
          </w:p>
        </w:tc>
      </w:tr>
      <w:tr w:rsidR="00FD56EF" w:rsidRPr="00977044" w:rsidTr="00FD56EF">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2880" w:type="dxa"/>
            <w:noWrap/>
            <w:hideMark/>
          </w:tcPr>
          <w:p w:rsidR="00FD56EF" w:rsidRPr="00977044" w:rsidRDefault="00FD56EF" w:rsidP="00FD56EF">
            <w:pPr>
              <w:spacing w:line="276" w:lineRule="auto"/>
              <w:jc w:val="left"/>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IL-6*, mg/L</w:t>
            </w:r>
          </w:p>
        </w:tc>
        <w:tc>
          <w:tcPr>
            <w:tcW w:w="1620" w:type="dxa"/>
            <w:noWrap/>
            <w:hideMark/>
          </w:tcPr>
          <w:p w:rsidR="00FD56EF" w:rsidRPr="00977044" w:rsidRDefault="00FD56EF"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3</w:t>
            </w:r>
            <w:r>
              <w:rPr>
                <w:rFonts w:ascii="Times New Roman" w:eastAsia="Times New Roman" w:hAnsi="Times New Roman" w:cs="Times New Roman"/>
                <w:color w:val="000000"/>
                <w:sz w:val="20"/>
                <w:szCs w:val="20"/>
                <w:lang w:val="en-US"/>
              </w:rPr>
              <w:t>.0</w:t>
            </w:r>
            <w:r w:rsidRPr="00977044">
              <w:rPr>
                <w:rFonts w:ascii="Times New Roman" w:eastAsia="Times New Roman" w:hAnsi="Times New Roman" w:cs="Times New Roman"/>
                <w:color w:val="000000"/>
                <w:sz w:val="20"/>
                <w:szCs w:val="20"/>
                <w:lang w:val="en-US"/>
              </w:rPr>
              <w:t xml:space="preserve"> (1.8 - 4.4)</w:t>
            </w:r>
          </w:p>
        </w:tc>
        <w:tc>
          <w:tcPr>
            <w:tcW w:w="1890" w:type="dxa"/>
            <w:noWrap/>
            <w:hideMark/>
          </w:tcPr>
          <w:p w:rsidR="00FD56EF" w:rsidRPr="00977044" w:rsidRDefault="00FD56EF"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2.5 (1.6 - 3.6)</w:t>
            </w:r>
          </w:p>
        </w:tc>
        <w:tc>
          <w:tcPr>
            <w:tcW w:w="1620" w:type="dxa"/>
            <w:noWrap/>
            <w:hideMark/>
          </w:tcPr>
          <w:p w:rsidR="00FD56EF" w:rsidRPr="00977044" w:rsidRDefault="00FD56EF"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2.2 (1.5 - 3.1)</w:t>
            </w:r>
          </w:p>
        </w:tc>
        <w:tc>
          <w:tcPr>
            <w:tcW w:w="900" w:type="dxa"/>
            <w:noWrap/>
            <w:hideMark/>
          </w:tcPr>
          <w:p w:rsidR="00FD56EF" w:rsidRPr="00977044" w:rsidRDefault="00FD56EF"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en-US"/>
              </w:rPr>
            </w:pPr>
            <w:r w:rsidRPr="00977044">
              <w:rPr>
                <w:rFonts w:ascii="Times New Roman" w:eastAsia="Times New Roman" w:hAnsi="Times New Roman" w:cs="Times New Roman"/>
                <w:b/>
                <w:bCs/>
                <w:color w:val="000000"/>
                <w:sz w:val="20"/>
                <w:szCs w:val="20"/>
                <w:lang w:val="en-US"/>
              </w:rPr>
              <w:t>&lt;.0001</w:t>
            </w:r>
          </w:p>
        </w:tc>
      </w:tr>
      <w:tr w:rsidR="00FD56EF" w:rsidRPr="00977044" w:rsidTr="00FD56EF">
        <w:trPr>
          <w:trHeight w:val="261"/>
        </w:trPr>
        <w:tc>
          <w:tcPr>
            <w:cnfStyle w:val="001000000000" w:firstRow="0" w:lastRow="0" w:firstColumn="1" w:lastColumn="0" w:oddVBand="0" w:evenVBand="0" w:oddHBand="0" w:evenHBand="0" w:firstRowFirstColumn="0" w:firstRowLastColumn="0" w:lastRowFirstColumn="0" w:lastRowLastColumn="0"/>
            <w:tcW w:w="2880" w:type="dxa"/>
            <w:noWrap/>
            <w:hideMark/>
          </w:tcPr>
          <w:p w:rsidR="00FD56EF" w:rsidRPr="00977044" w:rsidRDefault="00FD56EF" w:rsidP="00FD56EF">
            <w:pPr>
              <w:spacing w:line="276" w:lineRule="auto"/>
              <w:jc w:val="left"/>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 xml:space="preserve">PTH*, </w:t>
            </w:r>
            <w:proofErr w:type="spellStart"/>
            <w:r w:rsidRPr="00977044">
              <w:rPr>
                <w:rFonts w:ascii="Times New Roman" w:eastAsia="Times New Roman" w:hAnsi="Times New Roman" w:cs="Times New Roman"/>
                <w:color w:val="000000"/>
                <w:sz w:val="20"/>
                <w:szCs w:val="20"/>
                <w:lang w:val="en-US"/>
              </w:rPr>
              <w:t>pg</w:t>
            </w:r>
            <w:proofErr w:type="spellEnd"/>
            <w:r w:rsidRPr="00977044">
              <w:rPr>
                <w:rFonts w:ascii="Times New Roman" w:eastAsia="Times New Roman" w:hAnsi="Times New Roman" w:cs="Times New Roman"/>
                <w:color w:val="000000"/>
                <w:sz w:val="20"/>
                <w:szCs w:val="20"/>
                <w:lang w:val="en-US"/>
              </w:rPr>
              <w:t>/mL</w:t>
            </w:r>
          </w:p>
        </w:tc>
        <w:tc>
          <w:tcPr>
            <w:tcW w:w="1620" w:type="dxa"/>
            <w:noWrap/>
            <w:hideMark/>
          </w:tcPr>
          <w:p w:rsidR="00FD56EF" w:rsidRPr="00977044" w:rsidRDefault="00FD56EF"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53.5 (41.3 - 69.4)</w:t>
            </w:r>
          </w:p>
        </w:tc>
        <w:tc>
          <w:tcPr>
            <w:tcW w:w="1890" w:type="dxa"/>
            <w:noWrap/>
            <w:hideMark/>
          </w:tcPr>
          <w:p w:rsidR="00FD56EF" w:rsidRPr="00977044" w:rsidRDefault="00FD56EF"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46.5 (38.1 - 57.4)</w:t>
            </w:r>
          </w:p>
        </w:tc>
        <w:tc>
          <w:tcPr>
            <w:tcW w:w="1620" w:type="dxa"/>
            <w:noWrap/>
            <w:hideMark/>
          </w:tcPr>
          <w:p w:rsidR="00FD56EF" w:rsidRPr="00977044" w:rsidRDefault="00FD56EF"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42.1 (33.8 - 51.9)</w:t>
            </w:r>
          </w:p>
        </w:tc>
        <w:tc>
          <w:tcPr>
            <w:tcW w:w="900" w:type="dxa"/>
            <w:noWrap/>
            <w:hideMark/>
          </w:tcPr>
          <w:p w:rsidR="00FD56EF" w:rsidRPr="00977044" w:rsidRDefault="00FD56EF"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en-US"/>
              </w:rPr>
            </w:pPr>
            <w:r w:rsidRPr="00977044">
              <w:rPr>
                <w:rFonts w:ascii="Times New Roman" w:eastAsia="Times New Roman" w:hAnsi="Times New Roman" w:cs="Times New Roman"/>
                <w:b/>
                <w:bCs/>
                <w:color w:val="000000"/>
                <w:sz w:val="20"/>
                <w:szCs w:val="20"/>
                <w:lang w:val="en-US"/>
              </w:rPr>
              <w:t>&lt;.0001</w:t>
            </w:r>
          </w:p>
        </w:tc>
      </w:tr>
      <w:tr w:rsidR="00FD56EF" w:rsidRPr="00977044" w:rsidTr="00FD56EF">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2880" w:type="dxa"/>
            <w:noWrap/>
            <w:hideMark/>
          </w:tcPr>
          <w:p w:rsidR="00FD56EF" w:rsidRPr="00977044" w:rsidRDefault="00FD56EF" w:rsidP="00FD56EF">
            <w:pPr>
              <w:spacing w:line="276" w:lineRule="auto"/>
              <w:jc w:val="left"/>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Chol</w:t>
            </w:r>
            <w:r w:rsidRPr="00EA3B43">
              <w:rPr>
                <w:rFonts w:ascii="Times New Roman" w:eastAsia="Times New Roman" w:hAnsi="Times New Roman" w:cs="Times New Roman"/>
                <w:color w:val="000000"/>
                <w:sz w:val="20"/>
                <w:szCs w:val="20"/>
                <w:lang w:val="en-US"/>
              </w:rPr>
              <w:t>esterol</w:t>
            </w:r>
            <w:r w:rsidRPr="00977044">
              <w:rPr>
                <w:rFonts w:ascii="Times New Roman" w:eastAsia="Times New Roman" w:hAnsi="Times New Roman" w:cs="Times New Roman"/>
                <w:color w:val="000000"/>
                <w:sz w:val="20"/>
                <w:szCs w:val="20"/>
                <w:lang w:val="en-US"/>
              </w:rPr>
              <w:t>, mmol/L</w:t>
            </w:r>
          </w:p>
        </w:tc>
        <w:tc>
          <w:tcPr>
            <w:tcW w:w="1620" w:type="dxa"/>
            <w:noWrap/>
            <w:hideMark/>
          </w:tcPr>
          <w:p w:rsidR="00FD56EF" w:rsidRPr="00977044" w:rsidRDefault="00FD56EF"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5.8 (1.1)</w:t>
            </w:r>
          </w:p>
        </w:tc>
        <w:tc>
          <w:tcPr>
            <w:tcW w:w="1890" w:type="dxa"/>
            <w:noWrap/>
            <w:hideMark/>
          </w:tcPr>
          <w:p w:rsidR="00FD56EF" w:rsidRPr="00977044" w:rsidRDefault="00FD56EF"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6</w:t>
            </w:r>
            <w:r>
              <w:rPr>
                <w:rFonts w:ascii="Times New Roman" w:eastAsia="Times New Roman" w:hAnsi="Times New Roman" w:cs="Times New Roman"/>
                <w:color w:val="000000"/>
                <w:sz w:val="20"/>
                <w:szCs w:val="20"/>
                <w:lang w:val="en-US"/>
              </w:rPr>
              <w:t>.0</w:t>
            </w:r>
            <w:r w:rsidRPr="00977044">
              <w:rPr>
                <w:rFonts w:ascii="Times New Roman" w:eastAsia="Times New Roman" w:hAnsi="Times New Roman" w:cs="Times New Roman"/>
                <w:color w:val="000000"/>
                <w:sz w:val="20"/>
                <w:szCs w:val="20"/>
                <w:lang w:val="en-US"/>
              </w:rPr>
              <w:t xml:space="preserve"> (1.1)</w:t>
            </w:r>
          </w:p>
        </w:tc>
        <w:tc>
          <w:tcPr>
            <w:tcW w:w="1620" w:type="dxa"/>
            <w:noWrap/>
            <w:hideMark/>
          </w:tcPr>
          <w:p w:rsidR="00FD56EF" w:rsidRPr="00977044" w:rsidRDefault="00FD56EF"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6</w:t>
            </w:r>
            <w:r w:rsidRPr="00EA3B43">
              <w:rPr>
                <w:rFonts w:ascii="Times New Roman" w:eastAsia="Times New Roman" w:hAnsi="Times New Roman" w:cs="Times New Roman"/>
                <w:color w:val="000000"/>
                <w:sz w:val="20"/>
                <w:szCs w:val="20"/>
                <w:lang w:val="en-US"/>
              </w:rPr>
              <w:t>.0</w:t>
            </w:r>
            <w:r w:rsidRPr="00977044">
              <w:rPr>
                <w:rFonts w:ascii="Times New Roman" w:eastAsia="Times New Roman" w:hAnsi="Times New Roman" w:cs="Times New Roman"/>
                <w:color w:val="000000"/>
                <w:sz w:val="20"/>
                <w:szCs w:val="20"/>
                <w:lang w:val="en-US"/>
              </w:rPr>
              <w:t xml:space="preserve"> (1.1)</w:t>
            </w:r>
          </w:p>
        </w:tc>
        <w:tc>
          <w:tcPr>
            <w:tcW w:w="900" w:type="dxa"/>
            <w:noWrap/>
            <w:hideMark/>
          </w:tcPr>
          <w:p w:rsidR="00FD56EF" w:rsidRPr="00977044" w:rsidRDefault="00FD56EF"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en-US"/>
              </w:rPr>
            </w:pPr>
            <w:r w:rsidRPr="00977044">
              <w:rPr>
                <w:rFonts w:ascii="Times New Roman" w:eastAsia="Times New Roman" w:hAnsi="Times New Roman" w:cs="Times New Roman"/>
                <w:b/>
                <w:bCs/>
                <w:color w:val="000000"/>
                <w:sz w:val="20"/>
                <w:szCs w:val="20"/>
                <w:lang w:val="en-US"/>
              </w:rPr>
              <w:t>0.0046</w:t>
            </w:r>
          </w:p>
        </w:tc>
      </w:tr>
      <w:tr w:rsidR="00FD56EF" w:rsidRPr="00977044" w:rsidTr="00FD56EF">
        <w:trPr>
          <w:trHeight w:val="90"/>
        </w:trPr>
        <w:tc>
          <w:tcPr>
            <w:cnfStyle w:val="001000000000" w:firstRow="0" w:lastRow="0" w:firstColumn="1" w:lastColumn="0" w:oddVBand="0" w:evenVBand="0" w:oddHBand="0" w:evenHBand="0" w:firstRowFirstColumn="0" w:firstRowLastColumn="0" w:lastRowFirstColumn="0" w:lastRowLastColumn="0"/>
            <w:tcW w:w="2880" w:type="dxa"/>
            <w:noWrap/>
            <w:hideMark/>
          </w:tcPr>
          <w:p w:rsidR="00FD56EF" w:rsidRPr="00977044" w:rsidRDefault="00FD56EF" w:rsidP="00FD56EF">
            <w:pPr>
              <w:spacing w:line="276" w:lineRule="auto"/>
              <w:jc w:val="left"/>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HDL, mmol/L</w:t>
            </w:r>
          </w:p>
        </w:tc>
        <w:tc>
          <w:tcPr>
            <w:tcW w:w="1620" w:type="dxa"/>
            <w:noWrap/>
            <w:hideMark/>
          </w:tcPr>
          <w:p w:rsidR="00FD56EF" w:rsidRPr="00977044" w:rsidRDefault="00FD56EF"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1.3 (0.4)</w:t>
            </w:r>
          </w:p>
        </w:tc>
        <w:tc>
          <w:tcPr>
            <w:tcW w:w="1890" w:type="dxa"/>
            <w:noWrap/>
            <w:hideMark/>
          </w:tcPr>
          <w:p w:rsidR="00FD56EF" w:rsidRPr="00977044" w:rsidRDefault="00FD56EF"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1.3 (0.4)</w:t>
            </w:r>
          </w:p>
        </w:tc>
        <w:tc>
          <w:tcPr>
            <w:tcW w:w="1620" w:type="dxa"/>
            <w:noWrap/>
            <w:hideMark/>
          </w:tcPr>
          <w:p w:rsidR="00FD56EF" w:rsidRPr="00977044" w:rsidRDefault="00FD56EF"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1.3 (0.3)</w:t>
            </w:r>
          </w:p>
        </w:tc>
        <w:tc>
          <w:tcPr>
            <w:tcW w:w="900" w:type="dxa"/>
            <w:noWrap/>
            <w:hideMark/>
          </w:tcPr>
          <w:p w:rsidR="00FD56EF" w:rsidRPr="00977044" w:rsidRDefault="00FD56EF"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en-US"/>
              </w:rPr>
            </w:pPr>
            <w:r w:rsidRPr="00977044">
              <w:rPr>
                <w:rFonts w:ascii="Times New Roman" w:eastAsia="Times New Roman" w:hAnsi="Times New Roman" w:cs="Times New Roman"/>
                <w:b/>
                <w:bCs/>
                <w:color w:val="000000"/>
                <w:sz w:val="20"/>
                <w:szCs w:val="20"/>
                <w:lang w:val="en-US"/>
              </w:rPr>
              <w:t>0.0909</w:t>
            </w:r>
          </w:p>
        </w:tc>
      </w:tr>
      <w:tr w:rsidR="00FD56EF" w:rsidRPr="00977044" w:rsidTr="00FD56EF">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880" w:type="dxa"/>
            <w:noWrap/>
            <w:hideMark/>
          </w:tcPr>
          <w:p w:rsidR="00FD56EF" w:rsidRPr="00977044" w:rsidRDefault="00FD56EF" w:rsidP="00FD56EF">
            <w:pPr>
              <w:spacing w:line="276" w:lineRule="auto"/>
              <w:jc w:val="left"/>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Phos</w:t>
            </w:r>
            <w:r w:rsidRPr="00EA3B43">
              <w:rPr>
                <w:rFonts w:ascii="Times New Roman" w:eastAsia="Times New Roman" w:hAnsi="Times New Roman" w:cs="Times New Roman"/>
                <w:color w:val="000000"/>
                <w:sz w:val="20"/>
                <w:szCs w:val="20"/>
                <w:lang w:val="en-US"/>
              </w:rPr>
              <w:t>phate</w:t>
            </w:r>
            <w:r w:rsidRPr="00977044">
              <w:rPr>
                <w:rFonts w:ascii="Times New Roman" w:eastAsia="Times New Roman" w:hAnsi="Times New Roman" w:cs="Times New Roman"/>
                <w:color w:val="000000"/>
                <w:sz w:val="20"/>
                <w:szCs w:val="20"/>
                <w:lang w:val="en-US"/>
              </w:rPr>
              <w:t>, mmol/L</w:t>
            </w:r>
          </w:p>
        </w:tc>
        <w:tc>
          <w:tcPr>
            <w:tcW w:w="1620" w:type="dxa"/>
            <w:noWrap/>
            <w:hideMark/>
          </w:tcPr>
          <w:p w:rsidR="00FD56EF" w:rsidRPr="00977044" w:rsidRDefault="00FD56EF"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1.2 (0.2)</w:t>
            </w:r>
          </w:p>
        </w:tc>
        <w:tc>
          <w:tcPr>
            <w:tcW w:w="1890" w:type="dxa"/>
            <w:noWrap/>
            <w:hideMark/>
          </w:tcPr>
          <w:p w:rsidR="00FD56EF" w:rsidRPr="00977044" w:rsidRDefault="00FD56EF"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1.2 (0.2)</w:t>
            </w:r>
          </w:p>
        </w:tc>
        <w:tc>
          <w:tcPr>
            <w:tcW w:w="1620" w:type="dxa"/>
            <w:noWrap/>
            <w:hideMark/>
          </w:tcPr>
          <w:p w:rsidR="00FD56EF" w:rsidRPr="00977044" w:rsidRDefault="00FD56EF"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1.2 (0.2)</w:t>
            </w:r>
          </w:p>
        </w:tc>
        <w:tc>
          <w:tcPr>
            <w:tcW w:w="900" w:type="dxa"/>
            <w:noWrap/>
            <w:hideMark/>
          </w:tcPr>
          <w:p w:rsidR="00FD56EF" w:rsidRPr="00977044" w:rsidRDefault="00FD56EF"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en-US"/>
              </w:rPr>
            </w:pPr>
            <w:r w:rsidRPr="00977044">
              <w:rPr>
                <w:rFonts w:ascii="Times New Roman" w:eastAsia="Times New Roman" w:hAnsi="Times New Roman" w:cs="Times New Roman"/>
                <w:b/>
                <w:bCs/>
                <w:color w:val="000000"/>
                <w:sz w:val="20"/>
                <w:szCs w:val="20"/>
                <w:lang w:val="en-US"/>
              </w:rPr>
              <w:t>0.8599</w:t>
            </w:r>
          </w:p>
        </w:tc>
      </w:tr>
      <w:tr w:rsidR="00FD56EF" w:rsidRPr="00977044" w:rsidTr="00FD56EF">
        <w:trPr>
          <w:trHeight w:val="189"/>
        </w:trPr>
        <w:tc>
          <w:tcPr>
            <w:cnfStyle w:val="001000000000" w:firstRow="0" w:lastRow="0" w:firstColumn="1" w:lastColumn="0" w:oddVBand="0" w:evenVBand="0" w:oddHBand="0" w:evenHBand="0" w:firstRowFirstColumn="0" w:firstRowLastColumn="0" w:lastRowFirstColumn="0" w:lastRowLastColumn="0"/>
            <w:tcW w:w="2880" w:type="dxa"/>
            <w:noWrap/>
            <w:hideMark/>
          </w:tcPr>
          <w:p w:rsidR="00FD56EF" w:rsidRPr="00977044" w:rsidRDefault="00FD56EF" w:rsidP="00FD56EF">
            <w:pPr>
              <w:spacing w:line="276" w:lineRule="auto"/>
              <w:jc w:val="left"/>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Calcium, mmol/L</w:t>
            </w:r>
          </w:p>
        </w:tc>
        <w:tc>
          <w:tcPr>
            <w:tcW w:w="1620" w:type="dxa"/>
            <w:noWrap/>
            <w:hideMark/>
          </w:tcPr>
          <w:p w:rsidR="00FD56EF" w:rsidRPr="00977044" w:rsidRDefault="00FD56EF"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2.3 (0.1)</w:t>
            </w:r>
          </w:p>
        </w:tc>
        <w:tc>
          <w:tcPr>
            <w:tcW w:w="1890" w:type="dxa"/>
            <w:noWrap/>
            <w:hideMark/>
          </w:tcPr>
          <w:p w:rsidR="00FD56EF" w:rsidRPr="00977044" w:rsidRDefault="00FD56EF"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2.3 (0.1)</w:t>
            </w:r>
          </w:p>
        </w:tc>
        <w:tc>
          <w:tcPr>
            <w:tcW w:w="1620" w:type="dxa"/>
            <w:noWrap/>
            <w:hideMark/>
          </w:tcPr>
          <w:p w:rsidR="00FD56EF" w:rsidRPr="00977044" w:rsidRDefault="00FD56EF"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2.4 (0.1)</w:t>
            </w:r>
          </w:p>
        </w:tc>
        <w:tc>
          <w:tcPr>
            <w:tcW w:w="900" w:type="dxa"/>
            <w:noWrap/>
            <w:hideMark/>
          </w:tcPr>
          <w:p w:rsidR="00FD56EF" w:rsidRPr="00977044" w:rsidRDefault="00FD56EF"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en-US"/>
              </w:rPr>
            </w:pPr>
            <w:r w:rsidRPr="00977044">
              <w:rPr>
                <w:rFonts w:ascii="Times New Roman" w:eastAsia="Times New Roman" w:hAnsi="Times New Roman" w:cs="Times New Roman"/>
                <w:b/>
                <w:bCs/>
                <w:color w:val="000000"/>
                <w:sz w:val="20"/>
                <w:szCs w:val="20"/>
                <w:lang w:val="en-US"/>
              </w:rPr>
              <w:t>0.0783</w:t>
            </w:r>
          </w:p>
        </w:tc>
      </w:tr>
      <w:tr w:rsidR="00FD56EF" w:rsidRPr="00977044" w:rsidTr="00FD56EF">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2880" w:type="dxa"/>
            <w:noWrap/>
            <w:hideMark/>
          </w:tcPr>
          <w:p w:rsidR="00FD56EF" w:rsidRPr="00977044" w:rsidRDefault="00FD56EF" w:rsidP="00FD56EF">
            <w:pPr>
              <w:spacing w:line="276" w:lineRule="auto"/>
              <w:jc w:val="left"/>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Vitamin D, nmol/L</w:t>
            </w:r>
          </w:p>
        </w:tc>
        <w:tc>
          <w:tcPr>
            <w:tcW w:w="1620" w:type="dxa"/>
            <w:noWrap/>
            <w:hideMark/>
          </w:tcPr>
          <w:p w:rsidR="00FD56EF" w:rsidRPr="00977044" w:rsidRDefault="00FD56EF"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16.9 (5.5)</w:t>
            </w:r>
          </w:p>
        </w:tc>
        <w:tc>
          <w:tcPr>
            <w:tcW w:w="1890" w:type="dxa"/>
            <w:noWrap/>
            <w:hideMark/>
          </w:tcPr>
          <w:p w:rsidR="00FD56EF" w:rsidRPr="00977044" w:rsidRDefault="00FD56EF"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37</w:t>
            </w:r>
            <w:r w:rsidRPr="00EA3B43">
              <w:rPr>
                <w:rFonts w:ascii="Times New Roman" w:eastAsia="Times New Roman" w:hAnsi="Times New Roman" w:cs="Times New Roman"/>
                <w:color w:val="000000"/>
                <w:sz w:val="20"/>
                <w:szCs w:val="20"/>
                <w:lang w:val="en-US"/>
              </w:rPr>
              <w:t>.0</w:t>
            </w:r>
            <w:r w:rsidRPr="00977044">
              <w:rPr>
                <w:rFonts w:ascii="Times New Roman" w:eastAsia="Times New Roman" w:hAnsi="Times New Roman" w:cs="Times New Roman"/>
                <w:color w:val="000000"/>
                <w:sz w:val="20"/>
                <w:szCs w:val="20"/>
                <w:lang w:val="en-US"/>
              </w:rPr>
              <w:t xml:space="preserve"> (6.9)</w:t>
            </w:r>
          </w:p>
        </w:tc>
        <w:tc>
          <w:tcPr>
            <w:tcW w:w="1620" w:type="dxa"/>
            <w:noWrap/>
            <w:hideMark/>
          </w:tcPr>
          <w:p w:rsidR="00FD56EF" w:rsidRPr="00977044" w:rsidRDefault="00FD56EF"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69</w:t>
            </w:r>
            <w:r w:rsidRPr="00EA3B43">
              <w:rPr>
                <w:rFonts w:ascii="Times New Roman" w:eastAsia="Times New Roman" w:hAnsi="Times New Roman" w:cs="Times New Roman"/>
                <w:color w:val="000000"/>
                <w:sz w:val="20"/>
                <w:szCs w:val="20"/>
                <w:lang w:val="en-US"/>
              </w:rPr>
              <w:t>.0</w:t>
            </w:r>
            <w:r w:rsidRPr="00977044">
              <w:rPr>
                <w:rFonts w:ascii="Times New Roman" w:eastAsia="Times New Roman" w:hAnsi="Times New Roman" w:cs="Times New Roman"/>
                <w:color w:val="000000"/>
                <w:sz w:val="20"/>
                <w:szCs w:val="20"/>
                <w:lang w:val="en-US"/>
              </w:rPr>
              <w:t xml:space="preserve"> (17.2)</w:t>
            </w:r>
          </w:p>
        </w:tc>
        <w:tc>
          <w:tcPr>
            <w:tcW w:w="900" w:type="dxa"/>
            <w:noWrap/>
            <w:hideMark/>
          </w:tcPr>
          <w:p w:rsidR="00FD56EF" w:rsidRPr="00977044" w:rsidRDefault="00FD56EF"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en-US"/>
              </w:rPr>
            </w:pPr>
            <w:r w:rsidRPr="00977044">
              <w:rPr>
                <w:rFonts w:ascii="Times New Roman" w:eastAsia="Times New Roman" w:hAnsi="Times New Roman" w:cs="Times New Roman"/>
                <w:b/>
                <w:bCs/>
                <w:color w:val="000000"/>
                <w:sz w:val="20"/>
                <w:szCs w:val="20"/>
                <w:lang w:val="en-US"/>
              </w:rPr>
              <w:t>&lt;.0001</w:t>
            </w:r>
          </w:p>
        </w:tc>
      </w:tr>
      <w:tr w:rsidR="00FD56EF" w:rsidRPr="00977044" w:rsidTr="00FD56EF">
        <w:trPr>
          <w:trHeight w:val="108"/>
        </w:trPr>
        <w:tc>
          <w:tcPr>
            <w:cnfStyle w:val="001000000000" w:firstRow="0" w:lastRow="0" w:firstColumn="1" w:lastColumn="0" w:oddVBand="0" w:evenVBand="0" w:oddHBand="0" w:evenHBand="0" w:firstRowFirstColumn="0" w:firstRowLastColumn="0" w:lastRowFirstColumn="0" w:lastRowLastColumn="0"/>
            <w:tcW w:w="2880" w:type="dxa"/>
            <w:noWrap/>
          </w:tcPr>
          <w:p w:rsidR="00FD56EF" w:rsidRPr="00EA3B43" w:rsidRDefault="00FD56EF" w:rsidP="00FD56EF">
            <w:pPr>
              <w:spacing w:line="276" w:lineRule="auto"/>
              <w:jc w:val="left"/>
              <w:rPr>
                <w:rFonts w:ascii="Times New Roman" w:eastAsia="Times New Roman" w:hAnsi="Times New Roman" w:cs="Times New Roman"/>
                <w:b/>
                <w:color w:val="000000"/>
                <w:sz w:val="20"/>
                <w:szCs w:val="20"/>
                <w:lang w:val="en-US"/>
              </w:rPr>
            </w:pPr>
            <w:r w:rsidRPr="00EA3B43">
              <w:rPr>
                <w:rFonts w:ascii="Times New Roman" w:eastAsia="Times New Roman" w:hAnsi="Times New Roman" w:cs="Times New Roman"/>
                <w:b/>
                <w:color w:val="000000"/>
                <w:sz w:val="20"/>
                <w:szCs w:val="20"/>
                <w:lang w:val="en-US"/>
              </w:rPr>
              <w:t>Co-morbid Conditions (</w:t>
            </w:r>
            <w:r w:rsidR="00F7119F">
              <w:rPr>
                <w:rFonts w:ascii="Times New Roman" w:eastAsia="Times New Roman" w:hAnsi="Times New Roman" w:cs="Times New Roman"/>
                <w:b/>
                <w:color w:val="000000"/>
                <w:sz w:val="20"/>
                <w:szCs w:val="20"/>
                <w:lang w:val="en-US"/>
              </w:rPr>
              <w:t xml:space="preserve">n, </w:t>
            </w:r>
            <w:r w:rsidRPr="00EA3B43">
              <w:rPr>
                <w:rFonts w:ascii="Times New Roman" w:eastAsia="Times New Roman" w:hAnsi="Times New Roman" w:cs="Times New Roman"/>
                <w:b/>
                <w:color w:val="000000"/>
                <w:sz w:val="20"/>
                <w:szCs w:val="20"/>
                <w:lang w:val="en-US"/>
              </w:rPr>
              <w:t>%)</w:t>
            </w:r>
          </w:p>
        </w:tc>
        <w:tc>
          <w:tcPr>
            <w:tcW w:w="1620" w:type="dxa"/>
            <w:noWrap/>
          </w:tcPr>
          <w:p w:rsidR="00FD56EF" w:rsidRPr="00EA3B43" w:rsidRDefault="00FD56EF"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p>
        </w:tc>
        <w:tc>
          <w:tcPr>
            <w:tcW w:w="1890" w:type="dxa"/>
            <w:noWrap/>
          </w:tcPr>
          <w:p w:rsidR="00FD56EF" w:rsidRPr="00EA3B43" w:rsidRDefault="00FD56EF"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p>
        </w:tc>
        <w:tc>
          <w:tcPr>
            <w:tcW w:w="1620" w:type="dxa"/>
            <w:noWrap/>
          </w:tcPr>
          <w:p w:rsidR="00FD56EF" w:rsidRPr="00EA3B43" w:rsidRDefault="00FD56EF"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p>
        </w:tc>
        <w:tc>
          <w:tcPr>
            <w:tcW w:w="900" w:type="dxa"/>
            <w:noWrap/>
          </w:tcPr>
          <w:p w:rsidR="00FD56EF" w:rsidRPr="00EA3B43" w:rsidRDefault="00FD56EF"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p>
        </w:tc>
      </w:tr>
      <w:tr w:rsidR="00FD56EF" w:rsidRPr="00977044" w:rsidTr="00FD56EF">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2880" w:type="dxa"/>
            <w:noWrap/>
            <w:hideMark/>
          </w:tcPr>
          <w:p w:rsidR="00FD56EF" w:rsidRPr="00977044" w:rsidRDefault="00FD56EF" w:rsidP="00FD56EF">
            <w:pPr>
              <w:spacing w:line="276" w:lineRule="auto"/>
              <w:jc w:val="left"/>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Hypertension</w:t>
            </w:r>
          </w:p>
        </w:tc>
        <w:tc>
          <w:tcPr>
            <w:tcW w:w="1620" w:type="dxa"/>
            <w:noWrap/>
            <w:vAlign w:val="bottom"/>
            <w:hideMark/>
          </w:tcPr>
          <w:p w:rsidR="00FD56EF" w:rsidRPr="00977044" w:rsidRDefault="00A8336F"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Pr>
                <w:rFonts w:ascii="Times New Roman" w:hAnsi="Times New Roman" w:cs="Times New Roman"/>
                <w:color w:val="000000"/>
                <w:sz w:val="20"/>
                <w:szCs w:val="20"/>
              </w:rPr>
              <w:t>284 (</w:t>
            </w:r>
            <w:r w:rsidR="00FD56EF">
              <w:rPr>
                <w:rFonts w:ascii="Times New Roman" w:hAnsi="Times New Roman" w:cs="Times New Roman"/>
                <w:color w:val="000000"/>
                <w:sz w:val="20"/>
                <w:szCs w:val="20"/>
              </w:rPr>
              <w:t>78.2</w:t>
            </w:r>
            <w:r>
              <w:rPr>
                <w:rFonts w:ascii="Times New Roman" w:hAnsi="Times New Roman" w:cs="Times New Roman"/>
                <w:color w:val="000000"/>
                <w:sz w:val="20"/>
                <w:szCs w:val="20"/>
              </w:rPr>
              <w:t>)</w:t>
            </w:r>
          </w:p>
        </w:tc>
        <w:tc>
          <w:tcPr>
            <w:tcW w:w="1890" w:type="dxa"/>
            <w:noWrap/>
            <w:vAlign w:val="bottom"/>
            <w:hideMark/>
          </w:tcPr>
          <w:p w:rsidR="00FD56EF" w:rsidRPr="00977044" w:rsidRDefault="00A8336F"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Pr>
                <w:rFonts w:ascii="Times New Roman" w:hAnsi="Times New Roman" w:cs="Times New Roman"/>
                <w:color w:val="000000"/>
                <w:sz w:val="20"/>
                <w:szCs w:val="20"/>
              </w:rPr>
              <w:t>1142 (</w:t>
            </w:r>
            <w:r w:rsidR="00FD56EF">
              <w:rPr>
                <w:rFonts w:ascii="Times New Roman" w:hAnsi="Times New Roman" w:cs="Times New Roman"/>
                <w:color w:val="000000"/>
                <w:sz w:val="20"/>
                <w:szCs w:val="20"/>
              </w:rPr>
              <w:t>74.5</w:t>
            </w:r>
            <w:r>
              <w:rPr>
                <w:rFonts w:ascii="Times New Roman" w:hAnsi="Times New Roman" w:cs="Times New Roman"/>
                <w:color w:val="000000"/>
                <w:sz w:val="20"/>
                <w:szCs w:val="20"/>
              </w:rPr>
              <w:t>)</w:t>
            </w:r>
          </w:p>
        </w:tc>
        <w:tc>
          <w:tcPr>
            <w:tcW w:w="1620" w:type="dxa"/>
            <w:noWrap/>
            <w:vAlign w:val="bottom"/>
            <w:hideMark/>
          </w:tcPr>
          <w:p w:rsidR="00FD56EF" w:rsidRPr="00977044" w:rsidRDefault="00A8336F"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Pr>
                <w:rFonts w:ascii="Times New Roman" w:hAnsi="Times New Roman" w:cs="Times New Roman"/>
                <w:color w:val="000000"/>
                <w:sz w:val="20"/>
                <w:szCs w:val="20"/>
              </w:rPr>
              <w:t>1285 (</w:t>
            </w:r>
            <w:r w:rsidR="00FD56EF">
              <w:rPr>
                <w:rFonts w:ascii="Times New Roman" w:hAnsi="Times New Roman" w:cs="Times New Roman"/>
                <w:color w:val="000000"/>
                <w:sz w:val="20"/>
                <w:szCs w:val="20"/>
              </w:rPr>
              <w:t>74.6</w:t>
            </w:r>
            <w:r>
              <w:rPr>
                <w:rFonts w:ascii="Times New Roman" w:hAnsi="Times New Roman" w:cs="Times New Roman"/>
                <w:color w:val="000000"/>
                <w:sz w:val="20"/>
                <w:szCs w:val="20"/>
              </w:rPr>
              <w:t>)</w:t>
            </w:r>
          </w:p>
        </w:tc>
        <w:tc>
          <w:tcPr>
            <w:tcW w:w="900" w:type="dxa"/>
            <w:noWrap/>
            <w:hideMark/>
          </w:tcPr>
          <w:p w:rsidR="00FD56EF" w:rsidRPr="00977044" w:rsidRDefault="00FD56EF"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3044</w:t>
            </w:r>
          </w:p>
        </w:tc>
      </w:tr>
      <w:tr w:rsidR="00FD56EF" w:rsidRPr="00977044" w:rsidTr="00FD56EF">
        <w:trPr>
          <w:trHeight w:val="117"/>
        </w:trPr>
        <w:tc>
          <w:tcPr>
            <w:cnfStyle w:val="001000000000" w:firstRow="0" w:lastRow="0" w:firstColumn="1" w:lastColumn="0" w:oddVBand="0" w:evenVBand="0" w:oddHBand="0" w:evenHBand="0" w:firstRowFirstColumn="0" w:firstRowLastColumn="0" w:lastRowFirstColumn="0" w:lastRowLastColumn="0"/>
            <w:tcW w:w="2880" w:type="dxa"/>
            <w:noWrap/>
            <w:hideMark/>
          </w:tcPr>
          <w:p w:rsidR="00FD56EF" w:rsidRPr="00977044" w:rsidRDefault="00FD56EF" w:rsidP="00FD56EF">
            <w:pPr>
              <w:spacing w:line="276" w:lineRule="auto"/>
              <w:jc w:val="left"/>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MI</w:t>
            </w:r>
          </w:p>
        </w:tc>
        <w:tc>
          <w:tcPr>
            <w:tcW w:w="1620" w:type="dxa"/>
            <w:noWrap/>
            <w:vAlign w:val="bottom"/>
            <w:hideMark/>
          </w:tcPr>
          <w:p w:rsidR="00FD56EF" w:rsidRPr="00977044" w:rsidRDefault="00A8336F"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Pr>
                <w:rFonts w:ascii="Times New Roman" w:hAnsi="Times New Roman" w:cs="Times New Roman"/>
                <w:color w:val="000000"/>
                <w:sz w:val="20"/>
                <w:szCs w:val="20"/>
              </w:rPr>
              <w:t>31 (</w:t>
            </w:r>
            <w:r w:rsidR="00FD56EF" w:rsidRPr="00EA3B43">
              <w:rPr>
                <w:rFonts w:ascii="Times New Roman" w:hAnsi="Times New Roman" w:cs="Times New Roman"/>
                <w:color w:val="000000"/>
                <w:sz w:val="20"/>
                <w:szCs w:val="20"/>
              </w:rPr>
              <w:t>8.5</w:t>
            </w:r>
            <w:r>
              <w:rPr>
                <w:rFonts w:ascii="Times New Roman" w:hAnsi="Times New Roman" w:cs="Times New Roman"/>
                <w:color w:val="000000"/>
                <w:sz w:val="20"/>
                <w:szCs w:val="20"/>
              </w:rPr>
              <w:t>)</w:t>
            </w:r>
          </w:p>
        </w:tc>
        <w:tc>
          <w:tcPr>
            <w:tcW w:w="1890" w:type="dxa"/>
            <w:noWrap/>
            <w:vAlign w:val="bottom"/>
            <w:hideMark/>
          </w:tcPr>
          <w:p w:rsidR="00FD56EF" w:rsidRPr="00977044" w:rsidRDefault="00A8336F"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Pr>
                <w:rFonts w:ascii="Times New Roman" w:hAnsi="Times New Roman" w:cs="Times New Roman"/>
                <w:color w:val="000000"/>
                <w:sz w:val="20"/>
                <w:szCs w:val="20"/>
              </w:rPr>
              <w:t>94 (</w:t>
            </w:r>
            <w:r w:rsidR="00FD56EF" w:rsidRPr="00EA3B43">
              <w:rPr>
                <w:rFonts w:ascii="Times New Roman" w:hAnsi="Times New Roman" w:cs="Times New Roman"/>
                <w:color w:val="000000"/>
                <w:sz w:val="20"/>
                <w:szCs w:val="20"/>
              </w:rPr>
              <w:t>6.1</w:t>
            </w:r>
            <w:r>
              <w:rPr>
                <w:rFonts w:ascii="Times New Roman" w:hAnsi="Times New Roman" w:cs="Times New Roman"/>
                <w:color w:val="000000"/>
                <w:sz w:val="20"/>
                <w:szCs w:val="20"/>
              </w:rPr>
              <w:t>)</w:t>
            </w:r>
          </w:p>
        </w:tc>
        <w:tc>
          <w:tcPr>
            <w:tcW w:w="1620" w:type="dxa"/>
            <w:noWrap/>
            <w:vAlign w:val="bottom"/>
            <w:hideMark/>
          </w:tcPr>
          <w:p w:rsidR="00FD56EF" w:rsidRPr="00977044" w:rsidRDefault="00A8336F"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Pr>
                <w:rFonts w:ascii="Times New Roman" w:hAnsi="Times New Roman" w:cs="Times New Roman"/>
                <w:color w:val="000000"/>
                <w:sz w:val="20"/>
                <w:szCs w:val="20"/>
              </w:rPr>
              <w:t>104 (</w:t>
            </w:r>
            <w:r w:rsidR="00FD56EF" w:rsidRPr="00EA3B43">
              <w:rPr>
                <w:rFonts w:ascii="Times New Roman" w:hAnsi="Times New Roman" w:cs="Times New Roman"/>
                <w:color w:val="000000"/>
                <w:sz w:val="20"/>
                <w:szCs w:val="20"/>
              </w:rPr>
              <w:t>6.0</w:t>
            </w:r>
            <w:r>
              <w:rPr>
                <w:rFonts w:ascii="Times New Roman" w:hAnsi="Times New Roman" w:cs="Times New Roman"/>
                <w:color w:val="000000"/>
                <w:sz w:val="20"/>
                <w:szCs w:val="20"/>
              </w:rPr>
              <w:t>)</w:t>
            </w:r>
          </w:p>
        </w:tc>
        <w:tc>
          <w:tcPr>
            <w:tcW w:w="900" w:type="dxa"/>
            <w:noWrap/>
            <w:hideMark/>
          </w:tcPr>
          <w:p w:rsidR="00FD56EF" w:rsidRPr="00977044" w:rsidRDefault="00FD56EF"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0.1872</w:t>
            </w:r>
          </w:p>
        </w:tc>
      </w:tr>
      <w:tr w:rsidR="00FD56EF" w:rsidRPr="00977044" w:rsidTr="00FD56EF">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2880" w:type="dxa"/>
            <w:noWrap/>
            <w:hideMark/>
          </w:tcPr>
          <w:p w:rsidR="00FD56EF" w:rsidRPr="00977044" w:rsidRDefault="00FD56EF" w:rsidP="00FD56EF">
            <w:pPr>
              <w:spacing w:line="276" w:lineRule="auto"/>
              <w:jc w:val="left"/>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Stroke</w:t>
            </w:r>
          </w:p>
        </w:tc>
        <w:tc>
          <w:tcPr>
            <w:tcW w:w="1620" w:type="dxa"/>
            <w:noWrap/>
            <w:vAlign w:val="bottom"/>
            <w:hideMark/>
          </w:tcPr>
          <w:p w:rsidR="00FD56EF" w:rsidRPr="00977044" w:rsidRDefault="00FF3EBC"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Pr>
                <w:rFonts w:ascii="Times New Roman" w:hAnsi="Times New Roman" w:cs="Times New Roman"/>
                <w:color w:val="000000"/>
                <w:sz w:val="20"/>
                <w:szCs w:val="20"/>
              </w:rPr>
              <w:t>20 (</w:t>
            </w:r>
            <w:r w:rsidR="00FD56EF" w:rsidRPr="00EA3B43">
              <w:rPr>
                <w:rFonts w:ascii="Times New Roman" w:hAnsi="Times New Roman" w:cs="Times New Roman"/>
                <w:color w:val="000000"/>
                <w:sz w:val="20"/>
                <w:szCs w:val="20"/>
              </w:rPr>
              <w:t>5.5</w:t>
            </w:r>
            <w:r>
              <w:rPr>
                <w:rFonts w:ascii="Times New Roman" w:hAnsi="Times New Roman" w:cs="Times New Roman"/>
                <w:color w:val="000000"/>
                <w:sz w:val="20"/>
                <w:szCs w:val="20"/>
              </w:rPr>
              <w:t>)</w:t>
            </w:r>
          </w:p>
        </w:tc>
        <w:tc>
          <w:tcPr>
            <w:tcW w:w="1890" w:type="dxa"/>
            <w:noWrap/>
            <w:vAlign w:val="bottom"/>
            <w:hideMark/>
          </w:tcPr>
          <w:p w:rsidR="00FD56EF" w:rsidRPr="00977044" w:rsidRDefault="00FF3EBC"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Pr>
                <w:rFonts w:ascii="Times New Roman" w:hAnsi="Times New Roman" w:cs="Times New Roman"/>
                <w:color w:val="000000"/>
                <w:sz w:val="20"/>
                <w:szCs w:val="20"/>
              </w:rPr>
              <w:t>47 (</w:t>
            </w:r>
            <w:r w:rsidR="00FD56EF" w:rsidRPr="00EA3B43">
              <w:rPr>
                <w:rFonts w:ascii="Times New Roman" w:hAnsi="Times New Roman" w:cs="Times New Roman"/>
                <w:color w:val="000000"/>
                <w:sz w:val="20"/>
                <w:szCs w:val="20"/>
              </w:rPr>
              <w:t>3.1</w:t>
            </w:r>
            <w:r>
              <w:rPr>
                <w:rFonts w:ascii="Times New Roman" w:hAnsi="Times New Roman" w:cs="Times New Roman"/>
                <w:color w:val="000000"/>
                <w:sz w:val="20"/>
                <w:szCs w:val="20"/>
              </w:rPr>
              <w:t>)</w:t>
            </w:r>
          </w:p>
        </w:tc>
        <w:tc>
          <w:tcPr>
            <w:tcW w:w="1620" w:type="dxa"/>
            <w:noWrap/>
            <w:vAlign w:val="bottom"/>
            <w:hideMark/>
          </w:tcPr>
          <w:p w:rsidR="00FD56EF" w:rsidRPr="00977044" w:rsidRDefault="00FF3EBC"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Pr>
                <w:rFonts w:ascii="Times New Roman" w:hAnsi="Times New Roman" w:cs="Times New Roman"/>
                <w:color w:val="000000"/>
                <w:sz w:val="20"/>
                <w:szCs w:val="20"/>
              </w:rPr>
              <w:t>38 (</w:t>
            </w:r>
            <w:r w:rsidR="00FD56EF" w:rsidRPr="00EA3B43">
              <w:rPr>
                <w:rFonts w:ascii="Times New Roman" w:hAnsi="Times New Roman" w:cs="Times New Roman"/>
                <w:color w:val="000000"/>
                <w:sz w:val="20"/>
                <w:szCs w:val="20"/>
              </w:rPr>
              <w:t>2.2</w:t>
            </w:r>
            <w:r>
              <w:rPr>
                <w:rFonts w:ascii="Times New Roman" w:hAnsi="Times New Roman" w:cs="Times New Roman"/>
                <w:color w:val="000000"/>
                <w:sz w:val="20"/>
                <w:szCs w:val="20"/>
              </w:rPr>
              <w:t>)</w:t>
            </w:r>
          </w:p>
        </w:tc>
        <w:tc>
          <w:tcPr>
            <w:tcW w:w="900" w:type="dxa"/>
            <w:noWrap/>
            <w:hideMark/>
          </w:tcPr>
          <w:p w:rsidR="00FD56EF" w:rsidRPr="00977044" w:rsidRDefault="00FD56EF"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0.0026</w:t>
            </w:r>
          </w:p>
        </w:tc>
      </w:tr>
      <w:tr w:rsidR="00FD56EF" w:rsidRPr="00977044" w:rsidTr="00FD56EF">
        <w:trPr>
          <w:trHeight w:val="66"/>
        </w:trPr>
        <w:tc>
          <w:tcPr>
            <w:cnfStyle w:val="001000000000" w:firstRow="0" w:lastRow="0" w:firstColumn="1" w:lastColumn="0" w:oddVBand="0" w:evenVBand="0" w:oddHBand="0" w:evenHBand="0" w:firstRowFirstColumn="0" w:firstRowLastColumn="0" w:lastRowFirstColumn="0" w:lastRowLastColumn="0"/>
            <w:tcW w:w="2880" w:type="dxa"/>
            <w:noWrap/>
            <w:hideMark/>
          </w:tcPr>
          <w:p w:rsidR="00FD56EF" w:rsidRPr="00977044" w:rsidRDefault="00FD56EF" w:rsidP="00FD56EF">
            <w:pPr>
              <w:spacing w:line="276" w:lineRule="auto"/>
              <w:jc w:val="left"/>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AF</w:t>
            </w:r>
          </w:p>
        </w:tc>
        <w:tc>
          <w:tcPr>
            <w:tcW w:w="1620" w:type="dxa"/>
            <w:noWrap/>
            <w:vAlign w:val="bottom"/>
            <w:hideMark/>
          </w:tcPr>
          <w:p w:rsidR="00FD56EF" w:rsidRPr="00977044" w:rsidRDefault="00FF3EBC"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Pr>
                <w:rFonts w:ascii="Times New Roman" w:hAnsi="Times New Roman" w:cs="Times New Roman"/>
                <w:color w:val="000000"/>
                <w:sz w:val="20"/>
                <w:szCs w:val="20"/>
              </w:rPr>
              <w:t>18 (</w:t>
            </w:r>
            <w:r w:rsidR="00FD56EF" w:rsidRPr="00EA3B43">
              <w:rPr>
                <w:rFonts w:ascii="Times New Roman" w:hAnsi="Times New Roman" w:cs="Times New Roman"/>
                <w:color w:val="000000"/>
                <w:sz w:val="20"/>
                <w:szCs w:val="20"/>
              </w:rPr>
              <w:t>5.0</w:t>
            </w:r>
            <w:r>
              <w:rPr>
                <w:rFonts w:ascii="Times New Roman" w:hAnsi="Times New Roman" w:cs="Times New Roman"/>
                <w:color w:val="000000"/>
                <w:sz w:val="20"/>
                <w:szCs w:val="20"/>
              </w:rPr>
              <w:t>)</w:t>
            </w:r>
          </w:p>
        </w:tc>
        <w:tc>
          <w:tcPr>
            <w:tcW w:w="1890" w:type="dxa"/>
            <w:noWrap/>
            <w:vAlign w:val="bottom"/>
            <w:hideMark/>
          </w:tcPr>
          <w:p w:rsidR="00FD56EF" w:rsidRPr="00977044" w:rsidRDefault="00FF3EBC"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Pr>
                <w:rFonts w:ascii="Times New Roman" w:hAnsi="Times New Roman" w:cs="Times New Roman"/>
                <w:color w:val="000000"/>
                <w:sz w:val="20"/>
                <w:szCs w:val="20"/>
              </w:rPr>
              <w:t>53 (</w:t>
            </w:r>
            <w:r w:rsidR="00FD56EF" w:rsidRPr="00EA3B43">
              <w:rPr>
                <w:rFonts w:ascii="Times New Roman" w:hAnsi="Times New Roman" w:cs="Times New Roman"/>
                <w:color w:val="000000"/>
                <w:sz w:val="20"/>
                <w:szCs w:val="20"/>
              </w:rPr>
              <w:t>3.5</w:t>
            </w:r>
            <w:r>
              <w:rPr>
                <w:rFonts w:ascii="Times New Roman" w:hAnsi="Times New Roman" w:cs="Times New Roman"/>
                <w:color w:val="000000"/>
                <w:sz w:val="20"/>
                <w:szCs w:val="20"/>
              </w:rPr>
              <w:t>)</w:t>
            </w:r>
          </w:p>
        </w:tc>
        <w:tc>
          <w:tcPr>
            <w:tcW w:w="1620" w:type="dxa"/>
            <w:noWrap/>
            <w:vAlign w:val="bottom"/>
            <w:hideMark/>
          </w:tcPr>
          <w:p w:rsidR="00FD56EF" w:rsidRPr="00977044" w:rsidRDefault="00FF3EBC"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Pr>
                <w:rFonts w:ascii="Times New Roman" w:hAnsi="Times New Roman" w:cs="Times New Roman"/>
                <w:color w:val="000000"/>
                <w:sz w:val="20"/>
                <w:szCs w:val="20"/>
              </w:rPr>
              <w:t>49 (</w:t>
            </w:r>
            <w:r w:rsidR="00FD56EF" w:rsidRPr="00EA3B43">
              <w:rPr>
                <w:rFonts w:ascii="Times New Roman" w:hAnsi="Times New Roman" w:cs="Times New Roman"/>
                <w:color w:val="000000"/>
                <w:sz w:val="20"/>
                <w:szCs w:val="20"/>
              </w:rPr>
              <w:t>2.9</w:t>
            </w:r>
            <w:r>
              <w:rPr>
                <w:rFonts w:ascii="Times New Roman" w:hAnsi="Times New Roman" w:cs="Times New Roman"/>
                <w:color w:val="000000"/>
                <w:sz w:val="20"/>
                <w:szCs w:val="20"/>
              </w:rPr>
              <w:t>)</w:t>
            </w:r>
          </w:p>
        </w:tc>
        <w:tc>
          <w:tcPr>
            <w:tcW w:w="900" w:type="dxa"/>
            <w:noWrap/>
            <w:hideMark/>
          </w:tcPr>
          <w:p w:rsidR="00FD56EF" w:rsidRPr="00977044" w:rsidRDefault="00FD56EF"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0.1151</w:t>
            </w:r>
          </w:p>
        </w:tc>
      </w:tr>
      <w:tr w:rsidR="00FD56EF" w:rsidRPr="00977044" w:rsidTr="00FD56EF">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2880" w:type="dxa"/>
            <w:noWrap/>
            <w:hideMark/>
          </w:tcPr>
          <w:p w:rsidR="00FD56EF" w:rsidRPr="00977044" w:rsidRDefault="00FD56EF" w:rsidP="00FD56EF">
            <w:pPr>
              <w:spacing w:line="276" w:lineRule="auto"/>
              <w:jc w:val="left"/>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Diabetes</w:t>
            </w:r>
          </w:p>
        </w:tc>
        <w:tc>
          <w:tcPr>
            <w:tcW w:w="1620" w:type="dxa"/>
            <w:noWrap/>
            <w:vAlign w:val="bottom"/>
            <w:hideMark/>
          </w:tcPr>
          <w:p w:rsidR="00FD56EF" w:rsidRPr="00977044" w:rsidRDefault="00FF3EBC"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Pr>
                <w:rFonts w:ascii="Times New Roman" w:hAnsi="Times New Roman" w:cs="Times New Roman"/>
                <w:color w:val="000000"/>
                <w:sz w:val="20"/>
                <w:szCs w:val="20"/>
              </w:rPr>
              <w:t>29 (</w:t>
            </w:r>
            <w:r w:rsidR="00FD56EF" w:rsidRPr="00EA3B43">
              <w:rPr>
                <w:rFonts w:ascii="Times New Roman" w:hAnsi="Times New Roman" w:cs="Times New Roman"/>
                <w:color w:val="000000"/>
                <w:sz w:val="20"/>
                <w:szCs w:val="20"/>
              </w:rPr>
              <w:t>8.0</w:t>
            </w:r>
            <w:r>
              <w:rPr>
                <w:rFonts w:ascii="Times New Roman" w:hAnsi="Times New Roman" w:cs="Times New Roman"/>
                <w:color w:val="000000"/>
                <w:sz w:val="20"/>
                <w:szCs w:val="20"/>
              </w:rPr>
              <w:t>)</w:t>
            </w:r>
          </w:p>
        </w:tc>
        <w:tc>
          <w:tcPr>
            <w:tcW w:w="1890" w:type="dxa"/>
            <w:noWrap/>
            <w:vAlign w:val="bottom"/>
            <w:hideMark/>
          </w:tcPr>
          <w:p w:rsidR="00FD56EF" w:rsidRPr="00977044" w:rsidRDefault="00FF3EBC"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Pr>
                <w:rFonts w:ascii="Times New Roman" w:hAnsi="Times New Roman" w:cs="Times New Roman"/>
                <w:color w:val="000000"/>
                <w:sz w:val="20"/>
                <w:szCs w:val="20"/>
              </w:rPr>
              <w:t>102 (</w:t>
            </w:r>
            <w:r w:rsidR="00FD56EF" w:rsidRPr="00EA3B43">
              <w:rPr>
                <w:rFonts w:ascii="Times New Roman" w:hAnsi="Times New Roman" w:cs="Times New Roman"/>
                <w:color w:val="000000"/>
                <w:sz w:val="20"/>
                <w:szCs w:val="20"/>
              </w:rPr>
              <w:t>6.7</w:t>
            </w:r>
            <w:r>
              <w:rPr>
                <w:rFonts w:ascii="Times New Roman" w:hAnsi="Times New Roman" w:cs="Times New Roman"/>
                <w:color w:val="000000"/>
                <w:sz w:val="20"/>
                <w:szCs w:val="20"/>
              </w:rPr>
              <w:t>)</w:t>
            </w:r>
          </w:p>
        </w:tc>
        <w:tc>
          <w:tcPr>
            <w:tcW w:w="1620" w:type="dxa"/>
            <w:noWrap/>
            <w:vAlign w:val="bottom"/>
            <w:hideMark/>
          </w:tcPr>
          <w:p w:rsidR="00FD56EF" w:rsidRPr="00977044" w:rsidRDefault="00FF3EBC"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Pr>
                <w:rFonts w:ascii="Times New Roman" w:hAnsi="Times New Roman" w:cs="Times New Roman"/>
                <w:color w:val="000000"/>
                <w:sz w:val="20"/>
                <w:szCs w:val="20"/>
              </w:rPr>
              <w:t>79 (</w:t>
            </w:r>
            <w:r w:rsidR="00FD56EF" w:rsidRPr="00EA3B43">
              <w:rPr>
                <w:rFonts w:ascii="Times New Roman" w:hAnsi="Times New Roman" w:cs="Times New Roman"/>
                <w:color w:val="000000"/>
                <w:sz w:val="20"/>
                <w:szCs w:val="20"/>
              </w:rPr>
              <w:t>4.6</w:t>
            </w:r>
            <w:r>
              <w:rPr>
                <w:rFonts w:ascii="Times New Roman" w:hAnsi="Times New Roman" w:cs="Times New Roman"/>
                <w:color w:val="000000"/>
                <w:sz w:val="20"/>
                <w:szCs w:val="20"/>
              </w:rPr>
              <w:t>)</w:t>
            </w:r>
          </w:p>
        </w:tc>
        <w:tc>
          <w:tcPr>
            <w:tcW w:w="900" w:type="dxa"/>
            <w:noWrap/>
            <w:hideMark/>
          </w:tcPr>
          <w:p w:rsidR="00FD56EF" w:rsidRPr="00977044" w:rsidRDefault="00FD56EF"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0.0071</w:t>
            </w:r>
          </w:p>
        </w:tc>
      </w:tr>
      <w:tr w:rsidR="00FD56EF" w:rsidRPr="00977044" w:rsidTr="00FD56EF">
        <w:trPr>
          <w:trHeight w:val="66"/>
        </w:trPr>
        <w:tc>
          <w:tcPr>
            <w:cnfStyle w:val="001000000000" w:firstRow="0" w:lastRow="0" w:firstColumn="1" w:lastColumn="0" w:oddVBand="0" w:evenVBand="0" w:oddHBand="0" w:evenHBand="0" w:firstRowFirstColumn="0" w:firstRowLastColumn="0" w:lastRowFirstColumn="0" w:lastRowLastColumn="0"/>
            <w:tcW w:w="2880" w:type="dxa"/>
            <w:noWrap/>
            <w:hideMark/>
          </w:tcPr>
          <w:p w:rsidR="00FD56EF" w:rsidRPr="00977044" w:rsidRDefault="00FD56EF" w:rsidP="00FD56EF">
            <w:pPr>
              <w:spacing w:line="276" w:lineRule="auto"/>
              <w:jc w:val="left"/>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CKD</w:t>
            </w:r>
          </w:p>
        </w:tc>
        <w:tc>
          <w:tcPr>
            <w:tcW w:w="1620" w:type="dxa"/>
            <w:noWrap/>
            <w:vAlign w:val="bottom"/>
            <w:hideMark/>
          </w:tcPr>
          <w:p w:rsidR="00FD56EF" w:rsidRPr="00977044" w:rsidRDefault="00FF3EBC"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Pr>
                <w:rFonts w:ascii="Times New Roman" w:hAnsi="Times New Roman" w:cs="Times New Roman"/>
                <w:color w:val="000000"/>
                <w:sz w:val="20"/>
                <w:szCs w:val="20"/>
              </w:rPr>
              <w:t>50 (</w:t>
            </w:r>
            <w:r w:rsidR="00FD56EF" w:rsidRPr="00EA3B43">
              <w:rPr>
                <w:rFonts w:ascii="Times New Roman" w:hAnsi="Times New Roman" w:cs="Times New Roman"/>
                <w:color w:val="000000"/>
                <w:sz w:val="20"/>
                <w:szCs w:val="20"/>
              </w:rPr>
              <w:t>13.8</w:t>
            </w:r>
            <w:r>
              <w:rPr>
                <w:rFonts w:ascii="Times New Roman" w:hAnsi="Times New Roman" w:cs="Times New Roman"/>
                <w:color w:val="000000"/>
                <w:sz w:val="20"/>
                <w:szCs w:val="20"/>
              </w:rPr>
              <w:t>)</w:t>
            </w:r>
          </w:p>
        </w:tc>
        <w:tc>
          <w:tcPr>
            <w:tcW w:w="1890" w:type="dxa"/>
            <w:noWrap/>
            <w:vAlign w:val="bottom"/>
            <w:hideMark/>
          </w:tcPr>
          <w:p w:rsidR="00FD56EF" w:rsidRPr="00977044" w:rsidRDefault="00FF3EBC"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Pr>
                <w:rFonts w:ascii="Times New Roman" w:hAnsi="Times New Roman" w:cs="Times New Roman"/>
                <w:color w:val="000000"/>
                <w:sz w:val="20"/>
                <w:szCs w:val="20"/>
              </w:rPr>
              <w:t>219 (</w:t>
            </w:r>
            <w:r w:rsidR="00FD56EF" w:rsidRPr="00EA3B43">
              <w:rPr>
                <w:rFonts w:ascii="Times New Roman" w:hAnsi="Times New Roman" w:cs="Times New Roman"/>
                <w:color w:val="000000"/>
                <w:sz w:val="20"/>
                <w:szCs w:val="20"/>
              </w:rPr>
              <w:t>14.4</w:t>
            </w:r>
            <w:r>
              <w:rPr>
                <w:rFonts w:ascii="Times New Roman" w:hAnsi="Times New Roman" w:cs="Times New Roman"/>
                <w:color w:val="000000"/>
                <w:sz w:val="20"/>
                <w:szCs w:val="20"/>
              </w:rPr>
              <w:t>)</w:t>
            </w:r>
          </w:p>
        </w:tc>
        <w:tc>
          <w:tcPr>
            <w:tcW w:w="1620" w:type="dxa"/>
            <w:noWrap/>
            <w:vAlign w:val="bottom"/>
            <w:hideMark/>
          </w:tcPr>
          <w:p w:rsidR="00FD56EF" w:rsidRPr="00977044" w:rsidRDefault="00FF3EBC"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Pr>
                <w:rFonts w:ascii="Times New Roman" w:hAnsi="Times New Roman" w:cs="Times New Roman"/>
                <w:color w:val="000000"/>
                <w:sz w:val="20"/>
                <w:szCs w:val="20"/>
              </w:rPr>
              <w:t>247 (</w:t>
            </w:r>
            <w:r w:rsidR="00FD56EF" w:rsidRPr="00EA3B43">
              <w:rPr>
                <w:rFonts w:ascii="Times New Roman" w:hAnsi="Times New Roman" w:cs="Times New Roman"/>
                <w:color w:val="000000"/>
                <w:sz w:val="20"/>
                <w:szCs w:val="20"/>
              </w:rPr>
              <w:t>14.4</w:t>
            </w:r>
            <w:r>
              <w:rPr>
                <w:rFonts w:ascii="Times New Roman" w:hAnsi="Times New Roman" w:cs="Times New Roman"/>
                <w:color w:val="000000"/>
                <w:sz w:val="20"/>
                <w:szCs w:val="20"/>
              </w:rPr>
              <w:t>)</w:t>
            </w:r>
          </w:p>
        </w:tc>
        <w:tc>
          <w:tcPr>
            <w:tcW w:w="900" w:type="dxa"/>
            <w:noWrap/>
            <w:hideMark/>
          </w:tcPr>
          <w:p w:rsidR="00FD56EF" w:rsidRPr="00977044" w:rsidRDefault="00FD56EF"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0.9545</w:t>
            </w:r>
          </w:p>
        </w:tc>
      </w:tr>
      <w:tr w:rsidR="00FD56EF" w:rsidRPr="00977044" w:rsidTr="00FD56EF">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2880" w:type="dxa"/>
            <w:noWrap/>
            <w:hideMark/>
          </w:tcPr>
          <w:p w:rsidR="00FD56EF" w:rsidRPr="00977044" w:rsidRDefault="00FD56EF" w:rsidP="00FD56EF">
            <w:pPr>
              <w:spacing w:line="276" w:lineRule="auto"/>
              <w:jc w:val="left"/>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Anti-hypertensive use</w:t>
            </w:r>
          </w:p>
        </w:tc>
        <w:tc>
          <w:tcPr>
            <w:tcW w:w="1620" w:type="dxa"/>
            <w:noWrap/>
            <w:vAlign w:val="bottom"/>
            <w:hideMark/>
          </w:tcPr>
          <w:p w:rsidR="00FD56EF" w:rsidRPr="00977044" w:rsidRDefault="00B855CD"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Pr>
                <w:rFonts w:ascii="Times New Roman" w:hAnsi="Times New Roman" w:cs="Times New Roman"/>
                <w:color w:val="000000"/>
                <w:sz w:val="20"/>
                <w:szCs w:val="20"/>
              </w:rPr>
              <w:t>131 (</w:t>
            </w:r>
            <w:r w:rsidR="00FD56EF" w:rsidRPr="00EA3B43">
              <w:rPr>
                <w:rFonts w:ascii="Times New Roman" w:hAnsi="Times New Roman" w:cs="Times New Roman"/>
                <w:color w:val="000000"/>
                <w:sz w:val="20"/>
                <w:szCs w:val="20"/>
              </w:rPr>
              <w:t>36.1</w:t>
            </w:r>
            <w:r>
              <w:rPr>
                <w:rFonts w:ascii="Times New Roman" w:hAnsi="Times New Roman" w:cs="Times New Roman"/>
                <w:color w:val="000000"/>
                <w:sz w:val="20"/>
                <w:szCs w:val="20"/>
              </w:rPr>
              <w:t>)</w:t>
            </w:r>
          </w:p>
        </w:tc>
        <w:tc>
          <w:tcPr>
            <w:tcW w:w="1890" w:type="dxa"/>
            <w:noWrap/>
            <w:vAlign w:val="bottom"/>
            <w:hideMark/>
          </w:tcPr>
          <w:p w:rsidR="00FD56EF" w:rsidRPr="00977044" w:rsidRDefault="00B855CD"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Pr>
                <w:rFonts w:ascii="Times New Roman" w:hAnsi="Times New Roman" w:cs="Times New Roman"/>
                <w:color w:val="000000"/>
                <w:sz w:val="20"/>
                <w:szCs w:val="20"/>
              </w:rPr>
              <w:t>476 (</w:t>
            </w:r>
            <w:r w:rsidR="00FD56EF" w:rsidRPr="00EA3B43">
              <w:rPr>
                <w:rFonts w:ascii="Times New Roman" w:hAnsi="Times New Roman" w:cs="Times New Roman"/>
                <w:color w:val="000000"/>
                <w:sz w:val="20"/>
                <w:szCs w:val="20"/>
              </w:rPr>
              <w:t>31.1</w:t>
            </w:r>
            <w:r>
              <w:rPr>
                <w:rFonts w:ascii="Times New Roman" w:hAnsi="Times New Roman" w:cs="Times New Roman"/>
                <w:color w:val="000000"/>
                <w:sz w:val="20"/>
                <w:szCs w:val="20"/>
              </w:rPr>
              <w:t>)</w:t>
            </w:r>
          </w:p>
        </w:tc>
        <w:tc>
          <w:tcPr>
            <w:tcW w:w="1620" w:type="dxa"/>
            <w:noWrap/>
            <w:vAlign w:val="bottom"/>
            <w:hideMark/>
          </w:tcPr>
          <w:p w:rsidR="00FD56EF" w:rsidRPr="00977044" w:rsidRDefault="00B855CD"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Pr>
                <w:rFonts w:ascii="Times New Roman" w:hAnsi="Times New Roman" w:cs="Times New Roman"/>
                <w:color w:val="000000"/>
                <w:sz w:val="20"/>
                <w:szCs w:val="20"/>
              </w:rPr>
              <w:t>509 (</w:t>
            </w:r>
            <w:r w:rsidR="00FD56EF" w:rsidRPr="00EA3B43">
              <w:rPr>
                <w:rFonts w:ascii="Times New Roman" w:hAnsi="Times New Roman" w:cs="Times New Roman"/>
                <w:color w:val="000000"/>
                <w:sz w:val="20"/>
                <w:szCs w:val="20"/>
              </w:rPr>
              <w:t>29.5</w:t>
            </w:r>
            <w:r>
              <w:rPr>
                <w:rFonts w:ascii="Times New Roman" w:hAnsi="Times New Roman" w:cs="Times New Roman"/>
                <w:color w:val="000000"/>
                <w:sz w:val="20"/>
                <w:szCs w:val="20"/>
              </w:rPr>
              <w:t>)</w:t>
            </w:r>
          </w:p>
        </w:tc>
        <w:tc>
          <w:tcPr>
            <w:tcW w:w="900" w:type="dxa"/>
            <w:noWrap/>
            <w:hideMark/>
          </w:tcPr>
          <w:p w:rsidR="00FD56EF" w:rsidRPr="00977044" w:rsidRDefault="00FD56EF"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0.0478</w:t>
            </w:r>
          </w:p>
        </w:tc>
      </w:tr>
      <w:tr w:rsidR="00FD56EF" w:rsidRPr="00977044" w:rsidTr="00FD56EF">
        <w:trPr>
          <w:trHeight w:val="144"/>
        </w:trPr>
        <w:tc>
          <w:tcPr>
            <w:cnfStyle w:val="001000000000" w:firstRow="0" w:lastRow="0" w:firstColumn="1" w:lastColumn="0" w:oddVBand="0" w:evenVBand="0" w:oddHBand="0" w:evenHBand="0" w:firstRowFirstColumn="0" w:firstRowLastColumn="0" w:lastRowFirstColumn="0" w:lastRowLastColumn="0"/>
            <w:tcW w:w="2880" w:type="dxa"/>
            <w:noWrap/>
            <w:hideMark/>
          </w:tcPr>
          <w:p w:rsidR="00FD56EF" w:rsidRPr="00977044" w:rsidRDefault="00FD56EF" w:rsidP="00FD56EF">
            <w:pPr>
              <w:spacing w:line="276" w:lineRule="auto"/>
              <w:jc w:val="left"/>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COPD</w:t>
            </w:r>
          </w:p>
        </w:tc>
        <w:tc>
          <w:tcPr>
            <w:tcW w:w="1620" w:type="dxa"/>
            <w:noWrap/>
            <w:vAlign w:val="bottom"/>
            <w:hideMark/>
          </w:tcPr>
          <w:p w:rsidR="00FD56EF" w:rsidRPr="00977044" w:rsidRDefault="00B855CD"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Pr>
                <w:rFonts w:ascii="Times New Roman" w:hAnsi="Times New Roman" w:cs="Times New Roman"/>
                <w:color w:val="000000"/>
                <w:sz w:val="20"/>
                <w:szCs w:val="20"/>
              </w:rPr>
              <w:t>123 (</w:t>
            </w:r>
            <w:r w:rsidR="00FD56EF" w:rsidRPr="00EA3B43">
              <w:rPr>
                <w:rFonts w:ascii="Times New Roman" w:hAnsi="Times New Roman" w:cs="Times New Roman"/>
                <w:color w:val="000000"/>
                <w:sz w:val="20"/>
                <w:szCs w:val="20"/>
              </w:rPr>
              <w:t>35.1</w:t>
            </w:r>
            <w:r>
              <w:rPr>
                <w:rFonts w:ascii="Times New Roman" w:hAnsi="Times New Roman" w:cs="Times New Roman"/>
                <w:color w:val="000000"/>
                <w:sz w:val="20"/>
                <w:szCs w:val="20"/>
              </w:rPr>
              <w:t>)</w:t>
            </w:r>
          </w:p>
        </w:tc>
        <w:tc>
          <w:tcPr>
            <w:tcW w:w="1890" w:type="dxa"/>
            <w:noWrap/>
            <w:vAlign w:val="bottom"/>
            <w:hideMark/>
          </w:tcPr>
          <w:p w:rsidR="00FD56EF" w:rsidRPr="00977044" w:rsidRDefault="00B855CD"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Pr>
                <w:rFonts w:ascii="Times New Roman" w:hAnsi="Times New Roman" w:cs="Times New Roman"/>
                <w:color w:val="000000"/>
                <w:sz w:val="20"/>
                <w:szCs w:val="20"/>
              </w:rPr>
              <w:t>407 (</w:t>
            </w:r>
            <w:r w:rsidR="00FD56EF" w:rsidRPr="00EA3B43">
              <w:rPr>
                <w:rFonts w:ascii="Times New Roman" w:hAnsi="Times New Roman" w:cs="Times New Roman"/>
                <w:color w:val="000000"/>
                <w:sz w:val="20"/>
                <w:szCs w:val="20"/>
              </w:rPr>
              <w:t>26.7</w:t>
            </w:r>
            <w:r>
              <w:rPr>
                <w:rFonts w:ascii="Times New Roman" w:hAnsi="Times New Roman" w:cs="Times New Roman"/>
                <w:color w:val="000000"/>
                <w:sz w:val="20"/>
                <w:szCs w:val="20"/>
              </w:rPr>
              <w:t>)</w:t>
            </w:r>
          </w:p>
        </w:tc>
        <w:tc>
          <w:tcPr>
            <w:tcW w:w="1620" w:type="dxa"/>
            <w:noWrap/>
            <w:vAlign w:val="bottom"/>
            <w:hideMark/>
          </w:tcPr>
          <w:p w:rsidR="00FD56EF" w:rsidRPr="00977044" w:rsidRDefault="00B855CD"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Pr>
                <w:rFonts w:ascii="Times New Roman" w:hAnsi="Times New Roman" w:cs="Times New Roman"/>
                <w:color w:val="000000"/>
                <w:sz w:val="20"/>
                <w:szCs w:val="20"/>
              </w:rPr>
              <w:t>418 (</w:t>
            </w:r>
            <w:r w:rsidR="00FD56EF" w:rsidRPr="00EA3B43">
              <w:rPr>
                <w:rFonts w:ascii="Times New Roman" w:hAnsi="Times New Roman" w:cs="Times New Roman"/>
                <w:color w:val="000000"/>
                <w:sz w:val="20"/>
                <w:szCs w:val="20"/>
              </w:rPr>
              <w:t>24.4</w:t>
            </w:r>
            <w:r>
              <w:rPr>
                <w:rFonts w:ascii="Times New Roman" w:hAnsi="Times New Roman" w:cs="Times New Roman"/>
                <w:color w:val="000000"/>
                <w:sz w:val="20"/>
                <w:szCs w:val="20"/>
              </w:rPr>
              <w:t>)</w:t>
            </w:r>
          </w:p>
        </w:tc>
        <w:tc>
          <w:tcPr>
            <w:tcW w:w="900" w:type="dxa"/>
            <w:noWrap/>
            <w:hideMark/>
          </w:tcPr>
          <w:p w:rsidR="00FD56EF" w:rsidRPr="00977044" w:rsidRDefault="00FD56EF"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0.0002</w:t>
            </w:r>
          </w:p>
        </w:tc>
      </w:tr>
      <w:tr w:rsidR="00FD56EF" w:rsidRPr="00977044" w:rsidTr="00FD56EF">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2880" w:type="dxa"/>
            <w:noWrap/>
          </w:tcPr>
          <w:p w:rsidR="00FD56EF" w:rsidRPr="00EA3B43" w:rsidRDefault="00FD56EF" w:rsidP="00FD56EF">
            <w:pPr>
              <w:spacing w:line="276" w:lineRule="auto"/>
              <w:jc w:val="left"/>
              <w:rPr>
                <w:rFonts w:ascii="Times New Roman" w:eastAsia="Times New Roman" w:hAnsi="Times New Roman" w:cs="Times New Roman"/>
                <w:b/>
                <w:color w:val="000000"/>
                <w:sz w:val="20"/>
                <w:szCs w:val="20"/>
                <w:lang w:val="en-US"/>
              </w:rPr>
            </w:pPr>
            <w:r w:rsidRPr="00EA3B43">
              <w:rPr>
                <w:rFonts w:ascii="Times New Roman" w:eastAsia="Times New Roman" w:hAnsi="Times New Roman" w:cs="Times New Roman"/>
                <w:b/>
                <w:color w:val="000000"/>
                <w:sz w:val="20"/>
                <w:szCs w:val="20"/>
                <w:lang w:val="en-US"/>
              </w:rPr>
              <w:t>Lifestyle, physical disability</w:t>
            </w:r>
            <w:r>
              <w:rPr>
                <w:rFonts w:ascii="Times New Roman" w:eastAsia="Times New Roman" w:hAnsi="Times New Roman" w:cs="Times New Roman"/>
                <w:b/>
                <w:color w:val="000000"/>
                <w:sz w:val="20"/>
                <w:szCs w:val="20"/>
                <w:lang w:val="en-US"/>
              </w:rPr>
              <w:t xml:space="preserve"> and</w:t>
            </w:r>
            <w:r w:rsidRPr="00EA3B43">
              <w:rPr>
                <w:rFonts w:ascii="Times New Roman" w:eastAsia="Times New Roman" w:hAnsi="Times New Roman" w:cs="Times New Roman"/>
                <w:b/>
                <w:color w:val="000000"/>
                <w:sz w:val="20"/>
                <w:szCs w:val="20"/>
                <w:lang w:val="en-US"/>
              </w:rPr>
              <w:t xml:space="preserve"> social class </w:t>
            </w:r>
            <w:r w:rsidR="00F31B57">
              <w:rPr>
                <w:rFonts w:ascii="Times New Roman" w:eastAsia="Times New Roman" w:hAnsi="Times New Roman" w:cs="Times New Roman"/>
                <w:b/>
                <w:color w:val="000000"/>
                <w:sz w:val="20"/>
                <w:szCs w:val="20"/>
                <w:lang w:val="en-US"/>
              </w:rPr>
              <w:t>(</w:t>
            </w:r>
            <w:r w:rsidR="00F7119F">
              <w:rPr>
                <w:rFonts w:ascii="Times New Roman" w:eastAsia="Times New Roman" w:hAnsi="Times New Roman" w:cs="Times New Roman"/>
                <w:b/>
                <w:color w:val="000000"/>
                <w:sz w:val="20"/>
                <w:szCs w:val="20"/>
                <w:lang w:val="en-US"/>
              </w:rPr>
              <w:t xml:space="preserve">n, </w:t>
            </w:r>
            <w:r w:rsidR="00F31B57">
              <w:rPr>
                <w:rFonts w:ascii="Times New Roman" w:eastAsia="Times New Roman" w:hAnsi="Times New Roman" w:cs="Times New Roman"/>
                <w:b/>
                <w:color w:val="000000"/>
                <w:sz w:val="20"/>
                <w:szCs w:val="20"/>
                <w:lang w:val="en-US"/>
              </w:rPr>
              <w:t>%)</w:t>
            </w:r>
          </w:p>
        </w:tc>
        <w:tc>
          <w:tcPr>
            <w:tcW w:w="1620" w:type="dxa"/>
            <w:noWrap/>
            <w:vAlign w:val="bottom"/>
          </w:tcPr>
          <w:p w:rsidR="00FD56EF" w:rsidRPr="00EA3B43" w:rsidRDefault="00FD56EF"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p>
        </w:tc>
        <w:tc>
          <w:tcPr>
            <w:tcW w:w="1890" w:type="dxa"/>
            <w:noWrap/>
            <w:vAlign w:val="bottom"/>
          </w:tcPr>
          <w:p w:rsidR="00FD56EF" w:rsidRPr="00EA3B43" w:rsidRDefault="00FD56EF"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p>
        </w:tc>
        <w:tc>
          <w:tcPr>
            <w:tcW w:w="1620" w:type="dxa"/>
            <w:noWrap/>
            <w:vAlign w:val="bottom"/>
          </w:tcPr>
          <w:p w:rsidR="00FD56EF" w:rsidRPr="00EA3B43" w:rsidRDefault="00FD56EF"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p>
        </w:tc>
        <w:tc>
          <w:tcPr>
            <w:tcW w:w="900" w:type="dxa"/>
            <w:noWrap/>
          </w:tcPr>
          <w:p w:rsidR="00FD56EF" w:rsidRPr="00EA3B43" w:rsidRDefault="00FD56EF"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p>
        </w:tc>
      </w:tr>
      <w:tr w:rsidR="00FD56EF" w:rsidRPr="00977044" w:rsidTr="00FD56EF">
        <w:trPr>
          <w:trHeight w:val="66"/>
        </w:trPr>
        <w:tc>
          <w:tcPr>
            <w:cnfStyle w:val="001000000000" w:firstRow="0" w:lastRow="0" w:firstColumn="1" w:lastColumn="0" w:oddVBand="0" w:evenVBand="0" w:oddHBand="0" w:evenHBand="0" w:firstRowFirstColumn="0" w:firstRowLastColumn="0" w:lastRowFirstColumn="0" w:lastRowLastColumn="0"/>
            <w:tcW w:w="2880" w:type="dxa"/>
            <w:noWrap/>
            <w:hideMark/>
          </w:tcPr>
          <w:p w:rsidR="00FD56EF" w:rsidRPr="00977044" w:rsidRDefault="00FD56EF" w:rsidP="00FD56EF">
            <w:pPr>
              <w:spacing w:line="276" w:lineRule="auto"/>
              <w:jc w:val="left"/>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Current smokers</w:t>
            </w:r>
          </w:p>
        </w:tc>
        <w:tc>
          <w:tcPr>
            <w:tcW w:w="1620" w:type="dxa"/>
            <w:noWrap/>
            <w:vAlign w:val="bottom"/>
          </w:tcPr>
          <w:p w:rsidR="00FD56EF" w:rsidRPr="00977044" w:rsidRDefault="00D57300"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Pr>
                <w:rFonts w:ascii="Times New Roman" w:hAnsi="Times New Roman" w:cs="Times New Roman"/>
                <w:color w:val="000000"/>
                <w:sz w:val="20"/>
                <w:szCs w:val="20"/>
              </w:rPr>
              <w:t>91 (</w:t>
            </w:r>
            <w:r w:rsidR="00FD56EF" w:rsidRPr="00EA3B43">
              <w:rPr>
                <w:rFonts w:ascii="Times New Roman" w:hAnsi="Times New Roman" w:cs="Times New Roman"/>
                <w:color w:val="000000"/>
                <w:sz w:val="20"/>
                <w:szCs w:val="20"/>
              </w:rPr>
              <w:t>25.1</w:t>
            </w:r>
            <w:r>
              <w:rPr>
                <w:rFonts w:ascii="Times New Roman" w:hAnsi="Times New Roman" w:cs="Times New Roman"/>
                <w:color w:val="000000"/>
                <w:sz w:val="20"/>
                <w:szCs w:val="20"/>
              </w:rPr>
              <w:t>)</w:t>
            </w:r>
          </w:p>
        </w:tc>
        <w:tc>
          <w:tcPr>
            <w:tcW w:w="1890" w:type="dxa"/>
            <w:noWrap/>
            <w:vAlign w:val="bottom"/>
          </w:tcPr>
          <w:p w:rsidR="00FD56EF" w:rsidRPr="00977044" w:rsidRDefault="00D57300"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Pr>
                <w:rFonts w:ascii="Times New Roman" w:hAnsi="Times New Roman" w:cs="Times New Roman"/>
                <w:color w:val="000000"/>
                <w:sz w:val="20"/>
                <w:szCs w:val="20"/>
              </w:rPr>
              <w:t>200 (</w:t>
            </w:r>
            <w:r w:rsidR="00FD56EF" w:rsidRPr="00EA3B43">
              <w:rPr>
                <w:rFonts w:ascii="Times New Roman" w:hAnsi="Times New Roman" w:cs="Times New Roman"/>
                <w:color w:val="000000"/>
                <w:sz w:val="20"/>
                <w:szCs w:val="20"/>
              </w:rPr>
              <w:t>13.1</w:t>
            </w:r>
            <w:r>
              <w:rPr>
                <w:rFonts w:ascii="Times New Roman" w:hAnsi="Times New Roman" w:cs="Times New Roman"/>
                <w:color w:val="000000"/>
                <w:sz w:val="20"/>
                <w:szCs w:val="20"/>
              </w:rPr>
              <w:t>)</w:t>
            </w:r>
          </w:p>
        </w:tc>
        <w:tc>
          <w:tcPr>
            <w:tcW w:w="1620" w:type="dxa"/>
            <w:noWrap/>
            <w:vAlign w:val="bottom"/>
          </w:tcPr>
          <w:p w:rsidR="00FD56EF" w:rsidRPr="00977044" w:rsidRDefault="00D57300"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Pr>
                <w:rFonts w:ascii="Times New Roman" w:hAnsi="Times New Roman" w:cs="Times New Roman"/>
                <w:color w:val="000000"/>
                <w:sz w:val="20"/>
                <w:szCs w:val="20"/>
              </w:rPr>
              <w:t>168 (</w:t>
            </w:r>
            <w:r w:rsidR="00FD56EF" w:rsidRPr="00EA3B43">
              <w:rPr>
                <w:rFonts w:ascii="Times New Roman" w:hAnsi="Times New Roman" w:cs="Times New Roman"/>
                <w:color w:val="000000"/>
                <w:sz w:val="20"/>
                <w:szCs w:val="20"/>
              </w:rPr>
              <w:t>9.8</w:t>
            </w:r>
            <w:r>
              <w:rPr>
                <w:rFonts w:ascii="Times New Roman" w:hAnsi="Times New Roman" w:cs="Times New Roman"/>
                <w:color w:val="000000"/>
                <w:sz w:val="20"/>
                <w:szCs w:val="20"/>
              </w:rPr>
              <w:t>)</w:t>
            </w:r>
          </w:p>
        </w:tc>
        <w:tc>
          <w:tcPr>
            <w:tcW w:w="900" w:type="dxa"/>
            <w:noWrap/>
            <w:hideMark/>
          </w:tcPr>
          <w:p w:rsidR="00FD56EF" w:rsidRPr="00977044" w:rsidRDefault="00FD56EF"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&lt;.0001</w:t>
            </w:r>
          </w:p>
        </w:tc>
      </w:tr>
      <w:tr w:rsidR="00FD56EF" w:rsidRPr="00977044" w:rsidTr="00FD56EF">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2880" w:type="dxa"/>
            <w:noWrap/>
            <w:hideMark/>
          </w:tcPr>
          <w:p w:rsidR="00FD56EF" w:rsidRPr="00977044" w:rsidRDefault="00FD56EF" w:rsidP="00FD56EF">
            <w:pPr>
              <w:spacing w:line="276" w:lineRule="auto"/>
              <w:jc w:val="left"/>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Moderate to heavy alcohol consumption</w:t>
            </w:r>
          </w:p>
        </w:tc>
        <w:tc>
          <w:tcPr>
            <w:tcW w:w="1620" w:type="dxa"/>
            <w:noWrap/>
            <w:vAlign w:val="bottom"/>
          </w:tcPr>
          <w:p w:rsidR="00FD56EF" w:rsidRPr="00977044" w:rsidRDefault="00A42997"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Pr>
                <w:rFonts w:ascii="Times New Roman" w:hAnsi="Times New Roman" w:cs="Times New Roman"/>
                <w:color w:val="000000"/>
                <w:sz w:val="20"/>
                <w:szCs w:val="20"/>
              </w:rPr>
              <w:t>80 (</w:t>
            </w:r>
            <w:r w:rsidR="00FD56EF" w:rsidRPr="00EA3B43">
              <w:rPr>
                <w:rFonts w:ascii="Times New Roman" w:hAnsi="Times New Roman" w:cs="Times New Roman"/>
                <w:color w:val="000000"/>
                <w:sz w:val="20"/>
                <w:szCs w:val="20"/>
              </w:rPr>
              <w:t>22.7</w:t>
            </w:r>
            <w:r>
              <w:rPr>
                <w:rFonts w:ascii="Times New Roman" w:hAnsi="Times New Roman" w:cs="Times New Roman"/>
                <w:color w:val="000000"/>
                <w:sz w:val="20"/>
                <w:szCs w:val="20"/>
              </w:rPr>
              <w:t>)</w:t>
            </w:r>
          </w:p>
        </w:tc>
        <w:tc>
          <w:tcPr>
            <w:tcW w:w="1890" w:type="dxa"/>
            <w:noWrap/>
            <w:vAlign w:val="bottom"/>
          </w:tcPr>
          <w:p w:rsidR="00FD56EF" w:rsidRPr="00977044" w:rsidRDefault="00A42997"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Pr>
                <w:rFonts w:ascii="Times New Roman" w:hAnsi="Times New Roman" w:cs="Times New Roman"/>
                <w:color w:val="000000"/>
                <w:sz w:val="20"/>
                <w:szCs w:val="20"/>
              </w:rPr>
              <w:t>290 (</w:t>
            </w:r>
            <w:r w:rsidR="00FD56EF" w:rsidRPr="00EA3B43">
              <w:rPr>
                <w:rFonts w:ascii="Times New Roman" w:hAnsi="Times New Roman" w:cs="Times New Roman"/>
                <w:color w:val="000000"/>
                <w:sz w:val="20"/>
                <w:szCs w:val="20"/>
              </w:rPr>
              <w:t>19.2</w:t>
            </w:r>
            <w:r>
              <w:rPr>
                <w:rFonts w:ascii="Times New Roman" w:hAnsi="Times New Roman" w:cs="Times New Roman"/>
                <w:color w:val="000000"/>
                <w:sz w:val="20"/>
                <w:szCs w:val="20"/>
              </w:rPr>
              <w:t>)</w:t>
            </w:r>
          </w:p>
        </w:tc>
        <w:tc>
          <w:tcPr>
            <w:tcW w:w="1620" w:type="dxa"/>
            <w:noWrap/>
            <w:vAlign w:val="bottom"/>
          </w:tcPr>
          <w:p w:rsidR="00FD56EF" w:rsidRPr="00977044" w:rsidRDefault="00A42997"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Pr>
                <w:rFonts w:ascii="Times New Roman" w:hAnsi="Times New Roman" w:cs="Times New Roman"/>
                <w:color w:val="000000"/>
                <w:sz w:val="20"/>
                <w:szCs w:val="20"/>
              </w:rPr>
              <w:t>332 (</w:t>
            </w:r>
            <w:r w:rsidR="00FD56EF" w:rsidRPr="00EA3B43">
              <w:rPr>
                <w:rFonts w:ascii="Times New Roman" w:hAnsi="Times New Roman" w:cs="Times New Roman"/>
                <w:color w:val="000000"/>
                <w:sz w:val="20"/>
                <w:szCs w:val="20"/>
              </w:rPr>
              <w:t>19.5</w:t>
            </w:r>
            <w:r>
              <w:rPr>
                <w:rFonts w:ascii="Times New Roman" w:hAnsi="Times New Roman" w:cs="Times New Roman"/>
                <w:color w:val="000000"/>
                <w:sz w:val="20"/>
                <w:szCs w:val="20"/>
              </w:rPr>
              <w:t>)</w:t>
            </w:r>
          </w:p>
        </w:tc>
        <w:tc>
          <w:tcPr>
            <w:tcW w:w="900" w:type="dxa"/>
            <w:noWrap/>
            <w:hideMark/>
          </w:tcPr>
          <w:p w:rsidR="00FD56EF" w:rsidRPr="00977044" w:rsidRDefault="00FD56EF"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0.3253</w:t>
            </w:r>
          </w:p>
        </w:tc>
      </w:tr>
      <w:tr w:rsidR="00FD56EF" w:rsidRPr="00977044" w:rsidTr="00FD56EF">
        <w:trPr>
          <w:trHeight w:val="315"/>
        </w:trPr>
        <w:tc>
          <w:tcPr>
            <w:cnfStyle w:val="001000000000" w:firstRow="0" w:lastRow="0" w:firstColumn="1" w:lastColumn="0" w:oddVBand="0" w:evenVBand="0" w:oddHBand="0" w:evenHBand="0" w:firstRowFirstColumn="0" w:firstRowLastColumn="0" w:lastRowFirstColumn="0" w:lastRowLastColumn="0"/>
            <w:tcW w:w="2880" w:type="dxa"/>
            <w:noWrap/>
            <w:hideMark/>
          </w:tcPr>
          <w:p w:rsidR="00FD56EF" w:rsidRPr="00977044" w:rsidRDefault="00FD56EF" w:rsidP="00FD56EF">
            <w:pPr>
              <w:spacing w:line="276" w:lineRule="auto"/>
              <w:jc w:val="left"/>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Inactive</w:t>
            </w:r>
          </w:p>
        </w:tc>
        <w:tc>
          <w:tcPr>
            <w:tcW w:w="1620" w:type="dxa"/>
            <w:noWrap/>
            <w:vAlign w:val="bottom"/>
          </w:tcPr>
          <w:p w:rsidR="00FD56EF" w:rsidRPr="00977044" w:rsidRDefault="00A42997"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Pr>
                <w:rFonts w:ascii="Times New Roman" w:hAnsi="Times New Roman" w:cs="Times New Roman"/>
                <w:color w:val="000000"/>
                <w:sz w:val="20"/>
                <w:szCs w:val="20"/>
              </w:rPr>
              <w:t>195 (</w:t>
            </w:r>
            <w:r w:rsidR="00FD56EF" w:rsidRPr="00EA3B43">
              <w:rPr>
                <w:rFonts w:ascii="Times New Roman" w:hAnsi="Times New Roman" w:cs="Times New Roman"/>
                <w:color w:val="000000"/>
                <w:sz w:val="20"/>
                <w:szCs w:val="20"/>
              </w:rPr>
              <w:t>56.9</w:t>
            </w:r>
            <w:r>
              <w:rPr>
                <w:rFonts w:ascii="Times New Roman" w:hAnsi="Times New Roman" w:cs="Times New Roman"/>
                <w:color w:val="000000"/>
                <w:sz w:val="20"/>
                <w:szCs w:val="20"/>
              </w:rPr>
              <w:t>)</w:t>
            </w:r>
          </w:p>
        </w:tc>
        <w:tc>
          <w:tcPr>
            <w:tcW w:w="1890" w:type="dxa"/>
            <w:noWrap/>
            <w:vAlign w:val="bottom"/>
          </w:tcPr>
          <w:p w:rsidR="00FD56EF" w:rsidRPr="00977044" w:rsidRDefault="00A42997"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Pr>
                <w:rFonts w:ascii="Times New Roman" w:hAnsi="Times New Roman" w:cs="Times New Roman"/>
                <w:color w:val="000000"/>
                <w:sz w:val="20"/>
                <w:szCs w:val="20"/>
              </w:rPr>
              <w:t>515 (</w:t>
            </w:r>
            <w:r w:rsidR="00FD56EF" w:rsidRPr="00EA3B43">
              <w:rPr>
                <w:rFonts w:ascii="Times New Roman" w:hAnsi="Times New Roman" w:cs="Times New Roman"/>
                <w:color w:val="000000"/>
                <w:sz w:val="20"/>
                <w:szCs w:val="20"/>
              </w:rPr>
              <w:t>34.8</w:t>
            </w:r>
            <w:r>
              <w:rPr>
                <w:rFonts w:ascii="Times New Roman" w:hAnsi="Times New Roman" w:cs="Times New Roman"/>
                <w:color w:val="000000"/>
                <w:sz w:val="20"/>
                <w:szCs w:val="20"/>
              </w:rPr>
              <w:t>)</w:t>
            </w:r>
          </w:p>
        </w:tc>
        <w:tc>
          <w:tcPr>
            <w:tcW w:w="1620" w:type="dxa"/>
            <w:noWrap/>
            <w:vAlign w:val="bottom"/>
          </w:tcPr>
          <w:p w:rsidR="00FD56EF" w:rsidRPr="00977044" w:rsidRDefault="00A42997"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Pr>
                <w:rFonts w:ascii="Times New Roman" w:hAnsi="Times New Roman" w:cs="Times New Roman"/>
                <w:color w:val="000000"/>
                <w:sz w:val="20"/>
                <w:szCs w:val="20"/>
              </w:rPr>
              <w:t>469 (</w:t>
            </w:r>
            <w:r w:rsidR="00FD56EF" w:rsidRPr="00EA3B43">
              <w:rPr>
                <w:rFonts w:ascii="Times New Roman" w:hAnsi="Times New Roman" w:cs="Times New Roman"/>
                <w:color w:val="000000"/>
                <w:sz w:val="20"/>
                <w:szCs w:val="20"/>
              </w:rPr>
              <w:t>28.1</w:t>
            </w:r>
            <w:r>
              <w:rPr>
                <w:rFonts w:ascii="Times New Roman" w:hAnsi="Times New Roman" w:cs="Times New Roman"/>
                <w:color w:val="000000"/>
                <w:sz w:val="20"/>
                <w:szCs w:val="20"/>
              </w:rPr>
              <w:t>)</w:t>
            </w:r>
          </w:p>
        </w:tc>
        <w:tc>
          <w:tcPr>
            <w:tcW w:w="900" w:type="dxa"/>
            <w:noWrap/>
            <w:hideMark/>
          </w:tcPr>
          <w:p w:rsidR="00FD56EF" w:rsidRPr="00977044" w:rsidRDefault="00FD56EF"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&lt;.0001</w:t>
            </w:r>
          </w:p>
        </w:tc>
      </w:tr>
      <w:tr w:rsidR="00FD56EF" w:rsidRPr="00977044" w:rsidTr="00FD56EF">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2880" w:type="dxa"/>
            <w:noWrap/>
            <w:hideMark/>
          </w:tcPr>
          <w:p w:rsidR="00FD56EF" w:rsidRPr="00977044" w:rsidRDefault="00FD56EF" w:rsidP="00FD56EF">
            <w:pPr>
              <w:spacing w:line="276" w:lineRule="auto"/>
              <w:jc w:val="left"/>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Physical disability</w:t>
            </w:r>
          </w:p>
        </w:tc>
        <w:tc>
          <w:tcPr>
            <w:tcW w:w="1620" w:type="dxa"/>
            <w:noWrap/>
            <w:vAlign w:val="bottom"/>
          </w:tcPr>
          <w:p w:rsidR="00FD56EF" w:rsidRPr="00977044" w:rsidRDefault="003400F3"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Pr>
                <w:rFonts w:ascii="Times New Roman" w:hAnsi="Times New Roman" w:cs="Times New Roman"/>
                <w:color w:val="000000"/>
                <w:sz w:val="20"/>
                <w:szCs w:val="20"/>
              </w:rPr>
              <w:t>55 (</w:t>
            </w:r>
            <w:r w:rsidR="00FD56EF" w:rsidRPr="00EA3B43">
              <w:rPr>
                <w:rFonts w:ascii="Times New Roman" w:hAnsi="Times New Roman" w:cs="Times New Roman"/>
                <w:color w:val="000000"/>
                <w:sz w:val="20"/>
                <w:szCs w:val="20"/>
              </w:rPr>
              <w:t>15.2</w:t>
            </w:r>
            <w:r>
              <w:rPr>
                <w:rFonts w:ascii="Times New Roman" w:hAnsi="Times New Roman" w:cs="Times New Roman"/>
                <w:color w:val="000000"/>
                <w:sz w:val="20"/>
                <w:szCs w:val="20"/>
              </w:rPr>
              <w:t>)</w:t>
            </w:r>
          </w:p>
        </w:tc>
        <w:tc>
          <w:tcPr>
            <w:tcW w:w="1890" w:type="dxa"/>
            <w:noWrap/>
            <w:vAlign w:val="bottom"/>
          </w:tcPr>
          <w:p w:rsidR="00FD56EF" w:rsidRPr="00977044" w:rsidRDefault="003400F3"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Pr>
                <w:rFonts w:ascii="Times New Roman" w:hAnsi="Times New Roman" w:cs="Times New Roman"/>
                <w:color w:val="000000"/>
                <w:sz w:val="20"/>
                <w:szCs w:val="20"/>
              </w:rPr>
              <w:t>131 (</w:t>
            </w:r>
            <w:r w:rsidR="00FD56EF" w:rsidRPr="00EA3B43">
              <w:rPr>
                <w:rFonts w:ascii="Times New Roman" w:hAnsi="Times New Roman" w:cs="Times New Roman"/>
                <w:color w:val="000000"/>
                <w:sz w:val="20"/>
                <w:szCs w:val="20"/>
              </w:rPr>
              <w:t>8.6</w:t>
            </w:r>
            <w:r>
              <w:rPr>
                <w:rFonts w:ascii="Times New Roman" w:hAnsi="Times New Roman" w:cs="Times New Roman"/>
                <w:color w:val="000000"/>
                <w:sz w:val="20"/>
                <w:szCs w:val="20"/>
              </w:rPr>
              <w:t>)</w:t>
            </w:r>
          </w:p>
        </w:tc>
        <w:tc>
          <w:tcPr>
            <w:tcW w:w="1620" w:type="dxa"/>
            <w:noWrap/>
            <w:vAlign w:val="bottom"/>
          </w:tcPr>
          <w:p w:rsidR="00FD56EF" w:rsidRPr="00977044" w:rsidRDefault="003400F3"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Pr>
                <w:rFonts w:ascii="Times New Roman" w:hAnsi="Times New Roman" w:cs="Times New Roman"/>
                <w:color w:val="000000"/>
                <w:sz w:val="20"/>
                <w:szCs w:val="20"/>
              </w:rPr>
              <w:t>133 (</w:t>
            </w:r>
            <w:r w:rsidR="00FD56EF" w:rsidRPr="00EA3B43">
              <w:rPr>
                <w:rFonts w:ascii="Times New Roman" w:hAnsi="Times New Roman" w:cs="Times New Roman"/>
                <w:color w:val="000000"/>
                <w:sz w:val="20"/>
                <w:szCs w:val="20"/>
              </w:rPr>
              <w:t>7.7</w:t>
            </w:r>
            <w:r>
              <w:rPr>
                <w:rFonts w:ascii="Times New Roman" w:hAnsi="Times New Roman" w:cs="Times New Roman"/>
                <w:color w:val="000000"/>
                <w:sz w:val="20"/>
                <w:szCs w:val="20"/>
              </w:rPr>
              <w:t>)</w:t>
            </w:r>
          </w:p>
        </w:tc>
        <w:tc>
          <w:tcPr>
            <w:tcW w:w="900" w:type="dxa"/>
            <w:noWrap/>
            <w:hideMark/>
          </w:tcPr>
          <w:p w:rsidR="00FD56EF" w:rsidRPr="00977044" w:rsidRDefault="00FD56EF"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&lt;.0001</w:t>
            </w:r>
          </w:p>
        </w:tc>
      </w:tr>
      <w:tr w:rsidR="00FD56EF" w:rsidRPr="00977044" w:rsidTr="00FD56EF">
        <w:trPr>
          <w:trHeight w:val="66"/>
        </w:trPr>
        <w:tc>
          <w:tcPr>
            <w:cnfStyle w:val="001000000000" w:firstRow="0" w:lastRow="0" w:firstColumn="1" w:lastColumn="0" w:oddVBand="0" w:evenVBand="0" w:oddHBand="0" w:evenHBand="0" w:firstRowFirstColumn="0" w:firstRowLastColumn="0" w:lastRowFirstColumn="0" w:lastRowLastColumn="0"/>
            <w:tcW w:w="2880" w:type="dxa"/>
            <w:noWrap/>
            <w:hideMark/>
          </w:tcPr>
          <w:p w:rsidR="00FD56EF" w:rsidRPr="00977044" w:rsidRDefault="00FD56EF" w:rsidP="00FD56EF">
            <w:pPr>
              <w:spacing w:line="276" w:lineRule="auto"/>
              <w:jc w:val="left"/>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Manual Social Class</w:t>
            </w:r>
          </w:p>
        </w:tc>
        <w:tc>
          <w:tcPr>
            <w:tcW w:w="1620" w:type="dxa"/>
            <w:noWrap/>
            <w:vAlign w:val="bottom"/>
          </w:tcPr>
          <w:p w:rsidR="00FD56EF" w:rsidRPr="00977044" w:rsidRDefault="003400F3"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Pr>
                <w:rFonts w:ascii="Times New Roman" w:hAnsi="Times New Roman" w:cs="Times New Roman"/>
                <w:color w:val="000000"/>
                <w:sz w:val="20"/>
                <w:szCs w:val="20"/>
              </w:rPr>
              <w:t>192 (</w:t>
            </w:r>
            <w:r w:rsidR="00FD56EF" w:rsidRPr="00EA3B43">
              <w:rPr>
                <w:rFonts w:ascii="Times New Roman" w:hAnsi="Times New Roman" w:cs="Times New Roman"/>
                <w:color w:val="000000"/>
                <w:sz w:val="20"/>
                <w:szCs w:val="20"/>
              </w:rPr>
              <w:t>53.2</w:t>
            </w:r>
            <w:r>
              <w:rPr>
                <w:rFonts w:ascii="Times New Roman" w:hAnsi="Times New Roman" w:cs="Times New Roman"/>
                <w:color w:val="000000"/>
                <w:sz w:val="20"/>
                <w:szCs w:val="20"/>
              </w:rPr>
              <w:t>)</w:t>
            </w:r>
          </w:p>
        </w:tc>
        <w:tc>
          <w:tcPr>
            <w:tcW w:w="1890" w:type="dxa"/>
            <w:noWrap/>
            <w:vAlign w:val="bottom"/>
          </w:tcPr>
          <w:p w:rsidR="00FD56EF" w:rsidRPr="00977044" w:rsidRDefault="003400F3"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Pr>
                <w:rFonts w:ascii="Times New Roman" w:hAnsi="Times New Roman" w:cs="Times New Roman"/>
                <w:color w:val="000000"/>
                <w:sz w:val="20"/>
                <w:szCs w:val="20"/>
              </w:rPr>
              <w:t>779 (</w:t>
            </w:r>
            <w:r w:rsidR="00FD56EF" w:rsidRPr="00EA3B43">
              <w:rPr>
                <w:rFonts w:ascii="Times New Roman" w:hAnsi="Times New Roman" w:cs="Times New Roman"/>
                <w:color w:val="000000"/>
                <w:sz w:val="20"/>
                <w:szCs w:val="20"/>
              </w:rPr>
              <w:t>50.9</w:t>
            </w:r>
            <w:r>
              <w:rPr>
                <w:rFonts w:ascii="Times New Roman" w:hAnsi="Times New Roman" w:cs="Times New Roman"/>
                <w:color w:val="000000"/>
                <w:sz w:val="20"/>
                <w:szCs w:val="20"/>
              </w:rPr>
              <w:t>)</w:t>
            </w:r>
          </w:p>
        </w:tc>
        <w:tc>
          <w:tcPr>
            <w:tcW w:w="1620" w:type="dxa"/>
            <w:noWrap/>
            <w:vAlign w:val="bottom"/>
          </w:tcPr>
          <w:p w:rsidR="00FD56EF" w:rsidRPr="00977044" w:rsidRDefault="003400F3"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Pr>
                <w:rFonts w:ascii="Times New Roman" w:hAnsi="Times New Roman" w:cs="Times New Roman"/>
                <w:color w:val="000000"/>
                <w:sz w:val="20"/>
                <w:szCs w:val="20"/>
              </w:rPr>
              <w:t>886 (</w:t>
            </w:r>
            <w:r w:rsidR="00FD56EF" w:rsidRPr="00EA3B43">
              <w:rPr>
                <w:rFonts w:ascii="Times New Roman" w:hAnsi="Times New Roman" w:cs="Times New Roman"/>
                <w:color w:val="000000"/>
                <w:sz w:val="20"/>
                <w:szCs w:val="20"/>
              </w:rPr>
              <w:t>51.5</w:t>
            </w:r>
            <w:r>
              <w:rPr>
                <w:rFonts w:ascii="Times New Roman" w:hAnsi="Times New Roman" w:cs="Times New Roman"/>
                <w:color w:val="000000"/>
                <w:sz w:val="20"/>
                <w:szCs w:val="20"/>
              </w:rPr>
              <w:t>)</w:t>
            </w:r>
          </w:p>
        </w:tc>
        <w:tc>
          <w:tcPr>
            <w:tcW w:w="900" w:type="dxa"/>
            <w:noWrap/>
            <w:hideMark/>
          </w:tcPr>
          <w:p w:rsidR="00FD56EF" w:rsidRPr="00977044" w:rsidRDefault="00FD56EF"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0.722</w:t>
            </w:r>
            <w:r>
              <w:rPr>
                <w:rFonts w:ascii="Times New Roman" w:eastAsia="Times New Roman" w:hAnsi="Times New Roman" w:cs="Times New Roman"/>
                <w:color w:val="000000"/>
                <w:sz w:val="20"/>
                <w:szCs w:val="20"/>
                <w:lang w:val="en-US"/>
              </w:rPr>
              <w:t>0</w:t>
            </w:r>
          </w:p>
        </w:tc>
      </w:tr>
      <w:tr w:rsidR="00FD56EF" w:rsidRPr="00977044" w:rsidTr="00FD56EF">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2880" w:type="dxa"/>
            <w:noWrap/>
          </w:tcPr>
          <w:p w:rsidR="00FD56EF" w:rsidRPr="0027430F" w:rsidRDefault="00FD56EF" w:rsidP="00FD56EF">
            <w:pPr>
              <w:spacing w:line="276" w:lineRule="auto"/>
              <w:jc w:val="left"/>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lang w:val="en-US"/>
              </w:rPr>
              <w:t>Vitamin D/</w:t>
            </w:r>
            <w:r w:rsidRPr="0027430F">
              <w:rPr>
                <w:rFonts w:ascii="Times New Roman" w:eastAsia="Times New Roman" w:hAnsi="Times New Roman" w:cs="Times New Roman"/>
                <w:b/>
                <w:color w:val="000000"/>
                <w:sz w:val="20"/>
                <w:szCs w:val="20"/>
                <w:lang w:val="en-US"/>
              </w:rPr>
              <w:t>calcium supplementation and season of examination</w:t>
            </w:r>
            <w:r>
              <w:rPr>
                <w:rFonts w:ascii="Times New Roman" w:eastAsia="Times New Roman" w:hAnsi="Times New Roman" w:cs="Times New Roman"/>
                <w:b/>
                <w:color w:val="000000"/>
                <w:sz w:val="20"/>
                <w:szCs w:val="20"/>
                <w:lang w:val="en-US"/>
              </w:rPr>
              <w:t xml:space="preserve"> (</w:t>
            </w:r>
            <w:r w:rsidR="00F7119F">
              <w:rPr>
                <w:rFonts w:ascii="Times New Roman" w:eastAsia="Times New Roman" w:hAnsi="Times New Roman" w:cs="Times New Roman"/>
                <w:b/>
                <w:color w:val="000000"/>
                <w:sz w:val="20"/>
                <w:szCs w:val="20"/>
                <w:lang w:val="en-US"/>
              </w:rPr>
              <w:t xml:space="preserve">n, </w:t>
            </w:r>
            <w:r>
              <w:rPr>
                <w:rFonts w:ascii="Times New Roman" w:eastAsia="Times New Roman" w:hAnsi="Times New Roman" w:cs="Times New Roman"/>
                <w:b/>
                <w:color w:val="000000"/>
                <w:sz w:val="20"/>
                <w:szCs w:val="20"/>
                <w:lang w:val="en-US"/>
              </w:rPr>
              <w:t>%)</w:t>
            </w:r>
          </w:p>
        </w:tc>
        <w:tc>
          <w:tcPr>
            <w:tcW w:w="1620" w:type="dxa"/>
            <w:noWrap/>
            <w:vAlign w:val="bottom"/>
          </w:tcPr>
          <w:p w:rsidR="00FD56EF" w:rsidRPr="00EA3B43" w:rsidRDefault="00FD56EF"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1890" w:type="dxa"/>
            <w:noWrap/>
            <w:vAlign w:val="bottom"/>
          </w:tcPr>
          <w:p w:rsidR="00FD56EF" w:rsidRPr="00EA3B43" w:rsidRDefault="00FD56EF"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1620" w:type="dxa"/>
            <w:noWrap/>
            <w:vAlign w:val="bottom"/>
          </w:tcPr>
          <w:p w:rsidR="00FD56EF" w:rsidRPr="00EA3B43" w:rsidRDefault="00FD56EF"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900" w:type="dxa"/>
            <w:noWrap/>
          </w:tcPr>
          <w:p w:rsidR="00FD56EF" w:rsidRPr="00977044" w:rsidRDefault="00FD56EF"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p>
        </w:tc>
      </w:tr>
      <w:tr w:rsidR="00FD56EF" w:rsidRPr="00977044" w:rsidTr="00FD56EF">
        <w:trPr>
          <w:trHeight w:val="66"/>
        </w:trPr>
        <w:tc>
          <w:tcPr>
            <w:cnfStyle w:val="001000000000" w:firstRow="0" w:lastRow="0" w:firstColumn="1" w:lastColumn="0" w:oddVBand="0" w:evenVBand="0" w:oddHBand="0" w:evenHBand="0" w:firstRowFirstColumn="0" w:firstRowLastColumn="0" w:lastRowFirstColumn="0" w:lastRowLastColumn="0"/>
            <w:tcW w:w="2880" w:type="dxa"/>
            <w:noWrap/>
            <w:hideMark/>
          </w:tcPr>
          <w:p w:rsidR="00FD56EF" w:rsidRPr="00977044" w:rsidRDefault="00FD56EF" w:rsidP="00FD56EF">
            <w:pPr>
              <w:spacing w:line="276" w:lineRule="auto"/>
              <w:jc w:val="left"/>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Vitamin D supplements</w:t>
            </w:r>
          </w:p>
        </w:tc>
        <w:tc>
          <w:tcPr>
            <w:tcW w:w="1620" w:type="dxa"/>
            <w:noWrap/>
            <w:vAlign w:val="bottom"/>
          </w:tcPr>
          <w:p w:rsidR="00FD56EF" w:rsidRPr="00977044" w:rsidRDefault="00F7119F"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Pr>
                <w:rFonts w:ascii="Times New Roman" w:hAnsi="Times New Roman" w:cs="Times New Roman"/>
                <w:color w:val="000000"/>
                <w:sz w:val="20"/>
                <w:szCs w:val="20"/>
              </w:rPr>
              <w:t>10 (</w:t>
            </w:r>
            <w:r w:rsidR="00FD56EF" w:rsidRPr="00EA3B43">
              <w:rPr>
                <w:rFonts w:ascii="Times New Roman" w:hAnsi="Times New Roman" w:cs="Times New Roman"/>
                <w:color w:val="000000"/>
                <w:sz w:val="20"/>
                <w:szCs w:val="20"/>
              </w:rPr>
              <w:t>2.8</w:t>
            </w:r>
            <w:r>
              <w:rPr>
                <w:rFonts w:ascii="Times New Roman" w:hAnsi="Times New Roman" w:cs="Times New Roman"/>
                <w:color w:val="000000"/>
                <w:sz w:val="20"/>
                <w:szCs w:val="20"/>
              </w:rPr>
              <w:t>)</w:t>
            </w:r>
          </w:p>
        </w:tc>
        <w:tc>
          <w:tcPr>
            <w:tcW w:w="1890" w:type="dxa"/>
            <w:noWrap/>
            <w:vAlign w:val="bottom"/>
          </w:tcPr>
          <w:p w:rsidR="00FD56EF" w:rsidRPr="00977044" w:rsidRDefault="00F7119F"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Pr>
                <w:rFonts w:ascii="Times New Roman" w:hAnsi="Times New Roman" w:cs="Times New Roman"/>
                <w:color w:val="000000"/>
                <w:sz w:val="20"/>
                <w:szCs w:val="20"/>
              </w:rPr>
              <w:t>66 (</w:t>
            </w:r>
            <w:r w:rsidR="00FD56EF" w:rsidRPr="00EA3B43">
              <w:rPr>
                <w:rFonts w:ascii="Times New Roman" w:hAnsi="Times New Roman" w:cs="Times New Roman"/>
                <w:color w:val="000000"/>
                <w:sz w:val="20"/>
                <w:szCs w:val="20"/>
              </w:rPr>
              <w:t>4.3</w:t>
            </w:r>
            <w:r>
              <w:rPr>
                <w:rFonts w:ascii="Times New Roman" w:hAnsi="Times New Roman" w:cs="Times New Roman"/>
                <w:color w:val="000000"/>
                <w:sz w:val="20"/>
                <w:szCs w:val="20"/>
              </w:rPr>
              <w:t>)</w:t>
            </w:r>
          </w:p>
        </w:tc>
        <w:tc>
          <w:tcPr>
            <w:tcW w:w="1620" w:type="dxa"/>
            <w:noWrap/>
            <w:vAlign w:val="bottom"/>
          </w:tcPr>
          <w:p w:rsidR="00FD56EF" w:rsidRPr="00977044" w:rsidRDefault="00F7119F"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Pr>
                <w:rFonts w:ascii="Times New Roman" w:hAnsi="Times New Roman" w:cs="Times New Roman"/>
                <w:color w:val="000000"/>
                <w:sz w:val="20"/>
                <w:szCs w:val="20"/>
              </w:rPr>
              <w:t>169 (</w:t>
            </w:r>
            <w:r w:rsidR="00FD56EF" w:rsidRPr="00EA3B43">
              <w:rPr>
                <w:rFonts w:ascii="Times New Roman" w:hAnsi="Times New Roman" w:cs="Times New Roman"/>
                <w:color w:val="000000"/>
                <w:sz w:val="20"/>
                <w:szCs w:val="20"/>
              </w:rPr>
              <w:t>9.8</w:t>
            </w:r>
            <w:r>
              <w:rPr>
                <w:rFonts w:ascii="Times New Roman" w:hAnsi="Times New Roman" w:cs="Times New Roman"/>
                <w:color w:val="000000"/>
                <w:sz w:val="20"/>
                <w:szCs w:val="20"/>
              </w:rPr>
              <w:t>)</w:t>
            </w:r>
          </w:p>
        </w:tc>
        <w:tc>
          <w:tcPr>
            <w:tcW w:w="900" w:type="dxa"/>
            <w:noWrap/>
            <w:hideMark/>
          </w:tcPr>
          <w:p w:rsidR="00FD56EF" w:rsidRPr="00977044" w:rsidRDefault="00FD56EF"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&lt;.0001</w:t>
            </w:r>
          </w:p>
        </w:tc>
      </w:tr>
      <w:tr w:rsidR="00FD56EF" w:rsidRPr="00977044" w:rsidTr="00FD56EF">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2880" w:type="dxa"/>
            <w:noWrap/>
            <w:hideMark/>
          </w:tcPr>
          <w:p w:rsidR="00FD56EF" w:rsidRPr="00977044" w:rsidRDefault="00FD56EF" w:rsidP="00FD56EF">
            <w:pPr>
              <w:spacing w:line="276" w:lineRule="auto"/>
              <w:jc w:val="left"/>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Calcium supplements</w:t>
            </w:r>
          </w:p>
        </w:tc>
        <w:tc>
          <w:tcPr>
            <w:tcW w:w="1620" w:type="dxa"/>
            <w:noWrap/>
            <w:vAlign w:val="bottom"/>
          </w:tcPr>
          <w:p w:rsidR="00FD56EF" w:rsidRPr="00977044" w:rsidRDefault="00F7119F"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Pr>
                <w:rFonts w:ascii="Times New Roman" w:hAnsi="Times New Roman" w:cs="Times New Roman"/>
                <w:color w:val="000000"/>
                <w:sz w:val="20"/>
                <w:szCs w:val="20"/>
              </w:rPr>
              <w:t>3 (</w:t>
            </w:r>
            <w:r w:rsidR="00FD56EF" w:rsidRPr="00EA3B43">
              <w:rPr>
                <w:rFonts w:ascii="Times New Roman" w:hAnsi="Times New Roman" w:cs="Times New Roman"/>
                <w:color w:val="000000"/>
                <w:sz w:val="20"/>
                <w:szCs w:val="20"/>
              </w:rPr>
              <w:t>0.8</w:t>
            </w:r>
            <w:r>
              <w:rPr>
                <w:rFonts w:ascii="Times New Roman" w:hAnsi="Times New Roman" w:cs="Times New Roman"/>
                <w:color w:val="000000"/>
                <w:sz w:val="20"/>
                <w:szCs w:val="20"/>
              </w:rPr>
              <w:t>)</w:t>
            </w:r>
          </w:p>
        </w:tc>
        <w:tc>
          <w:tcPr>
            <w:tcW w:w="1890" w:type="dxa"/>
            <w:noWrap/>
            <w:vAlign w:val="bottom"/>
          </w:tcPr>
          <w:p w:rsidR="00FD56EF" w:rsidRPr="00977044" w:rsidRDefault="00F7119F"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Pr>
                <w:rFonts w:ascii="Times New Roman" w:hAnsi="Times New Roman" w:cs="Times New Roman"/>
                <w:color w:val="000000"/>
                <w:sz w:val="20"/>
                <w:szCs w:val="20"/>
              </w:rPr>
              <w:t>14 (</w:t>
            </w:r>
            <w:r w:rsidR="00FD56EF" w:rsidRPr="00EA3B43">
              <w:rPr>
                <w:rFonts w:ascii="Times New Roman" w:hAnsi="Times New Roman" w:cs="Times New Roman"/>
                <w:color w:val="000000"/>
                <w:sz w:val="20"/>
                <w:szCs w:val="20"/>
              </w:rPr>
              <w:t>0.9</w:t>
            </w:r>
            <w:r>
              <w:rPr>
                <w:rFonts w:ascii="Times New Roman" w:hAnsi="Times New Roman" w:cs="Times New Roman"/>
                <w:color w:val="000000"/>
                <w:sz w:val="20"/>
                <w:szCs w:val="20"/>
              </w:rPr>
              <w:t>)</w:t>
            </w:r>
          </w:p>
        </w:tc>
        <w:tc>
          <w:tcPr>
            <w:tcW w:w="1620" w:type="dxa"/>
            <w:noWrap/>
            <w:vAlign w:val="bottom"/>
          </w:tcPr>
          <w:p w:rsidR="00FD56EF" w:rsidRPr="00977044" w:rsidRDefault="00F7119F"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Pr>
                <w:rFonts w:ascii="Times New Roman" w:hAnsi="Times New Roman" w:cs="Times New Roman"/>
                <w:color w:val="000000"/>
                <w:sz w:val="20"/>
                <w:szCs w:val="20"/>
              </w:rPr>
              <w:t>16 (</w:t>
            </w:r>
            <w:r w:rsidR="00FD56EF" w:rsidRPr="00EA3B43">
              <w:rPr>
                <w:rFonts w:ascii="Times New Roman" w:hAnsi="Times New Roman" w:cs="Times New Roman"/>
                <w:color w:val="000000"/>
                <w:sz w:val="20"/>
                <w:szCs w:val="20"/>
              </w:rPr>
              <w:t>0.9</w:t>
            </w:r>
            <w:r>
              <w:rPr>
                <w:rFonts w:ascii="Times New Roman" w:hAnsi="Times New Roman" w:cs="Times New Roman"/>
                <w:color w:val="000000"/>
                <w:sz w:val="20"/>
                <w:szCs w:val="20"/>
              </w:rPr>
              <w:t>)</w:t>
            </w:r>
          </w:p>
        </w:tc>
        <w:tc>
          <w:tcPr>
            <w:tcW w:w="900" w:type="dxa"/>
            <w:noWrap/>
            <w:hideMark/>
          </w:tcPr>
          <w:p w:rsidR="00FD56EF" w:rsidRPr="00977044" w:rsidRDefault="00FD56EF"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0.983</w:t>
            </w:r>
            <w:r>
              <w:rPr>
                <w:rFonts w:ascii="Times New Roman" w:eastAsia="Times New Roman" w:hAnsi="Times New Roman" w:cs="Times New Roman"/>
                <w:color w:val="000000"/>
                <w:sz w:val="20"/>
                <w:szCs w:val="20"/>
                <w:lang w:val="en-US"/>
              </w:rPr>
              <w:t>0</w:t>
            </w:r>
          </w:p>
        </w:tc>
      </w:tr>
      <w:tr w:rsidR="00FD56EF" w:rsidRPr="00977044" w:rsidTr="00FD56EF">
        <w:trPr>
          <w:trHeight w:val="66"/>
        </w:trPr>
        <w:tc>
          <w:tcPr>
            <w:cnfStyle w:val="001000000000" w:firstRow="0" w:lastRow="0" w:firstColumn="1" w:lastColumn="0" w:oddVBand="0" w:evenVBand="0" w:oddHBand="0" w:evenHBand="0" w:firstRowFirstColumn="0" w:firstRowLastColumn="0" w:lastRowFirstColumn="0" w:lastRowLastColumn="0"/>
            <w:tcW w:w="2880" w:type="dxa"/>
            <w:noWrap/>
            <w:hideMark/>
          </w:tcPr>
          <w:p w:rsidR="00FD56EF" w:rsidRPr="00977044" w:rsidRDefault="00FD56EF" w:rsidP="00FD56EF">
            <w:pPr>
              <w:spacing w:line="276" w:lineRule="auto"/>
              <w:jc w:val="left"/>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Spring</w:t>
            </w:r>
          </w:p>
        </w:tc>
        <w:tc>
          <w:tcPr>
            <w:tcW w:w="1620" w:type="dxa"/>
            <w:noWrap/>
            <w:vAlign w:val="bottom"/>
          </w:tcPr>
          <w:p w:rsidR="00FD56EF" w:rsidRPr="00977044" w:rsidRDefault="003400F3"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Pr>
                <w:rFonts w:ascii="Times New Roman" w:hAnsi="Times New Roman" w:cs="Times New Roman"/>
                <w:color w:val="000000"/>
                <w:sz w:val="20"/>
                <w:szCs w:val="20"/>
              </w:rPr>
              <w:t>114 (</w:t>
            </w:r>
            <w:r w:rsidR="00FD56EF" w:rsidRPr="00EA3B43">
              <w:rPr>
                <w:rFonts w:ascii="Times New Roman" w:hAnsi="Times New Roman" w:cs="Times New Roman"/>
                <w:color w:val="000000"/>
                <w:sz w:val="20"/>
                <w:szCs w:val="20"/>
              </w:rPr>
              <w:t>31.4</w:t>
            </w:r>
            <w:r>
              <w:rPr>
                <w:rFonts w:ascii="Times New Roman" w:hAnsi="Times New Roman" w:cs="Times New Roman"/>
                <w:color w:val="000000"/>
                <w:sz w:val="20"/>
                <w:szCs w:val="20"/>
              </w:rPr>
              <w:t>)</w:t>
            </w:r>
          </w:p>
        </w:tc>
        <w:tc>
          <w:tcPr>
            <w:tcW w:w="1890" w:type="dxa"/>
            <w:noWrap/>
            <w:vAlign w:val="bottom"/>
          </w:tcPr>
          <w:p w:rsidR="00FD56EF" w:rsidRPr="00977044" w:rsidRDefault="003400F3"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Pr>
                <w:rFonts w:ascii="Times New Roman" w:hAnsi="Times New Roman" w:cs="Times New Roman"/>
                <w:color w:val="000000"/>
                <w:sz w:val="20"/>
                <w:szCs w:val="20"/>
              </w:rPr>
              <w:t>410 (</w:t>
            </w:r>
            <w:r w:rsidR="00FD56EF" w:rsidRPr="00EA3B43">
              <w:rPr>
                <w:rFonts w:ascii="Times New Roman" w:hAnsi="Times New Roman" w:cs="Times New Roman"/>
                <w:color w:val="000000"/>
                <w:sz w:val="20"/>
                <w:szCs w:val="20"/>
              </w:rPr>
              <w:t>26.7</w:t>
            </w:r>
            <w:r>
              <w:rPr>
                <w:rFonts w:ascii="Times New Roman" w:hAnsi="Times New Roman" w:cs="Times New Roman"/>
                <w:color w:val="000000"/>
                <w:sz w:val="20"/>
                <w:szCs w:val="20"/>
              </w:rPr>
              <w:t>)</w:t>
            </w:r>
          </w:p>
        </w:tc>
        <w:tc>
          <w:tcPr>
            <w:tcW w:w="1620" w:type="dxa"/>
            <w:noWrap/>
            <w:vAlign w:val="bottom"/>
          </w:tcPr>
          <w:p w:rsidR="00FD56EF" w:rsidRPr="00977044" w:rsidRDefault="003400F3"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Pr>
                <w:rFonts w:ascii="Times New Roman" w:hAnsi="Times New Roman" w:cs="Times New Roman"/>
                <w:color w:val="000000"/>
                <w:sz w:val="20"/>
                <w:szCs w:val="20"/>
              </w:rPr>
              <w:t>266 (</w:t>
            </w:r>
            <w:r w:rsidR="00FD56EF" w:rsidRPr="00EA3B43">
              <w:rPr>
                <w:rFonts w:ascii="Times New Roman" w:hAnsi="Times New Roman" w:cs="Times New Roman"/>
                <w:color w:val="000000"/>
                <w:sz w:val="20"/>
                <w:szCs w:val="20"/>
              </w:rPr>
              <w:t>15.4</w:t>
            </w:r>
            <w:r>
              <w:rPr>
                <w:rFonts w:ascii="Times New Roman" w:hAnsi="Times New Roman" w:cs="Times New Roman"/>
                <w:color w:val="000000"/>
                <w:sz w:val="20"/>
                <w:szCs w:val="20"/>
              </w:rPr>
              <w:t>)</w:t>
            </w:r>
          </w:p>
        </w:tc>
        <w:tc>
          <w:tcPr>
            <w:tcW w:w="900" w:type="dxa"/>
            <w:vMerge w:val="restart"/>
            <w:noWrap/>
            <w:vAlign w:val="center"/>
            <w:hideMark/>
          </w:tcPr>
          <w:p w:rsidR="00FD56EF" w:rsidRPr="00977044" w:rsidRDefault="00FD56EF" w:rsidP="00FD56E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&lt;.0001</w:t>
            </w:r>
          </w:p>
        </w:tc>
      </w:tr>
      <w:tr w:rsidR="00FD56EF" w:rsidRPr="00977044" w:rsidTr="00FD56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0" w:type="dxa"/>
            <w:noWrap/>
            <w:hideMark/>
          </w:tcPr>
          <w:p w:rsidR="00FD56EF" w:rsidRPr="00977044" w:rsidRDefault="00FD56EF" w:rsidP="00FD56EF">
            <w:pPr>
              <w:spacing w:line="276" w:lineRule="auto"/>
              <w:jc w:val="left"/>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Summer</w:t>
            </w:r>
          </w:p>
        </w:tc>
        <w:tc>
          <w:tcPr>
            <w:tcW w:w="1620" w:type="dxa"/>
            <w:noWrap/>
            <w:vAlign w:val="bottom"/>
          </w:tcPr>
          <w:p w:rsidR="00FD56EF" w:rsidRPr="00977044" w:rsidRDefault="003400F3"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Pr>
                <w:rFonts w:ascii="Times New Roman" w:hAnsi="Times New Roman" w:cs="Times New Roman"/>
                <w:color w:val="000000"/>
                <w:sz w:val="20"/>
                <w:szCs w:val="20"/>
              </w:rPr>
              <w:t>72 (</w:t>
            </w:r>
            <w:r w:rsidR="00FD56EF" w:rsidRPr="00EA3B43">
              <w:rPr>
                <w:rFonts w:ascii="Times New Roman" w:hAnsi="Times New Roman" w:cs="Times New Roman"/>
                <w:color w:val="000000"/>
                <w:sz w:val="20"/>
                <w:szCs w:val="20"/>
              </w:rPr>
              <w:t>19.8</w:t>
            </w:r>
            <w:r>
              <w:rPr>
                <w:rFonts w:ascii="Times New Roman" w:hAnsi="Times New Roman" w:cs="Times New Roman"/>
                <w:color w:val="000000"/>
                <w:sz w:val="20"/>
                <w:szCs w:val="20"/>
              </w:rPr>
              <w:t>)</w:t>
            </w:r>
          </w:p>
        </w:tc>
        <w:tc>
          <w:tcPr>
            <w:tcW w:w="1890" w:type="dxa"/>
            <w:noWrap/>
            <w:vAlign w:val="bottom"/>
          </w:tcPr>
          <w:p w:rsidR="00FD56EF" w:rsidRPr="00977044" w:rsidRDefault="003400F3"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Pr>
                <w:rFonts w:ascii="Times New Roman" w:hAnsi="Times New Roman" w:cs="Times New Roman"/>
                <w:color w:val="000000"/>
                <w:sz w:val="20"/>
                <w:szCs w:val="20"/>
              </w:rPr>
              <w:t>309 (</w:t>
            </w:r>
            <w:r w:rsidR="00FD56EF" w:rsidRPr="00EA3B43">
              <w:rPr>
                <w:rFonts w:ascii="Times New Roman" w:hAnsi="Times New Roman" w:cs="Times New Roman"/>
                <w:color w:val="000000"/>
                <w:sz w:val="20"/>
                <w:szCs w:val="20"/>
              </w:rPr>
              <w:t>20.2</w:t>
            </w:r>
            <w:r>
              <w:rPr>
                <w:rFonts w:ascii="Times New Roman" w:hAnsi="Times New Roman" w:cs="Times New Roman"/>
                <w:color w:val="000000"/>
                <w:sz w:val="20"/>
                <w:szCs w:val="20"/>
              </w:rPr>
              <w:t>)</w:t>
            </w:r>
          </w:p>
        </w:tc>
        <w:tc>
          <w:tcPr>
            <w:tcW w:w="1620" w:type="dxa"/>
            <w:noWrap/>
            <w:vAlign w:val="bottom"/>
          </w:tcPr>
          <w:p w:rsidR="00FD56EF" w:rsidRPr="00977044" w:rsidRDefault="003400F3"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Pr>
                <w:rFonts w:ascii="Times New Roman" w:hAnsi="Times New Roman" w:cs="Times New Roman"/>
                <w:color w:val="000000"/>
                <w:sz w:val="20"/>
                <w:szCs w:val="20"/>
              </w:rPr>
              <w:t>555 (</w:t>
            </w:r>
            <w:r w:rsidR="00FD56EF" w:rsidRPr="00EA3B43">
              <w:rPr>
                <w:rFonts w:ascii="Times New Roman" w:hAnsi="Times New Roman" w:cs="Times New Roman"/>
                <w:color w:val="000000"/>
                <w:sz w:val="20"/>
                <w:szCs w:val="20"/>
              </w:rPr>
              <w:t>32.2</w:t>
            </w:r>
            <w:r>
              <w:rPr>
                <w:rFonts w:ascii="Times New Roman" w:hAnsi="Times New Roman" w:cs="Times New Roman"/>
                <w:color w:val="000000"/>
                <w:sz w:val="20"/>
                <w:szCs w:val="20"/>
              </w:rPr>
              <w:t>)</w:t>
            </w:r>
          </w:p>
        </w:tc>
        <w:tc>
          <w:tcPr>
            <w:tcW w:w="900" w:type="dxa"/>
            <w:vMerge/>
            <w:noWrap/>
            <w:hideMark/>
          </w:tcPr>
          <w:p w:rsidR="00FD56EF" w:rsidRPr="00977044" w:rsidRDefault="00FD56EF"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p>
        </w:tc>
      </w:tr>
      <w:tr w:rsidR="00FD56EF" w:rsidRPr="00977044" w:rsidTr="00FD56EF">
        <w:trPr>
          <w:trHeight w:val="66"/>
        </w:trPr>
        <w:tc>
          <w:tcPr>
            <w:cnfStyle w:val="001000000000" w:firstRow="0" w:lastRow="0" w:firstColumn="1" w:lastColumn="0" w:oddVBand="0" w:evenVBand="0" w:oddHBand="0" w:evenHBand="0" w:firstRowFirstColumn="0" w:firstRowLastColumn="0" w:lastRowFirstColumn="0" w:lastRowLastColumn="0"/>
            <w:tcW w:w="2880" w:type="dxa"/>
            <w:noWrap/>
            <w:hideMark/>
          </w:tcPr>
          <w:p w:rsidR="00FD56EF" w:rsidRPr="00977044" w:rsidRDefault="00FD56EF" w:rsidP="00FD56EF">
            <w:pPr>
              <w:spacing w:line="276" w:lineRule="auto"/>
              <w:jc w:val="left"/>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Autumn</w:t>
            </w:r>
          </w:p>
        </w:tc>
        <w:tc>
          <w:tcPr>
            <w:tcW w:w="1620" w:type="dxa"/>
            <w:noWrap/>
            <w:vAlign w:val="bottom"/>
          </w:tcPr>
          <w:p w:rsidR="00FD56EF" w:rsidRPr="00977044" w:rsidRDefault="003400F3"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Pr>
                <w:rFonts w:ascii="Times New Roman" w:hAnsi="Times New Roman" w:cs="Times New Roman"/>
                <w:color w:val="000000"/>
                <w:sz w:val="20"/>
                <w:szCs w:val="20"/>
              </w:rPr>
              <w:t>59 (</w:t>
            </w:r>
            <w:r w:rsidR="00FD56EF" w:rsidRPr="00EA3B43">
              <w:rPr>
                <w:rFonts w:ascii="Times New Roman" w:hAnsi="Times New Roman" w:cs="Times New Roman"/>
                <w:color w:val="000000"/>
                <w:sz w:val="20"/>
                <w:szCs w:val="20"/>
              </w:rPr>
              <w:t>16.3</w:t>
            </w:r>
            <w:r>
              <w:rPr>
                <w:rFonts w:ascii="Times New Roman" w:hAnsi="Times New Roman" w:cs="Times New Roman"/>
                <w:color w:val="000000"/>
                <w:sz w:val="20"/>
                <w:szCs w:val="20"/>
              </w:rPr>
              <w:t>)</w:t>
            </w:r>
          </w:p>
        </w:tc>
        <w:tc>
          <w:tcPr>
            <w:tcW w:w="1890" w:type="dxa"/>
            <w:noWrap/>
            <w:vAlign w:val="bottom"/>
          </w:tcPr>
          <w:p w:rsidR="00FD56EF" w:rsidRPr="00977044" w:rsidRDefault="003400F3"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Pr>
                <w:rFonts w:ascii="Times New Roman" w:hAnsi="Times New Roman" w:cs="Times New Roman"/>
                <w:color w:val="000000"/>
                <w:sz w:val="20"/>
                <w:szCs w:val="20"/>
              </w:rPr>
              <w:t>389 (</w:t>
            </w:r>
            <w:r w:rsidR="00FD56EF" w:rsidRPr="00EA3B43">
              <w:rPr>
                <w:rFonts w:ascii="Times New Roman" w:hAnsi="Times New Roman" w:cs="Times New Roman"/>
                <w:color w:val="000000"/>
                <w:sz w:val="20"/>
                <w:szCs w:val="20"/>
              </w:rPr>
              <w:t>25.4</w:t>
            </w:r>
            <w:r>
              <w:rPr>
                <w:rFonts w:ascii="Times New Roman" w:hAnsi="Times New Roman" w:cs="Times New Roman"/>
                <w:color w:val="000000"/>
                <w:sz w:val="20"/>
                <w:szCs w:val="20"/>
              </w:rPr>
              <w:t>)</w:t>
            </w:r>
          </w:p>
        </w:tc>
        <w:tc>
          <w:tcPr>
            <w:tcW w:w="1620" w:type="dxa"/>
            <w:noWrap/>
            <w:vAlign w:val="bottom"/>
          </w:tcPr>
          <w:p w:rsidR="00FD56EF" w:rsidRPr="00977044" w:rsidRDefault="003400F3"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Pr>
                <w:rFonts w:ascii="Times New Roman" w:hAnsi="Times New Roman" w:cs="Times New Roman"/>
                <w:color w:val="000000"/>
                <w:sz w:val="20"/>
                <w:szCs w:val="20"/>
              </w:rPr>
              <w:t>624 (</w:t>
            </w:r>
            <w:r w:rsidR="00FD56EF" w:rsidRPr="00EA3B43">
              <w:rPr>
                <w:rFonts w:ascii="Times New Roman" w:hAnsi="Times New Roman" w:cs="Times New Roman"/>
                <w:color w:val="000000"/>
                <w:sz w:val="20"/>
                <w:szCs w:val="20"/>
              </w:rPr>
              <w:t>36.2</w:t>
            </w:r>
            <w:r>
              <w:rPr>
                <w:rFonts w:ascii="Times New Roman" w:hAnsi="Times New Roman" w:cs="Times New Roman"/>
                <w:color w:val="000000"/>
                <w:sz w:val="20"/>
                <w:szCs w:val="20"/>
              </w:rPr>
              <w:t>)</w:t>
            </w:r>
          </w:p>
        </w:tc>
        <w:tc>
          <w:tcPr>
            <w:tcW w:w="900" w:type="dxa"/>
            <w:vMerge/>
            <w:noWrap/>
            <w:hideMark/>
          </w:tcPr>
          <w:p w:rsidR="00FD56EF" w:rsidRPr="00977044" w:rsidRDefault="00FD56EF" w:rsidP="00FD56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p>
        </w:tc>
      </w:tr>
      <w:tr w:rsidR="00FD56EF" w:rsidRPr="00977044" w:rsidTr="00FD56EF">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2880" w:type="dxa"/>
            <w:hideMark/>
          </w:tcPr>
          <w:p w:rsidR="00FD56EF" w:rsidRPr="00977044" w:rsidRDefault="00FD56EF" w:rsidP="00FD56EF">
            <w:pPr>
              <w:spacing w:line="276" w:lineRule="auto"/>
              <w:jc w:val="left"/>
              <w:rPr>
                <w:rFonts w:ascii="Times New Roman" w:eastAsia="Times New Roman" w:hAnsi="Times New Roman" w:cs="Times New Roman"/>
                <w:color w:val="000000"/>
                <w:sz w:val="20"/>
                <w:szCs w:val="20"/>
                <w:lang w:val="en-US"/>
              </w:rPr>
            </w:pPr>
            <w:r w:rsidRPr="00977044">
              <w:rPr>
                <w:rFonts w:ascii="Times New Roman" w:eastAsia="Times New Roman" w:hAnsi="Times New Roman" w:cs="Times New Roman"/>
                <w:color w:val="000000"/>
                <w:sz w:val="20"/>
                <w:szCs w:val="20"/>
                <w:lang w:val="en-US"/>
              </w:rPr>
              <w:t>Winter</w:t>
            </w:r>
          </w:p>
        </w:tc>
        <w:tc>
          <w:tcPr>
            <w:tcW w:w="1620" w:type="dxa"/>
            <w:vAlign w:val="bottom"/>
          </w:tcPr>
          <w:p w:rsidR="00FD56EF" w:rsidRPr="00977044" w:rsidRDefault="003400F3"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Pr>
                <w:rFonts w:ascii="Times New Roman" w:hAnsi="Times New Roman" w:cs="Times New Roman"/>
                <w:color w:val="000000"/>
                <w:sz w:val="20"/>
                <w:szCs w:val="20"/>
              </w:rPr>
              <w:t>118 (</w:t>
            </w:r>
            <w:r w:rsidR="00FD56EF" w:rsidRPr="00EA3B43">
              <w:rPr>
                <w:rFonts w:ascii="Times New Roman" w:hAnsi="Times New Roman" w:cs="Times New Roman"/>
                <w:color w:val="000000"/>
                <w:sz w:val="20"/>
                <w:szCs w:val="20"/>
              </w:rPr>
              <w:t>32.5</w:t>
            </w:r>
            <w:r>
              <w:rPr>
                <w:rFonts w:ascii="Times New Roman" w:hAnsi="Times New Roman" w:cs="Times New Roman"/>
                <w:color w:val="000000"/>
                <w:sz w:val="20"/>
                <w:szCs w:val="20"/>
              </w:rPr>
              <w:t>)</w:t>
            </w:r>
          </w:p>
        </w:tc>
        <w:tc>
          <w:tcPr>
            <w:tcW w:w="1890" w:type="dxa"/>
            <w:vAlign w:val="bottom"/>
          </w:tcPr>
          <w:p w:rsidR="00FD56EF" w:rsidRPr="00977044" w:rsidRDefault="003400F3"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Pr>
                <w:rFonts w:ascii="Times New Roman" w:hAnsi="Times New Roman" w:cs="Times New Roman"/>
                <w:color w:val="000000"/>
                <w:sz w:val="20"/>
                <w:szCs w:val="20"/>
              </w:rPr>
              <w:t>425 (</w:t>
            </w:r>
            <w:r w:rsidR="00FD56EF" w:rsidRPr="00EA3B43">
              <w:rPr>
                <w:rFonts w:ascii="Times New Roman" w:hAnsi="Times New Roman" w:cs="Times New Roman"/>
                <w:color w:val="000000"/>
                <w:sz w:val="20"/>
                <w:szCs w:val="20"/>
              </w:rPr>
              <w:t>27.7</w:t>
            </w:r>
            <w:r>
              <w:rPr>
                <w:rFonts w:ascii="Times New Roman" w:hAnsi="Times New Roman" w:cs="Times New Roman"/>
                <w:color w:val="000000"/>
                <w:sz w:val="20"/>
                <w:szCs w:val="20"/>
              </w:rPr>
              <w:t>)</w:t>
            </w:r>
          </w:p>
        </w:tc>
        <w:tc>
          <w:tcPr>
            <w:tcW w:w="1620" w:type="dxa"/>
            <w:vAlign w:val="bottom"/>
          </w:tcPr>
          <w:p w:rsidR="00FD56EF" w:rsidRPr="00977044" w:rsidRDefault="003400F3"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Pr>
                <w:rFonts w:ascii="Times New Roman" w:hAnsi="Times New Roman" w:cs="Times New Roman"/>
                <w:color w:val="000000"/>
                <w:sz w:val="20"/>
                <w:szCs w:val="20"/>
              </w:rPr>
              <w:t>279 (</w:t>
            </w:r>
            <w:r w:rsidR="00FD56EF" w:rsidRPr="00EA3B43">
              <w:rPr>
                <w:rFonts w:ascii="Times New Roman" w:hAnsi="Times New Roman" w:cs="Times New Roman"/>
                <w:color w:val="000000"/>
                <w:sz w:val="20"/>
                <w:szCs w:val="20"/>
              </w:rPr>
              <w:t>16.2</w:t>
            </w:r>
            <w:r>
              <w:rPr>
                <w:rFonts w:ascii="Times New Roman" w:hAnsi="Times New Roman" w:cs="Times New Roman"/>
                <w:color w:val="000000"/>
                <w:sz w:val="20"/>
                <w:szCs w:val="20"/>
              </w:rPr>
              <w:t>)</w:t>
            </w:r>
          </w:p>
        </w:tc>
        <w:tc>
          <w:tcPr>
            <w:tcW w:w="900" w:type="dxa"/>
            <w:vMerge/>
            <w:noWrap/>
            <w:hideMark/>
          </w:tcPr>
          <w:p w:rsidR="00FD56EF" w:rsidRPr="00977044" w:rsidRDefault="00FD56EF" w:rsidP="00FD56E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p>
        </w:tc>
      </w:tr>
    </w:tbl>
    <w:p w:rsidR="00FD56EF" w:rsidRPr="000C362A" w:rsidRDefault="00FD56EF" w:rsidP="00FD56EF">
      <w:pPr>
        <w:rPr>
          <w:rFonts w:ascii="Times New Roman" w:hAnsi="Times New Roman" w:cs="Times New Roman"/>
        </w:rPr>
      </w:pPr>
      <w:r w:rsidRPr="000C362A">
        <w:rPr>
          <w:rFonts w:ascii="Times New Roman" w:hAnsi="Times New Roman" w:cs="Times New Roman"/>
        </w:rPr>
        <w:t>* = Geometric mean (interquartile range</w:t>
      </w:r>
      <w:r>
        <w:rPr>
          <w:rFonts w:ascii="Times New Roman" w:hAnsi="Times New Roman" w:cs="Times New Roman"/>
        </w:rPr>
        <w:t>)</w:t>
      </w:r>
      <w:r w:rsidRPr="000C362A">
        <w:rPr>
          <w:rFonts w:ascii="Times New Roman" w:hAnsi="Times New Roman" w:cs="Times New Roman"/>
        </w:rPr>
        <w:t>.</w:t>
      </w:r>
      <w:r w:rsidRPr="000C362A">
        <w:rPr>
          <w:rFonts w:ascii="Times New Roman" w:hAnsi="Times New Roman" w:cs="Times New Roman"/>
        </w:rPr>
        <w:br w:type="page"/>
      </w:r>
    </w:p>
    <w:p w:rsidR="005A065D" w:rsidRDefault="005A065D" w:rsidP="005A065D">
      <w:pPr>
        <w:rPr>
          <w:rFonts w:ascii="Times New Roman" w:hAnsi="Times New Roman" w:cs="Times New Roman"/>
          <w:sz w:val="24"/>
          <w:szCs w:val="24"/>
        </w:rPr>
      </w:pPr>
    </w:p>
    <w:p w:rsidR="00FD56EF" w:rsidRPr="003F700D" w:rsidRDefault="00FD56EF" w:rsidP="00FD56EF">
      <w:pPr>
        <w:pStyle w:val="Caption"/>
        <w:keepNext/>
        <w:rPr>
          <w:rFonts w:ascii="Times New Roman" w:hAnsi="Times New Roman" w:cs="Times New Roman"/>
          <w:color w:val="auto"/>
          <w:sz w:val="24"/>
          <w:szCs w:val="24"/>
        </w:rPr>
      </w:pPr>
      <w:r w:rsidRPr="003F700D">
        <w:rPr>
          <w:rFonts w:ascii="Times New Roman" w:hAnsi="Times New Roman" w:cs="Times New Roman"/>
          <w:color w:val="auto"/>
          <w:sz w:val="24"/>
          <w:szCs w:val="24"/>
        </w:rPr>
        <w:t xml:space="preserve">Table </w:t>
      </w:r>
      <w:r>
        <w:rPr>
          <w:rFonts w:ascii="Times New Roman" w:hAnsi="Times New Roman" w:cs="Times New Roman"/>
          <w:color w:val="auto"/>
          <w:sz w:val="24"/>
          <w:szCs w:val="24"/>
        </w:rPr>
        <w:fldChar w:fldCharType="begin"/>
      </w:r>
      <w:r>
        <w:rPr>
          <w:rFonts w:ascii="Times New Roman" w:hAnsi="Times New Roman" w:cs="Times New Roman"/>
          <w:color w:val="auto"/>
          <w:sz w:val="24"/>
          <w:szCs w:val="24"/>
        </w:rPr>
        <w:instrText xml:space="preserve"> SEQ Table \* ARABIC </w:instrText>
      </w:r>
      <w:r>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2</w:t>
      </w:r>
      <w:r>
        <w:rPr>
          <w:rFonts w:ascii="Times New Roman" w:hAnsi="Times New Roman" w:cs="Times New Roman"/>
          <w:color w:val="auto"/>
          <w:sz w:val="24"/>
          <w:szCs w:val="24"/>
        </w:rPr>
        <w:fldChar w:fldCharType="end"/>
      </w:r>
      <w:r w:rsidRPr="003F700D">
        <w:rPr>
          <w:rFonts w:ascii="Times New Roman" w:hAnsi="Times New Roman" w:cs="Times New Roman"/>
          <w:color w:val="auto"/>
          <w:sz w:val="24"/>
          <w:szCs w:val="24"/>
        </w:rPr>
        <w:t xml:space="preserve">: Odds of prevalent OH </w:t>
      </w:r>
      <w:r>
        <w:rPr>
          <w:rFonts w:ascii="Times New Roman" w:hAnsi="Times New Roman" w:cs="Times New Roman"/>
          <w:color w:val="auto"/>
          <w:sz w:val="24"/>
          <w:szCs w:val="24"/>
        </w:rPr>
        <w:t xml:space="preserve">stratified by </w:t>
      </w:r>
      <w:r w:rsidRPr="003F700D">
        <w:rPr>
          <w:rFonts w:ascii="Times New Roman" w:hAnsi="Times New Roman" w:cs="Times New Roman"/>
          <w:color w:val="auto"/>
          <w:sz w:val="24"/>
          <w:szCs w:val="24"/>
        </w:rPr>
        <w:t>vitamin D status</w:t>
      </w:r>
      <w:r>
        <w:rPr>
          <w:rFonts w:ascii="Times New Roman" w:hAnsi="Times New Roman" w:cs="Times New Roman"/>
          <w:color w:val="auto"/>
          <w:sz w:val="24"/>
          <w:szCs w:val="24"/>
        </w:rPr>
        <w:t xml:space="preserve"> (nmol/L)</w:t>
      </w:r>
    </w:p>
    <w:tbl>
      <w:tblPr>
        <w:tblStyle w:val="PlainTable5"/>
        <w:tblW w:w="8900" w:type="dxa"/>
        <w:tblLook w:val="04A0" w:firstRow="1" w:lastRow="0" w:firstColumn="1" w:lastColumn="0" w:noHBand="0" w:noVBand="1"/>
      </w:tblPr>
      <w:tblGrid>
        <w:gridCol w:w="1530"/>
        <w:gridCol w:w="903"/>
        <w:gridCol w:w="1993"/>
        <w:gridCol w:w="1900"/>
        <w:gridCol w:w="1427"/>
        <w:gridCol w:w="1160"/>
      </w:tblGrid>
      <w:tr w:rsidR="00FD56EF" w:rsidRPr="004B6279" w:rsidTr="00FD56EF">
        <w:trPr>
          <w:cnfStyle w:val="100000000000" w:firstRow="1" w:lastRow="0" w:firstColumn="0" w:lastColumn="0" w:oddVBand="0" w:evenVBand="0" w:oddHBand="0" w:evenHBand="0" w:firstRowFirstColumn="0" w:firstRowLastColumn="0" w:lastRowFirstColumn="0" w:lastRowLastColumn="0"/>
          <w:trHeight w:val="600"/>
        </w:trPr>
        <w:tc>
          <w:tcPr>
            <w:cnfStyle w:val="001000000100" w:firstRow="0" w:lastRow="0" w:firstColumn="1" w:lastColumn="0" w:oddVBand="0" w:evenVBand="0" w:oddHBand="0" w:evenHBand="0" w:firstRowFirstColumn="1" w:firstRowLastColumn="0" w:lastRowFirstColumn="0" w:lastRowLastColumn="0"/>
            <w:tcW w:w="1530" w:type="dxa"/>
            <w:tcBorders>
              <w:top w:val="single" w:sz="4" w:space="0" w:color="auto"/>
              <w:left w:val="single" w:sz="4" w:space="0" w:color="auto"/>
              <w:bottom w:val="single" w:sz="4" w:space="0" w:color="auto"/>
            </w:tcBorders>
            <w:noWrap/>
            <w:hideMark/>
          </w:tcPr>
          <w:p w:rsidR="00FD56EF" w:rsidRPr="004B6279" w:rsidRDefault="00FD56EF" w:rsidP="00FD56EF">
            <w:pPr>
              <w:spacing w:line="360" w:lineRule="auto"/>
              <w:jc w:val="left"/>
              <w:rPr>
                <w:rFonts w:ascii="Times New Roman" w:eastAsia="Times New Roman" w:hAnsi="Times New Roman" w:cs="Times New Roman"/>
                <w:b/>
                <w:bCs/>
                <w:color w:val="000000"/>
                <w:sz w:val="24"/>
                <w:szCs w:val="24"/>
                <w:lang w:val="en-US"/>
              </w:rPr>
            </w:pPr>
          </w:p>
        </w:tc>
        <w:tc>
          <w:tcPr>
            <w:tcW w:w="890" w:type="dxa"/>
            <w:tcBorders>
              <w:top w:val="single" w:sz="4" w:space="0" w:color="auto"/>
              <w:bottom w:val="single" w:sz="4" w:space="0" w:color="auto"/>
            </w:tcBorders>
            <w:noWrap/>
            <w:hideMark/>
          </w:tcPr>
          <w:p w:rsidR="00FD56EF" w:rsidRPr="004B6279" w:rsidRDefault="00FD56EF" w:rsidP="00FD56E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val="en-US"/>
              </w:rPr>
            </w:pPr>
            <w:r w:rsidRPr="004B6279">
              <w:rPr>
                <w:rFonts w:ascii="Times New Roman" w:eastAsia="Times New Roman" w:hAnsi="Times New Roman" w:cs="Times New Roman"/>
                <w:b/>
                <w:color w:val="000000"/>
                <w:sz w:val="24"/>
                <w:szCs w:val="24"/>
                <w:lang w:val="en-US"/>
              </w:rPr>
              <w:t> </w:t>
            </w:r>
            <w:r w:rsidRPr="00152446">
              <w:rPr>
                <w:rFonts w:ascii="Times New Roman" w:eastAsia="Times New Roman" w:hAnsi="Times New Roman" w:cs="Times New Roman"/>
                <w:b/>
                <w:color w:val="000000"/>
                <w:sz w:val="24"/>
                <w:szCs w:val="24"/>
                <w:lang w:val="en-US"/>
              </w:rPr>
              <w:t>Model</w:t>
            </w:r>
          </w:p>
        </w:tc>
        <w:tc>
          <w:tcPr>
            <w:tcW w:w="1993" w:type="dxa"/>
            <w:tcBorders>
              <w:top w:val="single" w:sz="4" w:space="0" w:color="auto"/>
              <w:bottom w:val="single" w:sz="4" w:space="0" w:color="auto"/>
            </w:tcBorders>
            <w:hideMark/>
          </w:tcPr>
          <w:p w:rsidR="00FD56EF" w:rsidRDefault="00FD56EF" w:rsidP="00FD56E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val="en-US"/>
              </w:rPr>
            </w:pPr>
            <w:r w:rsidRPr="004B6279">
              <w:rPr>
                <w:rFonts w:ascii="Times New Roman" w:eastAsia="Times New Roman" w:hAnsi="Times New Roman" w:cs="Times New Roman"/>
                <w:b/>
                <w:bCs/>
                <w:color w:val="000000"/>
                <w:sz w:val="24"/>
                <w:szCs w:val="24"/>
                <w:lang w:val="en-US"/>
              </w:rPr>
              <w:t xml:space="preserve">Deficient: </w:t>
            </w:r>
          </w:p>
          <w:p w:rsidR="00FD56EF" w:rsidRPr="004B6279" w:rsidRDefault="00FD56EF" w:rsidP="00FD56E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val="en-US"/>
              </w:rPr>
            </w:pPr>
            <w:r w:rsidRPr="004B6279">
              <w:rPr>
                <w:rFonts w:ascii="Times New Roman" w:eastAsia="Times New Roman" w:hAnsi="Times New Roman" w:cs="Times New Roman"/>
                <w:b/>
                <w:bCs/>
                <w:color w:val="000000"/>
                <w:sz w:val="24"/>
                <w:szCs w:val="24"/>
                <w:lang w:val="en-US"/>
              </w:rPr>
              <w:t>&lt;25 (n=363)</w:t>
            </w:r>
          </w:p>
        </w:tc>
        <w:tc>
          <w:tcPr>
            <w:tcW w:w="1900" w:type="dxa"/>
            <w:tcBorders>
              <w:top w:val="single" w:sz="4" w:space="0" w:color="auto"/>
              <w:bottom w:val="single" w:sz="4" w:space="0" w:color="auto"/>
            </w:tcBorders>
            <w:hideMark/>
          </w:tcPr>
          <w:p w:rsidR="00FD56EF" w:rsidRDefault="00FD56EF" w:rsidP="00FD56E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val="en-US"/>
              </w:rPr>
            </w:pPr>
            <w:r w:rsidRPr="004B6279">
              <w:rPr>
                <w:rFonts w:ascii="Times New Roman" w:eastAsia="Times New Roman" w:hAnsi="Times New Roman" w:cs="Times New Roman"/>
                <w:b/>
                <w:bCs/>
                <w:color w:val="000000"/>
                <w:sz w:val="24"/>
                <w:szCs w:val="24"/>
                <w:lang w:val="en-US"/>
              </w:rPr>
              <w:t xml:space="preserve">Insufficient: </w:t>
            </w:r>
          </w:p>
          <w:p w:rsidR="00FD56EF" w:rsidRPr="004B6279" w:rsidRDefault="00FD56EF" w:rsidP="00FD56E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val="en-US"/>
              </w:rPr>
            </w:pPr>
            <w:r w:rsidRPr="004B6279">
              <w:rPr>
                <w:rFonts w:ascii="Times New Roman" w:eastAsia="Times New Roman" w:hAnsi="Times New Roman" w:cs="Times New Roman"/>
                <w:b/>
                <w:bCs/>
                <w:color w:val="000000"/>
                <w:sz w:val="24"/>
                <w:szCs w:val="24"/>
                <w:lang w:val="en-US"/>
              </w:rPr>
              <w:t>≥25 - &lt;50 (n=1533)</w:t>
            </w:r>
          </w:p>
        </w:tc>
        <w:tc>
          <w:tcPr>
            <w:tcW w:w="1427" w:type="dxa"/>
            <w:tcBorders>
              <w:top w:val="single" w:sz="4" w:space="0" w:color="auto"/>
              <w:bottom w:val="single" w:sz="4" w:space="0" w:color="auto"/>
            </w:tcBorders>
            <w:hideMark/>
          </w:tcPr>
          <w:p w:rsidR="00FD56EF" w:rsidRPr="004B6279" w:rsidRDefault="00FD56EF" w:rsidP="00FD56E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val="en-US"/>
              </w:rPr>
            </w:pPr>
            <w:r w:rsidRPr="004B6279">
              <w:rPr>
                <w:rFonts w:ascii="Times New Roman" w:eastAsia="Times New Roman" w:hAnsi="Times New Roman" w:cs="Times New Roman"/>
                <w:b/>
                <w:bCs/>
                <w:color w:val="000000"/>
                <w:sz w:val="24"/>
                <w:szCs w:val="24"/>
                <w:lang w:val="en-US"/>
              </w:rPr>
              <w:t>Sufficient: ≥50 (n=1724)</w:t>
            </w:r>
          </w:p>
        </w:tc>
        <w:tc>
          <w:tcPr>
            <w:tcW w:w="1160" w:type="dxa"/>
            <w:tcBorders>
              <w:top w:val="single" w:sz="4" w:space="0" w:color="auto"/>
              <w:bottom w:val="single" w:sz="4" w:space="0" w:color="auto"/>
              <w:right w:val="single" w:sz="4" w:space="0" w:color="auto"/>
            </w:tcBorders>
            <w:hideMark/>
          </w:tcPr>
          <w:p w:rsidR="00FD56EF" w:rsidRPr="004B6279" w:rsidRDefault="00FD56EF" w:rsidP="00FD56E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val="en-US"/>
              </w:rPr>
            </w:pPr>
            <w:r w:rsidRPr="004B6279">
              <w:rPr>
                <w:rFonts w:ascii="Times New Roman" w:eastAsia="Times New Roman" w:hAnsi="Times New Roman" w:cs="Times New Roman"/>
                <w:b/>
                <w:bCs/>
                <w:color w:val="000000"/>
                <w:sz w:val="24"/>
                <w:szCs w:val="24"/>
                <w:lang w:val="en-US"/>
              </w:rPr>
              <w:t> </w:t>
            </w:r>
            <w:r w:rsidRPr="004B6279">
              <w:rPr>
                <w:rFonts w:ascii="Times New Roman" w:eastAsia="Times New Roman" w:hAnsi="Times New Roman" w:cs="Times New Roman"/>
                <w:b/>
                <w:color w:val="000000"/>
                <w:sz w:val="24"/>
                <w:szCs w:val="24"/>
                <w:lang w:val="en-US"/>
              </w:rPr>
              <w:t>p (trend)</w:t>
            </w:r>
          </w:p>
        </w:tc>
      </w:tr>
      <w:tr w:rsidR="00FD56EF" w:rsidRPr="004B6279" w:rsidTr="00FD56EF">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left w:val="single" w:sz="4" w:space="0" w:color="auto"/>
            </w:tcBorders>
            <w:noWrap/>
            <w:hideMark/>
          </w:tcPr>
          <w:p w:rsidR="00FD56EF" w:rsidRPr="004B6279" w:rsidRDefault="00FD56EF" w:rsidP="00FD56EF">
            <w:pPr>
              <w:spacing w:line="360" w:lineRule="auto"/>
              <w:jc w:val="left"/>
              <w:rPr>
                <w:rFonts w:ascii="Times New Roman" w:eastAsia="Times New Roman" w:hAnsi="Times New Roman" w:cs="Times New Roman"/>
                <w:color w:val="000000"/>
                <w:sz w:val="24"/>
                <w:szCs w:val="24"/>
                <w:lang w:val="en-US"/>
              </w:rPr>
            </w:pPr>
            <w:r w:rsidRPr="004B6279">
              <w:rPr>
                <w:rFonts w:ascii="Times New Roman" w:eastAsia="Times New Roman" w:hAnsi="Times New Roman" w:cs="Times New Roman"/>
                <w:color w:val="000000"/>
                <w:sz w:val="24"/>
                <w:szCs w:val="24"/>
                <w:lang w:val="en-US"/>
              </w:rPr>
              <w:t>OH-C</w:t>
            </w:r>
            <w:r>
              <w:rPr>
                <w:rFonts w:ascii="Times New Roman" w:eastAsia="Times New Roman" w:hAnsi="Times New Roman" w:cs="Times New Roman"/>
                <w:color w:val="000000"/>
                <w:sz w:val="24"/>
                <w:szCs w:val="24"/>
                <w:lang w:val="en-US"/>
              </w:rPr>
              <w:t>, n (%)</w:t>
            </w:r>
          </w:p>
        </w:tc>
        <w:tc>
          <w:tcPr>
            <w:tcW w:w="890" w:type="dxa"/>
            <w:tcBorders>
              <w:top w:val="single" w:sz="4" w:space="0" w:color="auto"/>
            </w:tcBorders>
            <w:noWrap/>
            <w:hideMark/>
          </w:tcPr>
          <w:p w:rsidR="00FD56EF" w:rsidRPr="004B6279" w:rsidRDefault="00FD56EF" w:rsidP="00FD56E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p>
        </w:tc>
        <w:tc>
          <w:tcPr>
            <w:tcW w:w="1993" w:type="dxa"/>
            <w:tcBorders>
              <w:top w:val="single" w:sz="4" w:space="0" w:color="auto"/>
            </w:tcBorders>
            <w:noWrap/>
            <w:hideMark/>
          </w:tcPr>
          <w:p w:rsidR="00FD56EF" w:rsidRPr="004B6279" w:rsidRDefault="00FD56EF" w:rsidP="00FD56E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B6279">
              <w:rPr>
                <w:rFonts w:ascii="Times New Roman" w:eastAsia="Times New Roman" w:hAnsi="Times New Roman" w:cs="Times New Roman"/>
                <w:color w:val="000000"/>
                <w:sz w:val="24"/>
                <w:szCs w:val="24"/>
                <w:lang w:val="en-US"/>
              </w:rPr>
              <w:t>96 (26.45)</w:t>
            </w:r>
          </w:p>
        </w:tc>
        <w:tc>
          <w:tcPr>
            <w:tcW w:w="1900" w:type="dxa"/>
            <w:tcBorders>
              <w:top w:val="single" w:sz="4" w:space="0" w:color="auto"/>
            </w:tcBorders>
            <w:noWrap/>
            <w:hideMark/>
          </w:tcPr>
          <w:p w:rsidR="00FD56EF" w:rsidRPr="004B6279" w:rsidRDefault="00FD56EF" w:rsidP="00FD56E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B6279">
              <w:rPr>
                <w:rFonts w:ascii="Times New Roman" w:eastAsia="Times New Roman" w:hAnsi="Times New Roman" w:cs="Times New Roman"/>
                <w:color w:val="000000"/>
                <w:sz w:val="24"/>
                <w:szCs w:val="24"/>
                <w:lang w:val="en-US"/>
              </w:rPr>
              <w:t>300 (19.57)</w:t>
            </w:r>
          </w:p>
        </w:tc>
        <w:tc>
          <w:tcPr>
            <w:tcW w:w="1427" w:type="dxa"/>
            <w:tcBorders>
              <w:top w:val="single" w:sz="4" w:space="0" w:color="auto"/>
            </w:tcBorders>
            <w:noWrap/>
            <w:hideMark/>
          </w:tcPr>
          <w:p w:rsidR="00FD56EF" w:rsidRPr="004B6279" w:rsidRDefault="00FD56EF" w:rsidP="00FD56E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B6279">
              <w:rPr>
                <w:rFonts w:ascii="Times New Roman" w:eastAsia="Times New Roman" w:hAnsi="Times New Roman" w:cs="Times New Roman"/>
                <w:color w:val="000000"/>
                <w:sz w:val="24"/>
                <w:szCs w:val="24"/>
                <w:lang w:val="en-US"/>
              </w:rPr>
              <w:t>321 (18.62)</w:t>
            </w:r>
          </w:p>
        </w:tc>
        <w:tc>
          <w:tcPr>
            <w:tcW w:w="1160" w:type="dxa"/>
            <w:tcBorders>
              <w:top w:val="single" w:sz="4" w:space="0" w:color="auto"/>
              <w:right w:val="single" w:sz="4" w:space="0" w:color="auto"/>
            </w:tcBorders>
            <w:noWrap/>
            <w:hideMark/>
          </w:tcPr>
          <w:p w:rsidR="00FD56EF" w:rsidRPr="004B6279" w:rsidRDefault="00FD56EF" w:rsidP="00FD56E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p>
        </w:tc>
      </w:tr>
      <w:tr w:rsidR="00FD56EF" w:rsidRPr="004B6279" w:rsidTr="00FD56EF">
        <w:trPr>
          <w:trHeight w:val="261"/>
        </w:trPr>
        <w:tc>
          <w:tcPr>
            <w:cnfStyle w:val="001000000000" w:firstRow="0" w:lastRow="0" w:firstColumn="1" w:lastColumn="0" w:oddVBand="0" w:evenVBand="0" w:oddHBand="0" w:evenHBand="0" w:firstRowFirstColumn="0" w:firstRowLastColumn="0" w:lastRowFirstColumn="0" w:lastRowLastColumn="0"/>
            <w:tcW w:w="1530" w:type="dxa"/>
            <w:tcBorders>
              <w:left w:val="single" w:sz="4" w:space="0" w:color="auto"/>
            </w:tcBorders>
            <w:noWrap/>
            <w:hideMark/>
          </w:tcPr>
          <w:p w:rsidR="00FD56EF" w:rsidRPr="004B6279" w:rsidRDefault="00FD56EF" w:rsidP="00FD56EF">
            <w:pPr>
              <w:spacing w:line="360" w:lineRule="auto"/>
              <w:jc w:val="left"/>
              <w:rPr>
                <w:rFonts w:ascii="Times New Roman" w:eastAsia="Times New Roman" w:hAnsi="Times New Roman" w:cs="Times New Roman"/>
                <w:color w:val="000000"/>
                <w:sz w:val="24"/>
                <w:szCs w:val="24"/>
                <w:lang w:val="en-US"/>
              </w:rPr>
            </w:pPr>
          </w:p>
        </w:tc>
        <w:tc>
          <w:tcPr>
            <w:tcW w:w="890" w:type="dxa"/>
            <w:noWrap/>
            <w:hideMark/>
          </w:tcPr>
          <w:p w:rsidR="00FD56EF" w:rsidRPr="004B6279" w:rsidRDefault="00FD56EF" w:rsidP="00FD56E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B6279">
              <w:rPr>
                <w:rFonts w:ascii="Times New Roman" w:eastAsia="Times New Roman" w:hAnsi="Times New Roman" w:cs="Times New Roman"/>
                <w:color w:val="000000"/>
                <w:sz w:val="24"/>
                <w:szCs w:val="24"/>
                <w:lang w:val="en-US"/>
              </w:rPr>
              <w:t>1</w:t>
            </w:r>
          </w:p>
        </w:tc>
        <w:tc>
          <w:tcPr>
            <w:tcW w:w="1993" w:type="dxa"/>
            <w:noWrap/>
            <w:hideMark/>
          </w:tcPr>
          <w:p w:rsidR="00FD56EF" w:rsidRPr="004B6279" w:rsidRDefault="00FD56EF" w:rsidP="00FD56E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val="en-US"/>
              </w:rPr>
            </w:pPr>
            <w:r w:rsidRPr="004B6279">
              <w:rPr>
                <w:rFonts w:ascii="Times New Roman" w:eastAsia="Times New Roman" w:hAnsi="Times New Roman" w:cs="Times New Roman"/>
                <w:b/>
                <w:bCs/>
                <w:color w:val="000000"/>
                <w:sz w:val="24"/>
                <w:szCs w:val="24"/>
                <w:lang w:val="en-US"/>
              </w:rPr>
              <w:t>1.57 (1.21 - 2.05)</w:t>
            </w:r>
          </w:p>
        </w:tc>
        <w:tc>
          <w:tcPr>
            <w:tcW w:w="1900" w:type="dxa"/>
            <w:noWrap/>
            <w:hideMark/>
          </w:tcPr>
          <w:p w:rsidR="00FD56EF" w:rsidRPr="004B6279" w:rsidRDefault="00FD56EF" w:rsidP="00FD56E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val="en-US"/>
              </w:rPr>
            </w:pPr>
            <w:r w:rsidRPr="004B6279">
              <w:rPr>
                <w:rFonts w:ascii="Times New Roman" w:eastAsia="Times New Roman" w:hAnsi="Times New Roman" w:cs="Times New Roman"/>
                <w:bCs/>
                <w:color w:val="000000"/>
                <w:sz w:val="24"/>
                <w:szCs w:val="24"/>
                <w:lang w:val="en-US"/>
              </w:rPr>
              <w:t>1.06 (0.89 - 1.27)</w:t>
            </w:r>
          </w:p>
        </w:tc>
        <w:tc>
          <w:tcPr>
            <w:tcW w:w="1427" w:type="dxa"/>
            <w:noWrap/>
            <w:hideMark/>
          </w:tcPr>
          <w:p w:rsidR="00FD56EF" w:rsidRPr="004B6279" w:rsidRDefault="00FD56EF" w:rsidP="00FD56E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B6279">
              <w:rPr>
                <w:rFonts w:ascii="Times New Roman" w:eastAsia="Times New Roman" w:hAnsi="Times New Roman" w:cs="Times New Roman"/>
                <w:color w:val="000000"/>
                <w:sz w:val="24"/>
                <w:szCs w:val="24"/>
                <w:lang w:val="en-US"/>
              </w:rPr>
              <w:t>1</w:t>
            </w:r>
            <w:r>
              <w:rPr>
                <w:rFonts w:ascii="Times New Roman" w:eastAsia="Times New Roman" w:hAnsi="Times New Roman" w:cs="Times New Roman"/>
                <w:color w:val="000000"/>
                <w:sz w:val="24"/>
                <w:szCs w:val="24"/>
                <w:lang w:val="en-US"/>
              </w:rPr>
              <w:t>.00</w:t>
            </w:r>
          </w:p>
        </w:tc>
        <w:tc>
          <w:tcPr>
            <w:tcW w:w="1160" w:type="dxa"/>
            <w:tcBorders>
              <w:right w:val="single" w:sz="4" w:space="0" w:color="auto"/>
            </w:tcBorders>
            <w:noWrap/>
            <w:hideMark/>
          </w:tcPr>
          <w:p w:rsidR="00FD56EF" w:rsidRPr="004B6279" w:rsidRDefault="00FD56EF" w:rsidP="00FD56E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B6279">
              <w:rPr>
                <w:rFonts w:ascii="Times New Roman" w:eastAsia="Times New Roman" w:hAnsi="Times New Roman" w:cs="Times New Roman"/>
                <w:color w:val="000000"/>
                <w:sz w:val="24"/>
                <w:szCs w:val="24"/>
                <w:lang w:val="en-US"/>
              </w:rPr>
              <w:t>0.0049</w:t>
            </w:r>
          </w:p>
        </w:tc>
      </w:tr>
      <w:tr w:rsidR="00FD56EF" w:rsidRPr="004B6279" w:rsidTr="00FD56EF">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530" w:type="dxa"/>
            <w:tcBorders>
              <w:left w:val="single" w:sz="4" w:space="0" w:color="auto"/>
            </w:tcBorders>
            <w:noWrap/>
            <w:hideMark/>
          </w:tcPr>
          <w:p w:rsidR="00FD56EF" w:rsidRPr="004B6279" w:rsidRDefault="00FD56EF" w:rsidP="00FD56EF">
            <w:pPr>
              <w:spacing w:line="360" w:lineRule="auto"/>
              <w:jc w:val="left"/>
              <w:rPr>
                <w:rFonts w:ascii="Times New Roman" w:eastAsia="Times New Roman" w:hAnsi="Times New Roman" w:cs="Times New Roman"/>
                <w:color w:val="000000"/>
                <w:sz w:val="24"/>
                <w:szCs w:val="24"/>
                <w:lang w:val="en-US"/>
              </w:rPr>
            </w:pPr>
          </w:p>
        </w:tc>
        <w:tc>
          <w:tcPr>
            <w:tcW w:w="890" w:type="dxa"/>
            <w:noWrap/>
            <w:hideMark/>
          </w:tcPr>
          <w:p w:rsidR="00FD56EF" w:rsidRPr="004B6279" w:rsidRDefault="00FD56EF" w:rsidP="00FD56E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B6279">
              <w:rPr>
                <w:rFonts w:ascii="Times New Roman" w:eastAsia="Times New Roman" w:hAnsi="Times New Roman" w:cs="Times New Roman"/>
                <w:color w:val="000000"/>
                <w:sz w:val="24"/>
                <w:szCs w:val="24"/>
                <w:lang w:val="en-US"/>
              </w:rPr>
              <w:t>2</w:t>
            </w:r>
          </w:p>
        </w:tc>
        <w:tc>
          <w:tcPr>
            <w:tcW w:w="1993" w:type="dxa"/>
            <w:noWrap/>
            <w:hideMark/>
          </w:tcPr>
          <w:p w:rsidR="00FD56EF" w:rsidRPr="004B6279" w:rsidRDefault="00FD56EF" w:rsidP="00FD56E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val="en-US"/>
              </w:rPr>
            </w:pPr>
            <w:r w:rsidRPr="004B6279">
              <w:rPr>
                <w:rFonts w:ascii="Times New Roman" w:eastAsia="Times New Roman" w:hAnsi="Times New Roman" w:cs="Times New Roman"/>
                <w:b/>
                <w:bCs/>
                <w:color w:val="000000"/>
                <w:sz w:val="24"/>
                <w:szCs w:val="24"/>
                <w:lang w:val="en-US"/>
              </w:rPr>
              <w:t>1.48 (1.13 - 1.94)</w:t>
            </w:r>
          </w:p>
        </w:tc>
        <w:tc>
          <w:tcPr>
            <w:tcW w:w="1900" w:type="dxa"/>
            <w:noWrap/>
            <w:hideMark/>
          </w:tcPr>
          <w:p w:rsidR="00FD56EF" w:rsidRPr="004B6279" w:rsidRDefault="00FD56EF" w:rsidP="00FD56E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val="en-US"/>
              </w:rPr>
            </w:pPr>
            <w:r w:rsidRPr="004B6279">
              <w:rPr>
                <w:rFonts w:ascii="Times New Roman" w:eastAsia="Times New Roman" w:hAnsi="Times New Roman" w:cs="Times New Roman"/>
                <w:bCs/>
                <w:color w:val="000000"/>
                <w:sz w:val="24"/>
                <w:szCs w:val="24"/>
                <w:lang w:val="en-US"/>
              </w:rPr>
              <w:t>1.03 (0.86 - 1.24)</w:t>
            </w:r>
          </w:p>
        </w:tc>
        <w:tc>
          <w:tcPr>
            <w:tcW w:w="1427" w:type="dxa"/>
            <w:noWrap/>
            <w:hideMark/>
          </w:tcPr>
          <w:p w:rsidR="00FD56EF" w:rsidRPr="004B6279" w:rsidRDefault="00FD56EF" w:rsidP="00FD56E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B6279">
              <w:rPr>
                <w:rFonts w:ascii="Times New Roman" w:eastAsia="Times New Roman" w:hAnsi="Times New Roman" w:cs="Times New Roman"/>
                <w:color w:val="000000"/>
                <w:sz w:val="24"/>
                <w:szCs w:val="24"/>
                <w:lang w:val="en-US"/>
              </w:rPr>
              <w:t>1</w:t>
            </w:r>
            <w:r>
              <w:rPr>
                <w:rFonts w:ascii="Times New Roman" w:eastAsia="Times New Roman" w:hAnsi="Times New Roman" w:cs="Times New Roman"/>
                <w:color w:val="000000"/>
                <w:sz w:val="24"/>
                <w:szCs w:val="24"/>
                <w:lang w:val="en-US"/>
              </w:rPr>
              <w:t>.00</w:t>
            </w:r>
          </w:p>
        </w:tc>
        <w:tc>
          <w:tcPr>
            <w:tcW w:w="1160" w:type="dxa"/>
            <w:tcBorders>
              <w:right w:val="single" w:sz="4" w:space="0" w:color="auto"/>
            </w:tcBorders>
            <w:noWrap/>
            <w:hideMark/>
          </w:tcPr>
          <w:p w:rsidR="00FD56EF" w:rsidRPr="004B6279" w:rsidRDefault="00FD56EF" w:rsidP="00FD56E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B6279">
              <w:rPr>
                <w:rFonts w:ascii="Times New Roman" w:eastAsia="Times New Roman" w:hAnsi="Times New Roman" w:cs="Times New Roman"/>
                <w:color w:val="000000"/>
                <w:sz w:val="24"/>
                <w:szCs w:val="24"/>
                <w:lang w:val="en-US"/>
              </w:rPr>
              <w:t>0.0231</w:t>
            </w:r>
          </w:p>
        </w:tc>
      </w:tr>
      <w:tr w:rsidR="00FD56EF" w:rsidRPr="004B6279" w:rsidTr="00FD56EF">
        <w:trPr>
          <w:trHeight w:val="117"/>
        </w:trPr>
        <w:tc>
          <w:tcPr>
            <w:cnfStyle w:val="001000000000" w:firstRow="0" w:lastRow="0" w:firstColumn="1" w:lastColumn="0" w:oddVBand="0" w:evenVBand="0" w:oddHBand="0" w:evenHBand="0" w:firstRowFirstColumn="0" w:firstRowLastColumn="0" w:lastRowFirstColumn="0" w:lastRowLastColumn="0"/>
            <w:tcW w:w="1530" w:type="dxa"/>
            <w:tcBorders>
              <w:left w:val="single" w:sz="4" w:space="0" w:color="auto"/>
            </w:tcBorders>
            <w:noWrap/>
            <w:hideMark/>
          </w:tcPr>
          <w:p w:rsidR="00FD56EF" w:rsidRPr="004B6279" w:rsidRDefault="00FD56EF" w:rsidP="00FD56EF">
            <w:pPr>
              <w:spacing w:line="360" w:lineRule="auto"/>
              <w:jc w:val="left"/>
              <w:rPr>
                <w:rFonts w:ascii="Times New Roman" w:eastAsia="Times New Roman" w:hAnsi="Times New Roman" w:cs="Times New Roman"/>
                <w:color w:val="000000"/>
                <w:sz w:val="24"/>
                <w:szCs w:val="24"/>
                <w:lang w:val="en-US"/>
              </w:rPr>
            </w:pPr>
          </w:p>
        </w:tc>
        <w:tc>
          <w:tcPr>
            <w:tcW w:w="890" w:type="dxa"/>
            <w:noWrap/>
            <w:hideMark/>
          </w:tcPr>
          <w:p w:rsidR="00FD56EF" w:rsidRPr="004B6279" w:rsidRDefault="00FD56EF" w:rsidP="00FD56E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B6279">
              <w:rPr>
                <w:rFonts w:ascii="Times New Roman" w:eastAsia="Times New Roman" w:hAnsi="Times New Roman" w:cs="Times New Roman"/>
                <w:color w:val="000000"/>
                <w:sz w:val="24"/>
                <w:szCs w:val="24"/>
                <w:lang w:val="en-US"/>
              </w:rPr>
              <w:t>3</w:t>
            </w:r>
          </w:p>
        </w:tc>
        <w:tc>
          <w:tcPr>
            <w:tcW w:w="1993" w:type="dxa"/>
            <w:noWrap/>
            <w:hideMark/>
          </w:tcPr>
          <w:p w:rsidR="00FD56EF" w:rsidRPr="004B6279" w:rsidRDefault="00FD56EF" w:rsidP="00FD56E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val="en-US"/>
              </w:rPr>
            </w:pPr>
            <w:r w:rsidRPr="004B6279">
              <w:rPr>
                <w:rFonts w:ascii="Times New Roman" w:eastAsia="Times New Roman" w:hAnsi="Times New Roman" w:cs="Times New Roman"/>
                <w:bCs/>
                <w:color w:val="000000"/>
                <w:sz w:val="24"/>
                <w:szCs w:val="24"/>
                <w:lang w:val="en-US"/>
              </w:rPr>
              <w:t>1.29 (0.95 - 1.75)</w:t>
            </w:r>
          </w:p>
        </w:tc>
        <w:tc>
          <w:tcPr>
            <w:tcW w:w="1900" w:type="dxa"/>
            <w:noWrap/>
            <w:hideMark/>
          </w:tcPr>
          <w:p w:rsidR="00FD56EF" w:rsidRPr="004B6279" w:rsidRDefault="00FD56EF" w:rsidP="00FD56E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val="en-US"/>
              </w:rPr>
            </w:pPr>
            <w:r w:rsidRPr="004B6279">
              <w:rPr>
                <w:rFonts w:ascii="Times New Roman" w:eastAsia="Times New Roman" w:hAnsi="Times New Roman" w:cs="Times New Roman"/>
                <w:bCs/>
                <w:color w:val="000000"/>
                <w:sz w:val="24"/>
                <w:szCs w:val="24"/>
                <w:lang w:val="en-US"/>
              </w:rPr>
              <w:t>1.02 (0.84 - 1.23)</w:t>
            </w:r>
          </w:p>
        </w:tc>
        <w:tc>
          <w:tcPr>
            <w:tcW w:w="1427" w:type="dxa"/>
            <w:noWrap/>
            <w:hideMark/>
          </w:tcPr>
          <w:p w:rsidR="00FD56EF" w:rsidRPr="004B6279" w:rsidRDefault="00FD56EF" w:rsidP="00FD56E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B6279">
              <w:rPr>
                <w:rFonts w:ascii="Times New Roman" w:eastAsia="Times New Roman" w:hAnsi="Times New Roman" w:cs="Times New Roman"/>
                <w:color w:val="000000"/>
                <w:sz w:val="24"/>
                <w:szCs w:val="24"/>
                <w:lang w:val="en-US"/>
              </w:rPr>
              <w:t>1</w:t>
            </w:r>
            <w:r>
              <w:rPr>
                <w:rFonts w:ascii="Times New Roman" w:eastAsia="Times New Roman" w:hAnsi="Times New Roman" w:cs="Times New Roman"/>
                <w:color w:val="000000"/>
                <w:sz w:val="24"/>
                <w:szCs w:val="24"/>
                <w:lang w:val="en-US"/>
              </w:rPr>
              <w:t>.00</w:t>
            </w:r>
          </w:p>
        </w:tc>
        <w:tc>
          <w:tcPr>
            <w:tcW w:w="1160" w:type="dxa"/>
            <w:tcBorders>
              <w:right w:val="single" w:sz="4" w:space="0" w:color="auto"/>
            </w:tcBorders>
            <w:noWrap/>
            <w:hideMark/>
          </w:tcPr>
          <w:p w:rsidR="00FD56EF" w:rsidRPr="004B6279" w:rsidRDefault="00FD56EF" w:rsidP="00FD56E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B6279">
              <w:rPr>
                <w:rFonts w:ascii="Times New Roman" w:eastAsia="Times New Roman" w:hAnsi="Times New Roman" w:cs="Times New Roman"/>
                <w:color w:val="000000"/>
                <w:sz w:val="24"/>
                <w:szCs w:val="24"/>
                <w:lang w:val="en-US"/>
              </w:rPr>
              <w:t>0.1977</w:t>
            </w:r>
          </w:p>
        </w:tc>
      </w:tr>
      <w:tr w:rsidR="00FD56EF" w:rsidRPr="004B6279" w:rsidTr="00FD56EF">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530" w:type="dxa"/>
            <w:tcBorders>
              <w:left w:val="single" w:sz="4" w:space="0" w:color="auto"/>
              <w:bottom w:val="single" w:sz="4" w:space="0" w:color="auto"/>
            </w:tcBorders>
            <w:noWrap/>
            <w:hideMark/>
          </w:tcPr>
          <w:p w:rsidR="00FD56EF" w:rsidRPr="004B6279" w:rsidRDefault="00FD56EF" w:rsidP="00FD56EF">
            <w:pPr>
              <w:spacing w:line="360" w:lineRule="auto"/>
              <w:jc w:val="left"/>
              <w:rPr>
                <w:rFonts w:ascii="Times New Roman" w:eastAsia="Times New Roman" w:hAnsi="Times New Roman" w:cs="Times New Roman"/>
                <w:color w:val="000000"/>
                <w:sz w:val="24"/>
                <w:szCs w:val="24"/>
                <w:lang w:val="en-US"/>
              </w:rPr>
            </w:pPr>
          </w:p>
        </w:tc>
        <w:tc>
          <w:tcPr>
            <w:tcW w:w="890" w:type="dxa"/>
            <w:tcBorders>
              <w:bottom w:val="single" w:sz="4" w:space="0" w:color="auto"/>
            </w:tcBorders>
            <w:noWrap/>
            <w:hideMark/>
          </w:tcPr>
          <w:p w:rsidR="00FD56EF" w:rsidRPr="004B6279" w:rsidRDefault="00FD56EF" w:rsidP="00FD56E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B6279">
              <w:rPr>
                <w:rFonts w:ascii="Times New Roman" w:eastAsia="Times New Roman" w:hAnsi="Times New Roman" w:cs="Times New Roman"/>
                <w:color w:val="000000"/>
                <w:sz w:val="24"/>
                <w:szCs w:val="24"/>
                <w:lang w:val="en-US"/>
              </w:rPr>
              <w:t>4</w:t>
            </w:r>
          </w:p>
        </w:tc>
        <w:tc>
          <w:tcPr>
            <w:tcW w:w="1993" w:type="dxa"/>
            <w:tcBorders>
              <w:bottom w:val="single" w:sz="4" w:space="0" w:color="auto"/>
            </w:tcBorders>
            <w:noWrap/>
            <w:hideMark/>
          </w:tcPr>
          <w:p w:rsidR="00FD56EF" w:rsidRPr="004B6279" w:rsidRDefault="00FD56EF" w:rsidP="00FD56E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val="en-US"/>
              </w:rPr>
            </w:pPr>
            <w:r w:rsidRPr="004B6279">
              <w:rPr>
                <w:rFonts w:ascii="Times New Roman" w:eastAsia="Times New Roman" w:hAnsi="Times New Roman" w:cs="Times New Roman"/>
                <w:bCs/>
                <w:color w:val="000000"/>
                <w:sz w:val="24"/>
                <w:szCs w:val="24"/>
                <w:lang w:val="en-US"/>
              </w:rPr>
              <w:t>1.31 (0.96 - 1.78)</w:t>
            </w:r>
          </w:p>
        </w:tc>
        <w:tc>
          <w:tcPr>
            <w:tcW w:w="1900" w:type="dxa"/>
            <w:tcBorders>
              <w:bottom w:val="single" w:sz="4" w:space="0" w:color="auto"/>
            </w:tcBorders>
            <w:noWrap/>
            <w:hideMark/>
          </w:tcPr>
          <w:p w:rsidR="00FD56EF" w:rsidRPr="004B6279" w:rsidRDefault="00FD56EF" w:rsidP="00FD56E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val="en-US"/>
              </w:rPr>
            </w:pPr>
            <w:r w:rsidRPr="004B6279">
              <w:rPr>
                <w:rFonts w:ascii="Times New Roman" w:eastAsia="Times New Roman" w:hAnsi="Times New Roman" w:cs="Times New Roman"/>
                <w:bCs/>
                <w:color w:val="000000"/>
                <w:sz w:val="24"/>
                <w:szCs w:val="24"/>
                <w:lang w:val="en-US"/>
              </w:rPr>
              <w:t>1</w:t>
            </w:r>
            <w:r>
              <w:rPr>
                <w:rFonts w:ascii="Times New Roman" w:eastAsia="Times New Roman" w:hAnsi="Times New Roman" w:cs="Times New Roman"/>
                <w:bCs/>
                <w:color w:val="000000"/>
                <w:sz w:val="24"/>
                <w:szCs w:val="24"/>
                <w:lang w:val="en-US"/>
              </w:rPr>
              <w:t>.00</w:t>
            </w:r>
            <w:r w:rsidRPr="004B6279">
              <w:rPr>
                <w:rFonts w:ascii="Times New Roman" w:eastAsia="Times New Roman" w:hAnsi="Times New Roman" w:cs="Times New Roman"/>
                <w:bCs/>
                <w:color w:val="000000"/>
                <w:sz w:val="24"/>
                <w:szCs w:val="24"/>
                <w:lang w:val="en-US"/>
              </w:rPr>
              <w:t xml:space="preserve"> (0.82 - 1.21)</w:t>
            </w:r>
          </w:p>
        </w:tc>
        <w:tc>
          <w:tcPr>
            <w:tcW w:w="1427" w:type="dxa"/>
            <w:tcBorders>
              <w:bottom w:val="single" w:sz="4" w:space="0" w:color="auto"/>
            </w:tcBorders>
            <w:noWrap/>
            <w:hideMark/>
          </w:tcPr>
          <w:p w:rsidR="00FD56EF" w:rsidRPr="004B6279" w:rsidRDefault="00FD56EF" w:rsidP="00FD56E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B6279">
              <w:rPr>
                <w:rFonts w:ascii="Times New Roman" w:eastAsia="Times New Roman" w:hAnsi="Times New Roman" w:cs="Times New Roman"/>
                <w:color w:val="000000"/>
                <w:sz w:val="24"/>
                <w:szCs w:val="24"/>
                <w:lang w:val="en-US"/>
              </w:rPr>
              <w:t>1</w:t>
            </w:r>
            <w:r>
              <w:rPr>
                <w:rFonts w:ascii="Times New Roman" w:eastAsia="Times New Roman" w:hAnsi="Times New Roman" w:cs="Times New Roman"/>
                <w:color w:val="000000"/>
                <w:sz w:val="24"/>
                <w:szCs w:val="24"/>
                <w:lang w:val="en-US"/>
              </w:rPr>
              <w:t>.00</w:t>
            </w:r>
          </w:p>
        </w:tc>
        <w:tc>
          <w:tcPr>
            <w:tcW w:w="1160" w:type="dxa"/>
            <w:tcBorders>
              <w:bottom w:val="single" w:sz="4" w:space="0" w:color="auto"/>
              <w:right w:val="single" w:sz="4" w:space="0" w:color="auto"/>
            </w:tcBorders>
            <w:noWrap/>
            <w:hideMark/>
          </w:tcPr>
          <w:p w:rsidR="00FD56EF" w:rsidRPr="004B6279" w:rsidRDefault="00FD56EF" w:rsidP="00FD56E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B6279">
              <w:rPr>
                <w:rFonts w:ascii="Times New Roman" w:eastAsia="Times New Roman" w:hAnsi="Times New Roman" w:cs="Times New Roman"/>
                <w:color w:val="000000"/>
                <w:sz w:val="24"/>
                <w:szCs w:val="24"/>
                <w:lang w:val="en-US"/>
              </w:rPr>
              <w:t>0.2294</w:t>
            </w:r>
          </w:p>
        </w:tc>
      </w:tr>
      <w:tr w:rsidR="00FD56EF" w:rsidRPr="004B6279" w:rsidTr="00FD56EF">
        <w:trPr>
          <w:trHeight w:val="198"/>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left w:val="single" w:sz="4" w:space="0" w:color="auto"/>
            </w:tcBorders>
            <w:noWrap/>
            <w:hideMark/>
          </w:tcPr>
          <w:p w:rsidR="00FD56EF" w:rsidRPr="004B6279" w:rsidRDefault="00FD56EF" w:rsidP="00FD56EF">
            <w:pPr>
              <w:spacing w:line="360" w:lineRule="auto"/>
              <w:jc w:val="left"/>
              <w:rPr>
                <w:rFonts w:ascii="Times New Roman" w:eastAsia="Times New Roman" w:hAnsi="Times New Roman" w:cs="Times New Roman"/>
                <w:color w:val="000000"/>
                <w:sz w:val="24"/>
                <w:szCs w:val="24"/>
                <w:lang w:val="en-US"/>
              </w:rPr>
            </w:pPr>
            <w:r w:rsidRPr="004B6279">
              <w:rPr>
                <w:rFonts w:ascii="Times New Roman" w:eastAsia="Times New Roman" w:hAnsi="Times New Roman" w:cs="Times New Roman"/>
                <w:color w:val="000000"/>
                <w:sz w:val="24"/>
                <w:szCs w:val="24"/>
                <w:lang w:val="en-US"/>
              </w:rPr>
              <w:t>OH-1</w:t>
            </w:r>
            <w:r>
              <w:rPr>
                <w:rFonts w:ascii="Times New Roman" w:eastAsia="Times New Roman" w:hAnsi="Times New Roman" w:cs="Times New Roman"/>
                <w:color w:val="000000"/>
                <w:sz w:val="24"/>
                <w:szCs w:val="24"/>
                <w:lang w:val="en-US"/>
              </w:rPr>
              <w:t>, n (%)</w:t>
            </w:r>
          </w:p>
        </w:tc>
        <w:tc>
          <w:tcPr>
            <w:tcW w:w="890" w:type="dxa"/>
            <w:tcBorders>
              <w:top w:val="single" w:sz="4" w:space="0" w:color="auto"/>
            </w:tcBorders>
            <w:noWrap/>
            <w:hideMark/>
          </w:tcPr>
          <w:p w:rsidR="00FD56EF" w:rsidRPr="004B6279" w:rsidRDefault="00FD56EF" w:rsidP="00FD56E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p>
        </w:tc>
        <w:tc>
          <w:tcPr>
            <w:tcW w:w="1993" w:type="dxa"/>
            <w:tcBorders>
              <w:top w:val="single" w:sz="4" w:space="0" w:color="auto"/>
            </w:tcBorders>
            <w:noWrap/>
            <w:hideMark/>
          </w:tcPr>
          <w:p w:rsidR="00FD56EF" w:rsidRPr="004B6279" w:rsidRDefault="00FD56EF" w:rsidP="00FD56E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B6279">
              <w:rPr>
                <w:rFonts w:ascii="Times New Roman" w:eastAsia="Times New Roman" w:hAnsi="Times New Roman" w:cs="Times New Roman"/>
                <w:color w:val="000000"/>
                <w:sz w:val="24"/>
                <w:szCs w:val="24"/>
                <w:lang w:val="en-US"/>
              </w:rPr>
              <w:t>73 (20.11)</w:t>
            </w:r>
          </w:p>
        </w:tc>
        <w:tc>
          <w:tcPr>
            <w:tcW w:w="1900" w:type="dxa"/>
            <w:tcBorders>
              <w:top w:val="single" w:sz="4" w:space="0" w:color="auto"/>
            </w:tcBorders>
            <w:noWrap/>
            <w:hideMark/>
          </w:tcPr>
          <w:p w:rsidR="00FD56EF" w:rsidRPr="004B6279" w:rsidRDefault="00FD56EF" w:rsidP="00FD56E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B6279">
              <w:rPr>
                <w:rFonts w:ascii="Times New Roman" w:eastAsia="Times New Roman" w:hAnsi="Times New Roman" w:cs="Times New Roman"/>
                <w:color w:val="000000"/>
                <w:sz w:val="24"/>
                <w:szCs w:val="24"/>
                <w:lang w:val="en-US"/>
              </w:rPr>
              <w:t>196 (12.79)</w:t>
            </w:r>
          </w:p>
        </w:tc>
        <w:tc>
          <w:tcPr>
            <w:tcW w:w="1427" w:type="dxa"/>
            <w:tcBorders>
              <w:top w:val="single" w:sz="4" w:space="0" w:color="auto"/>
            </w:tcBorders>
            <w:noWrap/>
            <w:hideMark/>
          </w:tcPr>
          <w:p w:rsidR="00FD56EF" w:rsidRPr="004B6279" w:rsidRDefault="00FD56EF" w:rsidP="00FD56E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B6279">
              <w:rPr>
                <w:rFonts w:ascii="Times New Roman" w:eastAsia="Times New Roman" w:hAnsi="Times New Roman" w:cs="Times New Roman"/>
                <w:color w:val="000000"/>
                <w:sz w:val="24"/>
                <w:szCs w:val="24"/>
                <w:lang w:val="en-US"/>
              </w:rPr>
              <w:t>204 (11.83)</w:t>
            </w:r>
          </w:p>
        </w:tc>
        <w:tc>
          <w:tcPr>
            <w:tcW w:w="1160" w:type="dxa"/>
            <w:tcBorders>
              <w:top w:val="single" w:sz="4" w:space="0" w:color="auto"/>
              <w:right w:val="single" w:sz="4" w:space="0" w:color="auto"/>
            </w:tcBorders>
            <w:noWrap/>
            <w:hideMark/>
          </w:tcPr>
          <w:p w:rsidR="00FD56EF" w:rsidRPr="004B6279" w:rsidRDefault="00FD56EF" w:rsidP="00FD56E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p>
        </w:tc>
      </w:tr>
      <w:tr w:rsidR="00FD56EF" w:rsidRPr="004B6279" w:rsidTr="00FD56EF">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530" w:type="dxa"/>
            <w:tcBorders>
              <w:left w:val="single" w:sz="4" w:space="0" w:color="auto"/>
            </w:tcBorders>
            <w:noWrap/>
            <w:hideMark/>
          </w:tcPr>
          <w:p w:rsidR="00FD56EF" w:rsidRPr="004B6279" w:rsidRDefault="00FD56EF" w:rsidP="00FD56EF">
            <w:pPr>
              <w:spacing w:line="360" w:lineRule="auto"/>
              <w:jc w:val="left"/>
              <w:rPr>
                <w:rFonts w:ascii="Times New Roman" w:eastAsia="Times New Roman" w:hAnsi="Times New Roman" w:cs="Times New Roman"/>
                <w:color w:val="000000"/>
                <w:sz w:val="24"/>
                <w:szCs w:val="24"/>
                <w:lang w:val="en-US"/>
              </w:rPr>
            </w:pPr>
          </w:p>
        </w:tc>
        <w:tc>
          <w:tcPr>
            <w:tcW w:w="890" w:type="dxa"/>
            <w:noWrap/>
            <w:hideMark/>
          </w:tcPr>
          <w:p w:rsidR="00FD56EF" w:rsidRPr="004B6279" w:rsidRDefault="00FD56EF" w:rsidP="00FD56E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B6279">
              <w:rPr>
                <w:rFonts w:ascii="Times New Roman" w:eastAsia="Times New Roman" w:hAnsi="Times New Roman" w:cs="Times New Roman"/>
                <w:color w:val="000000"/>
                <w:sz w:val="24"/>
                <w:szCs w:val="24"/>
                <w:lang w:val="en-US"/>
              </w:rPr>
              <w:t>1</w:t>
            </w:r>
          </w:p>
        </w:tc>
        <w:tc>
          <w:tcPr>
            <w:tcW w:w="1993" w:type="dxa"/>
            <w:noWrap/>
            <w:hideMark/>
          </w:tcPr>
          <w:p w:rsidR="00FD56EF" w:rsidRPr="004B6279" w:rsidRDefault="00FD56EF" w:rsidP="00FD56E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val="en-US"/>
              </w:rPr>
            </w:pPr>
            <w:r w:rsidRPr="004B6279">
              <w:rPr>
                <w:rFonts w:ascii="Times New Roman" w:eastAsia="Times New Roman" w:hAnsi="Times New Roman" w:cs="Times New Roman"/>
                <w:b/>
                <w:bCs/>
                <w:color w:val="000000"/>
                <w:sz w:val="24"/>
                <w:szCs w:val="24"/>
                <w:lang w:val="en-US"/>
              </w:rPr>
              <w:t>1.88 (1.4</w:t>
            </w:r>
            <w:r>
              <w:rPr>
                <w:rFonts w:ascii="Times New Roman" w:eastAsia="Times New Roman" w:hAnsi="Times New Roman" w:cs="Times New Roman"/>
                <w:b/>
                <w:bCs/>
                <w:color w:val="000000"/>
                <w:sz w:val="24"/>
                <w:szCs w:val="24"/>
                <w:lang w:val="en-US"/>
              </w:rPr>
              <w:t>0</w:t>
            </w:r>
            <w:r w:rsidRPr="004B6279">
              <w:rPr>
                <w:rFonts w:ascii="Times New Roman" w:eastAsia="Times New Roman" w:hAnsi="Times New Roman" w:cs="Times New Roman"/>
                <w:b/>
                <w:bCs/>
                <w:color w:val="000000"/>
                <w:sz w:val="24"/>
                <w:szCs w:val="24"/>
                <w:lang w:val="en-US"/>
              </w:rPr>
              <w:t xml:space="preserve"> - 2.53)</w:t>
            </w:r>
          </w:p>
        </w:tc>
        <w:tc>
          <w:tcPr>
            <w:tcW w:w="1900" w:type="dxa"/>
            <w:noWrap/>
            <w:hideMark/>
          </w:tcPr>
          <w:p w:rsidR="00FD56EF" w:rsidRPr="004B6279" w:rsidRDefault="00FD56EF" w:rsidP="00FD56E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val="en-US"/>
              </w:rPr>
            </w:pPr>
            <w:r w:rsidRPr="004B6279">
              <w:rPr>
                <w:rFonts w:ascii="Times New Roman" w:eastAsia="Times New Roman" w:hAnsi="Times New Roman" w:cs="Times New Roman"/>
                <w:bCs/>
                <w:color w:val="000000"/>
                <w:sz w:val="24"/>
                <w:szCs w:val="24"/>
                <w:lang w:val="en-US"/>
              </w:rPr>
              <w:t>1.09 (0.89 - 1.35)</w:t>
            </w:r>
          </w:p>
        </w:tc>
        <w:tc>
          <w:tcPr>
            <w:tcW w:w="1427" w:type="dxa"/>
            <w:noWrap/>
            <w:hideMark/>
          </w:tcPr>
          <w:p w:rsidR="00FD56EF" w:rsidRPr="004B6279" w:rsidRDefault="00FD56EF" w:rsidP="00FD56E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B6279">
              <w:rPr>
                <w:rFonts w:ascii="Times New Roman" w:eastAsia="Times New Roman" w:hAnsi="Times New Roman" w:cs="Times New Roman"/>
                <w:color w:val="000000"/>
                <w:sz w:val="24"/>
                <w:szCs w:val="24"/>
                <w:lang w:val="en-US"/>
              </w:rPr>
              <w:t>1</w:t>
            </w:r>
            <w:r>
              <w:rPr>
                <w:rFonts w:ascii="Times New Roman" w:eastAsia="Times New Roman" w:hAnsi="Times New Roman" w:cs="Times New Roman"/>
                <w:color w:val="000000"/>
                <w:sz w:val="24"/>
                <w:szCs w:val="24"/>
                <w:lang w:val="en-US"/>
              </w:rPr>
              <w:t>.00</w:t>
            </w:r>
          </w:p>
        </w:tc>
        <w:tc>
          <w:tcPr>
            <w:tcW w:w="1160" w:type="dxa"/>
            <w:tcBorders>
              <w:right w:val="single" w:sz="4" w:space="0" w:color="auto"/>
            </w:tcBorders>
            <w:noWrap/>
            <w:hideMark/>
          </w:tcPr>
          <w:p w:rsidR="00FD56EF" w:rsidRPr="004B6279" w:rsidRDefault="00FD56EF" w:rsidP="00FD56E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B6279">
              <w:rPr>
                <w:rFonts w:ascii="Times New Roman" w:eastAsia="Times New Roman" w:hAnsi="Times New Roman" w:cs="Times New Roman"/>
                <w:color w:val="000000"/>
                <w:sz w:val="24"/>
                <w:szCs w:val="24"/>
                <w:lang w:val="en-US"/>
              </w:rPr>
              <w:t>0.0005</w:t>
            </w:r>
          </w:p>
        </w:tc>
      </w:tr>
      <w:tr w:rsidR="00FD56EF" w:rsidRPr="004B6279" w:rsidTr="00FD56EF">
        <w:trPr>
          <w:trHeight w:val="198"/>
        </w:trPr>
        <w:tc>
          <w:tcPr>
            <w:cnfStyle w:val="001000000000" w:firstRow="0" w:lastRow="0" w:firstColumn="1" w:lastColumn="0" w:oddVBand="0" w:evenVBand="0" w:oddHBand="0" w:evenHBand="0" w:firstRowFirstColumn="0" w:firstRowLastColumn="0" w:lastRowFirstColumn="0" w:lastRowLastColumn="0"/>
            <w:tcW w:w="1530" w:type="dxa"/>
            <w:tcBorders>
              <w:left w:val="single" w:sz="4" w:space="0" w:color="auto"/>
            </w:tcBorders>
            <w:noWrap/>
            <w:hideMark/>
          </w:tcPr>
          <w:p w:rsidR="00FD56EF" w:rsidRPr="004B6279" w:rsidRDefault="00FD56EF" w:rsidP="00FD56EF">
            <w:pPr>
              <w:spacing w:line="360" w:lineRule="auto"/>
              <w:jc w:val="left"/>
              <w:rPr>
                <w:rFonts w:ascii="Times New Roman" w:eastAsia="Times New Roman" w:hAnsi="Times New Roman" w:cs="Times New Roman"/>
                <w:color w:val="000000"/>
                <w:sz w:val="24"/>
                <w:szCs w:val="24"/>
                <w:lang w:val="en-US"/>
              </w:rPr>
            </w:pPr>
          </w:p>
        </w:tc>
        <w:tc>
          <w:tcPr>
            <w:tcW w:w="890" w:type="dxa"/>
            <w:noWrap/>
            <w:hideMark/>
          </w:tcPr>
          <w:p w:rsidR="00FD56EF" w:rsidRPr="004B6279" w:rsidRDefault="00FD56EF" w:rsidP="00FD56E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B6279">
              <w:rPr>
                <w:rFonts w:ascii="Times New Roman" w:eastAsia="Times New Roman" w:hAnsi="Times New Roman" w:cs="Times New Roman"/>
                <w:color w:val="000000"/>
                <w:sz w:val="24"/>
                <w:szCs w:val="24"/>
                <w:lang w:val="en-US"/>
              </w:rPr>
              <w:t>2</w:t>
            </w:r>
          </w:p>
        </w:tc>
        <w:tc>
          <w:tcPr>
            <w:tcW w:w="1993" w:type="dxa"/>
            <w:noWrap/>
            <w:hideMark/>
          </w:tcPr>
          <w:p w:rsidR="00FD56EF" w:rsidRPr="004B6279" w:rsidRDefault="00FD56EF" w:rsidP="00FD56E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val="en-US"/>
              </w:rPr>
            </w:pPr>
            <w:r w:rsidRPr="004B6279">
              <w:rPr>
                <w:rFonts w:ascii="Times New Roman" w:eastAsia="Times New Roman" w:hAnsi="Times New Roman" w:cs="Times New Roman"/>
                <w:b/>
                <w:bCs/>
                <w:color w:val="000000"/>
                <w:sz w:val="24"/>
                <w:szCs w:val="24"/>
                <w:lang w:val="en-US"/>
              </w:rPr>
              <w:t>1.8 (1.33 - 2.45)</w:t>
            </w:r>
          </w:p>
        </w:tc>
        <w:tc>
          <w:tcPr>
            <w:tcW w:w="1900" w:type="dxa"/>
            <w:noWrap/>
            <w:hideMark/>
          </w:tcPr>
          <w:p w:rsidR="00FD56EF" w:rsidRPr="004B6279" w:rsidRDefault="00FD56EF" w:rsidP="00FD56E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val="en-US"/>
              </w:rPr>
            </w:pPr>
            <w:r w:rsidRPr="004B6279">
              <w:rPr>
                <w:rFonts w:ascii="Times New Roman" w:eastAsia="Times New Roman" w:hAnsi="Times New Roman" w:cs="Times New Roman"/>
                <w:bCs/>
                <w:color w:val="000000"/>
                <w:sz w:val="24"/>
                <w:szCs w:val="24"/>
                <w:lang w:val="en-US"/>
              </w:rPr>
              <w:t>1.08 (0.87 - 1.34)</w:t>
            </w:r>
          </w:p>
        </w:tc>
        <w:tc>
          <w:tcPr>
            <w:tcW w:w="1427" w:type="dxa"/>
            <w:noWrap/>
            <w:hideMark/>
          </w:tcPr>
          <w:p w:rsidR="00FD56EF" w:rsidRPr="004B6279" w:rsidRDefault="00FD56EF" w:rsidP="00FD56E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B6279">
              <w:rPr>
                <w:rFonts w:ascii="Times New Roman" w:eastAsia="Times New Roman" w:hAnsi="Times New Roman" w:cs="Times New Roman"/>
                <w:color w:val="000000"/>
                <w:sz w:val="24"/>
                <w:szCs w:val="24"/>
                <w:lang w:val="en-US"/>
              </w:rPr>
              <w:t>1</w:t>
            </w:r>
            <w:r>
              <w:rPr>
                <w:rFonts w:ascii="Times New Roman" w:eastAsia="Times New Roman" w:hAnsi="Times New Roman" w:cs="Times New Roman"/>
                <w:color w:val="000000"/>
                <w:sz w:val="24"/>
                <w:szCs w:val="24"/>
                <w:lang w:val="en-US"/>
              </w:rPr>
              <w:t>.00</w:t>
            </w:r>
          </w:p>
        </w:tc>
        <w:tc>
          <w:tcPr>
            <w:tcW w:w="1160" w:type="dxa"/>
            <w:tcBorders>
              <w:right w:val="single" w:sz="4" w:space="0" w:color="auto"/>
            </w:tcBorders>
            <w:noWrap/>
            <w:hideMark/>
          </w:tcPr>
          <w:p w:rsidR="00FD56EF" w:rsidRPr="004B6279" w:rsidRDefault="00FD56EF" w:rsidP="00FD56E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B6279">
              <w:rPr>
                <w:rFonts w:ascii="Times New Roman" w:eastAsia="Times New Roman" w:hAnsi="Times New Roman" w:cs="Times New Roman"/>
                <w:color w:val="000000"/>
                <w:sz w:val="24"/>
                <w:szCs w:val="24"/>
                <w:lang w:val="en-US"/>
              </w:rPr>
              <w:t>0.0016</w:t>
            </w:r>
          </w:p>
        </w:tc>
      </w:tr>
      <w:tr w:rsidR="00FD56EF" w:rsidRPr="004B6279" w:rsidTr="00FD56EF">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530" w:type="dxa"/>
            <w:tcBorders>
              <w:left w:val="single" w:sz="4" w:space="0" w:color="auto"/>
            </w:tcBorders>
            <w:noWrap/>
            <w:hideMark/>
          </w:tcPr>
          <w:p w:rsidR="00FD56EF" w:rsidRPr="004B6279" w:rsidRDefault="00FD56EF" w:rsidP="00FD56EF">
            <w:pPr>
              <w:spacing w:line="360" w:lineRule="auto"/>
              <w:jc w:val="left"/>
              <w:rPr>
                <w:rFonts w:ascii="Times New Roman" w:eastAsia="Times New Roman" w:hAnsi="Times New Roman" w:cs="Times New Roman"/>
                <w:color w:val="000000"/>
                <w:sz w:val="24"/>
                <w:szCs w:val="24"/>
                <w:lang w:val="en-US"/>
              </w:rPr>
            </w:pPr>
          </w:p>
        </w:tc>
        <w:tc>
          <w:tcPr>
            <w:tcW w:w="890" w:type="dxa"/>
            <w:noWrap/>
            <w:hideMark/>
          </w:tcPr>
          <w:p w:rsidR="00FD56EF" w:rsidRPr="004B6279" w:rsidRDefault="00FD56EF" w:rsidP="00FD56E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B6279">
              <w:rPr>
                <w:rFonts w:ascii="Times New Roman" w:eastAsia="Times New Roman" w:hAnsi="Times New Roman" w:cs="Times New Roman"/>
                <w:color w:val="000000"/>
                <w:sz w:val="24"/>
                <w:szCs w:val="24"/>
                <w:lang w:val="en-US"/>
              </w:rPr>
              <w:t>3</w:t>
            </w:r>
          </w:p>
        </w:tc>
        <w:tc>
          <w:tcPr>
            <w:tcW w:w="1993" w:type="dxa"/>
            <w:noWrap/>
            <w:hideMark/>
          </w:tcPr>
          <w:p w:rsidR="00FD56EF" w:rsidRPr="004B6279" w:rsidRDefault="00FD56EF" w:rsidP="00FD56E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val="en-US"/>
              </w:rPr>
            </w:pPr>
            <w:r w:rsidRPr="004B6279">
              <w:rPr>
                <w:rFonts w:ascii="Times New Roman" w:eastAsia="Times New Roman" w:hAnsi="Times New Roman" w:cs="Times New Roman"/>
                <w:b/>
                <w:bCs/>
                <w:color w:val="000000"/>
                <w:sz w:val="24"/>
                <w:szCs w:val="24"/>
                <w:lang w:val="en-US"/>
              </w:rPr>
              <w:t>1.56 (1.1</w:t>
            </w:r>
            <w:r>
              <w:rPr>
                <w:rFonts w:ascii="Times New Roman" w:eastAsia="Times New Roman" w:hAnsi="Times New Roman" w:cs="Times New Roman"/>
                <w:b/>
                <w:bCs/>
                <w:color w:val="000000"/>
                <w:sz w:val="24"/>
                <w:szCs w:val="24"/>
                <w:lang w:val="en-US"/>
              </w:rPr>
              <w:t>0</w:t>
            </w:r>
            <w:r w:rsidRPr="004B6279">
              <w:rPr>
                <w:rFonts w:ascii="Times New Roman" w:eastAsia="Times New Roman" w:hAnsi="Times New Roman" w:cs="Times New Roman"/>
                <w:b/>
                <w:bCs/>
                <w:color w:val="000000"/>
                <w:sz w:val="24"/>
                <w:szCs w:val="24"/>
                <w:lang w:val="en-US"/>
              </w:rPr>
              <w:t xml:space="preserve"> - 2.2</w:t>
            </w:r>
            <w:r w:rsidRPr="00C04DE5">
              <w:rPr>
                <w:rFonts w:ascii="Times New Roman" w:eastAsia="Times New Roman" w:hAnsi="Times New Roman" w:cs="Times New Roman"/>
                <w:b/>
                <w:bCs/>
                <w:color w:val="000000"/>
                <w:sz w:val="24"/>
                <w:szCs w:val="24"/>
                <w:lang w:val="en-US"/>
              </w:rPr>
              <w:t>0</w:t>
            </w:r>
            <w:r w:rsidRPr="004B6279">
              <w:rPr>
                <w:rFonts w:ascii="Times New Roman" w:eastAsia="Times New Roman" w:hAnsi="Times New Roman" w:cs="Times New Roman"/>
                <w:b/>
                <w:bCs/>
                <w:color w:val="000000"/>
                <w:sz w:val="24"/>
                <w:szCs w:val="24"/>
                <w:lang w:val="en-US"/>
              </w:rPr>
              <w:t>)</w:t>
            </w:r>
          </w:p>
        </w:tc>
        <w:tc>
          <w:tcPr>
            <w:tcW w:w="1900" w:type="dxa"/>
            <w:noWrap/>
            <w:hideMark/>
          </w:tcPr>
          <w:p w:rsidR="00FD56EF" w:rsidRPr="004B6279" w:rsidRDefault="00FD56EF" w:rsidP="00FD56E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val="en-US"/>
              </w:rPr>
            </w:pPr>
            <w:r w:rsidRPr="004B6279">
              <w:rPr>
                <w:rFonts w:ascii="Times New Roman" w:eastAsia="Times New Roman" w:hAnsi="Times New Roman" w:cs="Times New Roman"/>
                <w:bCs/>
                <w:color w:val="000000"/>
                <w:sz w:val="24"/>
                <w:szCs w:val="24"/>
                <w:lang w:val="en-US"/>
              </w:rPr>
              <w:t>1.09 (0.87 - 1.38)</w:t>
            </w:r>
          </w:p>
        </w:tc>
        <w:tc>
          <w:tcPr>
            <w:tcW w:w="1427" w:type="dxa"/>
            <w:noWrap/>
            <w:hideMark/>
          </w:tcPr>
          <w:p w:rsidR="00FD56EF" w:rsidRPr="004B6279" w:rsidRDefault="00FD56EF" w:rsidP="00FD56E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B6279">
              <w:rPr>
                <w:rFonts w:ascii="Times New Roman" w:eastAsia="Times New Roman" w:hAnsi="Times New Roman" w:cs="Times New Roman"/>
                <w:color w:val="000000"/>
                <w:sz w:val="24"/>
                <w:szCs w:val="24"/>
                <w:lang w:val="en-US"/>
              </w:rPr>
              <w:t>1</w:t>
            </w:r>
            <w:r>
              <w:rPr>
                <w:rFonts w:ascii="Times New Roman" w:eastAsia="Times New Roman" w:hAnsi="Times New Roman" w:cs="Times New Roman"/>
                <w:color w:val="000000"/>
                <w:sz w:val="24"/>
                <w:szCs w:val="24"/>
                <w:lang w:val="en-US"/>
              </w:rPr>
              <w:t>.00</w:t>
            </w:r>
          </w:p>
        </w:tc>
        <w:tc>
          <w:tcPr>
            <w:tcW w:w="1160" w:type="dxa"/>
            <w:tcBorders>
              <w:right w:val="single" w:sz="4" w:space="0" w:color="auto"/>
            </w:tcBorders>
            <w:noWrap/>
            <w:hideMark/>
          </w:tcPr>
          <w:p w:rsidR="00FD56EF" w:rsidRPr="004B6279" w:rsidRDefault="00FD56EF" w:rsidP="00FD56E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B6279">
              <w:rPr>
                <w:rFonts w:ascii="Times New Roman" w:eastAsia="Times New Roman" w:hAnsi="Times New Roman" w:cs="Times New Roman"/>
                <w:color w:val="000000"/>
                <w:sz w:val="24"/>
                <w:szCs w:val="24"/>
                <w:lang w:val="en-US"/>
              </w:rPr>
              <w:t>0.0278</w:t>
            </w:r>
          </w:p>
        </w:tc>
      </w:tr>
      <w:tr w:rsidR="00FD56EF" w:rsidRPr="004B6279" w:rsidTr="00FD56EF">
        <w:trPr>
          <w:trHeight w:val="180"/>
        </w:trPr>
        <w:tc>
          <w:tcPr>
            <w:cnfStyle w:val="001000000000" w:firstRow="0" w:lastRow="0" w:firstColumn="1" w:lastColumn="0" w:oddVBand="0" w:evenVBand="0" w:oddHBand="0" w:evenHBand="0" w:firstRowFirstColumn="0" w:firstRowLastColumn="0" w:lastRowFirstColumn="0" w:lastRowLastColumn="0"/>
            <w:tcW w:w="1530" w:type="dxa"/>
            <w:tcBorders>
              <w:left w:val="single" w:sz="4" w:space="0" w:color="auto"/>
              <w:bottom w:val="single" w:sz="4" w:space="0" w:color="auto"/>
            </w:tcBorders>
            <w:noWrap/>
            <w:hideMark/>
          </w:tcPr>
          <w:p w:rsidR="00FD56EF" w:rsidRPr="004B6279" w:rsidRDefault="00FD56EF" w:rsidP="00FD56EF">
            <w:pPr>
              <w:spacing w:line="360" w:lineRule="auto"/>
              <w:jc w:val="left"/>
              <w:rPr>
                <w:rFonts w:ascii="Times New Roman" w:eastAsia="Times New Roman" w:hAnsi="Times New Roman" w:cs="Times New Roman"/>
                <w:color w:val="000000"/>
                <w:sz w:val="24"/>
                <w:szCs w:val="24"/>
                <w:lang w:val="en-US"/>
              </w:rPr>
            </w:pPr>
          </w:p>
        </w:tc>
        <w:tc>
          <w:tcPr>
            <w:tcW w:w="890" w:type="dxa"/>
            <w:tcBorders>
              <w:bottom w:val="single" w:sz="4" w:space="0" w:color="auto"/>
            </w:tcBorders>
            <w:noWrap/>
            <w:hideMark/>
          </w:tcPr>
          <w:p w:rsidR="00FD56EF" w:rsidRPr="004B6279" w:rsidRDefault="00FD56EF" w:rsidP="00FD56E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B6279">
              <w:rPr>
                <w:rFonts w:ascii="Times New Roman" w:eastAsia="Times New Roman" w:hAnsi="Times New Roman" w:cs="Times New Roman"/>
                <w:color w:val="000000"/>
                <w:sz w:val="24"/>
                <w:szCs w:val="24"/>
                <w:lang w:val="en-US"/>
              </w:rPr>
              <w:t>4</w:t>
            </w:r>
          </w:p>
        </w:tc>
        <w:tc>
          <w:tcPr>
            <w:tcW w:w="1993" w:type="dxa"/>
            <w:tcBorders>
              <w:bottom w:val="single" w:sz="4" w:space="0" w:color="auto"/>
            </w:tcBorders>
            <w:noWrap/>
            <w:hideMark/>
          </w:tcPr>
          <w:p w:rsidR="00FD56EF" w:rsidRPr="004B6279" w:rsidRDefault="00FD56EF" w:rsidP="00FD56E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val="en-US"/>
              </w:rPr>
            </w:pPr>
            <w:r w:rsidRPr="004B6279">
              <w:rPr>
                <w:rFonts w:ascii="Times New Roman" w:eastAsia="Times New Roman" w:hAnsi="Times New Roman" w:cs="Times New Roman"/>
                <w:b/>
                <w:bCs/>
                <w:color w:val="000000"/>
                <w:sz w:val="24"/>
                <w:szCs w:val="24"/>
                <w:lang w:val="en-US"/>
              </w:rPr>
              <w:t>1.51 (1.06 - 2.15)</w:t>
            </w:r>
          </w:p>
        </w:tc>
        <w:tc>
          <w:tcPr>
            <w:tcW w:w="1900" w:type="dxa"/>
            <w:tcBorders>
              <w:bottom w:val="single" w:sz="4" w:space="0" w:color="auto"/>
            </w:tcBorders>
            <w:noWrap/>
            <w:hideMark/>
          </w:tcPr>
          <w:p w:rsidR="00FD56EF" w:rsidRPr="004B6279" w:rsidRDefault="00FD56EF" w:rsidP="00FD56E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val="en-US"/>
              </w:rPr>
            </w:pPr>
            <w:r w:rsidRPr="004B6279">
              <w:rPr>
                <w:rFonts w:ascii="Times New Roman" w:eastAsia="Times New Roman" w:hAnsi="Times New Roman" w:cs="Times New Roman"/>
                <w:bCs/>
                <w:color w:val="000000"/>
                <w:sz w:val="24"/>
                <w:szCs w:val="24"/>
                <w:lang w:val="en-US"/>
              </w:rPr>
              <w:t>1.05 (0.83 - 1.33)</w:t>
            </w:r>
          </w:p>
        </w:tc>
        <w:tc>
          <w:tcPr>
            <w:tcW w:w="1427" w:type="dxa"/>
            <w:tcBorders>
              <w:bottom w:val="single" w:sz="4" w:space="0" w:color="auto"/>
            </w:tcBorders>
            <w:noWrap/>
            <w:hideMark/>
          </w:tcPr>
          <w:p w:rsidR="00FD56EF" w:rsidRPr="004B6279" w:rsidRDefault="00FD56EF" w:rsidP="00FD56E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B6279">
              <w:rPr>
                <w:rFonts w:ascii="Times New Roman" w:eastAsia="Times New Roman" w:hAnsi="Times New Roman" w:cs="Times New Roman"/>
                <w:color w:val="000000"/>
                <w:sz w:val="24"/>
                <w:szCs w:val="24"/>
                <w:lang w:val="en-US"/>
              </w:rPr>
              <w:t>1</w:t>
            </w:r>
            <w:r>
              <w:rPr>
                <w:rFonts w:ascii="Times New Roman" w:eastAsia="Times New Roman" w:hAnsi="Times New Roman" w:cs="Times New Roman"/>
                <w:color w:val="000000"/>
                <w:sz w:val="24"/>
                <w:szCs w:val="24"/>
                <w:lang w:val="en-US"/>
              </w:rPr>
              <w:t>.00</w:t>
            </w:r>
          </w:p>
        </w:tc>
        <w:tc>
          <w:tcPr>
            <w:tcW w:w="1160" w:type="dxa"/>
            <w:tcBorders>
              <w:bottom w:val="single" w:sz="4" w:space="0" w:color="auto"/>
              <w:right w:val="single" w:sz="4" w:space="0" w:color="auto"/>
            </w:tcBorders>
            <w:noWrap/>
            <w:hideMark/>
          </w:tcPr>
          <w:p w:rsidR="00FD56EF" w:rsidRPr="004B6279" w:rsidRDefault="00FD56EF" w:rsidP="00FD56E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B6279">
              <w:rPr>
                <w:rFonts w:ascii="Times New Roman" w:eastAsia="Times New Roman" w:hAnsi="Times New Roman" w:cs="Times New Roman"/>
                <w:color w:val="000000"/>
                <w:sz w:val="24"/>
                <w:szCs w:val="24"/>
                <w:lang w:val="en-US"/>
              </w:rPr>
              <w:t>0.0617</w:t>
            </w:r>
          </w:p>
        </w:tc>
      </w:tr>
      <w:tr w:rsidR="00FD56EF" w:rsidRPr="004B6279" w:rsidTr="00FD56EF">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left w:val="single" w:sz="4" w:space="0" w:color="auto"/>
            </w:tcBorders>
            <w:noWrap/>
            <w:hideMark/>
          </w:tcPr>
          <w:p w:rsidR="00FD56EF" w:rsidRPr="004B6279" w:rsidRDefault="00FD56EF" w:rsidP="00FD56EF">
            <w:pPr>
              <w:spacing w:line="360" w:lineRule="auto"/>
              <w:jc w:val="left"/>
              <w:rPr>
                <w:rFonts w:ascii="Times New Roman" w:eastAsia="Times New Roman" w:hAnsi="Times New Roman" w:cs="Times New Roman"/>
                <w:color w:val="000000"/>
                <w:sz w:val="24"/>
                <w:szCs w:val="24"/>
                <w:lang w:val="en-US"/>
              </w:rPr>
            </w:pPr>
            <w:r w:rsidRPr="004B6279">
              <w:rPr>
                <w:rFonts w:ascii="Times New Roman" w:eastAsia="Times New Roman" w:hAnsi="Times New Roman" w:cs="Times New Roman"/>
                <w:color w:val="000000"/>
                <w:sz w:val="24"/>
                <w:szCs w:val="24"/>
                <w:lang w:val="en-US"/>
              </w:rPr>
              <w:t>OH-2</w:t>
            </w:r>
            <w:r>
              <w:rPr>
                <w:rFonts w:ascii="Times New Roman" w:eastAsia="Times New Roman" w:hAnsi="Times New Roman" w:cs="Times New Roman"/>
                <w:color w:val="000000"/>
                <w:sz w:val="24"/>
                <w:szCs w:val="24"/>
                <w:lang w:val="en-US"/>
              </w:rPr>
              <w:t>, n (%)</w:t>
            </w:r>
          </w:p>
        </w:tc>
        <w:tc>
          <w:tcPr>
            <w:tcW w:w="890" w:type="dxa"/>
            <w:tcBorders>
              <w:top w:val="single" w:sz="4" w:space="0" w:color="auto"/>
            </w:tcBorders>
            <w:noWrap/>
            <w:hideMark/>
          </w:tcPr>
          <w:p w:rsidR="00FD56EF" w:rsidRPr="004B6279" w:rsidRDefault="00FD56EF" w:rsidP="00FD56E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p>
        </w:tc>
        <w:tc>
          <w:tcPr>
            <w:tcW w:w="1993" w:type="dxa"/>
            <w:tcBorders>
              <w:top w:val="single" w:sz="4" w:space="0" w:color="auto"/>
            </w:tcBorders>
            <w:noWrap/>
            <w:hideMark/>
          </w:tcPr>
          <w:p w:rsidR="00FD56EF" w:rsidRPr="004B6279" w:rsidRDefault="00FD56EF" w:rsidP="00FD56E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B6279">
              <w:rPr>
                <w:rFonts w:ascii="Times New Roman" w:eastAsia="Times New Roman" w:hAnsi="Times New Roman" w:cs="Times New Roman"/>
                <w:color w:val="000000"/>
                <w:sz w:val="24"/>
                <w:szCs w:val="24"/>
                <w:lang w:val="en-US"/>
              </w:rPr>
              <w:t>23 (6.34)</w:t>
            </w:r>
          </w:p>
        </w:tc>
        <w:tc>
          <w:tcPr>
            <w:tcW w:w="1900" w:type="dxa"/>
            <w:tcBorders>
              <w:top w:val="single" w:sz="4" w:space="0" w:color="auto"/>
            </w:tcBorders>
            <w:noWrap/>
            <w:hideMark/>
          </w:tcPr>
          <w:p w:rsidR="00FD56EF" w:rsidRPr="004B6279" w:rsidRDefault="00FD56EF" w:rsidP="00FD56E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B6279">
              <w:rPr>
                <w:rFonts w:ascii="Times New Roman" w:eastAsia="Times New Roman" w:hAnsi="Times New Roman" w:cs="Times New Roman"/>
                <w:color w:val="000000"/>
                <w:sz w:val="24"/>
                <w:szCs w:val="24"/>
                <w:lang w:val="en-US"/>
              </w:rPr>
              <w:t>104 (6.78)</w:t>
            </w:r>
          </w:p>
        </w:tc>
        <w:tc>
          <w:tcPr>
            <w:tcW w:w="1427" w:type="dxa"/>
            <w:tcBorders>
              <w:top w:val="single" w:sz="4" w:space="0" w:color="auto"/>
            </w:tcBorders>
            <w:noWrap/>
            <w:hideMark/>
          </w:tcPr>
          <w:p w:rsidR="00FD56EF" w:rsidRPr="004B6279" w:rsidRDefault="00FD56EF" w:rsidP="00FD56E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B6279">
              <w:rPr>
                <w:rFonts w:ascii="Times New Roman" w:eastAsia="Times New Roman" w:hAnsi="Times New Roman" w:cs="Times New Roman"/>
                <w:color w:val="000000"/>
                <w:sz w:val="24"/>
                <w:szCs w:val="24"/>
                <w:lang w:val="en-US"/>
              </w:rPr>
              <w:t>117 (6.79)</w:t>
            </w:r>
          </w:p>
        </w:tc>
        <w:tc>
          <w:tcPr>
            <w:tcW w:w="1160" w:type="dxa"/>
            <w:tcBorders>
              <w:top w:val="single" w:sz="4" w:space="0" w:color="auto"/>
              <w:right w:val="single" w:sz="4" w:space="0" w:color="auto"/>
            </w:tcBorders>
            <w:noWrap/>
            <w:hideMark/>
          </w:tcPr>
          <w:p w:rsidR="00FD56EF" w:rsidRPr="004B6279" w:rsidRDefault="00FD56EF" w:rsidP="00FD56E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p>
        </w:tc>
      </w:tr>
      <w:tr w:rsidR="00FD56EF" w:rsidRPr="004B6279" w:rsidTr="00FD56EF">
        <w:trPr>
          <w:trHeight w:val="171"/>
        </w:trPr>
        <w:tc>
          <w:tcPr>
            <w:cnfStyle w:val="001000000000" w:firstRow="0" w:lastRow="0" w:firstColumn="1" w:lastColumn="0" w:oddVBand="0" w:evenVBand="0" w:oddHBand="0" w:evenHBand="0" w:firstRowFirstColumn="0" w:firstRowLastColumn="0" w:lastRowFirstColumn="0" w:lastRowLastColumn="0"/>
            <w:tcW w:w="1530" w:type="dxa"/>
            <w:tcBorders>
              <w:left w:val="single" w:sz="4" w:space="0" w:color="auto"/>
            </w:tcBorders>
            <w:noWrap/>
            <w:hideMark/>
          </w:tcPr>
          <w:p w:rsidR="00FD56EF" w:rsidRPr="004B6279" w:rsidRDefault="00FD56EF" w:rsidP="00FD56EF">
            <w:pPr>
              <w:spacing w:line="360" w:lineRule="auto"/>
              <w:jc w:val="left"/>
              <w:rPr>
                <w:rFonts w:ascii="Times New Roman" w:eastAsia="Times New Roman" w:hAnsi="Times New Roman" w:cs="Times New Roman"/>
                <w:color w:val="000000"/>
                <w:sz w:val="24"/>
                <w:szCs w:val="24"/>
                <w:lang w:val="en-US"/>
              </w:rPr>
            </w:pPr>
          </w:p>
        </w:tc>
        <w:tc>
          <w:tcPr>
            <w:tcW w:w="890" w:type="dxa"/>
            <w:noWrap/>
            <w:hideMark/>
          </w:tcPr>
          <w:p w:rsidR="00FD56EF" w:rsidRPr="004B6279" w:rsidRDefault="00FD56EF" w:rsidP="00FD56E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B6279">
              <w:rPr>
                <w:rFonts w:ascii="Times New Roman" w:eastAsia="Times New Roman" w:hAnsi="Times New Roman" w:cs="Times New Roman"/>
                <w:color w:val="000000"/>
                <w:sz w:val="24"/>
                <w:szCs w:val="24"/>
                <w:lang w:val="en-US"/>
              </w:rPr>
              <w:t>1</w:t>
            </w:r>
          </w:p>
        </w:tc>
        <w:tc>
          <w:tcPr>
            <w:tcW w:w="1993" w:type="dxa"/>
            <w:noWrap/>
            <w:hideMark/>
          </w:tcPr>
          <w:p w:rsidR="00FD56EF" w:rsidRPr="004B6279" w:rsidRDefault="00FD56EF" w:rsidP="00FD56E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val="en-US"/>
              </w:rPr>
            </w:pPr>
            <w:r w:rsidRPr="004B6279">
              <w:rPr>
                <w:rFonts w:ascii="Times New Roman" w:eastAsia="Times New Roman" w:hAnsi="Times New Roman" w:cs="Times New Roman"/>
                <w:bCs/>
                <w:color w:val="000000"/>
                <w:sz w:val="24"/>
                <w:szCs w:val="24"/>
                <w:lang w:val="en-US"/>
              </w:rPr>
              <w:t>1.03 (0.65 - 1.65)</w:t>
            </w:r>
          </w:p>
        </w:tc>
        <w:tc>
          <w:tcPr>
            <w:tcW w:w="1900" w:type="dxa"/>
            <w:noWrap/>
            <w:hideMark/>
          </w:tcPr>
          <w:p w:rsidR="00FD56EF" w:rsidRPr="004B6279" w:rsidRDefault="00FD56EF" w:rsidP="00FD56E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val="en-US"/>
              </w:rPr>
            </w:pPr>
            <w:r w:rsidRPr="004B6279">
              <w:rPr>
                <w:rFonts w:ascii="Times New Roman" w:eastAsia="Times New Roman" w:hAnsi="Times New Roman" w:cs="Times New Roman"/>
                <w:bCs/>
                <w:color w:val="000000"/>
                <w:sz w:val="24"/>
                <w:szCs w:val="24"/>
                <w:lang w:val="en-US"/>
              </w:rPr>
              <w:t>1.01 (0.77 - 1.33)</w:t>
            </w:r>
          </w:p>
        </w:tc>
        <w:tc>
          <w:tcPr>
            <w:tcW w:w="1427" w:type="dxa"/>
            <w:noWrap/>
            <w:hideMark/>
          </w:tcPr>
          <w:p w:rsidR="00FD56EF" w:rsidRPr="004B6279" w:rsidRDefault="00FD56EF" w:rsidP="00FD56E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B6279">
              <w:rPr>
                <w:rFonts w:ascii="Times New Roman" w:eastAsia="Times New Roman" w:hAnsi="Times New Roman" w:cs="Times New Roman"/>
                <w:color w:val="000000"/>
                <w:sz w:val="24"/>
                <w:szCs w:val="24"/>
                <w:lang w:val="en-US"/>
              </w:rPr>
              <w:t>1</w:t>
            </w:r>
            <w:r>
              <w:rPr>
                <w:rFonts w:ascii="Times New Roman" w:eastAsia="Times New Roman" w:hAnsi="Times New Roman" w:cs="Times New Roman"/>
                <w:color w:val="000000"/>
                <w:sz w:val="24"/>
                <w:szCs w:val="24"/>
                <w:lang w:val="en-US"/>
              </w:rPr>
              <w:t>.00</w:t>
            </w:r>
          </w:p>
        </w:tc>
        <w:tc>
          <w:tcPr>
            <w:tcW w:w="1160" w:type="dxa"/>
            <w:tcBorders>
              <w:right w:val="single" w:sz="4" w:space="0" w:color="auto"/>
            </w:tcBorders>
            <w:noWrap/>
            <w:hideMark/>
          </w:tcPr>
          <w:p w:rsidR="00FD56EF" w:rsidRPr="004B6279" w:rsidRDefault="00FD56EF" w:rsidP="00FD56E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B6279">
              <w:rPr>
                <w:rFonts w:ascii="Times New Roman" w:eastAsia="Times New Roman" w:hAnsi="Times New Roman" w:cs="Times New Roman"/>
                <w:color w:val="000000"/>
                <w:sz w:val="24"/>
                <w:szCs w:val="24"/>
                <w:lang w:val="en-US"/>
              </w:rPr>
              <w:t>0.8893</w:t>
            </w:r>
          </w:p>
        </w:tc>
      </w:tr>
      <w:tr w:rsidR="00FD56EF" w:rsidRPr="004B6279" w:rsidTr="00FD56EF">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1530" w:type="dxa"/>
            <w:tcBorders>
              <w:left w:val="single" w:sz="4" w:space="0" w:color="auto"/>
            </w:tcBorders>
            <w:noWrap/>
            <w:hideMark/>
          </w:tcPr>
          <w:p w:rsidR="00FD56EF" w:rsidRPr="004B6279" w:rsidRDefault="00FD56EF" w:rsidP="00FD56EF">
            <w:pPr>
              <w:spacing w:line="360" w:lineRule="auto"/>
              <w:jc w:val="left"/>
              <w:rPr>
                <w:rFonts w:ascii="Times New Roman" w:eastAsia="Times New Roman" w:hAnsi="Times New Roman" w:cs="Times New Roman"/>
                <w:color w:val="000000"/>
                <w:sz w:val="24"/>
                <w:szCs w:val="24"/>
                <w:lang w:val="en-US"/>
              </w:rPr>
            </w:pPr>
          </w:p>
        </w:tc>
        <w:tc>
          <w:tcPr>
            <w:tcW w:w="890" w:type="dxa"/>
            <w:noWrap/>
            <w:hideMark/>
          </w:tcPr>
          <w:p w:rsidR="00FD56EF" w:rsidRPr="004B6279" w:rsidRDefault="00FD56EF" w:rsidP="00FD56E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B6279">
              <w:rPr>
                <w:rFonts w:ascii="Times New Roman" w:eastAsia="Times New Roman" w:hAnsi="Times New Roman" w:cs="Times New Roman"/>
                <w:color w:val="000000"/>
                <w:sz w:val="24"/>
                <w:szCs w:val="24"/>
                <w:lang w:val="en-US"/>
              </w:rPr>
              <w:t>2</w:t>
            </w:r>
          </w:p>
        </w:tc>
        <w:tc>
          <w:tcPr>
            <w:tcW w:w="1993" w:type="dxa"/>
            <w:noWrap/>
            <w:hideMark/>
          </w:tcPr>
          <w:p w:rsidR="00FD56EF" w:rsidRPr="004B6279" w:rsidRDefault="00FD56EF" w:rsidP="00FD56E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val="en-US"/>
              </w:rPr>
            </w:pPr>
            <w:r w:rsidRPr="004B6279">
              <w:rPr>
                <w:rFonts w:ascii="Times New Roman" w:eastAsia="Times New Roman" w:hAnsi="Times New Roman" w:cs="Times New Roman"/>
                <w:bCs/>
                <w:color w:val="000000"/>
                <w:sz w:val="24"/>
                <w:szCs w:val="24"/>
                <w:lang w:val="en-US"/>
              </w:rPr>
              <w:t>0.94 (0.58 - 1.51)</w:t>
            </w:r>
          </w:p>
        </w:tc>
        <w:tc>
          <w:tcPr>
            <w:tcW w:w="1900" w:type="dxa"/>
            <w:noWrap/>
            <w:hideMark/>
          </w:tcPr>
          <w:p w:rsidR="00FD56EF" w:rsidRPr="004B6279" w:rsidRDefault="00FD56EF" w:rsidP="00FD56E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val="en-US"/>
              </w:rPr>
            </w:pPr>
            <w:r w:rsidRPr="004B6279">
              <w:rPr>
                <w:rFonts w:ascii="Times New Roman" w:eastAsia="Times New Roman" w:hAnsi="Times New Roman" w:cs="Times New Roman"/>
                <w:bCs/>
                <w:color w:val="000000"/>
                <w:sz w:val="24"/>
                <w:szCs w:val="24"/>
                <w:lang w:val="en-US"/>
              </w:rPr>
              <w:t>0.95 (0.71 - 1.26)</w:t>
            </w:r>
          </w:p>
        </w:tc>
        <w:tc>
          <w:tcPr>
            <w:tcW w:w="1427" w:type="dxa"/>
            <w:noWrap/>
            <w:hideMark/>
          </w:tcPr>
          <w:p w:rsidR="00FD56EF" w:rsidRPr="004B6279" w:rsidRDefault="00FD56EF" w:rsidP="00FD56E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B6279">
              <w:rPr>
                <w:rFonts w:ascii="Times New Roman" w:eastAsia="Times New Roman" w:hAnsi="Times New Roman" w:cs="Times New Roman"/>
                <w:color w:val="000000"/>
                <w:sz w:val="24"/>
                <w:szCs w:val="24"/>
                <w:lang w:val="en-US"/>
              </w:rPr>
              <w:t>1</w:t>
            </w:r>
            <w:r>
              <w:rPr>
                <w:rFonts w:ascii="Times New Roman" w:eastAsia="Times New Roman" w:hAnsi="Times New Roman" w:cs="Times New Roman"/>
                <w:color w:val="000000"/>
                <w:sz w:val="24"/>
                <w:szCs w:val="24"/>
                <w:lang w:val="en-US"/>
              </w:rPr>
              <w:t>.00</w:t>
            </w:r>
          </w:p>
        </w:tc>
        <w:tc>
          <w:tcPr>
            <w:tcW w:w="1160" w:type="dxa"/>
            <w:tcBorders>
              <w:right w:val="single" w:sz="4" w:space="0" w:color="auto"/>
            </w:tcBorders>
            <w:noWrap/>
            <w:hideMark/>
          </w:tcPr>
          <w:p w:rsidR="00FD56EF" w:rsidRPr="004B6279" w:rsidRDefault="00FD56EF" w:rsidP="00FD56E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B6279">
              <w:rPr>
                <w:rFonts w:ascii="Times New Roman" w:eastAsia="Times New Roman" w:hAnsi="Times New Roman" w:cs="Times New Roman"/>
                <w:color w:val="000000"/>
                <w:sz w:val="24"/>
                <w:szCs w:val="24"/>
                <w:lang w:val="en-US"/>
              </w:rPr>
              <w:t>0.699</w:t>
            </w:r>
            <w:r>
              <w:rPr>
                <w:rFonts w:ascii="Times New Roman" w:eastAsia="Times New Roman" w:hAnsi="Times New Roman" w:cs="Times New Roman"/>
                <w:color w:val="000000"/>
                <w:sz w:val="24"/>
                <w:szCs w:val="24"/>
                <w:lang w:val="en-US"/>
              </w:rPr>
              <w:t>0</w:t>
            </w:r>
          </w:p>
        </w:tc>
      </w:tr>
      <w:tr w:rsidR="00FD56EF" w:rsidRPr="004B6279" w:rsidTr="00FD56EF">
        <w:trPr>
          <w:trHeight w:val="243"/>
        </w:trPr>
        <w:tc>
          <w:tcPr>
            <w:cnfStyle w:val="001000000000" w:firstRow="0" w:lastRow="0" w:firstColumn="1" w:lastColumn="0" w:oddVBand="0" w:evenVBand="0" w:oddHBand="0" w:evenHBand="0" w:firstRowFirstColumn="0" w:firstRowLastColumn="0" w:lastRowFirstColumn="0" w:lastRowLastColumn="0"/>
            <w:tcW w:w="1530" w:type="dxa"/>
            <w:tcBorders>
              <w:left w:val="single" w:sz="4" w:space="0" w:color="auto"/>
            </w:tcBorders>
            <w:noWrap/>
            <w:hideMark/>
          </w:tcPr>
          <w:p w:rsidR="00FD56EF" w:rsidRPr="004B6279" w:rsidRDefault="00FD56EF" w:rsidP="00FD56EF">
            <w:pPr>
              <w:spacing w:line="360" w:lineRule="auto"/>
              <w:jc w:val="left"/>
              <w:rPr>
                <w:rFonts w:ascii="Times New Roman" w:eastAsia="Times New Roman" w:hAnsi="Times New Roman" w:cs="Times New Roman"/>
                <w:color w:val="000000"/>
                <w:sz w:val="24"/>
                <w:szCs w:val="24"/>
                <w:lang w:val="en-US"/>
              </w:rPr>
            </w:pPr>
          </w:p>
        </w:tc>
        <w:tc>
          <w:tcPr>
            <w:tcW w:w="890" w:type="dxa"/>
            <w:noWrap/>
            <w:hideMark/>
          </w:tcPr>
          <w:p w:rsidR="00FD56EF" w:rsidRPr="004B6279" w:rsidRDefault="00FD56EF" w:rsidP="00FD56E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B6279">
              <w:rPr>
                <w:rFonts w:ascii="Times New Roman" w:eastAsia="Times New Roman" w:hAnsi="Times New Roman" w:cs="Times New Roman"/>
                <w:color w:val="000000"/>
                <w:sz w:val="24"/>
                <w:szCs w:val="24"/>
                <w:lang w:val="en-US"/>
              </w:rPr>
              <w:t>3</w:t>
            </w:r>
          </w:p>
        </w:tc>
        <w:tc>
          <w:tcPr>
            <w:tcW w:w="1993" w:type="dxa"/>
            <w:noWrap/>
            <w:hideMark/>
          </w:tcPr>
          <w:p w:rsidR="00FD56EF" w:rsidRPr="004B6279" w:rsidRDefault="00FD56EF" w:rsidP="00FD56E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val="en-US"/>
              </w:rPr>
            </w:pPr>
            <w:r w:rsidRPr="004B6279">
              <w:rPr>
                <w:rFonts w:ascii="Times New Roman" w:eastAsia="Times New Roman" w:hAnsi="Times New Roman" w:cs="Times New Roman"/>
                <w:bCs/>
                <w:color w:val="000000"/>
                <w:sz w:val="24"/>
                <w:szCs w:val="24"/>
                <w:lang w:val="en-US"/>
              </w:rPr>
              <w:t>0.86 (0.52 - 1.43)</w:t>
            </w:r>
          </w:p>
        </w:tc>
        <w:tc>
          <w:tcPr>
            <w:tcW w:w="1900" w:type="dxa"/>
            <w:noWrap/>
            <w:hideMark/>
          </w:tcPr>
          <w:p w:rsidR="00FD56EF" w:rsidRPr="004B6279" w:rsidRDefault="00FD56EF" w:rsidP="00FD56E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val="en-US"/>
              </w:rPr>
            </w:pPr>
            <w:r w:rsidRPr="004B6279">
              <w:rPr>
                <w:rFonts w:ascii="Times New Roman" w:eastAsia="Times New Roman" w:hAnsi="Times New Roman" w:cs="Times New Roman"/>
                <w:bCs/>
                <w:color w:val="000000"/>
                <w:sz w:val="24"/>
                <w:szCs w:val="24"/>
                <w:lang w:val="en-US"/>
              </w:rPr>
              <w:t>0.89 (0.66 - 1.2</w:t>
            </w:r>
            <w:r>
              <w:rPr>
                <w:rFonts w:ascii="Times New Roman" w:eastAsia="Times New Roman" w:hAnsi="Times New Roman" w:cs="Times New Roman"/>
                <w:bCs/>
                <w:color w:val="000000"/>
                <w:sz w:val="24"/>
                <w:szCs w:val="24"/>
                <w:lang w:val="en-US"/>
              </w:rPr>
              <w:t>0</w:t>
            </w:r>
            <w:r w:rsidRPr="004B6279">
              <w:rPr>
                <w:rFonts w:ascii="Times New Roman" w:eastAsia="Times New Roman" w:hAnsi="Times New Roman" w:cs="Times New Roman"/>
                <w:bCs/>
                <w:color w:val="000000"/>
                <w:sz w:val="24"/>
                <w:szCs w:val="24"/>
                <w:lang w:val="en-US"/>
              </w:rPr>
              <w:t>)</w:t>
            </w:r>
          </w:p>
        </w:tc>
        <w:tc>
          <w:tcPr>
            <w:tcW w:w="1427" w:type="dxa"/>
            <w:noWrap/>
            <w:hideMark/>
          </w:tcPr>
          <w:p w:rsidR="00FD56EF" w:rsidRPr="004B6279" w:rsidRDefault="00FD56EF" w:rsidP="00FD56E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B6279">
              <w:rPr>
                <w:rFonts w:ascii="Times New Roman" w:eastAsia="Times New Roman" w:hAnsi="Times New Roman" w:cs="Times New Roman"/>
                <w:color w:val="000000"/>
                <w:sz w:val="24"/>
                <w:szCs w:val="24"/>
                <w:lang w:val="en-US"/>
              </w:rPr>
              <w:t>1</w:t>
            </w:r>
            <w:r>
              <w:rPr>
                <w:rFonts w:ascii="Times New Roman" w:eastAsia="Times New Roman" w:hAnsi="Times New Roman" w:cs="Times New Roman"/>
                <w:color w:val="000000"/>
                <w:sz w:val="24"/>
                <w:szCs w:val="24"/>
                <w:lang w:val="en-US"/>
              </w:rPr>
              <w:t>.00</w:t>
            </w:r>
          </w:p>
        </w:tc>
        <w:tc>
          <w:tcPr>
            <w:tcW w:w="1160" w:type="dxa"/>
            <w:tcBorders>
              <w:right w:val="single" w:sz="4" w:space="0" w:color="auto"/>
            </w:tcBorders>
            <w:noWrap/>
            <w:hideMark/>
          </w:tcPr>
          <w:p w:rsidR="00FD56EF" w:rsidRPr="004B6279" w:rsidRDefault="00FD56EF" w:rsidP="00FD56E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B6279">
              <w:rPr>
                <w:rFonts w:ascii="Times New Roman" w:eastAsia="Times New Roman" w:hAnsi="Times New Roman" w:cs="Times New Roman"/>
                <w:color w:val="000000"/>
                <w:sz w:val="24"/>
                <w:szCs w:val="24"/>
                <w:lang w:val="en-US"/>
              </w:rPr>
              <w:t>0.4228</w:t>
            </w:r>
          </w:p>
        </w:tc>
      </w:tr>
      <w:tr w:rsidR="00FD56EF" w:rsidRPr="004B6279" w:rsidTr="00FD56EF">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530" w:type="dxa"/>
            <w:tcBorders>
              <w:left w:val="single" w:sz="4" w:space="0" w:color="auto"/>
              <w:bottom w:val="single" w:sz="4" w:space="0" w:color="auto"/>
            </w:tcBorders>
            <w:noWrap/>
            <w:hideMark/>
          </w:tcPr>
          <w:p w:rsidR="00FD56EF" w:rsidRPr="004B6279" w:rsidRDefault="00FD56EF" w:rsidP="00FD56EF">
            <w:pPr>
              <w:spacing w:line="360" w:lineRule="auto"/>
              <w:jc w:val="left"/>
              <w:rPr>
                <w:rFonts w:ascii="Times New Roman" w:eastAsia="Times New Roman" w:hAnsi="Times New Roman" w:cs="Times New Roman"/>
                <w:color w:val="000000"/>
                <w:sz w:val="24"/>
                <w:szCs w:val="24"/>
                <w:lang w:val="en-US"/>
              </w:rPr>
            </w:pPr>
          </w:p>
        </w:tc>
        <w:tc>
          <w:tcPr>
            <w:tcW w:w="890" w:type="dxa"/>
            <w:tcBorders>
              <w:bottom w:val="single" w:sz="4" w:space="0" w:color="auto"/>
            </w:tcBorders>
            <w:noWrap/>
            <w:hideMark/>
          </w:tcPr>
          <w:p w:rsidR="00FD56EF" w:rsidRPr="004B6279" w:rsidRDefault="00FD56EF" w:rsidP="00FD56E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B6279">
              <w:rPr>
                <w:rFonts w:ascii="Times New Roman" w:eastAsia="Times New Roman" w:hAnsi="Times New Roman" w:cs="Times New Roman"/>
                <w:color w:val="000000"/>
                <w:sz w:val="24"/>
                <w:szCs w:val="24"/>
                <w:lang w:val="en-US"/>
              </w:rPr>
              <w:t>4</w:t>
            </w:r>
          </w:p>
        </w:tc>
        <w:tc>
          <w:tcPr>
            <w:tcW w:w="1993" w:type="dxa"/>
            <w:tcBorders>
              <w:bottom w:val="single" w:sz="4" w:space="0" w:color="auto"/>
            </w:tcBorders>
            <w:noWrap/>
            <w:hideMark/>
          </w:tcPr>
          <w:p w:rsidR="00FD56EF" w:rsidRPr="004B6279" w:rsidRDefault="00FD56EF" w:rsidP="00FD56E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val="en-US"/>
              </w:rPr>
            </w:pPr>
            <w:r w:rsidRPr="004B6279">
              <w:rPr>
                <w:rFonts w:ascii="Times New Roman" w:eastAsia="Times New Roman" w:hAnsi="Times New Roman" w:cs="Times New Roman"/>
                <w:bCs/>
                <w:color w:val="000000"/>
                <w:sz w:val="24"/>
                <w:szCs w:val="24"/>
                <w:lang w:val="en-US"/>
              </w:rPr>
              <w:t>0.94 (0.56 - 1.59)</w:t>
            </w:r>
          </w:p>
        </w:tc>
        <w:tc>
          <w:tcPr>
            <w:tcW w:w="1900" w:type="dxa"/>
            <w:tcBorders>
              <w:bottom w:val="single" w:sz="4" w:space="0" w:color="auto"/>
            </w:tcBorders>
            <w:noWrap/>
            <w:hideMark/>
          </w:tcPr>
          <w:p w:rsidR="00FD56EF" w:rsidRPr="004B6279" w:rsidRDefault="00FD56EF" w:rsidP="00FD56E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val="en-US"/>
              </w:rPr>
            </w:pPr>
            <w:r w:rsidRPr="004B6279">
              <w:rPr>
                <w:rFonts w:ascii="Times New Roman" w:eastAsia="Times New Roman" w:hAnsi="Times New Roman" w:cs="Times New Roman"/>
                <w:bCs/>
                <w:color w:val="000000"/>
                <w:sz w:val="24"/>
                <w:szCs w:val="24"/>
                <w:lang w:val="en-US"/>
              </w:rPr>
              <w:t>0.91 (0.67 - 1.23)</w:t>
            </w:r>
          </w:p>
        </w:tc>
        <w:tc>
          <w:tcPr>
            <w:tcW w:w="1427" w:type="dxa"/>
            <w:tcBorders>
              <w:bottom w:val="single" w:sz="4" w:space="0" w:color="auto"/>
            </w:tcBorders>
            <w:noWrap/>
            <w:hideMark/>
          </w:tcPr>
          <w:p w:rsidR="00FD56EF" w:rsidRPr="004B6279" w:rsidRDefault="00FD56EF" w:rsidP="00FD56E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B6279">
              <w:rPr>
                <w:rFonts w:ascii="Times New Roman" w:eastAsia="Times New Roman" w:hAnsi="Times New Roman" w:cs="Times New Roman"/>
                <w:color w:val="000000"/>
                <w:sz w:val="24"/>
                <w:szCs w:val="24"/>
                <w:lang w:val="en-US"/>
              </w:rPr>
              <w:t>1</w:t>
            </w:r>
            <w:r>
              <w:rPr>
                <w:rFonts w:ascii="Times New Roman" w:eastAsia="Times New Roman" w:hAnsi="Times New Roman" w:cs="Times New Roman"/>
                <w:color w:val="000000"/>
                <w:sz w:val="24"/>
                <w:szCs w:val="24"/>
                <w:lang w:val="en-US"/>
              </w:rPr>
              <w:t>.00</w:t>
            </w:r>
          </w:p>
        </w:tc>
        <w:tc>
          <w:tcPr>
            <w:tcW w:w="1160" w:type="dxa"/>
            <w:tcBorders>
              <w:bottom w:val="single" w:sz="4" w:space="0" w:color="auto"/>
              <w:right w:val="single" w:sz="4" w:space="0" w:color="auto"/>
            </w:tcBorders>
            <w:noWrap/>
            <w:hideMark/>
          </w:tcPr>
          <w:p w:rsidR="00FD56EF" w:rsidRPr="004B6279" w:rsidRDefault="00FD56EF" w:rsidP="00FD56E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B6279">
              <w:rPr>
                <w:rFonts w:ascii="Times New Roman" w:eastAsia="Times New Roman" w:hAnsi="Times New Roman" w:cs="Times New Roman"/>
                <w:color w:val="000000"/>
                <w:sz w:val="24"/>
                <w:szCs w:val="24"/>
                <w:lang w:val="en-US"/>
              </w:rPr>
              <w:t>0.6221</w:t>
            </w:r>
          </w:p>
        </w:tc>
      </w:tr>
    </w:tbl>
    <w:p w:rsidR="00FD56EF" w:rsidRDefault="00FD56EF" w:rsidP="00FD56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 xml:space="preserve">Model 1: unadjusted. Model 2: age and season adjusted. Model 3 = Model 2 plus BMI, heart rate, mean sitting systolic BP, total cholesterol, smoking, alcohol consumption, physical activity, social class, vitamin D supplementation, prevalent stroke, MI, AF, diabetes, anti-hypertensive medication use, CKD and COPD. Model 4 = Model 3 plus physical disability, PTH and IL-6. “OH-C” is consensus OH; “OH-1” is OH occurring within one minute of standing; “OH-2” is OH occurring after one minute of standing. </w:t>
      </w:r>
      <w:r w:rsidR="00D32C7B">
        <w:rPr>
          <w:rFonts w:ascii="Times New Roman" w:hAnsi="Times New Roman" w:cs="Times New Roman"/>
          <w:sz w:val="24"/>
          <w:szCs w:val="24"/>
        </w:rPr>
        <w:t>The given p-value is the p for trend.</w:t>
      </w:r>
      <w:r>
        <w:rPr>
          <w:rFonts w:ascii="Times New Roman" w:hAnsi="Times New Roman" w:cs="Times New Roman"/>
          <w:sz w:val="24"/>
          <w:szCs w:val="24"/>
        </w:rPr>
        <w:br/>
      </w:r>
    </w:p>
    <w:p w:rsidR="00FD56EF" w:rsidRDefault="00FD56EF" w:rsidP="00FD56EF">
      <w:pPr>
        <w:autoSpaceDE w:val="0"/>
        <w:autoSpaceDN w:val="0"/>
        <w:adjustRightInd w:val="0"/>
        <w:spacing w:after="0" w:line="240" w:lineRule="auto"/>
        <w:rPr>
          <w:rFonts w:ascii="Times New Roman" w:hAnsi="Times New Roman" w:cs="Times New Roman"/>
          <w:sz w:val="24"/>
          <w:szCs w:val="24"/>
        </w:rPr>
      </w:pPr>
    </w:p>
    <w:p w:rsidR="00FD56EF" w:rsidRDefault="00FD56EF" w:rsidP="00FD56EF">
      <w:pPr>
        <w:autoSpaceDE w:val="0"/>
        <w:autoSpaceDN w:val="0"/>
        <w:adjustRightInd w:val="0"/>
        <w:spacing w:after="0" w:line="240" w:lineRule="auto"/>
        <w:rPr>
          <w:rFonts w:ascii="Times New Roman" w:hAnsi="Times New Roman" w:cs="Times New Roman"/>
          <w:sz w:val="24"/>
          <w:szCs w:val="24"/>
        </w:rPr>
      </w:pPr>
    </w:p>
    <w:p w:rsidR="00FD56EF" w:rsidRDefault="00FD56EF" w:rsidP="00FD56EF">
      <w:pPr>
        <w:rPr>
          <w:rFonts w:ascii="Times New Roman" w:hAnsi="Times New Roman" w:cs="Times New Roman"/>
          <w:sz w:val="24"/>
          <w:szCs w:val="24"/>
        </w:rPr>
      </w:pPr>
    </w:p>
    <w:p w:rsidR="00FD56EF" w:rsidRDefault="00FD56EF" w:rsidP="00FD56EF">
      <w:pPr>
        <w:rPr>
          <w:rFonts w:ascii="Times New Roman" w:hAnsi="Times New Roman" w:cs="Times New Roman"/>
          <w:sz w:val="24"/>
          <w:szCs w:val="24"/>
        </w:rPr>
      </w:pPr>
    </w:p>
    <w:p w:rsidR="00FD56EF" w:rsidRDefault="00FD56EF" w:rsidP="00FD56EF">
      <w:pPr>
        <w:rPr>
          <w:rFonts w:ascii="Times New Roman" w:hAnsi="Times New Roman" w:cs="Times New Roman"/>
          <w:sz w:val="24"/>
          <w:szCs w:val="24"/>
        </w:rPr>
      </w:pPr>
    </w:p>
    <w:p w:rsidR="00FD56EF" w:rsidRDefault="00FD56EF" w:rsidP="00FD56EF">
      <w:pPr>
        <w:rPr>
          <w:rFonts w:ascii="Times New Roman" w:hAnsi="Times New Roman" w:cs="Times New Roman"/>
          <w:sz w:val="24"/>
          <w:szCs w:val="24"/>
        </w:rPr>
      </w:pPr>
    </w:p>
    <w:p w:rsidR="00527418" w:rsidRDefault="00527418" w:rsidP="00527418">
      <w:pPr>
        <w:pStyle w:val="Caption"/>
        <w:keepNext/>
        <w:rPr>
          <w:rFonts w:ascii="Times New Roman" w:hAnsi="Times New Roman" w:cs="Times New Roman"/>
          <w:color w:val="auto"/>
          <w:sz w:val="20"/>
          <w:szCs w:val="20"/>
        </w:rPr>
      </w:pPr>
      <w:r>
        <w:rPr>
          <w:rFonts w:ascii="Times New Roman" w:hAnsi="Times New Roman" w:cs="Times New Roman"/>
          <w:color w:val="auto"/>
          <w:sz w:val="20"/>
          <w:szCs w:val="20"/>
        </w:rPr>
        <w:lastRenderedPageBreak/>
        <w:t>Table 3:</w:t>
      </w:r>
      <w:r w:rsidRPr="00E073A8">
        <w:rPr>
          <w:rFonts w:ascii="Times New Roman" w:hAnsi="Times New Roman" w:cs="Times New Roman"/>
          <w:color w:val="auto"/>
          <w:sz w:val="20"/>
          <w:szCs w:val="20"/>
        </w:rPr>
        <w:t xml:space="preserve"> Odds of</w:t>
      </w:r>
      <w:r w:rsidR="0018368C">
        <w:rPr>
          <w:rFonts w:ascii="Times New Roman" w:hAnsi="Times New Roman" w:cs="Times New Roman"/>
          <w:color w:val="auto"/>
          <w:sz w:val="20"/>
          <w:szCs w:val="20"/>
        </w:rPr>
        <w:t xml:space="preserve"> prevalent</w:t>
      </w:r>
      <w:r w:rsidRPr="00E073A8">
        <w:rPr>
          <w:rFonts w:ascii="Times New Roman" w:hAnsi="Times New Roman" w:cs="Times New Roman"/>
          <w:color w:val="auto"/>
          <w:sz w:val="20"/>
          <w:szCs w:val="20"/>
        </w:rPr>
        <w:t xml:space="preserve"> OH between quintiles of PTH level</w:t>
      </w:r>
    </w:p>
    <w:tbl>
      <w:tblPr>
        <w:tblStyle w:val="PlainTable5"/>
        <w:tblW w:w="5568" w:type="pct"/>
        <w:tblInd w:w="-630" w:type="dxa"/>
        <w:tblLook w:val="04A0" w:firstRow="1" w:lastRow="0" w:firstColumn="1" w:lastColumn="0" w:noHBand="0" w:noVBand="1"/>
      </w:tblPr>
      <w:tblGrid>
        <w:gridCol w:w="1255"/>
        <w:gridCol w:w="739"/>
        <w:gridCol w:w="1136"/>
        <w:gridCol w:w="1616"/>
        <w:gridCol w:w="1616"/>
        <w:gridCol w:w="1618"/>
        <w:gridCol w:w="1616"/>
        <w:gridCol w:w="816"/>
      </w:tblGrid>
      <w:tr w:rsidR="00527418" w:rsidRPr="00F9524A" w:rsidTr="003663B4">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603" w:type="pct"/>
            <w:tcBorders>
              <w:top w:val="single" w:sz="4" w:space="0" w:color="auto"/>
              <w:left w:val="single" w:sz="4" w:space="0" w:color="auto"/>
              <w:bottom w:val="single" w:sz="4" w:space="0" w:color="auto"/>
            </w:tcBorders>
            <w:noWrap/>
            <w:hideMark/>
          </w:tcPr>
          <w:p w:rsidR="00527418" w:rsidRPr="00F9524A" w:rsidRDefault="00527418" w:rsidP="003663B4">
            <w:pPr>
              <w:spacing w:line="360" w:lineRule="auto"/>
              <w:jc w:val="left"/>
              <w:rPr>
                <w:rFonts w:ascii="Times New Roman" w:eastAsia="Times New Roman" w:hAnsi="Times New Roman" w:cs="Times New Roman"/>
                <w:sz w:val="20"/>
                <w:szCs w:val="20"/>
              </w:rPr>
            </w:pPr>
          </w:p>
        </w:tc>
        <w:tc>
          <w:tcPr>
            <w:tcW w:w="355" w:type="pct"/>
            <w:tcBorders>
              <w:top w:val="single" w:sz="4" w:space="0" w:color="auto"/>
              <w:bottom w:val="single" w:sz="4" w:space="0" w:color="auto"/>
            </w:tcBorders>
            <w:noWrap/>
            <w:hideMark/>
          </w:tcPr>
          <w:p w:rsidR="00527418" w:rsidRPr="00F9524A" w:rsidRDefault="00527418" w:rsidP="003663B4">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9524A">
              <w:rPr>
                <w:rFonts w:ascii="Times New Roman" w:eastAsia="Times New Roman" w:hAnsi="Times New Roman" w:cs="Times New Roman"/>
                <w:color w:val="000000"/>
                <w:sz w:val="20"/>
                <w:szCs w:val="20"/>
              </w:rPr>
              <w:t> </w:t>
            </w:r>
          </w:p>
        </w:tc>
        <w:tc>
          <w:tcPr>
            <w:tcW w:w="2875" w:type="pct"/>
            <w:gridSpan w:val="4"/>
            <w:tcBorders>
              <w:top w:val="single" w:sz="4" w:space="0" w:color="auto"/>
              <w:bottom w:val="single" w:sz="4" w:space="0" w:color="auto"/>
            </w:tcBorders>
            <w:hideMark/>
          </w:tcPr>
          <w:p w:rsidR="00527418" w:rsidRPr="00F9524A" w:rsidRDefault="00527418" w:rsidP="003663B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rPr>
            </w:pPr>
            <w:r w:rsidRPr="00F9524A">
              <w:rPr>
                <w:rFonts w:ascii="Times New Roman" w:eastAsia="Times New Roman" w:hAnsi="Times New Roman" w:cs="Times New Roman"/>
                <w:b/>
                <w:bCs/>
                <w:color w:val="000000"/>
                <w:sz w:val="20"/>
                <w:szCs w:val="20"/>
              </w:rPr>
              <w:t>PTH Quintile (</w:t>
            </w:r>
            <w:proofErr w:type="spellStart"/>
            <w:r w:rsidRPr="00F9524A">
              <w:rPr>
                <w:rFonts w:ascii="Times New Roman" w:eastAsia="Times New Roman" w:hAnsi="Times New Roman" w:cs="Times New Roman"/>
                <w:b/>
                <w:bCs/>
                <w:color w:val="000000"/>
                <w:sz w:val="20"/>
                <w:szCs w:val="20"/>
              </w:rPr>
              <w:t>pg</w:t>
            </w:r>
            <w:proofErr w:type="spellEnd"/>
            <w:r w:rsidRPr="00F9524A">
              <w:rPr>
                <w:rFonts w:ascii="Times New Roman" w:eastAsia="Times New Roman" w:hAnsi="Times New Roman" w:cs="Times New Roman"/>
                <w:b/>
                <w:bCs/>
                <w:color w:val="000000"/>
                <w:sz w:val="20"/>
                <w:szCs w:val="20"/>
              </w:rPr>
              <w:t>/mL)</w:t>
            </w:r>
          </w:p>
        </w:tc>
        <w:tc>
          <w:tcPr>
            <w:tcW w:w="776" w:type="pct"/>
            <w:tcBorders>
              <w:top w:val="single" w:sz="4" w:space="0" w:color="auto"/>
              <w:bottom w:val="single" w:sz="4" w:space="0" w:color="auto"/>
            </w:tcBorders>
            <w:hideMark/>
          </w:tcPr>
          <w:p w:rsidR="00527418" w:rsidRPr="00F9524A" w:rsidRDefault="00527418" w:rsidP="003663B4">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rPr>
            </w:pPr>
            <w:r w:rsidRPr="00F9524A">
              <w:rPr>
                <w:rFonts w:ascii="Times New Roman" w:eastAsia="Times New Roman" w:hAnsi="Times New Roman" w:cs="Times New Roman"/>
                <w:b/>
                <w:bCs/>
                <w:color w:val="000000"/>
                <w:sz w:val="20"/>
                <w:szCs w:val="20"/>
              </w:rPr>
              <w:t> </w:t>
            </w:r>
          </w:p>
        </w:tc>
        <w:tc>
          <w:tcPr>
            <w:tcW w:w="392" w:type="pct"/>
            <w:tcBorders>
              <w:top w:val="single" w:sz="4" w:space="0" w:color="auto"/>
              <w:bottom w:val="single" w:sz="4" w:space="0" w:color="auto"/>
              <w:right w:val="single" w:sz="4" w:space="0" w:color="auto"/>
            </w:tcBorders>
            <w:noWrap/>
            <w:hideMark/>
          </w:tcPr>
          <w:p w:rsidR="00527418" w:rsidRPr="00F9524A" w:rsidRDefault="00527418" w:rsidP="003663B4">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9524A">
              <w:rPr>
                <w:rFonts w:ascii="Times New Roman" w:eastAsia="Times New Roman" w:hAnsi="Times New Roman" w:cs="Times New Roman"/>
                <w:color w:val="000000"/>
                <w:sz w:val="20"/>
                <w:szCs w:val="20"/>
              </w:rPr>
              <w:t> </w:t>
            </w:r>
          </w:p>
        </w:tc>
      </w:tr>
      <w:tr w:rsidR="00527418" w:rsidRPr="00F9524A" w:rsidTr="003663B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03" w:type="pct"/>
            <w:tcBorders>
              <w:top w:val="single" w:sz="4" w:space="0" w:color="auto"/>
              <w:left w:val="single" w:sz="4" w:space="0" w:color="auto"/>
              <w:bottom w:val="single" w:sz="4" w:space="0" w:color="auto"/>
            </w:tcBorders>
            <w:noWrap/>
            <w:hideMark/>
          </w:tcPr>
          <w:p w:rsidR="00527418" w:rsidRPr="00F9524A" w:rsidRDefault="00527418" w:rsidP="003663B4">
            <w:pPr>
              <w:spacing w:line="360" w:lineRule="auto"/>
              <w:jc w:val="left"/>
              <w:rPr>
                <w:rFonts w:ascii="Times New Roman" w:eastAsia="Times New Roman" w:hAnsi="Times New Roman" w:cs="Times New Roman"/>
                <w:color w:val="000000"/>
                <w:sz w:val="20"/>
                <w:szCs w:val="20"/>
              </w:rPr>
            </w:pPr>
          </w:p>
        </w:tc>
        <w:tc>
          <w:tcPr>
            <w:tcW w:w="355" w:type="pct"/>
            <w:tcBorders>
              <w:top w:val="single" w:sz="4" w:space="0" w:color="auto"/>
              <w:bottom w:val="single" w:sz="4" w:space="0" w:color="auto"/>
            </w:tcBorders>
            <w:noWrap/>
            <w:hideMark/>
          </w:tcPr>
          <w:p w:rsidR="00527418" w:rsidRPr="00F9524A" w:rsidRDefault="00527418" w:rsidP="003663B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9524A">
              <w:rPr>
                <w:rFonts w:ascii="Times New Roman" w:eastAsia="Times New Roman" w:hAnsi="Times New Roman" w:cs="Times New Roman"/>
                <w:color w:val="000000"/>
                <w:sz w:val="20"/>
                <w:szCs w:val="20"/>
              </w:rPr>
              <w:t>Model</w:t>
            </w:r>
          </w:p>
        </w:tc>
        <w:tc>
          <w:tcPr>
            <w:tcW w:w="546" w:type="pct"/>
            <w:tcBorders>
              <w:top w:val="single" w:sz="4" w:space="0" w:color="auto"/>
              <w:bottom w:val="single" w:sz="4" w:space="0" w:color="auto"/>
            </w:tcBorders>
            <w:hideMark/>
          </w:tcPr>
          <w:p w:rsidR="00527418" w:rsidRPr="00F9524A" w:rsidRDefault="00527418" w:rsidP="003663B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rPr>
            </w:pPr>
            <w:r w:rsidRPr="00F9524A">
              <w:rPr>
                <w:rFonts w:ascii="Times New Roman" w:eastAsia="Times New Roman" w:hAnsi="Times New Roman" w:cs="Times New Roman"/>
                <w:b/>
                <w:bCs/>
                <w:color w:val="000000"/>
                <w:sz w:val="20"/>
                <w:szCs w:val="20"/>
              </w:rPr>
              <w:t xml:space="preserve">Q1: </w:t>
            </w:r>
            <w:r>
              <w:rPr>
                <w:rFonts w:ascii="Times New Roman" w:eastAsia="Times New Roman" w:hAnsi="Times New Roman" w:cs="Times New Roman"/>
                <w:b/>
                <w:bCs/>
                <w:color w:val="000000"/>
                <w:sz w:val="20"/>
                <w:szCs w:val="20"/>
              </w:rPr>
              <w:t>≤</w:t>
            </w:r>
            <w:r w:rsidRPr="00F9524A">
              <w:rPr>
                <w:rFonts w:ascii="Times New Roman" w:eastAsia="Times New Roman" w:hAnsi="Times New Roman" w:cs="Times New Roman"/>
                <w:b/>
                <w:bCs/>
                <w:color w:val="000000"/>
                <w:sz w:val="20"/>
                <w:szCs w:val="20"/>
              </w:rPr>
              <w:t>34.2 (n=727)</w:t>
            </w:r>
          </w:p>
        </w:tc>
        <w:tc>
          <w:tcPr>
            <w:tcW w:w="776" w:type="pct"/>
            <w:tcBorders>
              <w:top w:val="single" w:sz="4" w:space="0" w:color="auto"/>
              <w:bottom w:val="single" w:sz="4" w:space="0" w:color="auto"/>
            </w:tcBorders>
            <w:hideMark/>
          </w:tcPr>
          <w:p w:rsidR="00527418" w:rsidRDefault="00527418" w:rsidP="003663B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rPr>
            </w:pPr>
            <w:r w:rsidRPr="00F9524A">
              <w:rPr>
                <w:rFonts w:ascii="Times New Roman" w:eastAsia="Times New Roman" w:hAnsi="Times New Roman" w:cs="Times New Roman"/>
                <w:b/>
                <w:bCs/>
                <w:color w:val="000000"/>
                <w:sz w:val="20"/>
                <w:szCs w:val="20"/>
              </w:rPr>
              <w:t xml:space="preserve">Q2: </w:t>
            </w:r>
          </w:p>
          <w:p w:rsidR="00527418" w:rsidRPr="00F9524A" w:rsidRDefault="00527418" w:rsidP="003663B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&gt;34.2 - ≤</w:t>
            </w:r>
            <w:r w:rsidRPr="00F9524A">
              <w:rPr>
                <w:rFonts w:ascii="Times New Roman" w:eastAsia="Times New Roman" w:hAnsi="Times New Roman" w:cs="Times New Roman"/>
                <w:b/>
                <w:bCs/>
                <w:color w:val="000000"/>
                <w:sz w:val="20"/>
                <w:szCs w:val="20"/>
              </w:rPr>
              <w:t>41.2 (n=723)</w:t>
            </w:r>
          </w:p>
        </w:tc>
        <w:tc>
          <w:tcPr>
            <w:tcW w:w="776" w:type="pct"/>
            <w:tcBorders>
              <w:top w:val="single" w:sz="4" w:space="0" w:color="auto"/>
              <w:bottom w:val="single" w:sz="4" w:space="0" w:color="auto"/>
            </w:tcBorders>
            <w:hideMark/>
          </w:tcPr>
          <w:p w:rsidR="00527418" w:rsidRDefault="00527418" w:rsidP="003663B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rPr>
            </w:pPr>
            <w:r w:rsidRPr="00F9524A">
              <w:rPr>
                <w:rFonts w:ascii="Times New Roman" w:eastAsia="Times New Roman" w:hAnsi="Times New Roman" w:cs="Times New Roman"/>
                <w:b/>
                <w:bCs/>
                <w:color w:val="000000"/>
                <w:sz w:val="20"/>
                <w:szCs w:val="20"/>
              </w:rPr>
              <w:t xml:space="preserve">Q3: </w:t>
            </w:r>
          </w:p>
          <w:p w:rsidR="00527418" w:rsidRPr="00F9524A" w:rsidRDefault="00527418" w:rsidP="003663B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&gt;41.2 - ≤</w:t>
            </w:r>
            <w:r w:rsidRPr="00F9524A">
              <w:rPr>
                <w:rFonts w:ascii="Times New Roman" w:eastAsia="Times New Roman" w:hAnsi="Times New Roman" w:cs="Times New Roman"/>
                <w:b/>
                <w:bCs/>
                <w:color w:val="000000"/>
                <w:sz w:val="20"/>
                <w:szCs w:val="20"/>
              </w:rPr>
              <w:t>48.8 (n=721)</w:t>
            </w:r>
          </w:p>
        </w:tc>
        <w:tc>
          <w:tcPr>
            <w:tcW w:w="776" w:type="pct"/>
            <w:tcBorders>
              <w:top w:val="single" w:sz="4" w:space="0" w:color="auto"/>
              <w:bottom w:val="single" w:sz="4" w:space="0" w:color="auto"/>
            </w:tcBorders>
            <w:hideMark/>
          </w:tcPr>
          <w:p w:rsidR="00527418" w:rsidRDefault="00527418" w:rsidP="003663B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rPr>
            </w:pPr>
            <w:r w:rsidRPr="00F9524A">
              <w:rPr>
                <w:rFonts w:ascii="Times New Roman" w:eastAsia="Times New Roman" w:hAnsi="Times New Roman" w:cs="Times New Roman"/>
                <w:b/>
                <w:bCs/>
                <w:color w:val="000000"/>
                <w:sz w:val="20"/>
                <w:szCs w:val="20"/>
              </w:rPr>
              <w:t xml:space="preserve">Q4: </w:t>
            </w:r>
          </w:p>
          <w:p w:rsidR="00527418" w:rsidRPr="00F9524A" w:rsidRDefault="00527418" w:rsidP="003663B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&gt;48.8 - ≤</w:t>
            </w:r>
            <w:r w:rsidRPr="00F9524A">
              <w:rPr>
                <w:rFonts w:ascii="Times New Roman" w:eastAsia="Times New Roman" w:hAnsi="Times New Roman" w:cs="Times New Roman"/>
                <w:b/>
                <w:bCs/>
                <w:color w:val="000000"/>
                <w:sz w:val="20"/>
                <w:szCs w:val="20"/>
              </w:rPr>
              <w:t>59.</w:t>
            </w:r>
            <w:r>
              <w:rPr>
                <w:rFonts w:ascii="Times New Roman" w:eastAsia="Times New Roman" w:hAnsi="Times New Roman" w:cs="Times New Roman"/>
                <w:b/>
                <w:bCs/>
                <w:color w:val="000000"/>
                <w:sz w:val="20"/>
                <w:szCs w:val="20"/>
              </w:rPr>
              <w:t>2</w:t>
            </w:r>
            <w:r w:rsidRPr="00F9524A">
              <w:rPr>
                <w:rFonts w:ascii="Times New Roman" w:eastAsia="Times New Roman" w:hAnsi="Times New Roman" w:cs="Times New Roman"/>
                <w:b/>
                <w:bCs/>
                <w:color w:val="000000"/>
                <w:sz w:val="20"/>
                <w:szCs w:val="20"/>
              </w:rPr>
              <w:t xml:space="preserve"> (n=721)</w:t>
            </w:r>
          </w:p>
        </w:tc>
        <w:tc>
          <w:tcPr>
            <w:tcW w:w="776" w:type="pct"/>
            <w:tcBorders>
              <w:top w:val="single" w:sz="4" w:space="0" w:color="auto"/>
              <w:bottom w:val="single" w:sz="4" w:space="0" w:color="auto"/>
            </w:tcBorders>
            <w:hideMark/>
          </w:tcPr>
          <w:p w:rsidR="00527418" w:rsidRDefault="00527418" w:rsidP="003663B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rPr>
            </w:pPr>
            <w:r w:rsidRPr="00F9524A">
              <w:rPr>
                <w:rFonts w:ascii="Times New Roman" w:eastAsia="Times New Roman" w:hAnsi="Times New Roman" w:cs="Times New Roman"/>
                <w:b/>
                <w:bCs/>
                <w:color w:val="000000"/>
                <w:sz w:val="20"/>
                <w:szCs w:val="20"/>
              </w:rPr>
              <w:t xml:space="preserve">Q5: </w:t>
            </w:r>
          </w:p>
          <w:p w:rsidR="00527418" w:rsidRPr="00F9524A" w:rsidRDefault="00527418" w:rsidP="003663B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&gt;</w:t>
            </w:r>
            <w:r w:rsidRPr="00F9524A">
              <w:rPr>
                <w:rFonts w:ascii="Times New Roman" w:eastAsia="Times New Roman" w:hAnsi="Times New Roman" w:cs="Times New Roman"/>
                <w:b/>
                <w:bCs/>
                <w:color w:val="000000"/>
                <w:sz w:val="20"/>
                <w:szCs w:val="20"/>
              </w:rPr>
              <w:t>59.</w:t>
            </w:r>
            <w:r>
              <w:rPr>
                <w:rFonts w:ascii="Times New Roman" w:eastAsia="Times New Roman" w:hAnsi="Times New Roman" w:cs="Times New Roman"/>
                <w:b/>
                <w:bCs/>
                <w:color w:val="000000"/>
                <w:sz w:val="20"/>
                <w:szCs w:val="20"/>
              </w:rPr>
              <w:t>2</w:t>
            </w:r>
            <w:r w:rsidRPr="00F9524A">
              <w:rPr>
                <w:rFonts w:ascii="Times New Roman" w:eastAsia="Times New Roman" w:hAnsi="Times New Roman" w:cs="Times New Roman"/>
                <w:b/>
                <w:bCs/>
                <w:color w:val="000000"/>
                <w:sz w:val="20"/>
                <w:szCs w:val="20"/>
              </w:rPr>
              <w:t xml:space="preserve"> (n=726)</w:t>
            </w:r>
          </w:p>
        </w:tc>
        <w:tc>
          <w:tcPr>
            <w:tcW w:w="392" w:type="pct"/>
            <w:tcBorders>
              <w:top w:val="single" w:sz="4" w:space="0" w:color="auto"/>
              <w:bottom w:val="single" w:sz="4" w:space="0" w:color="auto"/>
              <w:right w:val="single" w:sz="4" w:space="0" w:color="auto"/>
            </w:tcBorders>
            <w:hideMark/>
          </w:tcPr>
          <w:p w:rsidR="00527418" w:rsidRPr="00F9524A" w:rsidRDefault="00527418" w:rsidP="003663B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rPr>
            </w:pPr>
            <w:r w:rsidRPr="00F9524A">
              <w:rPr>
                <w:rFonts w:ascii="Times New Roman" w:eastAsia="Times New Roman" w:hAnsi="Times New Roman" w:cs="Times New Roman"/>
                <w:b/>
                <w:bCs/>
                <w:color w:val="000000"/>
                <w:sz w:val="20"/>
                <w:szCs w:val="20"/>
              </w:rPr>
              <w:t>p (trend)</w:t>
            </w:r>
          </w:p>
        </w:tc>
      </w:tr>
      <w:tr w:rsidR="00527418" w:rsidRPr="00F9524A" w:rsidTr="003663B4">
        <w:trPr>
          <w:trHeight w:val="297"/>
        </w:trPr>
        <w:tc>
          <w:tcPr>
            <w:cnfStyle w:val="001000000000" w:firstRow="0" w:lastRow="0" w:firstColumn="1" w:lastColumn="0" w:oddVBand="0" w:evenVBand="0" w:oddHBand="0" w:evenHBand="0" w:firstRowFirstColumn="0" w:firstRowLastColumn="0" w:lastRowFirstColumn="0" w:lastRowLastColumn="0"/>
            <w:tcW w:w="603" w:type="pct"/>
            <w:tcBorders>
              <w:top w:val="single" w:sz="4" w:space="0" w:color="auto"/>
              <w:left w:val="single" w:sz="4" w:space="0" w:color="auto"/>
              <w:right w:val="single" w:sz="4" w:space="0" w:color="auto"/>
            </w:tcBorders>
            <w:noWrap/>
          </w:tcPr>
          <w:p w:rsidR="00527418" w:rsidRPr="00F9524A" w:rsidRDefault="00527418" w:rsidP="003663B4">
            <w:pPr>
              <w:spacing w:line="360" w:lineRule="auto"/>
              <w:rPr>
                <w:rFonts w:ascii="Times New Roman" w:eastAsia="Times New Roman" w:hAnsi="Times New Roman" w:cs="Times New Roman"/>
                <w:color w:val="000000"/>
                <w:sz w:val="20"/>
                <w:szCs w:val="20"/>
              </w:rPr>
            </w:pPr>
            <w:r w:rsidRPr="00F9524A">
              <w:rPr>
                <w:rFonts w:ascii="Times New Roman" w:eastAsia="Times New Roman" w:hAnsi="Times New Roman" w:cs="Times New Roman"/>
                <w:color w:val="000000"/>
                <w:sz w:val="20"/>
                <w:szCs w:val="20"/>
              </w:rPr>
              <w:t>OH-C, n (%)</w:t>
            </w:r>
          </w:p>
        </w:tc>
        <w:tc>
          <w:tcPr>
            <w:tcW w:w="355" w:type="pct"/>
            <w:tcBorders>
              <w:top w:val="single" w:sz="4" w:space="0" w:color="auto"/>
              <w:left w:val="single" w:sz="4" w:space="0" w:color="auto"/>
            </w:tcBorders>
            <w:noWrap/>
          </w:tcPr>
          <w:p w:rsidR="00527418" w:rsidRPr="00F9524A" w:rsidRDefault="00527418" w:rsidP="003663B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9524A">
              <w:rPr>
                <w:rFonts w:ascii="Times New Roman" w:eastAsia="Times New Roman" w:hAnsi="Times New Roman" w:cs="Times New Roman"/>
                <w:color w:val="000000"/>
                <w:sz w:val="20"/>
                <w:szCs w:val="20"/>
              </w:rPr>
              <w:t> </w:t>
            </w:r>
          </w:p>
        </w:tc>
        <w:tc>
          <w:tcPr>
            <w:tcW w:w="546" w:type="pct"/>
            <w:tcBorders>
              <w:top w:val="single" w:sz="4" w:space="0" w:color="auto"/>
            </w:tcBorders>
          </w:tcPr>
          <w:p w:rsidR="00527418" w:rsidRPr="00F9524A" w:rsidRDefault="00527418" w:rsidP="003663B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rPr>
            </w:pPr>
            <w:r w:rsidRPr="00F9524A">
              <w:rPr>
                <w:rFonts w:ascii="Times New Roman" w:eastAsia="Times New Roman" w:hAnsi="Times New Roman" w:cs="Times New Roman"/>
                <w:color w:val="000000"/>
                <w:sz w:val="20"/>
                <w:szCs w:val="20"/>
              </w:rPr>
              <w:t>119 (16.37)</w:t>
            </w:r>
          </w:p>
        </w:tc>
        <w:tc>
          <w:tcPr>
            <w:tcW w:w="776" w:type="pct"/>
            <w:tcBorders>
              <w:top w:val="single" w:sz="4" w:space="0" w:color="auto"/>
            </w:tcBorders>
          </w:tcPr>
          <w:p w:rsidR="00527418" w:rsidRPr="00F9524A" w:rsidRDefault="00527418" w:rsidP="003663B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rPr>
            </w:pPr>
            <w:r w:rsidRPr="00F9524A">
              <w:rPr>
                <w:rFonts w:ascii="Times New Roman" w:eastAsia="Times New Roman" w:hAnsi="Times New Roman" w:cs="Times New Roman"/>
                <w:color w:val="000000"/>
                <w:sz w:val="20"/>
                <w:szCs w:val="20"/>
              </w:rPr>
              <w:t>144 (19.92)</w:t>
            </w:r>
          </w:p>
        </w:tc>
        <w:tc>
          <w:tcPr>
            <w:tcW w:w="776" w:type="pct"/>
            <w:tcBorders>
              <w:top w:val="single" w:sz="4" w:space="0" w:color="auto"/>
            </w:tcBorders>
          </w:tcPr>
          <w:p w:rsidR="00527418" w:rsidRPr="00F9524A" w:rsidRDefault="00527418" w:rsidP="003663B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rPr>
            </w:pPr>
            <w:r w:rsidRPr="00F9524A">
              <w:rPr>
                <w:rFonts w:ascii="Times New Roman" w:eastAsia="Times New Roman" w:hAnsi="Times New Roman" w:cs="Times New Roman"/>
                <w:color w:val="000000"/>
                <w:sz w:val="20"/>
                <w:szCs w:val="20"/>
              </w:rPr>
              <w:t>145 (20.11)</w:t>
            </w:r>
          </w:p>
        </w:tc>
        <w:tc>
          <w:tcPr>
            <w:tcW w:w="776" w:type="pct"/>
            <w:tcBorders>
              <w:top w:val="single" w:sz="4" w:space="0" w:color="auto"/>
            </w:tcBorders>
          </w:tcPr>
          <w:p w:rsidR="00527418" w:rsidRPr="00F9524A" w:rsidRDefault="00527418" w:rsidP="003663B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rPr>
            </w:pPr>
            <w:r w:rsidRPr="00F9524A">
              <w:rPr>
                <w:rFonts w:ascii="Times New Roman" w:eastAsia="Times New Roman" w:hAnsi="Times New Roman" w:cs="Times New Roman"/>
                <w:color w:val="000000"/>
                <w:sz w:val="20"/>
                <w:szCs w:val="20"/>
              </w:rPr>
              <w:t>153 (21.22)</w:t>
            </w:r>
          </w:p>
        </w:tc>
        <w:tc>
          <w:tcPr>
            <w:tcW w:w="776" w:type="pct"/>
            <w:tcBorders>
              <w:top w:val="single" w:sz="4" w:space="0" w:color="auto"/>
            </w:tcBorders>
          </w:tcPr>
          <w:p w:rsidR="00527418" w:rsidRPr="00F9524A" w:rsidRDefault="00527418" w:rsidP="003663B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rPr>
            </w:pPr>
            <w:r w:rsidRPr="00F9524A">
              <w:rPr>
                <w:rFonts w:ascii="Times New Roman" w:eastAsia="Times New Roman" w:hAnsi="Times New Roman" w:cs="Times New Roman"/>
                <w:color w:val="000000"/>
                <w:sz w:val="20"/>
                <w:szCs w:val="20"/>
              </w:rPr>
              <w:t>154 (21.21)</w:t>
            </w:r>
          </w:p>
        </w:tc>
        <w:tc>
          <w:tcPr>
            <w:tcW w:w="392" w:type="pct"/>
            <w:tcBorders>
              <w:top w:val="single" w:sz="4" w:space="0" w:color="auto"/>
              <w:right w:val="single" w:sz="4" w:space="0" w:color="auto"/>
            </w:tcBorders>
          </w:tcPr>
          <w:p w:rsidR="00527418" w:rsidRPr="00F9524A" w:rsidRDefault="00527418" w:rsidP="003663B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rPr>
            </w:pPr>
            <w:r w:rsidRPr="00F9524A">
              <w:rPr>
                <w:rFonts w:ascii="Times New Roman" w:eastAsia="Times New Roman" w:hAnsi="Times New Roman" w:cs="Times New Roman"/>
                <w:color w:val="000000"/>
                <w:sz w:val="20"/>
                <w:szCs w:val="20"/>
              </w:rPr>
              <w:t> </w:t>
            </w:r>
          </w:p>
        </w:tc>
      </w:tr>
      <w:tr w:rsidR="00527418" w:rsidRPr="00F9524A" w:rsidTr="003663B4">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603" w:type="pct"/>
            <w:tcBorders>
              <w:left w:val="single" w:sz="4" w:space="0" w:color="auto"/>
              <w:right w:val="single" w:sz="4" w:space="0" w:color="auto"/>
            </w:tcBorders>
            <w:noWrap/>
          </w:tcPr>
          <w:p w:rsidR="00527418" w:rsidRPr="00F9524A" w:rsidRDefault="00527418" w:rsidP="003663B4">
            <w:pPr>
              <w:spacing w:line="360" w:lineRule="auto"/>
              <w:rPr>
                <w:rFonts w:ascii="Times New Roman" w:eastAsia="Times New Roman" w:hAnsi="Times New Roman" w:cs="Times New Roman"/>
                <w:color w:val="000000"/>
                <w:sz w:val="20"/>
                <w:szCs w:val="20"/>
              </w:rPr>
            </w:pPr>
          </w:p>
        </w:tc>
        <w:tc>
          <w:tcPr>
            <w:tcW w:w="355" w:type="pct"/>
            <w:tcBorders>
              <w:left w:val="single" w:sz="4" w:space="0" w:color="auto"/>
            </w:tcBorders>
            <w:noWrap/>
          </w:tcPr>
          <w:p w:rsidR="00527418" w:rsidRPr="00F9524A" w:rsidRDefault="00527418" w:rsidP="003663B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9524A">
              <w:rPr>
                <w:rFonts w:ascii="Times New Roman" w:eastAsia="Times New Roman" w:hAnsi="Times New Roman" w:cs="Times New Roman"/>
                <w:color w:val="000000"/>
                <w:sz w:val="20"/>
                <w:szCs w:val="20"/>
              </w:rPr>
              <w:t>1</w:t>
            </w:r>
          </w:p>
        </w:tc>
        <w:tc>
          <w:tcPr>
            <w:tcW w:w="546" w:type="pct"/>
          </w:tcPr>
          <w:p w:rsidR="00527418" w:rsidRPr="00F9524A" w:rsidRDefault="00527418" w:rsidP="003663B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rPr>
            </w:pPr>
            <w:r w:rsidRPr="00F9524A">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.00</w:t>
            </w:r>
          </w:p>
        </w:tc>
        <w:tc>
          <w:tcPr>
            <w:tcW w:w="776" w:type="pct"/>
          </w:tcPr>
          <w:p w:rsidR="00527418" w:rsidRPr="00F9524A" w:rsidRDefault="00527418" w:rsidP="003663B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rPr>
            </w:pPr>
            <w:r w:rsidRPr="00F9524A">
              <w:rPr>
                <w:rFonts w:ascii="Times New Roman" w:eastAsia="Times New Roman" w:hAnsi="Times New Roman" w:cs="Times New Roman"/>
                <w:color w:val="000000"/>
                <w:sz w:val="20"/>
                <w:szCs w:val="20"/>
              </w:rPr>
              <w:t>1.27 (0.97 - 1.66)</w:t>
            </w:r>
          </w:p>
        </w:tc>
        <w:tc>
          <w:tcPr>
            <w:tcW w:w="776" w:type="pct"/>
          </w:tcPr>
          <w:p w:rsidR="00527418" w:rsidRPr="00F9524A" w:rsidRDefault="00527418" w:rsidP="003663B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rPr>
            </w:pPr>
            <w:r w:rsidRPr="00F9524A">
              <w:rPr>
                <w:rFonts w:ascii="Times New Roman" w:eastAsia="Times New Roman" w:hAnsi="Times New Roman" w:cs="Times New Roman"/>
                <w:color w:val="000000"/>
                <w:sz w:val="20"/>
                <w:szCs w:val="20"/>
              </w:rPr>
              <w:t>1.29 (0.98 - 1.68)</w:t>
            </w:r>
          </w:p>
        </w:tc>
        <w:tc>
          <w:tcPr>
            <w:tcW w:w="776" w:type="pct"/>
          </w:tcPr>
          <w:p w:rsidR="00527418" w:rsidRPr="00F9524A" w:rsidRDefault="00527418" w:rsidP="003663B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rPr>
            </w:pPr>
            <w:r w:rsidRPr="00F9524A">
              <w:rPr>
                <w:rFonts w:ascii="Times New Roman" w:eastAsia="Times New Roman" w:hAnsi="Times New Roman" w:cs="Times New Roman"/>
                <w:b/>
                <w:bCs/>
                <w:color w:val="000000"/>
                <w:sz w:val="20"/>
                <w:szCs w:val="20"/>
              </w:rPr>
              <w:t>1.38 (1.06 - 1.8)</w:t>
            </w:r>
          </w:p>
        </w:tc>
        <w:tc>
          <w:tcPr>
            <w:tcW w:w="776" w:type="pct"/>
          </w:tcPr>
          <w:p w:rsidR="00527418" w:rsidRPr="00F9524A" w:rsidRDefault="00527418" w:rsidP="003663B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rPr>
            </w:pPr>
            <w:r w:rsidRPr="00F9524A">
              <w:rPr>
                <w:rFonts w:ascii="Times New Roman" w:eastAsia="Times New Roman" w:hAnsi="Times New Roman" w:cs="Times New Roman"/>
                <w:b/>
                <w:bCs/>
                <w:color w:val="000000"/>
                <w:sz w:val="20"/>
                <w:szCs w:val="20"/>
              </w:rPr>
              <w:t>1.38 (1.06 - 1.79)</w:t>
            </w:r>
          </w:p>
        </w:tc>
        <w:tc>
          <w:tcPr>
            <w:tcW w:w="392" w:type="pct"/>
            <w:tcBorders>
              <w:right w:val="single" w:sz="4" w:space="0" w:color="auto"/>
            </w:tcBorders>
          </w:tcPr>
          <w:p w:rsidR="00527418" w:rsidRPr="00F9524A" w:rsidRDefault="00527418" w:rsidP="003663B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rPr>
            </w:pPr>
            <w:r w:rsidRPr="00F9524A">
              <w:rPr>
                <w:rFonts w:ascii="Times New Roman" w:eastAsia="Times New Roman" w:hAnsi="Times New Roman" w:cs="Times New Roman"/>
                <w:color w:val="000000"/>
                <w:sz w:val="20"/>
                <w:szCs w:val="20"/>
              </w:rPr>
              <w:t>0.0188</w:t>
            </w:r>
          </w:p>
        </w:tc>
      </w:tr>
      <w:tr w:rsidR="00527418" w:rsidRPr="00F9524A" w:rsidTr="003663B4">
        <w:trPr>
          <w:trHeight w:val="297"/>
        </w:trPr>
        <w:tc>
          <w:tcPr>
            <w:cnfStyle w:val="001000000000" w:firstRow="0" w:lastRow="0" w:firstColumn="1" w:lastColumn="0" w:oddVBand="0" w:evenVBand="0" w:oddHBand="0" w:evenHBand="0" w:firstRowFirstColumn="0" w:firstRowLastColumn="0" w:lastRowFirstColumn="0" w:lastRowLastColumn="0"/>
            <w:tcW w:w="603" w:type="pct"/>
            <w:tcBorders>
              <w:left w:val="single" w:sz="4" w:space="0" w:color="auto"/>
              <w:right w:val="single" w:sz="4" w:space="0" w:color="auto"/>
            </w:tcBorders>
            <w:noWrap/>
          </w:tcPr>
          <w:p w:rsidR="00527418" w:rsidRPr="00F9524A" w:rsidRDefault="00527418" w:rsidP="003663B4">
            <w:pPr>
              <w:spacing w:line="360" w:lineRule="auto"/>
              <w:rPr>
                <w:rFonts w:ascii="Times New Roman" w:eastAsia="Times New Roman" w:hAnsi="Times New Roman" w:cs="Times New Roman"/>
                <w:color w:val="000000"/>
                <w:sz w:val="20"/>
                <w:szCs w:val="20"/>
              </w:rPr>
            </w:pPr>
          </w:p>
        </w:tc>
        <w:tc>
          <w:tcPr>
            <w:tcW w:w="355" w:type="pct"/>
            <w:tcBorders>
              <w:left w:val="single" w:sz="4" w:space="0" w:color="auto"/>
            </w:tcBorders>
            <w:noWrap/>
          </w:tcPr>
          <w:p w:rsidR="00527418" w:rsidRPr="00F9524A" w:rsidRDefault="00527418" w:rsidP="003663B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9524A">
              <w:rPr>
                <w:rFonts w:ascii="Times New Roman" w:eastAsia="Times New Roman" w:hAnsi="Times New Roman" w:cs="Times New Roman"/>
                <w:color w:val="000000"/>
                <w:sz w:val="20"/>
                <w:szCs w:val="20"/>
              </w:rPr>
              <w:t>2</w:t>
            </w:r>
          </w:p>
        </w:tc>
        <w:tc>
          <w:tcPr>
            <w:tcW w:w="546" w:type="pct"/>
          </w:tcPr>
          <w:p w:rsidR="00527418" w:rsidRPr="00F9524A" w:rsidRDefault="00527418" w:rsidP="003663B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rPr>
            </w:pPr>
            <w:r w:rsidRPr="00F9524A">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.00</w:t>
            </w:r>
          </w:p>
        </w:tc>
        <w:tc>
          <w:tcPr>
            <w:tcW w:w="776" w:type="pct"/>
          </w:tcPr>
          <w:p w:rsidR="00527418" w:rsidRPr="00F9524A" w:rsidRDefault="00527418" w:rsidP="003663B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rPr>
            </w:pPr>
            <w:r w:rsidRPr="00F9524A">
              <w:rPr>
                <w:rFonts w:ascii="Times New Roman" w:eastAsia="Times New Roman" w:hAnsi="Times New Roman" w:cs="Times New Roman"/>
                <w:color w:val="000000"/>
                <w:sz w:val="20"/>
                <w:szCs w:val="20"/>
              </w:rPr>
              <w:t>1.25 (0.96 - 1.64)</w:t>
            </w:r>
          </w:p>
        </w:tc>
        <w:tc>
          <w:tcPr>
            <w:tcW w:w="776" w:type="pct"/>
          </w:tcPr>
          <w:p w:rsidR="00527418" w:rsidRPr="00F9524A" w:rsidRDefault="00527418" w:rsidP="003663B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rPr>
            </w:pPr>
            <w:r w:rsidRPr="00F9524A">
              <w:rPr>
                <w:rFonts w:ascii="Times New Roman" w:eastAsia="Times New Roman" w:hAnsi="Times New Roman" w:cs="Times New Roman"/>
                <w:color w:val="000000"/>
                <w:sz w:val="20"/>
                <w:szCs w:val="20"/>
              </w:rPr>
              <w:t>1.27 (0.97 - 1.66)</w:t>
            </w:r>
          </w:p>
        </w:tc>
        <w:tc>
          <w:tcPr>
            <w:tcW w:w="776" w:type="pct"/>
          </w:tcPr>
          <w:p w:rsidR="00527418" w:rsidRPr="00F9524A" w:rsidRDefault="00527418" w:rsidP="003663B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rPr>
            </w:pPr>
            <w:r w:rsidRPr="00F9524A">
              <w:rPr>
                <w:rFonts w:ascii="Times New Roman" w:eastAsia="Times New Roman" w:hAnsi="Times New Roman" w:cs="Times New Roman"/>
                <w:b/>
                <w:bCs/>
                <w:color w:val="000000"/>
                <w:sz w:val="20"/>
                <w:szCs w:val="20"/>
              </w:rPr>
              <w:t>1.33 (1.02 - 1.73)</w:t>
            </w:r>
          </w:p>
        </w:tc>
        <w:tc>
          <w:tcPr>
            <w:tcW w:w="776" w:type="pct"/>
          </w:tcPr>
          <w:p w:rsidR="00527418" w:rsidRPr="00F9524A" w:rsidRDefault="00527418" w:rsidP="003663B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rPr>
            </w:pPr>
            <w:r w:rsidRPr="00F9524A">
              <w:rPr>
                <w:rFonts w:ascii="Times New Roman" w:eastAsia="Times New Roman" w:hAnsi="Times New Roman" w:cs="Times New Roman"/>
                <w:b/>
                <w:bCs/>
                <w:color w:val="000000"/>
                <w:sz w:val="20"/>
                <w:szCs w:val="20"/>
              </w:rPr>
              <w:t>1.3 (0.99 - 1.69)</w:t>
            </w:r>
          </w:p>
        </w:tc>
        <w:tc>
          <w:tcPr>
            <w:tcW w:w="392" w:type="pct"/>
            <w:tcBorders>
              <w:right w:val="single" w:sz="4" w:space="0" w:color="auto"/>
            </w:tcBorders>
          </w:tcPr>
          <w:p w:rsidR="00527418" w:rsidRPr="00F9524A" w:rsidRDefault="00527418" w:rsidP="003663B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rPr>
            </w:pPr>
            <w:r w:rsidRPr="00F9524A">
              <w:rPr>
                <w:rFonts w:ascii="Times New Roman" w:eastAsia="Times New Roman" w:hAnsi="Times New Roman" w:cs="Times New Roman"/>
                <w:color w:val="000000"/>
                <w:sz w:val="20"/>
                <w:szCs w:val="20"/>
              </w:rPr>
              <w:t>0.0635</w:t>
            </w:r>
          </w:p>
        </w:tc>
      </w:tr>
      <w:tr w:rsidR="00527418" w:rsidRPr="00F9524A" w:rsidTr="003663B4">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603" w:type="pct"/>
            <w:tcBorders>
              <w:left w:val="single" w:sz="4" w:space="0" w:color="auto"/>
              <w:bottom w:val="single" w:sz="4" w:space="0" w:color="auto"/>
              <w:right w:val="single" w:sz="4" w:space="0" w:color="auto"/>
            </w:tcBorders>
            <w:noWrap/>
          </w:tcPr>
          <w:p w:rsidR="00527418" w:rsidRPr="00F9524A" w:rsidRDefault="00527418" w:rsidP="003663B4">
            <w:pPr>
              <w:spacing w:line="360" w:lineRule="auto"/>
              <w:rPr>
                <w:rFonts w:ascii="Times New Roman" w:eastAsia="Times New Roman" w:hAnsi="Times New Roman" w:cs="Times New Roman"/>
                <w:color w:val="000000"/>
                <w:sz w:val="20"/>
                <w:szCs w:val="20"/>
              </w:rPr>
            </w:pPr>
          </w:p>
        </w:tc>
        <w:tc>
          <w:tcPr>
            <w:tcW w:w="355" w:type="pct"/>
            <w:tcBorders>
              <w:left w:val="single" w:sz="4" w:space="0" w:color="auto"/>
              <w:bottom w:val="single" w:sz="4" w:space="0" w:color="auto"/>
            </w:tcBorders>
            <w:noWrap/>
          </w:tcPr>
          <w:p w:rsidR="00527418" w:rsidRPr="00F9524A" w:rsidRDefault="00527418" w:rsidP="003663B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9524A">
              <w:rPr>
                <w:rFonts w:ascii="Times New Roman" w:eastAsia="Times New Roman" w:hAnsi="Times New Roman" w:cs="Times New Roman"/>
                <w:color w:val="000000"/>
                <w:sz w:val="20"/>
                <w:szCs w:val="20"/>
              </w:rPr>
              <w:t>3</w:t>
            </w:r>
          </w:p>
        </w:tc>
        <w:tc>
          <w:tcPr>
            <w:tcW w:w="546" w:type="pct"/>
            <w:tcBorders>
              <w:bottom w:val="single" w:sz="4" w:space="0" w:color="auto"/>
            </w:tcBorders>
          </w:tcPr>
          <w:p w:rsidR="00527418" w:rsidRPr="00F9524A" w:rsidRDefault="00527418" w:rsidP="003663B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rPr>
            </w:pPr>
            <w:r w:rsidRPr="00F9524A">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.00</w:t>
            </w:r>
          </w:p>
        </w:tc>
        <w:tc>
          <w:tcPr>
            <w:tcW w:w="776" w:type="pct"/>
            <w:tcBorders>
              <w:bottom w:val="single" w:sz="4" w:space="0" w:color="auto"/>
            </w:tcBorders>
          </w:tcPr>
          <w:p w:rsidR="00527418" w:rsidRPr="00F9524A" w:rsidRDefault="00527418" w:rsidP="003663B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rPr>
            </w:pPr>
            <w:r w:rsidRPr="00F9524A">
              <w:rPr>
                <w:rFonts w:ascii="Times New Roman" w:eastAsia="Times New Roman" w:hAnsi="Times New Roman" w:cs="Times New Roman"/>
                <w:color w:val="000000"/>
                <w:sz w:val="20"/>
                <w:szCs w:val="20"/>
              </w:rPr>
              <w:t>1.24 (0.94 - 1.64)</w:t>
            </w:r>
          </w:p>
        </w:tc>
        <w:tc>
          <w:tcPr>
            <w:tcW w:w="776" w:type="pct"/>
            <w:tcBorders>
              <w:bottom w:val="single" w:sz="4" w:space="0" w:color="auto"/>
            </w:tcBorders>
          </w:tcPr>
          <w:p w:rsidR="00527418" w:rsidRPr="00F9524A" w:rsidRDefault="00527418" w:rsidP="003663B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rPr>
            </w:pPr>
            <w:r w:rsidRPr="00F9524A">
              <w:rPr>
                <w:rFonts w:ascii="Times New Roman" w:eastAsia="Times New Roman" w:hAnsi="Times New Roman" w:cs="Times New Roman"/>
                <w:color w:val="000000"/>
                <w:sz w:val="20"/>
                <w:szCs w:val="20"/>
              </w:rPr>
              <w:t>1.2</w:t>
            </w:r>
            <w:r>
              <w:rPr>
                <w:rFonts w:ascii="Times New Roman" w:eastAsia="Times New Roman" w:hAnsi="Times New Roman" w:cs="Times New Roman"/>
                <w:color w:val="000000"/>
                <w:sz w:val="20"/>
                <w:szCs w:val="20"/>
              </w:rPr>
              <w:t>0</w:t>
            </w:r>
            <w:r w:rsidRPr="00F9524A">
              <w:rPr>
                <w:rFonts w:ascii="Times New Roman" w:eastAsia="Times New Roman" w:hAnsi="Times New Roman" w:cs="Times New Roman"/>
                <w:color w:val="000000"/>
                <w:sz w:val="20"/>
                <w:szCs w:val="20"/>
              </w:rPr>
              <w:t xml:space="preserve"> (0.91 - 1.59)</w:t>
            </w:r>
          </w:p>
        </w:tc>
        <w:tc>
          <w:tcPr>
            <w:tcW w:w="776" w:type="pct"/>
            <w:tcBorders>
              <w:bottom w:val="single" w:sz="4" w:space="0" w:color="auto"/>
            </w:tcBorders>
          </w:tcPr>
          <w:p w:rsidR="00527418" w:rsidRPr="00F9524A" w:rsidRDefault="00527418" w:rsidP="003663B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rPr>
            </w:pPr>
            <w:r w:rsidRPr="00F9524A">
              <w:rPr>
                <w:rFonts w:ascii="Times New Roman" w:eastAsia="Times New Roman" w:hAnsi="Times New Roman" w:cs="Times New Roman"/>
                <w:color w:val="000000"/>
                <w:sz w:val="20"/>
                <w:szCs w:val="20"/>
              </w:rPr>
              <w:t>1.25 (0.95 - 1.65)</w:t>
            </w:r>
          </w:p>
        </w:tc>
        <w:tc>
          <w:tcPr>
            <w:tcW w:w="776" w:type="pct"/>
            <w:tcBorders>
              <w:bottom w:val="single" w:sz="4" w:space="0" w:color="auto"/>
            </w:tcBorders>
          </w:tcPr>
          <w:p w:rsidR="00527418" w:rsidRPr="00F9524A" w:rsidRDefault="00527418" w:rsidP="003663B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rPr>
            </w:pPr>
            <w:r w:rsidRPr="00F9524A">
              <w:rPr>
                <w:rFonts w:ascii="Times New Roman" w:eastAsia="Times New Roman" w:hAnsi="Times New Roman" w:cs="Times New Roman"/>
                <w:color w:val="000000"/>
                <w:sz w:val="20"/>
                <w:szCs w:val="20"/>
              </w:rPr>
              <w:t>1.13 (0.86 - 1.49)</w:t>
            </w:r>
          </w:p>
        </w:tc>
        <w:tc>
          <w:tcPr>
            <w:tcW w:w="392" w:type="pct"/>
            <w:tcBorders>
              <w:bottom w:val="single" w:sz="4" w:space="0" w:color="auto"/>
              <w:right w:val="single" w:sz="4" w:space="0" w:color="auto"/>
            </w:tcBorders>
          </w:tcPr>
          <w:p w:rsidR="00527418" w:rsidRPr="00F9524A" w:rsidRDefault="00527418" w:rsidP="003663B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rPr>
            </w:pPr>
            <w:r w:rsidRPr="00F9524A">
              <w:rPr>
                <w:rFonts w:ascii="Times New Roman" w:eastAsia="Times New Roman" w:hAnsi="Times New Roman" w:cs="Times New Roman"/>
                <w:color w:val="000000"/>
                <w:sz w:val="20"/>
                <w:szCs w:val="20"/>
              </w:rPr>
              <w:t>0.4655</w:t>
            </w:r>
          </w:p>
        </w:tc>
      </w:tr>
      <w:tr w:rsidR="00527418" w:rsidRPr="00F9524A" w:rsidTr="003663B4">
        <w:trPr>
          <w:trHeight w:val="297"/>
        </w:trPr>
        <w:tc>
          <w:tcPr>
            <w:cnfStyle w:val="001000000000" w:firstRow="0" w:lastRow="0" w:firstColumn="1" w:lastColumn="0" w:oddVBand="0" w:evenVBand="0" w:oddHBand="0" w:evenHBand="0" w:firstRowFirstColumn="0" w:firstRowLastColumn="0" w:lastRowFirstColumn="0" w:lastRowLastColumn="0"/>
            <w:tcW w:w="603" w:type="pct"/>
            <w:tcBorders>
              <w:top w:val="single" w:sz="4" w:space="0" w:color="auto"/>
              <w:left w:val="single" w:sz="4" w:space="0" w:color="auto"/>
            </w:tcBorders>
            <w:noWrap/>
            <w:hideMark/>
          </w:tcPr>
          <w:p w:rsidR="00527418" w:rsidRPr="00F9524A" w:rsidRDefault="00527418" w:rsidP="003663B4">
            <w:pPr>
              <w:spacing w:line="360" w:lineRule="auto"/>
              <w:jc w:val="left"/>
              <w:rPr>
                <w:rFonts w:ascii="Times New Roman" w:eastAsia="Times New Roman" w:hAnsi="Times New Roman" w:cs="Times New Roman"/>
                <w:color w:val="000000"/>
                <w:sz w:val="20"/>
                <w:szCs w:val="20"/>
              </w:rPr>
            </w:pPr>
            <w:r w:rsidRPr="00F9524A">
              <w:rPr>
                <w:rFonts w:ascii="Times New Roman" w:eastAsia="Times New Roman" w:hAnsi="Times New Roman" w:cs="Times New Roman"/>
                <w:color w:val="000000"/>
                <w:sz w:val="20"/>
                <w:szCs w:val="20"/>
              </w:rPr>
              <w:t>OH-1, n (%)</w:t>
            </w:r>
          </w:p>
        </w:tc>
        <w:tc>
          <w:tcPr>
            <w:tcW w:w="355" w:type="pct"/>
            <w:tcBorders>
              <w:top w:val="single" w:sz="4" w:space="0" w:color="auto"/>
            </w:tcBorders>
            <w:noWrap/>
            <w:hideMark/>
          </w:tcPr>
          <w:p w:rsidR="00527418" w:rsidRPr="00F9524A" w:rsidRDefault="00527418" w:rsidP="003663B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9524A">
              <w:rPr>
                <w:rFonts w:ascii="Times New Roman" w:eastAsia="Times New Roman" w:hAnsi="Times New Roman" w:cs="Times New Roman"/>
                <w:color w:val="000000"/>
                <w:sz w:val="20"/>
                <w:szCs w:val="20"/>
              </w:rPr>
              <w:t> </w:t>
            </w:r>
          </w:p>
        </w:tc>
        <w:tc>
          <w:tcPr>
            <w:tcW w:w="546" w:type="pct"/>
            <w:tcBorders>
              <w:top w:val="single" w:sz="4" w:space="0" w:color="auto"/>
            </w:tcBorders>
            <w:hideMark/>
          </w:tcPr>
          <w:p w:rsidR="00527418" w:rsidRPr="00F9524A" w:rsidRDefault="00527418" w:rsidP="003663B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rPr>
            </w:pPr>
            <w:r w:rsidRPr="00F9524A">
              <w:rPr>
                <w:rFonts w:ascii="Times New Roman" w:eastAsia="Times New Roman" w:hAnsi="Times New Roman" w:cs="Times New Roman"/>
                <w:bCs/>
                <w:color w:val="000000"/>
                <w:sz w:val="20"/>
                <w:szCs w:val="20"/>
              </w:rPr>
              <w:t>80 (11)</w:t>
            </w:r>
          </w:p>
        </w:tc>
        <w:tc>
          <w:tcPr>
            <w:tcW w:w="776" w:type="pct"/>
            <w:tcBorders>
              <w:top w:val="single" w:sz="4" w:space="0" w:color="auto"/>
            </w:tcBorders>
            <w:hideMark/>
          </w:tcPr>
          <w:p w:rsidR="00527418" w:rsidRPr="00F9524A" w:rsidRDefault="00527418" w:rsidP="003663B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rPr>
            </w:pPr>
            <w:r w:rsidRPr="00F9524A">
              <w:rPr>
                <w:rFonts w:ascii="Times New Roman" w:eastAsia="Times New Roman" w:hAnsi="Times New Roman" w:cs="Times New Roman"/>
                <w:bCs/>
                <w:color w:val="000000"/>
                <w:sz w:val="20"/>
                <w:szCs w:val="20"/>
              </w:rPr>
              <w:t>90 (12.45)</w:t>
            </w:r>
          </w:p>
        </w:tc>
        <w:tc>
          <w:tcPr>
            <w:tcW w:w="776" w:type="pct"/>
            <w:tcBorders>
              <w:top w:val="single" w:sz="4" w:space="0" w:color="auto"/>
            </w:tcBorders>
            <w:hideMark/>
          </w:tcPr>
          <w:p w:rsidR="00527418" w:rsidRPr="00F9524A" w:rsidRDefault="00527418" w:rsidP="003663B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rPr>
            </w:pPr>
            <w:r w:rsidRPr="00F9524A">
              <w:rPr>
                <w:rFonts w:ascii="Times New Roman" w:eastAsia="Times New Roman" w:hAnsi="Times New Roman" w:cs="Times New Roman"/>
                <w:bCs/>
                <w:color w:val="000000"/>
                <w:sz w:val="20"/>
                <w:szCs w:val="20"/>
              </w:rPr>
              <w:t>93 (12.9</w:t>
            </w:r>
            <w:r>
              <w:rPr>
                <w:rFonts w:ascii="Times New Roman" w:eastAsia="Times New Roman" w:hAnsi="Times New Roman" w:cs="Times New Roman"/>
                <w:bCs/>
                <w:color w:val="000000"/>
                <w:sz w:val="20"/>
                <w:szCs w:val="20"/>
              </w:rPr>
              <w:t>0</w:t>
            </w:r>
            <w:r w:rsidRPr="00F9524A">
              <w:rPr>
                <w:rFonts w:ascii="Times New Roman" w:eastAsia="Times New Roman" w:hAnsi="Times New Roman" w:cs="Times New Roman"/>
                <w:bCs/>
                <w:color w:val="000000"/>
                <w:sz w:val="20"/>
                <w:szCs w:val="20"/>
              </w:rPr>
              <w:t>)</w:t>
            </w:r>
          </w:p>
        </w:tc>
        <w:tc>
          <w:tcPr>
            <w:tcW w:w="776" w:type="pct"/>
            <w:tcBorders>
              <w:top w:val="single" w:sz="4" w:space="0" w:color="auto"/>
            </w:tcBorders>
            <w:hideMark/>
          </w:tcPr>
          <w:p w:rsidR="00527418" w:rsidRPr="00F9524A" w:rsidRDefault="00527418" w:rsidP="003663B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rPr>
            </w:pPr>
            <w:r w:rsidRPr="00F9524A">
              <w:rPr>
                <w:rFonts w:ascii="Times New Roman" w:eastAsia="Times New Roman" w:hAnsi="Times New Roman" w:cs="Times New Roman"/>
                <w:bCs/>
                <w:color w:val="000000"/>
                <w:sz w:val="20"/>
                <w:szCs w:val="20"/>
              </w:rPr>
              <w:t>94 (13.04)</w:t>
            </w:r>
          </w:p>
        </w:tc>
        <w:tc>
          <w:tcPr>
            <w:tcW w:w="776" w:type="pct"/>
            <w:tcBorders>
              <w:top w:val="single" w:sz="4" w:space="0" w:color="auto"/>
            </w:tcBorders>
            <w:hideMark/>
          </w:tcPr>
          <w:p w:rsidR="00527418" w:rsidRPr="00F9524A" w:rsidRDefault="00527418" w:rsidP="003663B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rPr>
            </w:pPr>
            <w:r w:rsidRPr="00F9524A">
              <w:rPr>
                <w:rFonts w:ascii="Times New Roman" w:eastAsia="Times New Roman" w:hAnsi="Times New Roman" w:cs="Times New Roman"/>
                <w:bCs/>
                <w:color w:val="000000"/>
                <w:sz w:val="20"/>
                <w:szCs w:val="20"/>
              </w:rPr>
              <w:t>115 (15.84)</w:t>
            </w:r>
          </w:p>
        </w:tc>
        <w:tc>
          <w:tcPr>
            <w:tcW w:w="392" w:type="pct"/>
            <w:tcBorders>
              <w:top w:val="single" w:sz="4" w:space="0" w:color="auto"/>
              <w:right w:val="single" w:sz="4" w:space="0" w:color="auto"/>
            </w:tcBorders>
            <w:hideMark/>
          </w:tcPr>
          <w:p w:rsidR="00527418" w:rsidRPr="00F9524A" w:rsidRDefault="00527418" w:rsidP="003663B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rPr>
            </w:pPr>
            <w:r w:rsidRPr="00F9524A">
              <w:rPr>
                <w:rFonts w:ascii="Times New Roman" w:eastAsia="Times New Roman" w:hAnsi="Times New Roman" w:cs="Times New Roman"/>
                <w:b/>
                <w:bCs/>
                <w:color w:val="000000"/>
                <w:sz w:val="20"/>
                <w:szCs w:val="20"/>
              </w:rPr>
              <w:t> </w:t>
            </w:r>
          </w:p>
        </w:tc>
      </w:tr>
      <w:tr w:rsidR="00527418" w:rsidRPr="00F9524A" w:rsidTr="003663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3" w:type="pct"/>
            <w:tcBorders>
              <w:left w:val="single" w:sz="4" w:space="0" w:color="auto"/>
            </w:tcBorders>
            <w:noWrap/>
            <w:hideMark/>
          </w:tcPr>
          <w:p w:rsidR="00527418" w:rsidRPr="00F9524A" w:rsidRDefault="00527418" w:rsidP="003663B4">
            <w:pPr>
              <w:spacing w:line="360" w:lineRule="auto"/>
              <w:jc w:val="left"/>
              <w:rPr>
                <w:rFonts w:ascii="Times New Roman" w:eastAsia="Times New Roman" w:hAnsi="Times New Roman" w:cs="Times New Roman"/>
                <w:b/>
                <w:bCs/>
                <w:color w:val="000000"/>
                <w:sz w:val="20"/>
                <w:szCs w:val="20"/>
              </w:rPr>
            </w:pPr>
          </w:p>
        </w:tc>
        <w:tc>
          <w:tcPr>
            <w:tcW w:w="355" w:type="pct"/>
            <w:noWrap/>
            <w:hideMark/>
          </w:tcPr>
          <w:p w:rsidR="00527418" w:rsidRPr="00F9524A" w:rsidRDefault="00527418" w:rsidP="003663B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9524A">
              <w:rPr>
                <w:rFonts w:ascii="Times New Roman" w:eastAsia="Times New Roman" w:hAnsi="Times New Roman" w:cs="Times New Roman"/>
                <w:color w:val="000000"/>
                <w:sz w:val="20"/>
                <w:szCs w:val="20"/>
              </w:rPr>
              <w:t>1</w:t>
            </w:r>
          </w:p>
        </w:tc>
        <w:tc>
          <w:tcPr>
            <w:tcW w:w="546" w:type="pct"/>
            <w:noWrap/>
            <w:hideMark/>
          </w:tcPr>
          <w:p w:rsidR="00527418" w:rsidRPr="00F9524A" w:rsidRDefault="00527418" w:rsidP="003663B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9524A">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.00</w:t>
            </w:r>
          </w:p>
        </w:tc>
        <w:tc>
          <w:tcPr>
            <w:tcW w:w="776" w:type="pct"/>
            <w:noWrap/>
            <w:hideMark/>
          </w:tcPr>
          <w:p w:rsidR="00527418" w:rsidRPr="00F9524A" w:rsidRDefault="00527418" w:rsidP="003663B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9524A">
              <w:rPr>
                <w:rFonts w:ascii="Times New Roman" w:eastAsia="Times New Roman" w:hAnsi="Times New Roman" w:cs="Times New Roman"/>
                <w:color w:val="000000"/>
                <w:sz w:val="20"/>
                <w:szCs w:val="20"/>
              </w:rPr>
              <w:t>1.18 (0.86 - 1.63)</w:t>
            </w:r>
          </w:p>
        </w:tc>
        <w:tc>
          <w:tcPr>
            <w:tcW w:w="776" w:type="pct"/>
            <w:noWrap/>
            <w:hideMark/>
          </w:tcPr>
          <w:p w:rsidR="00527418" w:rsidRPr="00F9524A" w:rsidRDefault="00527418" w:rsidP="003663B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9524A">
              <w:rPr>
                <w:rFonts w:ascii="Times New Roman" w:eastAsia="Times New Roman" w:hAnsi="Times New Roman" w:cs="Times New Roman"/>
                <w:color w:val="000000"/>
                <w:sz w:val="20"/>
                <w:szCs w:val="20"/>
              </w:rPr>
              <w:t>1.23 (0.89 - 1.69)</w:t>
            </w:r>
          </w:p>
        </w:tc>
        <w:tc>
          <w:tcPr>
            <w:tcW w:w="776" w:type="pct"/>
            <w:noWrap/>
            <w:hideMark/>
          </w:tcPr>
          <w:p w:rsidR="00527418" w:rsidRPr="00F9524A" w:rsidRDefault="00527418" w:rsidP="003663B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9524A">
              <w:rPr>
                <w:rFonts w:ascii="Times New Roman" w:eastAsia="Times New Roman" w:hAnsi="Times New Roman" w:cs="Times New Roman"/>
                <w:color w:val="000000"/>
                <w:sz w:val="20"/>
                <w:szCs w:val="20"/>
              </w:rPr>
              <w:t>1.26 (0.91 - 1.73)</w:t>
            </w:r>
          </w:p>
        </w:tc>
        <w:tc>
          <w:tcPr>
            <w:tcW w:w="776" w:type="pct"/>
            <w:noWrap/>
            <w:hideMark/>
          </w:tcPr>
          <w:p w:rsidR="00527418" w:rsidRPr="00F9524A" w:rsidRDefault="00527418" w:rsidP="003663B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9524A">
              <w:rPr>
                <w:rFonts w:ascii="Times New Roman" w:eastAsia="Times New Roman" w:hAnsi="Times New Roman" w:cs="Times New Roman"/>
                <w:color w:val="000000"/>
                <w:sz w:val="20"/>
                <w:szCs w:val="20"/>
              </w:rPr>
              <w:t>1.53 (1.12 - 2.08)</w:t>
            </w:r>
          </w:p>
        </w:tc>
        <w:tc>
          <w:tcPr>
            <w:tcW w:w="392" w:type="pct"/>
            <w:tcBorders>
              <w:right w:val="single" w:sz="4" w:space="0" w:color="auto"/>
            </w:tcBorders>
            <w:noWrap/>
            <w:hideMark/>
          </w:tcPr>
          <w:p w:rsidR="00527418" w:rsidRPr="00F9524A" w:rsidRDefault="00527418" w:rsidP="003663B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9524A">
              <w:rPr>
                <w:rFonts w:ascii="Times New Roman" w:eastAsia="Times New Roman" w:hAnsi="Times New Roman" w:cs="Times New Roman"/>
                <w:color w:val="000000"/>
                <w:sz w:val="20"/>
                <w:szCs w:val="20"/>
              </w:rPr>
              <w:t>0.0085</w:t>
            </w:r>
          </w:p>
        </w:tc>
      </w:tr>
      <w:tr w:rsidR="00527418" w:rsidRPr="00F9524A" w:rsidTr="003663B4">
        <w:trPr>
          <w:trHeight w:val="300"/>
        </w:trPr>
        <w:tc>
          <w:tcPr>
            <w:cnfStyle w:val="001000000000" w:firstRow="0" w:lastRow="0" w:firstColumn="1" w:lastColumn="0" w:oddVBand="0" w:evenVBand="0" w:oddHBand="0" w:evenHBand="0" w:firstRowFirstColumn="0" w:firstRowLastColumn="0" w:lastRowFirstColumn="0" w:lastRowLastColumn="0"/>
            <w:tcW w:w="603" w:type="pct"/>
            <w:tcBorders>
              <w:left w:val="single" w:sz="4" w:space="0" w:color="auto"/>
            </w:tcBorders>
            <w:noWrap/>
            <w:hideMark/>
          </w:tcPr>
          <w:p w:rsidR="00527418" w:rsidRPr="00F9524A" w:rsidRDefault="00527418" w:rsidP="003663B4">
            <w:pPr>
              <w:spacing w:line="360" w:lineRule="auto"/>
              <w:jc w:val="left"/>
              <w:rPr>
                <w:rFonts w:ascii="Times New Roman" w:eastAsia="Times New Roman" w:hAnsi="Times New Roman" w:cs="Times New Roman"/>
                <w:color w:val="000000"/>
                <w:sz w:val="20"/>
                <w:szCs w:val="20"/>
              </w:rPr>
            </w:pPr>
          </w:p>
        </w:tc>
        <w:tc>
          <w:tcPr>
            <w:tcW w:w="355" w:type="pct"/>
            <w:noWrap/>
            <w:hideMark/>
          </w:tcPr>
          <w:p w:rsidR="00527418" w:rsidRPr="00F9524A" w:rsidRDefault="00527418" w:rsidP="003663B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9524A">
              <w:rPr>
                <w:rFonts w:ascii="Times New Roman" w:eastAsia="Times New Roman" w:hAnsi="Times New Roman" w:cs="Times New Roman"/>
                <w:color w:val="000000"/>
                <w:sz w:val="20"/>
                <w:szCs w:val="20"/>
              </w:rPr>
              <w:t>2</w:t>
            </w:r>
          </w:p>
        </w:tc>
        <w:tc>
          <w:tcPr>
            <w:tcW w:w="546" w:type="pct"/>
            <w:noWrap/>
            <w:hideMark/>
          </w:tcPr>
          <w:p w:rsidR="00527418" w:rsidRPr="00F9524A" w:rsidRDefault="00527418" w:rsidP="003663B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9524A">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.00</w:t>
            </w:r>
          </w:p>
        </w:tc>
        <w:tc>
          <w:tcPr>
            <w:tcW w:w="776" w:type="pct"/>
            <w:noWrap/>
            <w:hideMark/>
          </w:tcPr>
          <w:p w:rsidR="00527418" w:rsidRPr="00F9524A" w:rsidRDefault="00527418" w:rsidP="003663B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9524A">
              <w:rPr>
                <w:rFonts w:ascii="Times New Roman" w:eastAsia="Times New Roman" w:hAnsi="Times New Roman" w:cs="Times New Roman"/>
                <w:color w:val="000000"/>
                <w:sz w:val="20"/>
                <w:szCs w:val="20"/>
              </w:rPr>
              <w:t>1.16 (0.84 - 1.6</w:t>
            </w:r>
            <w:r>
              <w:rPr>
                <w:rFonts w:ascii="Times New Roman" w:eastAsia="Times New Roman" w:hAnsi="Times New Roman" w:cs="Times New Roman"/>
                <w:color w:val="000000"/>
                <w:sz w:val="20"/>
                <w:szCs w:val="20"/>
              </w:rPr>
              <w:t>0</w:t>
            </w:r>
            <w:r w:rsidRPr="00F9524A">
              <w:rPr>
                <w:rFonts w:ascii="Times New Roman" w:eastAsia="Times New Roman" w:hAnsi="Times New Roman" w:cs="Times New Roman"/>
                <w:color w:val="000000"/>
                <w:sz w:val="20"/>
                <w:szCs w:val="20"/>
              </w:rPr>
              <w:t>)</w:t>
            </w:r>
          </w:p>
        </w:tc>
        <w:tc>
          <w:tcPr>
            <w:tcW w:w="776" w:type="pct"/>
            <w:noWrap/>
            <w:hideMark/>
          </w:tcPr>
          <w:p w:rsidR="00527418" w:rsidRPr="00F9524A" w:rsidRDefault="00527418" w:rsidP="003663B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9524A">
              <w:rPr>
                <w:rFonts w:ascii="Times New Roman" w:eastAsia="Times New Roman" w:hAnsi="Times New Roman" w:cs="Times New Roman"/>
                <w:color w:val="000000"/>
                <w:sz w:val="20"/>
                <w:szCs w:val="20"/>
              </w:rPr>
              <w:t>1.21 (0.88 - 1.67)</w:t>
            </w:r>
          </w:p>
        </w:tc>
        <w:tc>
          <w:tcPr>
            <w:tcW w:w="776" w:type="pct"/>
            <w:noWrap/>
            <w:hideMark/>
          </w:tcPr>
          <w:p w:rsidR="00527418" w:rsidRPr="00F9524A" w:rsidRDefault="00527418" w:rsidP="003663B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9524A">
              <w:rPr>
                <w:rFonts w:ascii="Times New Roman" w:eastAsia="Times New Roman" w:hAnsi="Times New Roman" w:cs="Times New Roman"/>
                <w:color w:val="000000"/>
                <w:sz w:val="20"/>
                <w:szCs w:val="20"/>
              </w:rPr>
              <w:t>1.21 (0.88 - 1.66)</w:t>
            </w:r>
          </w:p>
        </w:tc>
        <w:tc>
          <w:tcPr>
            <w:tcW w:w="776" w:type="pct"/>
            <w:noWrap/>
            <w:hideMark/>
          </w:tcPr>
          <w:p w:rsidR="00527418" w:rsidRPr="00F9524A" w:rsidRDefault="00527418" w:rsidP="003663B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9524A">
              <w:rPr>
                <w:rFonts w:ascii="Times New Roman" w:eastAsia="Times New Roman" w:hAnsi="Times New Roman" w:cs="Times New Roman"/>
                <w:color w:val="000000"/>
                <w:sz w:val="20"/>
                <w:szCs w:val="20"/>
              </w:rPr>
              <w:t>1.43 (1.05 - 1.95)</w:t>
            </w:r>
          </w:p>
        </w:tc>
        <w:tc>
          <w:tcPr>
            <w:tcW w:w="392" w:type="pct"/>
            <w:tcBorders>
              <w:right w:val="single" w:sz="4" w:space="0" w:color="auto"/>
            </w:tcBorders>
            <w:noWrap/>
            <w:hideMark/>
          </w:tcPr>
          <w:p w:rsidR="00527418" w:rsidRPr="00F9524A" w:rsidRDefault="00527418" w:rsidP="003663B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9524A">
              <w:rPr>
                <w:rFonts w:ascii="Times New Roman" w:eastAsia="Times New Roman" w:hAnsi="Times New Roman" w:cs="Times New Roman"/>
                <w:color w:val="000000"/>
                <w:sz w:val="20"/>
                <w:szCs w:val="20"/>
              </w:rPr>
              <w:t>0.0311</w:t>
            </w:r>
          </w:p>
        </w:tc>
      </w:tr>
      <w:tr w:rsidR="00527418" w:rsidRPr="00F9524A" w:rsidTr="003663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3" w:type="pct"/>
            <w:tcBorders>
              <w:left w:val="single" w:sz="4" w:space="0" w:color="auto"/>
              <w:bottom w:val="single" w:sz="4" w:space="0" w:color="auto"/>
            </w:tcBorders>
            <w:noWrap/>
            <w:hideMark/>
          </w:tcPr>
          <w:p w:rsidR="00527418" w:rsidRPr="00F9524A" w:rsidRDefault="00527418" w:rsidP="003663B4">
            <w:pPr>
              <w:spacing w:line="360" w:lineRule="auto"/>
              <w:jc w:val="left"/>
              <w:rPr>
                <w:rFonts w:ascii="Times New Roman" w:eastAsia="Times New Roman" w:hAnsi="Times New Roman" w:cs="Times New Roman"/>
                <w:color w:val="000000"/>
                <w:sz w:val="20"/>
                <w:szCs w:val="20"/>
              </w:rPr>
            </w:pPr>
          </w:p>
        </w:tc>
        <w:tc>
          <w:tcPr>
            <w:tcW w:w="355" w:type="pct"/>
            <w:tcBorders>
              <w:bottom w:val="single" w:sz="4" w:space="0" w:color="auto"/>
            </w:tcBorders>
            <w:noWrap/>
            <w:hideMark/>
          </w:tcPr>
          <w:p w:rsidR="00527418" w:rsidRPr="00F9524A" w:rsidRDefault="00527418" w:rsidP="003663B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9524A">
              <w:rPr>
                <w:rFonts w:ascii="Times New Roman" w:eastAsia="Times New Roman" w:hAnsi="Times New Roman" w:cs="Times New Roman"/>
                <w:color w:val="000000"/>
                <w:sz w:val="20"/>
                <w:szCs w:val="20"/>
              </w:rPr>
              <w:t>3</w:t>
            </w:r>
          </w:p>
        </w:tc>
        <w:tc>
          <w:tcPr>
            <w:tcW w:w="546" w:type="pct"/>
            <w:tcBorders>
              <w:bottom w:val="single" w:sz="4" w:space="0" w:color="auto"/>
            </w:tcBorders>
            <w:noWrap/>
            <w:hideMark/>
          </w:tcPr>
          <w:p w:rsidR="00527418" w:rsidRPr="00F9524A" w:rsidRDefault="00527418" w:rsidP="003663B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9524A">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.00</w:t>
            </w:r>
          </w:p>
        </w:tc>
        <w:tc>
          <w:tcPr>
            <w:tcW w:w="776" w:type="pct"/>
            <w:tcBorders>
              <w:bottom w:val="single" w:sz="4" w:space="0" w:color="auto"/>
            </w:tcBorders>
            <w:noWrap/>
            <w:hideMark/>
          </w:tcPr>
          <w:p w:rsidR="00527418" w:rsidRPr="00F9524A" w:rsidRDefault="00527418" w:rsidP="003663B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9524A">
              <w:rPr>
                <w:rFonts w:ascii="Times New Roman" w:eastAsia="Times New Roman" w:hAnsi="Times New Roman" w:cs="Times New Roman"/>
                <w:color w:val="000000"/>
                <w:sz w:val="20"/>
                <w:szCs w:val="20"/>
              </w:rPr>
              <w:t>1.15 (0.83 - 1.61)</w:t>
            </w:r>
          </w:p>
        </w:tc>
        <w:tc>
          <w:tcPr>
            <w:tcW w:w="776" w:type="pct"/>
            <w:tcBorders>
              <w:bottom w:val="single" w:sz="4" w:space="0" w:color="auto"/>
            </w:tcBorders>
            <w:noWrap/>
            <w:hideMark/>
          </w:tcPr>
          <w:p w:rsidR="00527418" w:rsidRPr="00F9524A" w:rsidRDefault="00527418" w:rsidP="003663B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9524A">
              <w:rPr>
                <w:rFonts w:ascii="Times New Roman" w:eastAsia="Times New Roman" w:hAnsi="Times New Roman" w:cs="Times New Roman"/>
                <w:color w:val="000000"/>
                <w:sz w:val="20"/>
                <w:szCs w:val="20"/>
              </w:rPr>
              <w:t>1.14 (0.82 - 1.59)</w:t>
            </w:r>
          </w:p>
        </w:tc>
        <w:tc>
          <w:tcPr>
            <w:tcW w:w="776" w:type="pct"/>
            <w:tcBorders>
              <w:bottom w:val="single" w:sz="4" w:space="0" w:color="auto"/>
            </w:tcBorders>
            <w:noWrap/>
            <w:hideMark/>
          </w:tcPr>
          <w:p w:rsidR="00527418" w:rsidRPr="00F9524A" w:rsidRDefault="00527418" w:rsidP="003663B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9524A">
              <w:rPr>
                <w:rFonts w:ascii="Times New Roman" w:eastAsia="Times New Roman" w:hAnsi="Times New Roman" w:cs="Times New Roman"/>
                <w:color w:val="000000"/>
                <w:sz w:val="20"/>
                <w:szCs w:val="20"/>
              </w:rPr>
              <w:t>1.14 (0.82 - 1.58)</w:t>
            </w:r>
          </w:p>
        </w:tc>
        <w:tc>
          <w:tcPr>
            <w:tcW w:w="776" w:type="pct"/>
            <w:tcBorders>
              <w:bottom w:val="single" w:sz="4" w:space="0" w:color="auto"/>
            </w:tcBorders>
            <w:noWrap/>
            <w:hideMark/>
          </w:tcPr>
          <w:p w:rsidR="00527418" w:rsidRPr="00F9524A" w:rsidRDefault="00527418" w:rsidP="003663B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9524A">
              <w:rPr>
                <w:rFonts w:ascii="Times New Roman" w:eastAsia="Times New Roman" w:hAnsi="Times New Roman" w:cs="Times New Roman"/>
                <w:color w:val="000000"/>
                <w:sz w:val="20"/>
                <w:szCs w:val="20"/>
              </w:rPr>
              <w:t>1.25 (0.91 - 1.72)</w:t>
            </w:r>
          </w:p>
        </w:tc>
        <w:tc>
          <w:tcPr>
            <w:tcW w:w="392" w:type="pct"/>
            <w:tcBorders>
              <w:bottom w:val="single" w:sz="4" w:space="0" w:color="auto"/>
              <w:right w:val="single" w:sz="4" w:space="0" w:color="auto"/>
            </w:tcBorders>
            <w:noWrap/>
            <w:hideMark/>
          </w:tcPr>
          <w:p w:rsidR="00527418" w:rsidRPr="00F9524A" w:rsidRDefault="00527418" w:rsidP="003663B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9524A">
              <w:rPr>
                <w:rFonts w:ascii="Times New Roman" w:eastAsia="Times New Roman" w:hAnsi="Times New Roman" w:cs="Times New Roman"/>
                <w:color w:val="000000"/>
                <w:sz w:val="20"/>
                <w:szCs w:val="20"/>
              </w:rPr>
              <w:t>0.2261</w:t>
            </w:r>
          </w:p>
        </w:tc>
      </w:tr>
      <w:tr w:rsidR="00527418" w:rsidRPr="00F9524A" w:rsidTr="003663B4">
        <w:trPr>
          <w:trHeight w:val="300"/>
        </w:trPr>
        <w:tc>
          <w:tcPr>
            <w:cnfStyle w:val="001000000000" w:firstRow="0" w:lastRow="0" w:firstColumn="1" w:lastColumn="0" w:oddVBand="0" w:evenVBand="0" w:oddHBand="0" w:evenHBand="0" w:firstRowFirstColumn="0" w:firstRowLastColumn="0" w:lastRowFirstColumn="0" w:lastRowLastColumn="0"/>
            <w:tcW w:w="603" w:type="pct"/>
            <w:tcBorders>
              <w:top w:val="single" w:sz="4" w:space="0" w:color="auto"/>
              <w:left w:val="single" w:sz="4" w:space="0" w:color="auto"/>
            </w:tcBorders>
            <w:noWrap/>
            <w:hideMark/>
          </w:tcPr>
          <w:p w:rsidR="00527418" w:rsidRPr="00F9524A" w:rsidRDefault="00527418" w:rsidP="003663B4">
            <w:pPr>
              <w:spacing w:line="360" w:lineRule="auto"/>
              <w:jc w:val="left"/>
              <w:rPr>
                <w:rFonts w:ascii="Times New Roman" w:eastAsia="Times New Roman" w:hAnsi="Times New Roman" w:cs="Times New Roman"/>
                <w:color w:val="000000"/>
                <w:sz w:val="20"/>
                <w:szCs w:val="20"/>
              </w:rPr>
            </w:pPr>
            <w:r w:rsidRPr="00F9524A">
              <w:rPr>
                <w:rFonts w:ascii="Times New Roman" w:eastAsia="Times New Roman" w:hAnsi="Times New Roman" w:cs="Times New Roman"/>
                <w:color w:val="000000"/>
                <w:sz w:val="20"/>
                <w:szCs w:val="20"/>
              </w:rPr>
              <w:t>OH-2, n (%)</w:t>
            </w:r>
          </w:p>
        </w:tc>
        <w:tc>
          <w:tcPr>
            <w:tcW w:w="355" w:type="pct"/>
            <w:tcBorders>
              <w:top w:val="single" w:sz="4" w:space="0" w:color="auto"/>
            </w:tcBorders>
            <w:noWrap/>
            <w:hideMark/>
          </w:tcPr>
          <w:p w:rsidR="00527418" w:rsidRPr="00F9524A" w:rsidRDefault="00527418" w:rsidP="003663B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9524A">
              <w:rPr>
                <w:rFonts w:ascii="Times New Roman" w:eastAsia="Times New Roman" w:hAnsi="Times New Roman" w:cs="Times New Roman"/>
                <w:color w:val="000000"/>
                <w:sz w:val="20"/>
                <w:szCs w:val="20"/>
              </w:rPr>
              <w:t> </w:t>
            </w:r>
          </w:p>
        </w:tc>
        <w:tc>
          <w:tcPr>
            <w:tcW w:w="546" w:type="pct"/>
            <w:tcBorders>
              <w:top w:val="single" w:sz="4" w:space="0" w:color="auto"/>
            </w:tcBorders>
            <w:noWrap/>
            <w:hideMark/>
          </w:tcPr>
          <w:p w:rsidR="00527418" w:rsidRPr="00F9524A" w:rsidRDefault="00527418" w:rsidP="003663B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9524A">
              <w:rPr>
                <w:rFonts w:ascii="Times New Roman" w:eastAsia="Times New Roman" w:hAnsi="Times New Roman" w:cs="Times New Roman"/>
                <w:color w:val="000000"/>
                <w:sz w:val="20"/>
                <w:szCs w:val="20"/>
              </w:rPr>
              <w:t>39 (5.36)</w:t>
            </w:r>
          </w:p>
        </w:tc>
        <w:tc>
          <w:tcPr>
            <w:tcW w:w="776" w:type="pct"/>
            <w:tcBorders>
              <w:top w:val="single" w:sz="4" w:space="0" w:color="auto"/>
            </w:tcBorders>
            <w:noWrap/>
            <w:hideMark/>
          </w:tcPr>
          <w:p w:rsidR="00527418" w:rsidRPr="00F9524A" w:rsidRDefault="00527418" w:rsidP="003663B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9524A">
              <w:rPr>
                <w:rFonts w:ascii="Times New Roman" w:eastAsia="Times New Roman" w:hAnsi="Times New Roman" w:cs="Times New Roman"/>
                <w:color w:val="000000"/>
                <w:sz w:val="20"/>
                <w:szCs w:val="20"/>
              </w:rPr>
              <w:t>54 (7.47)</w:t>
            </w:r>
          </w:p>
        </w:tc>
        <w:tc>
          <w:tcPr>
            <w:tcW w:w="776" w:type="pct"/>
            <w:tcBorders>
              <w:top w:val="single" w:sz="4" w:space="0" w:color="auto"/>
            </w:tcBorders>
            <w:noWrap/>
            <w:hideMark/>
          </w:tcPr>
          <w:p w:rsidR="00527418" w:rsidRPr="00F9524A" w:rsidRDefault="00527418" w:rsidP="003663B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9524A">
              <w:rPr>
                <w:rFonts w:ascii="Times New Roman" w:eastAsia="Times New Roman" w:hAnsi="Times New Roman" w:cs="Times New Roman"/>
                <w:color w:val="000000"/>
                <w:sz w:val="20"/>
                <w:szCs w:val="20"/>
              </w:rPr>
              <w:t>52 (7.21)</w:t>
            </w:r>
          </w:p>
        </w:tc>
        <w:tc>
          <w:tcPr>
            <w:tcW w:w="776" w:type="pct"/>
            <w:tcBorders>
              <w:top w:val="single" w:sz="4" w:space="0" w:color="auto"/>
            </w:tcBorders>
            <w:noWrap/>
            <w:hideMark/>
          </w:tcPr>
          <w:p w:rsidR="00527418" w:rsidRPr="00F9524A" w:rsidRDefault="00527418" w:rsidP="003663B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9524A">
              <w:rPr>
                <w:rFonts w:ascii="Times New Roman" w:eastAsia="Times New Roman" w:hAnsi="Times New Roman" w:cs="Times New Roman"/>
                <w:color w:val="000000"/>
                <w:sz w:val="20"/>
                <w:szCs w:val="20"/>
              </w:rPr>
              <w:t>59 (8.18)</w:t>
            </w:r>
          </w:p>
        </w:tc>
        <w:tc>
          <w:tcPr>
            <w:tcW w:w="776" w:type="pct"/>
            <w:tcBorders>
              <w:top w:val="single" w:sz="4" w:space="0" w:color="auto"/>
            </w:tcBorders>
            <w:noWrap/>
            <w:hideMark/>
          </w:tcPr>
          <w:p w:rsidR="00527418" w:rsidRPr="00F9524A" w:rsidRDefault="00527418" w:rsidP="003663B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9524A">
              <w:rPr>
                <w:rFonts w:ascii="Times New Roman" w:eastAsia="Times New Roman" w:hAnsi="Times New Roman" w:cs="Times New Roman"/>
                <w:color w:val="000000"/>
                <w:sz w:val="20"/>
                <w:szCs w:val="20"/>
              </w:rPr>
              <w:t>39 (5.37)</w:t>
            </w:r>
          </w:p>
        </w:tc>
        <w:tc>
          <w:tcPr>
            <w:tcW w:w="392" w:type="pct"/>
            <w:tcBorders>
              <w:top w:val="single" w:sz="4" w:space="0" w:color="auto"/>
              <w:right w:val="single" w:sz="4" w:space="0" w:color="auto"/>
            </w:tcBorders>
            <w:noWrap/>
            <w:hideMark/>
          </w:tcPr>
          <w:p w:rsidR="00527418" w:rsidRPr="00F9524A" w:rsidRDefault="00527418" w:rsidP="003663B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9524A">
              <w:rPr>
                <w:rFonts w:ascii="Times New Roman" w:eastAsia="Times New Roman" w:hAnsi="Times New Roman" w:cs="Times New Roman"/>
                <w:color w:val="000000"/>
                <w:sz w:val="20"/>
                <w:szCs w:val="20"/>
              </w:rPr>
              <w:t> </w:t>
            </w:r>
          </w:p>
        </w:tc>
      </w:tr>
      <w:tr w:rsidR="00527418" w:rsidRPr="00F9524A" w:rsidTr="003663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3" w:type="pct"/>
            <w:tcBorders>
              <w:left w:val="single" w:sz="4" w:space="0" w:color="auto"/>
            </w:tcBorders>
            <w:noWrap/>
            <w:hideMark/>
          </w:tcPr>
          <w:p w:rsidR="00527418" w:rsidRPr="00F9524A" w:rsidRDefault="00527418" w:rsidP="003663B4">
            <w:pPr>
              <w:spacing w:line="360" w:lineRule="auto"/>
              <w:jc w:val="left"/>
              <w:rPr>
                <w:rFonts w:ascii="Times New Roman" w:eastAsia="Times New Roman" w:hAnsi="Times New Roman" w:cs="Times New Roman"/>
                <w:color w:val="000000"/>
                <w:sz w:val="20"/>
                <w:szCs w:val="20"/>
              </w:rPr>
            </w:pPr>
          </w:p>
        </w:tc>
        <w:tc>
          <w:tcPr>
            <w:tcW w:w="355" w:type="pct"/>
            <w:noWrap/>
            <w:hideMark/>
          </w:tcPr>
          <w:p w:rsidR="00527418" w:rsidRPr="00F9524A" w:rsidRDefault="00527418" w:rsidP="003663B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9524A">
              <w:rPr>
                <w:rFonts w:ascii="Times New Roman" w:eastAsia="Times New Roman" w:hAnsi="Times New Roman" w:cs="Times New Roman"/>
                <w:color w:val="000000"/>
                <w:sz w:val="20"/>
                <w:szCs w:val="20"/>
              </w:rPr>
              <w:t>1</w:t>
            </w:r>
          </w:p>
        </w:tc>
        <w:tc>
          <w:tcPr>
            <w:tcW w:w="546" w:type="pct"/>
            <w:noWrap/>
            <w:hideMark/>
          </w:tcPr>
          <w:p w:rsidR="00527418" w:rsidRPr="00F9524A" w:rsidRDefault="00527418" w:rsidP="003663B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9524A">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.00</w:t>
            </w:r>
          </w:p>
        </w:tc>
        <w:tc>
          <w:tcPr>
            <w:tcW w:w="776" w:type="pct"/>
            <w:noWrap/>
            <w:hideMark/>
          </w:tcPr>
          <w:p w:rsidR="00527418" w:rsidRPr="00F9524A" w:rsidRDefault="00527418" w:rsidP="003663B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9524A">
              <w:rPr>
                <w:rFonts w:ascii="Times New Roman" w:eastAsia="Times New Roman" w:hAnsi="Times New Roman" w:cs="Times New Roman"/>
                <w:color w:val="000000"/>
                <w:sz w:val="20"/>
                <w:szCs w:val="20"/>
              </w:rPr>
              <w:t>1.45 (0.95 - 2.23)</w:t>
            </w:r>
          </w:p>
        </w:tc>
        <w:tc>
          <w:tcPr>
            <w:tcW w:w="776" w:type="pct"/>
            <w:noWrap/>
            <w:hideMark/>
          </w:tcPr>
          <w:p w:rsidR="00527418" w:rsidRPr="00F9524A" w:rsidRDefault="00527418" w:rsidP="003663B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9524A">
              <w:rPr>
                <w:rFonts w:ascii="Times New Roman" w:eastAsia="Times New Roman" w:hAnsi="Times New Roman" w:cs="Times New Roman"/>
                <w:color w:val="000000"/>
                <w:sz w:val="20"/>
                <w:szCs w:val="20"/>
              </w:rPr>
              <w:t>1.41 (0.92 - 2.16)</w:t>
            </w:r>
          </w:p>
        </w:tc>
        <w:tc>
          <w:tcPr>
            <w:tcW w:w="776" w:type="pct"/>
            <w:noWrap/>
            <w:hideMark/>
          </w:tcPr>
          <w:p w:rsidR="00527418" w:rsidRPr="00F9524A" w:rsidRDefault="00527418" w:rsidP="003663B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9524A">
              <w:rPr>
                <w:rFonts w:ascii="Times New Roman" w:eastAsia="Times New Roman" w:hAnsi="Times New Roman" w:cs="Times New Roman"/>
                <w:color w:val="000000"/>
                <w:sz w:val="20"/>
                <w:szCs w:val="20"/>
              </w:rPr>
              <w:t>1.62 (1.06 - 2.47)</w:t>
            </w:r>
          </w:p>
        </w:tc>
        <w:tc>
          <w:tcPr>
            <w:tcW w:w="776" w:type="pct"/>
            <w:noWrap/>
            <w:hideMark/>
          </w:tcPr>
          <w:p w:rsidR="00527418" w:rsidRPr="00F9524A" w:rsidRDefault="00527418" w:rsidP="003663B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9524A">
              <w:rPr>
                <w:rFonts w:ascii="Times New Roman" w:eastAsia="Times New Roman" w:hAnsi="Times New Roman" w:cs="Times New Roman"/>
                <w:color w:val="000000"/>
                <w:sz w:val="20"/>
                <w:szCs w:val="20"/>
              </w:rPr>
              <w:t>1.06 (0.67 - 1.68)</w:t>
            </w:r>
          </w:p>
        </w:tc>
        <w:tc>
          <w:tcPr>
            <w:tcW w:w="392" w:type="pct"/>
            <w:tcBorders>
              <w:right w:val="single" w:sz="4" w:space="0" w:color="auto"/>
            </w:tcBorders>
            <w:noWrap/>
            <w:hideMark/>
          </w:tcPr>
          <w:p w:rsidR="00527418" w:rsidRPr="00F9524A" w:rsidRDefault="00527418" w:rsidP="003663B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9524A">
              <w:rPr>
                <w:rFonts w:ascii="Times New Roman" w:eastAsia="Times New Roman" w:hAnsi="Times New Roman" w:cs="Times New Roman"/>
                <w:color w:val="000000"/>
                <w:sz w:val="20"/>
                <w:szCs w:val="20"/>
              </w:rPr>
              <w:t>0.603</w:t>
            </w:r>
            <w:r>
              <w:rPr>
                <w:rFonts w:ascii="Times New Roman" w:eastAsia="Times New Roman" w:hAnsi="Times New Roman" w:cs="Times New Roman"/>
                <w:color w:val="000000"/>
                <w:sz w:val="20"/>
                <w:szCs w:val="20"/>
              </w:rPr>
              <w:t>0</w:t>
            </w:r>
          </w:p>
        </w:tc>
      </w:tr>
      <w:tr w:rsidR="00527418" w:rsidRPr="00F9524A" w:rsidTr="003663B4">
        <w:trPr>
          <w:trHeight w:val="300"/>
        </w:trPr>
        <w:tc>
          <w:tcPr>
            <w:cnfStyle w:val="001000000000" w:firstRow="0" w:lastRow="0" w:firstColumn="1" w:lastColumn="0" w:oddVBand="0" w:evenVBand="0" w:oddHBand="0" w:evenHBand="0" w:firstRowFirstColumn="0" w:firstRowLastColumn="0" w:lastRowFirstColumn="0" w:lastRowLastColumn="0"/>
            <w:tcW w:w="603" w:type="pct"/>
            <w:tcBorders>
              <w:left w:val="single" w:sz="4" w:space="0" w:color="auto"/>
            </w:tcBorders>
            <w:noWrap/>
            <w:hideMark/>
          </w:tcPr>
          <w:p w:rsidR="00527418" w:rsidRPr="00F9524A" w:rsidRDefault="00527418" w:rsidP="003663B4">
            <w:pPr>
              <w:spacing w:line="360" w:lineRule="auto"/>
              <w:jc w:val="left"/>
              <w:rPr>
                <w:rFonts w:ascii="Times New Roman" w:eastAsia="Times New Roman" w:hAnsi="Times New Roman" w:cs="Times New Roman"/>
                <w:color w:val="000000"/>
                <w:sz w:val="20"/>
                <w:szCs w:val="20"/>
              </w:rPr>
            </w:pPr>
          </w:p>
        </w:tc>
        <w:tc>
          <w:tcPr>
            <w:tcW w:w="355" w:type="pct"/>
            <w:noWrap/>
            <w:hideMark/>
          </w:tcPr>
          <w:p w:rsidR="00527418" w:rsidRPr="00F9524A" w:rsidRDefault="00527418" w:rsidP="003663B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9524A">
              <w:rPr>
                <w:rFonts w:ascii="Times New Roman" w:eastAsia="Times New Roman" w:hAnsi="Times New Roman" w:cs="Times New Roman"/>
                <w:color w:val="000000"/>
                <w:sz w:val="20"/>
                <w:szCs w:val="20"/>
              </w:rPr>
              <w:t>2</w:t>
            </w:r>
          </w:p>
        </w:tc>
        <w:tc>
          <w:tcPr>
            <w:tcW w:w="546" w:type="pct"/>
            <w:noWrap/>
            <w:hideMark/>
          </w:tcPr>
          <w:p w:rsidR="00527418" w:rsidRPr="00F9524A" w:rsidRDefault="00527418" w:rsidP="003663B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9524A">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.00</w:t>
            </w:r>
          </w:p>
        </w:tc>
        <w:tc>
          <w:tcPr>
            <w:tcW w:w="776" w:type="pct"/>
            <w:noWrap/>
            <w:hideMark/>
          </w:tcPr>
          <w:p w:rsidR="00527418" w:rsidRPr="00F9524A" w:rsidRDefault="00527418" w:rsidP="003663B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9524A">
              <w:rPr>
                <w:rFonts w:ascii="Times New Roman" w:eastAsia="Times New Roman" w:hAnsi="Times New Roman" w:cs="Times New Roman"/>
                <w:color w:val="000000"/>
                <w:sz w:val="20"/>
                <w:szCs w:val="20"/>
              </w:rPr>
              <w:t>1.44 (0.94 - 2.2</w:t>
            </w:r>
            <w:r>
              <w:rPr>
                <w:rFonts w:ascii="Times New Roman" w:eastAsia="Times New Roman" w:hAnsi="Times New Roman" w:cs="Times New Roman"/>
                <w:color w:val="000000"/>
                <w:sz w:val="20"/>
                <w:szCs w:val="20"/>
              </w:rPr>
              <w:t>0</w:t>
            </w:r>
            <w:r w:rsidRPr="00F9524A">
              <w:rPr>
                <w:rFonts w:ascii="Times New Roman" w:eastAsia="Times New Roman" w:hAnsi="Times New Roman" w:cs="Times New Roman"/>
                <w:color w:val="000000"/>
                <w:sz w:val="20"/>
                <w:szCs w:val="20"/>
              </w:rPr>
              <w:t>)</w:t>
            </w:r>
          </w:p>
        </w:tc>
        <w:tc>
          <w:tcPr>
            <w:tcW w:w="776" w:type="pct"/>
            <w:noWrap/>
            <w:hideMark/>
          </w:tcPr>
          <w:p w:rsidR="00527418" w:rsidRPr="00F9524A" w:rsidRDefault="00527418" w:rsidP="003663B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9524A">
              <w:rPr>
                <w:rFonts w:ascii="Times New Roman" w:eastAsia="Times New Roman" w:hAnsi="Times New Roman" w:cs="Times New Roman"/>
                <w:color w:val="000000"/>
                <w:sz w:val="20"/>
                <w:szCs w:val="20"/>
              </w:rPr>
              <w:t>1.39 (0.91 - 2.15)</w:t>
            </w:r>
          </w:p>
        </w:tc>
        <w:tc>
          <w:tcPr>
            <w:tcW w:w="776" w:type="pct"/>
            <w:noWrap/>
            <w:hideMark/>
          </w:tcPr>
          <w:p w:rsidR="00527418" w:rsidRPr="00F9524A" w:rsidRDefault="00527418" w:rsidP="003663B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9524A">
              <w:rPr>
                <w:rFonts w:ascii="Times New Roman" w:eastAsia="Times New Roman" w:hAnsi="Times New Roman" w:cs="Times New Roman"/>
                <w:color w:val="000000"/>
                <w:sz w:val="20"/>
                <w:szCs w:val="20"/>
              </w:rPr>
              <w:t>1.58 (1.03 - 2.4</w:t>
            </w:r>
            <w:r>
              <w:rPr>
                <w:rFonts w:ascii="Times New Roman" w:eastAsia="Times New Roman" w:hAnsi="Times New Roman" w:cs="Times New Roman"/>
                <w:color w:val="000000"/>
                <w:sz w:val="20"/>
                <w:szCs w:val="20"/>
              </w:rPr>
              <w:t>0</w:t>
            </w:r>
            <w:r w:rsidRPr="00F9524A">
              <w:rPr>
                <w:rFonts w:ascii="Times New Roman" w:eastAsia="Times New Roman" w:hAnsi="Times New Roman" w:cs="Times New Roman"/>
                <w:color w:val="000000"/>
                <w:sz w:val="20"/>
                <w:szCs w:val="20"/>
              </w:rPr>
              <w:t>)</w:t>
            </w:r>
          </w:p>
        </w:tc>
        <w:tc>
          <w:tcPr>
            <w:tcW w:w="776" w:type="pct"/>
            <w:noWrap/>
            <w:hideMark/>
          </w:tcPr>
          <w:p w:rsidR="00527418" w:rsidRPr="00F9524A" w:rsidRDefault="00527418" w:rsidP="003663B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9524A">
              <w:rPr>
                <w:rFonts w:ascii="Times New Roman" w:eastAsia="Times New Roman" w:hAnsi="Times New Roman" w:cs="Times New Roman"/>
                <w:color w:val="000000"/>
                <w:sz w:val="20"/>
                <w:szCs w:val="20"/>
              </w:rPr>
              <w:t>1.02 (0.64 - 1.61)</w:t>
            </w:r>
          </w:p>
        </w:tc>
        <w:tc>
          <w:tcPr>
            <w:tcW w:w="392" w:type="pct"/>
            <w:tcBorders>
              <w:right w:val="single" w:sz="4" w:space="0" w:color="auto"/>
            </w:tcBorders>
            <w:noWrap/>
            <w:hideMark/>
          </w:tcPr>
          <w:p w:rsidR="00527418" w:rsidRPr="00F9524A" w:rsidRDefault="00527418" w:rsidP="003663B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9524A">
              <w:rPr>
                <w:rFonts w:ascii="Times New Roman" w:eastAsia="Times New Roman" w:hAnsi="Times New Roman" w:cs="Times New Roman"/>
                <w:color w:val="000000"/>
                <w:sz w:val="20"/>
                <w:szCs w:val="20"/>
              </w:rPr>
              <w:t>0.7624</w:t>
            </w:r>
          </w:p>
        </w:tc>
      </w:tr>
      <w:tr w:rsidR="00527418" w:rsidRPr="00F9524A" w:rsidTr="003663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3" w:type="pct"/>
            <w:tcBorders>
              <w:left w:val="single" w:sz="4" w:space="0" w:color="auto"/>
              <w:bottom w:val="single" w:sz="4" w:space="0" w:color="auto"/>
            </w:tcBorders>
            <w:noWrap/>
            <w:hideMark/>
          </w:tcPr>
          <w:p w:rsidR="00527418" w:rsidRPr="00F9524A" w:rsidRDefault="00527418" w:rsidP="003663B4">
            <w:pPr>
              <w:spacing w:line="360" w:lineRule="auto"/>
              <w:jc w:val="left"/>
              <w:rPr>
                <w:rFonts w:ascii="Times New Roman" w:eastAsia="Times New Roman" w:hAnsi="Times New Roman" w:cs="Times New Roman"/>
                <w:color w:val="000000"/>
                <w:sz w:val="20"/>
                <w:szCs w:val="20"/>
              </w:rPr>
            </w:pPr>
          </w:p>
        </w:tc>
        <w:tc>
          <w:tcPr>
            <w:tcW w:w="355" w:type="pct"/>
            <w:tcBorders>
              <w:bottom w:val="single" w:sz="4" w:space="0" w:color="auto"/>
            </w:tcBorders>
            <w:noWrap/>
            <w:hideMark/>
          </w:tcPr>
          <w:p w:rsidR="00527418" w:rsidRPr="00F9524A" w:rsidRDefault="00527418" w:rsidP="003663B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9524A">
              <w:rPr>
                <w:rFonts w:ascii="Times New Roman" w:eastAsia="Times New Roman" w:hAnsi="Times New Roman" w:cs="Times New Roman"/>
                <w:color w:val="000000"/>
                <w:sz w:val="20"/>
                <w:szCs w:val="20"/>
              </w:rPr>
              <w:t>3</w:t>
            </w:r>
          </w:p>
        </w:tc>
        <w:tc>
          <w:tcPr>
            <w:tcW w:w="546" w:type="pct"/>
            <w:tcBorders>
              <w:bottom w:val="single" w:sz="4" w:space="0" w:color="auto"/>
            </w:tcBorders>
            <w:noWrap/>
            <w:hideMark/>
          </w:tcPr>
          <w:p w:rsidR="00527418" w:rsidRPr="00F9524A" w:rsidRDefault="00527418" w:rsidP="003663B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9524A">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.00</w:t>
            </w:r>
          </w:p>
        </w:tc>
        <w:tc>
          <w:tcPr>
            <w:tcW w:w="776" w:type="pct"/>
            <w:tcBorders>
              <w:bottom w:val="single" w:sz="4" w:space="0" w:color="auto"/>
            </w:tcBorders>
            <w:noWrap/>
            <w:hideMark/>
          </w:tcPr>
          <w:p w:rsidR="00527418" w:rsidRPr="00F9524A" w:rsidRDefault="00527418" w:rsidP="003663B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9524A">
              <w:rPr>
                <w:rFonts w:ascii="Times New Roman" w:eastAsia="Times New Roman" w:hAnsi="Times New Roman" w:cs="Times New Roman"/>
                <w:color w:val="000000"/>
                <w:sz w:val="20"/>
                <w:szCs w:val="20"/>
              </w:rPr>
              <w:t>1.42 (0.93 - 2.19)</w:t>
            </w:r>
          </w:p>
        </w:tc>
        <w:tc>
          <w:tcPr>
            <w:tcW w:w="776" w:type="pct"/>
            <w:tcBorders>
              <w:bottom w:val="single" w:sz="4" w:space="0" w:color="auto"/>
            </w:tcBorders>
            <w:noWrap/>
            <w:hideMark/>
          </w:tcPr>
          <w:p w:rsidR="00527418" w:rsidRPr="00F9524A" w:rsidRDefault="00527418" w:rsidP="003663B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9524A">
              <w:rPr>
                <w:rFonts w:ascii="Times New Roman" w:eastAsia="Times New Roman" w:hAnsi="Times New Roman" w:cs="Times New Roman"/>
                <w:color w:val="000000"/>
                <w:sz w:val="20"/>
                <w:szCs w:val="20"/>
              </w:rPr>
              <w:t>1.32 (0.85 - 2.04)</w:t>
            </w:r>
          </w:p>
        </w:tc>
        <w:tc>
          <w:tcPr>
            <w:tcW w:w="776" w:type="pct"/>
            <w:tcBorders>
              <w:bottom w:val="single" w:sz="4" w:space="0" w:color="auto"/>
            </w:tcBorders>
            <w:noWrap/>
            <w:hideMark/>
          </w:tcPr>
          <w:p w:rsidR="00527418" w:rsidRPr="00F9524A" w:rsidRDefault="00527418" w:rsidP="003663B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9524A">
              <w:rPr>
                <w:rFonts w:ascii="Times New Roman" w:eastAsia="Times New Roman" w:hAnsi="Times New Roman" w:cs="Times New Roman"/>
                <w:color w:val="000000"/>
                <w:sz w:val="20"/>
                <w:szCs w:val="20"/>
              </w:rPr>
              <w:t>1.49 (0.97 - 2.27)</w:t>
            </w:r>
          </w:p>
        </w:tc>
        <w:tc>
          <w:tcPr>
            <w:tcW w:w="776" w:type="pct"/>
            <w:tcBorders>
              <w:bottom w:val="single" w:sz="4" w:space="0" w:color="auto"/>
            </w:tcBorders>
            <w:noWrap/>
            <w:hideMark/>
          </w:tcPr>
          <w:p w:rsidR="00527418" w:rsidRPr="00F9524A" w:rsidRDefault="00527418" w:rsidP="003663B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9524A">
              <w:rPr>
                <w:rFonts w:ascii="Times New Roman" w:eastAsia="Times New Roman" w:hAnsi="Times New Roman" w:cs="Times New Roman"/>
                <w:color w:val="000000"/>
                <w:sz w:val="20"/>
                <w:szCs w:val="20"/>
              </w:rPr>
              <w:t>0.88 (0.55 - 1.4</w:t>
            </w:r>
            <w:r>
              <w:rPr>
                <w:rFonts w:ascii="Times New Roman" w:eastAsia="Times New Roman" w:hAnsi="Times New Roman" w:cs="Times New Roman"/>
                <w:color w:val="000000"/>
                <w:sz w:val="20"/>
                <w:szCs w:val="20"/>
              </w:rPr>
              <w:t>0</w:t>
            </w:r>
            <w:r w:rsidRPr="00F9524A">
              <w:rPr>
                <w:rFonts w:ascii="Times New Roman" w:eastAsia="Times New Roman" w:hAnsi="Times New Roman" w:cs="Times New Roman"/>
                <w:color w:val="000000"/>
                <w:sz w:val="20"/>
                <w:szCs w:val="20"/>
              </w:rPr>
              <w:t>)</w:t>
            </w:r>
          </w:p>
        </w:tc>
        <w:tc>
          <w:tcPr>
            <w:tcW w:w="392" w:type="pct"/>
            <w:tcBorders>
              <w:bottom w:val="single" w:sz="4" w:space="0" w:color="auto"/>
              <w:right w:val="single" w:sz="4" w:space="0" w:color="auto"/>
            </w:tcBorders>
            <w:noWrap/>
            <w:hideMark/>
          </w:tcPr>
          <w:p w:rsidR="00527418" w:rsidRPr="00F9524A" w:rsidRDefault="00527418" w:rsidP="003663B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9524A">
              <w:rPr>
                <w:rFonts w:ascii="Times New Roman" w:eastAsia="Times New Roman" w:hAnsi="Times New Roman" w:cs="Times New Roman"/>
                <w:color w:val="000000"/>
                <w:sz w:val="20"/>
                <w:szCs w:val="20"/>
              </w:rPr>
              <w:t>0.6956</w:t>
            </w:r>
          </w:p>
        </w:tc>
      </w:tr>
    </w:tbl>
    <w:p w:rsidR="00527418" w:rsidRDefault="00527418" w:rsidP="00527418">
      <w:pPr>
        <w:rPr>
          <w:rFonts w:ascii="Times New Roman" w:hAnsi="Times New Roman" w:cs="Times New Roman"/>
          <w:sz w:val="24"/>
          <w:szCs w:val="24"/>
        </w:rPr>
      </w:pPr>
      <w:r>
        <w:rPr>
          <w:rFonts w:ascii="Times New Roman" w:hAnsi="Times New Roman" w:cs="Times New Roman"/>
          <w:sz w:val="24"/>
          <w:szCs w:val="24"/>
        </w:rPr>
        <w:t xml:space="preserve">Model 1: unadjusted. Model 2: age-adjusted. Model 3: adjusted for age, BMI, resting pulse and mean sitting systolic blood pressure. </w:t>
      </w:r>
      <w:r w:rsidR="007D6278">
        <w:rPr>
          <w:rFonts w:ascii="Times New Roman" w:hAnsi="Times New Roman" w:cs="Times New Roman"/>
          <w:sz w:val="24"/>
          <w:szCs w:val="24"/>
        </w:rPr>
        <w:t>“OH-C” is consensus OH; “OH-1” is OH occurring within one minute of standing; “OH-2” is OH occurring after one minute of standing.</w:t>
      </w:r>
      <w:r w:rsidR="00D32C7B">
        <w:rPr>
          <w:rFonts w:ascii="Times New Roman" w:hAnsi="Times New Roman" w:cs="Times New Roman"/>
          <w:sz w:val="24"/>
          <w:szCs w:val="24"/>
        </w:rPr>
        <w:t xml:space="preserve"> The given p-value is the p for trend.</w:t>
      </w:r>
    </w:p>
    <w:p w:rsidR="00527418" w:rsidRDefault="00527418" w:rsidP="00527418">
      <w:pPr>
        <w:rPr>
          <w:rFonts w:ascii="Times New Roman" w:hAnsi="Times New Roman" w:cs="Times New Roman"/>
          <w:sz w:val="24"/>
          <w:szCs w:val="24"/>
        </w:rPr>
      </w:pPr>
      <w:r>
        <w:rPr>
          <w:rFonts w:ascii="Times New Roman" w:hAnsi="Times New Roman" w:cs="Times New Roman"/>
          <w:sz w:val="24"/>
          <w:szCs w:val="24"/>
        </w:rPr>
        <w:br w:type="page"/>
      </w:r>
    </w:p>
    <w:p w:rsidR="00FD56EF" w:rsidRDefault="00FD56EF" w:rsidP="00FD56EF">
      <w:pPr>
        <w:rPr>
          <w:rFonts w:ascii="Times New Roman" w:hAnsi="Times New Roman" w:cs="Times New Roman"/>
          <w:sz w:val="24"/>
          <w:szCs w:val="24"/>
        </w:rPr>
        <w:sectPr w:rsidR="00FD56EF" w:rsidSect="00FD56EF">
          <w:footerReference w:type="default" r:id="rId8"/>
          <w:pgSz w:w="12240" w:h="15840"/>
          <w:pgMar w:top="1440" w:right="1440" w:bottom="1440" w:left="1440" w:header="720" w:footer="720" w:gutter="0"/>
          <w:cols w:space="720"/>
          <w:docGrid w:linePitch="360"/>
        </w:sectPr>
      </w:pPr>
    </w:p>
    <w:p w:rsidR="00FD56EF" w:rsidRPr="00353352" w:rsidRDefault="00FD56EF" w:rsidP="00FD56EF">
      <w:pPr>
        <w:pStyle w:val="Caption"/>
        <w:keepNext/>
        <w:rPr>
          <w:rFonts w:ascii="Times New Roman" w:hAnsi="Times New Roman" w:cs="Times New Roman"/>
          <w:color w:val="auto"/>
          <w:sz w:val="24"/>
          <w:szCs w:val="24"/>
        </w:rPr>
      </w:pPr>
      <w:r w:rsidRPr="00353352">
        <w:rPr>
          <w:rFonts w:ascii="Times New Roman" w:hAnsi="Times New Roman" w:cs="Times New Roman"/>
          <w:color w:val="auto"/>
          <w:sz w:val="24"/>
          <w:szCs w:val="24"/>
        </w:rPr>
        <w:lastRenderedPageBreak/>
        <w:t>Table</w:t>
      </w:r>
      <w:r w:rsidR="006F6513">
        <w:rPr>
          <w:rFonts w:ascii="Times New Roman" w:hAnsi="Times New Roman" w:cs="Times New Roman"/>
          <w:color w:val="auto"/>
          <w:sz w:val="24"/>
          <w:szCs w:val="24"/>
        </w:rPr>
        <w:t xml:space="preserve"> </w:t>
      </w:r>
      <w:r w:rsidR="00527418">
        <w:rPr>
          <w:rFonts w:ascii="Times New Roman" w:hAnsi="Times New Roman" w:cs="Times New Roman"/>
          <w:color w:val="auto"/>
          <w:sz w:val="24"/>
          <w:szCs w:val="24"/>
        </w:rPr>
        <w:t>4</w:t>
      </w:r>
      <w:r w:rsidRPr="00353352">
        <w:rPr>
          <w:rFonts w:ascii="Times New Roman" w:hAnsi="Times New Roman" w:cs="Times New Roman"/>
          <w:color w:val="auto"/>
          <w:sz w:val="24"/>
          <w:szCs w:val="24"/>
        </w:rPr>
        <w:t xml:space="preserve">: </w:t>
      </w:r>
      <w:r>
        <w:rPr>
          <w:rFonts w:ascii="Times New Roman" w:hAnsi="Times New Roman" w:cs="Times New Roman"/>
          <w:color w:val="auto"/>
          <w:sz w:val="24"/>
          <w:szCs w:val="24"/>
        </w:rPr>
        <w:t>Comparison of cut-offs used to define vitamin D deficiency, reference groups and time point(s) after standing at which blood pressure measurements were taken to assess for OH</w:t>
      </w:r>
      <w:r w:rsidR="007D6278">
        <w:rPr>
          <w:rFonts w:ascii="Times New Roman" w:hAnsi="Times New Roman" w:cs="Times New Roman"/>
          <w:color w:val="auto"/>
          <w:sz w:val="24"/>
          <w:szCs w:val="24"/>
        </w:rPr>
        <w:t xml:space="preserve"> in different studies</w:t>
      </w:r>
    </w:p>
    <w:tbl>
      <w:tblPr>
        <w:tblStyle w:val="PlainTable5"/>
        <w:tblW w:w="4931" w:type="pct"/>
        <w:tblLayout w:type="fixed"/>
        <w:tblLook w:val="04A0" w:firstRow="1" w:lastRow="0" w:firstColumn="1" w:lastColumn="0" w:noHBand="0" w:noVBand="1"/>
      </w:tblPr>
      <w:tblGrid>
        <w:gridCol w:w="1532"/>
        <w:gridCol w:w="1532"/>
        <w:gridCol w:w="722"/>
        <w:gridCol w:w="1076"/>
        <w:gridCol w:w="2249"/>
        <w:gridCol w:w="1608"/>
        <w:gridCol w:w="1991"/>
        <w:gridCol w:w="2071"/>
      </w:tblGrid>
      <w:tr w:rsidR="00FD56EF" w:rsidRPr="001B3C0C" w:rsidTr="00FD56E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599" w:type="pct"/>
            <w:noWrap/>
            <w:hideMark/>
          </w:tcPr>
          <w:p w:rsidR="00FD56EF" w:rsidRPr="001B3C0C" w:rsidRDefault="00FD56EF" w:rsidP="00FD56EF">
            <w:pPr>
              <w:jc w:val="left"/>
              <w:rPr>
                <w:rFonts w:ascii="Times New Roman" w:eastAsia="Times New Roman" w:hAnsi="Times New Roman" w:cs="Times New Roman"/>
                <w:color w:val="000000"/>
                <w:sz w:val="22"/>
                <w:lang w:val="en-US" w:eastAsia="zh-CN"/>
              </w:rPr>
            </w:pPr>
            <w:r w:rsidRPr="001B3C0C">
              <w:rPr>
                <w:rFonts w:ascii="Times New Roman" w:eastAsia="Times New Roman" w:hAnsi="Times New Roman" w:cs="Times New Roman"/>
                <w:color w:val="000000"/>
                <w:sz w:val="22"/>
                <w:lang w:val="en-US" w:eastAsia="zh-CN"/>
              </w:rPr>
              <w:t>Study</w:t>
            </w:r>
          </w:p>
        </w:tc>
        <w:tc>
          <w:tcPr>
            <w:tcW w:w="599" w:type="pct"/>
            <w:noWrap/>
            <w:hideMark/>
          </w:tcPr>
          <w:p w:rsidR="00FD56EF" w:rsidRPr="001B3C0C" w:rsidRDefault="00FD56EF" w:rsidP="00FD56E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lang w:val="en-US" w:eastAsia="zh-CN"/>
              </w:rPr>
            </w:pPr>
            <w:r w:rsidRPr="001B3C0C">
              <w:rPr>
                <w:rFonts w:ascii="Times New Roman" w:eastAsia="Times New Roman" w:hAnsi="Times New Roman" w:cs="Times New Roman"/>
                <w:color w:val="000000"/>
                <w:sz w:val="22"/>
                <w:lang w:val="en-US" w:eastAsia="zh-CN"/>
              </w:rPr>
              <w:t>Design</w:t>
            </w:r>
          </w:p>
        </w:tc>
        <w:tc>
          <w:tcPr>
            <w:tcW w:w="282" w:type="pct"/>
            <w:noWrap/>
            <w:hideMark/>
          </w:tcPr>
          <w:p w:rsidR="00FD56EF" w:rsidRPr="001B3C0C" w:rsidRDefault="00FD56EF" w:rsidP="00FD56E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lang w:val="en-US" w:eastAsia="zh-CN"/>
              </w:rPr>
            </w:pPr>
            <w:r w:rsidRPr="001B3C0C">
              <w:rPr>
                <w:rFonts w:ascii="Times New Roman" w:eastAsia="Times New Roman" w:hAnsi="Times New Roman" w:cs="Times New Roman"/>
                <w:color w:val="000000"/>
                <w:sz w:val="22"/>
                <w:lang w:val="en-US" w:eastAsia="zh-CN"/>
              </w:rPr>
              <w:t>n</w:t>
            </w:r>
          </w:p>
        </w:tc>
        <w:tc>
          <w:tcPr>
            <w:tcW w:w="421" w:type="pct"/>
            <w:noWrap/>
            <w:hideMark/>
          </w:tcPr>
          <w:p w:rsidR="00FD56EF" w:rsidRPr="001B3C0C" w:rsidRDefault="00FD56EF" w:rsidP="00FD56E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lang w:val="en-US" w:eastAsia="zh-CN"/>
              </w:rPr>
            </w:pPr>
            <w:r w:rsidRPr="001B3C0C">
              <w:rPr>
                <w:rFonts w:ascii="Times New Roman" w:eastAsia="Times New Roman" w:hAnsi="Times New Roman" w:cs="Times New Roman"/>
                <w:color w:val="000000"/>
                <w:sz w:val="22"/>
                <w:lang w:val="en-US" w:eastAsia="zh-CN"/>
              </w:rPr>
              <w:t>Age (years)</w:t>
            </w:r>
          </w:p>
        </w:tc>
        <w:tc>
          <w:tcPr>
            <w:tcW w:w="880" w:type="pct"/>
            <w:noWrap/>
            <w:hideMark/>
          </w:tcPr>
          <w:p w:rsidR="00FD56EF" w:rsidRPr="001B3C0C" w:rsidRDefault="00FD56EF" w:rsidP="00FD56E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lang w:val="en-US" w:eastAsia="zh-CN"/>
              </w:rPr>
            </w:pPr>
            <w:r w:rsidRPr="001B3C0C">
              <w:rPr>
                <w:rFonts w:ascii="Times New Roman" w:eastAsia="Times New Roman" w:hAnsi="Times New Roman" w:cs="Times New Roman"/>
                <w:color w:val="000000"/>
                <w:sz w:val="22"/>
                <w:lang w:val="en-US" w:eastAsia="zh-CN"/>
              </w:rPr>
              <w:t>Cut-off defining vitamin D deficiency or hypovitaminosis D (nmol/L)</w:t>
            </w:r>
          </w:p>
        </w:tc>
        <w:tc>
          <w:tcPr>
            <w:tcW w:w="629" w:type="pct"/>
            <w:noWrap/>
            <w:hideMark/>
          </w:tcPr>
          <w:p w:rsidR="00FD56EF" w:rsidRPr="001B3C0C" w:rsidRDefault="00FD56EF" w:rsidP="00FD56E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lang w:val="en-US" w:eastAsia="zh-CN"/>
              </w:rPr>
            </w:pPr>
            <w:r w:rsidRPr="001B3C0C">
              <w:rPr>
                <w:rFonts w:ascii="Times New Roman" w:eastAsia="Times New Roman" w:hAnsi="Times New Roman" w:cs="Times New Roman"/>
                <w:color w:val="000000"/>
                <w:sz w:val="22"/>
                <w:lang w:val="en-US" w:eastAsia="zh-CN"/>
              </w:rPr>
              <w:t>Cut-off defining reference group (nmol/L)</w:t>
            </w:r>
          </w:p>
        </w:tc>
        <w:tc>
          <w:tcPr>
            <w:tcW w:w="779" w:type="pct"/>
            <w:noWrap/>
            <w:hideMark/>
          </w:tcPr>
          <w:p w:rsidR="00FD56EF" w:rsidRPr="001B3C0C" w:rsidRDefault="00FD56EF" w:rsidP="00FD56E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lang w:val="en-US" w:eastAsia="zh-CN"/>
              </w:rPr>
            </w:pPr>
            <w:r w:rsidRPr="001B3C0C">
              <w:rPr>
                <w:rFonts w:ascii="Times New Roman" w:eastAsia="Times New Roman" w:hAnsi="Times New Roman" w:cs="Times New Roman"/>
                <w:color w:val="000000"/>
                <w:sz w:val="22"/>
                <w:lang w:val="en-US" w:eastAsia="zh-CN"/>
              </w:rPr>
              <w:t>Time point(s) after standing when blood pressure was measured</w:t>
            </w:r>
          </w:p>
        </w:tc>
        <w:tc>
          <w:tcPr>
            <w:tcW w:w="810" w:type="pct"/>
            <w:noWrap/>
            <w:hideMark/>
          </w:tcPr>
          <w:p w:rsidR="00FD56EF" w:rsidRPr="001B3C0C" w:rsidRDefault="00FD56EF" w:rsidP="00FD56E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lang w:val="en-US" w:eastAsia="zh-CN"/>
              </w:rPr>
            </w:pPr>
            <w:r w:rsidRPr="001B3C0C">
              <w:rPr>
                <w:rFonts w:ascii="Times New Roman" w:eastAsia="Times New Roman" w:hAnsi="Times New Roman" w:cs="Times New Roman"/>
                <w:color w:val="000000"/>
                <w:sz w:val="22"/>
                <w:lang w:val="en-US" w:eastAsia="zh-CN"/>
              </w:rPr>
              <w:t>Association between vitamin D and OH</w:t>
            </w:r>
          </w:p>
        </w:tc>
      </w:tr>
      <w:tr w:rsidR="00FD56EF" w:rsidRPr="001B3C0C" w:rsidTr="00FD56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9" w:type="pct"/>
            <w:noWrap/>
            <w:hideMark/>
          </w:tcPr>
          <w:p w:rsidR="00FD56EF" w:rsidRPr="001B3C0C" w:rsidRDefault="00FD56EF" w:rsidP="00FD56EF">
            <w:pPr>
              <w:jc w:val="left"/>
              <w:rPr>
                <w:rFonts w:ascii="Times New Roman" w:eastAsia="Times New Roman" w:hAnsi="Times New Roman" w:cs="Times New Roman"/>
                <w:color w:val="000000"/>
                <w:sz w:val="22"/>
                <w:lang w:val="en-US" w:eastAsia="zh-CN"/>
              </w:rPr>
            </w:pPr>
            <w:proofErr w:type="spellStart"/>
            <w:r w:rsidRPr="001B3C0C">
              <w:rPr>
                <w:rFonts w:ascii="Times New Roman" w:eastAsia="Times New Roman" w:hAnsi="Times New Roman" w:cs="Times New Roman"/>
                <w:color w:val="000000"/>
                <w:sz w:val="22"/>
                <w:lang w:val="en-US" w:eastAsia="zh-CN"/>
              </w:rPr>
              <w:t>McCaroll</w:t>
            </w:r>
            <w:proofErr w:type="spellEnd"/>
            <w:r w:rsidRPr="001B3C0C">
              <w:rPr>
                <w:rFonts w:ascii="Times New Roman" w:eastAsia="Times New Roman" w:hAnsi="Times New Roman" w:cs="Times New Roman"/>
                <w:color w:val="000000"/>
                <w:sz w:val="22"/>
                <w:lang w:val="en-US" w:eastAsia="zh-CN"/>
              </w:rPr>
              <w:t xml:space="preserve"> et al. </w:t>
            </w:r>
            <w:r>
              <w:rPr>
                <w:rFonts w:ascii="Times New Roman" w:eastAsia="Times New Roman" w:hAnsi="Times New Roman" w:cs="Times New Roman"/>
                <w:noProof/>
                <w:color w:val="000000"/>
                <w:sz w:val="22"/>
                <w:lang w:val="en-US" w:eastAsia="zh-CN"/>
              </w:rPr>
              <w:t>(3)</w:t>
            </w:r>
          </w:p>
        </w:tc>
        <w:tc>
          <w:tcPr>
            <w:tcW w:w="599" w:type="pct"/>
            <w:noWrap/>
            <w:hideMark/>
          </w:tcPr>
          <w:p w:rsidR="00FD56EF" w:rsidRPr="001B3C0C" w:rsidRDefault="00FD56EF" w:rsidP="00FD56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zh-CN"/>
              </w:rPr>
            </w:pPr>
            <w:r w:rsidRPr="001B3C0C">
              <w:rPr>
                <w:rFonts w:ascii="Times New Roman" w:eastAsia="Times New Roman" w:hAnsi="Times New Roman" w:cs="Times New Roman"/>
                <w:color w:val="000000"/>
                <w:lang w:val="en-US" w:eastAsia="zh-CN"/>
              </w:rPr>
              <w:t>Case-control</w:t>
            </w:r>
          </w:p>
        </w:tc>
        <w:tc>
          <w:tcPr>
            <w:tcW w:w="282" w:type="pct"/>
            <w:noWrap/>
            <w:hideMark/>
          </w:tcPr>
          <w:p w:rsidR="00FD56EF" w:rsidRPr="001B3C0C" w:rsidRDefault="00FD56EF" w:rsidP="00FD56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zh-CN"/>
              </w:rPr>
            </w:pPr>
            <w:r w:rsidRPr="001B3C0C">
              <w:rPr>
                <w:rFonts w:ascii="Times New Roman" w:eastAsia="Times New Roman" w:hAnsi="Times New Roman" w:cs="Times New Roman"/>
                <w:color w:val="000000"/>
                <w:lang w:val="en-US" w:eastAsia="zh-CN"/>
              </w:rPr>
              <w:t>76</w:t>
            </w:r>
          </w:p>
        </w:tc>
        <w:tc>
          <w:tcPr>
            <w:tcW w:w="421" w:type="pct"/>
            <w:noWrap/>
            <w:hideMark/>
          </w:tcPr>
          <w:p w:rsidR="00FD56EF" w:rsidRPr="001B3C0C" w:rsidRDefault="00FD56EF" w:rsidP="00FD56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zh-CN"/>
              </w:rPr>
            </w:pPr>
            <w:r w:rsidRPr="001B3C0C">
              <w:rPr>
                <w:rFonts w:ascii="Times New Roman" w:eastAsia="Times New Roman" w:hAnsi="Times New Roman" w:cs="Times New Roman"/>
                <w:color w:val="000000"/>
                <w:lang w:val="en-US" w:eastAsia="zh-CN"/>
              </w:rPr>
              <w:t>≥64</w:t>
            </w:r>
            <w:r>
              <w:rPr>
                <w:rFonts w:ascii="Times New Roman" w:eastAsia="Times New Roman" w:hAnsi="Times New Roman" w:cs="Times New Roman"/>
                <w:color w:val="000000"/>
                <w:lang w:val="en-US" w:eastAsia="zh-CN"/>
              </w:rPr>
              <w:t>*</w:t>
            </w:r>
          </w:p>
        </w:tc>
        <w:tc>
          <w:tcPr>
            <w:tcW w:w="880" w:type="pct"/>
            <w:noWrap/>
            <w:hideMark/>
          </w:tcPr>
          <w:p w:rsidR="00FD56EF" w:rsidRPr="001B3C0C" w:rsidRDefault="00FD56EF" w:rsidP="00FD56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zh-CN"/>
              </w:rPr>
            </w:pPr>
            <w:r w:rsidRPr="001B3C0C">
              <w:rPr>
                <w:rFonts w:ascii="Times New Roman" w:eastAsia="Times New Roman" w:hAnsi="Times New Roman" w:cs="Times New Roman"/>
                <w:color w:val="000000"/>
                <w:lang w:val="en-US" w:eastAsia="zh-CN"/>
              </w:rPr>
              <w:t>Continuous</w:t>
            </w:r>
          </w:p>
        </w:tc>
        <w:tc>
          <w:tcPr>
            <w:tcW w:w="629" w:type="pct"/>
            <w:noWrap/>
            <w:hideMark/>
          </w:tcPr>
          <w:p w:rsidR="00FD56EF" w:rsidRPr="001B3C0C" w:rsidRDefault="00FD56EF" w:rsidP="00FD56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zh-CN"/>
              </w:rPr>
            </w:pPr>
            <w:r w:rsidRPr="001B3C0C">
              <w:rPr>
                <w:rFonts w:ascii="Times New Roman" w:eastAsia="Times New Roman" w:hAnsi="Times New Roman" w:cs="Times New Roman"/>
                <w:color w:val="000000"/>
                <w:lang w:val="en-US" w:eastAsia="zh-CN"/>
              </w:rPr>
              <w:t>N/A</w:t>
            </w:r>
          </w:p>
        </w:tc>
        <w:tc>
          <w:tcPr>
            <w:tcW w:w="779" w:type="pct"/>
            <w:noWrap/>
            <w:hideMark/>
          </w:tcPr>
          <w:p w:rsidR="00FD56EF" w:rsidRPr="001B3C0C" w:rsidRDefault="00FD56EF" w:rsidP="00FD56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zh-CN"/>
              </w:rPr>
            </w:pPr>
            <w:r w:rsidRPr="001B3C0C">
              <w:rPr>
                <w:rFonts w:ascii="Times New Roman" w:eastAsia="Times New Roman" w:hAnsi="Times New Roman" w:cs="Times New Roman"/>
                <w:color w:val="000000"/>
                <w:lang w:val="en-US" w:eastAsia="zh-CN"/>
              </w:rPr>
              <w:t xml:space="preserve">Every 30 seconds, continuing until 3 minutes had elapsed </w:t>
            </w:r>
          </w:p>
        </w:tc>
        <w:tc>
          <w:tcPr>
            <w:tcW w:w="810" w:type="pct"/>
            <w:noWrap/>
            <w:hideMark/>
          </w:tcPr>
          <w:p w:rsidR="00FD56EF" w:rsidRPr="001B3C0C" w:rsidRDefault="00FD56EF" w:rsidP="00FD56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zh-CN"/>
              </w:rPr>
            </w:pPr>
            <w:r w:rsidRPr="001B3C0C">
              <w:rPr>
                <w:rFonts w:ascii="Times New Roman" w:eastAsia="Times New Roman" w:hAnsi="Times New Roman" w:cs="Times New Roman"/>
                <w:color w:val="000000"/>
                <w:lang w:val="en-US" w:eastAsia="zh-CN"/>
              </w:rPr>
              <w:t>Present</w:t>
            </w:r>
          </w:p>
        </w:tc>
      </w:tr>
      <w:tr w:rsidR="00FD56EF" w:rsidRPr="001B3C0C" w:rsidTr="00FD56EF">
        <w:trPr>
          <w:trHeight w:val="300"/>
        </w:trPr>
        <w:tc>
          <w:tcPr>
            <w:cnfStyle w:val="001000000000" w:firstRow="0" w:lastRow="0" w:firstColumn="1" w:lastColumn="0" w:oddVBand="0" w:evenVBand="0" w:oddHBand="0" w:evenHBand="0" w:firstRowFirstColumn="0" w:firstRowLastColumn="0" w:lastRowFirstColumn="0" w:lastRowLastColumn="0"/>
            <w:tcW w:w="599" w:type="pct"/>
            <w:noWrap/>
            <w:hideMark/>
          </w:tcPr>
          <w:p w:rsidR="00FD56EF" w:rsidRPr="001B3C0C" w:rsidRDefault="00FD56EF" w:rsidP="00FD56EF">
            <w:pPr>
              <w:jc w:val="left"/>
              <w:rPr>
                <w:rFonts w:ascii="Times New Roman" w:eastAsia="Times New Roman" w:hAnsi="Times New Roman" w:cs="Times New Roman"/>
                <w:color w:val="000000"/>
                <w:sz w:val="22"/>
                <w:lang w:val="en-US" w:eastAsia="zh-CN"/>
              </w:rPr>
            </w:pPr>
            <w:proofErr w:type="spellStart"/>
            <w:r w:rsidRPr="001B3C0C">
              <w:rPr>
                <w:rFonts w:ascii="Times New Roman" w:eastAsia="Times New Roman" w:hAnsi="Times New Roman" w:cs="Times New Roman"/>
                <w:color w:val="000000"/>
                <w:sz w:val="22"/>
                <w:lang w:val="en-US" w:eastAsia="zh-CN"/>
              </w:rPr>
              <w:t>Annweiler</w:t>
            </w:r>
            <w:proofErr w:type="spellEnd"/>
            <w:r w:rsidRPr="001B3C0C">
              <w:rPr>
                <w:rFonts w:ascii="Times New Roman" w:eastAsia="Times New Roman" w:hAnsi="Times New Roman" w:cs="Times New Roman"/>
                <w:color w:val="000000"/>
                <w:sz w:val="22"/>
                <w:lang w:val="en-US" w:eastAsia="zh-CN"/>
              </w:rPr>
              <w:t xml:space="preserve"> et al. </w:t>
            </w:r>
            <w:r>
              <w:rPr>
                <w:rFonts w:ascii="Times New Roman" w:eastAsia="Times New Roman" w:hAnsi="Times New Roman" w:cs="Times New Roman"/>
                <w:noProof/>
                <w:color w:val="000000"/>
                <w:sz w:val="22"/>
                <w:lang w:val="en-US" w:eastAsia="zh-CN"/>
              </w:rPr>
              <w:t>(1)</w:t>
            </w:r>
          </w:p>
        </w:tc>
        <w:tc>
          <w:tcPr>
            <w:tcW w:w="599" w:type="pct"/>
            <w:noWrap/>
            <w:hideMark/>
          </w:tcPr>
          <w:p w:rsidR="00FD56EF" w:rsidRPr="001B3C0C" w:rsidRDefault="00FD56EF" w:rsidP="00FD56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zh-CN"/>
              </w:rPr>
            </w:pPr>
            <w:r w:rsidRPr="001B3C0C">
              <w:rPr>
                <w:rFonts w:ascii="Times New Roman" w:eastAsia="Times New Roman" w:hAnsi="Times New Roman" w:cs="Times New Roman"/>
                <w:color w:val="000000"/>
                <w:lang w:val="en-US" w:eastAsia="zh-CN"/>
              </w:rPr>
              <w:t>Cross-sectional</w:t>
            </w:r>
          </w:p>
        </w:tc>
        <w:tc>
          <w:tcPr>
            <w:tcW w:w="282" w:type="pct"/>
            <w:noWrap/>
            <w:hideMark/>
          </w:tcPr>
          <w:p w:rsidR="00FD56EF" w:rsidRPr="001B3C0C" w:rsidRDefault="00FD56EF" w:rsidP="00FD56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zh-CN"/>
              </w:rPr>
            </w:pPr>
            <w:r w:rsidRPr="001B3C0C">
              <w:rPr>
                <w:rFonts w:ascii="Times New Roman" w:eastAsia="Times New Roman" w:hAnsi="Times New Roman" w:cs="Times New Roman"/>
                <w:color w:val="000000"/>
                <w:lang w:val="en-US" w:eastAsia="zh-CN"/>
              </w:rPr>
              <w:t>329</w:t>
            </w:r>
          </w:p>
        </w:tc>
        <w:tc>
          <w:tcPr>
            <w:tcW w:w="421" w:type="pct"/>
            <w:noWrap/>
            <w:hideMark/>
          </w:tcPr>
          <w:p w:rsidR="00FD56EF" w:rsidRPr="001B3C0C" w:rsidRDefault="00FD56EF" w:rsidP="00FD56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zh-CN"/>
              </w:rPr>
            </w:pPr>
            <w:r w:rsidRPr="001B3C0C">
              <w:rPr>
                <w:rFonts w:ascii="Times New Roman" w:eastAsia="Times New Roman" w:hAnsi="Times New Roman" w:cs="Times New Roman"/>
                <w:color w:val="000000"/>
                <w:lang w:val="en-US" w:eastAsia="zh-CN"/>
              </w:rPr>
              <w:t>80 - 94.3</w:t>
            </w:r>
          </w:p>
        </w:tc>
        <w:tc>
          <w:tcPr>
            <w:tcW w:w="880" w:type="pct"/>
            <w:noWrap/>
            <w:hideMark/>
          </w:tcPr>
          <w:p w:rsidR="00FD56EF" w:rsidRPr="001B3C0C" w:rsidRDefault="00FD56EF" w:rsidP="00FD56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zh-CN"/>
              </w:rPr>
            </w:pPr>
            <w:r w:rsidRPr="001B3C0C">
              <w:rPr>
                <w:rFonts w:ascii="Times New Roman" w:eastAsia="Times New Roman" w:hAnsi="Times New Roman" w:cs="Times New Roman"/>
                <w:color w:val="000000"/>
                <w:lang w:val="en-US" w:eastAsia="zh-CN"/>
              </w:rPr>
              <w:t xml:space="preserve">≤25 </w:t>
            </w:r>
          </w:p>
        </w:tc>
        <w:tc>
          <w:tcPr>
            <w:tcW w:w="629" w:type="pct"/>
            <w:noWrap/>
            <w:hideMark/>
          </w:tcPr>
          <w:p w:rsidR="00FD56EF" w:rsidRPr="001B3C0C" w:rsidRDefault="00FD56EF" w:rsidP="00FD56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zh-CN"/>
              </w:rPr>
            </w:pPr>
            <w:r w:rsidRPr="001B3C0C">
              <w:rPr>
                <w:rFonts w:ascii="Times New Roman" w:eastAsia="Times New Roman" w:hAnsi="Times New Roman" w:cs="Times New Roman"/>
                <w:color w:val="000000"/>
                <w:lang w:val="en-US" w:eastAsia="zh-CN"/>
              </w:rPr>
              <w:t>&gt;25</w:t>
            </w:r>
          </w:p>
        </w:tc>
        <w:tc>
          <w:tcPr>
            <w:tcW w:w="779" w:type="pct"/>
            <w:noWrap/>
            <w:hideMark/>
          </w:tcPr>
          <w:p w:rsidR="00FD56EF" w:rsidRPr="001B3C0C" w:rsidRDefault="00FD56EF" w:rsidP="00FD56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zh-CN"/>
              </w:rPr>
            </w:pPr>
            <w:r w:rsidRPr="001B3C0C">
              <w:rPr>
                <w:rFonts w:ascii="Times New Roman" w:eastAsia="Times New Roman" w:hAnsi="Times New Roman" w:cs="Times New Roman"/>
                <w:color w:val="000000"/>
                <w:lang w:val="en-US" w:eastAsia="zh-CN"/>
              </w:rPr>
              <w:t>A single mea</w:t>
            </w:r>
            <w:r w:rsidR="00D32C7B">
              <w:rPr>
                <w:rFonts w:ascii="Times New Roman" w:eastAsia="Times New Roman" w:hAnsi="Times New Roman" w:cs="Times New Roman"/>
                <w:color w:val="000000"/>
                <w:lang w:val="en-US" w:eastAsia="zh-CN"/>
              </w:rPr>
              <w:t xml:space="preserve">surement within 3 minutes </w:t>
            </w:r>
            <w:r w:rsidRPr="001B3C0C">
              <w:rPr>
                <w:rFonts w:ascii="Times New Roman" w:eastAsia="Times New Roman" w:hAnsi="Times New Roman" w:cs="Times New Roman"/>
                <w:color w:val="000000"/>
                <w:lang w:val="en-US" w:eastAsia="zh-CN"/>
              </w:rPr>
              <w:t>of standing (specific time point not specified)</w:t>
            </w:r>
          </w:p>
        </w:tc>
        <w:tc>
          <w:tcPr>
            <w:tcW w:w="810" w:type="pct"/>
            <w:noWrap/>
            <w:hideMark/>
          </w:tcPr>
          <w:p w:rsidR="00FD56EF" w:rsidRPr="001B3C0C" w:rsidRDefault="00FD56EF" w:rsidP="00FD56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zh-CN"/>
              </w:rPr>
            </w:pPr>
            <w:r w:rsidRPr="001B3C0C">
              <w:rPr>
                <w:rFonts w:ascii="Times New Roman" w:eastAsia="Times New Roman" w:hAnsi="Times New Roman" w:cs="Times New Roman"/>
                <w:color w:val="000000"/>
                <w:lang w:val="en-US" w:eastAsia="zh-CN"/>
              </w:rPr>
              <w:t>Present</w:t>
            </w:r>
          </w:p>
        </w:tc>
      </w:tr>
      <w:tr w:rsidR="00FD56EF" w:rsidRPr="001B3C0C" w:rsidTr="00FD56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9" w:type="pct"/>
            <w:noWrap/>
            <w:hideMark/>
          </w:tcPr>
          <w:p w:rsidR="00FD56EF" w:rsidRPr="001B3C0C" w:rsidRDefault="00FD56EF" w:rsidP="00FD56EF">
            <w:pPr>
              <w:jc w:val="left"/>
              <w:rPr>
                <w:rFonts w:ascii="Times New Roman" w:eastAsia="Times New Roman" w:hAnsi="Times New Roman" w:cs="Times New Roman"/>
                <w:color w:val="000000"/>
                <w:sz w:val="22"/>
                <w:lang w:val="en-US" w:eastAsia="zh-CN"/>
              </w:rPr>
            </w:pPr>
            <w:proofErr w:type="spellStart"/>
            <w:r w:rsidRPr="001B3C0C">
              <w:rPr>
                <w:rFonts w:ascii="Times New Roman" w:eastAsia="Times New Roman" w:hAnsi="Times New Roman" w:cs="Times New Roman"/>
                <w:color w:val="000000"/>
                <w:sz w:val="22"/>
                <w:lang w:val="en-US" w:eastAsia="zh-CN"/>
              </w:rPr>
              <w:t>Soysal</w:t>
            </w:r>
            <w:proofErr w:type="spellEnd"/>
            <w:r w:rsidRPr="001B3C0C">
              <w:rPr>
                <w:rFonts w:ascii="Times New Roman" w:eastAsia="Times New Roman" w:hAnsi="Times New Roman" w:cs="Times New Roman"/>
                <w:color w:val="000000"/>
                <w:sz w:val="22"/>
                <w:lang w:val="en-US" w:eastAsia="zh-CN"/>
              </w:rPr>
              <w:t xml:space="preserve"> et al. </w:t>
            </w:r>
            <w:r>
              <w:rPr>
                <w:rFonts w:ascii="Times New Roman" w:eastAsia="Times New Roman" w:hAnsi="Times New Roman" w:cs="Times New Roman"/>
                <w:noProof/>
                <w:color w:val="000000"/>
                <w:sz w:val="22"/>
                <w:lang w:val="en-US" w:eastAsia="zh-CN"/>
              </w:rPr>
              <w:t>(5)</w:t>
            </w:r>
          </w:p>
        </w:tc>
        <w:tc>
          <w:tcPr>
            <w:tcW w:w="599" w:type="pct"/>
            <w:noWrap/>
            <w:hideMark/>
          </w:tcPr>
          <w:p w:rsidR="00FD56EF" w:rsidRPr="001B3C0C" w:rsidRDefault="00FD56EF" w:rsidP="00FD56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zh-CN"/>
              </w:rPr>
            </w:pPr>
            <w:r w:rsidRPr="001B3C0C">
              <w:rPr>
                <w:rFonts w:ascii="Times New Roman" w:eastAsia="Times New Roman" w:hAnsi="Times New Roman" w:cs="Times New Roman"/>
                <w:color w:val="000000"/>
                <w:lang w:val="en-US" w:eastAsia="zh-CN"/>
              </w:rPr>
              <w:t>Retrospective</w:t>
            </w:r>
          </w:p>
        </w:tc>
        <w:tc>
          <w:tcPr>
            <w:tcW w:w="282" w:type="pct"/>
            <w:noWrap/>
            <w:hideMark/>
          </w:tcPr>
          <w:p w:rsidR="00FD56EF" w:rsidRPr="001B3C0C" w:rsidRDefault="00FD56EF" w:rsidP="00FD56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zh-CN"/>
              </w:rPr>
            </w:pPr>
            <w:r w:rsidRPr="001B3C0C">
              <w:rPr>
                <w:rFonts w:ascii="Times New Roman" w:eastAsia="Times New Roman" w:hAnsi="Times New Roman" w:cs="Times New Roman"/>
                <w:color w:val="000000"/>
                <w:lang w:val="en-US" w:eastAsia="zh-CN"/>
              </w:rPr>
              <w:t>546</w:t>
            </w:r>
          </w:p>
        </w:tc>
        <w:tc>
          <w:tcPr>
            <w:tcW w:w="421" w:type="pct"/>
            <w:noWrap/>
            <w:hideMark/>
          </w:tcPr>
          <w:p w:rsidR="00FD56EF" w:rsidRPr="001B3C0C" w:rsidRDefault="00FD56EF" w:rsidP="00FD56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zh-CN"/>
              </w:rPr>
            </w:pPr>
            <w:r w:rsidRPr="001B3C0C">
              <w:rPr>
                <w:rFonts w:ascii="Times New Roman" w:eastAsia="Times New Roman" w:hAnsi="Times New Roman" w:cs="Times New Roman"/>
                <w:color w:val="000000"/>
                <w:lang w:val="en-US" w:eastAsia="zh-CN"/>
              </w:rPr>
              <w:t>≥65</w:t>
            </w:r>
            <w:r>
              <w:rPr>
                <w:rFonts w:ascii="Times New Roman" w:eastAsia="Times New Roman" w:hAnsi="Times New Roman" w:cs="Times New Roman"/>
                <w:color w:val="000000"/>
                <w:lang w:val="en-US" w:eastAsia="zh-CN"/>
              </w:rPr>
              <w:t>*</w:t>
            </w:r>
          </w:p>
        </w:tc>
        <w:tc>
          <w:tcPr>
            <w:tcW w:w="880" w:type="pct"/>
            <w:noWrap/>
            <w:hideMark/>
          </w:tcPr>
          <w:p w:rsidR="00FD56EF" w:rsidRPr="001B3C0C" w:rsidRDefault="00FD56EF" w:rsidP="00FD56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E2E2E"/>
                <w:lang w:val="en-US" w:eastAsia="zh-CN"/>
              </w:rPr>
            </w:pPr>
            <w:r w:rsidRPr="001B3C0C">
              <w:rPr>
                <w:rFonts w:ascii="Times New Roman" w:eastAsia="Times New Roman" w:hAnsi="Times New Roman" w:cs="Times New Roman"/>
                <w:color w:val="2E2E2E"/>
                <w:lang w:val="en-US" w:eastAsia="zh-CN"/>
              </w:rPr>
              <w:t>&lt;50</w:t>
            </w:r>
          </w:p>
        </w:tc>
        <w:tc>
          <w:tcPr>
            <w:tcW w:w="629" w:type="pct"/>
            <w:noWrap/>
            <w:hideMark/>
          </w:tcPr>
          <w:p w:rsidR="00FD56EF" w:rsidRPr="001B3C0C" w:rsidRDefault="00FD56EF" w:rsidP="00FD56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E2E2E"/>
                <w:lang w:val="en-US" w:eastAsia="zh-CN"/>
              </w:rPr>
            </w:pPr>
            <w:r w:rsidRPr="001B3C0C">
              <w:rPr>
                <w:rFonts w:ascii="Times New Roman" w:eastAsia="Times New Roman" w:hAnsi="Times New Roman" w:cs="Times New Roman"/>
                <w:color w:val="2E2E2E"/>
                <w:lang w:val="en-US" w:eastAsia="zh-CN"/>
              </w:rPr>
              <w:t>≥50</w:t>
            </w:r>
          </w:p>
        </w:tc>
        <w:tc>
          <w:tcPr>
            <w:tcW w:w="779" w:type="pct"/>
            <w:noWrap/>
            <w:hideMark/>
          </w:tcPr>
          <w:p w:rsidR="00FD56EF" w:rsidRPr="001B3C0C" w:rsidRDefault="00FD56EF" w:rsidP="00FD56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zh-CN"/>
              </w:rPr>
            </w:pPr>
            <w:r w:rsidRPr="001B3C0C">
              <w:rPr>
                <w:rFonts w:ascii="Times New Roman" w:eastAsia="Times New Roman" w:hAnsi="Times New Roman" w:cs="Times New Roman"/>
                <w:color w:val="000000"/>
                <w:lang w:val="en-US" w:eastAsia="zh-CN"/>
              </w:rPr>
              <w:t>At 1 and 3 minutes</w:t>
            </w:r>
          </w:p>
        </w:tc>
        <w:tc>
          <w:tcPr>
            <w:tcW w:w="810" w:type="pct"/>
            <w:noWrap/>
            <w:hideMark/>
          </w:tcPr>
          <w:p w:rsidR="00FD56EF" w:rsidRPr="001B3C0C" w:rsidRDefault="00FD56EF" w:rsidP="00FD56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zh-CN"/>
              </w:rPr>
            </w:pPr>
            <w:r w:rsidRPr="001B3C0C">
              <w:rPr>
                <w:rFonts w:ascii="Times New Roman" w:eastAsia="Times New Roman" w:hAnsi="Times New Roman" w:cs="Times New Roman"/>
                <w:color w:val="000000"/>
                <w:lang w:val="en-US" w:eastAsia="zh-CN"/>
              </w:rPr>
              <w:t>Present</w:t>
            </w:r>
          </w:p>
        </w:tc>
      </w:tr>
      <w:tr w:rsidR="00FD56EF" w:rsidRPr="001B3C0C" w:rsidTr="00FD56EF">
        <w:trPr>
          <w:trHeight w:val="300"/>
        </w:trPr>
        <w:tc>
          <w:tcPr>
            <w:cnfStyle w:val="001000000000" w:firstRow="0" w:lastRow="0" w:firstColumn="1" w:lastColumn="0" w:oddVBand="0" w:evenVBand="0" w:oddHBand="0" w:evenHBand="0" w:firstRowFirstColumn="0" w:firstRowLastColumn="0" w:lastRowFirstColumn="0" w:lastRowLastColumn="0"/>
            <w:tcW w:w="599" w:type="pct"/>
            <w:noWrap/>
            <w:hideMark/>
          </w:tcPr>
          <w:p w:rsidR="00FD56EF" w:rsidRPr="001B3C0C" w:rsidRDefault="00FD56EF" w:rsidP="00FD56EF">
            <w:pPr>
              <w:jc w:val="left"/>
              <w:rPr>
                <w:rFonts w:ascii="Times New Roman" w:eastAsia="Times New Roman" w:hAnsi="Times New Roman" w:cs="Times New Roman"/>
                <w:color w:val="000000"/>
                <w:sz w:val="22"/>
                <w:lang w:val="en-US" w:eastAsia="zh-CN"/>
              </w:rPr>
            </w:pPr>
            <w:r w:rsidRPr="001B3C0C">
              <w:rPr>
                <w:rFonts w:ascii="Times New Roman" w:eastAsia="Times New Roman" w:hAnsi="Times New Roman" w:cs="Times New Roman"/>
                <w:color w:val="000000"/>
                <w:sz w:val="22"/>
                <w:lang w:val="en-US" w:eastAsia="zh-CN"/>
              </w:rPr>
              <w:t xml:space="preserve">Veronese et al. </w:t>
            </w:r>
            <w:r>
              <w:rPr>
                <w:rFonts w:ascii="Times New Roman" w:eastAsia="Times New Roman" w:hAnsi="Times New Roman" w:cs="Times New Roman"/>
                <w:noProof/>
                <w:color w:val="000000"/>
                <w:sz w:val="22"/>
                <w:lang w:val="en-US" w:eastAsia="zh-CN"/>
              </w:rPr>
              <w:t>(6)</w:t>
            </w:r>
          </w:p>
        </w:tc>
        <w:tc>
          <w:tcPr>
            <w:tcW w:w="599" w:type="pct"/>
            <w:noWrap/>
            <w:hideMark/>
          </w:tcPr>
          <w:p w:rsidR="00FD56EF" w:rsidRPr="001B3C0C" w:rsidRDefault="00FD56EF" w:rsidP="00FD56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zh-CN"/>
              </w:rPr>
            </w:pPr>
            <w:r w:rsidRPr="001B3C0C">
              <w:rPr>
                <w:rFonts w:ascii="Times New Roman" w:eastAsia="Times New Roman" w:hAnsi="Times New Roman" w:cs="Times New Roman"/>
                <w:color w:val="000000"/>
                <w:lang w:val="en-US" w:eastAsia="zh-CN"/>
              </w:rPr>
              <w:t>Cross-sectional</w:t>
            </w:r>
          </w:p>
        </w:tc>
        <w:tc>
          <w:tcPr>
            <w:tcW w:w="282" w:type="pct"/>
            <w:noWrap/>
            <w:hideMark/>
          </w:tcPr>
          <w:p w:rsidR="00FD56EF" w:rsidRPr="001B3C0C" w:rsidRDefault="00FD56EF" w:rsidP="00FD56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zh-CN"/>
              </w:rPr>
            </w:pPr>
            <w:r w:rsidRPr="001B3C0C">
              <w:rPr>
                <w:rFonts w:ascii="Times New Roman" w:eastAsia="Times New Roman" w:hAnsi="Times New Roman" w:cs="Times New Roman"/>
                <w:color w:val="000000"/>
                <w:lang w:val="en-US" w:eastAsia="zh-CN"/>
              </w:rPr>
              <w:t>2640</w:t>
            </w:r>
          </w:p>
        </w:tc>
        <w:tc>
          <w:tcPr>
            <w:tcW w:w="421" w:type="pct"/>
            <w:noWrap/>
            <w:hideMark/>
          </w:tcPr>
          <w:p w:rsidR="00FD56EF" w:rsidRPr="001B3C0C" w:rsidRDefault="00FD56EF" w:rsidP="00FD56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zh-CN"/>
              </w:rPr>
            </w:pPr>
            <w:r w:rsidRPr="001B3C0C">
              <w:rPr>
                <w:rFonts w:ascii="Times New Roman" w:eastAsia="Times New Roman" w:hAnsi="Times New Roman" w:cs="Times New Roman"/>
                <w:color w:val="000000"/>
                <w:lang w:val="en-US" w:eastAsia="zh-CN"/>
              </w:rPr>
              <w:t>65 - 98</w:t>
            </w:r>
          </w:p>
        </w:tc>
        <w:tc>
          <w:tcPr>
            <w:tcW w:w="880" w:type="pct"/>
            <w:noWrap/>
            <w:hideMark/>
          </w:tcPr>
          <w:p w:rsidR="00FD56EF" w:rsidRPr="001B3C0C" w:rsidRDefault="00FD56EF" w:rsidP="00FD56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zh-CN"/>
              </w:rPr>
            </w:pPr>
            <w:r w:rsidRPr="001B3C0C">
              <w:rPr>
                <w:rFonts w:ascii="Times New Roman" w:eastAsia="Times New Roman" w:hAnsi="Times New Roman" w:cs="Times New Roman"/>
                <w:color w:val="000000"/>
                <w:lang w:val="en-US" w:eastAsia="zh-CN"/>
              </w:rPr>
              <w:t>≤25</w:t>
            </w:r>
          </w:p>
        </w:tc>
        <w:tc>
          <w:tcPr>
            <w:tcW w:w="629" w:type="pct"/>
            <w:noWrap/>
            <w:hideMark/>
          </w:tcPr>
          <w:p w:rsidR="00FD56EF" w:rsidRPr="001B3C0C" w:rsidRDefault="00FD56EF" w:rsidP="00FD56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zh-CN"/>
              </w:rPr>
            </w:pPr>
            <w:r w:rsidRPr="001B3C0C">
              <w:rPr>
                <w:rFonts w:ascii="Times New Roman" w:eastAsia="Times New Roman" w:hAnsi="Times New Roman" w:cs="Times New Roman"/>
                <w:color w:val="000000"/>
                <w:lang w:val="en-US" w:eastAsia="zh-CN"/>
              </w:rPr>
              <w:t xml:space="preserve">&gt;75  </w:t>
            </w:r>
          </w:p>
        </w:tc>
        <w:tc>
          <w:tcPr>
            <w:tcW w:w="779" w:type="pct"/>
            <w:noWrap/>
            <w:hideMark/>
          </w:tcPr>
          <w:p w:rsidR="00FD56EF" w:rsidRPr="001B3C0C" w:rsidRDefault="00FD56EF" w:rsidP="00FD56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zh-CN"/>
              </w:rPr>
            </w:pPr>
            <w:r w:rsidRPr="001B3C0C">
              <w:rPr>
                <w:rFonts w:ascii="Times New Roman" w:eastAsia="Times New Roman" w:hAnsi="Times New Roman" w:cs="Times New Roman"/>
                <w:color w:val="000000"/>
                <w:lang w:val="en-US" w:eastAsia="zh-CN"/>
              </w:rPr>
              <w:t>After 1 and 3 minutes</w:t>
            </w:r>
          </w:p>
        </w:tc>
        <w:tc>
          <w:tcPr>
            <w:tcW w:w="810" w:type="pct"/>
            <w:noWrap/>
            <w:hideMark/>
          </w:tcPr>
          <w:p w:rsidR="00FD56EF" w:rsidRPr="001B3C0C" w:rsidRDefault="00FD56EF" w:rsidP="00FD56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zh-CN"/>
              </w:rPr>
            </w:pPr>
            <w:r w:rsidRPr="001B3C0C">
              <w:rPr>
                <w:rFonts w:ascii="Times New Roman" w:eastAsia="Times New Roman" w:hAnsi="Times New Roman" w:cs="Times New Roman"/>
                <w:color w:val="000000"/>
                <w:lang w:val="en-US" w:eastAsia="zh-CN"/>
              </w:rPr>
              <w:t>Not present</w:t>
            </w:r>
          </w:p>
        </w:tc>
      </w:tr>
      <w:tr w:rsidR="00FD56EF" w:rsidRPr="001B3C0C" w:rsidTr="00FD56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9" w:type="pct"/>
            <w:noWrap/>
            <w:hideMark/>
          </w:tcPr>
          <w:p w:rsidR="00FD56EF" w:rsidRPr="001B3C0C" w:rsidRDefault="00FD56EF" w:rsidP="00FD56EF">
            <w:pPr>
              <w:jc w:val="left"/>
              <w:rPr>
                <w:rFonts w:ascii="Times New Roman" w:eastAsia="Times New Roman" w:hAnsi="Times New Roman" w:cs="Times New Roman"/>
                <w:color w:val="000000"/>
                <w:sz w:val="22"/>
                <w:lang w:val="en-US" w:eastAsia="zh-CN"/>
              </w:rPr>
            </w:pPr>
            <w:r w:rsidRPr="001B3C0C">
              <w:rPr>
                <w:rFonts w:ascii="Times New Roman" w:eastAsia="Times New Roman" w:hAnsi="Times New Roman" w:cs="Times New Roman"/>
                <w:color w:val="000000"/>
                <w:sz w:val="22"/>
                <w:lang w:val="en-US" w:eastAsia="zh-CN"/>
              </w:rPr>
              <w:t xml:space="preserve">Duval et al. </w:t>
            </w:r>
            <w:r>
              <w:rPr>
                <w:rFonts w:ascii="Times New Roman" w:eastAsia="Times New Roman" w:hAnsi="Times New Roman" w:cs="Times New Roman"/>
                <w:noProof/>
                <w:color w:val="000000"/>
                <w:sz w:val="22"/>
                <w:lang w:val="en-US" w:eastAsia="zh-CN"/>
              </w:rPr>
              <w:t>(2)</w:t>
            </w:r>
          </w:p>
        </w:tc>
        <w:tc>
          <w:tcPr>
            <w:tcW w:w="599" w:type="pct"/>
            <w:noWrap/>
            <w:hideMark/>
          </w:tcPr>
          <w:p w:rsidR="00FD56EF" w:rsidRPr="001B3C0C" w:rsidRDefault="00FD56EF" w:rsidP="00FD56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zh-CN"/>
              </w:rPr>
            </w:pPr>
            <w:r w:rsidRPr="001B3C0C">
              <w:rPr>
                <w:rFonts w:ascii="Times New Roman" w:eastAsia="Times New Roman" w:hAnsi="Times New Roman" w:cs="Times New Roman"/>
                <w:color w:val="000000"/>
                <w:lang w:val="en-US" w:eastAsia="zh-CN"/>
              </w:rPr>
              <w:t>Prospective</w:t>
            </w:r>
          </w:p>
        </w:tc>
        <w:tc>
          <w:tcPr>
            <w:tcW w:w="282" w:type="pct"/>
            <w:noWrap/>
            <w:hideMark/>
          </w:tcPr>
          <w:p w:rsidR="00FD56EF" w:rsidRPr="001B3C0C" w:rsidRDefault="00FD56EF" w:rsidP="00FD56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zh-CN"/>
              </w:rPr>
            </w:pPr>
            <w:r w:rsidRPr="001B3C0C">
              <w:rPr>
                <w:rFonts w:ascii="Times New Roman" w:eastAsia="Times New Roman" w:hAnsi="Times New Roman" w:cs="Times New Roman"/>
                <w:color w:val="000000"/>
                <w:lang w:val="en-US" w:eastAsia="zh-CN"/>
              </w:rPr>
              <w:t>51</w:t>
            </w:r>
          </w:p>
        </w:tc>
        <w:tc>
          <w:tcPr>
            <w:tcW w:w="421" w:type="pct"/>
            <w:noWrap/>
            <w:hideMark/>
          </w:tcPr>
          <w:p w:rsidR="00FD56EF" w:rsidRPr="001B3C0C" w:rsidRDefault="00FD56EF" w:rsidP="00FD56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zh-CN"/>
              </w:rPr>
            </w:pPr>
            <w:r w:rsidRPr="001B3C0C">
              <w:rPr>
                <w:rFonts w:ascii="Times New Roman" w:eastAsia="Times New Roman" w:hAnsi="Times New Roman" w:cs="Times New Roman"/>
                <w:color w:val="000000"/>
                <w:lang w:val="en-US" w:eastAsia="zh-CN"/>
              </w:rPr>
              <w:t>82</w:t>
            </w:r>
            <w:r w:rsidRPr="009C5EC8">
              <w:rPr>
                <w:rFonts w:ascii="Times New Roman" w:eastAsia="Times New Roman" w:hAnsi="Times New Roman" w:cs="Times New Roman"/>
                <w:color w:val="000000"/>
                <w:lang w:val="en-US" w:eastAsia="zh-CN"/>
              </w:rPr>
              <w:t>†</w:t>
            </w:r>
            <w:r w:rsidRPr="001B3C0C">
              <w:rPr>
                <w:rFonts w:ascii="Times New Roman" w:eastAsia="Times New Roman" w:hAnsi="Times New Roman" w:cs="Times New Roman"/>
                <w:color w:val="000000"/>
                <w:lang w:val="en-US" w:eastAsia="zh-CN"/>
              </w:rPr>
              <w:t xml:space="preserve"> </w:t>
            </w:r>
          </w:p>
        </w:tc>
        <w:tc>
          <w:tcPr>
            <w:tcW w:w="880" w:type="pct"/>
            <w:noWrap/>
            <w:hideMark/>
          </w:tcPr>
          <w:p w:rsidR="00FD56EF" w:rsidRPr="001B3C0C" w:rsidRDefault="00FD56EF" w:rsidP="00FD56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C1D1E"/>
                <w:lang w:val="en-US" w:eastAsia="zh-CN"/>
              </w:rPr>
            </w:pPr>
            <w:r w:rsidRPr="001B3C0C">
              <w:rPr>
                <w:rFonts w:ascii="Times New Roman" w:eastAsia="Times New Roman" w:hAnsi="Times New Roman" w:cs="Times New Roman"/>
                <w:color w:val="000000"/>
                <w:lang w:val="en-US" w:eastAsia="zh-CN"/>
              </w:rPr>
              <w:t>≤</w:t>
            </w:r>
            <w:r w:rsidRPr="001B3C0C">
              <w:rPr>
                <w:rFonts w:ascii="Times New Roman" w:eastAsia="Times New Roman" w:hAnsi="Times New Roman" w:cs="Times New Roman"/>
                <w:color w:val="1C1D1E"/>
                <w:lang w:val="en-US" w:eastAsia="zh-CN"/>
              </w:rPr>
              <w:t xml:space="preserve">25  </w:t>
            </w:r>
          </w:p>
        </w:tc>
        <w:tc>
          <w:tcPr>
            <w:tcW w:w="629" w:type="pct"/>
            <w:noWrap/>
            <w:hideMark/>
          </w:tcPr>
          <w:p w:rsidR="00FD56EF" w:rsidRPr="001B3C0C" w:rsidRDefault="00FD56EF" w:rsidP="00FD56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zh-CN"/>
              </w:rPr>
            </w:pPr>
            <w:r w:rsidRPr="001B3C0C">
              <w:rPr>
                <w:rFonts w:ascii="Times New Roman" w:eastAsia="Times New Roman" w:hAnsi="Times New Roman" w:cs="Times New Roman"/>
                <w:color w:val="000000"/>
                <w:lang w:val="en-US" w:eastAsia="zh-CN"/>
              </w:rPr>
              <w:t>Not specified</w:t>
            </w:r>
          </w:p>
        </w:tc>
        <w:tc>
          <w:tcPr>
            <w:tcW w:w="779" w:type="pct"/>
            <w:noWrap/>
            <w:hideMark/>
          </w:tcPr>
          <w:p w:rsidR="00FD56EF" w:rsidRPr="001B3C0C" w:rsidRDefault="00D32C7B" w:rsidP="00FD56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zh-CN"/>
              </w:rPr>
            </w:pPr>
            <w:r>
              <w:rPr>
                <w:rFonts w:ascii="Times New Roman" w:eastAsia="Times New Roman" w:hAnsi="Times New Roman" w:cs="Times New Roman"/>
                <w:color w:val="000000"/>
                <w:lang w:val="en-US" w:eastAsia="zh-CN"/>
              </w:rPr>
              <w:t>After 3 minutes</w:t>
            </w:r>
          </w:p>
        </w:tc>
        <w:tc>
          <w:tcPr>
            <w:tcW w:w="810" w:type="pct"/>
            <w:noWrap/>
            <w:hideMark/>
          </w:tcPr>
          <w:p w:rsidR="00FD56EF" w:rsidRPr="001B3C0C" w:rsidRDefault="00FD56EF" w:rsidP="00FD56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zh-CN"/>
              </w:rPr>
            </w:pPr>
            <w:r w:rsidRPr="001B3C0C">
              <w:rPr>
                <w:rFonts w:ascii="Times New Roman" w:eastAsia="Times New Roman" w:hAnsi="Times New Roman" w:cs="Times New Roman"/>
                <w:color w:val="000000"/>
                <w:lang w:val="en-US" w:eastAsia="zh-CN"/>
              </w:rPr>
              <w:t>Present</w:t>
            </w:r>
          </w:p>
        </w:tc>
      </w:tr>
      <w:tr w:rsidR="00FD56EF" w:rsidRPr="001B3C0C" w:rsidTr="00FD56EF">
        <w:trPr>
          <w:trHeight w:val="300"/>
        </w:trPr>
        <w:tc>
          <w:tcPr>
            <w:cnfStyle w:val="001000000000" w:firstRow="0" w:lastRow="0" w:firstColumn="1" w:lastColumn="0" w:oddVBand="0" w:evenVBand="0" w:oddHBand="0" w:evenHBand="0" w:firstRowFirstColumn="0" w:firstRowLastColumn="0" w:lastRowFirstColumn="0" w:lastRowLastColumn="0"/>
            <w:tcW w:w="599" w:type="pct"/>
            <w:noWrap/>
            <w:hideMark/>
          </w:tcPr>
          <w:p w:rsidR="00FD56EF" w:rsidRPr="001B3C0C" w:rsidRDefault="00FD56EF" w:rsidP="00FD56EF">
            <w:pPr>
              <w:jc w:val="left"/>
              <w:rPr>
                <w:rFonts w:ascii="Times New Roman" w:eastAsia="Times New Roman" w:hAnsi="Times New Roman" w:cs="Times New Roman"/>
                <w:color w:val="000000"/>
                <w:sz w:val="22"/>
                <w:lang w:val="en-US" w:eastAsia="zh-CN"/>
              </w:rPr>
            </w:pPr>
            <w:r w:rsidRPr="001B3C0C">
              <w:rPr>
                <w:rFonts w:ascii="Times New Roman" w:eastAsia="Times New Roman" w:hAnsi="Times New Roman" w:cs="Times New Roman"/>
                <w:color w:val="000000"/>
                <w:sz w:val="22"/>
                <w:lang w:val="en-US" w:eastAsia="zh-CN"/>
              </w:rPr>
              <w:t xml:space="preserve">Veronese et al. </w:t>
            </w:r>
            <w:r>
              <w:rPr>
                <w:rFonts w:ascii="Times New Roman" w:eastAsia="Times New Roman" w:hAnsi="Times New Roman" w:cs="Times New Roman"/>
                <w:noProof/>
                <w:color w:val="000000"/>
                <w:sz w:val="22"/>
                <w:lang w:val="en-US" w:eastAsia="zh-CN"/>
              </w:rPr>
              <w:t>(7)</w:t>
            </w:r>
          </w:p>
        </w:tc>
        <w:tc>
          <w:tcPr>
            <w:tcW w:w="599" w:type="pct"/>
            <w:noWrap/>
            <w:hideMark/>
          </w:tcPr>
          <w:p w:rsidR="00FD56EF" w:rsidRPr="001B3C0C" w:rsidRDefault="00FD56EF" w:rsidP="00FD56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zh-CN"/>
              </w:rPr>
            </w:pPr>
            <w:r w:rsidRPr="001B3C0C">
              <w:rPr>
                <w:rFonts w:ascii="Times New Roman" w:eastAsia="Times New Roman" w:hAnsi="Times New Roman" w:cs="Times New Roman"/>
                <w:color w:val="000000"/>
                <w:lang w:val="en-US" w:eastAsia="zh-CN"/>
              </w:rPr>
              <w:t>Prospective</w:t>
            </w:r>
          </w:p>
        </w:tc>
        <w:tc>
          <w:tcPr>
            <w:tcW w:w="282" w:type="pct"/>
            <w:noWrap/>
            <w:hideMark/>
          </w:tcPr>
          <w:p w:rsidR="00FD56EF" w:rsidRPr="001B3C0C" w:rsidRDefault="00FD56EF" w:rsidP="00FD56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zh-CN"/>
              </w:rPr>
            </w:pPr>
            <w:r w:rsidRPr="001B3C0C">
              <w:rPr>
                <w:rFonts w:ascii="Times New Roman" w:eastAsia="Times New Roman" w:hAnsi="Times New Roman" w:cs="Times New Roman"/>
                <w:color w:val="000000"/>
                <w:lang w:val="en-US" w:eastAsia="zh-CN"/>
              </w:rPr>
              <w:t>1308</w:t>
            </w:r>
          </w:p>
        </w:tc>
        <w:tc>
          <w:tcPr>
            <w:tcW w:w="421" w:type="pct"/>
            <w:noWrap/>
            <w:hideMark/>
          </w:tcPr>
          <w:p w:rsidR="00FD56EF" w:rsidRPr="001B3C0C" w:rsidRDefault="00FD56EF" w:rsidP="00FD56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zh-CN"/>
              </w:rPr>
            </w:pPr>
            <w:r w:rsidRPr="001B3C0C">
              <w:rPr>
                <w:rFonts w:ascii="Times New Roman" w:eastAsia="Times New Roman" w:hAnsi="Times New Roman" w:cs="Times New Roman"/>
                <w:color w:val="000000"/>
                <w:lang w:val="en-US" w:eastAsia="zh-CN"/>
              </w:rPr>
              <w:t>65 - 93</w:t>
            </w:r>
          </w:p>
        </w:tc>
        <w:tc>
          <w:tcPr>
            <w:tcW w:w="880" w:type="pct"/>
            <w:noWrap/>
            <w:hideMark/>
          </w:tcPr>
          <w:p w:rsidR="00FD56EF" w:rsidRPr="001B3C0C" w:rsidRDefault="00FD56EF" w:rsidP="00FD56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zh-CN"/>
              </w:rPr>
            </w:pPr>
            <w:r w:rsidRPr="001B3C0C">
              <w:rPr>
                <w:rFonts w:ascii="Times New Roman" w:eastAsia="Times New Roman" w:hAnsi="Times New Roman" w:cs="Times New Roman"/>
                <w:color w:val="000000"/>
                <w:lang w:val="en-US" w:eastAsia="zh-CN"/>
              </w:rPr>
              <w:t>≤69 in men; ≤42 in women (cut-offs based on quartiles)</w:t>
            </w:r>
          </w:p>
        </w:tc>
        <w:tc>
          <w:tcPr>
            <w:tcW w:w="629" w:type="pct"/>
            <w:noWrap/>
            <w:hideMark/>
          </w:tcPr>
          <w:p w:rsidR="00FD56EF" w:rsidRPr="001B3C0C" w:rsidRDefault="00FD56EF" w:rsidP="00FD56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zh-CN"/>
              </w:rPr>
            </w:pPr>
            <w:r w:rsidRPr="001B3C0C">
              <w:rPr>
                <w:rFonts w:ascii="Times New Roman" w:eastAsia="Times New Roman" w:hAnsi="Times New Roman" w:cs="Times New Roman"/>
                <w:color w:val="000000"/>
                <w:lang w:val="en-US" w:eastAsia="zh-CN"/>
              </w:rPr>
              <w:t>&gt;142 in men; &gt;92 in women</w:t>
            </w:r>
          </w:p>
        </w:tc>
        <w:tc>
          <w:tcPr>
            <w:tcW w:w="779" w:type="pct"/>
            <w:noWrap/>
            <w:hideMark/>
          </w:tcPr>
          <w:p w:rsidR="00FD56EF" w:rsidRPr="001B3C0C" w:rsidRDefault="00FD56EF" w:rsidP="00FD56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zh-CN"/>
              </w:rPr>
            </w:pPr>
            <w:r w:rsidRPr="001B3C0C">
              <w:rPr>
                <w:rFonts w:ascii="Times New Roman" w:eastAsia="Times New Roman" w:hAnsi="Times New Roman" w:cs="Times New Roman"/>
                <w:color w:val="000000"/>
                <w:lang w:val="en-US" w:eastAsia="zh-CN"/>
              </w:rPr>
              <w:t>After 1 and 3 minutes</w:t>
            </w:r>
          </w:p>
        </w:tc>
        <w:tc>
          <w:tcPr>
            <w:tcW w:w="810" w:type="pct"/>
            <w:noWrap/>
            <w:hideMark/>
          </w:tcPr>
          <w:p w:rsidR="00FD56EF" w:rsidRPr="001B3C0C" w:rsidRDefault="00FD56EF" w:rsidP="00FD56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zh-CN"/>
              </w:rPr>
            </w:pPr>
            <w:r w:rsidRPr="001B3C0C">
              <w:rPr>
                <w:rFonts w:ascii="Times New Roman" w:eastAsia="Times New Roman" w:hAnsi="Times New Roman" w:cs="Times New Roman"/>
                <w:color w:val="000000"/>
                <w:lang w:val="en-US" w:eastAsia="zh-CN"/>
              </w:rPr>
              <w:t>Present</w:t>
            </w:r>
          </w:p>
          <w:p w:rsidR="00FD56EF" w:rsidRPr="001B3C0C" w:rsidRDefault="00FD56EF" w:rsidP="00FD56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zh-CN"/>
              </w:rPr>
            </w:pPr>
            <w:r w:rsidRPr="001B3C0C">
              <w:rPr>
                <w:rFonts w:ascii="Times New Roman" w:eastAsia="Times New Roman" w:hAnsi="Times New Roman" w:cs="Times New Roman"/>
                <w:color w:val="000000"/>
                <w:lang w:val="en-US" w:eastAsia="zh-CN"/>
              </w:rPr>
              <w:t>(not statistically significant in men)</w:t>
            </w:r>
          </w:p>
        </w:tc>
      </w:tr>
      <w:tr w:rsidR="00FD56EF" w:rsidRPr="001B3C0C" w:rsidTr="00FD56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9" w:type="pct"/>
            <w:noWrap/>
            <w:hideMark/>
          </w:tcPr>
          <w:p w:rsidR="00FD56EF" w:rsidRPr="001B3C0C" w:rsidRDefault="00FD56EF" w:rsidP="00FD56EF">
            <w:pPr>
              <w:jc w:val="left"/>
              <w:rPr>
                <w:rFonts w:ascii="Times New Roman" w:eastAsia="Times New Roman" w:hAnsi="Times New Roman" w:cs="Times New Roman"/>
                <w:color w:val="000000"/>
                <w:sz w:val="22"/>
                <w:lang w:val="en-US" w:eastAsia="zh-CN"/>
              </w:rPr>
            </w:pPr>
            <w:r>
              <w:rPr>
                <w:rFonts w:ascii="Times New Roman" w:eastAsia="Times New Roman" w:hAnsi="Times New Roman" w:cs="Times New Roman"/>
                <w:color w:val="000000"/>
                <w:sz w:val="22"/>
                <w:lang w:val="en-US" w:eastAsia="zh-CN"/>
              </w:rPr>
              <w:t xml:space="preserve">Laird </w:t>
            </w:r>
            <w:proofErr w:type="gramStart"/>
            <w:r>
              <w:rPr>
                <w:rFonts w:ascii="Times New Roman" w:eastAsia="Times New Roman" w:hAnsi="Times New Roman" w:cs="Times New Roman"/>
                <w:color w:val="000000"/>
                <w:sz w:val="22"/>
                <w:lang w:val="en-US" w:eastAsia="zh-CN"/>
              </w:rPr>
              <w:t>et al.</w:t>
            </w:r>
            <w:r>
              <w:rPr>
                <w:rFonts w:ascii="Times New Roman" w:eastAsia="Times New Roman" w:hAnsi="Times New Roman" w:cs="Times New Roman"/>
                <w:noProof/>
                <w:color w:val="000000"/>
                <w:sz w:val="22"/>
                <w:lang w:val="en-US" w:eastAsia="zh-CN"/>
              </w:rPr>
              <w:t>(</w:t>
            </w:r>
            <w:proofErr w:type="gramEnd"/>
            <w:r>
              <w:rPr>
                <w:rFonts w:ascii="Times New Roman" w:eastAsia="Times New Roman" w:hAnsi="Times New Roman" w:cs="Times New Roman"/>
                <w:noProof/>
                <w:color w:val="000000"/>
                <w:sz w:val="22"/>
                <w:lang w:val="en-US" w:eastAsia="zh-CN"/>
              </w:rPr>
              <w:t>18)</w:t>
            </w:r>
          </w:p>
        </w:tc>
        <w:tc>
          <w:tcPr>
            <w:tcW w:w="599" w:type="pct"/>
            <w:noWrap/>
            <w:hideMark/>
          </w:tcPr>
          <w:p w:rsidR="00FD56EF" w:rsidRPr="001B3C0C" w:rsidRDefault="00FD56EF" w:rsidP="00FD56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zh-CN"/>
              </w:rPr>
            </w:pPr>
            <w:r w:rsidRPr="001B3C0C">
              <w:rPr>
                <w:rFonts w:ascii="Times New Roman" w:eastAsia="Times New Roman" w:hAnsi="Times New Roman" w:cs="Times New Roman"/>
                <w:color w:val="000000"/>
                <w:lang w:val="en-US" w:eastAsia="zh-CN"/>
              </w:rPr>
              <w:t>Cross-sectional</w:t>
            </w:r>
          </w:p>
        </w:tc>
        <w:tc>
          <w:tcPr>
            <w:tcW w:w="282" w:type="pct"/>
            <w:noWrap/>
            <w:hideMark/>
          </w:tcPr>
          <w:p w:rsidR="00FD56EF" w:rsidRPr="001B3C0C" w:rsidRDefault="00FD56EF" w:rsidP="00FD56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zh-CN"/>
              </w:rPr>
            </w:pPr>
            <w:r w:rsidRPr="001B3C0C">
              <w:rPr>
                <w:rFonts w:ascii="Times New Roman" w:eastAsia="Times New Roman" w:hAnsi="Times New Roman" w:cs="Times New Roman"/>
                <w:color w:val="000000"/>
                <w:lang w:val="en-US" w:eastAsia="zh-CN"/>
              </w:rPr>
              <w:t>4209</w:t>
            </w:r>
          </w:p>
        </w:tc>
        <w:tc>
          <w:tcPr>
            <w:tcW w:w="421" w:type="pct"/>
            <w:noWrap/>
            <w:hideMark/>
          </w:tcPr>
          <w:p w:rsidR="00FD56EF" w:rsidRPr="001B3C0C" w:rsidRDefault="00FD56EF" w:rsidP="00FD56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zh-CN"/>
              </w:rPr>
            </w:pPr>
            <w:r w:rsidRPr="001B3C0C">
              <w:rPr>
                <w:rFonts w:ascii="Times New Roman" w:eastAsia="Times New Roman" w:hAnsi="Times New Roman" w:cs="Times New Roman"/>
                <w:color w:val="000000"/>
                <w:lang w:val="en-US" w:eastAsia="zh-CN"/>
              </w:rPr>
              <w:t xml:space="preserve"> &gt;50</w:t>
            </w:r>
            <w:r>
              <w:rPr>
                <w:rFonts w:ascii="Times New Roman" w:eastAsia="Times New Roman" w:hAnsi="Times New Roman" w:cs="Times New Roman"/>
                <w:color w:val="000000"/>
                <w:lang w:val="en-US" w:eastAsia="zh-CN"/>
              </w:rPr>
              <w:t>*</w:t>
            </w:r>
          </w:p>
        </w:tc>
        <w:tc>
          <w:tcPr>
            <w:tcW w:w="880" w:type="pct"/>
            <w:noWrap/>
            <w:hideMark/>
          </w:tcPr>
          <w:p w:rsidR="00FD56EF" w:rsidRPr="001B3C0C" w:rsidRDefault="00FD56EF" w:rsidP="00FD56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zh-CN"/>
              </w:rPr>
            </w:pPr>
            <w:r w:rsidRPr="001B3C0C">
              <w:rPr>
                <w:rFonts w:ascii="Times New Roman" w:eastAsia="Times New Roman" w:hAnsi="Times New Roman" w:cs="Times New Roman"/>
                <w:color w:val="000000"/>
                <w:lang w:val="en-US" w:eastAsia="zh-CN"/>
              </w:rPr>
              <w:t>&lt;30</w:t>
            </w:r>
          </w:p>
        </w:tc>
        <w:tc>
          <w:tcPr>
            <w:tcW w:w="629" w:type="pct"/>
            <w:noWrap/>
            <w:hideMark/>
          </w:tcPr>
          <w:p w:rsidR="00FD56EF" w:rsidRPr="001B3C0C" w:rsidRDefault="00FD56EF" w:rsidP="00FD56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zh-CN"/>
              </w:rPr>
            </w:pPr>
            <w:r w:rsidRPr="001B3C0C">
              <w:rPr>
                <w:rFonts w:ascii="Times New Roman" w:eastAsia="Times New Roman" w:hAnsi="Times New Roman" w:cs="Times New Roman"/>
                <w:color w:val="2E2E2E"/>
                <w:lang w:val="en-US" w:eastAsia="zh-CN"/>
              </w:rPr>
              <w:t>≥50</w:t>
            </w:r>
          </w:p>
        </w:tc>
        <w:tc>
          <w:tcPr>
            <w:tcW w:w="779" w:type="pct"/>
            <w:noWrap/>
            <w:hideMark/>
          </w:tcPr>
          <w:p w:rsidR="00FD56EF" w:rsidRPr="001B3C0C" w:rsidRDefault="00FD56EF" w:rsidP="00FD56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zh-CN"/>
              </w:rPr>
            </w:pPr>
            <w:r w:rsidRPr="001B3C0C">
              <w:rPr>
                <w:rFonts w:ascii="Times New Roman" w:eastAsia="Times New Roman" w:hAnsi="Times New Roman" w:cs="Times New Roman"/>
                <w:color w:val="000000"/>
                <w:lang w:val="en-US" w:eastAsia="zh-CN"/>
              </w:rPr>
              <w:t>Up to 40 seconds and throughout 110 seconds post-stand</w:t>
            </w:r>
          </w:p>
        </w:tc>
        <w:tc>
          <w:tcPr>
            <w:tcW w:w="810" w:type="pct"/>
            <w:noWrap/>
            <w:hideMark/>
          </w:tcPr>
          <w:p w:rsidR="00FD56EF" w:rsidRPr="001B3C0C" w:rsidRDefault="00FD56EF" w:rsidP="00FD56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zh-CN"/>
              </w:rPr>
            </w:pPr>
            <w:r w:rsidRPr="001B3C0C">
              <w:rPr>
                <w:rFonts w:ascii="Times New Roman" w:eastAsia="Times New Roman" w:hAnsi="Times New Roman" w:cs="Times New Roman"/>
                <w:color w:val="000000"/>
                <w:lang w:val="en-US" w:eastAsia="zh-CN"/>
              </w:rPr>
              <w:t>Not present</w:t>
            </w:r>
          </w:p>
        </w:tc>
      </w:tr>
    </w:tbl>
    <w:p w:rsidR="00FD56EF" w:rsidRDefault="00FD56EF" w:rsidP="00FD56EF">
      <w:pPr>
        <w:rPr>
          <w:rFonts w:ascii="Times New Roman" w:hAnsi="Times New Roman" w:cs="Times New Roman"/>
          <w:sz w:val="24"/>
          <w:szCs w:val="24"/>
        </w:rPr>
      </w:pPr>
      <w:r>
        <w:rPr>
          <w:rFonts w:ascii="Times New Roman" w:hAnsi="Times New Roman" w:cs="Times New Roman"/>
          <w:sz w:val="24"/>
          <w:szCs w:val="24"/>
        </w:rPr>
        <w:t xml:space="preserve">Age range not specified: *lower limit for inclusion; </w:t>
      </w:r>
      <w:r w:rsidRPr="009C5EC8">
        <w:rPr>
          <w:rFonts w:ascii="Times New Roman" w:hAnsi="Times New Roman" w:cs="Times New Roman"/>
          <w:sz w:val="24"/>
          <w:szCs w:val="24"/>
        </w:rPr>
        <w:t>†</w:t>
      </w:r>
      <w:r>
        <w:rPr>
          <w:rFonts w:ascii="Times New Roman" w:hAnsi="Times New Roman" w:cs="Times New Roman"/>
          <w:sz w:val="24"/>
          <w:szCs w:val="24"/>
        </w:rPr>
        <w:t xml:space="preserve"> mean age at baseline</w:t>
      </w:r>
    </w:p>
    <w:sectPr w:rsidR="00FD56EF" w:rsidSect="00EA6DA6">
      <w:footerReference w:type="default" r:id="rId9"/>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C71" w:rsidRDefault="005E6C71">
      <w:pPr>
        <w:spacing w:after="0" w:line="240" w:lineRule="auto"/>
      </w:pPr>
      <w:r>
        <w:separator/>
      </w:r>
    </w:p>
  </w:endnote>
  <w:endnote w:type="continuationSeparator" w:id="0">
    <w:p w:rsidR="005E6C71" w:rsidRDefault="005E6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3B4" w:rsidRPr="006A4CF2" w:rsidRDefault="003663B4">
    <w:pPr>
      <w:pStyle w:val="Footer"/>
      <w:jc w:val="right"/>
      <w:rPr>
        <w:rFonts w:ascii="Times New Roman" w:hAnsi="Times New Roman" w:cs="Times New Roman"/>
        <w:sz w:val="24"/>
        <w:szCs w:val="24"/>
      </w:rPr>
    </w:pPr>
  </w:p>
  <w:p w:rsidR="003663B4" w:rsidRPr="006A4CF2" w:rsidRDefault="003663B4">
    <w:pPr>
      <w:pStyle w:val="Foo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3B4" w:rsidRPr="006A4CF2" w:rsidRDefault="003663B4">
    <w:pPr>
      <w:pStyle w:val="Footer"/>
      <w:jc w:val="right"/>
      <w:rPr>
        <w:rFonts w:ascii="Times New Roman" w:hAnsi="Times New Roman" w:cs="Times New Roman"/>
        <w:sz w:val="24"/>
        <w:szCs w:val="24"/>
      </w:rPr>
    </w:pPr>
  </w:p>
  <w:p w:rsidR="003663B4" w:rsidRPr="006A4CF2" w:rsidRDefault="003663B4">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C71" w:rsidRDefault="005E6C71">
      <w:pPr>
        <w:spacing w:after="0" w:line="240" w:lineRule="auto"/>
      </w:pPr>
      <w:r>
        <w:separator/>
      </w:r>
    </w:p>
  </w:footnote>
  <w:footnote w:type="continuationSeparator" w:id="0">
    <w:p w:rsidR="005E6C71" w:rsidRDefault="005E6C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377AB"/>
    <w:multiLevelType w:val="hybridMultilevel"/>
    <w:tmpl w:val="526A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3D2BBB"/>
    <w:multiLevelType w:val="hybridMultilevel"/>
    <w:tmpl w:val="BA78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D56EF"/>
    <w:rsid w:val="00053384"/>
    <w:rsid w:val="00070090"/>
    <w:rsid w:val="0008401C"/>
    <w:rsid w:val="000A141C"/>
    <w:rsid w:val="00122D17"/>
    <w:rsid w:val="0018368C"/>
    <w:rsid w:val="001F6464"/>
    <w:rsid w:val="002261E9"/>
    <w:rsid w:val="00242CAF"/>
    <w:rsid w:val="002557A9"/>
    <w:rsid w:val="00316E05"/>
    <w:rsid w:val="003400F3"/>
    <w:rsid w:val="00353A10"/>
    <w:rsid w:val="003663B4"/>
    <w:rsid w:val="003766DD"/>
    <w:rsid w:val="003B2FFE"/>
    <w:rsid w:val="004214E3"/>
    <w:rsid w:val="00456B50"/>
    <w:rsid w:val="004B49B3"/>
    <w:rsid w:val="00523709"/>
    <w:rsid w:val="00527418"/>
    <w:rsid w:val="005625CA"/>
    <w:rsid w:val="005A065D"/>
    <w:rsid w:val="005A5E19"/>
    <w:rsid w:val="005E6C71"/>
    <w:rsid w:val="006B373E"/>
    <w:rsid w:val="006F6513"/>
    <w:rsid w:val="00705225"/>
    <w:rsid w:val="007052CE"/>
    <w:rsid w:val="007A58E8"/>
    <w:rsid w:val="007D6278"/>
    <w:rsid w:val="007E1596"/>
    <w:rsid w:val="007F703A"/>
    <w:rsid w:val="00844FF2"/>
    <w:rsid w:val="00882A4D"/>
    <w:rsid w:val="00883F50"/>
    <w:rsid w:val="00895291"/>
    <w:rsid w:val="00967117"/>
    <w:rsid w:val="00A00A41"/>
    <w:rsid w:val="00A25B0D"/>
    <w:rsid w:val="00A42997"/>
    <w:rsid w:val="00A46A88"/>
    <w:rsid w:val="00A5029A"/>
    <w:rsid w:val="00A8336F"/>
    <w:rsid w:val="00A851BB"/>
    <w:rsid w:val="00AA0F8E"/>
    <w:rsid w:val="00AA49FF"/>
    <w:rsid w:val="00AD5169"/>
    <w:rsid w:val="00B855CD"/>
    <w:rsid w:val="00BA5228"/>
    <w:rsid w:val="00BA7002"/>
    <w:rsid w:val="00BB49FC"/>
    <w:rsid w:val="00BF14C8"/>
    <w:rsid w:val="00C155C7"/>
    <w:rsid w:val="00C9538A"/>
    <w:rsid w:val="00CF2FA3"/>
    <w:rsid w:val="00D24CFE"/>
    <w:rsid w:val="00D32C7B"/>
    <w:rsid w:val="00D438B9"/>
    <w:rsid w:val="00D5532A"/>
    <w:rsid w:val="00D57300"/>
    <w:rsid w:val="00DA4DA0"/>
    <w:rsid w:val="00DD277C"/>
    <w:rsid w:val="00DE15E6"/>
    <w:rsid w:val="00E134B3"/>
    <w:rsid w:val="00E15738"/>
    <w:rsid w:val="00E502CC"/>
    <w:rsid w:val="00E928E5"/>
    <w:rsid w:val="00EA6DA6"/>
    <w:rsid w:val="00EF2DB2"/>
    <w:rsid w:val="00F31B57"/>
    <w:rsid w:val="00F448F0"/>
    <w:rsid w:val="00F6519C"/>
    <w:rsid w:val="00F7119F"/>
    <w:rsid w:val="00F841C1"/>
    <w:rsid w:val="00FB6A73"/>
    <w:rsid w:val="00FC51CA"/>
    <w:rsid w:val="00FD56EF"/>
    <w:rsid w:val="00FE7907"/>
    <w:rsid w:val="00FF3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36246-4C1A-4C03-A357-835162F9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56EF"/>
    <w:rPr>
      <w:lang w:val="en-GB"/>
    </w:rPr>
  </w:style>
  <w:style w:type="paragraph" w:styleId="Heading2">
    <w:name w:val="heading 2"/>
    <w:basedOn w:val="Normal"/>
    <w:link w:val="Heading2Char"/>
    <w:uiPriority w:val="9"/>
    <w:qFormat/>
    <w:rsid w:val="00FD56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56EF"/>
    <w:rPr>
      <w:rFonts w:ascii="Times New Roman" w:eastAsia="Times New Roman" w:hAnsi="Times New Roman" w:cs="Times New Roman"/>
      <w:b/>
      <w:bCs/>
      <w:sz w:val="36"/>
      <w:szCs w:val="36"/>
      <w:lang w:val="en-GB"/>
    </w:rPr>
  </w:style>
  <w:style w:type="character" w:styleId="Hyperlink">
    <w:name w:val="Hyperlink"/>
    <w:basedOn w:val="DefaultParagraphFont"/>
    <w:uiPriority w:val="99"/>
    <w:unhideWhenUsed/>
    <w:rsid w:val="00FD56EF"/>
    <w:rPr>
      <w:color w:val="0000FF"/>
      <w:u w:val="single"/>
    </w:rPr>
  </w:style>
  <w:style w:type="paragraph" w:customStyle="1" w:styleId="EndNoteBibliographyTitle">
    <w:name w:val="EndNote Bibliography Title"/>
    <w:basedOn w:val="Normal"/>
    <w:link w:val="EndNoteBibliographyTitleChar"/>
    <w:rsid w:val="00FD56E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D56EF"/>
    <w:rPr>
      <w:rFonts w:ascii="Calibri" w:hAnsi="Calibri" w:cs="Calibri"/>
      <w:noProof/>
      <w:lang w:val="en-GB"/>
    </w:rPr>
  </w:style>
  <w:style w:type="paragraph" w:customStyle="1" w:styleId="EndNoteBibliography">
    <w:name w:val="EndNote Bibliography"/>
    <w:basedOn w:val="Normal"/>
    <w:link w:val="EndNoteBibliographyChar"/>
    <w:rsid w:val="00FD56E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FD56EF"/>
    <w:rPr>
      <w:rFonts w:ascii="Calibri" w:hAnsi="Calibri" w:cs="Calibri"/>
      <w:noProof/>
      <w:lang w:val="en-GB"/>
    </w:rPr>
  </w:style>
  <w:style w:type="character" w:styleId="Emphasis">
    <w:name w:val="Emphasis"/>
    <w:basedOn w:val="DefaultParagraphFont"/>
    <w:uiPriority w:val="20"/>
    <w:qFormat/>
    <w:rsid w:val="00FD56EF"/>
    <w:rPr>
      <w:i/>
      <w:iCs/>
    </w:rPr>
  </w:style>
  <w:style w:type="table" w:customStyle="1" w:styleId="PlainTable31">
    <w:name w:val="Plain Table 31"/>
    <w:basedOn w:val="TableNormal"/>
    <w:uiPriority w:val="43"/>
    <w:rsid w:val="00FD56E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FD56E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FD56EF"/>
    <w:pPr>
      <w:ind w:left="720"/>
      <w:contextualSpacing/>
    </w:pPr>
  </w:style>
  <w:style w:type="table" w:customStyle="1" w:styleId="PlainTable51">
    <w:name w:val="Plain Table 51"/>
    <w:basedOn w:val="TableNormal"/>
    <w:uiPriority w:val="45"/>
    <w:rsid w:val="00FD56E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FD5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6EF"/>
    <w:rPr>
      <w:lang w:val="en-GB"/>
    </w:rPr>
  </w:style>
  <w:style w:type="paragraph" w:styleId="Footer">
    <w:name w:val="footer"/>
    <w:basedOn w:val="Normal"/>
    <w:link w:val="FooterChar"/>
    <w:uiPriority w:val="99"/>
    <w:unhideWhenUsed/>
    <w:rsid w:val="00FD5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6EF"/>
    <w:rPr>
      <w:lang w:val="en-GB"/>
    </w:rPr>
  </w:style>
  <w:style w:type="paragraph" w:styleId="Caption">
    <w:name w:val="caption"/>
    <w:basedOn w:val="Normal"/>
    <w:next w:val="Normal"/>
    <w:uiPriority w:val="35"/>
    <w:unhideWhenUsed/>
    <w:qFormat/>
    <w:rsid w:val="00FD56EF"/>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FD5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6EF"/>
    <w:rPr>
      <w:rFonts w:ascii="Segoe UI" w:hAnsi="Segoe UI" w:cs="Segoe UI"/>
      <w:sz w:val="18"/>
      <w:szCs w:val="18"/>
      <w:lang w:val="en-GB"/>
    </w:rPr>
  </w:style>
  <w:style w:type="character" w:styleId="CommentReference">
    <w:name w:val="annotation reference"/>
    <w:basedOn w:val="DefaultParagraphFont"/>
    <w:uiPriority w:val="99"/>
    <w:semiHidden/>
    <w:unhideWhenUsed/>
    <w:rsid w:val="00FD56EF"/>
    <w:rPr>
      <w:sz w:val="16"/>
      <w:szCs w:val="16"/>
    </w:rPr>
  </w:style>
  <w:style w:type="paragraph" w:styleId="CommentText">
    <w:name w:val="annotation text"/>
    <w:basedOn w:val="Normal"/>
    <w:link w:val="CommentTextChar"/>
    <w:uiPriority w:val="99"/>
    <w:semiHidden/>
    <w:unhideWhenUsed/>
    <w:rsid w:val="00FD56EF"/>
    <w:pPr>
      <w:spacing w:line="240" w:lineRule="auto"/>
    </w:pPr>
    <w:rPr>
      <w:sz w:val="20"/>
      <w:szCs w:val="20"/>
    </w:rPr>
  </w:style>
  <w:style w:type="character" w:customStyle="1" w:styleId="CommentTextChar">
    <w:name w:val="Comment Text Char"/>
    <w:basedOn w:val="DefaultParagraphFont"/>
    <w:link w:val="CommentText"/>
    <w:uiPriority w:val="99"/>
    <w:semiHidden/>
    <w:rsid w:val="00FD56EF"/>
    <w:rPr>
      <w:sz w:val="20"/>
      <w:szCs w:val="20"/>
      <w:lang w:val="en-GB"/>
    </w:rPr>
  </w:style>
  <w:style w:type="paragraph" w:styleId="CommentSubject">
    <w:name w:val="annotation subject"/>
    <w:basedOn w:val="CommentText"/>
    <w:next w:val="CommentText"/>
    <w:link w:val="CommentSubjectChar"/>
    <w:uiPriority w:val="99"/>
    <w:semiHidden/>
    <w:unhideWhenUsed/>
    <w:rsid w:val="00FD56EF"/>
    <w:rPr>
      <w:b/>
      <w:bCs/>
    </w:rPr>
  </w:style>
  <w:style w:type="character" w:customStyle="1" w:styleId="CommentSubjectChar">
    <w:name w:val="Comment Subject Char"/>
    <w:basedOn w:val="CommentTextChar"/>
    <w:link w:val="CommentSubject"/>
    <w:uiPriority w:val="99"/>
    <w:semiHidden/>
    <w:rsid w:val="00FD56EF"/>
    <w:rPr>
      <w:b/>
      <w:bCs/>
      <w:sz w:val="20"/>
      <w:szCs w:val="20"/>
      <w:lang w:val="en-GB"/>
    </w:rPr>
  </w:style>
  <w:style w:type="paragraph" w:styleId="Revision">
    <w:name w:val="Revision"/>
    <w:hidden/>
    <w:uiPriority w:val="99"/>
    <w:semiHidden/>
    <w:rsid w:val="00FD56EF"/>
    <w:pPr>
      <w:spacing w:after="0" w:line="240" w:lineRule="auto"/>
    </w:pPr>
    <w:rPr>
      <w:lang w:val="en-GB"/>
    </w:rPr>
  </w:style>
  <w:style w:type="table" w:customStyle="1" w:styleId="GridTable1Light1">
    <w:name w:val="Grid Table 1 Light1"/>
    <w:basedOn w:val="TableNormal"/>
    <w:uiPriority w:val="46"/>
    <w:rsid w:val="00FD56E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FD56EF"/>
    <w:pPr>
      <w:spacing w:after="0" w:line="240" w:lineRule="auto"/>
    </w:pPr>
    <w:rPr>
      <w:rFonts w:eastAsiaTheme="minorEastAsia"/>
    </w:rPr>
  </w:style>
  <w:style w:type="character" w:customStyle="1" w:styleId="NoSpacingChar">
    <w:name w:val="No Spacing Char"/>
    <w:basedOn w:val="DefaultParagraphFont"/>
    <w:link w:val="NoSpacing"/>
    <w:uiPriority w:val="1"/>
    <w:rsid w:val="00FD56EF"/>
    <w:rPr>
      <w:rFonts w:eastAsiaTheme="minorEastAsia"/>
    </w:rPr>
  </w:style>
  <w:style w:type="character" w:styleId="LineNumber">
    <w:name w:val="line number"/>
    <w:basedOn w:val="DefaultParagraphFont"/>
    <w:uiPriority w:val="99"/>
    <w:semiHidden/>
    <w:unhideWhenUsed/>
    <w:rsid w:val="00FD56EF"/>
  </w:style>
  <w:style w:type="table" w:styleId="PlainTable5">
    <w:name w:val="Plain Table 5"/>
    <w:basedOn w:val="TableNormal"/>
    <w:uiPriority w:val="45"/>
    <w:rsid w:val="00FD56E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4755</Words>
  <Characters>27110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31802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Artaza Gilani</dc:creator>
  <cp:keywords/>
  <dc:description/>
  <cp:lastModifiedBy>Peter Whincup</cp:lastModifiedBy>
  <cp:revision>2</cp:revision>
  <dcterms:created xsi:type="dcterms:W3CDTF">2020-09-25T14:31:00Z</dcterms:created>
  <dcterms:modified xsi:type="dcterms:W3CDTF">2020-09-25T14:31:00Z</dcterms:modified>
</cp:coreProperties>
</file>