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B4612A" w14:textId="77777777" w:rsidR="00A87BE7" w:rsidRPr="009B42E3" w:rsidRDefault="00467772" w:rsidP="00622B57">
      <w:pPr>
        <w:jc w:val="center"/>
        <w:rPr>
          <w:b/>
          <w:sz w:val="24"/>
        </w:rPr>
      </w:pPr>
      <w:r>
        <w:rPr>
          <w:b/>
          <w:sz w:val="24"/>
        </w:rPr>
        <w:t>Enhancing rare v</w:t>
      </w:r>
      <w:r w:rsidR="00E00F9B" w:rsidRPr="009B42E3">
        <w:rPr>
          <w:b/>
          <w:sz w:val="24"/>
        </w:rPr>
        <w:t>ariant interpretation in inherited arrhythmias</w:t>
      </w:r>
      <w:r>
        <w:rPr>
          <w:b/>
          <w:sz w:val="24"/>
        </w:rPr>
        <w:t xml:space="preserve"> through quantitative analysis of </w:t>
      </w:r>
      <w:r w:rsidR="009B42E3" w:rsidRPr="009B42E3">
        <w:rPr>
          <w:b/>
          <w:sz w:val="24"/>
        </w:rPr>
        <w:t>c</w:t>
      </w:r>
      <w:r w:rsidR="00AF3930">
        <w:rPr>
          <w:b/>
          <w:sz w:val="24"/>
        </w:rPr>
        <w:t>onsortium disease</w:t>
      </w:r>
      <w:r>
        <w:rPr>
          <w:b/>
          <w:sz w:val="24"/>
        </w:rPr>
        <w:t xml:space="preserve"> cohorts and population controls</w:t>
      </w:r>
    </w:p>
    <w:p w14:paraId="3EE608F3" w14:textId="77777777" w:rsidR="00EC15A2" w:rsidRDefault="00EC15A2" w:rsidP="00622B57">
      <w:pPr>
        <w:jc w:val="both"/>
      </w:pPr>
    </w:p>
    <w:p w14:paraId="08D37245" w14:textId="4307D82B" w:rsidR="00075E2C" w:rsidRPr="00FD584B" w:rsidRDefault="00075E2C" w:rsidP="00075E2C">
      <w:pPr>
        <w:jc w:val="both"/>
      </w:pPr>
      <w:r w:rsidRPr="00451825">
        <w:t xml:space="preserve">Roddy Walsh, </w:t>
      </w:r>
      <w:proofErr w:type="spellStart"/>
      <w:r w:rsidRPr="00451825">
        <w:t>PhD,</w:t>
      </w:r>
      <w:r w:rsidRPr="00451825">
        <w:rPr>
          <w:vertAlign w:val="superscript"/>
        </w:rPr>
        <w:t>a,b</w:t>
      </w:r>
      <w:proofErr w:type="spellEnd"/>
      <w:r w:rsidRPr="00451825">
        <w:t xml:space="preserve"> </w:t>
      </w:r>
      <w:proofErr w:type="spellStart"/>
      <w:r w:rsidRPr="00451825">
        <w:t>Najim</w:t>
      </w:r>
      <w:proofErr w:type="spellEnd"/>
      <w:r w:rsidRPr="00451825">
        <w:t xml:space="preserve"> </w:t>
      </w:r>
      <w:proofErr w:type="spellStart"/>
      <w:r w:rsidRPr="00451825">
        <w:t>Lahrouchi</w:t>
      </w:r>
      <w:proofErr w:type="spellEnd"/>
      <w:r w:rsidRPr="00451825">
        <w:t xml:space="preserve">, </w:t>
      </w:r>
      <w:proofErr w:type="spellStart"/>
      <w:r w:rsidRPr="00451825">
        <w:t>MD,</w:t>
      </w:r>
      <w:r w:rsidRPr="00451825">
        <w:rPr>
          <w:vertAlign w:val="superscript"/>
        </w:rPr>
        <w:t>a,b</w:t>
      </w:r>
      <w:proofErr w:type="spellEnd"/>
      <w:r w:rsidRPr="00451825">
        <w:t xml:space="preserve"> Rafik </w:t>
      </w:r>
      <w:proofErr w:type="spellStart"/>
      <w:r w:rsidRPr="00451825">
        <w:t>Tadros</w:t>
      </w:r>
      <w:proofErr w:type="spellEnd"/>
      <w:r w:rsidRPr="00451825">
        <w:t xml:space="preserve">, MD, </w:t>
      </w:r>
      <w:proofErr w:type="spellStart"/>
      <w:r w:rsidRPr="00451825">
        <w:t>PhD,</w:t>
      </w:r>
      <w:r w:rsidRPr="00451825">
        <w:rPr>
          <w:vertAlign w:val="superscript"/>
        </w:rPr>
        <w:t>c</w:t>
      </w:r>
      <w:proofErr w:type="spellEnd"/>
      <w:r w:rsidRPr="00451825">
        <w:t xml:space="preserve"> Florence </w:t>
      </w:r>
      <w:proofErr w:type="spellStart"/>
      <w:r w:rsidRPr="00451825">
        <w:t>Kyndt</w:t>
      </w:r>
      <w:proofErr w:type="spellEnd"/>
      <w:r w:rsidRPr="00451825">
        <w:t xml:space="preserve">, </w:t>
      </w:r>
      <w:proofErr w:type="spellStart"/>
      <w:r w:rsidRPr="00451825">
        <w:t>PharmD</w:t>
      </w:r>
      <w:proofErr w:type="spellEnd"/>
      <w:r w:rsidRPr="00451825">
        <w:t xml:space="preserve">, </w:t>
      </w:r>
      <w:proofErr w:type="spellStart"/>
      <w:r w:rsidRPr="00451825">
        <w:t>PhD,</w:t>
      </w:r>
      <w:r w:rsidRPr="00451825">
        <w:rPr>
          <w:vertAlign w:val="superscript"/>
        </w:rPr>
        <w:t>d,b</w:t>
      </w:r>
      <w:proofErr w:type="spellEnd"/>
      <w:r w:rsidRPr="00451825">
        <w:t xml:space="preserve"> Charlotte </w:t>
      </w:r>
      <w:proofErr w:type="spellStart"/>
      <w:r w:rsidRPr="00451825">
        <w:t>Glinge</w:t>
      </w:r>
      <w:proofErr w:type="spellEnd"/>
      <w:r w:rsidRPr="00451825">
        <w:t xml:space="preserve">, MD, </w:t>
      </w:r>
      <w:proofErr w:type="spellStart"/>
      <w:r w:rsidRPr="00451825">
        <w:t>PhD,</w:t>
      </w:r>
      <w:r w:rsidRPr="00451825">
        <w:rPr>
          <w:vertAlign w:val="superscript"/>
        </w:rPr>
        <w:t>e,b</w:t>
      </w:r>
      <w:proofErr w:type="spellEnd"/>
      <w:r w:rsidRPr="00451825">
        <w:t xml:space="preserve"> Pieter G. </w:t>
      </w:r>
      <w:proofErr w:type="spellStart"/>
      <w:r w:rsidRPr="00451825">
        <w:t>Postema</w:t>
      </w:r>
      <w:proofErr w:type="spellEnd"/>
      <w:r w:rsidRPr="00451825">
        <w:t xml:space="preserve">, MD, </w:t>
      </w:r>
      <w:proofErr w:type="spellStart"/>
      <w:r w:rsidRPr="00451825">
        <w:t>PhD,</w:t>
      </w:r>
      <w:r w:rsidRPr="00451825">
        <w:rPr>
          <w:vertAlign w:val="superscript"/>
        </w:rPr>
        <w:t>a,b</w:t>
      </w:r>
      <w:proofErr w:type="spellEnd"/>
      <w:r w:rsidRPr="00451825">
        <w:t xml:space="preserve"> Ahmad S. Amin, MD, </w:t>
      </w:r>
      <w:proofErr w:type="spellStart"/>
      <w:r w:rsidRPr="00451825">
        <w:t>PhD,</w:t>
      </w:r>
      <w:r w:rsidRPr="00451825">
        <w:rPr>
          <w:vertAlign w:val="superscript"/>
        </w:rPr>
        <w:t>a,b</w:t>
      </w:r>
      <w:proofErr w:type="spellEnd"/>
      <w:r w:rsidRPr="00451825">
        <w:t xml:space="preserve"> </w:t>
      </w:r>
      <w:proofErr w:type="spellStart"/>
      <w:r w:rsidRPr="00451825">
        <w:t>Eline</w:t>
      </w:r>
      <w:proofErr w:type="spellEnd"/>
      <w:r w:rsidRPr="00451825">
        <w:t xml:space="preserve"> A. </w:t>
      </w:r>
      <w:proofErr w:type="spellStart"/>
      <w:r w:rsidRPr="00451825">
        <w:t>Nannenberg</w:t>
      </w:r>
      <w:proofErr w:type="spellEnd"/>
      <w:r w:rsidRPr="00451825">
        <w:t xml:space="preserve">, MD, </w:t>
      </w:r>
      <w:proofErr w:type="spellStart"/>
      <w:r w:rsidRPr="00451825">
        <w:t>PhD,</w:t>
      </w:r>
      <w:r w:rsidRPr="00451825">
        <w:rPr>
          <w:vertAlign w:val="superscript"/>
        </w:rPr>
        <w:t>f,b</w:t>
      </w:r>
      <w:proofErr w:type="spellEnd"/>
      <w:r w:rsidRPr="00451825">
        <w:t xml:space="preserve"> James S. Ware, PhD, </w:t>
      </w:r>
      <w:proofErr w:type="spellStart"/>
      <w:r w:rsidRPr="00451825">
        <w:t>MRCP,</w:t>
      </w:r>
      <w:r w:rsidRPr="00451825">
        <w:rPr>
          <w:vertAlign w:val="superscript"/>
        </w:rPr>
        <w:t>g,h,i</w:t>
      </w:r>
      <w:proofErr w:type="spellEnd"/>
      <w:r w:rsidRPr="00451825">
        <w:t xml:space="preserve"> Nicola </w:t>
      </w:r>
      <w:proofErr w:type="spellStart"/>
      <w:r w:rsidRPr="00451825">
        <w:t>Whiffin</w:t>
      </w:r>
      <w:proofErr w:type="spellEnd"/>
      <w:r w:rsidRPr="00451825">
        <w:t xml:space="preserve">, </w:t>
      </w:r>
      <w:proofErr w:type="spellStart"/>
      <w:r w:rsidRPr="00451825">
        <w:t>PhD,</w:t>
      </w:r>
      <w:r w:rsidRPr="00451825">
        <w:rPr>
          <w:vertAlign w:val="superscript"/>
        </w:rPr>
        <w:t>g,h,i</w:t>
      </w:r>
      <w:proofErr w:type="spellEnd"/>
      <w:r w:rsidRPr="00451825">
        <w:t xml:space="preserve"> Francesco Mazzarotto, </w:t>
      </w:r>
      <w:proofErr w:type="spellStart"/>
      <w:r w:rsidRPr="00451825">
        <w:t>PhD,</w:t>
      </w:r>
      <w:r w:rsidRPr="00451825">
        <w:rPr>
          <w:vertAlign w:val="superscript"/>
        </w:rPr>
        <w:t>j,k,g,h</w:t>
      </w:r>
      <w:proofErr w:type="spellEnd"/>
      <w:r w:rsidRPr="00451825">
        <w:t xml:space="preserve"> Doris </w:t>
      </w:r>
      <w:proofErr w:type="spellStart"/>
      <w:r w:rsidRPr="00451825">
        <w:t>Škorić-Milosavljević</w:t>
      </w:r>
      <w:proofErr w:type="spellEnd"/>
      <w:r w:rsidRPr="00451825">
        <w:t xml:space="preserve">, </w:t>
      </w:r>
      <w:proofErr w:type="spellStart"/>
      <w:r w:rsidRPr="00451825">
        <w:t>MD,</w:t>
      </w:r>
      <w:r w:rsidRPr="00451825">
        <w:rPr>
          <w:vertAlign w:val="superscript"/>
        </w:rPr>
        <w:t>a,b</w:t>
      </w:r>
      <w:proofErr w:type="spellEnd"/>
      <w:r w:rsidRPr="00451825">
        <w:t xml:space="preserve"> Christian </w:t>
      </w:r>
      <w:proofErr w:type="spellStart"/>
      <w:r w:rsidRPr="00451825">
        <w:t>Krijger</w:t>
      </w:r>
      <w:proofErr w:type="spellEnd"/>
      <w:r w:rsidRPr="00451825">
        <w:t xml:space="preserve">, </w:t>
      </w:r>
      <w:proofErr w:type="spellStart"/>
      <w:r w:rsidRPr="00451825">
        <w:t>BSc,</w:t>
      </w:r>
      <w:r w:rsidRPr="00451825">
        <w:rPr>
          <w:vertAlign w:val="superscript"/>
        </w:rPr>
        <w:t>a,b</w:t>
      </w:r>
      <w:proofErr w:type="spellEnd"/>
      <w:r w:rsidRPr="00451825">
        <w:t xml:space="preserve"> Elena </w:t>
      </w:r>
      <w:proofErr w:type="spellStart"/>
      <w:r w:rsidRPr="00451825">
        <w:t>Arbelo</w:t>
      </w:r>
      <w:proofErr w:type="spellEnd"/>
      <w:r w:rsidRPr="00451825">
        <w:t xml:space="preserve">, MD, </w:t>
      </w:r>
      <w:proofErr w:type="spellStart"/>
      <w:r w:rsidRPr="00451825">
        <w:t>PhD,</w:t>
      </w:r>
      <w:r w:rsidRPr="00451825">
        <w:rPr>
          <w:vertAlign w:val="superscript"/>
        </w:rPr>
        <w:t>l,m,n</w:t>
      </w:r>
      <w:proofErr w:type="spellEnd"/>
      <w:r w:rsidRPr="00451825">
        <w:t xml:space="preserve"> Dominique </w:t>
      </w:r>
      <w:proofErr w:type="spellStart"/>
      <w:r w:rsidRPr="00451825">
        <w:t>Babuty</w:t>
      </w:r>
      <w:proofErr w:type="spellEnd"/>
      <w:r w:rsidRPr="00451825">
        <w:t xml:space="preserve">, MD, </w:t>
      </w:r>
      <w:proofErr w:type="spellStart"/>
      <w:r w:rsidRPr="00451825">
        <w:t>PhD,</w:t>
      </w:r>
      <w:r w:rsidRPr="00451825">
        <w:rPr>
          <w:vertAlign w:val="superscript"/>
        </w:rPr>
        <w:t>o</w:t>
      </w:r>
      <w:proofErr w:type="spellEnd"/>
      <w:r w:rsidRPr="00451825">
        <w:t xml:space="preserve"> Hector Barajas-Martinez, </w:t>
      </w:r>
      <w:proofErr w:type="spellStart"/>
      <w:r w:rsidRPr="00451825">
        <w:t>PhD,</w:t>
      </w:r>
      <w:r w:rsidRPr="00451825">
        <w:rPr>
          <w:vertAlign w:val="superscript"/>
        </w:rPr>
        <w:t>p</w:t>
      </w:r>
      <w:proofErr w:type="spellEnd"/>
      <w:r w:rsidRPr="00451825">
        <w:t xml:space="preserve"> Britt M. Beckmann, </w:t>
      </w:r>
      <w:proofErr w:type="spellStart"/>
      <w:r w:rsidRPr="00451825">
        <w:t>MD,</w:t>
      </w:r>
      <w:r w:rsidRPr="00451825">
        <w:rPr>
          <w:vertAlign w:val="superscript"/>
        </w:rPr>
        <w:t>q</w:t>
      </w:r>
      <w:proofErr w:type="spellEnd"/>
      <w:r w:rsidRPr="00451825">
        <w:t xml:space="preserve"> </w:t>
      </w:r>
      <w:proofErr w:type="spellStart"/>
      <w:r w:rsidRPr="00451825">
        <w:t>Stéphane</w:t>
      </w:r>
      <w:proofErr w:type="spellEnd"/>
      <w:r w:rsidRPr="00451825">
        <w:t xml:space="preserve"> </w:t>
      </w:r>
      <w:proofErr w:type="spellStart"/>
      <w:r w:rsidRPr="00451825">
        <w:t>Bézieau</w:t>
      </w:r>
      <w:proofErr w:type="spellEnd"/>
      <w:r w:rsidRPr="00451825">
        <w:t xml:space="preserve">, </w:t>
      </w:r>
      <w:proofErr w:type="spellStart"/>
      <w:r w:rsidRPr="00451825">
        <w:t>PharmD</w:t>
      </w:r>
      <w:proofErr w:type="spellEnd"/>
      <w:r w:rsidRPr="00451825">
        <w:t xml:space="preserve">, </w:t>
      </w:r>
      <w:proofErr w:type="spellStart"/>
      <w:r w:rsidRPr="00451825">
        <w:t>PhD,</w:t>
      </w:r>
      <w:r w:rsidRPr="00451825">
        <w:rPr>
          <w:vertAlign w:val="superscript"/>
        </w:rPr>
        <w:t>d,b</w:t>
      </w:r>
      <w:proofErr w:type="spellEnd"/>
      <w:r w:rsidRPr="00451825">
        <w:t xml:space="preserve"> J. </w:t>
      </w:r>
      <w:proofErr w:type="spellStart"/>
      <w:r w:rsidRPr="00451825">
        <w:t>Martijn</w:t>
      </w:r>
      <w:proofErr w:type="spellEnd"/>
      <w:r w:rsidRPr="00451825">
        <w:t xml:space="preserve"> </w:t>
      </w:r>
      <w:proofErr w:type="spellStart"/>
      <w:r w:rsidRPr="00451825">
        <w:t>Bos</w:t>
      </w:r>
      <w:proofErr w:type="spellEnd"/>
      <w:r w:rsidRPr="00451825">
        <w:t xml:space="preserve">, MD, </w:t>
      </w:r>
      <w:proofErr w:type="spellStart"/>
      <w:r w:rsidRPr="00451825">
        <w:t>PhD,</w:t>
      </w:r>
      <w:r w:rsidRPr="00451825">
        <w:rPr>
          <w:vertAlign w:val="superscript"/>
        </w:rPr>
        <w:t>r</w:t>
      </w:r>
      <w:proofErr w:type="spellEnd"/>
      <w:r w:rsidRPr="00451825">
        <w:t xml:space="preserve"> </w:t>
      </w:r>
      <w:proofErr w:type="spellStart"/>
      <w:r w:rsidRPr="00451825">
        <w:t>Jeroen</w:t>
      </w:r>
      <w:proofErr w:type="spellEnd"/>
      <w:r w:rsidRPr="00451825">
        <w:t xml:space="preserve"> </w:t>
      </w:r>
      <w:proofErr w:type="spellStart"/>
      <w:r w:rsidRPr="00451825">
        <w:t>Breckpot</w:t>
      </w:r>
      <w:proofErr w:type="spellEnd"/>
      <w:r w:rsidRPr="00451825">
        <w:t xml:space="preserve">, MD, </w:t>
      </w:r>
      <w:proofErr w:type="spellStart"/>
      <w:r w:rsidRPr="00451825">
        <w:t>PhD,</w:t>
      </w:r>
      <w:r w:rsidRPr="00451825">
        <w:rPr>
          <w:vertAlign w:val="superscript"/>
        </w:rPr>
        <w:t>s,b</w:t>
      </w:r>
      <w:proofErr w:type="spellEnd"/>
      <w:r w:rsidRPr="00451825">
        <w:t xml:space="preserve"> Oscar </w:t>
      </w:r>
      <w:proofErr w:type="spellStart"/>
      <w:r w:rsidRPr="00451825">
        <w:t>Campuzano</w:t>
      </w:r>
      <w:proofErr w:type="spellEnd"/>
      <w:r w:rsidRPr="00451825">
        <w:t xml:space="preserve">, </w:t>
      </w:r>
      <w:proofErr w:type="spellStart"/>
      <w:r w:rsidRPr="00451825">
        <w:t>PhD,</w:t>
      </w:r>
      <w:r w:rsidRPr="00451825">
        <w:rPr>
          <w:vertAlign w:val="superscript"/>
        </w:rPr>
        <w:t>t,u,n,v</w:t>
      </w:r>
      <w:proofErr w:type="spellEnd"/>
      <w:r w:rsidRPr="00451825">
        <w:t xml:space="preserve"> Silvia </w:t>
      </w:r>
      <w:proofErr w:type="spellStart"/>
      <w:r w:rsidRPr="00451825">
        <w:t>Castelletti</w:t>
      </w:r>
      <w:proofErr w:type="spellEnd"/>
      <w:r w:rsidRPr="00451825">
        <w:t xml:space="preserve">, </w:t>
      </w:r>
      <w:proofErr w:type="spellStart"/>
      <w:r w:rsidRPr="00451825">
        <w:t>MD,</w:t>
      </w:r>
      <w:r w:rsidRPr="00451825">
        <w:rPr>
          <w:vertAlign w:val="superscript"/>
        </w:rPr>
        <w:t>w</w:t>
      </w:r>
      <w:proofErr w:type="spellEnd"/>
      <w:r w:rsidRPr="00451825">
        <w:t xml:space="preserve"> </w:t>
      </w:r>
      <w:proofErr w:type="spellStart"/>
      <w:r w:rsidRPr="00451825">
        <w:t>Candan</w:t>
      </w:r>
      <w:proofErr w:type="spellEnd"/>
      <w:r w:rsidRPr="00451825">
        <w:t xml:space="preserve"> </w:t>
      </w:r>
      <w:proofErr w:type="spellStart"/>
      <w:r w:rsidRPr="00451825">
        <w:t>Celen</w:t>
      </w:r>
      <w:proofErr w:type="spellEnd"/>
      <w:r w:rsidRPr="00451825">
        <w:t xml:space="preserve">, </w:t>
      </w:r>
      <w:proofErr w:type="spellStart"/>
      <w:r w:rsidRPr="00451825">
        <w:t>RN,</w:t>
      </w:r>
      <w:r w:rsidRPr="00451825">
        <w:rPr>
          <w:vertAlign w:val="superscript"/>
        </w:rPr>
        <w:t>x</w:t>
      </w:r>
      <w:proofErr w:type="spellEnd"/>
      <w:r w:rsidRPr="00451825">
        <w:t xml:space="preserve"> Sebastian </w:t>
      </w:r>
      <w:proofErr w:type="spellStart"/>
      <w:r w:rsidRPr="00451825">
        <w:t>Clauss</w:t>
      </w:r>
      <w:proofErr w:type="spellEnd"/>
      <w:r w:rsidRPr="00451825">
        <w:t xml:space="preserve">, </w:t>
      </w:r>
      <w:proofErr w:type="spellStart"/>
      <w:r w:rsidRPr="00451825">
        <w:t>MD,</w:t>
      </w:r>
      <w:r w:rsidRPr="00451825">
        <w:rPr>
          <w:vertAlign w:val="superscript"/>
        </w:rPr>
        <w:t>q,y,z</w:t>
      </w:r>
      <w:proofErr w:type="spellEnd"/>
      <w:r w:rsidRPr="00451825">
        <w:t xml:space="preserve"> </w:t>
      </w:r>
      <w:proofErr w:type="spellStart"/>
      <w:r w:rsidRPr="00451825">
        <w:t>Anniek</w:t>
      </w:r>
      <w:proofErr w:type="spellEnd"/>
      <w:r w:rsidRPr="00451825">
        <w:t xml:space="preserve"> </w:t>
      </w:r>
      <w:proofErr w:type="spellStart"/>
      <w:r w:rsidRPr="00451825">
        <w:t>Corveleyn</w:t>
      </w:r>
      <w:proofErr w:type="spellEnd"/>
      <w:r w:rsidRPr="00451825">
        <w:t xml:space="preserve">, </w:t>
      </w:r>
      <w:proofErr w:type="spellStart"/>
      <w:r w:rsidRPr="00451825">
        <w:t>PhD,</w:t>
      </w:r>
      <w:r w:rsidRPr="00451825">
        <w:rPr>
          <w:vertAlign w:val="superscript"/>
        </w:rPr>
        <w:t>aa,b</w:t>
      </w:r>
      <w:proofErr w:type="spellEnd"/>
      <w:r w:rsidRPr="00451825">
        <w:t xml:space="preserve"> Lia </w:t>
      </w:r>
      <w:proofErr w:type="spellStart"/>
      <w:r w:rsidRPr="00451825">
        <w:t>Crotti</w:t>
      </w:r>
      <w:proofErr w:type="spellEnd"/>
      <w:r w:rsidRPr="00451825">
        <w:t xml:space="preserve">, MD, </w:t>
      </w:r>
      <w:proofErr w:type="spellStart"/>
      <w:r w:rsidRPr="00451825">
        <w:t>PhD,</w:t>
      </w:r>
      <w:r w:rsidRPr="00451825">
        <w:rPr>
          <w:vertAlign w:val="superscript"/>
        </w:rPr>
        <w:t>w,ab,ac,ad</w:t>
      </w:r>
      <w:proofErr w:type="spellEnd"/>
      <w:r w:rsidRPr="00451825">
        <w:t xml:space="preserve"> Federica </w:t>
      </w:r>
      <w:proofErr w:type="spellStart"/>
      <w:r w:rsidRPr="00451825">
        <w:t>Dagradi</w:t>
      </w:r>
      <w:proofErr w:type="spellEnd"/>
      <w:r w:rsidRPr="00451825">
        <w:t xml:space="preserve">, </w:t>
      </w:r>
      <w:proofErr w:type="spellStart"/>
      <w:r w:rsidRPr="00451825">
        <w:t>MD,</w:t>
      </w:r>
      <w:r w:rsidRPr="00FD584B">
        <w:rPr>
          <w:vertAlign w:val="superscript"/>
        </w:rPr>
        <w:t>w</w:t>
      </w:r>
      <w:proofErr w:type="spellEnd"/>
      <w:r w:rsidRPr="00451825">
        <w:t xml:space="preserve"> Carlo de </w:t>
      </w:r>
      <w:proofErr w:type="spellStart"/>
      <w:r w:rsidRPr="00451825">
        <w:t>Asmundis</w:t>
      </w:r>
      <w:proofErr w:type="spellEnd"/>
      <w:r w:rsidRPr="00451825">
        <w:t xml:space="preserve">, MD, </w:t>
      </w:r>
      <w:proofErr w:type="spellStart"/>
      <w:r w:rsidRPr="00451825">
        <w:t>PhD,</w:t>
      </w:r>
      <w:r w:rsidRPr="00FD584B">
        <w:rPr>
          <w:vertAlign w:val="superscript"/>
        </w:rPr>
        <w:t>ae</w:t>
      </w:r>
      <w:proofErr w:type="spellEnd"/>
      <w:r w:rsidRPr="00451825">
        <w:t xml:space="preserve"> Isabelle </w:t>
      </w:r>
      <w:proofErr w:type="spellStart"/>
      <w:r w:rsidRPr="00451825">
        <w:t>Denjoy</w:t>
      </w:r>
      <w:proofErr w:type="spellEnd"/>
      <w:r w:rsidRPr="00451825">
        <w:t xml:space="preserve">, </w:t>
      </w:r>
      <w:proofErr w:type="spellStart"/>
      <w:r w:rsidRPr="00451825">
        <w:t>MD,</w:t>
      </w:r>
      <w:r w:rsidRPr="00FD584B">
        <w:rPr>
          <w:vertAlign w:val="superscript"/>
        </w:rPr>
        <w:t>af,ag,b</w:t>
      </w:r>
      <w:proofErr w:type="spellEnd"/>
      <w:r w:rsidRPr="00451825">
        <w:t xml:space="preserve"> Sven </w:t>
      </w:r>
      <w:proofErr w:type="spellStart"/>
      <w:r w:rsidRPr="00451825">
        <w:t>Dittmann</w:t>
      </w:r>
      <w:proofErr w:type="spellEnd"/>
      <w:r w:rsidRPr="00451825">
        <w:t xml:space="preserve">, </w:t>
      </w:r>
      <w:proofErr w:type="spellStart"/>
      <w:r w:rsidRPr="00451825">
        <w:t>PhD,</w:t>
      </w:r>
      <w:r w:rsidRPr="00FD584B">
        <w:rPr>
          <w:vertAlign w:val="superscript"/>
        </w:rPr>
        <w:t>ah,b</w:t>
      </w:r>
      <w:proofErr w:type="spellEnd"/>
      <w:r w:rsidRPr="00451825">
        <w:t xml:space="preserve"> Patrick T. </w:t>
      </w:r>
      <w:proofErr w:type="spellStart"/>
      <w:r w:rsidRPr="00451825">
        <w:t>Ellinor</w:t>
      </w:r>
      <w:proofErr w:type="spellEnd"/>
      <w:r w:rsidRPr="00451825">
        <w:t xml:space="preserve">, MD, </w:t>
      </w:r>
      <w:proofErr w:type="spellStart"/>
      <w:r w:rsidRPr="00451825">
        <w:t>PhD,</w:t>
      </w:r>
      <w:r w:rsidRPr="00FD584B">
        <w:rPr>
          <w:vertAlign w:val="superscript"/>
        </w:rPr>
        <w:t>ai,aj</w:t>
      </w:r>
      <w:proofErr w:type="spellEnd"/>
      <w:r w:rsidRPr="00451825">
        <w:t xml:space="preserve"> Cristina Gil </w:t>
      </w:r>
      <w:proofErr w:type="spellStart"/>
      <w:r w:rsidRPr="00451825">
        <w:t>Ortuño</w:t>
      </w:r>
      <w:proofErr w:type="spellEnd"/>
      <w:r w:rsidRPr="00451825">
        <w:t xml:space="preserve">, </w:t>
      </w:r>
      <w:proofErr w:type="spellStart"/>
      <w:r w:rsidRPr="00451825">
        <w:t>MSc,</w:t>
      </w:r>
      <w:r w:rsidRPr="00FD584B">
        <w:rPr>
          <w:vertAlign w:val="superscript"/>
        </w:rPr>
        <w:t>ak,b</w:t>
      </w:r>
      <w:proofErr w:type="spellEnd"/>
      <w:r w:rsidRPr="00451825">
        <w:t xml:space="preserve"> Carla </w:t>
      </w:r>
      <w:proofErr w:type="spellStart"/>
      <w:r w:rsidRPr="00451825">
        <w:t>Giustetto</w:t>
      </w:r>
      <w:proofErr w:type="spellEnd"/>
      <w:r w:rsidRPr="00451825">
        <w:t xml:space="preserve">, </w:t>
      </w:r>
      <w:proofErr w:type="spellStart"/>
      <w:r w:rsidRPr="00451825">
        <w:t>MD,</w:t>
      </w:r>
      <w:r w:rsidRPr="00FD584B">
        <w:rPr>
          <w:vertAlign w:val="superscript"/>
        </w:rPr>
        <w:t>al</w:t>
      </w:r>
      <w:proofErr w:type="spellEnd"/>
      <w:r w:rsidRPr="00451825">
        <w:t xml:space="preserve"> Jean-Baptiste </w:t>
      </w:r>
      <w:proofErr w:type="spellStart"/>
      <w:r w:rsidRPr="00451825">
        <w:t>Gourraud</w:t>
      </w:r>
      <w:proofErr w:type="spellEnd"/>
      <w:r w:rsidRPr="00451825">
        <w:t xml:space="preserve">, MD, </w:t>
      </w:r>
      <w:proofErr w:type="spellStart"/>
      <w:r w:rsidRPr="00451825">
        <w:t>PhD,</w:t>
      </w:r>
      <w:r w:rsidRPr="00FD584B">
        <w:rPr>
          <w:vertAlign w:val="superscript"/>
        </w:rPr>
        <w:t>d,b</w:t>
      </w:r>
      <w:proofErr w:type="spellEnd"/>
      <w:r w:rsidRPr="00451825">
        <w:t xml:space="preserve"> Daisuke </w:t>
      </w:r>
      <w:proofErr w:type="spellStart"/>
      <w:r w:rsidRPr="00451825">
        <w:t>Hazeki</w:t>
      </w:r>
      <w:proofErr w:type="spellEnd"/>
      <w:r w:rsidRPr="00451825">
        <w:t xml:space="preserve">, MD, </w:t>
      </w:r>
      <w:proofErr w:type="spellStart"/>
      <w:r w:rsidRPr="00451825">
        <w:t>PhD,</w:t>
      </w:r>
      <w:r w:rsidRPr="00FD584B">
        <w:rPr>
          <w:vertAlign w:val="superscript"/>
        </w:rPr>
        <w:t>am</w:t>
      </w:r>
      <w:proofErr w:type="spellEnd"/>
      <w:r w:rsidRPr="00451825">
        <w:t xml:space="preserve"> Minoru </w:t>
      </w:r>
      <w:proofErr w:type="spellStart"/>
      <w:r w:rsidRPr="00451825">
        <w:t>Horie</w:t>
      </w:r>
      <w:proofErr w:type="spellEnd"/>
      <w:r w:rsidRPr="00451825">
        <w:t xml:space="preserve">, MD, </w:t>
      </w:r>
      <w:proofErr w:type="spellStart"/>
      <w:r w:rsidRPr="00451825">
        <w:t>PhD,</w:t>
      </w:r>
      <w:r w:rsidRPr="00FD584B">
        <w:rPr>
          <w:vertAlign w:val="superscript"/>
        </w:rPr>
        <w:t>an</w:t>
      </w:r>
      <w:proofErr w:type="spellEnd"/>
      <w:r w:rsidRPr="00451825">
        <w:t xml:space="preserve"> </w:t>
      </w:r>
      <w:proofErr w:type="spellStart"/>
      <w:r w:rsidRPr="00451825">
        <w:t>Taisuke</w:t>
      </w:r>
      <w:proofErr w:type="spellEnd"/>
      <w:r w:rsidRPr="00451825">
        <w:t xml:space="preserve"> Ishikawa, DVM, </w:t>
      </w:r>
      <w:proofErr w:type="spellStart"/>
      <w:r w:rsidRPr="00451825">
        <w:t>PhD,</w:t>
      </w:r>
      <w:r w:rsidRPr="00FD584B">
        <w:rPr>
          <w:vertAlign w:val="superscript"/>
        </w:rPr>
        <w:t>ao</w:t>
      </w:r>
      <w:proofErr w:type="spellEnd"/>
      <w:r w:rsidRPr="00451825">
        <w:t xml:space="preserve"> Hideki Itoh, MD, </w:t>
      </w:r>
      <w:proofErr w:type="spellStart"/>
      <w:r w:rsidRPr="00451825">
        <w:t>PhD,</w:t>
      </w:r>
      <w:r w:rsidRPr="00FD584B">
        <w:rPr>
          <w:vertAlign w:val="superscript"/>
        </w:rPr>
        <w:t>ap</w:t>
      </w:r>
      <w:proofErr w:type="spellEnd"/>
      <w:r w:rsidRPr="00451825">
        <w:t xml:space="preserve"> Yoshiaki Kaneko, MD, </w:t>
      </w:r>
      <w:proofErr w:type="spellStart"/>
      <w:r w:rsidRPr="00451825">
        <w:t>PhD,</w:t>
      </w:r>
      <w:r w:rsidRPr="00FD584B">
        <w:rPr>
          <w:vertAlign w:val="superscript"/>
        </w:rPr>
        <w:t>aq</w:t>
      </w:r>
      <w:proofErr w:type="spellEnd"/>
      <w:r w:rsidRPr="00451825">
        <w:t xml:space="preserve"> </w:t>
      </w:r>
      <w:proofErr w:type="spellStart"/>
      <w:r w:rsidRPr="00451825">
        <w:t>Jørgen</w:t>
      </w:r>
      <w:proofErr w:type="spellEnd"/>
      <w:r w:rsidRPr="00451825">
        <w:t xml:space="preserve"> K. </w:t>
      </w:r>
      <w:proofErr w:type="spellStart"/>
      <w:r w:rsidRPr="00451825">
        <w:t>Kanters</w:t>
      </w:r>
      <w:proofErr w:type="spellEnd"/>
      <w:r w:rsidRPr="00451825">
        <w:t xml:space="preserve">, </w:t>
      </w:r>
      <w:proofErr w:type="spellStart"/>
      <w:r w:rsidRPr="00451825">
        <w:t>MD,</w:t>
      </w:r>
      <w:r w:rsidRPr="00FD584B">
        <w:rPr>
          <w:vertAlign w:val="superscript"/>
        </w:rPr>
        <w:t>ar</w:t>
      </w:r>
      <w:proofErr w:type="spellEnd"/>
      <w:r w:rsidRPr="00451825">
        <w:t xml:space="preserve"> Hiroki Kimoto, </w:t>
      </w:r>
      <w:proofErr w:type="spellStart"/>
      <w:r w:rsidRPr="00451825">
        <w:t>MPharm,</w:t>
      </w:r>
      <w:r w:rsidRPr="00FD584B">
        <w:rPr>
          <w:vertAlign w:val="superscript"/>
        </w:rPr>
        <w:t>as</w:t>
      </w:r>
      <w:proofErr w:type="spellEnd"/>
      <w:r w:rsidRPr="00451825">
        <w:t xml:space="preserve"> Maria-Christina </w:t>
      </w:r>
      <w:proofErr w:type="spellStart"/>
      <w:r w:rsidRPr="00451825">
        <w:t>Kotta</w:t>
      </w:r>
      <w:proofErr w:type="spellEnd"/>
      <w:r w:rsidRPr="00451825">
        <w:t xml:space="preserve">, MSc, </w:t>
      </w:r>
      <w:proofErr w:type="spellStart"/>
      <w:r w:rsidRPr="00451825">
        <w:t>PhD,</w:t>
      </w:r>
      <w:r w:rsidRPr="00FD584B">
        <w:rPr>
          <w:vertAlign w:val="superscript"/>
        </w:rPr>
        <w:t>w,ad</w:t>
      </w:r>
      <w:proofErr w:type="spellEnd"/>
      <w:r w:rsidRPr="00451825">
        <w:t xml:space="preserve"> Ingrid P.C. </w:t>
      </w:r>
      <w:proofErr w:type="spellStart"/>
      <w:r w:rsidRPr="00451825">
        <w:t>Krapels</w:t>
      </w:r>
      <w:proofErr w:type="spellEnd"/>
      <w:r w:rsidRPr="00451825">
        <w:t xml:space="preserve">, MD, </w:t>
      </w:r>
      <w:proofErr w:type="spellStart"/>
      <w:r w:rsidRPr="00451825">
        <w:t>PhD,</w:t>
      </w:r>
      <w:r w:rsidRPr="00FD584B">
        <w:rPr>
          <w:vertAlign w:val="superscript"/>
        </w:rPr>
        <w:t>at</w:t>
      </w:r>
      <w:proofErr w:type="spellEnd"/>
      <w:r w:rsidRPr="00451825">
        <w:t xml:space="preserve"> Masahiko </w:t>
      </w:r>
      <w:proofErr w:type="spellStart"/>
      <w:r w:rsidRPr="00451825">
        <w:t>Kurabayashi</w:t>
      </w:r>
      <w:proofErr w:type="spellEnd"/>
      <w:r w:rsidRPr="00451825">
        <w:t xml:space="preserve">, MD, </w:t>
      </w:r>
      <w:proofErr w:type="spellStart"/>
      <w:r w:rsidRPr="00451825">
        <w:t>PhD,</w:t>
      </w:r>
      <w:r w:rsidRPr="00FD584B">
        <w:rPr>
          <w:vertAlign w:val="superscript"/>
        </w:rPr>
        <w:t>aq</w:t>
      </w:r>
      <w:proofErr w:type="spellEnd"/>
      <w:r w:rsidRPr="00451825">
        <w:t xml:space="preserve"> Julieta </w:t>
      </w:r>
      <w:proofErr w:type="spellStart"/>
      <w:r w:rsidRPr="00451825">
        <w:t>Lazarte</w:t>
      </w:r>
      <w:proofErr w:type="spellEnd"/>
      <w:r w:rsidRPr="00451825">
        <w:t xml:space="preserve">, </w:t>
      </w:r>
      <w:proofErr w:type="spellStart"/>
      <w:r w:rsidRPr="00451825">
        <w:t>MSc,</w:t>
      </w:r>
      <w:r w:rsidRPr="00FD584B">
        <w:rPr>
          <w:vertAlign w:val="superscript"/>
        </w:rPr>
        <w:t>au</w:t>
      </w:r>
      <w:proofErr w:type="spellEnd"/>
      <w:r w:rsidRPr="00451825">
        <w:t xml:space="preserve"> Antoine </w:t>
      </w:r>
      <w:proofErr w:type="spellStart"/>
      <w:r w:rsidRPr="00451825">
        <w:t>Leenhardt</w:t>
      </w:r>
      <w:proofErr w:type="spellEnd"/>
      <w:r w:rsidRPr="00451825">
        <w:t xml:space="preserve">, </w:t>
      </w:r>
      <w:proofErr w:type="spellStart"/>
      <w:r w:rsidRPr="00451825">
        <w:t>MD,</w:t>
      </w:r>
      <w:r w:rsidRPr="00FD584B">
        <w:rPr>
          <w:vertAlign w:val="superscript"/>
        </w:rPr>
        <w:t>af,ag,b</w:t>
      </w:r>
      <w:proofErr w:type="spellEnd"/>
      <w:r w:rsidRPr="00451825">
        <w:t xml:space="preserve"> Bart L. </w:t>
      </w:r>
      <w:proofErr w:type="spellStart"/>
      <w:r w:rsidRPr="00451825">
        <w:t>Loeys</w:t>
      </w:r>
      <w:proofErr w:type="spellEnd"/>
      <w:r w:rsidRPr="00451825">
        <w:t xml:space="preserve">, MD, </w:t>
      </w:r>
      <w:proofErr w:type="spellStart"/>
      <w:r w:rsidRPr="00451825">
        <w:t>PhD,</w:t>
      </w:r>
      <w:r w:rsidRPr="00FD584B">
        <w:rPr>
          <w:vertAlign w:val="superscript"/>
        </w:rPr>
        <w:t>av</w:t>
      </w:r>
      <w:proofErr w:type="spellEnd"/>
      <w:r w:rsidRPr="00451825">
        <w:t xml:space="preserve"> Catarina Lundin, MD, </w:t>
      </w:r>
      <w:proofErr w:type="spellStart"/>
      <w:r w:rsidRPr="00451825">
        <w:t>PhD,</w:t>
      </w:r>
      <w:r w:rsidRPr="00FD584B">
        <w:rPr>
          <w:vertAlign w:val="superscript"/>
        </w:rPr>
        <w:t>aw</w:t>
      </w:r>
      <w:proofErr w:type="spellEnd"/>
      <w:r w:rsidRPr="00451825">
        <w:t xml:space="preserve"> </w:t>
      </w:r>
      <w:proofErr w:type="spellStart"/>
      <w:r w:rsidRPr="00451825">
        <w:t>Takeru</w:t>
      </w:r>
      <w:proofErr w:type="spellEnd"/>
      <w:r w:rsidRPr="00451825">
        <w:t xml:space="preserve"> </w:t>
      </w:r>
      <w:proofErr w:type="spellStart"/>
      <w:r w:rsidRPr="00451825">
        <w:t>Makiyama</w:t>
      </w:r>
      <w:proofErr w:type="spellEnd"/>
      <w:r w:rsidRPr="00451825">
        <w:t xml:space="preserve">, MD, </w:t>
      </w:r>
      <w:proofErr w:type="spellStart"/>
      <w:r w:rsidRPr="00451825">
        <w:t>PhD,</w:t>
      </w:r>
      <w:r w:rsidRPr="00FD584B">
        <w:rPr>
          <w:vertAlign w:val="superscript"/>
        </w:rPr>
        <w:t>ax</w:t>
      </w:r>
      <w:proofErr w:type="spellEnd"/>
      <w:r w:rsidRPr="00451825">
        <w:t xml:space="preserve"> Jacques </w:t>
      </w:r>
      <w:proofErr w:type="spellStart"/>
      <w:r w:rsidRPr="00451825">
        <w:t>Mansourati</w:t>
      </w:r>
      <w:proofErr w:type="spellEnd"/>
      <w:r w:rsidRPr="00451825">
        <w:t xml:space="preserve">, MD, </w:t>
      </w:r>
      <w:proofErr w:type="spellStart"/>
      <w:r w:rsidRPr="00451825">
        <w:t>PhD,</w:t>
      </w:r>
      <w:r w:rsidRPr="00FD584B">
        <w:rPr>
          <w:vertAlign w:val="superscript"/>
        </w:rPr>
        <w:t>ay</w:t>
      </w:r>
      <w:proofErr w:type="spellEnd"/>
      <w:r w:rsidRPr="00451825">
        <w:t xml:space="preserve"> </w:t>
      </w:r>
      <w:proofErr w:type="spellStart"/>
      <w:r w:rsidRPr="00451825">
        <w:t>Raphaël</w:t>
      </w:r>
      <w:proofErr w:type="spellEnd"/>
      <w:r w:rsidRPr="00451825">
        <w:t xml:space="preserve"> P. Martins, MD, </w:t>
      </w:r>
      <w:proofErr w:type="spellStart"/>
      <w:r w:rsidRPr="00451825">
        <w:t>PhD,</w:t>
      </w:r>
      <w:r w:rsidRPr="00FD584B">
        <w:rPr>
          <w:vertAlign w:val="superscript"/>
        </w:rPr>
        <w:t>az</w:t>
      </w:r>
      <w:proofErr w:type="spellEnd"/>
      <w:r w:rsidRPr="00451825">
        <w:t xml:space="preserve"> Andrea </w:t>
      </w:r>
      <w:proofErr w:type="spellStart"/>
      <w:r w:rsidRPr="00451825">
        <w:t>Mazzanti</w:t>
      </w:r>
      <w:proofErr w:type="spellEnd"/>
      <w:r w:rsidRPr="00451825">
        <w:t xml:space="preserve">, </w:t>
      </w:r>
      <w:proofErr w:type="spellStart"/>
      <w:r w:rsidRPr="00451825">
        <w:t>MD,</w:t>
      </w:r>
      <w:r w:rsidRPr="00FD584B">
        <w:rPr>
          <w:vertAlign w:val="superscript"/>
        </w:rPr>
        <w:t>ba,b</w:t>
      </w:r>
      <w:proofErr w:type="spellEnd"/>
      <w:r w:rsidRPr="00451825">
        <w:t xml:space="preserve"> </w:t>
      </w:r>
      <w:proofErr w:type="spellStart"/>
      <w:r w:rsidRPr="00451825">
        <w:t>Stellan</w:t>
      </w:r>
      <w:proofErr w:type="spellEnd"/>
      <w:r w:rsidRPr="00451825">
        <w:t xml:space="preserve"> </w:t>
      </w:r>
      <w:proofErr w:type="spellStart"/>
      <w:r w:rsidRPr="00451825">
        <w:t>Mörner</w:t>
      </w:r>
      <w:proofErr w:type="spellEnd"/>
      <w:r w:rsidRPr="00451825">
        <w:t xml:space="preserve">, MD, </w:t>
      </w:r>
      <w:proofErr w:type="spellStart"/>
      <w:r w:rsidRPr="00451825">
        <w:t>PhD,</w:t>
      </w:r>
      <w:r w:rsidRPr="00FD584B">
        <w:rPr>
          <w:vertAlign w:val="superscript"/>
        </w:rPr>
        <w:t>bb,b</w:t>
      </w:r>
      <w:proofErr w:type="spellEnd"/>
      <w:r w:rsidRPr="00451825">
        <w:t xml:space="preserve"> Carlo Napolitano, MD, </w:t>
      </w:r>
      <w:proofErr w:type="spellStart"/>
      <w:r w:rsidRPr="00451825">
        <w:t>PhD,</w:t>
      </w:r>
      <w:r w:rsidRPr="00FD584B">
        <w:rPr>
          <w:vertAlign w:val="superscript"/>
        </w:rPr>
        <w:t>ba,b</w:t>
      </w:r>
      <w:proofErr w:type="spellEnd"/>
      <w:r w:rsidRPr="00451825">
        <w:t xml:space="preserve"> Kimie Ohkubo, </w:t>
      </w:r>
      <w:proofErr w:type="spellStart"/>
      <w:r w:rsidRPr="00451825">
        <w:t>MD,</w:t>
      </w:r>
      <w:r w:rsidRPr="00FD584B">
        <w:rPr>
          <w:vertAlign w:val="superscript"/>
        </w:rPr>
        <w:t>bc</w:t>
      </w:r>
      <w:proofErr w:type="spellEnd"/>
      <w:r w:rsidRPr="00451825">
        <w:t xml:space="preserve"> Michael </w:t>
      </w:r>
      <w:proofErr w:type="spellStart"/>
      <w:r w:rsidRPr="00451825">
        <w:t>Papadakis</w:t>
      </w:r>
      <w:proofErr w:type="spellEnd"/>
      <w:r w:rsidRPr="00451825">
        <w:t xml:space="preserve">, MBBS, </w:t>
      </w:r>
      <w:proofErr w:type="spellStart"/>
      <w:r w:rsidRPr="00451825">
        <w:t>MD,</w:t>
      </w:r>
      <w:r w:rsidRPr="00FD584B">
        <w:rPr>
          <w:vertAlign w:val="superscript"/>
        </w:rPr>
        <w:t>bd,be,b</w:t>
      </w:r>
      <w:proofErr w:type="spellEnd"/>
      <w:r w:rsidRPr="00451825">
        <w:t xml:space="preserve"> Boris </w:t>
      </w:r>
      <w:proofErr w:type="spellStart"/>
      <w:r w:rsidRPr="00451825">
        <w:t>Rudic</w:t>
      </w:r>
      <w:proofErr w:type="spellEnd"/>
      <w:r w:rsidRPr="00451825">
        <w:t xml:space="preserve">, </w:t>
      </w:r>
      <w:proofErr w:type="spellStart"/>
      <w:r w:rsidRPr="00451825">
        <w:t>MD,</w:t>
      </w:r>
      <w:r w:rsidRPr="00FD584B">
        <w:rPr>
          <w:vertAlign w:val="superscript"/>
        </w:rPr>
        <w:t>bf,bg</w:t>
      </w:r>
      <w:proofErr w:type="spellEnd"/>
      <w:r w:rsidRPr="00451825">
        <w:t xml:space="preserve"> Maria </w:t>
      </w:r>
      <w:proofErr w:type="spellStart"/>
      <w:r w:rsidRPr="00451825">
        <w:t>Sabater</w:t>
      </w:r>
      <w:proofErr w:type="spellEnd"/>
      <w:r w:rsidRPr="00451825">
        <w:t xml:space="preserve"> Molina, </w:t>
      </w:r>
      <w:proofErr w:type="spellStart"/>
      <w:r w:rsidRPr="00451825">
        <w:t>PhD,</w:t>
      </w:r>
      <w:r w:rsidRPr="00FD584B">
        <w:rPr>
          <w:vertAlign w:val="superscript"/>
        </w:rPr>
        <w:t>ak,b</w:t>
      </w:r>
      <w:proofErr w:type="spellEnd"/>
      <w:r w:rsidRPr="00451825">
        <w:t xml:space="preserve"> </w:t>
      </w:r>
      <w:proofErr w:type="spellStart"/>
      <w:r w:rsidRPr="00451825">
        <w:t>Frédéric</w:t>
      </w:r>
      <w:proofErr w:type="spellEnd"/>
      <w:r w:rsidRPr="00451825">
        <w:t xml:space="preserve"> </w:t>
      </w:r>
      <w:proofErr w:type="spellStart"/>
      <w:r w:rsidRPr="00451825">
        <w:t>Sacher</w:t>
      </w:r>
      <w:proofErr w:type="spellEnd"/>
      <w:r w:rsidRPr="00451825">
        <w:t xml:space="preserve">, MD, </w:t>
      </w:r>
      <w:proofErr w:type="spellStart"/>
      <w:r w:rsidRPr="00451825">
        <w:t>PhD,</w:t>
      </w:r>
      <w:r w:rsidRPr="00FD584B">
        <w:rPr>
          <w:vertAlign w:val="superscript"/>
        </w:rPr>
        <w:t>bh</w:t>
      </w:r>
      <w:proofErr w:type="spellEnd"/>
      <w:r w:rsidRPr="00451825">
        <w:t xml:space="preserve"> </w:t>
      </w:r>
      <w:proofErr w:type="spellStart"/>
      <w:r w:rsidRPr="00451825">
        <w:t>Hatice</w:t>
      </w:r>
      <w:proofErr w:type="spellEnd"/>
      <w:r w:rsidRPr="00451825">
        <w:t xml:space="preserve"> </w:t>
      </w:r>
      <w:proofErr w:type="spellStart"/>
      <w:r w:rsidRPr="00451825">
        <w:t>Sahin</w:t>
      </w:r>
      <w:proofErr w:type="spellEnd"/>
      <w:r w:rsidRPr="00451825">
        <w:t xml:space="preserve">, </w:t>
      </w:r>
      <w:proofErr w:type="spellStart"/>
      <w:r w:rsidRPr="00451825">
        <w:t>RN,</w:t>
      </w:r>
      <w:r w:rsidRPr="00FD584B">
        <w:rPr>
          <w:vertAlign w:val="superscript"/>
        </w:rPr>
        <w:t>x</w:t>
      </w:r>
      <w:proofErr w:type="spellEnd"/>
      <w:r w:rsidRPr="00451825">
        <w:t xml:space="preserve"> Georgia </w:t>
      </w:r>
      <w:proofErr w:type="spellStart"/>
      <w:r w:rsidRPr="00451825">
        <w:t>Sarquella</w:t>
      </w:r>
      <w:proofErr w:type="spellEnd"/>
      <w:r w:rsidRPr="00451825">
        <w:t xml:space="preserve">-Brugada, MD, </w:t>
      </w:r>
      <w:proofErr w:type="spellStart"/>
      <w:r w:rsidRPr="00451825">
        <w:t>PhD,</w:t>
      </w:r>
      <w:r w:rsidRPr="00FD584B">
        <w:rPr>
          <w:vertAlign w:val="superscript"/>
        </w:rPr>
        <w:t>u,bi,b</w:t>
      </w:r>
      <w:proofErr w:type="spellEnd"/>
      <w:r w:rsidRPr="00451825">
        <w:t xml:space="preserve"> Regina Sebastiano, </w:t>
      </w:r>
      <w:proofErr w:type="spellStart"/>
      <w:r w:rsidRPr="00451825">
        <w:t>BSc,</w:t>
      </w:r>
      <w:r w:rsidRPr="00FD584B">
        <w:rPr>
          <w:vertAlign w:val="superscript"/>
        </w:rPr>
        <w:t>bj</w:t>
      </w:r>
      <w:proofErr w:type="spellEnd"/>
      <w:r w:rsidRPr="00451825">
        <w:t xml:space="preserve"> Sanjay Sharma, BSc, </w:t>
      </w:r>
      <w:proofErr w:type="spellStart"/>
      <w:r w:rsidRPr="00451825">
        <w:t>MBChB</w:t>
      </w:r>
      <w:proofErr w:type="spellEnd"/>
      <w:r w:rsidRPr="00451825">
        <w:t xml:space="preserve">, </w:t>
      </w:r>
      <w:proofErr w:type="spellStart"/>
      <w:r w:rsidRPr="00451825">
        <w:t>MD,</w:t>
      </w:r>
      <w:r w:rsidRPr="00FD584B">
        <w:rPr>
          <w:vertAlign w:val="superscript"/>
        </w:rPr>
        <w:t>bd,be,b</w:t>
      </w:r>
      <w:proofErr w:type="spellEnd"/>
      <w:r w:rsidRPr="00451825">
        <w:t xml:space="preserve"> Mary N. Sheppard, MD, </w:t>
      </w:r>
      <w:proofErr w:type="spellStart"/>
      <w:r w:rsidRPr="00451825">
        <w:t>FRCPath</w:t>
      </w:r>
      <w:proofErr w:type="spellEnd"/>
      <w:r w:rsidRPr="00451825">
        <w:t xml:space="preserve">, </w:t>
      </w:r>
      <w:proofErr w:type="spellStart"/>
      <w:r w:rsidRPr="00451825">
        <w:t>FRCPI,</w:t>
      </w:r>
      <w:r w:rsidRPr="00FD584B">
        <w:rPr>
          <w:vertAlign w:val="superscript"/>
        </w:rPr>
        <w:t>bd,be,b</w:t>
      </w:r>
      <w:proofErr w:type="spellEnd"/>
      <w:r w:rsidRPr="00451825">
        <w:t xml:space="preserve"> Keiko </w:t>
      </w:r>
      <w:proofErr w:type="spellStart"/>
      <w:r w:rsidRPr="00451825">
        <w:t>Shimamoto</w:t>
      </w:r>
      <w:proofErr w:type="spellEnd"/>
      <w:r w:rsidRPr="00451825">
        <w:t xml:space="preserve">, </w:t>
      </w:r>
      <w:proofErr w:type="spellStart"/>
      <w:r w:rsidRPr="00451825">
        <w:t>MD,</w:t>
      </w:r>
      <w:r w:rsidRPr="00FD584B">
        <w:rPr>
          <w:vertAlign w:val="superscript"/>
        </w:rPr>
        <w:t>bk</w:t>
      </w:r>
      <w:proofErr w:type="spellEnd"/>
      <w:r w:rsidRPr="00451825">
        <w:t xml:space="preserve"> M. Benjamin Shoemaker, </w:t>
      </w:r>
      <w:proofErr w:type="spellStart"/>
      <w:r w:rsidRPr="00451825">
        <w:t>MD,</w:t>
      </w:r>
      <w:r w:rsidRPr="00FD584B">
        <w:rPr>
          <w:vertAlign w:val="superscript"/>
        </w:rPr>
        <w:t>bl</w:t>
      </w:r>
      <w:proofErr w:type="spellEnd"/>
      <w:r w:rsidRPr="00451825">
        <w:t xml:space="preserve"> Birgit </w:t>
      </w:r>
      <w:proofErr w:type="spellStart"/>
      <w:r w:rsidRPr="00451825">
        <w:t>Stallmeyer</w:t>
      </w:r>
      <w:proofErr w:type="spellEnd"/>
      <w:r w:rsidRPr="00451825">
        <w:t xml:space="preserve">, </w:t>
      </w:r>
      <w:proofErr w:type="spellStart"/>
      <w:r w:rsidRPr="00451825">
        <w:t>PhD,</w:t>
      </w:r>
      <w:r w:rsidRPr="00FD584B">
        <w:rPr>
          <w:vertAlign w:val="superscript"/>
        </w:rPr>
        <w:t>ah,b</w:t>
      </w:r>
      <w:proofErr w:type="spellEnd"/>
      <w:r w:rsidRPr="00451825">
        <w:t xml:space="preserve"> Johannes </w:t>
      </w:r>
      <w:proofErr w:type="spellStart"/>
      <w:r w:rsidRPr="00451825">
        <w:t>Steinfurt</w:t>
      </w:r>
      <w:proofErr w:type="spellEnd"/>
      <w:r w:rsidRPr="00451825">
        <w:t xml:space="preserve">, </w:t>
      </w:r>
      <w:proofErr w:type="spellStart"/>
      <w:r w:rsidRPr="00451825">
        <w:t>MD,</w:t>
      </w:r>
      <w:r w:rsidRPr="00FD584B">
        <w:rPr>
          <w:vertAlign w:val="superscript"/>
        </w:rPr>
        <w:t>bm</w:t>
      </w:r>
      <w:proofErr w:type="spellEnd"/>
      <w:r w:rsidRPr="00451825">
        <w:t xml:space="preserve"> Yuji Tanaka, MD, </w:t>
      </w:r>
      <w:proofErr w:type="spellStart"/>
      <w:r w:rsidRPr="00451825">
        <w:t>PhD,</w:t>
      </w:r>
      <w:r w:rsidRPr="00FD584B">
        <w:rPr>
          <w:vertAlign w:val="superscript"/>
        </w:rPr>
        <w:t>bn</w:t>
      </w:r>
      <w:proofErr w:type="spellEnd"/>
      <w:r w:rsidRPr="00451825">
        <w:t xml:space="preserve"> David J. Tester, </w:t>
      </w:r>
      <w:proofErr w:type="spellStart"/>
      <w:r w:rsidRPr="00451825">
        <w:t>BS,</w:t>
      </w:r>
      <w:r w:rsidRPr="00FD584B">
        <w:rPr>
          <w:vertAlign w:val="superscript"/>
        </w:rPr>
        <w:t>r</w:t>
      </w:r>
      <w:proofErr w:type="spellEnd"/>
      <w:r w:rsidRPr="00451825">
        <w:t xml:space="preserve"> Keisuke </w:t>
      </w:r>
      <w:proofErr w:type="spellStart"/>
      <w:r w:rsidRPr="00451825">
        <w:t>Usuda</w:t>
      </w:r>
      <w:proofErr w:type="spellEnd"/>
      <w:r w:rsidRPr="00451825">
        <w:t xml:space="preserve">, </w:t>
      </w:r>
      <w:proofErr w:type="spellStart"/>
      <w:r w:rsidRPr="00451825">
        <w:t>MD,</w:t>
      </w:r>
      <w:r w:rsidRPr="00FD584B">
        <w:rPr>
          <w:vertAlign w:val="superscript"/>
        </w:rPr>
        <w:t>bo</w:t>
      </w:r>
      <w:proofErr w:type="spellEnd"/>
      <w:r w:rsidRPr="00451825">
        <w:t xml:space="preserve"> Paul A. van der </w:t>
      </w:r>
      <w:proofErr w:type="spellStart"/>
      <w:r w:rsidRPr="00451825">
        <w:t>Zwaag</w:t>
      </w:r>
      <w:proofErr w:type="spellEnd"/>
      <w:r w:rsidRPr="00451825">
        <w:t xml:space="preserve">, MD, </w:t>
      </w:r>
      <w:proofErr w:type="spellStart"/>
      <w:r w:rsidRPr="00451825">
        <w:t>PhD,</w:t>
      </w:r>
      <w:r w:rsidRPr="00FD584B">
        <w:rPr>
          <w:vertAlign w:val="superscript"/>
        </w:rPr>
        <w:t>bp</w:t>
      </w:r>
      <w:proofErr w:type="spellEnd"/>
      <w:r w:rsidRPr="00451825">
        <w:t xml:space="preserve"> Sonia Van </w:t>
      </w:r>
      <w:proofErr w:type="spellStart"/>
      <w:r w:rsidRPr="00451825">
        <w:t>Dooren</w:t>
      </w:r>
      <w:proofErr w:type="spellEnd"/>
      <w:r w:rsidRPr="00451825">
        <w:t xml:space="preserve">, </w:t>
      </w:r>
      <w:proofErr w:type="spellStart"/>
      <w:r w:rsidRPr="00451825">
        <w:t>PhD,</w:t>
      </w:r>
      <w:r w:rsidRPr="00FD584B">
        <w:rPr>
          <w:vertAlign w:val="superscript"/>
        </w:rPr>
        <w:t>bq,b</w:t>
      </w:r>
      <w:proofErr w:type="spellEnd"/>
      <w:r w:rsidRPr="00451825">
        <w:t xml:space="preserve"> </w:t>
      </w:r>
      <w:proofErr w:type="spellStart"/>
      <w:r w:rsidRPr="00451825">
        <w:t>Lut</w:t>
      </w:r>
      <w:proofErr w:type="spellEnd"/>
      <w:r w:rsidRPr="00451825">
        <w:t xml:space="preserve"> Van </w:t>
      </w:r>
      <w:proofErr w:type="spellStart"/>
      <w:r w:rsidRPr="00451825">
        <w:t>Laer</w:t>
      </w:r>
      <w:proofErr w:type="spellEnd"/>
      <w:r w:rsidRPr="00451825">
        <w:t xml:space="preserve">, </w:t>
      </w:r>
      <w:proofErr w:type="spellStart"/>
      <w:r w:rsidRPr="00451825">
        <w:t>PhD,</w:t>
      </w:r>
      <w:r w:rsidRPr="00FD584B">
        <w:rPr>
          <w:vertAlign w:val="superscript"/>
        </w:rPr>
        <w:t>av</w:t>
      </w:r>
      <w:proofErr w:type="spellEnd"/>
      <w:r w:rsidRPr="00451825">
        <w:t xml:space="preserve"> Annika </w:t>
      </w:r>
      <w:proofErr w:type="spellStart"/>
      <w:r w:rsidRPr="00451825">
        <w:t>Winbo</w:t>
      </w:r>
      <w:proofErr w:type="spellEnd"/>
      <w:r w:rsidRPr="00451825">
        <w:t xml:space="preserve">, MD, </w:t>
      </w:r>
      <w:proofErr w:type="spellStart"/>
      <w:r w:rsidRPr="00451825">
        <w:t>PhD,</w:t>
      </w:r>
      <w:r w:rsidRPr="00FD584B">
        <w:rPr>
          <w:vertAlign w:val="superscript"/>
        </w:rPr>
        <w:t>br</w:t>
      </w:r>
      <w:proofErr w:type="spellEnd"/>
      <w:r w:rsidRPr="00451825">
        <w:t xml:space="preserve"> Bo G. </w:t>
      </w:r>
      <w:proofErr w:type="spellStart"/>
      <w:r w:rsidRPr="00451825">
        <w:t>Winkel</w:t>
      </w:r>
      <w:proofErr w:type="spellEnd"/>
      <w:r w:rsidRPr="00451825">
        <w:t xml:space="preserve">, </w:t>
      </w:r>
      <w:proofErr w:type="spellStart"/>
      <w:r w:rsidRPr="00451825">
        <w:t>PhD,</w:t>
      </w:r>
      <w:r w:rsidRPr="00FD584B">
        <w:rPr>
          <w:vertAlign w:val="superscript"/>
        </w:rPr>
        <w:t>e,b</w:t>
      </w:r>
      <w:proofErr w:type="spellEnd"/>
      <w:r w:rsidRPr="00451825">
        <w:t xml:space="preserve"> </w:t>
      </w:r>
      <w:proofErr w:type="spellStart"/>
      <w:r w:rsidRPr="00451825">
        <w:t>Kenichiro</w:t>
      </w:r>
      <w:proofErr w:type="spellEnd"/>
      <w:r w:rsidRPr="00451825">
        <w:t xml:space="preserve"> Yamagata, MD, </w:t>
      </w:r>
      <w:proofErr w:type="spellStart"/>
      <w:r w:rsidRPr="00451825">
        <w:t>PhD,</w:t>
      </w:r>
      <w:r w:rsidRPr="00FD584B">
        <w:rPr>
          <w:vertAlign w:val="superscript"/>
        </w:rPr>
        <w:t>bk</w:t>
      </w:r>
      <w:proofErr w:type="spellEnd"/>
      <w:r w:rsidRPr="00451825">
        <w:t xml:space="preserve"> Sven </w:t>
      </w:r>
      <w:proofErr w:type="spellStart"/>
      <w:r w:rsidRPr="00451825">
        <w:t>Zumhagen</w:t>
      </w:r>
      <w:proofErr w:type="spellEnd"/>
      <w:r w:rsidRPr="00451825">
        <w:t xml:space="preserve">, </w:t>
      </w:r>
      <w:proofErr w:type="spellStart"/>
      <w:r w:rsidRPr="00451825">
        <w:t>MD,</w:t>
      </w:r>
      <w:r w:rsidRPr="00FD584B">
        <w:rPr>
          <w:vertAlign w:val="superscript"/>
        </w:rPr>
        <w:t>ah,b</w:t>
      </w:r>
      <w:proofErr w:type="spellEnd"/>
      <w:r w:rsidRPr="00451825">
        <w:t xml:space="preserve"> Paul G.A. </w:t>
      </w:r>
      <w:proofErr w:type="spellStart"/>
      <w:r w:rsidRPr="00451825">
        <w:t>Volders</w:t>
      </w:r>
      <w:proofErr w:type="spellEnd"/>
      <w:r w:rsidRPr="00451825">
        <w:t xml:space="preserve">, MD, </w:t>
      </w:r>
      <w:proofErr w:type="spellStart"/>
      <w:r w:rsidRPr="00451825">
        <w:t>PhD,</w:t>
      </w:r>
      <w:r w:rsidRPr="00FD584B">
        <w:rPr>
          <w:vertAlign w:val="superscript"/>
        </w:rPr>
        <w:t>bs</w:t>
      </w:r>
      <w:proofErr w:type="spellEnd"/>
      <w:r w:rsidRPr="00451825">
        <w:t xml:space="preserve"> Steven A. Lubitz, MD, </w:t>
      </w:r>
      <w:proofErr w:type="spellStart"/>
      <w:r w:rsidRPr="00451825">
        <w:t>MPH,</w:t>
      </w:r>
      <w:r w:rsidRPr="00FD584B">
        <w:rPr>
          <w:vertAlign w:val="superscript"/>
        </w:rPr>
        <w:t>ai,aj</w:t>
      </w:r>
      <w:proofErr w:type="spellEnd"/>
      <w:r w:rsidRPr="00451825">
        <w:t xml:space="preserve"> Charles </w:t>
      </w:r>
      <w:proofErr w:type="spellStart"/>
      <w:r w:rsidRPr="00451825">
        <w:t>Antzelevitch</w:t>
      </w:r>
      <w:proofErr w:type="spellEnd"/>
      <w:r w:rsidRPr="00451825">
        <w:t xml:space="preserve">, </w:t>
      </w:r>
      <w:proofErr w:type="spellStart"/>
      <w:r w:rsidRPr="00451825">
        <w:t>PhD,</w:t>
      </w:r>
      <w:r w:rsidRPr="00FD584B">
        <w:rPr>
          <w:vertAlign w:val="superscript"/>
        </w:rPr>
        <w:t>p</w:t>
      </w:r>
      <w:proofErr w:type="spellEnd"/>
      <w:r w:rsidRPr="00451825">
        <w:t xml:space="preserve"> </w:t>
      </w:r>
      <w:proofErr w:type="spellStart"/>
      <w:r w:rsidRPr="00451825">
        <w:t>Pyotr</w:t>
      </w:r>
      <w:proofErr w:type="spellEnd"/>
      <w:r w:rsidRPr="00451825">
        <w:t xml:space="preserve"> G. </w:t>
      </w:r>
      <w:proofErr w:type="spellStart"/>
      <w:r w:rsidRPr="00451825">
        <w:t>Platonov</w:t>
      </w:r>
      <w:proofErr w:type="spellEnd"/>
      <w:r w:rsidRPr="00451825">
        <w:t xml:space="preserve">, MD, </w:t>
      </w:r>
      <w:proofErr w:type="spellStart"/>
      <w:r w:rsidRPr="00451825">
        <w:t>PhD,</w:t>
      </w:r>
      <w:r w:rsidRPr="00FD584B">
        <w:rPr>
          <w:vertAlign w:val="superscript"/>
        </w:rPr>
        <w:t>bt</w:t>
      </w:r>
      <w:proofErr w:type="spellEnd"/>
      <w:r w:rsidRPr="00451825">
        <w:t xml:space="preserve"> </w:t>
      </w:r>
      <w:proofErr w:type="spellStart"/>
      <w:r w:rsidRPr="00451825">
        <w:t>Katja</w:t>
      </w:r>
      <w:proofErr w:type="spellEnd"/>
      <w:r w:rsidRPr="00451825">
        <w:t xml:space="preserve"> E. </w:t>
      </w:r>
      <w:proofErr w:type="spellStart"/>
      <w:r w:rsidRPr="00451825">
        <w:t>Odening</w:t>
      </w:r>
      <w:proofErr w:type="spellEnd"/>
      <w:r w:rsidRPr="00451825">
        <w:t xml:space="preserve">, </w:t>
      </w:r>
      <w:proofErr w:type="spellStart"/>
      <w:r w:rsidRPr="00451825">
        <w:t>MD,</w:t>
      </w:r>
      <w:r w:rsidRPr="00FD584B">
        <w:rPr>
          <w:vertAlign w:val="superscript"/>
        </w:rPr>
        <w:t>bm,bu</w:t>
      </w:r>
      <w:proofErr w:type="spellEnd"/>
      <w:r w:rsidRPr="00451825">
        <w:t xml:space="preserve"> Dan M. </w:t>
      </w:r>
      <w:proofErr w:type="spellStart"/>
      <w:r w:rsidRPr="00451825">
        <w:t>Roden</w:t>
      </w:r>
      <w:proofErr w:type="spellEnd"/>
      <w:r w:rsidRPr="00451825">
        <w:t xml:space="preserve">, </w:t>
      </w:r>
      <w:proofErr w:type="spellStart"/>
      <w:r w:rsidRPr="00451825">
        <w:t>MD,</w:t>
      </w:r>
      <w:r w:rsidRPr="00FD584B">
        <w:rPr>
          <w:vertAlign w:val="superscript"/>
        </w:rPr>
        <w:t>bv,bl,bw</w:t>
      </w:r>
      <w:proofErr w:type="spellEnd"/>
      <w:r w:rsidRPr="00451825">
        <w:t xml:space="preserve"> Jason D. Roberts, MD, </w:t>
      </w:r>
      <w:proofErr w:type="spellStart"/>
      <w:r w:rsidRPr="00451825">
        <w:t>MAS,</w:t>
      </w:r>
      <w:r w:rsidRPr="00FD584B">
        <w:rPr>
          <w:vertAlign w:val="superscript"/>
        </w:rPr>
        <w:t>bx</w:t>
      </w:r>
      <w:proofErr w:type="spellEnd"/>
      <w:r w:rsidRPr="00451825">
        <w:t xml:space="preserve"> Jonathan R. Skinner, MB, ChB, </w:t>
      </w:r>
      <w:proofErr w:type="spellStart"/>
      <w:r w:rsidRPr="00451825">
        <w:t>MD,</w:t>
      </w:r>
      <w:r w:rsidRPr="00FD584B">
        <w:rPr>
          <w:vertAlign w:val="superscript"/>
        </w:rPr>
        <w:t>by</w:t>
      </w:r>
      <w:proofErr w:type="spellEnd"/>
      <w:r w:rsidRPr="00451825">
        <w:t xml:space="preserve"> Jacob </w:t>
      </w:r>
      <w:proofErr w:type="spellStart"/>
      <w:r w:rsidRPr="00451825">
        <w:t>Tfelt</w:t>
      </w:r>
      <w:proofErr w:type="spellEnd"/>
      <w:r w:rsidRPr="00451825">
        <w:t xml:space="preserve">-Hansen, </w:t>
      </w:r>
      <w:proofErr w:type="spellStart"/>
      <w:r w:rsidRPr="00451825">
        <w:t>DMCs,</w:t>
      </w:r>
      <w:r w:rsidRPr="00FD584B">
        <w:rPr>
          <w:vertAlign w:val="superscript"/>
        </w:rPr>
        <w:t>e,bz,b</w:t>
      </w:r>
      <w:proofErr w:type="spellEnd"/>
      <w:r w:rsidRPr="00451825">
        <w:t xml:space="preserve"> Maarten P. van den Berg, MD, </w:t>
      </w:r>
      <w:proofErr w:type="spellStart"/>
      <w:r w:rsidRPr="00451825">
        <w:t>PhD,</w:t>
      </w:r>
      <w:r w:rsidRPr="00FD584B">
        <w:rPr>
          <w:vertAlign w:val="superscript"/>
        </w:rPr>
        <w:t>ca</w:t>
      </w:r>
      <w:proofErr w:type="spellEnd"/>
      <w:r w:rsidRPr="00451825">
        <w:t xml:space="preserve"> Morten S. </w:t>
      </w:r>
      <w:proofErr w:type="spellStart"/>
      <w:r w:rsidRPr="00451825">
        <w:t>Olesen</w:t>
      </w:r>
      <w:proofErr w:type="spellEnd"/>
      <w:r w:rsidRPr="00451825">
        <w:t xml:space="preserve">, </w:t>
      </w:r>
      <w:proofErr w:type="spellStart"/>
      <w:r w:rsidRPr="00451825">
        <w:t>PhD,</w:t>
      </w:r>
      <w:r w:rsidRPr="00FD584B">
        <w:rPr>
          <w:vertAlign w:val="superscript"/>
        </w:rPr>
        <w:t>cb</w:t>
      </w:r>
      <w:proofErr w:type="spellEnd"/>
      <w:r w:rsidRPr="00451825">
        <w:t xml:space="preserve"> Pier D. </w:t>
      </w:r>
      <w:proofErr w:type="spellStart"/>
      <w:r w:rsidRPr="00451825">
        <w:t>Lambiase</w:t>
      </w:r>
      <w:proofErr w:type="spellEnd"/>
      <w:r w:rsidRPr="00451825">
        <w:t xml:space="preserve">, MD, </w:t>
      </w:r>
      <w:proofErr w:type="spellStart"/>
      <w:r w:rsidRPr="00451825">
        <w:t>PhD,</w:t>
      </w:r>
      <w:r w:rsidRPr="00FD584B">
        <w:rPr>
          <w:vertAlign w:val="superscript"/>
        </w:rPr>
        <w:t>cc,b</w:t>
      </w:r>
      <w:proofErr w:type="spellEnd"/>
      <w:r w:rsidRPr="00451825">
        <w:t xml:space="preserve"> Martin </w:t>
      </w:r>
      <w:proofErr w:type="spellStart"/>
      <w:r w:rsidRPr="00451825">
        <w:t>Borggrefe</w:t>
      </w:r>
      <w:proofErr w:type="spellEnd"/>
      <w:r w:rsidRPr="00451825">
        <w:t xml:space="preserve">, </w:t>
      </w:r>
      <w:proofErr w:type="spellStart"/>
      <w:r w:rsidRPr="00451825">
        <w:t>MD,</w:t>
      </w:r>
      <w:r w:rsidRPr="00FD584B">
        <w:rPr>
          <w:vertAlign w:val="superscript"/>
        </w:rPr>
        <w:t>bf,bg</w:t>
      </w:r>
      <w:proofErr w:type="spellEnd"/>
      <w:r w:rsidRPr="00451825">
        <w:t xml:space="preserve"> </w:t>
      </w:r>
      <w:proofErr w:type="spellStart"/>
      <w:r w:rsidRPr="00451825">
        <w:t>Kenshi</w:t>
      </w:r>
      <w:proofErr w:type="spellEnd"/>
      <w:r w:rsidRPr="00451825">
        <w:t xml:space="preserve"> Hayashi, MD, </w:t>
      </w:r>
      <w:proofErr w:type="spellStart"/>
      <w:r w:rsidRPr="00451825">
        <w:t>PhD,</w:t>
      </w:r>
      <w:r w:rsidRPr="00FD584B">
        <w:rPr>
          <w:vertAlign w:val="superscript"/>
        </w:rPr>
        <w:t>bo</w:t>
      </w:r>
      <w:proofErr w:type="spellEnd"/>
      <w:r w:rsidRPr="00451825">
        <w:t xml:space="preserve"> Annika Rydberg, MD, </w:t>
      </w:r>
      <w:proofErr w:type="spellStart"/>
      <w:r w:rsidRPr="00451825">
        <w:t>PhD,</w:t>
      </w:r>
      <w:r w:rsidRPr="00FD584B">
        <w:rPr>
          <w:vertAlign w:val="superscript"/>
        </w:rPr>
        <w:t>cd,b</w:t>
      </w:r>
      <w:proofErr w:type="spellEnd"/>
      <w:r w:rsidRPr="00451825">
        <w:t xml:space="preserve"> Tadashi Nakajima, MD, </w:t>
      </w:r>
      <w:proofErr w:type="spellStart"/>
      <w:r w:rsidRPr="00451825">
        <w:t>PhD,</w:t>
      </w:r>
      <w:r w:rsidRPr="00FD584B">
        <w:rPr>
          <w:vertAlign w:val="superscript"/>
        </w:rPr>
        <w:t>aq</w:t>
      </w:r>
      <w:proofErr w:type="spellEnd"/>
      <w:r w:rsidRPr="00451825">
        <w:t xml:space="preserve"> Masao </w:t>
      </w:r>
      <w:proofErr w:type="spellStart"/>
      <w:r w:rsidRPr="00451825">
        <w:t>Yoshinaga</w:t>
      </w:r>
      <w:proofErr w:type="spellEnd"/>
      <w:r w:rsidRPr="00451825">
        <w:t xml:space="preserve">, MD, </w:t>
      </w:r>
      <w:proofErr w:type="spellStart"/>
      <w:r w:rsidRPr="00451825">
        <w:t>PhD,</w:t>
      </w:r>
      <w:r w:rsidRPr="00FD584B">
        <w:rPr>
          <w:vertAlign w:val="superscript"/>
        </w:rPr>
        <w:t>bn</w:t>
      </w:r>
      <w:proofErr w:type="spellEnd"/>
      <w:r w:rsidRPr="00451825">
        <w:t xml:space="preserve"> Johan B. </w:t>
      </w:r>
      <w:proofErr w:type="spellStart"/>
      <w:r w:rsidRPr="00451825">
        <w:t>Saenen</w:t>
      </w:r>
      <w:proofErr w:type="spellEnd"/>
      <w:r w:rsidRPr="00451825">
        <w:t xml:space="preserve">, MD, </w:t>
      </w:r>
      <w:proofErr w:type="spellStart"/>
      <w:r w:rsidRPr="00451825">
        <w:t>PhD,</w:t>
      </w:r>
      <w:r w:rsidRPr="00FD584B">
        <w:rPr>
          <w:vertAlign w:val="superscript"/>
        </w:rPr>
        <w:t>ce</w:t>
      </w:r>
      <w:proofErr w:type="spellEnd"/>
      <w:r w:rsidRPr="00451825">
        <w:t xml:space="preserve"> Stefan </w:t>
      </w:r>
      <w:proofErr w:type="spellStart"/>
      <w:r w:rsidRPr="00451825">
        <w:t>Kääb</w:t>
      </w:r>
      <w:proofErr w:type="spellEnd"/>
      <w:r w:rsidRPr="00451825">
        <w:t xml:space="preserve">, MD, </w:t>
      </w:r>
      <w:proofErr w:type="spellStart"/>
      <w:r w:rsidRPr="00451825">
        <w:t>PhD,</w:t>
      </w:r>
      <w:r w:rsidRPr="00FD584B">
        <w:rPr>
          <w:vertAlign w:val="superscript"/>
        </w:rPr>
        <w:t>q,y</w:t>
      </w:r>
      <w:proofErr w:type="spellEnd"/>
      <w:r w:rsidRPr="00451825">
        <w:t xml:space="preserve"> Pedro Brugada, MD, </w:t>
      </w:r>
      <w:proofErr w:type="spellStart"/>
      <w:r w:rsidRPr="00451825">
        <w:t>PhD,</w:t>
      </w:r>
      <w:r w:rsidRPr="00FD584B">
        <w:rPr>
          <w:vertAlign w:val="superscript"/>
        </w:rPr>
        <w:t>cf,b</w:t>
      </w:r>
      <w:proofErr w:type="spellEnd"/>
      <w:r w:rsidRPr="00451825">
        <w:t xml:space="preserve"> Tomas </w:t>
      </w:r>
      <w:proofErr w:type="spellStart"/>
      <w:r w:rsidRPr="00451825">
        <w:t>Robyns</w:t>
      </w:r>
      <w:proofErr w:type="spellEnd"/>
      <w:r w:rsidRPr="00451825">
        <w:t xml:space="preserve">, MD, </w:t>
      </w:r>
      <w:proofErr w:type="spellStart"/>
      <w:r w:rsidRPr="00451825">
        <w:t>PhD,</w:t>
      </w:r>
      <w:r w:rsidRPr="00FD584B">
        <w:rPr>
          <w:vertAlign w:val="superscript"/>
        </w:rPr>
        <w:t>cg,b</w:t>
      </w:r>
      <w:proofErr w:type="spellEnd"/>
      <w:r w:rsidRPr="00451825">
        <w:t xml:space="preserve"> Daniela F. </w:t>
      </w:r>
      <w:proofErr w:type="spellStart"/>
      <w:r w:rsidRPr="00451825">
        <w:t>Giachino</w:t>
      </w:r>
      <w:proofErr w:type="spellEnd"/>
      <w:r w:rsidRPr="00451825">
        <w:t xml:space="preserve">, MD, </w:t>
      </w:r>
      <w:proofErr w:type="spellStart"/>
      <w:r w:rsidRPr="00451825">
        <w:t>PhD,</w:t>
      </w:r>
      <w:r w:rsidRPr="00FD584B">
        <w:rPr>
          <w:vertAlign w:val="superscript"/>
        </w:rPr>
        <w:t>bj,ch</w:t>
      </w:r>
      <w:proofErr w:type="spellEnd"/>
      <w:r w:rsidRPr="00451825">
        <w:t xml:space="preserve"> Michael J. Ackerman, MD, </w:t>
      </w:r>
      <w:proofErr w:type="spellStart"/>
      <w:r w:rsidRPr="00451825">
        <w:t>PhD,</w:t>
      </w:r>
      <w:r w:rsidRPr="00FD584B">
        <w:rPr>
          <w:vertAlign w:val="superscript"/>
        </w:rPr>
        <w:t>r</w:t>
      </w:r>
      <w:proofErr w:type="spellEnd"/>
      <w:r w:rsidRPr="00451825">
        <w:t xml:space="preserve"> Ramon Brugada, MD, </w:t>
      </w:r>
      <w:proofErr w:type="spellStart"/>
      <w:r w:rsidRPr="00451825">
        <w:t>PhD,</w:t>
      </w:r>
      <w:r w:rsidRPr="00FD584B">
        <w:rPr>
          <w:vertAlign w:val="superscript"/>
        </w:rPr>
        <w:t>ci</w:t>
      </w:r>
      <w:proofErr w:type="spellEnd"/>
      <w:r w:rsidRPr="00451825">
        <w:t xml:space="preserve"> </w:t>
      </w:r>
      <w:proofErr w:type="spellStart"/>
      <w:r w:rsidRPr="00451825">
        <w:t>Josep</w:t>
      </w:r>
      <w:proofErr w:type="spellEnd"/>
      <w:r w:rsidRPr="00451825">
        <w:t xml:space="preserve"> Brugada, MD, </w:t>
      </w:r>
      <w:proofErr w:type="spellStart"/>
      <w:r w:rsidRPr="00451825">
        <w:t>PhD,</w:t>
      </w:r>
      <w:r w:rsidRPr="00FD584B">
        <w:rPr>
          <w:vertAlign w:val="superscript"/>
        </w:rPr>
        <w:t>cj</w:t>
      </w:r>
      <w:proofErr w:type="spellEnd"/>
      <w:r w:rsidRPr="00451825">
        <w:t xml:space="preserve"> Juan R. </w:t>
      </w:r>
      <w:proofErr w:type="spellStart"/>
      <w:r w:rsidRPr="00451825">
        <w:t>Gimeno</w:t>
      </w:r>
      <w:proofErr w:type="spellEnd"/>
      <w:r w:rsidRPr="00451825">
        <w:t xml:space="preserve">, </w:t>
      </w:r>
      <w:proofErr w:type="spellStart"/>
      <w:r w:rsidRPr="00451825">
        <w:t>MD,</w:t>
      </w:r>
      <w:r w:rsidRPr="00FD584B">
        <w:rPr>
          <w:vertAlign w:val="superscript"/>
        </w:rPr>
        <w:t>ck,b</w:t>
      </w:r>
      <w:proofErr w:type="spellEnd"/>
      <w:r w:rsidRPr="00451825">
        <w:t xml:space="preserve"> Can </w:t>
      </w:r>
      <w:proofErr w:type="spellStart"/>
      <w:r w:rsidRPr="00451825">
        <w:t>Hasdemir</w:t>
      </w:r>
      <w:proofErr w:type="spellEnd"/>
      <w:r w:rsidRPr="00451825">
        <w:t xml:space="preserve">, </w:t>
      </w:r>
      <w:proofErr w:type="spellStart"/>
      <w:r w:rsidRPr="00451825">
        <w:t>MD,</w:t>
      </w:r>
      <w:r w:rsidRPr="00FD584B">
        <w:rPr>
          <w:vertAlign w:val="superscript"/>
        </w:rPr>
        <w:t>x</w:t>
      </w:r>
      <w:proofErr w:type="spellEnd"/>
      <w:r w:rsidRPr="00451825">
        <w:t xml:space="preserve"> Pascale </w:t>
      </w:r>
      <w:proofErr w:type="spellStart"/>
      <w:r w:rsidRPr="00451825">
        <w:t>Guicheney</w:t>
      </w:r>
      <w:proofErr w:type="spellEnd"/>
      <w:r w:rsidRPr="00451825">
        <w:t xml:space="preserve">, </w:t>
      </w:r>
      <w:proofErr w:type="spellStart"/>
      <w:r w:rsidRPr="00451825">
        <w:t>PhD,</w:t>
      </w:r>
      <w:r w:rsidRPr="00FD584B">
        <w:rPr>
          <w:vertAlign w:val="superscript"/>
        </w:rPr>
        <w:t>cl</w:t>
      </w:r>
      <w:proofErr w:type="spellEnd"/>
      <w:r w:rsidRPr="00451825">
        <w:t xml:space="preserve"> Silvia G. Priori, MD, </w:t>
      </w:r>
      <w:proofErr w:type="spellStart"/>
      <w:r w:rsidRPr="00451825">
        <w:t>PhD,</w:t>
      </w:r>
      <w:r w:rsidRPr="00FD584B">
        <w:rPr>
          <w:vertAlign w:val="superscript"/>
        </w:rPr>
        <w:t>ba,b</w:t>
      </w:r>
      <w:proofErr w:type="spellEnd"/>
      <w:r w:rsidRPr="00451825">
        <w:t xml:space="preserve"> Eric Schulze-Bahr, MD, </w:t>
      </w:r>
      <w:proofErr w:type="spellStart"/>
      <w:r w:rsidRPr="00451825">
        <w:t>PhD,</w:t>
      </w:r>
      <w:r w:rsidRPr="00FD584B">
        <w:rPr>
          <w:vertAlign w:val="superscript"/>
        </w:rPr>
        <w:t>ah,b</w:t>
      </w:r>
      <w:proofErr w:type="spellEnd"/>
      <w:r w:rsidRPr="00451825">
        <w:t xml:space="preserve"> Naomasa Makita, MD, </w:t>
      </w:r>
      <w:proofErr w:type="spellStart"/>
      <w:r w:rsidRPr="00451825">
        <w:t>PhD,</w:t>
      </w:r>
      <w:r w:rsidRPr="00FD584B">
        <w:rPr>
          <w:vertAlign w:val="superscript"/>
        </w:rPr>
        <w:t>ao</w:t>
      </w:r>
      <w:proofErr w:type="spellEnd"/>
      <w:r w:rsidRPr="00451825">
        <w:t xml:space="preserve"> Peter J. Schwartz, </w:t>
      </w:r>
      <w:proofErr w:type="spellStart"/>
      <w:r w:rsidRPr="00451825">
        <w:t>MD,</w:t>
      </w:r>
      <w:r w:rsidRPr="00FD584B">
        <w:rPr>
          <w:vertAlign w:val="superscript"/>
        </w:rPr>
        <w:t>w,ad</w:t>
      </w:r>
      <w:proofErr w:type="spellEnd"/>
      <w:r w:rsidRPr="00451825">
        <w:t xml:space="preserve"> </w:t>
      </w:r>
      <w:proofErr w:type="spellStart"/>
      <w:r w:rsidRPr="00451825">
        <w:t>Wataru</w:t>
      </w:r>
      <w:proofErr w:type="spellEnd"/>
      <w:r w:rsidRPr="00451825">
        <w:t xml:space="preserve"> Shimizu, MD, </w:t>
      </w:r>
      <w:proofErr w:type="spellStart"/>
      <w:r w:rsidRPr="00451825">
        <w:t>PhD,</w:t>
      </w:r>
      <w:r w:rsidRPr="00FD584B">
        <w:rPr>
          <w:vertAlign w:val="superscript"/>
        </w:rPr>
        <w:t>cm</w:t>
      </w:r>
      <w:proofErr w:type="spellEnd"/>
      <w:r w:rsidRPr="00451825">
        <w:t xml:space="preserve"> Takeshi </w:t>
      </w:r>
      <w:proofErr w:type="spellStart"/>
      <w:r w:rsidRPr="00451825">
        <w:t>Aiba</w:t>
      </w:r>
      <w:proofErr w:type="spellEnd"/>
      <w:r w:rsidRPr="00451825">
        <w:t xml:space="preserve">, MD, </w:t>
      </w:r>
      <w:proofErr w:type="spellStart"/>
      <w:r w:rsidRPr="00451825">
        <w:t>PhD,</w:t>
      </w:r>
      <w:r w:rsidRPr="00FD584B">
        <w:rPr>
          <w:vertAlign w:val="superscript"/>
        </w:rPr>
        <w:t>bk</w:t>
      </w:r>
      <w:proofErr w:type="spellEnd"/>
      <w:r w:rsidRPr="00451825">
        <w:t xml:space="preserve"> Jean-Jacques Schott, </w:t>
      </w:r>
      <w:proofErr w:type="spellStart"/>
      <w:r w:rsidRPr="00451825">
        <w:t>PhD,</w:t>
      </w:r>
      <w:r w:rsidRPr="00FD584B">
        <w:rPr>
          <w:vertAlign w:val="superscript"/>
        </w:rPr>
        <w:t>d,b</w:t>
      </w:r>
      <w:proofErr w:type="spellEnd"/>
      <w:r w:rsidRPr="00451825">
        <w:t xml:space="preserve"> Richard Redon, </w:t>
      </w:r>
      <w:proofErr w:type="spellStart"/>
      <w:r w:rsidRPr="00451825">
        <w:t>PhD,</w:t>
      </w:r>
      <w:r w:rsidRPr="00FD584B">
        <w:rPr>
          <w:vertAlign w:val="superscript"/>
        </w:rPr>
        <w:t>d,b</w:t>
      </w:r>
      <w:proofErr w:type="spellEnd"/>
      <w:r w:rsidRPr="00451825">
        <w:t xml:space="preserve"> Seiko </w:t>
      </w:r>
      <w:proofErr w:type="spellStart"/>
      <w:r w:rsidRPr="00451825">
        <w:t>Ohno</w:t>
      </w:r>
      <w:proofErr w:type="spellEnd"/>
      <w:r w:rsidRPr="00451825">
        <w:t xml:space="preserve">, MD, </w:t>
      </w:r>
      <w:proofErr w:type="spellStart"/>
      <w:r w:rsidRPr="00451825">
        <w:t>PhD,</w:t>
      </w:r>
      <w:r w:rsidRPr="00FD584B">
        <w:rPr>
          <w:vertAlign w:val="superscript"/>
        </w:rPr>
        <w:t>cn</w:t>
      </w:r>
      <w:proofErr w:type="spellEnd"/>
      <w:r w:rsidRPr="00451825">
        <w:t xml:space="preserve"> Vincent Probst, MD, </w:t>
      </w:r>
      <w:proofErr w:type="spellStart"/>
      <w:r w:rsidRPr="00451825">
        <w:t>PhD,</w:t>
      </w:r>
      <w:r w:rsidRPr="00FD584B">
        <w:rPr>
          <w:vertAlign w:val="superscript"/>
        </w:rPr>
        <w:t>d,b</w:t>
      </w:r>
      <w:proofErr w:type="spellEnd"/>
      <w:r w:rsidRPr="00451825">
        <w:t xml:space="preserve"> </w:t>
      </w:r>
      <w:r w:rsidR="007A66C8" w:rsidRPr="002319C4">
        <w:t xml:space="preserve">Nantes Referral </w:t>
      </w:r>
      <w:proofErr w:type="spellStart"/>
      <w:r w:rsidR="007A66C8" w:rsidRPr="002319C4">
        <w:t>Center</w:t>
      </w:r>
      <w:proofErr w:type="spellEnd"/>
      <w:r w:rsidR="007A66C8" w:rsidRPr="002319C4">
        <w:t xml:space="preserve"> for inherited cardiac arrhythmia</w:t>
      </w:r>
      <w:r w:rsidR="00AD19B4">
        <w:t>*</w:t>
      </w:r>
      <w:r w:rsidR="007A66C8">
        <w:t xml:space="preserve">, </w:t>
      </w:r>
      <w:r w:rsidRPr="00451825">
        <w:t xml:space="preserve">Elijah R. Behr, MA, MBBS, </w:t>
      </w:r>
      <w:proofErr w:type="spellStart"/>
      <w:r w:rsidRPr="00451825">
        <w:t>MD,</w:t>
      </w:r>
      <w:r w:rsidRPr="00FD584B">
        <w:rPr>
          <w:vertAlign w:val="superscript"/>
        </w:rPr>
        <w:t>bd,be,b</w:t>
      </w:r>
      <w:proofErr w:type="spellEnd"/>
      <w:r w:rsidRPr="00451825">
        <w:t xml:space="preserve"> Julien </w:t>
      </w:r>
      <w:proofErr w:type="spellStart"/>
      <w:r w:rsidRPr="00451825">
        <w:t>Barc</w:t>
      </w:r>
      <w:proofErr w:type="spellEnd"/>
      <w:r w:rsidRPr="00451825">
        <w:t xml:space="preserve">, </w:t>
      </w:r>
      <w:proofErr w:type="spellStart"/>
      <w:r w:rsidRPr="00451825">
        <w:t>PhD,</w:t>
      </w:r>
      <w:r w:rsidRPr="00FD584B">
        <w:rPr>
          <w:vertAlign w:val="superscript"/>
        </w:rPr>
        <w:t>co,b</w:t>
      </w:r>
      <w:proofErr w:type="spellEnd"/>
      <w:r w:rsidRPr="00451825">
        <w:t xml:space="preserve"> Connie R. </w:t>
      </w:r>
      <w:proofErr w:type="spellStart"/>
      <w:r w:rsidRPr="00451825">
        <w:t>Bezzina</w:t>
      </w:r>
      <w:proofErr w:type="spellEnd"/>
      <w:r w:rsidRPr="00451825">
        <w:t xml:space="preserve">, </w:t>
      </w:r>
      <w:proofErr w:type="spellStart"/>
      <w:r w:rsidRPr="00451825">
        <w:t>PhD,</w:t>
      </w:r>
      <w:r w:rsidRPr="00FD584B">
        <w:rPr>
          <w:vertAlign w:val="superscript"/>
        </w:rPr>
        <w:t>a,b</w:t>
      </w:r>
      <w:proofErr w:type="spellEnd"/>
      <w:r>
        <w:t>.</w:t>
      </w:r>
    </w:p>
    <w:p w14:paraId="3E942342" w14:textId="77777777" w:rsidR="00835981" w:rsidRDefault="00835981" w:rsidP="00622B57">
      <w:pPr>
        <w:jc w:val="both"/>
        <w:rPr>
          <w:b/>
        </w:rPr>
      </w:pPr>
    </w:p>
    <w:p w14:paraId="5495CB38" w14:textId="77777777" w:rsidR="00AD19B4" w:rsidRDefault="00AD19B4" w:rsidP="00622B57">
      <w:pPr>
        <w:jc w:val="both"/>
        <w:rPr>
          <w:b/>
        </w:rPr>
      </w:pPr>
    </w:p>
    <w:p w14:paraId="11A1F312" w14:textId="77777777" w:rsidR="00AD19B4" w:rsidRDefault="00AD19B4" w:rsidP="00622B57">
      <w:pPr>
        <w:jc w:val="both"/>
        <w:rPr>
          <w:b/>
        </w:rPr>
      </w:pPr>
    </w:p>
    <w:p w14:paraId="0CF6B735" w14:textId="77777777" w:rsidR="00AD19B4" w:rsidRDefault="00AD19B4" w:rsidP="00622B57">
      <w:pPr>
        <w:jc w:val="both"/>
        <w:rPr>
          <w:b/>
        </w:rPr>
      </w:pPr>
    </w:p>
    <w:p w14:paraId="6FDF3289" w14:textId="77777777" w:rsidR="00AD19B4" w:rsidRDefault="00AD19B4" w:rsidP="00622B57">
      <w:pPr>
        <w:jc w:val="both"/>
        <w:rPr>
          <w:b/>
        </w:rPr>
      </w:pPr>
    </w:p>
    <w:p w14:paraId="018A7335" w14:textId="3B007D97" w:rsidR="00835981" w:rsidRDefault="00835981" w:rsidP="00622B57">
      <w:pPr>
        <w:jc w:val="both"/>
        <w:rPr>
          <w:b/>
        </w:rPr>
      </w:pPr>
      <w:r>
        <w:rPr>
          <w:b/>
        </w:rPr>
        <w:lastRenderedPageBreak/>
        <w:t>Affiliations</w:t>
      </w:r>
    </w:p>
    <w:p w14:paraId="0DA0C578" w14:textId="77777777" w:rsidR="00075E2C" w:rsidRPr="00075E2C" w:rsidRDefault="00075E2C" w:rsidP="00075E2C">
      <w:pPr>
        <w:pStyle w:val="NoSpacing"/>
      </w:pPr>
      <w:r w:rsidRPr="00075E2C">
        <w:t>a</w:t>
      </w:r>
      <w:r w:rsidRPr="00075E2C">
        <w:tab/>
        <w:t xml:space="preserve">Amsterdam UMC, University of Amsterdam, Department of Clinical and Experimental Cardiology, Heart Centre, Amsterdam Cardiovascular Sciences, </w:t>
      </w:r>
      <w:proofErr w:type="spellStart"/>
      <w:r w:rsidRPr="00075E2C">
        <w:t>Meibergdreef</w:t>
      </w:r>
      <w:proofErr w:type="spellEnd"/>
      <w:r w:rsidRPr="00075E2C">
        <w:t xml:space="preserve"> 9, Amsterdam, Netherlands</w:t>
      </w:r>
    </w:p>
    <w:p w14:paraId="6BC4344E" w14:textId="77777777" w:rsidR="00075E2C" w:rsidRPr="00075E2C" w:rsidRDefault="00075E2C" w:rsidP="00075E2C">
      <w:pPr>
        <w:pStyle w:val="NoSpacing"/>
      </w:pPr>
      <w:r w:rsidRPr="00075E2C">
        <w:t>b</w:t>
      </w:r>
      <w:r w:rsidRPr="00075E2C">
        <w:tab/>
        <w:t>Member of the European Reference Network for rare, low prevalence and/or complex diseases of the heart: ERN GUARD-Heart</w:t>
      </w:r>
    </w:p>
    <w:p w14:paraId="61177883" w14:textId="77777777" w:rsidR="00075E2C" w:rsidRPr="00075E2C" w:rsidRDefault="00075E2C" w:rsidP="00075E2C">
      <w:pPr>
        <w:pStyle w:val="NoSpacing"/>
      </w:pPr>
      <w:r w:rsidRPr="00075E2C">
        <w:t>c</w:t>
      </w:r>
      <w:r w:rsidRPr="00075E2C">
        <w:tab/>
        <w:t xml:space="preserve">Department of Medicine, Cardiovascular Genetics </w:t>
      </w:r>
      <w:proofErr w:type="spellStart"/>
      <w:r w:rsidRPr="00075E2C">
        <w:t>Center</w:t>
      </w:r>
      <w:proofErr w:type="spellEnd"/>
      <w:r w:rsidRPr="00075E2C">
        <w:t xml:space="preserve">, Montreal Heart Institute and Faculty of Medicine, </w:t>
      </w:r>
      <w:proofErr w:type="spellStart"/>
      <w:r w:rsidRPr="00075E2C">
        <w:t>Université</w:t>
      </w:r>
      <w:proofErr w:type="spellEnd"/>
      <w:r w:rsidRPr="00075E2C">
        <w:t xml:space="preserve"> de Montréal, 5000 Belanger, Montreal, QC, Canada</w:t>
      </w:r>
    </w:p>
    <w:p w14:paraId="5C77343F" w14:textId="77777777" w:rsidR="00075E2C" w:rsidRPr="00075E2C" w:rsidRDefault="00075E2C" w:rsidP="00075E2C">
      <w:pPr>
        <w:pStyle w:val="NoSpacing"/>
      </w:pPr>
      <w:r w:rsidRPr="00075E2C">
        <w:t>d</w:t>
      </w:r>
      <w:r w:rsidRPr="00075E2C">
        <w:tab/>
      </w:r>
      <w:proofErr w:type="spellStart"/>
      <w:r w:rsidRPr="00075E2C">
        <w:t>Université</w:t>
      </w:r>
      <w:proofErr w:type="spellEnd"/>
      <w:r w:rsidRPr="00075E2C">
        <w:t xml:space="preserve"> de Nantes, CHU Nantes, CNRS, INSERM, </w:t>
      </w:r>
      <w:proofErr w:type="spellStart"/>
      <w:r w:rsidRPr="00075E2C">
        <w:t>l’institut</w:t>
      </w:r>
      <w:proofErr w:type="spellEnd"/>
      <w:r w:rsidRPr="00075E2C">
        <w:t xml:space="preserve"> du thorax, F-44000 Nantes, France</w:t>
      </w:r>
    </w:p>
    <w:p w14:paraId="641C3BFC" w14:textId="77777777" w:rsidR="00075E2C" w:rsidRPr="00075E2C" w:rsidRDefault="00075E2C" w:rsidP="00075E2C">
      <w:pPr>
        <w:pStyle w:val="NoSpacing"/>
      </w:pPr>
      <w:r w:rsidRPr="00075E2C">
        <w:t>e</w:t>
      </w:r>
      <w:r w:rsidRPr="00075E2C">
        <w:tab/>
        <w:t xml:space="preserve">The Department of Cardiology, The Heart Centre, Copenhagen University Hospital, </w:t>
      </w:r>
      <w:proofErr w:type="spellStart"/>
      <w:r w:rsidRPr="00075E2C">
        <w:t>Rigshospitalet</w:t>
      </w:r>
      <w:proofErr w:type="spellEnd"/>
      <w:r w:rsidRPr="00075E2C">
        <w:t>, Copenhagen, Denmark</w:t>
      </w:r>
    </w:p>
    <w:p w14:paraId="2A36305A" w14:textId="77777777" w:rsidR="00075E2C" w:rsidRPr="00075E2C" w:rsidRDefault="00075E2C" w:rsidP="00075E2C">
      <w:pPr>
        <w:pStyle w:val="NoSpacing"/>
      </w:pPr>
      <w:r w:rsidRPr="00075E2C">
        <w:t>f</w:t>
      </w:r>
      <w:r w:rsidRPr="00075E2C">
        <w:tab/>
        <w:t>Department of Clinical Genetics, Amsterdam UMC, University of Amsterdam, Amsterdam, the Netherlands</w:t>
      </w:r>
    </w:p>
    <w:p w14:paraId="7BE9C58F" w14:textId="77777777" w:rsidR="00075E2C" w:rsidRPr="00075E2C" w:rsidRDefault="00075E2C" w:rsidP="00075E2C">
      <w:pPr>
        <w:pStyle w:val="NoSpacing"/>
      </w:pPr>
      <w:r w:rsidRPr="00075E2C">
        <w:t>g</w:t>
      </w:r>
      <w:r w:rsidRPr="00075E2C">
        <w:tab/>
        <w:t>National Heart and Lung Institute, Imperial College London, London, United Kingdom</w:t>
      </w:r>
    </w:p>
    <w:p w14:paraId="524CE91F" w14:textId="77777777" w:rsidR="00075E2C" w:rsidRPr="00075E2C" w:rsidRDefault="00075E2C" w:rsidP="00075E2C">
      <w:pPr>
        <w:pStyle w:val="NoSpacing"/>
      </w:pPr>
      <w:r w:rsidRPr="00075E2C">
        <w:t>h</w:t>
      </w:r>
      <w:r w:rsidRPr="00075E2C">
        <w:tab/>
        <w:t xml:space="preserve">Cardiovascular Research Centre, Royal Brompton and </w:t>
      </w:r>
      <w:proofErr w:type="spellStart"/>
      <w:r w:rsidRPr="00075E2C">
        <w:t>Harefield</w:t>
      </w:r>
      <w:proofErr w:type="spellEnd"/>
      <w:r w:rsidRPr="00075E2C">
        <w:t xml:space="preserve"> NHS Foundation Trust, London, United Kingdom</w:t>
      </w:r>
    </w:p>
    <w:p w14:paraId="6B9832EF" w14:textId="77777777" w:rsidR="00075E2C" w:rsidRPr="00075E2C" w:rsidRDefault="00075E2C" w:rsidP="00075E2C">
      <w:pPr>
        <w:pStyle w:val="NoSpacing"/>
      </w:pPr>
      <w:proofErr w:type="spellStart"/>
      <w:r w:rsidRPr="00075E2C">
        <w:t>i</w:t>
      </w:r>
      <w:proofErr w:type="spellEnd"/>
      <w:r w:rsidRPr="00075E2C">
        <w:tab/>
        <w:t>MRC London Institute of Medical Sciences, Imperial College London, London, United Kingdom</w:t>
      </w:r>
    </w:p>
    <w:p w14:paraId="48E6F183" w14:textId="77777777" w:rsidR="00075E2C" w:rsidRPr="00075E2C" w:rsidRDefault="00075E2C" w:rsidP="00075E2C">
      <w:pPr>
        <w:pStyle w:val="NoSpacing"/>
      </w:pPr>
      <w:r w:rsidRPr="00075E2C">
        <w:t>j</w:t>
      </w:r>
      <w:r w:rsidRPr="00075E2C">
        <w:tab/>
        <w:t xml:space="preserve">Cardiomyopathy Unit, </w:t>
      </w:r>
      <w:proofErr w:type="spellStart"/>
      <w:r w:rsidRPr="00075E2C">
        <w:t>Careggi</w:t>
      </w:r>
      <w:proofErr w:type="spellEnd"/>
      <w:r w:rsidRPr="00075E2C">
        <w:t xml:space="preserve"> University Hospital, Florence, Italy</w:t>
      </w:r>
    </w:p>
    <w:p w14:paraId="5ECBFDA3" w14:textId="77777777" w:rsidR="00075E2C" w:rsidRPr="00075E2C" w:rsidRDefault="00075E2C" w:rsidP="00075E2C">
      <w:pPr>
        <w:pStyle w:val="NoSpacing"/>
      </w:pPr>
      <w:r w:rsidRPr="00075E2C">
        <w:t>k</w:t>
      </w:r>
      <w:r w:rsidRPr="00075E2C">
        <w:tab/>
        <w:t>Department of Experimental and Clinical Medicine, University of Florence, Italy</w:t>
      </w:r>
    </w:p>
    <w:p w14:paraId="52CE4841" w14:textId="77777777" w:rsidR="00075E2C" w:rsidRPr="00075E2C" w:rsidRDefault="00075E2C" w:rsidP="00075E2C">
      <w:pPr>
        <w:pStyle w:val="NoSpacing"/>
      </w:pPr>
      <w:r w:rsidRPr="00075E2C">
        <w:t>l</w:t>
      </w:r>
      <w:r w:rsidRPr="00075E2C">
        <w:tab/>
        <w:t xml:space="preserve">Arrhythmia Section, Cardiology Department, Hospital </w:t>
      </w:r>
      <w:proofErr w:type="spellStart"/>
      <w:r w:rsidRPr="00075E2C">
        <w:t>Clínic</w:t>
      </w:r>
      <w:proofErr w:type="spellEnd"/>
      <w:r w:rsidRPr="00075E2C">
        <w:t xml:space="preserve">, </w:t>
      </w:r>
      <w:proofErr w:type="spellStart"/>
      <w:r w:rsidRPr="00075E2C">
        <w:t>Universitat</w:t>
      </w:r>
      <w:proofErr w:type="spellEnd"/>
      <w:r w:rsidRPr="00075E2C">
        <w:t xml:space="preserve"> de Barcelona, Barcelona, Spain</w:t>
      </w:r>
    </w:p>
    <w:p w14:paraId="4EB6D0FC" w14:textId="77777777" w:rsidR="00075E2C" w:rsidRPr="00075E2C" w:rsidRDefault="00075E2C" w:rsidP="00075E2C">
      <w:pPr>
        <w:pStyle w:val="NoSpacing"/>
      </w:pPr>
      <w:r w:rsidRPr="00075E2C">
        <w:t>m</w:t>
      </w:r>
      <w:r w:rsidRPr="00075E2C">
        <w:tab/>
        <w:t xml:space="preserve">IDIBAPS, </w:t>
      </w:r>
      <w:proofErr w:type="spellStart"/>
      <w:r w:rsidRPr="00075E2C">
        <w:t>Institut</w:t>
      </w:r>
      <w:proofErr w:type="spellEnd"/>
      <w:r w:rsidRPr="00075E2C">
        <w:t xml:space="preserve"> </w:t>
      </w:r>
      <w:proofErr w:type="spellStart"/>
      <w:r w:rsidRPr="00075E2C">
        <w:t>d’Investigació</w:t>
      </w:r>
      <w:proofErr w:type="spellEnd"/>
      <w:r w:rsidRPr="00075E2C">
        <w:t xml:space="preserve"> August Pi </w:t>
      </w:r>
      <w:proofErr w:type="spellStart"/>
      <w:r w:rsidRPr="00075E2C">
        <w:t>i</w:t>
      </w:r>
      <w:proofErr w:type="spellEnd"/>
      <w:r w:rsidRPr="00075E2C">
        <w:t xml:space="preserve"> </w:t>
      </w:r>
      <w:proofErr w:type="spellStart"/>
      <w:r w:rsidRPr="00075E2C">
        <w:t>Sunyer</w:t>
      </w:r>
      <w:proofErr w:type="spellEnd"/>
      <w:r w:rsidRPr="00075E2C">
        <w:t xml:space="preserve"> (IDIBAPS), Barcelona, Spain</w:t>
      </w:r>
    </w:p>
    <w:p w14:paraId="567C388D" w14:textId="77777777" w:rsidR="00075E2C" w:rsidRPr="00075E2C" w:rsidRDefault="00075E2C" w:rsidP="00075E2C">
      <w:pPr>
        <w:pStyle w:val="NoSpacing"/>
      </w:pPr>
      <w:r w:rsidRPr="00075E2C">
        <w:t>n</w:t>
      </w:r>
      <w:r w:rsidRPr="00075E2C">
        <w:tab/>
        <w:t xml:space="preserve">Centro de </w:t>
      </w:r>
      <w:proofErr w:type="spellStart"/>
      <w:r w:rsidRPr="00075E2C">
        <w:t>Investigación</w:t>
      </w:r>
      <w:proofErr w:type="spellEnd"/>
      <w:r w:rsidRPr="00075E2C">
        <w:t xml:space="preserve"> </w:t>
      </w:r>
      <w:proofErr w:type="spellStart"/>
      <w:r w:rsidRPr="00075E2C">
        <w:t>Biomédica</w:t>
      </w:r>
      <w:proofErr w:type="spellEnd"/>
      <w:r w:rsidRPr="00075E2C">
        <w:t xml:space="preserve"> </w:t>
      </w:r>
      <w:proofErr w:type="spellStart"/>
      <w:r w:rsidRPr="00075E2C">
        <w:t>en</w:t>
      </w:r>
      <w:proofErr w:type="spellEnd"/>
      <w:r w:rsidRPr="00075E2C">
        <w:t xml:space="preserve"> Red de </w:t>
      </w:r>
      <w:proofErr w:type="spellStart"/>
      <w:r w:rsidRPr="00075E2C">
        <w:t>Enfermedades</w:t>
      </w:r>
      <w:proofErr w:type="spellEnd"/>
      <w:r w:rsidRPr="00075E2C">
        <w:t xml:space="preserve"> </w:t>
      </w:r>
      <w:proofErr w:type="spellStart"/>
      <w:r w:rsidRPr="00075E2C">
        <w:t>Cardiovasculares</w:t>
      </w:r>
      <w:proofErr w:type="spellEnd"/>
      <w:r w:rsidRPr="00075E2C">
        <w:t xml:space="preserve"> (CIBERCV), Madrid, Spain</w:t>
      </w:r>
    </w:p>
    <w:p w14:paraId="76924D5D" w14:textId="77777777" w:rsidR="00075E2C" w:rsidRPr="00075E2C" w:rsidRDefault="00075E2C" w:rsidP="00075E2C">
      <w:pPr>
        <w:pStyle w:val="NoSpacing"/>
      </w:pPr>
      <w:r w:rsidRPr="00075E2C">
        <w:t>o</w:t>
      </w:r>
      <w:r w:rsidRPr="00075E2C">
        <w:tab/>
        <w:t xml:space="preserve">CHU Tours, Service de </w:t>
      </w:r>
      <w:proofErr w:type="spellStart"/>
      <w:r w:rsidRPr="00075E2C">
        <w:t>Cardiologie</w:t>
      </w:r>
      <w:proofErr w:type="spellEnd"/>
      <w:r w:rsidRPr="00075E2C">
        <w:t>, Tours, France</w:t>
      </w:r>
    </w:p>
    <w:p w14:paraId="65AEE850" w14:textId="77777777" w:rsidR="00075E2C" w:rsidRPr="00075E2C" w:rsidRDefault="00075E2C" w:rsidP="00075E2C">
      <w:pPr>
        <w:pStyle w:val="NoSpacing"/>
      </w:pPr>
      <w:r w:rsidRPr="00075E2C">
        <w:t>p</w:t>
      </w:r>
      <w:r w:rsidRPr="00075E2C">
        <w:tab/>
      </w:r>
      <w:proofErr w:type="spellStart"/>
      <w:r w:rsidRPr="00075E2C">
        <w:t>Lankenau</w:t>
      </w:r>
      <w:proofErr w:type="spellEnd"/>
      <w:r w:rsidRPr="00075E2C">
        <w:t xml:space="preserve"> Institute for Medical Research, Wynnewood, PA, USA</w:t>
      </w:r>
    </w:p>
    <w:p w14:paraId="021324E6" w14:textId="77777777" w:rsidR="00075E2C" w:rsidRPr="00075E2C" w:rsidRDefault="00075E2C" w:rsidP="00075E2C">
      <w:pPr>
        <w:pStyle w:val="NoSpacing"/>
      </w:pPr>
      <w:r w:rsidRPr="00075E2C">
        <w:t>q</w:t>
      </w:r>
      <w:r w:rsidRPr="00075E2C">
        <w:tab/>
        <w:t xml:space="preserve">LMU </w:t>
      </w:r>
      <w:proofErr w:type="spellStart"/>
      <w:r w:rsidRPr="00075E2C">
        <w:t>Klinikum</w:t>
      </w:r>
      <w:proofErr w:type="spellEnd"/>
      <w:r w:rsidRPr="00075E2C">
        <w:t xml:space="preserve">, </w:t>
      </w:r>
      <w:proofErr w:type="spellStart"/>
      <w:r w:rsidRPr="00075E2C">
        <w:t>Klinikum</w:t>
      </w:r>
      <w:proofErr w:type="spellEnd"/>
      <w:r w:rsidRPr="00075E2C">
        <w:t xml:space="preserve"> der Ludwig </w:t>
      </w:r>
      <w:proofErr w:type="spellStart"/>
      <w:r w:rsidRPr="00075E2C">
        <w:t>Maximilians</w:t>
      </w:r>
      <w:proofErr w:type="spellEnd"/>
      <w:r w:rsidRPr="00075E2C">
        <w:t xml:space="preserve"> </w:t>
      </w:r>
      <w:proofErr w:type="spellStart"/>
      <w:r w:rsidRPr="00075E2C">
        <w:t>Universität</w:t>
      </w:r>
      <w:proofErr w:type="spellEnd"/>
      <w:r w:rsidRPr="00075E2C">
        <w:t xml:space="preserve"> </w:t>
      </w:r>
      <w:proofErr w:type="spellStart"/>
      <w:r w:rsidRPr="00075E2C">
        <w:t>München</w:t>
      </w:r>
      <w:proofErr w:type="spellEnd"/>
      <w:r w:rsidRPr="00075E2C">
        <w:t xml:space="preserve">, Department of Internal Medicine I, </w:t>
      </w:r>
      <w:proofErr w:type="spellStart"/>
      <w:r w:rsidRPr="00075E2C">
        <w:t>München</w:t>
      </w:r>
      <w:proofErr w:type="spellEnd"/>
      <w:r w:rsidRPr="00075E2C">
        <w:t>, Germany</w:t>
      </w:r>
    </w:p>
    <w:p w14:paraId="337B4B3F" w14:textId="77777777" w:rsidR="00075E2C" w:rsidRPr="00075E2C" w:rsidRDefault="00075E2C" w:rsidP="00075E2C">
      <w:pPr>
        <w:pStyle w:val="NoSpacing"/>
      </w:pPr>
      <w:r w:rsidRPr="00075E2C">
        <w:t>r</w:t>
      </w:r>
      <w:r w:rsidRPr="00075E2C">
        <w:tab/>
        <w:t>Department of Cardiovascular Medicine, Division of Heart Rhythm Services, Mayo Clinic, Rochester, MN, USA</w:t>
      </w:r>
    </w:p>
    <w:p w14:paraId="1C027281" w14:textId="77777777" w:rsidR="00075E2C" w:rsidRPr="00075E2C" w:rsidRDefault="00075E2C" w:rsidP="00075E2C">
      <w:pPr>
        <w:pStyle w:val="NoSpacing"/>
      </w:pPr>
      <w:r w:rsidRPr="00075E2C">
        <w:t>s</w:t>
      </w:r>
      <w:r w:rsidRPr="00075E2C">
        <w:tab/>
        <w:t>Department of Human Genetics, University Hospitals Leuven, Leuven, Belgium</w:t>
      </w:r>
    </w:p>
    <w:p w14:paraId="24EF7557" w14:textId="77777777" w:rsidR="00075E2C" w:rsidRPr="00075E2C" w:rsidRDefault="00075E2C" w:rsidP="00075E2C">
      <w:pPr>
        <w:pStyle w:val="NoSpacing"/>
      </w:pPr>
      <w:r w:rsidRPr="00075E2C">
        <w:t>t</w:t>
      </w:r>
      <w:r w:rsidRPr="00075E2C">
        <w:tab/>
        <w:t xml:space="preserve">Cardiovascular Genetics </w:t>
      </w:r>
      <w:proofErr w:type="spellStart"/>
      <w:r w:rsidRPr="00075E2C">
        <w:t>Center</w:t>
      </w:r>
      <w:proofErr w:type="spellEnd"/>
      <w:r w:rsidRPr="00075E2C">
        <w:t>, University of Girona-IDIBGI, Girona, Spain</w:t>
      </w:r>
    </w:p>
    <w:p w14:paraId="1175401C" w14:textId="77777777" w:rsidR="00075E2C" w:rsidRPr="00075E2C" w:rsidRDefault="00075E2C" w:rsidP="00075E2C">
      <w:pPr>
        <w:pStyle w:val="NoSpacing"/>
      </w:pPr>
      <w:r w:rsidRPr="00075E2C">
        <w:t>u</w:t>
      </w:r>
      <w:r w:rsidRPr="00075E2C">
        <w:tab/>
        <w:t>Medical Science Department, School of Medicine, University of Girona, Girona, Spain</w:t>
      </w:r>
    </w:p>
    <w:p w14:paraId="5A2919CF" w14:textId="77777777" w:rsidR="00075E2C" w:rsidRPr="00075E2C" w:rsidRDefault="00075E2C" w:rsidP="00075E2C">
      <w:pPr>
        <w:pStyle w:val="NoSpacing"/>
      </w:pPr>
      <w:r w:rsidRPr="00075E2C">
        <w:t>v</w:t>
      </w:r>
      <w:r w:rsidRPr="00075E2C">
        <w:tab/>
        <w:t>Biochemistry and Molecular Genetics Department, Hospital Clinic, University of Barcelona-IDIBAPS, Barcelona, Spain</w:t>
      </w:r>
    </w:p>
    <w:p w14:paraId="75CFF768" w14:textId="77777777" w:rsidR="00075E2C" w:rsidRPr="00075E2C" w:rsidRDefault="00075E2C" w:rsidP="00075E2C">
      <w:pPr>
        <w:pStyle w:val="NoSpacing"/>
      </w:pPr>
      <w:r w:rsidRPr="00075E2C">
        <w:t>w</w:t>
      </w:r>
      <w:r w:rsidRPr="00075E2C">
        <w:tab/>
      </w:r>
      <w:proofErr w:type="spellStart"/>
      <w:r w:rsidRPr="00075E2C">
        <w:t>Istituto</w:t>
      </w:r>
      <w:proofErr w:type="spellEnd"/>
      <w:r w:rsidRPr="00075E2C">
        <w:t xml:space="preserve"> </w:t>
      </w:r>
      <w:proofErr w:type="spellStart"/>
      <w:r w:rsidRPr="00075E2C">
        <w:t>Auxologico</w:t>
      </w:r>
      <w:proofErr w:type="spellEnd"/>
      <w:r w:rsidRPr="00075E2C">
        <w:t xml:space="preserve"> </w:t>
      </w:r>
      <w:proofErr w:type="spellStart"/>
      <w:r w:rsidRPr="00075E2C">
        <w:t>Italiano</w:t>
      </w:r>
      <w:proofErr w:type="spellEnd"/>
      <w:r w:rsidRPr="00075E2C">
        <w:t xml:space="preserve">, IRCCS - </w:t>
      </w:r>
      <w:proofErr w:type="spellStart"/>
      <w:r w:rsidRPr="00075E2C">
        <w:t>Center</w:t>
      </w:r>
      <w:proofErr w:type="spellEnd"/>
      <w:r w:rsidRPr="00075E2C">
        <w:t xml:space="preserve"> for Cardiac Arrhythmias of Genetic Origin, Via Pier Lombardo 22, 20135 Milan, Italy</w:t>
      </w:r>
    </w:p>
    <w:p w14:paraId="46534F7C" w14:textId="77777777" w:rsidR="00075E2C" w:rsidRPr="00075E2C" w:rsidRDefault="00075E2C" w:rsidP="00075E2C">
      <w:pPr>
        <w:pStyle w:val="NoSpacing"/>
      </w:pPr>
      <w:r w:rsidRPr="00075E2C">
        <w:t>x</w:t>
      </w:r>
      <w:r w:rsidRPr="00075E2C">
        <w:tab/>
      </w:r>
      <w:proofErr w:type="spellStart"/>
      <w:r w:rsidRPr="00075E2C">
        <w:t>Ege</w:t>
      </w:r>
      <w:proofErr w:type="spellEnd"/>
      <w:r w:rsidRPr="00075E2C">
        <w:t xml:space="preserve"> University School of Medicine, Department of Cardiology, Izmir, Turkey</w:t>
      </w:r>
    </w:p>
    <w:p w14:paraId="051D27E2" w14:textId="77777777" w:rsidR="00075E2C" w:rsidRPr="00075E2C" w:rsidRDefault="00075E2C" w:rsidP="00075E2C">
      <w:pPr>
        <w:pStyle w:val="NoSpacing"/>
      </w:pPr>
      <w:r w:rsidRPr="00075E2C">
        <w:t>y</w:t>
      </w:r>
      <w:r w:rsidRPr="00075E2C">
        <w:tab/>
        <w:t>German Centre for Cardiovascular Research (DZHK), Partner Site Munich, Munich Heart Alliance (MHA), Munich, Germany</w:t>
      </w:r>
    </w:p>
    <w:p w14:paraId="4A8FC8CA" w14:textId="77777777" w:rsidR="00075E2C" w:rsidRPr="00075E2C" w:rsidRDefault="00075E2C" w:rsidP="00075E2C">
      <w:pPr>
        <w:pStyle w:val="NoSpacing"/>
      </w:pPr>
      <w:r w:rsidRPr="00075E2C">
        <w:t>z</w:t>
      </w:r>
      <w:r w:rsidRPr="00075E2C">
        <w:tab/>
        <w:t xml:space="preserve">Walter </w:t>
      </w:r>
      <w:proofErr w:type="spellStart"/>
      <w:r w:rsidRPr="00075E2C">
        <w:t>Brendel</w:t>
      </w:r>
      <w:proofErr w:type="spellEnd"/>
      <w:r w:rsidRPr="00075E2C">
        <w:t xml:space="preserve"> Centre of Experimental Medicine, Ludwig-</w:t>
      </w:r>
      <w:proofErr w:type="spellStart"/>
      <w:r w:rsidRPr="00075E2C">
        <w:t>Maximilians</w:t>
      </w:r>
      <w:proofErr w:type="spellEnd"/>
      <w:r w:rsidRPr="00075E2C">
        <w:t xml:space="preserve"> University Munich (LMU), Munich, Germany</w:t>
      </w:r>
    </w:p>
    <w:p w14:paraId="0916D65C" w14:textId="77777777" w:rsidR="00075E2C" w:rsidRPr="00075E2C" w:rsidRDefault="00075E2C" w:rsidP="00075E2C">
      <w:pPr>
        <w:pStyle w:val="NoSpacing"/>
      </w:pPr>
      <w:r w:rsidRPr="00075E2C">
        <w:t>aa</w:t>
      </w:r>
      <w:r w:rsidRPr="00075E2C">
        <w:tab/>
      </w:r>
      <w:proofErr w:type="spellStart"/>
      <w:r w:rsidRPr="00075E2C">
        <w:t>Center</w:t>
      </w:r>
      <w:proofErr w:type="spellEnd"/>
      <w:r w:rsidRPr="00075E2C">
        <w:t xml:space="preserve"> for Human Genetics, University Hospitals Leuven, Leuven, Belgium</w:t>
      </w:r>
    </w:p>
    <w:p w14:paraId="4C2A4D41" w14:textId="77777777" w:rsidR="00075E2C" w:rsidRPr="00075E2C" w:rsidRDefault="00075E2C" w:rsidP="00075E2C">
      <w:pPr>
        <w:pStyle w:val="NoSpacing"/>
      </w:pPr>
      <w:r w:rsidRPr="00075E2C">
        <w:t>ab</w:t>
      </w:r>
      <w:r w:rsidRPr="00075E2C">
        <w:tab/>
      </w:r>
      <w:proofErr w:type="spellStart"/>
      <w:r w:rsidRPr="00075E2C">
        <w:t>Istituto</w:t>
      </w:r>
      <w:proofErr w:type="spellEnd"/>
      <w:r w:rsidRPr="00075E2C">
        <w:t xml:space="preserve"> </w:t>
      </w:r>
      <w:proofErr w:type="spellStart"/>
      <w:r w:rsidRPr="00075E2C">
        <w:t>Auxologico</w:t>
      </w:r>
      <w:proofErr w:type="spellEnd"/>
      <w:r w:rsidRPr="00075E2C">
        <w:t xml:space="preserve"> </w:t>
      </w:r>
      <w:proofErr w:type="spellStart"/>
      <w:r w:rsidRPr="00075E2C">
        <w:t>Italiano</w:t>
      </w:r>
      <w:proofErr w:type="spellEnd"/>
      <w:r w:rsidRPr="00075E2C">
        <w:t>, IRCCS, Department of Cardiovascular, Neural and Metabolic Sciences, San Luca Hospital, Milan, Italy</w:t>
      </w:r>
    </w:p>
    <w:p w14:paraId="0DE29B8C" w14:textId="77777777" w:rsidR="00075E2C" w:rsidRPr="00075E2C" w:rsidRDefault="00075E2C" w:rsidP="00075E2C">
      <w:pPr>
        <w:pStyle w:val="NoSpacing"/>
      </w:pPr>
      <w:r w:rsidRPr="00075E2C">
        <w:t>ac</w:t>
      </w:r>
      <w:r w:rsidRPr="00075E2C">
        <w:tab/>
        <w:t>Department of Medicine and Surgery, University of Milano-Bicocca, Milan, Italy</w:t>
      </w:r>
    </w:p>
    <w:p w14:paraId="4975F0AC" w14:textId="77777777" w:rsidR="00075E2C" w:rsidRPr="00075E2C" w:rsidRDefault="00075E2C" w:rsidP="00075E2C">
      <w:pPr>
        <w:pStyle w:val="NoSpacing"/>
      </w:pPr>
      <w:r w:rsidRPr="00075E2C">
        <w:t>ad</w:t>
      </w:r>
      <w:r w:rsidRPr="00075E2C">
        <w:tab/>
      </w:r>
      <w:proofErr w:type="spellStart"/>
      <w:r w:rsidRPr="00075E2C">
        <w:t>Istituto</w:t>
      </w:r>
      <w:proofErr w:type="spellEnd"/>
      <w:r w:rsidRPr="00075E2C">
        <w:t xml:space="preserve"> </w:t>
      </w:r>
      <w:proofErr w:type="spellStart"/>
      <w:r w:rsidRPr="00075E2C">
        <w:t>Auxologico</w:t>
      </w:r>
      <w:proofErr w:type="spellEnd"/>
      <w:r w:rsidRPr="00075E2C">
        <w:t xml:space="preserve"> </w:t>
      </w:r>
      <w:proofErr w:type="spellStart"/>
      <w:r w:rsidRPr="00075E2C">
        <w:t>Italiano</w:t>
      </w:r>
      <w:proofErr w:type="spellEnd"/>
      <w:r w:rsidRPr="00075E2C">
        <w:t xml:space="preserve">, IRCCS - Laboratory of Cardiovascular Genetics, via Zucchi 18, 20095 Cusano </w:t>
      </w:r>
      <w:proofErr w:type="spellStart"/>
      <w:r w:rsidRPr="00075E2C">
        <w:t>Milanino</w:t>
      </w:r>
      <w:proofErr w:type="spellEnd"/>
      <w:r w:rsidRPr="00075E2C">
        <w:t xml:space="preserve"> (MI), Italy</w:t>
      </w:r>
    </w:p>
    <w:p w14:paraId="4C9ED3C5" w14:textId="77777777" w:rsidR="00075E2C" w:rsidRPr="00075E2C" w:rsidRDefault="00075E2C" w:rsidP="00075E2C">
      <w:pPr>
        <w:pStyle w:val="NoSpacing"/>
      </w:pPr>
      <w:r w:rsidRPr="00075E2C">
        <w:lastRenderedPageBreak/>
        <w:t>ae</w:t>
      </w:r>
      <w:r w:rsidRPr="00075E2C">
        <w:tab/>
        <w:t xml:space="preserve">Heart Rhythm Management </w:t>
      </w:r>
      <w:proofErr w:type="spellStart"/>
      <w:r w:rsidRPr="00075E2C">
        <w:t>Center</w:t>
      </w:r>
      <w:proofErr w:type="spellEnd"/>
      <w:r w:rsidRPr="00075E2C">
        <w:t xml:space="preserve">, Postgraduate program in Cardiac Electrophysiology and Pacing </w:t>
      </w:r>
      <w:proofErr w:type="spellStart"/>
      <w:r w:rsidRPr="00075E2C">
        <w:t>Universitair</w:t>
      </w:r>
      <w:proofErr w:type="spellEnd"/>
      <w:r w:rsidRPr="00075E2C">
        <w:t xml:space="preserve"> </w:t>
      </w:r>
      <w:proofErr w:type="spellStart"/>
      <w:r w:rsidRPr="00075E2C">
        <w:t>Ziekenhuis</w:t>
      </w:r>
      <w:proofErr w:type="spellEnd"/>
      <w:r w:rsidRPr="00075E2C">
        <w:t>, Brussel-</w:t>
      </w:r>
      <w:proofErr w:type="spellStart"/>
      <w:r w:rsidRPr="00075E2C">
        <w:t>Vrije</w:t>
      </w:r>
      <w:proofErr w:type="spellEnd"/>
      <w:r w:rsidRPr="00075E2C">
        <w:t xml:space="preserve"> </w:t>
      </w:r>
      <w:proofErr w:type="spellStart"/>
      <w:r w:rsidRPr="00075E2C">
        <w:t>Universiteit</w:t>
      </w:r>
      <w:proofErr w:type="spellEnd"/>
      <w:r w:rsidRPr="00075E2C">
        <w:t xml:space="preserve"> Brussel, ERN Heart Guard </w:t>
      </w:r>
      <w:proofErr w:type="spellStart"/>
      <w:r w:rsidRPr="00075E2C">
        <w:t>Center</w:t>
      </w:r>
      <w:proofErr w:type="spellEnd"/>
      <w:r w:rsidRPr="00075E2C">
        <w:t xml:space="preserve"> </w:t>
      </w:r>
      <w:proofErr w:type="spellStart"/>
      <w:r w:rsidRPr="00075E2C">
        <w:t>Laarbeeklaan</w:t>
      </w:r>
      <w:proofErr w:type="spellEnd"/>
      <w:r w:rsidRPr="00075E2C">
        <w:t xml:space="preserve"> 101, 1090, Brussels, Belgium</w:t>
      </w:r>
    </w:p>
    <w:p w14:paraId="042F0BE1" w14:textId="77777777" w:rsidR="00075E2C" w:rsidRPr="00075E2C" w:rsidRDefault="00075E2C" w:rsidP="00075E2C">
      <w:pPr>
        <w:pStyle w:val="NoSpacing"/>
      </w:pPr>
      <w:proofErr w:type="spellStart"/>
      <w:r w:rsidRPr="00075E2C">
        <w:t>af</w:t>
      </w:r>
      <w:proofErr w:type="spellEnd"/>
      <w:r w:rsidRPr="00075E2C">
        <w:tab/>
        <w:t xml:space="preserve">CNMR Maladies </w:t>
      </w:r>
      <w:proofErr w:type="spellStart"/>
      <w:r w:rsidRPr="00075E2C">
        <w:t>Cardiaques</w:t>
      </w:r>
      <w:proofErr w:type="spellEnd"/>
      <w:r w:rsidRPr="00075E2C">
        <w:t xml:space="preserve"> </w:t>
      </w:r>
      <w:proofErr w:type="spellStart"/>
      <w:r w:rsidRPr="00075E2C">
        <w:t>Héréditaires</w:t>
      </w:r>
      <w:proofErr w:type="spellEnd"/>
      <w:r w:rsidRPr="00075E2C">
        <w:t xml:space="preserve"> </w:t>
      </w:r>
      <w:proofErr w:type="spellStart"/>
      <w:r w:rsidRPr="00075E2C">
        <w:t>Rares</w:t>
      </w:r>
      <w:proofErr w:type="spellEnd"/>
      <w:r w:rsidRPr="00075E2C">
        <w:t xml:space="preserve">, </w:t>
      </w:r>
      <w:proofErr w:type="spellStart"/>
      <w:r w:rsidRPr="00075E2C">
        <w:t>Hôpital</w:t>
      </w:r>
      <w:proofErr w:type="spellEnd"/>
      <w:r w:rsidRPr="00075E2C">
        <w:t xml:space="preserve"> Bichat, </w:t>
      </w:r>
      <w:proofErr w:type="spellStart"/>
      <w:r w:rsidRPr="00075E2C">
        <w:t>Université</w:t>
      </w:r>
      <w:proofErr w:type="spellEnd"/>
      <w:r w:rsidRPr="00075E2C">
        <w:t xml:space="preserve"> de Paris, F-75018, Paris, France</w:t>
      </w:r>
    </w:p>
    <w:p w14:paraId="1BE76C04" w14:textId="77777777" w:rsidR="00075E2C" w:rsidRPr="00075E2C" w:rsidRDefault="00075E2C" w:rsidP="00075E2C">
      <w:pPr>
        <w:pStyle w:val="NoSpacing"/>
      </w:pPr>
      <w:r w:rsidRPr="00075E2C">
        <w:t>ag</w:t>
      </w:r>
      <w:r w:rsidRPr="00075E2C">
        <w:tab/>
        <w:t xml:space="preserve">AP-HP, Service de </w:t>
      </w:r>
      <w:proofErr w:type="spellStart"/>
      <w:r w:rsidRPr="00075E2C">
        <w:t>Cardiologie</w:t>
      </w:r>
      <w:proofErr w:type="spellEnd"/>
      <w:r w:rsidRPr="00075E2C">
        <w:t xml:space="preserve">, </w:t>
      </w:r>
      <w:proofErr w:type="spellStart"/>
      <w:r w:rsidRPr="00075E2C">
        <w:t>Hôpital</w:t>
      </w:r>
      <w:proofErr w:type="spellEnd"/>
      <w:r w:rsidRPr="00075E2C">
        <w:t xml:space="preserve"> Bichat, F-75018, Paris, France</w:t>
      </w:r>
    </w:p>
    <w:p w14:paraId="18278E8D" w14:textId="77777777" w:rsidR="00075E2C" w:rsidRPr="00075E2C" w:rsidRDefault="00075E2C" w:rsidP="00075E2C">
      <w:pPr>
        <w:pStyle w:val="NoSpacing"/>
      </w:pPr>
      <w:r w:rsidRPr="00075E2C">
        <w:t>ah</w:t>
      </w:r>
      <w:r w:rsidRPr="00075E2C">
        <w:tab/>
        <w:t xml:space="preserve">Institute for Genetics of Heart Diseases, University Hospital </w:t>
      </w:r>
      <w:proofErr w:type="spellStart"/>
      <w:r w:rsidRPr="00075E2C">
        <w:t>Münster</w:t>
      </w:r>
      <w:proofErr w:type="spellEnd"/>
      <w:r w:rsidRPr="00075E2C">
        <w:t>, Germany</w:t>
      </w:r>
    </w:p>
    <w:p w14:paraId="40947A6F" w14:textId="77777777" w:rsidR="00075E2C" w:rsidRPr="00075E2C" w:rsidRDefault="00075E2C" w:rsidP="00075E2C">
      <w:pPr>
        <w:pStyle w:val="NoSpacing"/>
      </w:pPr>
      <w:proofErr w:type="spellStart"/>
      <w:r w:rsidRPr="00075E2C">
        <w:t>ai</w:t>
      </w:r>
      <w:proofErr w:type="spellEnd"/>
      <w:r w:rsidRPr="00075E2C">
        <w:tab/>
        <w:t xml:space="preserve">Cardiac Arrhythmia Service and Cardiovascular Research </w:t>
      </w:r>
      <w:proofErr w:type="spellStart"/>
      <w:r w:rsidRPr="00075E2C">
        <w:t>Center</w:t>
      </w:r>
      <w:proofErr w:type="spellEnd"/>
      <w:r w:rsidRPr="00075E2C">
        <w:t>, Massachusetts General Hospital, Boston, MA, USA</w:t>
      </w:r>
    </w:p>
    <w:p w14:paraId="1B29CB8B" w14:textId="77777777" w:rsidR="00075E2C" w:rsidRPr="00075E2C" w:rsidRDefault="00075E2C" w:rsidP="00075E2C">
      <w:pPr>
        <w:pStyle w:val="NoSpacing"/>
      </w:pPr>
      <w:proofErr w:type="spellStart"/>
      <w:r w:rsidRPr="00075E2C">
        <w:t>aj</w:t>
      </w:r>
      <w:proofErr w:type="spellEnd"/>
      <w:r w:rsidRPr="00075E2C">
        <w:tab/>
        <w:t>Cardiovascular Disease Initiative, Broad Institute of Harvard and Massachusetts Institute of Technology, Cambridge, MA, USA</w:t>
      </w:r>
    </w:p>
    <w:p w14:paraId="2D725775" w14:textId="77777777" w:rsidR="00075E2C" w:rsidRPr="00075E2C" w:rsidRDefault="00075E2C" w:rsidP="00075E2C">
      <w:pPr>
        <w:pStyle w:val="NoSpacing"/>
      </w:pPr>
      <w:proofErr w:type="spellStart"/>
      <w:r w:rsidRPr="00075E2C">
        <w:t>ak</w:t>
      </w:r>
      <w:proofErr w:type="spellEnd"/>
      <w:r w:rsidRPr="00075E2C">
        <w:tab/>
        <w:t xml:space="preserve">Cardiogenetic Laboratory, Inherited Cardiac Disease Unit, University Hospital Virgen de la </w:t>
      </w:r>
      <w:proofErr w:type="spellStart"/>
      <w:r w:rsidRPr="00075E2C">
        <w:t>Arrixaca</w:t>
      </w:r>
      <w:proofErr w:type="spellEnd"/>
      <w:r w:rsidRPr="00075E2C">
        <w:t>-IMIB, Murcia, Spain</w:t>
      </w:r>
    </w:p>
    <w:p w14:paraId="1691F3AE" w14:textId="77777777" w:rsidR="00075E2C" w:rsidRPr="00075E2C" w:rsidRDefault="00075E2C" w:rsidP="00075E2C">
      <w:pPr>
        <w:pStyle w:val="NoSpacing"/>
      </w:pPr>
      <w:r w:rsidRPr="00075E2C">
        <w:t>al</w:t>
      </w:r>
      <w:r w:rsidRPr="00075E2C">
        <w:tab/>
        <w:t>Division of Cardiology, University of Torino, Department of Medical Sciences, “</w:t>
      </w:r>
      <w:proofErr w:type="spellStart"/>
      <w:r w:rsidRPr="00075E2C">
        <w:t>Città</w:t>
      </w:r>
      <w:proofErr w:type="spellEnd"/>
      <w:r w:rsidRPr="00075E2C">
        <w:t xml:space="preserve"> </w:t>
      </w:r>
      <w:proofErr w:type="spellStart"/>
      <w:r w:rsidRPr="00075E2C">
        <w:t>della</w:t>
      </w:r>
      <w:proofErr w:type="spellEnd"/>
      <w:r w:rsidRPr="00075E2C">
        <w:t xml:space="preserve"> Salute e </w:t>
      </w:r>
      <w:proofErr w:type="spellStart"/>
      <w:r w:rsidRPr="00075E2C">
        <w:t>della</w:t>
      </w:r>
      <w:proofErr w:type="spellEnd"/>
      <w:r w:rsidRPr="00075E2C">
        <w:t xml:space="preserve"> </w:t>
      </w:r>
      <w:proofErr w:type="spellStart"/>
      <w:r w:rsidRPr="00075E2C">
        <w:t>Scienza</w:t>
      </w:r>
      <w:proofErr w:type="spellEnd"/>
      <w:r w:rsidRPr="00075E2C">
        <w:t xml:space="preserve">” Hospital, C.so A.M. </w:t>
      </w:r>
      <w:proofErr w:type="spellStart"/>
      <w:r w:rsidRPr="00075E2C">
        <w:t>Dogliotti</w:t>
      </w:r>
      <w:proofErr w:type="spellEnd"/>
      <w:r w:rsidRPr="00075E2C">
        <w:t xml:space="preserve"> 14, 10126 Torino, Italy</w:t>
      </w:r>
    </w:p>
    <w:p w14:paraId="783E1B52" w14:textId="77777777" w:rsidR="00075E2C" w:rsidRPr="00075E2C" w:rsidRDefault="00075E2C" w:rsidP="00075E2C">
      <w:pPr>
        <w:pStyle w:val="NoSpacing"/>
      </w:pPr>
      <w:r w:rsidRPr="00075E2C">
        <w:t>am</w:t>
      </w:r>
      <w:r w:rsidRPr="00075E2C">
        <w:tab/>
        <w:t xml:space="preserve">Department of </w:t>
      </w:r>
      <w:proofErr w:type="spellStart"/>
      <w:r w:rsidRPr="00075E2C">
        <w:t>Pediatrics</w:t>
      </w:r>
      <w:proofErr w:type="spellEnd"/>
      <w:r w:rsidRPr="00075E2C">
        <w:t>, Kagoshima City Hospital, Kagoshima, Japan</w:t>
      </w:r>
    </w:p>
    <w:p w14:paraId="01AB1313" w14:textId="77777777" w:rsidR="00075E2C" w:rsidRPr="00075E2C" w:rsidRDefault="00075E2C" w:rsidP="00075E2C">
      <w:pPr>
        <w:pStyle w:val="NoSpacing"/>
      </w:pPr>
      <w:r w:rsidRPr="00075E2C">
        <w:t>an</w:t>
      </w:r>
      <w:r w:rsidRPr="00075E2C">
        <w:tab/>
      </w:r>
      <w:proofErr w:type="spellStart"/>
      <w:r w:rsidRPr="00075E2C">
        <w:t>Center</w:t>
      </w:r>
      <w:proofErr w:type="spellEnd"/>
      <w:r w:rsidRPr="00075E2C">
        <w:t xml:space="preserve"> for Epidemiologic Research in Asia, Shiga University of Medical Science, Seta-</w:t>
      </w:r>
      <w:proofErr w:type="spellStart"/>
      <w:r w:rsidRPr="00075E2C">
        <w:t>Tsukinowa</w:t>
      </w:r>
      <w:proofErr w:type="spellEnd"/>
      <w:r w:rsidRPr="00075E2C">
        <w:t>-</w:t>
      </w:r>
      <w:proofErr w:type="spellStart"/>
      <w:r w:rsidRPr="00075E2C">
        <w:t>cho</w:t>
      </w:r>
      <w:proofErr w:type="spellEnd"/>
      <w:r w:rsidRPr="00075E2C">
        <w:t>, Otsu, Japan</w:t>
      </w:r>
    </w:p>
    <w:p w14:paraId="1B07842A" w14:textId="77777777" w:rsidR="00075E2C" w:rsidRPr="00075E2C" w:rsidRDefault="00075E2C" w:rsidP="00075E2C">
      <w:pPr>
        <w:pStyle w:val="NoSpacing"/>
      </w:pPr>
      <w:proofErr w:type="spellStart"/>
      <w:r w:rsidRPr="00075E2C">
        <w:t>ao</w:t>
      </w:r>
      <w:proofErr w:type="spellEnd"/>
      <w:r w:rsidRPr="00075E2C">
        <w:tab/>
        <w:t xml:space="preserve">Omics Research </w:t>
      </w:r>
      <w:proofErr w:type="spellStart"/>
      <w:r w:rsidRPr="00075E2C">
        <w:t>Center</w:t>
      </w:r>
      <w:proofErr w:type="spellEnd"/>
      <w:r w:rsidRPr="00075E2C">
        <w:t xml:space="preserve">, National Cerebral and Cardiovascular </w:t>
      </w:r>
      <w:proofErr w:type="spellStart"/>
      <w:r w:rsidRPr="00075E2C">
        <w:t>Center</w:t>
      </w:r>
      <w:proofErr w:type="spellEnd"/>
      <w:r w:rsidRPr="00075E2C">
        <w:t xml:space="preserve">, 6-1 </w:t>
      </w:r>
      <w:proofErr w:type="spellStart"/>
      <w:r w:rsidRPr="00075E2C">
        <w:t>Kishibe-Shimmachi</w:t>
      </w:r>
      <w:proofErr w:type="spellEnd"/>
      <w:r w:rsidRPr="00075E2C">
        <w:t>, Suita, Osaka, 564-8565, Japan</w:t>
      </w:r>
    </w:p>
    <w:p w14:paraId="0A6604F2" w14:textId="77777777" w:rsidR="00075E2C" w:rsidRPr="00075E2C" w:rsidRDefault="00075E2C" w:rsidP="00075E2C">
      <w:pPr>
        <w:pStyle w:val="NoSpacing"/>
      </w:pPr>
      <w:proofErr w:type="spellStart"/>
      <w:r w:rsidRPr="00075E2C">
        <w:t>ap</w:t>
      </w:r>
      <w:proofErr w:type="spellEnd"/>
      <w:r w:rsidRPr="00075E2C">
        <w:tab/>
        <w:t>Division of Patient Safety, Hiroshima University Hospital 1-2-3 Kasumi, Minami-</w:t>
      </w:r>
      <w:proofErr w:type="spellStart"/>
      <w:r w:rsidRPr="00075E2C">
        <w:t>ku</w:t>
      </w:r>
      <w:proofErr w:type="spellEnd"/>
      <w:r w:rsidRPr="00075E2C">
        <w:t>, Hiroshima, Japan</w:t>
      </w:r>
    </w:p>
    <w:p w14:paraId="06D87F8D" w14:textId="77777777" w:rsidR="00075E2C" w:rsidRPr="00075E2C" w:rsidRDefault="00075E2C" w:rsidP="00075E2C">
      <w:pPr>
        <w:pStyle w:val="NoSpacing"/>
      </w:pPr>
      <w:proofErr w:type="spellStart"/>
      <w:r w:rsidRPr="00075E2C">
        <w:t>aq</w:t>
      </w:r>
      <w:proofErr w:type="spellEnd"/>
      <w:r w:rsidRPr="00075E2C">
        <w:tab/>
        <w:t>Department of Cardiovascular Medicine, Gunma University Graduate School of Medicine, Maebashi, Gunma, Japan</w:t>
      </w:r>
    </w:p>
    <w:p w14:paraId="3AA1EA36" w14:textId="77777777" w:rsidR="00075E2C" w:rsidRPr="00075E2C" w:rsidRDefault="00075E2C" w:rsidP="00075E2C">
      <w:pPr>
        <w:pStyle w:val="NoSpacing"/>
      </w:pPr>
      <w:proofErr w:type="spellStart"/>
      <w:r w:rsidRPr="00075E2C">
        <w:t>ar</w:t>
      </w:r>
      <w:proofErr w:type="spellEnd"/>
      <w:r w:rsidRPr="00075E2C">
        <w:tab/>
        <w:t>Laboratory of Experimental Cardiology, Department of Biomedical Sciences, University of Copenhagen, Copenhagen, Denmark</w:t>
      </w:r>
    </w:p>
    <w:p w14:paraId="70A2F6FA" w14:textId="77777777" w:rsidR="00075E2C" w:rsidRPr="00075E2C" w:rsidRDefault="00075E2C" w:rsidP="00075E2C">
      <w:pPr>
        <w:pStyle w:val="NoSpacing"/>
      </w:pPr>
      <w:r w:rsidRPr="00075E2C">
        <w:t>as</w:t>
      </w:r>
      <w:r w:rsidRPr="00075E2C">
        <w:tab/>
        <w:t>Department of Molecular Physiology, Nagasaki University Graduate School of Biomedical Sciences, 1-12-4, Sakamoto, Nagasaki, 852-8523, Japan</w:t>
      </w:r>
    </w:p>
    <w:p w14:paraId="36E9BB19" w14:textId="77777777" w:rsidR="00075E2C" w:rsidRPr="00075E2C" w:rsidRDefault="00075E2C" w:rsidP="00075E2C">
      <w:pPr>
        <w:pStyle w:val="NoSpacing"/>
      </w:pPr>
      <w:r w:rsidRPr="00075E2C">
        <w:t>at</w:t>
      </w:r>
      <w:r w:rsidRPr="00075E2C">
        <w:tab/>
        <w:t xml:space="preserve">Department of Clinical Genetics, Maastricht University Medical </w:t>
      </w:r>
      <w:proofErr w:type="spellStart"/>
      <w:r w:rsidRPr="00075E2C">
        <w:t>Center</w:t>
      </w:r>
      <w:proofErr w:type="spellEnd"/>
      <w:r w:rsidRPr="00075E2C">
        <w:t>+, P.O. Box 5800, 6202 AZ Maastricht, The Netherlands</w:t>
      </w:r>
    </w:p>
    <w:p w14:paraId="3FBB85AC" w14:textId="77777777" w:rsidR="00075E2C" w:rsidRPr="00075E2C" w:rsidRDefault="00075E2C" w:rsidP="00075E2C">
      <w:pPr>
        <w:pStyle w:val="NoSpacing"/>
      </w:pPr>
      <w:r w:rsidRPr="00075E2C">
        <w:t>au</w:t>
      </w:r>
      <w:r w:rsidRPr="00075E2C">
        <w:tab/>
        <w:t xml:space="preserve">Department of Medicine and Robarts Research Institute, </w:t>
      </w:r>
      <w:proofErr w:type="spellStart"/>
      <w:r w:rsidRPr="00075E2C">
        <w:t>Schulich</w:t>
      </w:r>
      <w:proofErr w:type="spellEnd"/>
      <w:r w:rsidRPr="00075E2C">
        <w:t xml:space="preserve"> School of Medicine and Dentistry, Western University, London, Ontario, Canada</w:t>
      </w:r>
    </w:p>
    <w:p w14:paraId="1803FE4A" w14:textId="77777777" w:rsidR="00075E2C" w:rsidRPr="00075E2C" w:rsidRDefault="00075E2C" w:rsidP="00075E2C">
      <w:pPr>
        <w:pStyle w:val="NoSpacing"/>
      </w:pPr>
      <w:proofErr w:type="spellStart"/>
      <w:r w:rsidRPr="00075E2C">
        <w:t>av</w:t>
      </w:r>
      <w:proofErr w:type="spellEnd"/>
      <w:r w:rsidRPr="00075E2C">
        <w:tab/>
      </w:r>
      <w:proofErr w:type="spellStart"/>
      <w:r w:rsidRPr="00075E2C">
        <w:t>Center</w:t>
      </w:r>
      <w:proofErr w:type="spellEnd"/>
      <w:r w:rsidRPr="00075E2C">
        <w:t xml:space="preserve"> of Medical Genetics, Faculty of Medicine and Health Sciences, University of Antwerp and Antwerp University Hospital, Antwerp, Belgium</w:t>
      </w:r>
    </w:p>
    <w:p w14:paraId="6C3F1873" w14:textId="77777777" w:rsidR="00075E2C" w:rsidRPr="00075E2C" w:rsidRDefault="00075E2C" w:rsidP="00075E2C">
      <w:pPr>
        <w:pStyle w:val="NoSpacing"/>
      </w:pPr>
      <w:r w:rsidRPr="00075E2C">
        <w:t>aw</w:t>
      </w:r>
      <w:r w:rsidRPr="00075E2C">
        <w:tab/>
        <w:t>Department of Clinical Genetics and Pathology, Lund University, Lund, Sweden</w:t>
      </w:r>
    </w:p>
    <w:p w14:paraId="4B99DD20" w14:textId="77777777" w:rsidR="00075E2C" w:rsidRPr="00075E2C" w:rsidRDefault="00075E2C" w:rsidP="00075E2C">
      <w:pPr>
        <w:pStyle w:val="NoSpacing"/>
      </w:pPr>
      <w:proofErr w:type="spellStart"/>
      <w:r w:rsidRPr="00075E2C">
        <w:t>ax</w:t>
      </w:r>
      <w:proofErr w:type="spellEnd"/>
      <w:r w:rsidRPr="00075E2C">
        <w:tab/>
        <w:t xml:space="preserve">Department of Cardiovascular Medicine, Kyoto University Graduate School of Medicine, 54 </w:t>
      </w:r>
      <w:proofErr w:type="spellStart"/>
      <w:r w:rsidRPr="00075E2C">
        <w:t>Shogoin</w:t>
      </w:r>
      <w:proofErr w:type="spellEnd"/>
      <w:r w:rsidRPr="00075E2C">
        <w:t>-Kawahara-</w:t>
      </w:r>
      <w:proofErr w:type="spellStart"/>
      <w:r w:rsidRPr="00075E2C">
        <w:t>cho</w:t>
      </w:r>
      <w:proofErr w:type="spellEnd"/>
      <w:r w:rsidRPr="00075E2C">
        <w:t>, Sakyo-</w:t>
      </w:r>
      <w:proofErr w:type="spellStart"/>
      <w:r w:rsidRPr="00075E2C">
        <w:t>ku</w:t>
      </w:r>
      <w:proofErr w:type="spellEnd"/>
      <w:r w:rsidRPr="00075E2C">
        <w:t>, Kyoto, Japan</w:t>
      </w:r>
    </w:p>
    <w:p w14:paraId="68C4FD73" w14:textId="77777777" w:rsidR="00075E2C" w:rsidRPr="00075E2C" w:rsidRDefault="00075E2C" w:rsidP="00075E2C">
      <w:pPr>
        <w:pStyle w:val="NoSpacing"/>
      </w:pPr>
      <w:r w:rsidRPr="00075E2C">
        <w:t>ay</w:t>
      </w:r>
      <w:r w:rsidRPr="00075E2C">
        <w:tab/>
        <w:t xml:space="preserve">CHU Brest, Service de </w:t>
      </w:r>
      <w:proofErr w:type="spellStart"/>
      <w:r w:rsidRPr="00075E2C">
        <w:t>Cardiologie</w:t>
      </w:r>
      <w:proofErr w:type="spellEnd"/>
      <w:r w:rsidRPr="00075E2C">
        <w:t>, Brest, France</w:t>
      </w:r>
    </w:p>
    <w:p w14:paraId="683C0309" w14:textId="77777777" w:rsidR="00075E2C" w:rsidRPr="00075E2C" w:rsidRDefault="00075E2C" w:rsidP="00075E2C">
      <w:pPr>
        <w:pStyle w:val="NoSpacing"/>
      </w:pPr>
      <w:proofErr w:type="spellStart"/>
      <w:r w:rsidRPr="00075E2C">
        <w:t>az</w:t>
      </w:r>
      <w:proofErr w:type="spellEnd"/>
      <w:r w:rsidRPr="00075E2C">
        <w:tab/>
      </w:r>
      <w:proofErr w:type="spellStart"/>
      <w:r w:rsidRPr="00075E2C">
        <w:t>Univ</w:t>
      </w:r>
      <w:proofErr w:type="spellEnd"/>
      <w:r w:rsidRPr="00075E2C">
        <w:t xml:space="preserve"> Rennes, CHU Rennes, INSERM, Rennes, France</w:t>
      </w:r>
    </w:p>
    <w:p w14:paraId="614D5D70" w14:textId="77777777" w:rsidR="00075E2C" w:rsidRPr="00075E2C" w:rsidRDefault="00075E2C" w:rsidP="00075E2C">
      <w:pPr>
        <w:pStyle w:val="NoSpacing"/>
      </w:pPr>
      <w:proofErr w:type="spellStart"/>
      <w:r w:rsidRPr="00075E2C">
        <w:t>ba</w:t>
      </w:r>
      <w:proofErr w:type="spellEnd"/>
      <w:r w:rsidRPr="00075E2C">
        <w:tab/>
        <w:t>Molecular Cardiology, ICS Maugeri, IRCCS and Department of Molecular Medicine, University of Pavia, Pavia, Italy</w:t>
      </w:r>
    </w:p>
    <w:p w14:paraId="7006847A" w14:textId="77777777" w:rsidR="00075E2C" w:rsidRPr="00075E2C" w:rsidRDefault="00075E2C" w:rsidP="00075E2C">
      <w:pPr>
        <w:pStyle w:val="NoSpacing"/>
      </w:pPr>
      <w:r w:rsidRPr="00075E2C">
        <w:t>bb</w:t>
      </w:r>
      <w:r w:rsidRPr="00075E2C">
        <w:tab/>
        <w:t xml:space="preserve">Centre for Cardiovascular Genetics, Department of Public Health and Clinical Medicine, </w:t>
      </w:r>
      <w:proofErr w:type="spellStart"/>
      <w:r w:rsidRPr="00075E2C">
        <w:t>Umeå</w:t>
      </w:r>
      <w:proofErr w:type="spellEnd"/>
      <w:r w:rsidRPr="00075E2C">
        <w:t xml:space="preserve"> University, 901 85 </w:t>
      </w:r>
      <w:proofErr w:type="spellStart"/>
      <w:r w:rsidRPr="00075E2C">
        <w:t>Umeå</w:t>
      </w:r>
      <w:proofErr w:type="spellEnd"/>
      <w:r w:rsidRPr="00075E2C">
        <w:t>, Sweden</w:t>
      </w:r>
    </w:p>
    <w:p w14:paraId="451520A6" w14:textId="77777777" w:rsidR="00075E2C" w:rsidRPr="00075E2C" w:rsidRDefault="00075E2C" w:rsidP="00075E2C">
      <w:pPr>
        <w:pStyle w:val="NoSpacing"/>
      </w:pPr>
      <w:proofErr w:type="spellStart"/>
      <w:r w:rsidRPr="00075E2C">
        <w:t>bc</w:t>
      </w:r>
      <w:proofErr w:type="spellEnd"/>
      <w:r w:rsidRPr="00075E2C">
        <w:tab/>
        <w:t>Department of Cardiovascular Medicine, Nihon University, Tokyo, Japan</w:t>
      </w:r>
    </w:p>
    <w:p w14:paraId="56926289" w14:textId="77777777" w:rsidR="00075E2C" w:rsidRPr="00075E2C" w:rsidRDefault="00075E2C" w:rsidP="00075E2C">
      <w:pPr>
        <w:pStyle w:val="NoSpacing"/>
      </w:pPr>
      <w:proofErr w:type="spellStart"/>
      <w:r w:rsidRPr="00075E2C">
        <w:t>bd</w:t>
      </w:r>
      <w:proofErr w:type="spellEnd"/>
      <w:r w:rsidRPr="00075E2C">
        <w:tab/>
        <w:t>Molecular and Clinical Sciences Research Institute, St. George’s, University of London, London, United Kingdom</w:t>
      </w:r>
    </w:p>
    <w:p w14:paraId="48DB00A1" w14:textId="77777777" w:rsidR="00075E2C" w:rsidRPr="00075E2C" w:rsidRDefault="00075E2C" w:rsidP="00075E2C">
      <w:pPr>
        <w:pStyle w:val="NoSpacing"/>
      </w:pPr>
      <w:r w:rsidRPr="00075E2C">
        <w:t>be</w:t>
      </w:r>
      <w:r w:rsidRPr="00075E2C">
        <w:tab/>
        <w:t>Cardiology Clinical Academic Group, St. George’s University Hospitals’ NHS Foundation Trust, London, United Kingdom</w:t>
      </w:r>
    </w:p>
    <w:p w14:paraId="14B3F8AF" w14:textId="77777777" w:rsidR="00075E2C" w:rsidRPr="00075E2C" w:rsidRDefault="00075E2C" w:rsidP="00075E2C">
      <w:pPr>
        <w:pStyle w:val="NoSpacing"/>
      </w:pPr>
      <w:r w:rsidRPr="00075E2C">
        <w:t>bf</w:t>
      </w:r>
      <w:r w:rsidRPr="00075E2C">
        <w:tab/>
        <w:t xml:space="preserve">Department of Medicine, University Medical </w:t>
      </w:r>
      <w:proofErr w:type="spellStart"/>
      <w:r w:rsidRPr="00075E2C">
        <w:t>Center</w:t>
      </w:r>
      <w:proofErr w:type="spellEnd"/>
      <w:r w:rsidRPr="00075E2C">
        <w:t xml:space="preserve"> Mannheim, Mannheim, Germany</w:t>
      </w:r>
    </w:p>
    <w:p w14:paraId="5757FD08" w14:textId="77777777" w:rsidR="00075E2C" w:rsidRPr="00075E2C" w:rsidRDefault="00075E2C" w:rsidP="00075E2C">
      <w:pPr>
        <w:pStyle w:val="NoSpacing"/>
      </w:pPr>
      <w:proofErr w:type="spellStart"/>
      <w:r w:rsidRPr="00075E2C">
        <w:t>bg</w:t>
      </w:r>
      <w:proofErr w:type="spellEnd"/>
      <w:r w:rsidRPr="00075E2C">
        <w:tab/>
        <w:t xml:space="preserve">German </w:t>
      </w:r>
      <w:proofErr w:type="spellStart"/>
      <w:r w:rsidRPr="00075E2C">
        <w:t>Center</w:t>
      </w:r>
      <w:proofErr w:type="spellEnd"/>
      <w:r w:rsidRPr="00075E2C">
        <w:t xml:space="preserve"> for Cardiovascular Research (DZHK), Partner Site Heidelberg/Mannheim, Germany</w:t>
      </w:r>
    </w:p>
    <w:p w14:paraId="6593033B" w14:textId="77777777" w:rsidR="00075E2C" w:rsidRPr="00075E2C" w:rsidRDefault="00075E2C" w:rsidP="00075E2C">
      <w:pPr>
        <w:pStyle w:val="NoSpacing"/>
      </w:pPr>
      <w:proofErr w:type="spellStart"/>
      <w:r w:rsidRPr="00075E2C">
        <w:lastRenderedPageBreak/>
        <w:t>bh</w:t>
      </w:r>
      <w:proofErr w:type="spellEnd"/>
      <w:r w:rsidRPr="00075E2C">
        <w:tab/>
      </w:r>
      <w:proofErr w:type="spellStart"/>
      <w:r w:rsidRPr="00075E2C">
        <w:t>Hôpital</w:t>
      </w:r>
      <w:proofErr w:type="spellEnd"/>
      <w:r w:rsidRPr="00075E2C">
        <w:t xml:space="preserve"> </w:t>
      </w:r>
      <w:proofErr w:type="spellStart"/>
      <w:r w:rsidRPr="00075E2C">
        <w:t>Cardiologique</w:t>
      </w:r>
      <w:proofErr w:type="spellEnd"/>
      <w:r w:rsidRPr="00075E2C">
        <w:t xml:space="preserve"> du Haut-</w:t>
      </w:r>
      <w:proofErr w:type="spellStart"/>
      <w:r w:rsidRPr="00075E2C">
        <w:t>Lévêque</w:t>
      </w:r>
      <w:proofErr w:type="spellEnd"/>
      <w:r w:rsidRPr="00075E2C">
        <w:t xml:space="preserve">, LIRYC Institute, </w:t>
      </w:r>
      <w:proofErr w:type="spellStart"/>
      <w:r w:rsidRPr="00075E2C">
        <w:t>Université</w:t>
      </w:r>
      <w:proofErr w:type="spellEnd"/>
      <w:r w:rsidRPr="00075E2C">
        <w:t xml:space="preserve"> Bordeaux, Bordeaux, France</w:t>
      </w:r>
    </w:p>
    <w:p w14:paraId="53EFDAC7" w14:textId="77777777" w:rsidR="00075E2C" w:rsidRPr="00075E2C" w:rsidRDefault="00075E2C" w:rsidP="00075E2C">
      <w:pPr>
        <w:pStyle w:val="NoSpacing"/>
      </w:pPr>
      <w:r w:rsidRPr="00075E2C">
        <w:t>bi</w:t>
      </w:r>
      <w:r w:rsidRPr="00075E2C">
        <w:tab/>
        <w:t xml:space="preserve">Arrhythmias Unit, Hospital </w:t>
      </w:r>
      <w:proofErr w:type="spellStart"/>
      <w:r w:rsidRPr="00075E2C">
        <w:t>Sant</w:t>
      </w:r>
      <w:proofErr w:type="spellEnd"/>
      <w:r w:rsidRPr="00075E2C">
        <w:t xml:space="preserve"> Joan de </w:t>
      </w:r>
      <w:proofErr w:type="spellStart"/>
      <w:r w:rsidRPr="00075E2C">
        <w:t>Déu</w:t>
      </w:r>
      <w:proofErr w:type="spellEnd"/>
      <w:r w:rsidRPr="00075E2C">
        <w:t>, University of Barcelona, Barcelona, Spain</w:t>
      </w:r>
    </w:p>
    <w:p w14:paraId="33A8F729" w14:textId="77777777" w:rsidR="00075E2C" w:rsidRPr="00075E2C" w:rsidRDefault="00075E2C" w:rsidP="00075E2C">
      <w:pPr>
        <w:pStyle w:val="NoSpacing"/>
      </w:pPr>
      <w:proofErr w:type="spellStart"/>
      <w:r w:rsidRPr="00075E2C">
        <w:t>bj</w:t>
      </w:r>
      <w:proofErr w:type="spellEnd"/>
      <w:r w:rsidRPr="00075E2C">
        <w:tab/>
        <w:t xml:space="preserve">Medical Genetics, San Luigi </w:t>
      </w:r>
      <w:proofErr w:type="spellStart"/>
      <w:r w:rsidRPr="00075E2C">
        <w:t>Univesity</w:t>
      </w:r>
      <w:proofErr w:type="spellEnd"/>
      <w:r w:rsidRPr="00075E2C">
        <w:t xml:space="preserve"> Hospital, </w:t>
      </w:r>
      <w:proofErr w:type="spellStart"/>
      <w:r w:rsidRPr="00075E2C">
        <w:t>regione</w:t>
      </w:r>
      <w:proofErr w:type="spellEnd"/>
      <w:r w:rsidRPr="00075E2C">
        <w:t xml:space="preserve"> </w:t>
      </w:r>
      <w:proofErr w:type="spellStart"/>
      <w:r w:rsidRPr="00075E2C">
        <w:t>Gonzole</w:t>
      </w:r>
      <w:proofErr w:type="spellEnd"/>
      <w:r w:rsidRPr="00075E2C">
        <w:t xml:space="preserve"> 10, 10043 </w:t>
      </w:r>
      <w:proofErr w:type="spellStart"/>
      <w:r w:rsidRPr="00075E2C">
        <w:t>Orbassano</w:t>
      </w:r>
      <w:proofErr w:type="spellEnd"/>
      <w:r w:rsidRPr="00075E2C">
        <w:t xml:space="preserve"> (TO), Italy</w:t>
      </w:r>
    </w:p>
    <w:p w14:paraId="741EA4D3" w14:textId="77777777" w:rsidR="00075E2C" w:rsidRPr="00075E2C" w:rsidRDefault="00075E2C" w:rsidP="00075E2C">
      <w:pPr>
        <w:pStyle w:val="NoSpacing"/>
      </w:pPr>
      <w:proofErr w:type="spellStart"/>
      <w:r w:rsidRPr="00075E2C">
        <w:t>bk</w:t>
      </w:r>
      <w:proofErr w:type="spellEnd"/>
      <w:r w:rsidRPr="00075E2C">
        <w:tab/>
        <w:t xml:space="preserve">Department of Cardiovascular Medicine, National Cerebral and Cardiovascular </w:t>
      </w:r>
      <w:proofErr w:type="spellStart"/>
      <w:r w:rsidRPr="00075E2C">
        <w:t>Center</w:t>
      </w:r>
      <w:proofErr w:type="spellEnd"/>
      <w:r w:rsidRPr="00075E2C">
        <w:t xml:space="preserve">, 6-1 </w:t>
      </w:r>
      <w:proofErr w:type="spellStart"/>
      <w:r w:rsidRPr="00075E2C">
        <w:t>Kishibe-shimmachi</w:t>
      </w:r>
      <w:proofErr w:type="spellEnd"/>
      <w:r w:rsidRPr="00075E2C">
        <w:t>, Suita, 564-8565, Japan</w:t>
      </w:r>
    </w:p>
    <w:p w14:paraId="56A6370D" w14:textId="77777777" w:rsidR="00075E2C" w:rsidRPr="00075E2C" w:rsidRDefault="00075E2C" w:rsidP="00075E2C">
      <w:pPr>
        <w:pStyle w:val="NoSpacing"/>
      </w:pPr>
      <w:proofErr w:type="spellStart"/>
      <w:r w:rsidRPr="00075E2C">
        <w:t>bl</w:t>
      </w:r>
      <w:proofErr w:type="spellEnd"/>
      <w:r w:rsidRPr="00075E2C">
        <w:tab/>
        <w:t xml:space="preserve">Department of Medicine, Vanderbilt University Medical </w:t>
      </w:r>
      <w:proofErr w:type="spellStart"/>
      <w:r w:rsidRPr="00075E2C">
        <w:t>Center</w:t>
      </w:r>
      <w:proofErr w:type="spellEnd"/>
      <w:r w:rsidRPr="00075E2C">
        <w:t>, Nashville, TN, USA</w:t>
      </w:r>
    </w:p>
    <w:p w14:paraId="419AC610" w14:textId="77777777" w:rsidR="00075E2C" w:rsidRPr="00075E2C" w:rsidRDefault="00075E2C" w:rsidP="00075E2C">
      <w:pPr>
        <w:pStyle w:val="NoSpacing"/>
      </w:pPr>
      <w:proofErr w:type="spellStart"/>
      <w:r w:rsidRPr="00075E2C">
        <w:t>bm</w:t>
      </w:r>
      <w:proofErr w:type="spellEnd"/>
      <w:r w:rsidRPr="00075E2C">
        <w:tab/>
        <w:t xml:space="preserve">Department of Cardiology and Angiology I, Heart </w:t>
      </w:r>
      <w:proofErr w:type="spellStart"/>
      <w:r w:rsidRPr="00075E2C">
        <w:t>Center</w:t>
      </w:r>
      <w:proofErr w:type="spellEnd"/>
      <w:r w:rsidRPr="00075E2C">
        <w:t xml:space="preserve"> University of Freiburg, Medical Faculty, Freiburg, Germany</w:t>
      </w:r>
    </w:p>
    <w:p w14:paraId="69AD3392" w14:textId="77777777" w:rsidR="00075E2C" w:rsidRPr="00075E2C" w:rsidRDefault="00075E2C" w:rsidP="00075E2C">
      <w:pPr>
        <w:pStyle w:val="NoSpacing"/>
      </w:pPr>
      <w:proofErr w:type="spellStart"/>
      <w:r w:rsidRPr="00075E2C">
        <w:t>bn</w:t>
      </w:r>
      <w:proofErr w:type="spellEnd"/>
      <w:r w:rsidRPr="00075E2C">
        <w:tab/>
        <w:t xml:space="preserve">Department of </w:t>
      </w:r>
      <w:proofErr w:type="spellStart"/>
      <w:r w:rsidRPr="00075E2C">
        <w:t>Pediatrics</w:t>
      </w:r>
      <w:proofErr w:type="spellEnd"/>
      <w:r w:rsidRPr="00075E2C">
        <w:t xml:space="preserve">, National Hospital Organization Kagoshima Medical </w:t>
      </w:r>
      <w:proofErr w:type="spellStart"/>
      <w:r w:rsidRPr="00075E2C">
        <w:t>Center</w:t>
      </w:r>
      <w:proofErr w:type="spellEnd"/>
      <w:r w:rsidRPr="00075E2C">
        <w:t>, Kagoshima, Japan</w:t>
      </w:r>
    </w:p>
    <w:p w14:paraId="34A04720" w14:textId="77777777" w:rsidR="00075E2C" w:rsidRPr="00075E2C" w:rsidRDefault="00075E2C" w:rsidP="00075E2C">
      <w:pPr>
        <w:pStyle w:val="NoSpacing"/>
      </w:pPr>
      <w:proofErr w:type="spellStart"/>
      <w:r w:rsidRPr="00075E2C">
        <w:t>bo</w:t>
      </w:r>
      <w:proofErr w:type="spellEnd"/>
      <w:r w:rsidRPr="00075E2C">
        <w:tab/>
        <w:t>Department of Cardiovascular Medicine, Kanazawa University Graduate School of Medical Sciences, 13-1 Takara-</w:t>
      </w:r>
      <w:proofErr w:type="spellStart"/>
      <w:r w:rsidRPr="00075E2C">
        <w:t>machi</w:t>
      </w:r>
      <w:proofErr w:type="spellEnd"/>
      <w:r w:rsidRPr="00075E2C">
        <w:t>, Kanazawa, Japan</w:t>
      </w:r>
    </w:p>
    <w:p w14:paraId="03D55D5C" w14:textId="77777777" w:rsidR="00075E2C" w:rsidRPr="00075E2C" w:rsidRDefault="00075E2C" w:rsidP="00075E2C">
      <w:pPr>
        <w:pStyle w:val="NoSpacing"/>
      </w:pPr>
      <w:proofErr w:type="spellStart"/>
      <w:r w:rsidRPr="00075E2C">
        <w:t>bp</w:t>
      </w:r>
      <w:proofErr w:type="spellEnd"/>
      <w:r w:rsidRPr="00075E2C">
        <w:tab/>
        <w:t xml:space="preserve">University of Groningen, University Medical </w:t>
      </w:r>
      <w:proofErr w:type="spellStart"/>
      <w:r w:rsidRPr="00075E2C">
        <w:t>Center</w:t>
      </w:r>
      <w:proofErr w:type="spellEnd"/>
      <w:r w:rsidRPr="00075E2C">
        <w:t xml:space="preserve"> Groningen, Department of Genetics, Groningen, The Netherlands</w:t>
      </w:r>
    </w:p>
    <w:p w14:paraId="2B6B57E2" w14:textId="77777777" w:rsidR="00075E2C" w:rsidRPr="00075E2C" w:rsidRDefault="00075E2C" w:rsidP="00075E2C">
      <w:pPr>
        <w:pStyle w:val="NoSpacing"/>
      </w:pPr>
      <w:proofErr w:type="spellStart"/>
      <w:r w:rsidRPr="00075E2C">
        <w:t>bq</w:t>
      </w:r>
      <w:proofErr w:type="spellEnd"/>
      <w:r w:rsidRPr="00075E2C">
        <w:tab/>
        <w:t xml:space="preserve">Centre for Medical Genetics, research group Reproduction and Genetics, research cluster Reproduction, Genetics and Regenerative Medicine, </w:t>
      </w:r>
      <w:proofErr w:type="spellStart"/>
      <w:r w:rsidRPr="00075E2C">
        <w:t>Vrije</w:t>
      </w:r>
      <w:proofErr w:type="spellEnd"/>
      <w:r w:rsidRPr="00075E2C">
        <w:t xml:space="preserve"> </w:t>
      </w:r>
      <w:proofErr w:type="spellStart"/>
      <w:r w:rsidRPr="00075E2C">
        <w:t>Universiteit</w:t>
      </w:r>
      <w:proofErr w:type="spellEnd"/>
      <w:r w:rsidRPr="00075E2C">
        <w:t xml:space="preserve"> Brussel (VUB), </w:t>
      </w:r>
      <w:proofErr w:type="spellStart"/>
      <w:r w:rsidRPr="00075E2C">
        <w:t>Universitair</w:t>
      </w:r>
      <w:proofErr w:type="spellEnd"/>
      <w:r w:rsidRPr="00075E2C">
        <w:t xml:space="preserve"> </w:t>
      </w:r>
      <w:proofErr w:type="spellStart"/>
      <w:r w:rsidRPr="00075E2C">
        <w:t>Ziekenhuis</w:t>
      </w:r>
      <w:proofErr w:type="spellEnd"/>
      <w:r w:rsidRPr="00075E2C">
        <w:t xml:space="preserve"> Brussel (UZ Brussel), Brussels, Belgium</w:t>
      </w:r>
    </w:p>
    <w:p w14:paraId="50173B30" w14:textId="77777777" w:rsidR="00075E2C" w:rsidRPr="00075E2C" w:rsidRDefault="00075E2C" w:rsidP="00075E2C">
      <w:pPr>
        <w:pStyle w:val="NoSpacing"/>
      </w:pPr>
      <w:proofErr w:type="spellStart"/>
      <w:r w:rsidRPr="00075E2C">
        <w:t>br</w:t>
      </w:r>
      <w:proofErr w:type="spellEnd"/>
      <w:r w:rsidRPr="00075E2C">
        <w:tab/>
        <w:t>Department of Physiology, University of Auckland, Auckland, New Zealand</w:t>
      </w:r>
    </w:p>
    <w:p w14:paraId="26468239" w14:textId="77777777" w:rsidR="00075E2C" w:rsidRPr="00075E2C" w:rsidRDefault="00075E2C" w:rsidP="00075E2C">
      <w:pPr>
        <w:pStyle w:val="NoSpacing"/>
      </w:pPr>
      <w:proofErr w:type="spellStart"/>
      <w:r w:rsidRPr="00075E2C">
        <w:t>bs</w:t>
      </w:r>
      <w:proofErr w:type="spellEnd"/>
      <w:r w:rsidRPr="00075E2C">
        <w:tab/>
        <w:t xml:space="preserve">Department of Cardiology, CARIM, Maastricht University Medical </w:t>
      </w:r>
      <w:proofErr w:type="spellStart"/>
      <w:r w:rsidRPr="00075E2C">
        <w:t>Center</w:t>
      </w:r>
      <w:proofErr w:type="spellEnd"/>
      <w:r w:rsidRPr="00075E2C">
        <w:t>+, P.O. Box 5800, 6202 AZ Maastricht, The Netherlands</w:t>
      </w:r>
    </w:p>
    <w:p w14:paraId="79FE79C1" w14:textId="77777777" w:rsidR="00075E2C" w:rsidRPr="00075E2C" w:rsidRDefault="00075E2C" w:rsidP="00075E2C">
      <w:pPr>
        <w:pStyle w:val="NoSpacing"/>
      </w:pPr>
      <w:proofErr w:type="spellStart"/>
      <w:r w:rsidRPr="00075E2C">
        <w:t>bt</w:t>
      </w:r>
      <w:proofErr w:type="spellEnd"/>
      <w:r w:rsidRPr="00075E2C">
        <w:tab/>
        <w:t>Department of Cardiology, Clinical Sciences, Lund University, Lund, Sweden</w:t>
      </w:r>
    </w:p>
    <w:p w14:paraId="3291D208" w14:textId="77777777" w:rsidR="00075E2C" w:rsidRPr="00075E2C" w:rsidRDefault="00075E2C" w:rsidP="00075E2C">
      <w:pPr>
        <w:pStyle w:val="NoSpacing"/>
      </w:pPr>
      <w:proofErr w:type="spellStart"/>
      <w:r w:rsidRPr="00075E2C">
        <w:t>bu</w:t>
      </w:r>
      <w:proofErr w:type="spellEnd"/>
      <w:r w:rsidRPr="00075E2C">
        <w:tab/>
        <w:t xml:space="preserve">Department of Cardiology, </w:t>
      </w:r>
      <w:proofErr w:type="spellStart"/>
      <w:r w:rsidRPr="00075E2C">
        <w:t>Inselspital</w:t>
      </w:r>
      <w:proofErr w:type="spellEnd"/>
      <w:r w:rsidRPr="00075E2C">
        <w:t>, Bern University Hospital, University of Bern, Bern, Switzerland</w:t>
      </w:r>
    </w:p>
    <w:p w14:paraId="1F334C8F" w14:textId="77777777" w:rsidR="00075E2C" w:rsidRPr="00075E2C" w:rsidRDefault="00075E2C" w:rsidP="00075E2C">
      <w:pPr>
        <w:pStyle w:val="NoSpacing"/>
      </w:pPr>
      <w:proofErr w:type="spellStart"/>
      <w:r w:rsidRPr="00075E2C">
        <w:t>bv</w:t>
      </w:r>
      <w:proofErr w:type="spellEnd"/>
      <w:r w:rsidRPr="00075E2C">
        <w:tab/>
        <w:t xml:space="preserve">Department of Biomedical Informatics, Vanderbilt University Medical </w:t>
      </w:r>
      <w:proofErr w:type="spellStart"/>
      <w:r w:rsidRPr="00075E2C">
        <w:t>Center</w:t>
      </w:r>
      <w:proofErr w:type="spellEnd"/>
      <w:r w:rsidRPr="00075E2C">
        <w:t>, Nashville, TN, USA</w:t>
      </w:r>
    </w:p>
    <w:p w14:paraId="0E0CC0A6" w14:textId="77777777" w:rsidR="00075E2C" w:rsidRPr="00075E2C" w:rsidRDefault="00075E2C" w:rsidP="00075E2C">
      <w:pPr>
        <w:pStyle w:val="NoSpacing"/>
      </w:pPr>
      <w:proofErr w:type="spellStart"/>
      <w:r w:rsidRPr="00075E2C">
        <w:t>bw</w:t>
      </w:r>
      <w:proofErr w:type="spellEnd"/>
      <w:r w:rsidRPr="00075E2C">
        <w:tab/>
        <w:t xml:space="preserve">Department of Pharmacology, Vanderbilt University Medical </w:t>
      </w:r>
      <w:proofErr w:type="spellStart"/>
      <w:r w:rsidRPr="00075E2C">
        <w:t>Center</w:t>
      </w:r>
      <w:proofErr w:type="spellEnd"/>
      <w:r w:rsidRPr="00075E2C">
        <w:t>, Nashville, TN, USA</w:t>
      </w:r>
    </w:p>
    <w:p w14:paraId="1A476AB6" w14:textId="77777777" w:rsidR="00075E2C" w:rsidRPr="00075E2C" w:rsidRDefault="00075E2C" w:rsidP="00075E2C">
      <w:pPr>
        <w:pStyle w:val="NoSpacing"/>
      </w:pPr>
      <w:proofErr w:type="spellStart"/>
      <w:r w:rsidRPr="00075E2C">
        <w:t>bx</w:t>
      </w:r>
      <w:proofErr w:type="spellEnd"/>
      <w:r w:rsidRPr="00075E2C">
        <w:tab/>
        <w:t>Section of Cardiac Electrophysiology, Division of Cardiology, Department of Medicine, Western University, London, Ontario, Canada</w:t>
      </w:r>
    </w:p>
    <w:p w14:paraId="40D589C1" w14:textId="77777777" w:rsidR="00075E2C" w:rsidRPr="00075E2C" w:rsidRDefault="00075E2C" w:rsidP="00075E2C">
      <w:pPr>
        <w:pStyle w:val="NoSpacing"/>
      </w:pPr>
      <w:r w:rsidRPr="00075E2C">
        <w:t>by</w:t>
      </w:r>
      <w:r w:rsidRPr="00075E2C">
        <w:tab/>
        <w:t xml:space="preserve">Cardiac Inherited Disease Group, </w:t>
      </w:r>
      <w:proofErr w:type="spellStart"/>
      <w:r w:rsidRPr="00075E2C">
        <w:t>Starship</w:t>
      </w:r>
      <w:proofErr w:type="spellEnd"/>
      <w:r w:rsidRPr="00075E2C">
        <w:t xml:space="preserve"> </w:t>
      </w:r>
      <w:proofErr w:type="spellStart"/>
      <w:r w:rsidRPr="00075E2C">
        <w:t>Childrens</w:t>
      </w:r>
      <w:proofErr w:type="spellEnd"/>
      <w:r w:rsidRPr="00075E2C">
        <w:t xml:space="preserve"> Hospital, Auckland, New Zealand</w:t>
      </w:r>
    </w:p>
    <w:p w14:paraId="5B128F72" w14:textId="77777777" w:rsidR="00075E2C" w:rsidRPr="00075E2C" w:rsidRDefault="00075E2C" w:rsidP="00075E2C">
      <w:pPr>
        <w:pStyle w:val="NoSpacing"/>
      </w:pPr>
      <w:proofErr w:type="spellStart"/>
      <w:r w:rsidRPr="00075E2C">
        <w:t>bz</w:t>
      </w:r>
      <w:proofErr w:type="spellEnd"/>
      <w:r w:rsidRPr="00075E2C">
        <w:tab/>
        <w:t>Department of Forensic Medicine, Faculty of Medical Sciences, University of Copenhagen, Denmark</w:t>
      </w:r>
    </w:p>
    <w:p w14:paraId="7215FC8D" w14:textId="77777777" w:rsidR="00075E2C" w:rsidRPr="00075E2C" w:rsidRDefault="00075E2C" w:rsidP="00075E2C">
      <w:pPr>
        <w:pStyle w:val="NoSpacing"/>
      </w:pPr>
      <w:r w:rsidRPr="00075E2C">
        <w:t>ca</w:t>
      </w:r>
      <w:r w:rsidRPr="00075E2C">
        <w:tab/>
        <w:t xml:space="preserve">University of Groningen, University Medical </w:t>
      </w:r>
      <w:proofErr w:type="spellStart"/>
      <w:r w:rsidRPr="00075E2C">
        <w:t>Center</w:t>
      </w:r>
      <w:proofErr w:type="spellEnd"/>
      <w:r w:rsidRPr="00075E2C">
        <w:t xml:space="preserve"> Groningen, Department of Cardiology, Groningen, The Netherlands</w:t>
      </w:r>
    </w:p>
    <w:p w14:paraId="50869BE4" w14:textId="77777777" w:rsidR="00075E2C" w:rsidRPr="00075E2C" w:rsidRDefault="00075E2C" w:rsidP="00075E2C">
      <w:pPr>
        <w:pStyle w:val="NoSpacing"/>
      </w:pPr>
      <w:proofErr w:type="spellStart"/>
      <w:r w:rsidRPr="00075E2C">
        <w:t>cb</w:t>
      </w:r>
      <w:proofErr w:type="spellEnd"/>
      <w:r w:rsidRPr="00075E2C">
        <w:tab/>
        <w:t>Department of Biomedical Sciences, University of Copenhagen, Copenhagen, Denmark</w:t>
      </w:r>
    </w:p>
    <w:p w14:paraId="57175E9B" w14:textId="77777777" w:rsidR="00075E2C" w:rsidRPr="00075E2C" w:rsidRDefault="00075E2C" w:rsidP="00075E2C">
      <w:pPr>
        <w:pStyle w:val="NoSpacing"/>
      </w:pPr>
      <w:r w:rsidRPr="00075E2C">
        <w:t>cc</w:t>
      </w:r>
      <w:r w:rsidRPr="00075E2C">
        <w:tab/>
      </w:r>
      <w:proofErr w:type="spellStart"/>
      <w:r w:rsidRPr="00075E2C">
        <w:t>Barts</w:t>
      </w:r>
      <w:proofErr w:type="spellEnd"/>
      <w:r w:rsidRPr="00075E2C">
        <w:t xml:space="preserve"> Heart Centre, </w:t>
      </w:r>
      <w:proofErr w:type="spellStart"/>
      <w:r w:rsidRPr="00075E2C">
        <w:t>Barts</w:t>
      </w:r>
      <w:proofErr w:type="spellEnd"/>
      <w:r w:rsidRPr="00075E2C">
        <w:t xml:space="preserve"> Health NHS Trust &amp; Institute of Cardiovascular Science, University College London, London, United Kingdom</w:t>
      </w:r>
    </w:p>
    <w:p w14:paraId="369545EA" w14:textId="77777777" w:rsidR="00075E2C" w:rsidRPr="00075E2C" w:rsidRDefault="00075E2C" w:rsidP="00075E2C">
      <w:pPr>
        <w:pStyle w:val="NoSpacing"/>
      </w:pPr>
      <w:r w:rsidRPr="00075E2C">
        <w:t>cd</w:t>
      </w:r>
      <w:r w:rsidRPr="00075E2C">
        <w:tab/>
        <w:t xml:space="preserve">Department of Clinical Sciences, Paediatrics, </w:t>
      </w:r>
      <w:proofErr w:type="spellStart"/>
      <w:r w:rsidRPr="00075E2C">
        <w:t>Umeå</w:t>
      </w:r>
      <w:proofErr w:type="spellEnd"/>
      <w:r w:rsidRPr="00075E2C">
        <w:t xml:space="preserve"> University, 901 85 </w:t>
      </w:r>
      <w:proofErr w:type="spellStart"/>
      <w:r w:rsidRPr="00075E2C">
        <w:t>Umeå</w:t>
      </w:r>
      <w:proofErr w:type="spellEnd"/>
      <w:r w:rsidRPr="00075E2C">
        <w:t>, Sweden</w:t>
      </w:r>
    </w:p>
    <w:p w14:paraId="17A7E12D" w14:textId="77777777" w:rsidR="00075E2C" w:rsidRPr="00075E2C" w:rsidRDefault="00075E2C" w:rsidP="00075E2C">
      <w:pPr>
        <w:pStyle w:val="NoSpacing"/>
      </w:pPr>
      <w:proofErr w:type="spellStart"/>
      <w:r w:rsidRPr="00075E2C">
        <w:t>ce</w:t>
      </w:r>
      <w:proofErr w:type="spellEnd"/>
      <w:r w:rsidRPr="00075E2C">
        <w:tab/>
        <w:t>Department of Cardiology, University of Antwerp, Antwerp University Hospital, Antwerp, Belgium</w:t>
      </w:r>
    </w:p>
    <w:p w14:paraId="1E76338C" w14:textId="77777777" w:rsidR="00075E2C" w:rsidRPr="00075E2C" w:rsidRDefault="00075E2C" w:rsidP="00075E2C">
      <w:pPr>
        <w:pStyle w:val="NoSpacing"/>
      </w:pPr>
      <w:proofErr w:type="spellStart"/>
      <w:r w:rsidRPr="00075E2C">
        <w:t>cf</w:t>
      </w:r>
      <w:proofErr w:type="spellEnd"/>
      <w:r w:rsidRPr="00075E2C">
        <w:tab/>
        <w:t xml:space="preserve">Heart Rhythm Management </w:t>
      </w:r>
      <w:proofErr w:type="spellStart"/>
      <w:r w:rsidRPr="00075E2C">
        <w:t>Center</w:t>
      </w:r>
      <w:proofErr w:type="spellEnd"/>
      <w:r w:rsidRPr="00075E2C">
        <w:t xml:space="preserve">, UZ Brussel-VUB, </w:t>
      </w:r>
      <w:proofErr w:type="spellStart"/>
      <w:r w:rsidRPr="00075E2C">
        <w:t>Laarbeeklaan</w:t>
      </w:r>
      <w:proofErr w:type="spellEnd"/>
      <w:r w:rsidRPr="00075E2C">
        <w:t xml:space="preserve"> 101, 1090, Brussels, Belgium</w:t>
      </w:r>
    </w:p>
    <w:p w14:paraId="37A43E2D" w14:textId="77777777" w:rsidR="00075E2C" w:rsidRPr="00075E2C" w:rsidRDefault="00075E2C" w:rsidP="00075E2C">
      <w:pPr>
        <w:pStyle w:val="NoSpacing"/>
      </w:pPr>
      <w:r w:rsidRPr="00075E2C">
        <w:t>cg</w:t>
      </w:r>
      <w:r w:rsidRPr="00075E2C">
        <w:tab/>
        <w:t>Department of Cardiovascular Diseases, University Hospitals Leuven, Leuven, Belgium</w:t>
      </w:r>
    </w:p>
    <w:p w14:paraId="32F226A8" w14:textId="77777777" w:rsidR="00075E2C" w:rsidRPr="00075E2C" w:rsidRDefault="00075E2C" w:rsidP="00075E2C">
      <w:pPr>
        <w:pStyle w:val="NoSpacing"/>
      </w:pPr>
      <w:proofErr w:type="spellStart"/>
      <w:r w:rsidRPr="00075E2C">
        <w:t>ch</w:t>
      </w:r>
      <w:proofErr w:type="spellEnd"/>
      <w:r w:rsidRPr="00075E2C">
        <w:tab/>
        <w:t xml:space="preserve">Medical Genetics Dept. Clinical and Biological Sciences, </w:t>
      </w:r>
      <w:proofErr w:type="spellStart"/>
      <w:r w:rsidRPr="00075E2C">
        <w:t>Univestity</w:t>
      </w:r>
      <w:proofErr w:type="spellEnd"/>
      <w:r w:rsidRPr="00075E2C">
        <w:t xml:space="preserve"> of Torino, </w:t>
      </w:r>
      <w:proofErr w:type="spellStart"/>
      <w:r w:rsidRPr="00075E2C">
        <w:t>regione</w:t>
      </w:r>
      <w:proofErr w:type="spellEnd"/>
      <w:r w:rsidRPr="00075E2C">
        <w:t xml:space="preserve"> </w:t>
      </w:r>
      <w:proofErr w:type="spellStart"/>
      <w:r w:rsidRPr="00075E2C">
        <w:t>Gonzole</w:t>
      </w:r>
      <w:proofErr w:type="spellEnd"/>
      <w:r w:rsidRPr="00075E2C">
        <w:t xml:space="preserve"> 10, 10043 </w:t>
      </w:r>
      <w:proofErr w:type="spellStart"/>
      <w:r w:rsidRPr="00075E2C">
        <w:t>Orbassano</w:t>
      </w:r>
      <w:proofErr w:type="spellEnd"/>
      <w:r w:rsidRPr="00075E2C">
        <w:t xml:space="preserve"> (TO), Italy</w:t>
      </w:r>
    </w:p>
    <w:p w14:paraId="0EC1BA80" w14:textId="77777777" w:rsidR="00075E2C" w:rsidRPr="00075E2C" w:rsidRDefault="00075E2C" w:rsidP="00075E2C">
      <w:pPr>
        <w:pStyle w:val="NoSpacing"/>
      </w:pPr>
      <w:r w:rsidRPr="00075E2C">
        <w:t>ci</w:t>
      </w:r>
      <w:r w:rsidRPr="00075E2C">
        <w:tab/>
        <w:t xml:space="preserve">Hospital </w:t>
      </w:r>
      <w:proofErr w:type="spellStart"/>
      <w:r w:rsidRPr="00075E2C">
        <w:t>Trueta</w:t>
      </w:r>
      <w:proofErr w:type="spellEnd"/>
      <w:r w:rsidRPr="00075E2C">
        <w:t xml:space="preserve">, </w:t>
      </w:r>
      <w:proofErr w:type="spellStart"/>
      <w:r w:rsidRPr="00075E2C">
        <w:t>CiberCV</w:t>
      </w:r>
      <w:proofErr w:type="spellEnd"/>
      <w:r w:rsidRPr="00075E2C">
        <w:t>, University of Girona, IDIBGI, Girona, Spain</w:t>
      </w:r>
    </w:p>
    <w:p w14:paraId="391C6E35" w14:textId="77777777" w:rsidR="00075E2C" w:rsidRPr="00075E2C" w:rsidRDefault="00075E2C" w:rsidP="00075E2C">
      <w:pPr>
        <w:pStyle w:val="NoSpacing"/>
      </w:pPr>
      <w:proofErr w:type="spellStart"/>
      <w:r w:rsidRPr="00075E2C">
        <w:t>cj</w:t>
      </w:r>
      <w:proofErr w:type="spellEnd"/>
      <w:r w:rsidRPr="00075E2C">
        <w:tab/>
        <w:t>Cardiovascular Institute, Hospital Clinic, University of Barcelona, Barcelona, Spain</w:t>
      </w:r>
    </w:p>
    <w:p w14:paraId="12BCB974" w14:textId="77777777" w:rsidR="00075E2C" w:rsidRPr="00075E2C" w:rsidRDefault="00075E2C" w:rsidP="00075E2C">
      <w:pPr>
        <w:pStyle w:val="NoSpacing"/>
      </w:pPr>
      <w:proofErr w:type="spellStart"/>
      <w:r w:rsidRPr="00075E2C">
        <w:t>ck</w:t>
      </w:r>
      <w:proofErr w:type="spellEnd"/>
      <w:r w:rsidRPr="00075E2C">
        <w:tab/>
        <w:t xml:space="preserve">Inherited Cardiac Disease Unit, Cardiology Department. University Hospital Virgen de la </w:t>
      </w:r>
      <w:proofErr w:type="spellStart"/>
      <w:r w:rsidRPr="00075E2C">
        <w:t>Arrixaca</w:t>
      </w:r>
      <w:proofErr w:type="spellEnd"/>
      <w:r w:rsidRPr="00075E2C">
        <w:t>, Murcia, Spain</w:t>
      </w:r>
    </w:p>
    <w:p w14:paraId="6D235494" w14:textId="77777777" w:rsidR="00075E2C" w:rsidRPr="00075E2C" w:rsidRDefault="00075E2C" w:rsidP="00075E2C">
      <w:pPr>
        <w:pStyle w:val="NoSpacing"/>
      </w:pPr>
      <w:r w:rsidRPr="00075E2C">
        <w:lastRenderedPageBreak/>
        <w:t>cl</w:t>
      </w:r>
      <w:r w:rsidRPr="00075E2C">
        <w:tab/>
        <w:t xml:space="preserve">INSERM, Sorbonne University, UMRS 1166, Institute of </w:t>
      </w:r>
      <w:proofErr w:type="spellStart"/>
      <w:r w:rsidRPr="00075E2C">
        <w:t>Cardiometabolism</w:t>
      </w:r>
      <w:proofErr w:type="spellEnd"/>
      <w:r w:rsidRPr="00075E2C">
        <w:t xml:space="preserve"> and Nutrition (ICAN), Paris, France</w:t>
      </w:r>
    </w:p>
    <w:p w14:paraId="7F70AFDE" w14:textId="77777777" w:rsidR="00075E2C" w:rsidRPr="00075E2C" w:rsidRDefault="00075E2C" w:rsidP="00075E2C">
      <w:pPr>
        <w:pStyle w:val="NoSpacing"/>
      </w:pPr>
      <w:r w:rsidRPr="00075E2C">
        <w:t>cm</w:t>
      </w:r>
      <w:r w:rsidRPr="00075E2C">
        <w:tab/>
        <w:t xml:space="preserve">Department of Cardiovascular Medicine, Nippon Medical School, 1-1-5, </w:t>
      </w:r>
      <w:proofErr w:type="spellStart"/>
      <w:r w:rsidRPr="00075E2C">
        <w:t>Sendagi</w:t>
      </w:r>
      <w:proofErr w:type="spellEnd"/>
      <w:r w:rsidRPr="00075E2C">
        <w:t>, Bunkyo-</w:t>
      </w:r>
      <w:proofErr w:type="spellStart"/>
      <w:r w:rsidRPr="00075E2C">
        <w:t>ku</w:t>
      </w:r>
      <w:proofErr w:type="spellEnd"/>
      <w:r w:rsidRPr="00075E2C">
        <w:t>, Tokyo, 113-8603, Japan</w:t>
      </w:r>
    </w:p>
    <w:p w14:paraId="2117CC77" w14:textId="77777777" w:rsidR="00075E2C" w:rsidRPr="00075E2C" w:rsidRDefault="00075E2C" w:rsidP="00075E2C">
      <w:pPr>
        <w:pStyle w:val="NoSpacing"/>
      </w:pPr>
      <w:proofErr w:type="spellStart"/>
      <w:r w:rsidRPr="00075E2C">
        <w:t>cn</w:t>
      </w:r>
      <w:proofErr w:type="spellEnd"/>
      <w:r w:rsidRPr="00075E2C">
        <w:tab/>
        <w:t xml:space="preserve">Department of Bioscience and Genetics, National Cerebral and Cardiovascular </w:t>
      </w:r>
      <w:proofErr w:type="spellStart"/>
      <w:r w:rsidRPr="00075E2C">
        <w:t>Center</w:t>
      </w:r>
      <w:proofErr w:type="spellEnd"/>
      <w:r w:rsidRPr="00075E2C">
        <w:t xml:space="preserve">, 6-1 </w:t>
      </w:r>
      <w:proofErr w:type="spellStart"/>
      <w:r w:rsidRPr="00075E2C">
        <w:t>Kishibeshinmachi</w:t>
      </w:r>
      <w:proofErr w:type="spellEnd"/>
      <w:r w:rsidRPr="00075E2C">
        <w:t>, Suita, Japan</w:t>
      </w:r>
    </w:p>
    <w:p w14:paraId="5419666E" w14:textId="290BAB9A" w:rsidR="00835981" w:rsidRDefault="00075E2C" w:rsidP="00075E2C">
      <w:pPr>
        <w:pStyle w:val="NoSpacing"/>
      </w:pPr>
      <w:r w:rsidRPr="00075E2C">
        <w:t>co</w:t>
      </w:r>
      <w:r w:rsidRPr="00075E2C">
        <w:tab/>
      </w:r>
      <w:proofErr w:type="spellStart"/>
      <w:r w:rsidRPr="00075E2C">
        <w:t>Université</w:t>
      </w:r>
      <w:proofErr w:type="spellEnd"/>
      <w:r w:rsidRPr="00075E2C">
        <w:t xml:space="preserve"> de Nantes, CNRS, INSERM, </w:t>
      </w:r>
      <w:proofErr w:type="spellStart"/>
      <w:r w:rsidRPr="00075E2C">
        <w:t>l’institut</w:t>
      </w:r>
      <w:proofErr w:type="spellEnd"/>
      <w:r w:rsidRPr="00075E2C">
        <w:t xml:space="preserve"> du thorax, F-44000 Nantes, France</w:t>
      </w:r>
    </w:p>
    <w:p w14:paraId="6D7B606D" w14:textId="77777777" w:rsidR="00835981" w:rsidRDefault="00835981" w:rsidP="00622B57">
      <w:pPr>
        <w:jc w:val="both"/>
        <w:rPr>
          <w:b/>
        </w:rPr>
      </w:pPr>
    </w:p>
    <w:p w14:paraId="0B6179B5" w14:textId="3B8D9D2E" w:rsidR="00A248A5" w:rsidRPr="00AD19B4" w:rsidRDefault="00AD19B4" w:rsidP="00622B57">
      <w:pPr>
        <w:jc w:val="both"/>
      </w:pPr>
      <w:r w:rsidRPr="00AD19B4">
        <w:t>*</w:t>
      </w:r>
      <w:r>
        <w:t xml:space="preserve"> </w:t>
      </w:r>
      <w:r w:rsidRPr="00AD19B4">
        <w:t>A list of authors and their affiliations appears at the end of the paper</w:t>
      </w:r>
      <w:r>
        <w:t>.</w:t>
      </w:r>
    </w:p>
    <w:p w14:paraId="3FC2F987" w14:textId="77777777" w:rsidR="00075E2C" w:rsidRDefault="00075E2C" w:rsidP="00622B57">
      <w:pPr>
        <w:jc w:val="both"/>
        <w:rPr>
          <w:b/>
        </w:rPr>
      </w:pPr>
    </w:p>
    <w:p w14:paraId="680B9AD8" w14:textId="77777777" w:rsidR="002C4804" w:rsidRPr="00EC15A2" w:rsidRDefault="002C4804" w:rsidP="002C4804">
      <w:pPr>
        <w:jc w:val="both"/>
        <w:rPr>
          <w:b/>
        </w:rPr>
      </w:pPr>
      <w:r w:rsidRPr="00EC15A2">
        <w:rPr>
          <w:b/>
        </w:rPr>
        <w:t>Address for correspondence</w:t>
      </w:r>
    </w:p>
    <w:p w14:paraId="2040406A" w14:textId="77777777" w:rsidR="002C4804" w:rsidRDefault="002C4804" w:rsidP="002C4804">
      <w:pPr>
        <w:jc w:val="both"/>
        <w:rPr>
          <w:rStyle w:val="lrzxr"/>
        </w:rPr>
      </w:pPr>
      <w:r>
        <w:t xml:space="preserve">Roddy Walsh, Department of Clinical and Experimental Cardiology, Heart Centre, Academic Medical Centre, </w:t>
      </w:r>
      <w:proofErr w:type="spellStart"/>
      <w:r>
        <w:t>Meibergdreef</w:t>
      </w:r>
      <w:proofErr w:type="spellEnd"/>
      <w:r>
        <w:t> 9, 1105 AZ, Amsterdam</w:t>
      </w:r>
      <w:r>
        <w:rPr>
          <w:rStyle w:val="lrzxr"/>
        </w:rPr>
        <w:t>, Netherlands.</w:t>
      </w:r>
    </w:p>
    <w:p w14:paraId="5BF3E438" w14:textId="77777777" w:rsidR="002C4804" w:rsidRDefault="002C4804" w:rsidP="002C4804">
      <w:pPr>
        <w:jc w:val="both"/>
      </w:pPr>
      <w:r>
        <w:t xml:space="preserve">phone: +31205664682, email: </w:t>
      </w:r>
      <w:hyperlink r:id="rId8" w:history="1">
        <w:r w:rsidRPr="00484353">
          <w:rPr>
            <w:rStyle w:val="Hyperlink"/>
          </w:rPr>
          <w:t>r.t.walsh@amsterdamumc.nl</w:t>
        </w:r>
      </w:hyperlink>
      <w:r>
        <w:t>, twitter: @</w:t>
      </w:r>
      <w:proofErr w:type="spellStart"/>
      <w:r>
        <w:t>roddywalsh</w:t>
      </w:r>
      <w:proofErr w:type="spellEnd"/>
    </w:p>
    <w:p w14:paraId="0F7DCC19" w14:textId="77777777" w:rsidR="002C4804" w:rsidRDefault="002C4804" w:rsidP="00622B57">
      <w:pPr>
        <w:jc w:val="both"/>
        <w:rPr>
          <w:b/>
        </w:rPr>
      </w:pPr>
    </w:p>
    <w:p w14:paraId="09C1343D" w14:textId="77777777" w:rsidR="002C4804" w:rsidRDefault="002C4804" w:rsidP="00622B57">
      <w:pPr>
        <w:jc w:val="both"/>
        <w:rPr>
          <w:b/>
        </w:rPr>
      </w:pPr>
    </w:p>
    <w:p w14:paraId="53FDB8DD" w14:textId="77777777" w:rsidR="002C4804" w:rsidRDefault="002C4804" w:rsidP="00622B57">
      <w:pPr>
        <w:jc w:val="both"/>
        <w:rPr>
          <w:b/>
        </w:rPr>
      </w:pPr>
    </w:p>
    <w:p w14:paraId="47A9D2AC" w14:textId="77777777" w:rsidR="002C4804" w:rsidRDefault="002C4804" w:rsidP="00622B57">
      <w:pPr>
        <w:jc w:val="both"/>
        <w:rPr>
          <w:b/>
        </w:rPr>
      </w:pPr>
    </w:p>
    <w:p w14:paraId="5903E8E6" w14:textId="77777777" w:rsidR="002C4804" w:rsidRDefault="002C4804" w:rsidP="00622B57">
      <w:pPr>
        <w:jc w:val="both"/>
        <w:rPr>
          <w:b/>
        </w:rPr>
      </w:pPr>
    </w:p>
    <w:p w14:paraId="060AA649" w14:textId="77777777" w:rsidR="002C4804" w:rsidRDefault="002C4804" w:rsidP="00622B57">
      <w:pPr>
        <w:jc w:val="both"/>
        <w:rPr>
          <w:b/>
        </w:rPr>
      </w:pPr>
    </w:p>
    <w:p w14:paraId="6199F31E" w14:textId="77777777" w:rsidR="002C4804" w:rsidRDefault="002C4804" w:rsidP="00622B57">
      <w:pPr>
        <w:jc w:val="both"/>
        <w:rPr>
          <w:b/>
        </w:rPr>
      </w:pPr>
    </w:p>
    <w:p w14:paraId="6A10B35E" w14:textId="77777777" w:rsidR="002C4804" w:rsidRDefault="002C4804" w:rsidP="00622B57">
      <w:pPr>
        <w:jc w:val="both"/>
        <w:rPr>
          <w:b/>
        </w:rPr>
      </w:pPr>
    </w:p>
    <w:p w14:paraId="06CC5E2D" w14:textId="77777777" w:rsidR="00AD19B4" w:rsidRDefault="00AD19B4" w:rsidP="00622B57">
      <w:pPr>
        <w:jc w:val="both"/>
        <w:rPr>
          <w:b/>
        </w:rPr>
      </w:pPr>
    </w:p>
    <w:p w14:paraId="6945944D" w14:textId="77777777" w:rsidR="00AD19B4" w:rsidRDefault="00AD19B4" w:rsidP="00622B57">
      <w:pPr>
        <w:jc w:val="both"/>
        <w:rPr>
          <w:b/>
        </w:rPr>
      </w:pPr>
    </w:p>
    <w:p w14:paraId="2D573167" w14:textId="77777777" w:rsidR="00AD19B4" w:rsidRDefault="00AD19B4" w:rsidP="00622B57">
      <w:pPr>
        <w:jc w:val="both"/>
        <w:rPr>
          <w:b/>
        </w:rPr>
      </w:pPr>
    </w:p>
    <w:p w14:paraId="050F17AF" w14:textId="77777777" w:rsidR="00AD19B4" w:rsidRDefault="00AD19B4" w:rsidP="00622B57">
      <w:pPr>
        <w:jc w:val="both"/>
        <w:rPr>
          <w:b/>
        </w:rPr>
      </w:pPr>
    </w:p>
    <w:p w14:paraId="2F0C5131" w14:textId="77777777" w:rsidR="00AD19B4" w:rsidRDefault="00AD19B4" w:rsidP="00622B57">
      <w:pPr>
        <w:jc w:val="both"/>
        <w:rPr>
          <w:b/>
        </w:rPr>
      </w:pPr>
    </w:p>
    <w:p w14:paraId="06939C9F" w14:textId="77777777" w:rsidR="00AD19B4" w:rsidRDefault="00AD19B4" w:rsidP="00622B57">
      <w:pPr>
        <w:jc w:val="both"/>
        <w:rPr>
          <w:b/>
        </w:rPr>
      </w:pPr>
    </w:p>
    <w:p w14:paraId="67EC2EBD" w14:textId="77777777" w:rsidR="00AD19B4" w:rsidRDefault="00AD19B4" w:rsidP="00622B57">
      <w:pPr>
        <w:jc w:val="both"/>
        <w:rPr>
          <w:b/>
        </w:rPr>
      </w:pPr>
    </w:p>
    <w:p w14:paraId="1DBE0573" w14:textId="77777777" w:rsidR="002C4804" w:rsidRDefault="002C4804" w:rsidP="00622B57">
      <w:pPr>
        <w:jc w:val="both"/>
        <w:rPr>
          <w:b/>
        </w:rPr>
      </w:pPr>
    </w:p>
    <w:p w14:paraId="1DE3E0A0" w14:textId="77777777" w:rsidR="002C4804" w:rsidRDefault="002C4804" w:rsidP="00622B57">
      <w:pPr>
        <w:jc w:val="both"/>
        <w:rPr>
          <w:b/>
        </w:rPr>
      </w:pPr>
    </w:p>
    <w:p w14:paraId="4A2D176B" w14:textId="77777777" w:rsidR="002C4804" w:rsidRDefault="002C4804" w:rsidP="00622B57">
      <w:pPr>
        <w:jc w:val="both"/>
        <w:rPr>
          <w:b/>
        </w:rPr>
      </w:pPr>
    </w:p>
    <w:p w14:paraId="3EE82DAD" w14:textId="77777777" w:rsidR="002C4804" w:rsidRDefault="002C4804" w:rsidP="00622B57">
      <w:pPr>
        <w:jc w:val="both"/>
        <w:rPr>
          <w:b/>
        </w:rPr>
      </w:pPr>
    </w:p>
    <w:p w14:paraId="6C2D1C76" w14:textId="77777777" w:rsidR="002C4804" w:rsidRDefault="002C4804" w:rsidP="00622B57">
      <w:pPr>
        <w:jc w:val="both"/>
        <w:rPr>
          <w:b/>
        </w:rPr>
      </w:pPr>
    </w:p>
    <w:p w14:paraId="240693EA" w14:textId="675856A4" w:rsidR="00622B57" w:rsidRPr="00B775CA" w:rsidRDefault="00622B57" w:rsidP="00521E45">
      <w:pPr>
        <w:spacing w:after="0" w:line="480" w:lineRule="auto"/>
        <w:rPr>
          <w:b/>
          <w:caps/>
        </w:rPr>
      </w:pPr>
      <w:r w:rsidRPr="00B775CA">
        <w:rPr>
          <w:b/>
          <w:caps/>
        </w:rPr>
        <w:lastRenderedPageBreak/>
        <w:t>Abstract</w:t>
      </w:r>
    </w:p>
    <w:p w14:paraId="6FA71A48" w14:textId="1DDE700D" w:rsidR="00302429" w:rsidRDefault="00D75B9A" w:rsidP="00521E45">
      <w:pPr>
        <w:pStyle w:val="ListParagraph"/>
        <w:shd w:val="clear" w:color="auto" w:fill="FFFFFF"/>
        <w:spacing w:after="0" w:line="480" w:lineRule="auto"/>
        <w:ind w:left="0"/>
        <w:textAlignment w:val="baseline"/>
        <w:rPr>
          <w:rFonts w:eastAsia="Times New Roman" w:cstheme="minorHAnsi"/>
          <w:color w:val="201F1E"/>
          <w:bdr w:val="none" w:sz="0" w:space="0" w:color="auto" w:frame="1"/>
          <w:lang w:eastAsia="en-GB"/>
        </w:rPr>
      </w:pPr>
      <w:r>
        <w:rPr>
          <w:rFonts w:eastAsia="Times New Roman" w:cstheme="minorHAnsi"/>
          <w:b/>
          <w:color w:val="201F1E"/>
          <w:bdr w:val="none" w:sz="0" w:space="0" w:color="auto" w:frame="1"/>
          <w:lang w:eastAsia="en-GB"/>
        </w:rPr>
        <w:t>Purpose</w:t>
      </w:r>
      <w:r w:rsidR="00622B57">
        <w:rPr>
          <w:rFonts w:eastAsia="Times New Roman" w:cstheme="minorHAnsi"/>
          <w:color w:val="201F1E"/>
          <w:bdr w:val="none" w:sz="0" w:space="0" w:color="auto" w:frame="1"/>
          <w:lang w:eastAsia="en-GB"/>
        </w:rPr>
        <w:t xml:space="preserve">: </w:t>
      </w:r>
      <w:r w:rsidR="00302429">
        <w:rPr>
          <w:rFonts w:eastAsia="Times New Roman" w:cstheme="minorHAnsi"/>
          <w:color w:val="201F1E"/>
          <w:bdr w:val="none" w:sz="0" w:space="0" w:color="auto" w:frame="1"/>
          <w:lang w:eastAsia="en-GB"/>
        </w:rPr>
        <w:t xml:space="preserve">Stringent variant interpretation guidelines can lead to high rates </w:t>
      </w:r>
      <w:r w:rsidR="00302429">
        <w:t>of variants of uncertain significance</w:t>
      </w:r>
      <w:r w:rsidR="002D6AF3">
        <w:t xml:space="preserve"> (VUS)</w:t>
      </w:r>
      <w:r w:rsidR="00302429">
        <w:t xml:space="preserve"> for genetically heterogeneous disease like Long QT syndrome (LQTS) and Brugada syndrome (BrS). Quantitative and disease-specific customisation of </w:t>
      </w:r>
      <w:r w:rsidR="00302429">
        <w:rPr>
          <w:rFonts w:eastAsia="Times New Roman" w:cstheme="minorHAnsi"/>
          <w:color w:val="201F1E"/>
          <w:bdr w:val="none" w:sz="0" w:space="0" w:color="auto" w:frame="1"/>
          <w:lang w:eastAsia="en-GB"/>
        </w:rPr>
        <w:t>ACMG/AMP guidelines can address this false negative rate.</w:t>
      </w:r>
    </w:p>
    <w:p w14:paraId="04F63FBB" w14:textId="47674230" w:rsidR="00622B57" w:rsidRDefault="00622B57" w:rsidP="00521E45">
      <w:pPr>
        <w:pStyle w:val="ListParagraph"/>
        <w:shd w:val="clear" w:color="auto" w:fill="FFFFFF"/>
        <w:spacing w:after="0" w:line="480" w:lineRule="auto"/>
        <w:ind w:left="0"/>
        <w:textAlignment w:val="baseline"/>
        <w:rPr>
          <w:rFonts w:eastAsia="Times New Roman" w:cstheme="minorHAnsi"/>
          <w:color w:val="201F1E"/>
          <w:bdr w:val="none" w:sz="0" w:space="0" w:color="auto" w:frame="1"/>
          <w:lang w:eastAsia="en-GB"/>
        </w:rPr>
      </w:pPr>
      <w:r w:rsidRPr="00B23938">
        <w:rPr>
          <w:rFonts w:eastAsia="Times New Roman" w:cstheme="minorHAnsi"/>
          <w:b/>
          <w:color w:val="201F1E"/>
          <w:bdr w:val="none" w:sz="0" w:space="0" w:color="auto" w:frame="1"/>
          <w:lang w:eastAsia="en-GB"/>
        </w:rPr>
        <w:t>Methods</w:t>
      </w:r>
      <w:r>
        <w:rPr>
          <w:rFonts w:eastAsia="Times New Roman" w:cstheme="minorHAnsi"/>
          <w:color w:val="201F1E"/>
          <w:bdr w:val="none" w:sz="0" w:space="0" w:color="auto" w:frame="1"/>
          <w:lang w:eastAsia="en-GB"/>
        </w:rPr>
        <w:t>: We compared rare variant frequencies from 1847 LQTS (</w:t>
      </w:r>
      <w:r w:rsidRPr="00AB1530">
        <w:rPr>
          <w:rFonts w:eastAsia="Times New Roman" w:cstheme="minorHAnsi"/>
          <w:i/>
          <w:color w:val="201F1E"/>
          <w:bdr w:val="none" w:sz="0" w:space="0" w:color="auto" w:frame="1"/>
          <w:lang w:eastAsia="en-GB"/>
        </w:rPr>
        <w:t>KCNQ1</w:t>
      </w:r>
      <w:r w:rsidR="007E0170">
        <w:rPr>
          <w:rFonts w:eastAsia="Times New Roman" w:cstheme="minorHAnsi"/>
          <w:color w:val="201F1E"/>
          <w:bdr w:val="none" w:sz="0" w:space="0" w:color="auto" w:frame="1"/>
          <w:lang w:eastAsia="en-GB"/>
        </w:rPr>
        <w:t>/</w:t>
      </w:r>
      <w:r w:rsidRPr="00AB1530">
        <w:rPr>
          <w:rFonts w:eastAsia="Times New Roman" w:cstheme="minorHAnsi"/>
          <w:i/>
          <w:color w:val="201F1E"/>
          <w:bdr w:val="none" w:sz="0" w:space="0" w:color="auto" w:frame="1"/>
          <w:lang w:eastAsia="en-GB"/>
        </w:rPr>
        <w:t>KCNH2</w:t>
      </w:r>
      <w:r w:rsidR="007E0170">
        <w:rPr>
          <w:rFonts w:eastAsia="Times New Roman" w:cstheme="minorHAnsi"/>
          <w:color w:val="201F1E"/>
          <w:bdr w:val="none" w:sz="0" w:space="0" w:color="auto" w:frame="1"/>
          <w:lang w:eastAsia="en-GB"/>
        </w:rPr>
        <w:t>/</w:t>
      </w:r>
      <w:r w:rsidRPr="00AB1530">
        <w:rPr>
          <w:rFonts w:eastAsia="Times New Roman" w:cstheme="minorHAnsi"/>
          <w:i/>
          <w:color w:val="201F1E"/>
          <w:bdr w:val="none" w:sz="0" w:space="0" w:color="auto" w:frame="1"/>
          <w:lang w:eastAsia="en-GB"/>
        </w:rPr>
        <w:t>SCN5A</w:t>
      </w:r>
      <w:r>
        <w:rPr>
          <w:rFonts w:eastAsia="Times New Roman" w:cstheme="minorHAnsi"/>
          <w:color w:val="201F1E"/>
          <w:bdr w:val="none" w:sz="0" w:space="0" w:color="auto" w:frame="1"/>
          <w:lang w:eastAsia="en-GB"/>
        </w:rPr>
        <w:t>) and 3335 BrS (</w:t>
      </w:r>
      <w:r w:rsidRPr="00AB1530">
        <w:rPr>
          <w:rFonts w:eastAsia="Times New Roman" w:cstheme="minorHAnsi"/>
          <w:i/>
          <w:color w:val="201F1E"/>
          <w:bdr w:val="none" w:sz="0" w:space="0" w:color="auto" w:frame="1"/>
          <w:lang w:eastAsia="en-GB"/>
        </w:rPr>
        <w:t>SCN5A</w:t>
      </w:r>
      <w:r>
        <w:rPr>
          <w:rFonts w:eastAsia="Times New Roman" w:cstheme="minorHAnsi"/>
          <w:color w:val="201F1E"/>
          <w:bdr w:val="none" w:sz="0" w:space="0" w:color="auto" w:frame="1"/>
          <w:lang w:eastAsia="en-GB"/>
        </w:rPr>
        <w:t>) cases from the International LQTS/BrS Genetics Consortia to population-specific gnomAD da</w:t>
      </w:r>
      <w:r w:rsidR="00302429">
        <w:rPr>
          <w:rFonts w:eastAsia="Times New Roman" w:cstheme="minorHAnsi"/>
          <w:color w:val="201F1E"/>
          <w:bdr w:val="none" w:sz="0" w:space="0" w:color="auto" w:frame="1"/>
          <w:lang w:eastAsia="en-GB"/>
        </w:rPr>
        <w:t xml:space="preserve">ta and developed </w:t>
      </w:r>
      <w:r>
        <w:rPr>
          <w:rFonts w:eastAsia="Times New Roman" w:cstheme="minorHAnsi"/>
          <w:color w:val="201F1E"/>
          <w:bdr w:val="none" w:sz="0" w:space="0" w:color="auto" w:frame="1"/>
          <w:lang w:eastAsia="en-GB"/>
        </w:rPr>
        <w:t xml:space="preserve">disease-specific criteria for ACMG/AMP evidence classes – rarity (PM2/BS1 rules) and </w:t>
      </w:r>
      <w:r w:rsidR="002D6AF3">
        <w:rPr>
          <w:rFonts w:eastAsia="Times New Roman" w:cstheme="minorHAnsi"/>
          <w:color w:val="201F1E"/>
          <w:bdr w:val="none" w:sz="0" w:space="0" w:color="auto" w:frame="1"/>
          <w:lang w:eastAsia="en-GB"/>
        </w:rPr>
        <w:t xml:space="preserve">case </w:t>
      </w:r>
      <w:r>
        <w:rPr>
          <w:rFonts w:eastAsia="Times New Roman" w:cstheme="minorHAnsi"/>
          <w:color w:val="201F1E"/>
          <w:bdr w:val="none" w:sz="0" w:space="0" w:color="auto" w:frame="1"/>
          <w:lang w:eastAsia="en-GB"/>
        </w:rPr>
        <w:t xml:space="preserve">enrichment of individual (PS4) and domain-specific (PM1) variants. </w:t>
      </w:r>
    </w:p>
    <w:p w14:paraId="381B4F9A" w14:textId="41117D67" w:rsidR="00622B57" w:rsidRPr="00302429" w:rsidRDefault="00622B57" w:rsidP="00521E45">
      <w:pPr>
        <w:pStyle w:val="ListParagraph"/>
        <w:shd w:val="clear" w:color="auto" w:fill="FFFFFF"/>
        <w:spacing w:after="0" w:line="480" w:lineRule="auto"/>
        <w:ind w:left="0"/>
        <w:textAlignment w:val="baseline"/>
      </w:pPr>
      <w:r w:rsidRPr="00B23938">
        <w:rPr>
          <w:rFonts w:eastAsia="Times New Roman" w:cstheme="minorHAnsi"/>
          <w:b/>
          <w:color w:val="201F1E"/>
          <w:bdr w:val="none" w:sz="0" w:space="0" w:color="auto" w:frame="1"/>
          <w:lang w:eastAsia="en-GB"/>
        </w:rPr>
        <w:t>Results</w:t>
      </w:r>
      <w:r>
        <w:rPr>
          <w:rFonts w:eastAsia="Times New Roman" w:cstheme="minorHAnsi"/>
          <w:color w:val="201F1E"/>
          <w:bdr w:val="none" w:sz="0" w:space="0" w:color="auto" w:frame="1"/>
          <w:lang w:eastAsia="en-GB"/>
        </w:rPr>
        <w:t xml:space="preserve">: Rare </w:t>
      </w:r>
      <w:r w:rsidRPr="00AE2442">
        <w:rPr>
          <w:rFonts w:eastAsia="Times New Roman" w:cstheme="minorHAnsi"/>
          <w:i/>
          <w:color w:val="201F1E"/>
          <w:bdr w:val="none" w:sz="0" w:space="0" w:color="auto" w:frame="1"/>
          <w:lang w:eastAsia="en-GB"/>
        </w:rPr>
        <w:t>SCN5A</w:t>
      </w:r>
      <w:r>
        <w:rPr>
          <w:rFonts w:eastAsia="Times New Roman" w:cstheme="minorHAnsi"/>
          <w:color w:val="201F1E"/>
          <w:bdr w:val="none" w:sz="0" w:space="0" w:color="auto" w:frame="1"/>
          <w:lang w:eastAsia="en-GB"/>
        </w:rPr>
        <w:t xml:space="preserve"> variant prevalence differed between</w:t>
      </w:r>
      <w:r w:rsidR="00302429" w:rsidRPr="00302429">
        <w:rPr>
          <w:rFonts w:eastAsia="Times New Roman" w:cstheme="minorHAnsi"/>
          <w:color w:val="201F1E"/>
          <w:bdr w:val="none" w:sz="0" w:space="0" w:color="auto" w:frame="1"/>
          <w:lang w:eastAsia="en-GB"/>
        </w:rPr>
        <w:t xml:space="preserve"> </w:t>
      </w:r>
      <w:r w:rsidR="00302429">
        <w:rPr>
          <w:rFonts w:eastAsia="Times New Roman" w:cstheme="minorHAnsi"/>
          <w:color w:val="201F1E"/>
          <w:bdr w:val="none" w:sz="0" w:space="0" w:color="auto" w:frame="1"/>
          <w:lang w:eastAsia="en-GB"/>
        </w:rPr>
        <w:t>European (</w:t>
      </w:r>
      <w:r w:rsidR="00302429">
        <w:t xml:space="preserve">20.8%) </w:t>
      </w:r>
      <w:r w:rsidR="00302429">
        <w:rPr>
          <w:rFonts w:eastAsia="Times New Roman" w:cstheme="minorHAnsi"/>
          <w:color w:val="201F1E"/>
          <w:bdr w:val="none" w:sz="0" w:space="0" w:color="auto" w:frame="1"/>
          <w:lang w:eastAsia="en-GB"/>
        </w:rPr>
        <w:t>and Japanese (</w:t>
      </w:r>
      <w:r w:rsidR="00302429" w:rsidRPr="00252F01">
        <w:t>8.</w:t>
      </w:r>
      <w:r w:rsidR="00302429">
        <w:t>9%)</w:t>
      </w:r>
      <w:r w:rsidR="00302429">
        <w:rPr>
          <w:rFonts w:eastAsia="Times New Roman" w:cstheme="minorHAnsi"/>
          <w:color w:val="201F1E"/>
          <w:bdr w:val="none" w:sz="0" w:space="0" w:color="auto" w:frame="1"/>
          <w:lang w:eastAsia="en-GB"/>
        </w:rPr>
        <w:t xml:space="preserve"> </w:t>
      </w:r>
      <w:r w:rsidR="002D6AF3">
        <w:rPr>
          <w:rFonts w:eastAsia="Times New Roman" w:cstheme="minorHAnsi"/>
          <w:color w:val="201F1E"/>
          <w:bdr w:val="none" w:sz="0" w:space="0" w:color="auto" w:frame="1"/>
          <w:lang w:eastAsia="en-GB"/>
        </w:rPr>
        <w:t xml:space="preserve">BrS </w:t>
      </w:r>
      <w:r w:rsidR="00302429">
        <w:rPr>
          <w:rFonts w:eastAsia="Times New Roman" w:cstheme="minorHAnsi"/>
          <w:color w:val="201F1E"/>
          <w:bdr w:val="none" w:sz="0" w:space="0" w:color="auto" w:frame="1"/>
          <w:lang w:eastAsia="en-GB"/>
        </w:rPr>
        <w:t xml:space="preserve">patients </w:t>
      </w:r>
      <w:r w:rsidR="00302429">
        <w:t>(p=</w:t>
      </w:r>
      <w:r w:rsidR="002D6AF3">
        <w:t>5.7x10</w:t>
      </w:r>
      <w:r w:rsidR="002D6AF3" w:rsidRPr="00F4298F">
        <w:rPr>
          <w:vertAlign w:val="superscript"/>
        </w:rPr>
        <w:t>-18</w:t>
      </w:r>
      <w:r w:rsidR="00302429" w:rsidRPr="00252F01">
        <w:t>)</w:t>
      </w:r>
      <w:r>
        <w:rPr>
          <w:rFonts w:eastAsia="Times New Roman" w:cstheme="minorHAnsi"/>
          <w:color w:val="201F1E"/>
          <w:bdr w:val="none" w:sz="0" w:space="0" w:color="auto" w:frame="1"/>
          <w:lang w:eastAsia="en-GB"/>
        </w:rPr>
        <w:t xml:space="preserve"> </w:t>
      </w:r>
      <w:r w:rsidR="00302429">
        <w:rPr>
          <w:rFonts w:eastAsia="Times New Roman" w:cstheme="minorHAnsi"/>
          <w:color w:val="201F1E"/>
          <w:bdr w:val="none" w:sz="0" w:space="0" w:color="auto" w:frame="1"/>
          <w:lang w:eastAsia="en-GB"/>
        </w:rPr>
        <w:t xml:space="preserve">and diagnosis </w:t>
      </w:r>
      <w:r>
        <w:rPr>
          <w:rFonts w:eastAsia="Times New Roman" w:cstheme="minorHAnsi"/>
          <w:color w:val="201F1E"/>
          <w:bdr w:val="none" w:sz="0" w:space="0" w:color="auto" w:frame="1"/>
          <w:lang w:eastAsia="en-GB"/>
        </w:rPr>
        <w:t>with spontaneous (</w:t>
      </w:r>
      <w:r w:rsidRPr="0032769F">
        <w:t>28.7%</w:t>
      </w:r>
      <w:r>
        <w:t>)</w:t>
      </w:r>
      <w:r w:rsidRPr="0032769F">
        <w:t xml:space="preserve"> </w:t>
      </w:r>
      <w:r>
        <w:rPr>
          <w:rFonts w:eastAsia="Times New Roman" w:cstheme="minorHAnsi"/>
          <w:color w:val="201F1E"/>
          <w:bdr w:val="none" w:sz="0" w:space="0" w:color="auto" w:frame="1"/>
          <w:lang w:eastAsia="en-GB"/>
        </w:rPr>
        <w:t>versus induced (</w:t>
      </w:r>
      <w:r w:rsidRPr="0032769F">
        <w:t>15.8%</w:t>
      </w:r>
      <w:r>
        <w:t>)</w:t>
      </w:r>
      <w:r w:rsidR="002D6AF3">
        <w:t xml:space="preserve"> Brugada</w:t>
      </w:r>
      <w:r>
        <w:t xml:space="preserve"> </w:t>
      </w:r>
      <w:r w:rsidR="00EF674F">
        <w:rPr>
          <w:rFonts w:eastAsia="Times New Roman" w:cstheme="minorHAnsi"/>
          <w:color w:val="201F1E"/>
          <w:bdr w:val="none" w:sz="0" w:space="0" w:color="auto" w:frame="1"/>
          <w:lang w:eastAsia="en-GB"/>
        </w:rPr>
        <w:t xml:space="preserve">type </w:t>
      </w:r>
      <w:r>
        <w:rPr>
          <w:rFonts w:eastAsia="Times New Roman" w:cstheme="minorHAnsi"/>
          <w:color w:val="201F1E"/>
          <w:bdr w:val="none" w:sz="0" w:space="0" w:color="auto" w:frame="1"/>
          <w:lang w:eastAsia="en-GB"/>
        </w:rPr>
        <w:t>1 ECG (</w:t>
      </w:r>
      <w:r w:rsidRPr="0032769F">
        <w:t>p=1.3</w:t>
      </w:r>
      <w:r>
        <w:t>x10</w:t>
      </w:r>
      <w:r>
        <w:rPr>
          <w:vertAlign w:val="superscript"/>
        </w:rPr>
        <w:t>-13</w:t>
      </w:r>
      <w:r>
        <w:t>)</w:t>
      </w:r>
      <w:r>
        <w:rPr>
          <w:rFonts w:eastAsia="Times New Roman" w:cstheme="minorHAnsi"/>
          <w:color w:val="201F1E"/>
          <w:bdr w:val="none" w:sz="0" w:space="0" w:color="auto" w:frame="1"/>
          <w:lang w:eastAsia="en-GB"/>
        </w:rPr>
        <w:t xml:space="preserve">. </w:t>
      </w:r>
      <w:r w:rsidR="002D6AF3">
        <w:rPr>
          <w:rFonts w:eastAsia="Times New Roman" w:cstheme="minorHAnsi"/>
          <w:color w:val="201F1E"/>
          <w:bdr w:val="none" w:sz="0" w:space="0" w:color="auto" w:frame="1"/>
          <w:lang w:eastAsia="en-GB"/>
        </w:rPr>
        <w:t>Ion channel t</w:t>
      </w:r>
      <w:r>
        <w:rPr>
          <w:rFonts w:eastAsia="Times New Roman" w:cstheme="minorHAnsi"/>
          <w:color w:val="201F1E"/>
          <w:bdr w:val="none" w:sz="0" w:space="0" w:color="auto" w:frame="1"/>
          <w:lang w:eastAsia="en-GB"/>
        </w:rPr>
        <w:t>ransmembrane regions</w:t>
      </w:r>
      <w:r w:rsidR="00E3562D">
        <w:rPr>
          <w:rFonts w:eastAsia="Times New Roman" w:cstheme="minorHAnsi"/>
          <w:color w:val="201F1E"/>
          <w:bdr w:val="none" w:sz="0" w:space="0" w:color="auto" w:frame="1"/>
          <w:lang w:eastAsia="en-GB"/>
        </w:rPr>
        <w:t xml:space="preserve"> </w:t>
      </w:r>
      <w:r>
        <w:rPr>
          <w:rFonts w:eastAsia="Times New Roman" w:cstheme="minorHAnsi"/>
          <w:color w:val="201F1E"/>
          <w:bdr w:val="none" w:sz="0" w:space="0" w:color="auto" w:frame="1"/>
          <w:lang w:eastAsia="en-GB"/>
        </w:rPr>
        <w:t>and specific N-terminus (</w:t>
      </w:r>
      <w:r w:rsidRPr="00AE2442">
        <w:rPr>
          <w:rFonts w:eastAsia="Times New Roman" w:cstheme="minorHAnsi"/>
          <w:i/>
          <w:color w:val="201F1E"/>
          <w:bdr w:val="none" w:sz="0" w:space="0" w:color="auto" w:frame="1"/>
          <w:lang w:eastAsia="en-GB"/>
        </w:rPr>
        <w:t>KCNH2</w:t>
      </w:r>
      <w:r>
        <w:rPr>
          <w:rFonts w:eastAsia="Times New Roman" w:cstheme="minorHAnsi"/>
          <w:color w:val="201F1E"/>
          <w:bdr w:val="none" w:sz="0" w:space="0" w:color="auto" w:frame="1"/>
          <w:lang w:eastAsia="en-GB"/>
        </w:rPr>
        <w:t>) and C-terminus (</w:t>
      </w:r>
      <w:r w:rsidRPr="00AE2442">
        <w:rPr>
          <w:rFonts w:eastAsia="Times New Roman" w:cstheme="minorHAnsi"/>
          <w:i/>
          <w:color w:val="201F1E"/>
          <w:bdr w:val="none" w:sz="0" w:space="0" w:color="auto" w:frame="1"/>
          <w:lang w:eastAsia="en-GB"/>
        </w:rPr>
        <w:t>KCNQ1</w:t>
      </w:r>
      <w:r>
        <w:rPr>
          <w:rFonts w:eastAsia="Times New Roman" w:cstheme="minorHAnsi"/>
          <w:color w:val="201F1E"/>
          <w:bdr w:val="none" w:sz="0" w:space="0" w:color="auto" w:frame="1"/>
          <w:lang w:eastAsia="en-GB"/>
        </w:rPr>
        <w:t>/</w:t>
      </w:r>
      <w:r w:rsidRPr="00AE2442">
        <w:rPr>
          <w:rFonts w:eastAsia="Times New Roman" w:cstheme="minorHAnsi"/>
          <w:i/>
          <w:color w:val="201F1E"/>
          <w:bdr w:val="none" w:sz="0" w:space="0" w:color="auto" w:frame="1"/>
          <w:lang w:eastAsia="en-GB"/>
        </w:rPr>
        <w:t>KCNH2</w:t>
      </w:r>
      <w:r>
        <w:rPr>
          <w:rFonts w:eastAsia="Times New Roman" w:cstheme="minorHAnsi"/>
          <w:color w:val="201F1E"/>
          <w:bdr w:val="none" w:sz="0" w:space="0" w:color="auto" w:frame="1"/>
          <w:lang w:eastAsia="en-GB"/>
        </w:rPr>
        <w:t xml:space="preserve">) domains were characterised by high enrichment of case variants and &gt;95% probability of pathogenicity. Applying the customised rules, </w:t>
      </w:r>
      <w:r w:rsidR="00EF674F" w:rsidRPr="00EF674F">
        <w:rPr>
          <w:rFonts w:eastAsia="Times New Roman" w:cstheme="minorHAnsi"/>
          <w:color w:val="201F1E"/>
          <w:bdr w:val="none" w:sz="0" w:space="0" w:color="auto" w:frame="1"/>
          <w:lang w:eastAsia="en-GB"/>
        </w:rPr>
        <w:t>17.4</w:t>
      </w:r>
      <w:r w:rsidRPr="00EF674F">
        <w:rPr>
          <w:rFonts w:eastAsia="Times New Roman" w:cstheme="minorHAnsi"/>
          <w:color w:val="201F1E"/>
          <w:bdr w:val="none" w:sz="0" w:space="0" w:color="auto" w:frame="1"/>
          <w:lang w:eastAsia="en-GB"/>
        </w:rPr>
        <w:t>%</w:t>
      </w:r>
      <w:r>
        <w:rPr>
          <w:rFonts w:eastAsia="Times New Roman" w:cstheme="minorHAnsi"/>
          <w:color w:val="201F1E"/>
          <w:bdr w:val="none" w:sz="0" w:space="0" w:color="auto" w:frame="1"/>
          <w:lang w:eastAsia="en-GB"/>
        </w:rPr>
        <w:t xml:space="preserve"> of European BrS and </w:t>
      </w:r>
      <w:r w:rsidR="00EF674F" w:rsidRPr="00EF674F">
        <w:rPr>
          <w:rFonts w:eastAsia="Times New Roman" w:cstheme="minorHAnsi"/>
          <w:color w:val="201F1E"/>
          <w:bdr w:val="none" w:sz="0" w:space="0" w:color="auto" w:frame="1"/>
          <w:lang w:eastAsia="en-GB"/>
        </w:rPr>
        <w:t>74.8</w:t>
      </w:r>
      <w:r w:rsidRPr="00EF674F">
        <w:rPr>
          <w:rFonts w:eastAsia="Times New Roman" w:cstheme="minorHAnsi"/>
          <w:color w:val="201F1E"/>
          <w:bdr w:val="none" w:sz="0" w:space="0" w:color="auto" w:frame="1"/>
          <w:lang w:eastAsia="en-GB"/>
        </w:rPr>
        <w:t>%</w:t>
      </w:r>
      <w:r>
        <w:rPr>
          <w:rFonts w:eastAsia="Times New Roman" w:cstheme="minorHAnsi"/>
          <w:color w:val="201F1E"/>
          <w:bdr w:val="none" w:sz="0" w:space="0" w:color="auto" w:frame="1"/>
          <w:lang w:eastAsia="en-GB"/>
        </w:rPr>
        <w:t xml:space="preserve"> of</w:t>
      </w:r>
      <w:r w:rsidRPr="004C21E4">
        <w:rPr>
          <w:rFonts w:eastAsia="Times New Roman" w:cstheme="minorHAnsi"/>
          <w:color w:val="201F1E"/>
          <w:bdr w:val="none" w:sz="0" w:space="0" w:color="auto" w:frame="1"/>
          <w:lang w:eastAsia="en-GB"/>
        </w:rPr>
        <w:t xml:space="preserve"> </w:t>
      </w:r>
      <w:r>
        <w:rPr>
          <w:rFonts w:eastAsia="Times New Roman" w:cstheme="minorHAnsi"/>
          <w:color w:val="201F1E"/>
          <w:bdr w:val="none" w:sz="0" w:space="0" w:color="auto" w:frame="1"/>
          <w:lang w:eastAsia="en-GB"/>
        </w:rPr>
        <w:t xml:space="preserve">European LQTS cases had </w:t>
      </w:r>
      <w:r>
        <w:t>(likely) pathogenic</w:t>
      </w:r>
      <w:r w:rsidR="002D6AF3">
        <w:t xml:space="preserve"> variants</w:t>
      </w:r>
      <w:r>
        <w:t xml:space="preserve">, compared to estimated diagnostic yields (case excess over gnomAD) of </w:t>
      </w:r>
      <w:r w:rsidR="00EF674F" w:rsidRPr="00EF674F">
        <w:t>19.2</w:t>
      </w:r>
      <w:r w:rsidRPr="00EF674F">
        <w:t>%</w:t>
      </w:r>
      <w:r w:rsidR="00EF674F" w:rsidRPr="00EF674F">
        <w:t>/82.1</w:t>
      </w:r>
      <w:r w:rsidRPr="00EF674F">
        <w:t>%</w:t>
      </w:r>
      <w:r w:rsidR="00EF674F" w:rsidRPr="00EF674F">
        <w:t>,</w:t>
      </w:r>
      <w:r w:rsidR="00EF674F">
        <w:t xml:space="preserve"> reducing </w:t>
      </w:r>
      <w:r w:rsidR="00E3562D">
        <w:t xml:space="preserve">VUS </w:t>
      </w:r>
      <w:r w:rsidR="00EF674F">
        <w:t>prevalence</w:t>
      </w:r>
      <w:r w:rsidR="002D6AF3">
        <w:t xml:space="preserve"> </w:t>
      </w:r>
      <w:r w:rsidR="00EF674F">
        <w:t xml:space="preserve">to </w:t>
      </w:r>
      <w:r w:rsidR="00E3562D">
        <w:t>close to background rare variant frequency.</w:t>
      </w:r>
    </w:p>
    <w:p w14:paraId="0AC98DC2" w14:textId="1DA92F6F" w:rsidR="00622B57" w:rsidRDefault="00622B57" w:rsidP="00521E45">
      <w:pPr>
        <w:pStyle w:val="ListParagraph"/>
        <w:shd w:val="clear" w:color="auto" w:fill="FFFFFF"/>
        <w:spacing w:after="0" w:line="480" w:lineRule="auto"/>
        <w:ind w:left="0"/>
        <w:textAlignment w:val="baseline"/>
        <w:rPr>
          <w:rFonts w:eastAsia="Times New Roman" w:cstheme="minorHAnsi"/>
          <w:color w:val="201F1E"/>
          <w:bdr w:val="none" w:sz="0" w:space="0" w:color="auto" w:frame="1"/>
          <w:lang w:eastAsia="en-GB"/>
        </w:rPr>
      </w:pPr>
      <w:r w:rsidRPr="00B23938">
        <w:rPr>
          <w:rFonts w:eastAsia="Times New Roman" w:cstheme="minorHAnsi"/>
          <w:b/>
          <w:color w:val="201F1E"/>
          <w:bdr w:val="none" w:sz="0" w:space="0" w:color="auto" w:frame="1"/>
          <w:lang w:eastAsia="en-GB"/>
        </w:rPr>
        <w:t>Conclusion</w:t>
      </w:r>
      <w:r>
        <w:rPr>
          <w:rFonts w:eastAsia="Times New Roman" w:cstheme="minorHAnsi"/>
          <w:color w:val="201F1E"/>
          <w:bdr w:val="none" w:sz="0" w:space="0" w:color="auto" w:frame="1"/>
          <w:lang w:eastAsia="en-GB"/>
        </w:rPr>
        <w:t>: Large case/control datasets enable quantitative implementation of ACMG/AMP guidelines and increased sensitivity for inherited arrhythmia genetic testing.</w:t>
      </w:r>
    </w:p>
    <w:p w14:paraId="487CC370" w14:textId="10740615" w:rsidR="003A3E31" w:rsidRDefault="003A3E31" w:rsidP="00521E45">
      <w:pPr>
        <w:spacing w:after="0" w:line="480" w:lineRule="auto"/>
        <w:rPr>
          <w:b/>
        </w:rPr>
      </w:pPr>
    </w:p>
    <w:p w14:paraId="2D473C22" w14:textId="36540A66" w:rsidR="00075E2C" w:rsidRDefault="00EC15A2" w:rsidP="00521E45">
      <w:pPr>
        <w:spacing w:after="0" w:line="480" w:lineRule="auto"/>
        <w:rPr>
          <w:b/>
        </w:rPr>
      </w:pPr>
      <w:r>
        <w:rPr>
          <w:b/>
        </w:rPr>
        <w:t xml:space="preserve">Keywords: </w:t>
      </w:r>
      <w:r w:rsidRPr="00EC15A2">
        <w:t>variant interpretation, LQTS, Brugada, ACMG/AMP guidelines</w:t>
      </w:r>
    </w:p>
    <w:p w14:paraId="20DAB02E" w14:textId="77777777" w:rsidR="00075E2C" w:rsidRDefault="00075E2C" w:rsidP="00521E45">
      <w:pPr>
        <w:rPr>
          <w:b/>
        </w:rPr>
      </w:pPr>
    </w:p>
    <w:p w14:paraId="00A5A7A9" w14:textId="77777777" w:rsidR="00075E2C" w:rsidRDefault="00075E2C" w:rsidP="00521E45">
      <w:pPr>
        <w:rPr>
          <w:b/>
        </w:rPr>
      </w:pPr>
    </w:p>
    <w:p w14:paraId="6E1DB4CA" w14:textId="77777777" w:rsidR="00075E2C" w:rsidRDefault="00075E2C" w:rsidP="00521E45">
      <w:pPr>
        <w:rPr>
          <w:b/>
        </w:rPr>
      </w:pPr>
    </w:p>
    <w:p w14:paraId="511FC425" w14:textId="77777777" w:rsidR="00EC15A2" w:rsidRDefault="00EC15A2" w:rsidP="00521E45">
      <w:pPr>
        <w:rPr>
          <w:b/>
        </w:rPr>
      </w:pPr>
    </w:p>
    <w:p w14:paraId="4AB49828" w14:textId="77777777" w:rsidR="00EC15A2" w:rsidRDefault="00EC15A2" w:rsidP="00521E45">
      <w:pPr>
        <w:rPr>
          <w:b/>
        </w:rPr>
      </w:pPr>
    </w:p>
    <w:p w14:paraId="0D3E12C5" w14:textId="77777777" w:rsidR="00EC15A2" w:rsidRDefault="00EC15A2" w:rsidP="00521E45">
      <w:pPr>
        <w:rPr>
          <w:b/>
        </w:rPr>
      </w:pPr>
    </w:p>
    <w:p w14:paraId="56F4ED7C" w14:textId="77777777" w:rsidR="00F45553" w:rsidRPr="00B775CA" w:rsidRDefault="00F45553" w:rsidP="00521E45">
      <w:pPr>
        <w:spacing w:after="0" w:line="480" w:lineRule="auto"/>
        <w:rPr>
          <w:b/>
          <w:caps/>
        </w:rPr>
      </w:pPr>
      <w:r w:rsidRPr="00B775CA">
        <w:rPr>
          <w:b/>
          <w:caps/>
        </w:rPr>
        <w:lastRenderedPageBreak/>
        <w:t>Introduction</w:t>
      </w:r>
    </w:p>
    <w:p w14:paraId="105AB09E" w14:textId="77777777" w:rsidR="00E02CD5" w:rsidRDefault="009405CF" w:rsidP="00521E45">
      <w:pPr>
        <w:spacing w:after="0" w:line="480" w:lineRule="auto"/>
      </w:pPr>
      <w:r>
        <w:t>The accurate interpretation of genetic variants remains one of the key challenges in clinical genetic testing for inherited cardiac conditions</w:t>
      </w:r>
      <w:r w:rsidR="00460A17">
        <w:t xml:space="preserve">. It carries major clinical implications due to both the danger of assigning causality to variants that are in fact benign (false positive findings) as well as the possibility that variants that are truly causal are considered as “variants of uncertain significance”. </w:t>
      </w:r>
      <w:r w:rsidR="00E10290">
        <w:t>The relatively high rate of rare benign variants in many genes (revealed by population sequencing studies such as gnomAD), and the subsequent debunking of many gene and variant associations with disease in the scientific literature</w:t>
      </w:r>
      <w:r w:rsidR="008D3AAA">
        <w:fldChar w:fldCharType="begin" w:fldLock="1"/>
      </w:r>
      <w:r w:rsidR="00F22092">
        <w:instrText>ADDIN CSL_CITATION {"citationItems":[{"id":"ITEM-1","itemData":{"DOI":"10.1038/gim.2016.90","ISSN":"1530-0366","PMID":"27532257","abstract":"PURPOSE The accurate interpretation of variation in Mendelian disease genes has lagged behind data generation as sequencing has become increasingly accessible. Ongoing large sequencing efforts present huge interpretive challenges, but they also provide an invaluable opportunity to characterize the spectrum and importance of rare variation. METHODS We analyzed sequence data from 7,855 clinical cardiomyopathy cases and 60,706 Exome Aggregation Consortium (ExAC) reference samples to obtain a better understanding of genetic variation in a representative autosomal dominant disorder. RESULTS We found that in some genes previously reported as important causes of a given cardiomyopathy, rare variation is not clinically informative because there is an unacceptably high likelihood of false-positive interpretation. By contrast, in other genes, we find that diagnostic laboratories may be overly conservative when assessing variant pathogenicity. CONCLUSIONS We outline improved analytical approaches that evaluate which genes and variant classes are interpretable and propose that these will increase the clinical utility of testing across a range of Mendelian diseases.Genet Med 19 2, 192-203.","author":[{"dropping-particle":"","family":"Walsh","given":"Roddy","non-dropping-particle":"","parse-names":false,"suffix":""},{"dropping-particle":"","family":"Thomson","given":"Kate L","non-dropping-particle":"","parse-names":false,"suffix":""},{"dropping-particle":"","family":"Ware","given":"James S","non-dropping-particle":"","parse-names":false,"suffix":""},{"dropping-particle":"","family":"Funke","given":"Birgit H","non-dropping-particle":"","parse-names":false,"suffix":""},{"dropping-particle":"","family":"Woodley","given":"Jessica","non-dropping-particle":"","parse-names":false,"suffix":""},{"dropping-particle":"","family":"McGuire","given":"Karen J","non-dropping-particle":"","parse-names":false,"suffix":""},{"dropping-particle":"","family":"Mazzarotto","given":"Francesco","non-dropping-particle":"","parse-names":false,"suffix":""},{"dropping-particle":"","family":"Blair","given":"Edward","non-dropping-particle":"","parse-names":false,"suffix":""},{"dropping-particle":"","family":"Seller","given":"Anneke","non-dropping-particle":"","parse-names":false,"suffix":""},{"dropping-particle":"","family":"Taylor","given":"Jenny C","non-dropping-particle":"","parse-names":false,"suffix":""},{"dropping-particle":"V","family":"Minikel","given":"Eric","non-dropping-particle":"","parse-names":false,"suffix":""},{"dropping-particle":"","family":"Exome Aggregation Consortium","given":"","non-dropping-particle":"","parse-names":false,"suffix":""},{"dropping-particle":"","family":"MacArthur","given":"Daniel G","non-dropping-particle":"","parse-names":false,"suffix":""},{"dropping-particle":"","family":"Farrall","given":"Martin","non-dropping-particle":"","parse-names":false,"suffix":""},{"dropping-particle":"","family":"Cook","given":"Stuart A","non-dropping-particle":"","parse-names":false,"suffix":""},{"dropping-particle":"","family":"Watkins","given":"Hugh","non-dropping-particle":"","parse-names":false,"suffix":""}],"container-title":"Genetics in medicine : official journal of the American College of Medical Genetics","id":"ITEM-1","issue":"2","issued":{"date-parts":[["2017","2","17"]]},"page":"192-203","title":"Reassessment of Mendelian gene pathogenicity using 7,855 cardiomyopathy cases and 60,706 reference samples.","type":"article-journal","volume":"19"},"uris":["http://www.mendeley.com/documents/?uuid=21b32d21-1956-4b62-9f24-7886f639eccf"]},{"id":"ITEM-2","itemData":{"DOI":"10.1161/CIRCULATIONAHA.118.035070","ISSN":"1524-4539","PMID":"29959160","abstract":"BACKGROUND Implicit in the genetic evaluation of patients with suspected genetic diseases is the assumption that the genes evaluated are causative for the disease based on robust scientific and statistical evidence. However, in the past 20 years, considerable variability has existed in the study design and quality of evidence supporting reported gene-disease associations, raising concerns of the validity of many published disease-causing genes. Brugada syndrome (BrS) is an arrhythmia syndrome with a risk of sudden death. More than 20 genes have been reported to cause BrS and are assessed routinely on genetic testing panels in the absence of a systematic, evidence-based evaluation of the evidence supporting the causality of these genes. METHODS We evaluated the clinical validity of genes tested by diagnostic laboratories for BrS by assembling 3 gene curation teams. Using an evidence-based semiquantitative scoring system of genetic and experimental evidence for gene-disease associations, curation teams independently classified genes as demonstrating limited, moderate, strong, or definitive evidence for disease causation in BrS. The classification of curator teams was reviewed by a clinical domain expert panel that could modify the classifications based on their independent review and consensus. RESULTS Of 21 genes curated for clinical validity, biocurators classified only 1 gene ( SCN5A) as definitive evidence, whereas all other genes were classified as limited evidence. After comprehensive review by the clinical domain Expert panel, all 20 genes classified as limited evidence were reclassified as disputed with regard to any assertions of disease causality for BrS. CONCLUSIONS Our results contest the clinical validity of all but 1 gene clinically tested and reported to be associated with BrS. These findings warrant a systematic, evidence-based evaluation for reported gene-disease associations before use in patient care.","author":[{"dropping-particle":"","family":"Hosseini","given":"S Mohsen","non-dropping-particle":"","parse-names":false,"suffix":""},{"dropping-particle":"","family":"Kim","given":"Raymond","non-dropping-particle":"","parse-names":false,"suffix":""},{"dropping-particle":"","family":"Udupa","given":"Sharmila","non-dropping-particle":"","parse-names":false,"suffix":""},{"dropping-particle":"","family":"Costain","given":"Gregory","non-dropping-particle":"","parse-names":false,"suffix":""},{"dropping-particle":"","family":"Jobling","given":"Rebekah","non-dropping-particle":"","parse-names":false,"suffix":""},{"dropping-particle":"","family":"Liston","given":"Eriskay","non-dropping-particle":"","parse-names":false,"suffix":""},{"dropping-particle":"","family":"Jamal","given":"Seema M","non-dropping-particle":"","parse-names":false,"suffix":""},{"dropping-particle":"","family":"Szybowska","given":"Marta","non-dropping-particle":"","parse-names":false,"suffix":""},{"dropping-particle":"","family":"Morel","given":"Chantal F","non-dropping-particle":"","parse-names":false,"suffix":""},{"dropping-particle":"","family":"Bowdin","given":"Sarah","non-dropping-particle":"","parse-names":false,"suffix":""},{"dropping-particle":"","family":"Garcia","given":"John","non-dropping-particle":"","parse-names":false,"suffix":""},{"dropping-particle":"","family":"Care","given":"Melanie","non-dropping-particle":"","parse-names":false,"suffix":""},{"dropping-particle":"","family":"Sturm","given":"Amy C","non-dropping-particle":"","parse-names":false,"suffix":""},{"dropping-particle":"","family":"Novelli","given":"Valeria","non-dropping-particle":"","parse-names":false,"suffix":""},{"dropping-particle":"","family":"Ackerman","given":"Michael J","non-dropping-particle":"","parse-names":false,"suffix":""},{"dropping-particle":"","family":"Ware","given":"James S","non-dropping-particle":"","parse-names":false,"suffix":""},{"dropping-particle":"","family":"Hershberger","given":"Ray E","non-dropping-particle":"","parse-names":false,"suffix":""},{"dropping-particle":"","family":"Wilde","given":"Arthur A M","non-dropping-particle":"","parse-names":false,"suffix":""},{"dropping-particle":"","family":"Gollob","given":"Michael H","non-dropping-particle":"","parse-names":false,"suffix":""},{"dropping-particle":"","family":"National Institutes of Health Clinical Genome Resource Consortium","given":"","non-dropping-particle":"","parse-names":false,"suffix":""}],"container-title":"Circulation","id":"ITEM-2","issue":"12","issued":{"date-parts":[["2018","6","18"]]},"page":"1195-1205","title":"Reappraisal of Reported Genes for Sudden Arrhythmic Death.","type":"article-journal","volume":"138"},"uris":["http://www.mendeley.com/documents/?uuid=04cec1cb-76f3-41c3-8deb-2d9fea38fd10"]}],"mendeley":{"formattedCitation":"&lt;sup&gt;1,2&lt;/sup&gt;","plainTextFormattedCitation":"1,2","previouslyFormattedCitation":"&lt;sup&gt;1,2&lt;/sup&gt;"},"properties":{"noteIndex":0},"schema":"https://github.com/citation-style-language/schema/raw/master/csl-citation.json"}</w:instrText>
      </w:r>
      <w:r w:rsidR="008D3AAA">
        <w:fldChar w:fldCharType="separate"/>
      </w:r>
      <w:r w:rsidR="00F22092" w:rsidRPr="00F22092">
        <w:rPr>
          <w:noProof/>
          <w:vertAlign w:val="superscript"/>
        </w:rPr>
        <w:t>1,2</w:t>
      </w:r>
      <w:r w:rsidR="008D3AAA">
        <w:fldChar w:fldCharType="end"/>
      </w:r>
      <w:r w:rsidR="00E10290">
        <w:t xml:space="preserve">, has highlighted the extent of this challenge </w:t>
      </w:r>
      <w:r w:rsidR="00C34A12">
        <w:t>and the danger</w:t>
      </w:r>
      <w:r w:rsidR="00E10290">
        <w:t xml:space="preserve"> of false positive classifications. </w:t>
      </w:r>
    </w:p>
    <w:p w14:paraId="2426DAC1" w14:textId="77777777" w:rsidR="00D75B9A" w:rsidRDefault="00D75B9A" w:rsidP="00521E45">
      <w:pPr>
        <w:spacing w:after="0" w:line="480" w:lineRule="auto"/>
      </w:pPr>
    </w:p>
    <w:p w14:paraId="0D4797ED" w14:textId="3BEE6445" w:rsidR="00F45553" w:rsidRDefault="009405CF" w:rsidP="00521E45">
      <w:pPr>
        <w:spacing w:after="0" w:line="480" w:lineRule="auto"/>
      </w:pPr>
      <w:r>
        <w:t>Variant interpretation guidelines produced by the American College of Medical Genetics and Genomics and the Association for Molecular Pathology (ACMG/AMP)</w:t>
      </w:r>
      <w:r w:rsidR="00E10290">
        <w:t xml:space="preserve"> in 2015</w:t>
      </w:r>
      <w:r>
        <w:t xml:space="preserve"> have brought much needed consistency and stringency to variant classification in both clinical and research laboratories</w:t>
      </w:r>
      <w:r w:rsidR="00E10290">
        <w:fldChar w:fldCharType="begin" w:fldLock="1"/>
      </w:r>
      <w:r w:rsidR="00F22092">
        <w:instrText>ADDIN CSL_CITATION {"citationItems":[{"id":"ITEM-1","itemData":{"DOI":"10.1038/gim.2015.30","ISSN":"1098-3600","author":[{"dropping-particle":"","family":"Richards","given":"Sue","non-dropping-particle":"","parse-names":false,"suffix":""},{"dropping-particle":"","family":"Aziz","given":"Nazneen","non-dropping-particle":"","parse-names":false,"suffix":""},{"dropping-particle":"","family":"Bale","given":"Sherri","non-dropping-particle":"","parse-names":false,"suffix":""},{"dropping-particle":"","family":"Bick","given":"David","non-dropping-particle":"","parse-names":false,"suffix":""},{"dropping-particle":"","family":"Das","given":"Soma","non-dropping-particle":"","parse-names":false,"suffix":""},{"dropping-particle":"","family":"Gastier-Foster","given":"Julie","non-dropping-particle":"","parse-names":false,"suffix":""},{"dropping-particle":"","family":"Grody","given":"Wayne W.","non-dropping-particle":"","parse-names":false,"suffix":""},{"dropping-particle":"","family":"Hegde","given":"Madhuri","non-dropping-particle":"","parse-names":false,"suffix":""},{"dropping-particle":"","family":"Lyon","given":"Elaine","non-dropping-particle":"","parse-names":false,"suffix":""},{"dropping-particle":"","family":"Spector","given":"Elaine","non-dropping-particle":"","parse-names":false,"suffix":""},{"dropping-particle":"","family":"Voelkerding","given":"Karl","non-dropping-particle":"","parse-names":false,"suffix":""},{"dropping-particle":"","family":"Rehm","given":"Heidi L.","non-dropping-particle":"","parse-names":false,"suffix":""}],"container-title":"Genetics in Medicine","id":"ITEM-1","issue":"5","issued":{"date-parts":[["2015","5","5"]]},"page":"405-423","title":"Standards and guidelines for the interpretation of sequence variants: a joint consensus recommendation of the American College of Medical Genetics and Genomics and the Association for Molecular Pathology","type":"article-journal","volume":"17"},"uris":["http://www.mendeley.com/documents/?uuid=aa3c211c-1e40-4e48-9d8b-799a3b7ec11c"]}],"mendeley":{"formattedCitation":"&lt;sup&gt;3&lt;/sup&gt;","plainTextFormattedCitation":"3","previouslyFormattedCitation":"&lt;sup&gt;3&lt;/sup&gt;"},"properties":{"noteIndex":0},"schema":"https://github.com/citation-style-language/schema/raw/master/csl-citation.json"}</w:instrText>
      </w:r>
      <w:r w:rsidR="00E10290">
        <w:fldChar w:fldCharType="separate"/>
      </w:r>
      <w:r w:rsidR="00F22092" w:rsidRPr="00F22092">
        <w:rPr>
          <w:noProof/>
          <w:vertAlign w:val="superscript"/>
        </w:rPr>
        <w:t>3</w:t>
      </w:r>
      <w:r w:rsidR="00E10290">
        <w:fldChar w:fldCharType="end"/>
      </w:r>
      <w:r>
        <w:t xml:space="preserve">. </w:t>
      </w:r>
      <w:r w:rsidR="00D75B9A">
        <w:t xml:space="preserve">However, </w:t>
      </w:r>
      <w:r w:rsidR="008D3AAA">
        <w:t xml:space="preserve">standard implementation of such guidelines may lead to overly conservative interpretation and a substantial </w:t>
      </w:r>
      <w:r w:rsidR="00596A9C">
        <w:t>rate of variants of uncertain significance (VUS) in clinical genetic testing</w:t>
      </w:r>
      <w:r w:rsidR="00703D64">
        <w:fldChar w:fldCharType="begin" w:fldLock="1"/>
      </w:r>
      <w:r w:rsidR="00F22092">
        <w:instrText>ADDIN CSL_CITATION {"citationItems":[{"id":"ITEM-1","itemData":{"DOI":"10.1186/s13073-019-0616-z","ISSN":"1756-994X","PMID":"30696458","abstract":"BACKGROUND International guidelines for variant interpretation in Mendelian disease set stringent criteria to report a variant as (likely) pathogenic, prioritising control of false-positive rate over test sensitivity and diagnostic yield. Genetic testing is also more likely informative in individuals with well-characterised variants from extensively studied European-ancestry populations. Inherited cardiomyopathies are relatively common Mendelian diseases that allow empirical calibration and assessment of this framework. METHODS We compared rare variants in large hypertrophic cardiomyopathy (HCM) cohorts (up to 6179 cases) to reference populations to identify variant classes with high prior likelihoods of pathogenicity, as defined by etiological fraction (EF). We analysed the distribution of variants using a bespoke unsupervised clustering algorithm to identify gene regions in which variants are significantly clustered in cases. RESULTS Analysis of variant distribution identified regions in which variants are significantly enriched in cases and variant location was a better discriminator of pathogenicity than generic computational functional prediction algorithms. Non-truncating variant classes with an EF ≥ 0.95 were identified in five established HCM genes. Applying this approach leads to an estimated 14-20% increase in cases with actionable HCM variants, i.e. variants classified as pathogenic/likely pathogenic that might be used for predictive testing in probands' relatives. CONCLUSIONS When found in a patient confirmed to have disease, novel variants in some genes and regions are empirically shown to have a sufficiently high probability of pathogenicity to support a \"likely pathogenic\" classification, even without additional segregation or functional data. This could increase the yield of high confidence actionable variants, consistent with the framework and recommendations of current guidelines. The techniques outlined offer a consistent and unbiased approach to variant interpretation for Mendelian disease genetic testing. We propose adaptations to ACMG/AMP guidelines to incorporate such evidence in a quantitative and transparent manner.","author":[{"dropping-particle":"","family":"Walsh","given":"Roddy","non-dropping-particle":"","parse-names":false,"suffix":""},{"dropping-particle":"","family":"Mazzarotto","given":"Francesco","non-dropping-particle":"","parse-names":false,"suffix":""},{"dropping-particle":"","family":"Whiffin","given":"Nicola","non-dropping-particle":"","parse-names":false,"suffix":""},{"dropping-particle":"","family":"Buchan","given":"Rachel","non-dropping-particle":"","parse-names":false,"suffix":""},{"dropping-particle":"","family":"Midwinter","given":"William","non-dropping-particle":"","parse-names":false,"suffix":""},{"dropping-particle":"","family":"Wilk","given":"Alicja","non-dropping-particle":"","parse-names":false,"suffix":""},{"dropping-particle":"","family":"Li","given":"Nicholas","non-dropping-particle":"","parse-names":false,"suffix":""},{"dropping-particle":"","family":"Felkin","given":"Leanne","non-dropping-particle":"","parse-names":false,"suffix":""},{"dropping-particle":"","family":"Ingold","given":"Nathan","non-dropping-particle":"","parse-names":false,"suffix":""},{"dropping-particle":"","family":"Govind","given":"Risha","non-dropping-particle":"","parse-names":false,"suffix":""},{"dropping-particle":"","family":"Ahmad","given":"Mian","non-dropping-particle":"","parse-names":false,"suffix":""},{"dropping-particle":"","family":"Mazaika","given":"Erica","non-dropping-particle":"","parse-names":false,"suffix":""},{"dropping-particle":"","family":"Allouba","given":"Mona","non-dropping-particle":"","parse-names":false,"suffix":""},{"dropping-particle":"","family":"Zhang","given":"Xiaolei","non-dropping-particle":"","parse-names":false,"suffix":""},{"dropping-particle":"","family":"Marvao","given":"Antonio","non-dropping-particle":"de","parse-names":false,"suffix":""},{"dropping-particle":"","family":"Day","given":"Sharlene M","non-dropping-particle":"","parse-names":false,"suffix":""},{"dropping-particle":"","family":"Ashley","given":"Euan","non-dropping-particle":"","parse-names":false,"suffix":""},{"dropping-particle":"","family":"Colan","given":"Steven D","non-dropping-particle":"","parse-names":false,"suffix":""},{"dropping-particle":"","family":"Michels","given":"Michelle","non-dropping-particle":"","parse-names":false,"suffix":""},{"dropping-particle":"","family":"Pereira","given":"Alexandre C","non-dropping-particle":"","parse-names":false,"suffix":""},{"dropping-particle":"","family":"Jacoby","given":"Daniel","non-dropping-particle":"","parse-names":false,"suffix":""},{"dropping-particle":"","family":"Ho","given":"Carolyn Y","non-dropping-particle":"","parse-names":false,"suffix":""},{"dropping-particle":"","family":"Thomson","given":"Kate L","non-dropping-particle":"","parse-names":false,"suffix":""},{"dropping-particle":"","family":"Watkins","given":"Hugh","non-dropping-particle":"","parse-names":false,"suffix":""},{"dropping-particle":"","family":"Barton","given":"Paul J R","non-dropping-particle":"","parse-names":false,"suffix":""},{"dropping-particle":"","family":"Olivotto","given":"Iacopo","non-dropping-particle":"","parse-names":false,"suffix":""},{"dropping-particle":"","family":"Cook","given":"Stuart A","non-dropping-particle":"","parse-names":false,"suffix":""},{"dropping-particle":"","family":"Ware","given":"James S","non-dropping-particle":"","parse-names":false,"suffix":""}],"container-title":"Genome medicine","id":"ITEM-1","issue":"1","issued":{"date-parts":[["2019","1","29"]]},"page":"5","title":"Quantitative approaches to variant classification increase the yield and precision of genetic testing in Mendelian diseases: the case of hypertrophic cardiomyopathy.","type":"article-journal","volume":"11"},"uris":["http://www.mendeley.com/documents/?uuid=ca8fd3d6-c118-4015-b400-b49fd899a460"]}],"mendeley":{"formattedCitation":"&lt;sup&gt;4&lt;/sup&gt;","plainTextFormattedCitation":"4","previouslyFormattedCitation":"&lt;sup&gt;4&lt;/sup&gt;"},"properties":{"noteIndex":0},"schema":"https://github.com/citation-style-language/schema/raw/master/csl-citation.json"}</w:instrText>
      </w:r>
      <w:r w:rsidR="00703D64">
        <w:fldChar w:fldCharType="separate"/>
      </w:r>
      <w:r w:rsidR="00F22092" w:rsidRPr="00F22092">
        <w:rPr>
          <w:noProof/>
          <w:vertAlign w:val="superscript"/>
        </w:rPr>
        <w:t>4</w:t>
      </w:r>
      <w:r w:rsidR="00703D64">
        <w:fldChar w:fldCharType="end"/>
      </w:r>
      <w:r w:rsidR="00596A9C">
        <w:t xml:space="preserve">. </w:t>
      </w:r>
      <w:r w:rsidR="00926CFA">
        <w:t xml:space="preserve">Interpretation is particularly challenging for non-truncating variants, i.e. those causing minor alterations in the protein sequence while preserving the reading frame (the majority of which are missense variants) whose functional consequences are harder to predict. For diseases with high allelic heterogeneity (i.e. thousands of potential disease-causing variants) </w:t>
      </w:r>
      <w:r w:rsidR="009F2FBA">
        <w:t xml:space="preserve">and </w:t>
      </w:r>
      <w:r w:rsidR="008D3AAA">
        <w:t xml:space="preserve">where </w:t>
      </w:r>
      <w:r w:rsidR="00926CFA">
        <w:t xml:space="preserve">non-truncating </w:t>
      </w:r>
      <w:r w:rsidR="008D3AAA">
        <w:t>variants are the predominant pathogenic variant class</w:t>
      </w:r>
      <w:r w:rsidR="00596A9C">
        <w:t>, this can correspond to a high rate of false negative results</w:t>
      </w:r>
      <w:r w:rsidR="009F2FBA">
        <w:t xml:space="preserve">, evidenced </w:t>
      </w:r>
      <w:r w:rsidR="00596A9C">
        <w:t>when the frequency of VUS in cases exceeds the background rare variant frequency</w:t>
      </w:r>
      <w:r w:rsidR="008D3AAA">
        <w:fldChar w:fldCharType="begin" w:fldLock="1"/>
      </w:r>
      <w:r w:rsidR="00F22092">
        <w:instrText>ADDIN CSL_CITATION {"citationItems":[{"id":"ITEM-1","itemData":{"DOI":"10.1038/gim.2016.90","ISSN":"1530-0366","PMID":"27532257","abstract":"PURPOSE The accurate interpretation of variation in Mendelian disease genes has lagged behind data generation as sequencing has become increasingly accessible. Ongoing large sequencing efforts present huge interpretive challenges, but they also provide an invaluable opportunity to characterize the spectrum and importance of rare variation. METHODS We analyzed sequence data from 7,855 clinical cardiomyopathy cases and 60,706 Exome Aggregation Consortium (ExAC) reference samples to obtain a better understanding of genetic variation in a representative autosomal dominant disorder. RESULTS We found that in some genes previously reported as important causes of a given cardiomyopathy, rare variation is not clinically informative because there is an unacceptably high likelihood of false-positive interpretation. By contrast, in other genes, we find that diagnostic laboratories may be overly conservative when assessing variant pathogenicity. CONCLUSIONS We outline improved analytical approaches that evaluate which genes and variant classes are interpretable and propose that these will increase the clinical utility of testing across a range of Mendelian diseases.Genet Med 19 2, 192-203.","author":[{"dropping-particle":"","family":"Walsh","given":"Roddy","non-dropping-particle":"","parse-names":false,"suffix":""},{"dropping-particle":"","family":"Thomson","given":"Kate L","non-dropping-particle":"","parse-names":false,"suffix":""},{"dropping-particle":"","family":"Ware","given":"James S","non-dropping-particle":"","parse-names":false,"suffix":""},{"dropping-particle":"","family":"Funke","given":"Birgit H","non-dropping-particle":"","parse-names":false,"suffix":""},{"dropping-particle":"","family":"Woodley","given":"Jessica","non-dropping-particle":"","parse-names":false,"suffix":""},{"dropping-particle":"","family":"McGuire","given":"Karen J","non-dropping-particle":"","parse-names":false,"suffix":""},{"dropping-particle":"","family":"Mazzarotto","given":"Francesco","non-dropping-particle":"","parse-names":false,"suffix":""},{"dropping-particle":"","family":"Blair","given":"Edward","non-dropping-particle":"","parse-names":false,"suffix":""},{"dropping-particle":"","family":"Seller","given":"Anneke","non-dropping-particle":"","parse-names":false,"suffix":""},{"dropping-particle":"","family":"Taylor","given":"Jenny C","non-dropping-particle":"","parse-names":false,"suffix":""},{"dropping-particle":"V","family":"Minikel","given":"Eric","non-dropping-particle":"","parse-names":false,"suffix":""},{"dropping-particle":"","family":"Exome Aggregation Consortium","given":"","non-dropping-particle":"","parse-names":false,"suffix":""},{"dropping-particle":"","family":"MacArthur","given":"Daniel G","non-dropping-particle":"","parse-names":false,"suffix":""},{"dropping-particle":"","family":"Farrall","given":"Martin","non-dropping-particle":"","parse-names":false,"suffix":""},{"dropping-particle":"","family":"Cook","given":"Stuart A","non-dropping-particle":"","parse-names":false,"suffix":""},{"dropping-particle":"","family":"Watkins","given":"Hugh","non-dropping-particle":"","parse-names":false,"suffix":""}],"container-title":"Genetics in medicine : official journal of the American College of Medical Genetics","id":"ITEM-1","issue":"2","issued":{"date-parts":[["2017","2","17"]]},"page":"192-203","title":"Reassessment of Mendelian gene pathogenicity using 7,855 cardiomyopathy cases and 60,706 reference samples.","type":"article-journal","volume":"19"},"uris":["http://www.mendeley.com/documents/?uuid=21b32d21-1956-4b62-9f24-7886f639eccf"]}],"mendeley":{"formattedCitation":"&lt;sup&gt;1&lt;/sup&gt;","plainTextFormattedCitation":"1","previouslyFormattedCitation":"&lt;sup&gt;1&lt;/sup&gt;"},"properties":{"noteIndex":0},"schema":"https://github.com/citation-style-language/schema/raw/master/csl-citation.json"}</w:instrText>
      </w:r>
      <w:r w:rsidR="008D3AAA">
        <w:fldChar w:fldCharType="separate"/>
      </w:r>
      <w:r w:rsidR="00F22092" w:rsidRPr="00F22092">
        <w:rPr>
          <w:noProof/>
          <w:vertAlign w:val="superscript"/>
        </w:rPr>
        <w:t>1</w:t>
      </w:r>
      <w:r w:rsidR="008D3AAA">
        <w:fldChar w:fldCharType="end"/>
      </w:r>
      <w:r w:rsidR="008D3AAA">
        <w:t>.</w:t>
      </w:r>
    </w:p>
    <w:p w14:paraId="01A2F6E8" w14:textId="77777777" w:rsidR="00D75B9A" w:rsidRPr="00460A17" w:rsidRDefault="00D75B9A" w:rsidP="00521E45">
      <w:pPr>
        <w:spacing w:after="0" w:line="480" w:lineRule="auto"/>
        <w:rPr>
          <w:b/>
        </w:rPr>
      </w:pPr>
    </w:p>
    <w:p w14:paraId="78BDF390" w14:textId="77777777" w:rsidR="00E02CD5" w:rsidRDefault="00DB39CA" w:rsidP="00521E45">
      <w:pPr>
        <w:spacing w:after="0" w:line="480" w:lineRule="auto"/>
      </w:pPr>
      <w:r>
        <w:t xml:space="preserve">Brugada syndrome (BrS) and Long QT syndrome (LQTS) are inherited </w:t>
      </w:r>
      <w:r w:rsidR="00D15166">
        <w:t>disorders</w:t>
      </w:r>
      <w:r>
        <w:t xml:space="preserve"> </w:t>
      </w:r>
      <w:r w:rsidR="00B902F4">
        <w:t>that can cause severe arrhythmogenic events and sudden ca</w:t>
      </w:r>
      <w:r w:rsidR="00AF3930">
        <w:t xml:space="preserve">rdiac death in young </w:t>
      </w:r>
      <w:r w:rsidR="006971CC">
        <w:t>individuals</w:t>
      </w:r>
      <w:r w:rsidR="00B902F4">
        <w:t xml:space="preserve">. Pathogenic variants in three genes account for the vast majority of </w:t>
      </w:r>
      <w:r w:rsidR="00C34A12">
        <w:t>genotype-</w:t>
      </w:r>
      <w:r w:rsidR="00B902F4">
        <w:t>positive cases for these conditions</w:t>
      </w:r>
      <w:r w:rsidR="000169F1">
        <w:t xml:space="preserve">. These 3 genes </w:t>
      </w:r>
      <w:r w:rsidR="000169F1">
        <w:lastRenderedPageBreak/>
        <w:t xml:space="preserve">code for </w:t>
      </w:r>
      <w:r w:rsidR="000169F1" w:rsidRPr="00455888">
        <w:rPr>
          <w:rFonts w:ascii="Symbol" w:hAnsi="Symbol"/>
        </w:rPr>
        <w:t></w:t>
      </w:r>
      <w:r w:rsidR="000169F1">
        <w:t>-subunits of voltage-gated ion channels</w:t>
      </w:r>
      <w:r w:rsidR="00703D64">
        <w:t xml:space="preserve"> expressed in cardiomyocytes</w:t>
      </w:r>
      <w:r w:rsidR="000169F1">
        <w:t xml:space="preserve">: </w:t>
      </w:r>
      <w:r w:rsidR="000169F1" w:rsidRPr="00CE7B89">
        <w:rPr>
          <w:i/>
        </w:rPr>
        <w:t>SCN5A</w:t>
      </w:r>
      <w:r w:rsidR="000169F1">
        <w:t xml:space="preserve"> underlying the </w:t>
      </w:r>
      <w:r w:rsidR="00703D64">
        <w:t xml:space="preserve">cardiac </w:t>
      </w:r>
      <w:r w:rsidR="000169F1">
        <w:t>depolarizing sodium current (</w:t>
      </w:r>
      <w:proofErr w:type="spellStart"/>
      <w:r w:rsidR="000169F1" w:rsidRPr="00CE7B89">
        <w:rPr>
          <w:i/>
        </w:rPr>
        <w:t>I</w:t>
      </w:r>
      <w:r w:rsidR="000169F1" w:rsidRPr="00CE7B89">
        <w:rPr>
          <w:vertAlign w:val="subscript"/>
        </w:rPr>
        <w:t>Na</w:t>
      </w:r>
      <w:proofErr w:type="spellEnd"/>
      <w:r w:rsidR="000169F1">
        <w:t xml:space="preserve">), and </w:t>
      </w:r>
      <w:r w:rsidR="000169F1" w:rsidRPr="00CE7B89">
        <w:rPr>
          <w:i/>
        </w:rPr>
        <w:t>KCNH2</w:t>
      </w:r>
      <w:r w:rsidR="000169F1">
        <w:t xml:space="preserve"> and </w:t>
      </w:r>
      <w:r w:rsidR="000169F1" w:rsidRPr="00CE7B89">
        <w:rPr>
          <w:i/>
        </w:rPr>
        <w:t>KCNQ1</w:t>
      </w:r>
      <w:r w:rsidR="000169F1">
        <w:t xml:space="preserve"> underlying the rapid (</w:t>
      </w:r>
      <w:proofErr w:type="spellStart"/>
      <w:r w:rsidR="000169F1" w:rsidRPr="00CE7B89">
        <w:rPr>
          <w:i/>
        </w:rPr>
        <w:t>I</w:t>
      </w:r>
      <w:r w:rsidR="000169F1" w:rsidRPr="00CE7B89">
        <w:rPr>
          <w:vertAlign w:val="subscript"/>
        </w:rPr>
        <w:t>Kr</w:t>
      </w:r>
      <w:proofErr w:type="spellEnd"/>
      <w:r w:rsidR="000169F1">
        <w:t>) and slow (</w:t>
      </w:r>
      <w:r w:rsidR="000169F1" w:rsidRPr="00CE7B89">
        <w:rPr>
          <w:i/>
        </w:rPr>
        <w:t>I</w:t>
      </w:r>
      <w:r w:rsidR="000169F1" w:rsidRPr="00CE7B89">
        <w:rPr>
          <w:vertAlign w:val="subscript"/>
        </w:rPr>
        <w:t>Ks</w:t>
      </w:r>
      <w:r w:rsidR="000169F1">
        <w:t>) components of the repolarizing potassium delayed rectifier current.</w:t>
      </w:r>
      <w:r w:rsidR="00B902F4">
        <w:t xml:space="preserve"> </w:t>
      </w:r>
      <w:r w:rsidR="00DE732A">
        <w:t xml:space="preserve">Rare coding variants in </w:t>
      </w:r>
      <w:r w:rsidR="0095771E" w:rsidRPr="0095771E">
        <w:rPr>
          <w:i/>
        </w:rPr>
        <w:t>SCN5A</w:t>
      </w:r>
      <w:r w:rsidR="00C34A12">
        <w:t xml:space="preserve"> </w:t>
      </w:r>
      <w:r w:rsidR="00DE732A">
        <w:t xml:space="preserve">cause </w:t>
      </w:r>
      <w:r w:rsidR="00B67CE3">
        <w:t xml:space="preserve">BrS by a loss-of-function mechanism </w:t>
      </w:r>
      <w:r w:rsidR="000169F1">
        <w:t xml:space="preserve">while LQTS is caused by functional loss-of-function variants in </w:t>
      </w:r>
      <w:r w:rsidR="000169F1" w:rsidRPr="0095771E">
        <w:rPr>
          <w:i/>
        </w:rPr>
        <w:t>KCNQ1</w:t>
      </w:r>
      <w:r w:rsidR="000169F1">
        <w:t xml:space="preserve"> (LQT1) and </w:t>
      </w:r>
      <w:r w:rsidR="000169F1" w:rsidRPr="0095771E">
        <w:rPr>
          <w:i/>
        </w:rPr>
        <w:t>KCNH2</w:t>
      </w:r>
      <w:r w:rsidR="000169F1">
        <w:t xml:space="preserve"> (LQT2) or gain-of-function variants in </w:t>
      </w:r>
      <w:r w:rsidR="000169F1" w:rsidRPr="0095771E">
        <w:rPr>
          <w:i/>
        </w:rPr>
        <w:t>SCN5A</w:t>
      </w:r>
      <w:r w:rsidR="000169F1">
        <w:t xml:space="preserve"> (LQT3)</w:t>
      </w:r>
      <w:r w:rsidR="00B902F4">
        <w:t xml:space="preserve">. </w:t>
      </w:r>
    </w:p>
    <w:p w14:paraId="63E6DF1F" w14:textId="77777777" w:rsidR="00D75B9A" w:rsidRDefault="00D75B9A" w:rsidP="00521E45">
      <w:pPr>
        <w:spacing w:after="0" w:line="480" w:lineRule="auto"/>
      </w:pPr>
    </w:p>
    <w:p w14:paraId="0E9C0577" w14:textId="2A35C531" w:rsidR="009405CF" w:rsidRDefault="00B902F4" w:rsidP="00521E45">
      <w:pPr>
        <w:spacing w:after="0" w:line="480" w:lineRule="auto"/>
      </w:pPr>
      <w:r>
        <w:t>Genetic testing is well established</w:t>
      </w:r>
      <w:r w:rsidRPr="00B902F4">
        <w:t xml:space="preserve"> </w:t>
      </w:r>
      <w:r>
        <w:t>for BrS and LQTS, to inform clinical management and facilitate cascade screening in famili</w:t>
      </w:r>
      <w:r w:rsidR="000169F1">
        <w:t>es to identify at-risk carriers</w:t>
      </w:r>
      <w:r w:rsidR="003A35EA">
        <w:fldChar w:fldCharType="begin" w:fldLock="1"/>
      </w:r>
      <w:r w:rsidR="00F22092">
        <w:instrText>ADDIN CSL_CITATION {"citationItems":[{"id":"ITEM-1","itemData":{"DOI":"10.1016/j.hrthm.2011.05.020","ISSN":"1556-3871","PMID":"21787999","author":[{"dropping-particle":"","family":"Ackerman","given":"Michael J","non-dropping-particle":"","parse-names":false,"suffix":""},{"dropping-particle":"","family":"Priori","given":"Silvia G","non-dropping-particle":"","parse-names":false,"suffix":""},{"dropping-particle":"","family":"Willems","given":"Stephan","non-dropping-particle":"","parse-names":false,"suffix":""},{"dropping-particle":"","family":"Berul","given":"Charles","non-dropping-particle":"","parse-names":false,"suffix":""},{"dropping-particle":"","family":"Brugada","given":"Ramon","non-dropping-particle":"","parse-names":false,"suffix":""},{"dropping-particle":"","family":"Calkins","given":"Hugh","non-dropping-particle":"","parse-names":false,"suffix":""},{"dropping-particle":"","family":"Camm","given":"A John","non-dropping-particle":"","parse-names":false,"suffix":""},{"dropping-particle":"","family":"Ellinor","given":"Patrick T","non-dropping-particle":"","parse-names":false,"suffix":""},{"dropping-particle":"","family":"Gollob","given":"Michael","non-dropping-particle":"","parse-names":false,"suffix":""},{"dropping-particle":"","family":"Hamilton","given":"Robert","non-dropping-particle":"","parse-names":false,"suffix":""},{"dropping-particle":"","family":"Hershberger","given":"Ray E","non-dropping-particle":"","parse-names":false,"suffix":""},{"dropping-particle":"","family":"Judge","given":"Daniel P","non-dropping-particle":"","parse-names":false,"suffix":""},{"dropping-particle":"","family":"Marec","given":"Hervè","non-dropping-particle":"Le","parse-names":false,"suffix":""},{"dropping-particle":"","family":"McKenna","given":"William J","non-dropping-particle":"","parse-names":false,"suffix":""},{"dropping-particle":"","family":"Schulze-Bahr","given":"Eric","non-dropping-particle":"","parse-names":false,"suffix":""},{"dropping-particle":"","family":"Semsarian","given":"Chris","non-dropping-particle":"","parse-names":false,"suffix":""},{"dropping-particle":"","family":"Towbin","given":"Jeffrey A","non-dropping-particle":"","parse-names":false,"suffix":""},{"dropping-particle":"","family":"Watkins","given":"Hugh","non-dropping-particle":"","parse-names":false,"suffix":""},{"dropping-particle":"","family":"Wilde","given":"Arthur","non-dropping-particle":"","parse-names":false,"suffix":""},{"dropping-particle":"","family":"Wolpert","given":"Christian","non-dropping-particle":"","parse-names":false,"suffix":""},{"dropping-particle":"","family":"Zipes","given":"Douglas P","non-dropping-particle":"","parse-names":false,"suffix":""}],"container-title":"Heart rhythm","id":"ITEM-1","issue":"8","issued":{"date-parts":[["2011","8"]]},"page":"1308-39","title":"HRS/EHRA expert consensus statement on the state of genetic testing for the channelopathies and cardiomyopathies this document was developed as a partnership between the Heart Rhythm Society (HRS) and the European Heart Rhythm Association (EHRA).","type":"article-journal","volume":"8"},"uris":["http://www.mendeley.com/documents/?uuid=a13750b6-39c3-41e6-8186-ac0a4fa607ce"]}],"mendeley":{"formattedCitation":"&lt;sup&gt;5&lt;/sup&gt;","plainTextFormattedCitation":"5","previouslyFormattedCitation":"&lt;sup&gt;5&lt;/sup&gt;"},"properties":{"noteIndex":0},"schema":"https://github.com/citation-style-language/schema/raw/master/csl-citation.json"}</w:instrText>
      </w:r>
      <w:r w:rsidR="003A35EA">
        <w:fldChar w:fldCharType="separate"/>
      </w:r>
      <w:r w:rsidR="00F22092" w:rsidRPr="00F22092">
        <w:rPr>
          <w:noProof/>
          <w:vertAlign w:val="superscript"/>
        </w:rPr>
        <w:t>5</w:t>
      </w:r>
      <w:r w:rsidR="003A35EA">
        <w:fldChar w:fldCharType="end"/>
      </w:r>
      <w:r w:rsidR="000169F1">
        <w:t xml:space="preserve">. Despite this, </w:t>
      </w:r>
      <w:r>
        <w:t>variant interpretation remains challenging</w:t>
      </w:r>
      <w:r w:rsidR="00C34A12">
        <w:t xml:space="preserve"> for </w:t>
      </w:r>
      <w:r w:rsidR="008B37BD">
        <w:t xml:space="preserve">non-truncating </w:t>
      </w:r>
      <w:r w:rsidR="00C34A12">
        <w:t>variants</w:t>
      </w:r>
      <w:r w:rsidR="000169F1" w:rsidRPr="000169F1">
        <w:t xml:space="preserve"> </w:t>
      </w:r>
      <w:r w:rsidR="000169F1">
        <w:t>that comprise the majority of causative variants in all three genes</w:t>
      </w:r>
      <w:r>
        <w:t xml:space="preserve">. For example, a recent reappraisal of </w:t>
      </w:r>
      <w:r w:rsidR="003F18CC">
        <w:t xml:space="preserve">all </w:t>
      </w:r>
      <w:r w:rsidR="0095771E" w:rsidRPr="0095771E">
        <w:rPr>
          <w:i/>
        </w:rPr>
        <w:t>SCN5A</w:t>
      </w:r>
      <w:r>
        <w:t xml:space="preserve"> variants implicated in BrS using contemporary ACMG/AMP guidelines </w:t>
      </w:r>
      <w:r w:rsidR="00C34A12">
        <w:t>found that only 17% of missense variants could be classified as (likely) pathogenic</w:t>
      </w:r>
      <w:r w:rsidR="00C34A12">
        <w:fldChar w:fldCharType="begin" w:fldLock="1"/>
      </w:r>
      <w:r w:rsidR="00F22092">
        <w:instrText>ADDIN CSL_CITATION {"citationItems":[{"id":"ITEM-1","itemData":{"DOI":"10.1111/jce.13740","ISSN":"1540-8167","PMID":"30203441","abstract":"BACKGROUND A large number of SCN5A variants have been reported to underlie Brugada syndrome (BrS). However, the evidence supporting individual variants is highly heterogeneous. OBJECTIVE We systematically re-evaluated all SCN5A variants reported in BrS using the 2015 American college of medical genetics and genomics and the association for molecular pathology (ACMG-AMP) guidelines. METHODS A PubMed/Embase search was performed to identify all reported SCN5A variants in BrS. Standardized bioinformatic re-analysis (SIFT, PolyPhen, Mutation Taster, Mutation assessor, FATHMM, GERP, PhyloP, and SiPhy) and re-evaluation of frequency in the gnomAD database were performed. Fourteen ACMG-AMP rules were deemed applicable for SCN5A variant analysis. RESULTS Four hundred and eighty unique SCN5A variants were identified, the majority of which 425 (88%) were coding variants. One hundred and fifty-six of 425 (37%) variants were classified as pathogenic/likely pathogenic. Two hundred and fifty-eight (60%) were classified as variants of uncertain significance, while a further 11 (3%) were classified as benign/likely benign. When considering the subset of variants that were considered \"null\" variants separately, 95% fulfilled criteria for pathogenicity/likely pathogenicity. In contrast, only 17% of missense variants fulfilled criteria for pathogenicity/likely pathogenicity. Importantly, however, only 25% of missense variants had available functional data, which was a major score driver for pathogenic classification. CONCLUSION Based on contemporary ACMG-AMP guidelines, only a minority of SCN5A variants implicated in BrS fulfill the criteria for pathogenicity or likely pathogenicity.","author":[{"dropping-particle":"","family":"Denham","given":"Nathan C","non-dropping-particle":"","parse-names":false,"suffix":""},{"dropping-particle":"","family":"Pearman","given":"Charles M","non-dropping-particle":"","parse-names":false,"suffix":""},{"dropping-particle":"","family":"Ding","given":"Wern Yew","non-dropping-particle":"","parse-names":false,"suffix":""},{"dropping-particle":"","family":"Waktare","given":"Johan","non-dropping-particle":"","parse-names":false,"suffix":""},{"dropping-particle":"","family":"Gupta","given":"Dhiraj","non-dropping-particle":"","parse-names":false,"suffix":""},{"dropping-particle":"","family":"Snowdon","given":"Richard","non-dropping-particle":"","parse-names":false,"suffix":""},{"dropping-particle":"","family":"Hall","given":"Mark","non-dropping-particle":"","parse-names":false,"suffix":""},{"dropping-particle":"","family":"Cooper","given":"Robert","non-dropping-particle":"","parse-names":false,"suffix":""},{"dropping-particle":"","family":"Modi","given":"Simon","non-dropping-particle":"","parse-names":false,"suffix":""},{"dropping-particle":"","family":"Todd","given":"Derick","non-dropping-particle":"","parse-names":false,"suffix":""},{"dropping-particle":"","family":"Mahida","given":"Saagar","non-dropping-particle":"","parse-names":false,"suffix":""}],"container-title":"Journal of cardiovascular electrophysiology","id":"ITEM-1","issue":"1","issued":{"date-parts":[["2019","1","11"]]},"page":"118-127","title":"Systematic re-evaluation of SCN5A variants associated with Brugada syndrome.","type":"article-journal","volume":"30"},"uris":["http://www.mendeley.com/documents/?uuid=eba091fe-af87-43e2-be9d-0a76043e4cb5"]}],"mendeley":{"formattedCitation":"&lt;sup&gt;6&lt;/sup&gt;","plainTextFormattedCitation":"6","previouslyFormattedCitation":"&lt;sup&gt;6&lt;/sup&gt;"},"properties":{"noteIndex":0},"schema":"https://github.com/citation-style-language/schema/raw/master/csl-citation.json"}</w:instrText>
      </w:r>
      <w:r w:rsidR="00C34A12">
        <w:fldChar w:fldCharType="separate"/>
      </w:r>
      <w:r w:rsidR="00F22092" w:rsidRPr="00F22092">
        <w:rPr>
          <w:noProof/>
          <w:vertAlign w:val="superscript"/>
        </w:rPr>
        <w:t>6</w:t>
      </w:r>
      <w:r w:rsidR="00C34A12">
        <w:fldChar w:fldCharType="end"/>
      </w:r>
      <w:r w:rsidR="007765AF">
        <w:t>. W</w:t>
      </w:r>
      <w:r w:rsidR="00C34A12">
        <w:t xml:space="preserve">hile this may partly reflect </w:t>
      </w:r>
      <w:r w:rsidR="003F18CC">
        <w:t xml:space="preserve">some </w:t>
      </w:r>
      <w:r w:rsidR="00C34A12">
        <w:t>erroneous disease associations in earlier reports, it highlights the difficulty in identifying pathogenic missense variants with these guidelines.</w:t>
      </w:r>
    </w:p>
    <w:p w14:paraId="2B0A94FC" w14:textId="77777777" w:rsidR="00D75B9A" w:rsidRDefault="00D75B9A" w:rsidP="00521E45">
      <w:pPr>
        <w:spacing w:after="0" w:line="480" w:lineRule="auto"/>
      </w:pPr>
    </w:p>
    <w:p w14:paraId="60A0466D" w14:textId="6DB7938B" w:rsidR="00FF5C86" w:rsidRDefault="0032594D" w:rsidP="00521E45">
      <w:pPr>
        <w:spacing w:after="0" w:line="480" w:lineRule="auto"/>
      </w:pPr>
      <w:r>
        <w:t xml:space="preserve">The classes of evidence </w:t>
      </w:r>
      <w:r w:rsidR="001E3A4D">
        <w:t xml:space="preserve">used for variant interpretation </w:t>
      </w:r>
      <w:r>
        <w:t xml:space="preserve">can be broadly grouped based on their interpretative power and </w:t>
      </w:r>
      <w:r w:rsidR="003F18CC">
        <w:t xml:space="preserve">the </w:t>
      </w:r>
      <w:r>
        <w:t>frequen</w:t>
      </w:r>
      <w:r w:rsidR="003F18CC">
        <w:t>cy with which</w:t>
      </w:r>
      <w:r>
        <w:t xml:space="preserve"> they</w:t>
      </w:r>
      <w:r w:rsidR="003F18CC">
        <w:t xml:space="preserve"> </w:t>
      </w:r>
      <w:r w:rsidR="001E3A4D">
        <w:t>can be</w:t>
      </w:r>
      <w:r w:rsidR="003F18CC">
        <w:t xml:space="preserve"> applied</w:t>
      </w:r>
      <w:r>
        <w:t xml:space="preserve"> </w:t>
      </w:r>
      <w:r w:rsidR="006C30C3">
        <w:t>(Figure 1).</w:t>
      </w:r>
      <w:r w:rsidR="009F500F">
        <w:t xml:space="preserve"> </w:t>
      </w:r>
      <w:r w:rsidR="0068377E">
        <w:t>For non-truncating</w:t>
      </w:r>
      <w:r w:rsidR="0095771E">
        <w:t xml:space="preserve"> </w:t>
      </w:r>
      <w:r w:rsidR="0068377E">
        <w:t>variants</w:t>
      </w:r>
      <w:r w:rsidR="009F500F">
        <w:t xml:space="preserve"> not common in the population, </w:t>
      </w:r>
      <w:r w:rsidR="008225F0">
        <w:t>supporting</w:t>
      </w:r>
      <w:r w:rsidR="00B36629">
        <w:t xml:space="preserve"> evidence</w:t>
      </w:r>
      <w:r w:rsidR="00502E34">
        <w:t>,</w:t>
      </w:r>
      <w:r w:rsidR="009F500F">
        <w:t xml:space="preserve"> </w:t>
      </w:r>
      <w:r w:rsidR="00B36629">
        <w:t xml:space="preserve">such </w:t>
      </w:r>
      <w:r w:rsidR="009A5833">
        <w:t>as</w:t>
      </w:r>
      <w:r w:rsidR="00B36629">
        <w:t xml:space="preserve"> </w:t>
      </w:r>
      <w:r w:rsidR="00A232AC">
        <w:t xml:space="preserve">variant </w:t>
      </w:r>
      <w:r w:rsidR="00B36629">
        <w:t xml:space="preserve">frequency in the population and computational predictions of </w:t>
      </w:r>
      <w:r w:rsidR="009A5833">
        <w:t xml:space="preserve">variant </w:t>
      </w:r>
      <w:r w:rsidR="00B36629">
        <w:t>effect</w:t>
      </w:r>
      <w:r w:rsidR="00502E34">
        <w:t>,</w:t>
      </w:r>
      <w:r w:rsidR="00B36629">
        <w:t xml:space="preserve"> can be </w:t>
      </w:r>
      <w:r w:rsidR="009F500F">
        <w:t xml:space="preserve">universally </w:t>
      </w:r>
      <w:r w:rsidR="00B36629">
        <w:t xml:space="preserve">applied but </w:t>
      </w:r>
      <w:r w:rsidR="00EE07A4">
        <w:t>has</w:t>
      </w:r>
      <w:r w:rsidR="00A232AC">
        <w:t xml:space="preserve"> </w:t>
      </w:r>
      <w:r w:rsidR="00B36629">
        <w:t xml:space="preserve">limited ability to distinguish between pathogenic </w:t>
      </w:r>
      <w:r w:rsidR="00A232AC">
        <w:t xml:space="preserve">and benign </w:t>
      </w:r>
      <w:r w:rsidR="009F500F">
        <w:t xml:space="preserve">rare </w:t>
      </w:r>
      <w:r w:rsidR="00A232AC">
        <w:t>variation</w:t>
      </w:r>
      <w:r w:rsidR="009A5833">
        <w:t>.</w:t>
      </w:r>
      <w:r w:rsidR="0068377E">
        <w:t xml:space="preserve"> </w:t>
      </w:r>
      <w:r w:rsidR="0095771E">
        <w:t xml:space="preserve">These </w:t>
      </w:r>
      <w:r w:rsidR="0068377E">
        <w:t>require</w:t>
      </w:r>
      <w:r w:rsidR="009A5833">
        <w:t xml:space="preserve"> </w:t>
      </w:r>
      <w:r w:rsidR="008225F0">
        <w:t>informative variant-</w:t>
      </w:r>
      <w:r w:rsidR="009A5833">
        <w:t>specific eviden</w:t>
      </w:r>
      <w:r w:rsidR="0095771E">
        <w:t>ce to establish pathogenicity</w:t>
      </w:r>
      <w:r w:rsidR="00A232AC">
        <w:t xml:space="preserve">. </w:t>
      </w:r>
      <w:r w:rsidR="0095771E">
        <w:t>However</w:t>
      </w:r>
      <w:r w:rsidR="000C1DEE">
        <w:t>,</w:t>
      </w:r>
      <w:r w:rsidR="0095771E">
        <w:t xml:space="preserve"> </w:t>
      </w:r>
      <w:r w:rsidR="009F2FBA">
        <w:t>due to the high allelic he</w:t>
      </w:r>
      <w:r w:rsidR="00B06FDE">
        <w:t>terogeneity of these disorders</w:t>
      </w:r>
      <w:r w:rsidR="00E706D1">
        <w:t xml:space="preserve">, small </w:t>
      </w:r>
      <w:r w:rsidR="009F2FBA">
        <w:t>pedigree size</w:t>
      </w:r>
      <w:r w:rsidR="005C1E2A">
        <w:t>s</w:t>
      </w:r>
      <w:r w:rsidR="009F2FBA">
        <w:t xml:space="preserve"> </w:t>
      </w:r>
      <w:r w:rsidR="00E706D1">
        <w:t xml:space="preserve">that preclude </w:t>
      </w:r>
      <w:r w:rsidR="009F2FBA">
        <w:t>conclusive co-segregation analysis</w:t>
      </w:r>
      <w:r w:rsidR="00E706D1">
        <w:t xml:space="preserve"> and </w:t>
      </w:r>
      <w:r w:rsidR="00161CE2">
        <w:t xml:space="preserve">limited accessibility of </w:t>
      </w:r>
      <w:r w:rsidR="00E706D1">
        <w:t xml:space="preserve">functional assays, a large proportion of likely causative variants detected in patients with LQTS and BrS are unable to be classified as pathogenic. </w:t>
      </w:r>
      <w:r w:rsidR="00F70574">
        <w:t>To address this false negative rate and improve the detection of pathogenic non-truncating variants, a third evidence category</w:t>
      </w:r>
      <w:r w:rsidR="008225F0">
        <w:t xml:space="preserve"> specific to gene-disease dyads</w:t>
      </w:r>
      <w:r w:rsidR="00F70574">
        <w:t xml:space="preserve"> can be applied – </w:t>
      </w:r>
      <w:r w:rsidR="00F70574" w:rsidRPr="001A7491">
        <w:t xml:space="preserve">case-control studies </w:t>
      </w:r>
      <w:r w:rsidR="008225F0" w:rsidRPr="001A7491">
        <w:t>that</w:t>
      </w:r>
      <w:r w:rsidR="00495552" w:rsidRPr="001A7491">
        <w:t xml:space="preserve"> identify specific variants or c</w:t>
      </w:r>
      <w:r w:rsidR="00F70574" w:rsidRPr="001A7491">
        <w:t>lasses of variants highly enriched in disease.</w:t>
      </w:r>
      <w:r w:rsidR="00E70EB6" w:rsidRPr="00E70EB6">
        <w:t xml:space="preserve"> </w:t>
      </w:r>
      <w:r w:rsidR="00E70EB6">
        <w:t xml:space="preserve">Several disease and gene-specific </w:t>
      </w:r>
      <w:r w:rsidR="00E70EB6">
        <w:lastRenderedPageBreak/>
        <w:t>implementations of the ACMG/AMP guidelines have been proposed by ClinGen and independent studies detailing how the rules, including those related to variant enrichment in cases over controls, should be applied for the particular genetic characteristics of each disease (Table S1)</w:t>
      </w:r>
      <w:r w:rsidR="00E70EB6">
        <w:fldChar w:fldCharType="begin" w:fldLock="1"/>
      </w:r>
      <w:r w:rsidR="00F22092">
        <w:instrText>ADDIN CSL_CITATION {"citationItems":[{"id":"ITEM-1","itemData":{"DOI":"10.1002/cphg.93","ISSN":"1934-8258","PMID":"31479589","abstract":"The 2015 ACMG/AMP guidelines established a classification system for sequence variants; however, the broad scope of these guidelines necessitates specification of evidence types for specific genes or diseases of interest. Since publication of the guidelines, both general use and disease-focused specifications have emerged to aid in accurate application of ACMG/AMP evidence types. This article summarizes the approaches to, and rationale for, specifying three evidence categories (population frequency data, variant type and location, and case-level data), including available resources and a quantitative framework that can inform the specification process. © 2019 by John Wiley &amp; Sons, Inc.","author":[{"dropping-particle":"","family":"Harrison","given":"Steven M.","non-dropping-particle":"","parse-names":false,"suffix":""},{"dropping-particle":"","family":"Biesecker","given":"Leslie G.","non-dropping-particle":"","parse-names":false,"suffix":""},{"dropping-particle":"","family":"Rehm","given":"Heidi L.","non-dropping-particle":"","parse-names":false,"suffix":""}],"container-title":"Current protocols in human genetics","id":"ITEM-1","issue":"1","issued":{"date-parts":[["2019","9"]]},"page":"e93","title":"Overview of Specifications to the ACMG/AMP Variant Interpretation Guidelines.","type":"article-journal","volume":"103"},"uris":["http://www.mendeley.com/documents/?uuid=6cb0bdcc-58f8-4ca1-9725-da3988bebf4a"]}],"mendeley":{"formattedCitation":"&lt;sup&gt;7&lt;/sup&gt;","plainTextFormattedCitation":"7","previouslyFormattedCitation":"&lt;sup&gt;7&lt;/sup&gt;"},"properties":{"noteIndex":0},"schema":"https://github.com/citation-style-language/schema/raw/master/csl-citation.json"}</w:instrText>
      </w:r>
      <w:r w:rsidR="00E70EB6">
        <w:fldChar w:fldCharType="separate"/>
      </w:r>
      <w:r w:rsidR="00F22092" w:rsidRPr="00F22092">
        <w:rPr>
          <w:noProof/>
          <w:vertAlign w:val="superscript"/>
        </w:rPr>
        <w:t>7</w:t>
      </w:r>
      <w:r w:rsidR="00E70EB6">
        <w:fldChar w:fldCharType="end"/>
      </w:r>
      <w:r w:rsidR="00E70EB6">
        <w:t>.</w:t>
      </w:r>
      <w:r w:rsidR="00502E34">
        <w:t xml:space="preserve"> </w:t>
      </w:r>
    </w:p>
    <w:p w14:paraId="50025BFE" w14:textId="77777777" w:rsidR="00D75B9A" w:rsidRDefault="00D75B9A" w:rsidP="00521E45">
      <w:pPr>
        <w:spacing w:after="0" w:line="480" w:lineRule="auto"/>
      </w:pPr>
    </w:p>
    <w:p w14:paraId="7FBA9CFC" w14:textId="6B40FCF7" w:rsidR="00C34A12" w:rsidRDefault="00FF5C86" w:rsidP="00521E45">
      <w:pPr>
        <w:autoSpaceDE w:val="0"/>
        <w:autoSpaceDN w:val="0"/>
        <w:adjustRightInd w:val="0"/>
        <w:spacing w:after="0" w:line="480" w:lineRule="auto"/>
        <w:rPr>
          <w:rFonts w:cstheme="minorHAnsi"/>
          <w:szCs w:val="16"/>
        </w:rPr>
      </w:pPr>
      <w:r>
        <w:rPr>
          <w:rFonts w:cstheme="minorHAnsi"/>
          <w:szCs w:val="16"/>
        </w:rPr>
        <w:t xml:space="preserve">We have previously described a quantitative implementation of variant class enrichment </w:t>
      </w:r>
      <w:r w:rsidR="00FE2E7B">
        <w:rPr>
          <w:rFonts w:cstheme="minorHAnsi"/>
          <w:szCs w:val="16"/>
        </w:rPr>
        <w:t xml:space="preserve">evidence </w:t>
      </w:r>
      <w:r>
        <w:rPr>
          <w:rFonts w:cstheme="minorHAnsi"/>
          <w:szCs w:val="16"/>
        </w:rPr>
        <w:t>for sarcomeric genes involved in hypertrophic cardiomyopathy (HCM)</w:t>
      </w:r>
      <w:r>
        <w:rPr>
          <w:rFonts w:cstheme="minorHAnsi"/>
          <w:szCs w:val="16"/>
        </w:rPr>
        <w:fldChar w:fldCharType="begin" w:fldLock="1"/>
      </w:r>
      <w:r w:rsidR="00F22092">
        <w:rPr>
          <w:rFonts w:cstheme="minorHAnsi"/>
          <w:szCs w:val="16"/>
        </w:rPr>
        <w:instrText>ADDIN CSL_CITATION {"citationItems":[{"id":"ITEM-1","itemData":{"DOI":"10.1186/s13073-019-0616-z","ISSN":"1756-994X","PMID":"30696458","abstract":"BACKGROUND International guidelines for variant interpretation in Mendelian disease set stringent criteria to report a variant as (likely) pathogenic, prioritising control of false-positive rate over test sensitivity and diagnostic yield. Genetic testing is also more likely informative in individuals with well-characterised variants from extensively studied European-ancestry populations. Inherited cardiomyopathies are relatively common Mendelian diseases that allow empirical calibration and assessment of this framework. METHODS We compared rare variants in large hypertrophic cardiomyopathy (HCM) cohorts (up to 6179 cases) to reference populations to identify variant classes with high prior likelihoods of pathogenicity, as defined by etiological fraction (EF). We analysed the distribution of variants using a bespoke unsupervised clustering algorithm to identify gene regions in which variants are significantly clustered in cases. RESULTS Analysis of variant distribution identified regions in which variants are significantly enriched in cases and variant location was a better discriminator of pathogenicity than generic computational functional prediction algorithms. Non-truncating variant classes with an EF ≥ 0.95 were identified in five established HCM genes. Applying this approach leads to an estimated 14-20% increase in cases with actionable HCM variants, i.e. variants classified as pathogenic/likely pathogenic that might be used for predictive testing in probands' relatives. CONCLUSIONS When found in a patient confirmed to have disease, novel variants in some genes and regions are empirically shown to have a sufficiently high probability of pathogenicity to support a \"likely pathogenic\" classification, even without additional segregation or functional data. This could increase the yield of high confidence actionable variants, consistent with the framework and recommendations of current guidelines. The techniques outlined offer a consistent and unbiased approach to variant interpretation for Mendelian disease genetic testing. We propose adaptations to ACMG/AMP guidelines to incorporate such evidence in a quantitative and transparent manner.","author":[{"dropping-particle":"","family":"Walsh","given":"Roddy","non-dropping-particle":"","parse-names":false,"suffix":""},{"dropping-particle":"","family":"Mazzarotto","given":"Francesco","non-dropping-particle":"","parse-names":false,"suffix":""},{"dropping-particle":"","family":"Whiffin","given":"Nicola","non-dropping-particle":"","parse-names":false,"suffix":""},{"dropping-particle":"","family":"Buchan","given":"Rachel","non-dropping-particle":"","parse-names":false,"suffix":""},{"dropping-particle":"","family":"Midwinter","given":"William","non-dropping-particle":"","parse-names":false,"suffix":""},{"dropping-particle":"","family":"Wilk","given":"Alicja","non-dropping-particle":"","parse-names":false,"suffix":""},{"dropping-particle":"","family":"Li","given":"Nicholas","non-dropping-particle":"","parse-names":false,"suffix":""},{"dropping-particle":"","family":"Felkin","given":"Leanne","non-dropping-particle":"","parse-names":false,"suffix":""},{"dropping-particle":"","family":"Ingold","given":"Nathan","non-dropping-particle":"","parse-names":false,"suffix":""},{"dropping-particle":"","family":"Govind","given":"Risha","non-dropping-particle":"","parse-names":false,"suffix":""},{"dropping-particle":"","family":"Ahmad","given":"Mian","non-dropping-particle":"","parse-names":false,"suffix":""},{"dropping-particle":"","family":"Mazaika","given":"Erica","non-dropping-particle":"","parse-names":false,"suffix":""},{"dropping-particle":"","family":"Allouba","given":"Mona","non-dropping-particle":"","parse-names":false,"suffix":""},{"dropping-particle":"","family":"Zhang","given":"Xiaolei","non-dropping-particle":"","parse-names":false,"suffix":""},{"dropping-particle":"","family":"Marvao","given":"Antonio","non-dropping-particle":"de","parse-names":false,"suffix":""},{"dropping-particle":"","family":"Day","given":"Sharlene M","non-dropping-particle":"","parse-names":false,"suffix":""},{"dropping-particle":"","family":"Ashley","given":"Euan","non-dropping-particle":"","parse-names":false,"suffix":""},{"dropping-particle":"","family":"Colan","given":"Steven D","non-dropping-particle":"","parse-names":false,"suffix":""},{"dropping-particle":"","family":"Michels","given":"Michelle","non-dropping-particle":"","parse-names":false,"suffix":""},{"dropping-particle":"","family":"Pereira","given":"Alexandre C","non-dropping-particle":"","parse-names":false,"suffix":""},{"dropping-particle":"","family":"Jacoby","given":"Daniel","non-dropping-particle":"","parse-names":false,"suffix":""},{"dropping-particle":"","family":"Ho","given":"Carolyn Y","non-dropping-particle":"","parse-names":false,"suffix":""},{"dropping-particle":"","family":"Thomson","given":"Kate L","non-dropping-particle":"","parse-names":false,"suffix":""},{"dropping-particle":"","family":"Watkins","given":"Hugh","non-dropping-particle":"","parse-names":false,"suffix":""},{"dropping-particle":"","family":"Barton","given":"Paul J R","non-dropping-particle":"","parse-names":false,"suffix":""},{"dropping-particle":"","family":"Olivotto","given":"Iacopo","non-dropping-particle":"","parse-names":false,"suffix":""},{"dropping-particle":"","family":"Cook","given":"Stuart A","non-dropping-particle":"","parse-names":false,"suffix":""},{"dropping-particle":"","family":"Ware","given":"James S","non-dropping-particle":"","parse-names":false,"suffix":""}],"container-title":"Genome medicine","id":"ITEM-1","issue":"1","issued":{"date-parts":[["2019","1","29"]]},"page":"5","title":"Quantitative approaches to variant classification increase the yield and precision of genetic testing in Mendelian diseases: the case of hypertrophic cardiomyopathy.","type":"article-journal","volume":"11"},"uris":["http://www.mendeley.com/documents/?uuid=ca8fd3d6-c118-4015-b400-b49fd899a460"]}],"mendeley":{"formattedCitation":"&lt;sup&gt;4&lt;/sup&gt;","plainTextFormattedCitation":"4","previouslyFormattedCitation":"&lt;sup&gt;4&lt;/sup&gt;"},"properties":{"noteIndex":0},"schema":"https://github.com/citation-style-language/schema/raw/master/csl-citation.json"}</w:instrText>
      </w:r>
      <w:r>
        <w:rPr>
          <w:rFonts w:cstheme="minorHAnsi"/>
          <w:szCs w:val="16"/>
        </w:rPr>
        <w:fldChar w:fldCharType="separate"/>
      </w:r>
      <w:r w:rsidR="00F22092" w:rsidRPr="00F22092">
        <w:rPr>
          <w:rFonts w:cstheme="minorHAnsi"/>
          <w:noProof/>
          <w:szCs w:val="16"/>
          <w:vertAlign w:val="superscript"/>
        </w:rPr>
        <w:t>4</w:t>
      </w:r>
      <w:r>
        <w:rPr>
          <w:rFonts w:cstheme="minorHAnsi"/>
          <w:szCs w:val="16"/>
        </w:rPr>
        <w:fldChar w:fldCharType="end"/>
      </w:r>
      <w:r>
        <w:rPr>
          <w:rFonts w:cstheme="minorHAnsi"/>
          <w:szCs w:val="16"/>
        </w:rPr>
        <w:t xml:space="preserve">. By identifying gene regions highly enriched for rare variants in HCM cohorts compared to population controls, we were able to substantially </w:t>
      </w:r>
      <w:r w:rsidR="00596A9C">
        <w:rPr>
          <w:rFonts w:cstheme="minorHAnsi"/>
          <w:szCs w:val="16"/>
        </w:rPr>
        <w:t>de</w:t>
      </w:r>
      <w:r>
        <w:rPr>
          <w:rFonts w:cstheme="minorHAnsi"/>
          <w:szCs w:val="16"/>
        </w:rPr>
        <w:t xml:space="preserve">crease the </w:t>
      </w:r>
      <w:r w:rsidR="00596A9C">
        <w:rPr>
          <w:rFonts w:cstheme="minorHAnsi"/>
          <w:szCs w:val="16"/>
        </w:rPr>
        <w:t xml:space="preserve">rate of VUS </w:t>
      </w:r>
      <w:r>
        <w:rPr>
          <w:rFonts w:cstheme="minorHAnsi"/>
          <w:szCs w:val="16"/>
        </w:rPr>
        <w:t>in HCM cases using adapted ACMG/AMP guidelines</w:t>
      </w:r>
      <w:r w:rsidR="00624523">
        <w:rPr>
          <w:rFonts w:cstheme="minorHAnsi"/>
          <w:szCs w:val="16"/>
        </w:rPr>
        <w:t xml:space="preserve"> (14-20% increase in actionable HCM variants)</w:t>
      </w:r>
      <w:r>
        <w:rPr>
          <w:rFonts w:cstheme="minorHAnsi"/>
          <w:szCs w:val="16"/>
        </w:rPr>
        <w:t>.</w:t>
      </w:r>
      <w:r w:rsidR="00835981">
        <w:rPr>
          <w:rFonts w:cstheme="minorHAnsi"/>
          <w:szCs w:val="16"/>
        </w:rPr>
        <w:t xml:space="preserve"> </w:t>
      </w:r>
      <w:r w:rsidR="003F4966">
        <w:rPr>
          <w:rFonts w:cstheme="minorHAnsi"/>
          <w:szCs w:val="16"/>
        </w:rPr>
        <w:t>P</w:t>
      </w:r>
      <w:r w:rsidR="007F6EFD">
        <w:rPr>
          <w:rFonts w:cstheme="minorHAnsi"/>
          <w:szCs w:val="16"/>
        </w:rPr>
        <w:t xml:space="preserve">articular ion channel domains </w:t>
      </w:r>
      <w:r w:rsidR="003F4966">
        <w:rPr>
          <w:rFonts w:cstheme="minorHAnsi"/>
          <w:szCs w:val="16"/>
        </w:rPr>
        <w:t>are also known to be enriched for cases variants, as</w:t>
      </w:r>
      <w:r w:rsidR="007F6EFD">
        <w:rPr>
          <w:rFonts w:cstheme="minorHAnsi"/>
          <w:szCs w:val="16"/>
        </w:rPr>
        <w:t xml:space="preserve"> previously demonstrated for LQTS</w:t>
      </w:r>
      <w:r w:rsidR="007F6EFD">
        <w:rPr>
          <w:rFonts w:cstheme="minorHAnsi"/>
          <w:szCs w:val="16"/>
        </w:rPr>
        <w:fldChar w:fldCharType="begin" w:fldLock="1"/>
      </w:r>
      <w:r w:rsidR="00F22092">
        <w:rPr>
          <w:rFonts w:cstheme="minorHAnsi"/>
          <w:szCs w:val="16"/>
        </w:rPr>
        <w:instrText>ADDIN CSL_CITATION {"citationItems":[{"id":"ITEM-1","itemData":{"DOI":"10.1161/CIRCULATIONAHA.109.863076","ISSN":"1524-4539","PMID":"19841300","abstract":"BACKGROUND Genetic testing for long-QT syndrome (LQTS) has diagnostic, prognostic, and therapeutic implications. Hundreds of causative mutations in 12 known LQTS-susceptibility genes have been identified. Genetic testing that includes the 3 most commonly mutated genes is available clinically. Distinguishing pathogenic mutations from innocuous rare variants is critical to the interpretation of test results. We sought to quantify the value of mutation type and gene/protein region in determining the probability of pathogenicity for mutations. METHODS AND RESULTS Type, frequency, and location of mutations across KCNQ1 (LQT1), KCNH2 (LQT2), and SCN5A (LQT3) were compared between 388 unrelated \"definite\" (clinical diagnostic score &gt;or=4 and/or QTc &gt;or=480 ms) cases of LQTS and &gt;1300 healthy controls for each gene. From these data, estimated predictive values (percent of mutations found in definite cases that would cause LQTS) were determined according to mutation type and location. Mutations were 10 times more common in cases than controls (0.58 per case versus 0.06 per control). Missense mutations were the most common, accounting for 78%, 67%, and 89% of mutations in KCNQ1, KCNH2, and SCN5A in cases and &gt;95% in controls. Nonmissense mutations have an estimated predictive value &gt;99% regardless of location. In contrast, location appears to be critical for characterizing missense mutations. Relative frequency of missense mutations between cases and controls ranged from approximately 1:1 in the SCN5A interdomain linker to infinity in the pore, transmembrane, and linker in KCNH2. These correspond to estimated predictive values ranging from 0% in the interdomain linker of SCN5A to 100% in the transmembrane/linker/pore regions of KCNH2. The estimated predictive value is also high in the linker, pore, transmembrane, and C terminus of KCNQ1 and the transmembrane/linker of SCN5A. CONCLUSIONS Distinguishing pathogenic mutations from rare variants is of critical importance in the interpretation of genetic testing in LQTS. Mutation type, mutation location, and ethnic-specific BACKGROUND should be viewed as variants of uncertain significance and prompt further investigation to clarify the likelihood of disease causation. However, mutations in regions such as the transmembrane, linker, and pore of KCNQ1 and KCNH2 may be defined confidently as high-probability LQTS-causing mutations. These findings will have implications for other genetic disorders involving mutational anal…","author":[{"dropping-particle":"","family":"Kapa","given":"Suraj","non-dropping-particle":"","parse-names":false,"suffix":""},{"dropping-particle":"","family":"Tester","given":"David J","non-dropping-particle":"","parse-names":false,"suffix":""},{"dropping-particle":"","family":"Salisbury","given":"Benjamin A","non-dropping-particle":"","parse-names":false,"suffix":""},{"dropping-particle":"","family":"Harris-Kerr","given":"Carole","non-dropping-particle":"","parse-names":false,"suffix":""},{"dropping-particle":"","family":"Pungliya","given":"Manish S","non-dropping-particle":"","parse-names":false,"suffix":""},{"dropping-particle":"","family":"Alders","given":"Marielle","non-dropping-particle":"","parse-names":false,"suffix":""},{"dropping-particle":"","family":"Wilde","given":"Arthur A M","non-dropping-particle":"","parse-names":false,"suffix":""},{"dropping-particle":"","family":"Ackerman","given":"Michael J","non-dropping-particle":"","parse-names":false,"suffix":""}],"container-title":"Circulation","id":"ITEM-1","issue":"18","issued":{"date-parts":[["2009","11","3"]]},"page":"1752-60","title":"Genetic testing for long-QT syndrome: distinguishing pathogenic mutations from benign variants.","type":"article-journal","volume":"120"},"uris":["http://www.mendeley.com/documents/?uuid=7319e29f-fe9e-411f-abeb-decf63dc4a02"]},{"id":"ITEM-2","itemData":{"DOI":"10.1007/s12265-015-9622-8","ISSN":"1937-5395","PMID":"25854863","abstract":"Despite the overrepresentation of Kv7.1 mutations among patients with a robust diagnosis of long QT syndrome (LQTS), a background rate of innocuous Kv7.1 missense variants observed in healthy controls creates ambiguity in the interpretation of LQTS genetic test results. A recent study showed that the probability of pathogenicity for rare missense mutations depends in part on the topological location of the variant in Kv7.1's various structure-function domains. Since the Kv7.1's C-terminus accounts for nearly 50 % of the overall protein and nearly 50 % of the overall background rate of rare variants falls within the C-terminus, further enhancement in mutation calling may provide guidance in distinguishing pathogenic long QT syndrome type 1 (LQT1)-causing mutations from rare non-disease-causing variants in the Kv7.1's C-terminus. Therefore, we have used conservation analysis and a large case-control study to generate topology-based estimative predictive values to aid in interpretation, identifying three regions of high conservation within the Kv7.1's C-terminus which have a high probability of LQT1 pathogenicity.","author":[{"dropping-particle":"","family":"Kapplinger","given":"Jamie D","non-dropping-particle":"","parse-names":false,"suffix":""},{"dropping-particle":"","family":"Tseng","given":"Andrew S","non-dropping-particle":"","parse-names":false,"suffix":""},{"dropping-particle":"","family":"Salisbury","given":"Benjamin A","non-dropping-particle":"","parse-names":false,"suffix":""},{"dropping-particle":"","family":"Tester","given":"David J","non-dropping-particle":"","parse-names":false,"suffix":""},{"dropping-particle":"","family":"Callis","given":"Thomas E","non-dropping-particle":"","parse-names":false,"suffix":""},{"dropping-particle":"","family":"Alders","given":"Marielle","non-dropping-particle":"","parse-names":false,"suffix":""},{"dropping-particle":"","family":"Wilde","given":"Arthur A M","non-dropping-particle":"","parse-names":false,"suffix":""},{"dropping-particle":"","family":"Ackerman","given":"Michael J","non-dropping-particle":"","parse-names":false,"suffix":""}],"container-title":"Journal of cardiovascular translational research","id":"ITEM-2","issue":"3","issued":{"date-parts":[["2015","4","21"]]},"page":"187-97","title":"Enhancing the Predictive Power of Mutations in the C-Terminus of the KCNQ1-Encoded Kv7.1 Voltage-Gated Potassium Channel.","type":"article-journal","volume":"8"},"uris":["http://www.mendeley.com/documents/?uuid=a5db3813-1f65-4dfe-a9b3-7c1d46c5bfcb"]}],"mendeley":{"formattedCitation":"&lt;sup&gt;8,9&lt;/sup&gt;","plainTextFormattedCitation":"8,9","previouslyFormattedCitation":"&lt;sup&gt;8,9&lt;/sup&gt;"},"properties":{"noteIndex":0},"schema":"https://github.com/citation-style-language/schema/raw/master/csl-citation.json"}</w:instrText>
      </w:r>
      <w:r w:rsidR="007F6EFD">
        <w:rPr>
          <w:rFonts w:cstheme="minorHAnsi"/>
          <w:szCs w:val="16"/>
        </w:rPr>
        <w:fldChar w:fldCharType="separate"/>
      </w:r>
      <w:r w:rsidR="00F22092" w:rsidRPr="00F22092">
        <w:rPr>
          <w:rFonts w:cstheme="minorHAnsi"/>
          <w:noProof/>
          <w:szCs w:val="16"/>
          <w:vertAlign w:val="superscript"/>
        </w:rPr>
        <w:t>8,9</w:t>
      </w:r>
      <w:r w:rsidR="007F6EFD">
        <w:rPr>
          <w:rFonts w:cstheme="minorHAnsi"/>
          <w:szCs w:val="16"/>
        </w:rPr>
        <w:fldChar w:fldCharType="end"/>
      </w:r>
      <w:r w:rsidR="007F6EFD">
        <w:rPr>
          <w:rFonts w:cstheme="minorHAnsi"/>
          <w:szCs w:val="16"/>
        </w:rPr>
        <w:t xml:space="preserve"> and BrS</w:t>
      </w:r>
      <w:r w:rsidR="007F6EFD">
        <w:rPr>
          <w:rFonts w:cstheme="minorHAnsi"/>
          <w:szCs w:val="16"/>
        </w:rPr>
        <w:fldChar w:fldCharType="begin" w:fldLock="1"/>
      </w:r>
      <w:r w:rsidR="00F22092">
        <w:rPr>
          <w:rFonts w:cstheme="minorHAnsi"/>
          <w:szCs w:val="16"/>
        </w:rPr>
        <w:instrText>ADDIN CSL_CITATION {"citationItems":[{"id":"ITEM-1","itemData":{"DOI":"10.1161/CIRCGENETICS.114.000831","ISSN":"1942-325X","author":[{"dropping-particle":"","family":"Kapplinger","given":"Jamie D.","non-dropping-particle":"","parse-names":false,"suffix":""},{"dropping-particle":"","family":"Giudicessi","given":"John R.","non-dropping-particle":"","parse-names":false,"suffix":""},{"dropping-particle":"","family":"Ye","given":"Dan","non-dropping-particle":"","parse-names":false,"suffix":""},{"dropping-particle":"","family":"Tester","given":"David J.","non-dropping-particle":"","parse-names":false,"suffix":""},{"dropping-particle":"","family":"Callis","given":"Thomas E.","non-dropping-particle":"","parse-names":false,"suffix":""},{"dropping-particle":"","family":"Valdivia","given":"Carmen R.","non-dropping-particle":"","parse-names":false,"suffix":""},{"dropping-particle":"","family":"Makielski","given":"Jonathan C.","non-dropping-particle":"","parse-names":false,"suffix":""},{"dropping-particle":"","family":"Wilde","given":"Arthur A.","non-dropping-particle":"","parse-names":false,"suffix":""},{"dropping-particle":"","family":"Ackerman","given":"Michael J.","non-dropping-particle":"","parse-names":false,"suffix":""}],"container-title":"Circulation: Cardiovascular Genetics","id":"ITEM-1","issue":"4","issued":{"date-parts":[["2015","8"]]},"page":"582-595","title":"Enhanced Classification of Brugada Syndrome–Associated and Long-QT Syndrome–Associated Genetic Variants in the SCN5A -Encoded Na v 1.5 Cardiac Sodium ChannelCLINICAL PERSPECTIVE","type":"article-journal","volume":"8"},"uris":["http://www.mendeley.com/documents/?uuid=ff05e8d4-7ded-46e6-9442-a0c3ba83fd3b"]}],"mendeley":{"formattedCitation":"&lt;sup&gt;10&lt;/sup&gt;","plainTextFormattedCitation":"10","previouslyFormattedCitation":"&lt;sup&gt;10&lt;/sup&gt;"},"properties":{"noteIndex":0},"schema":"https://github.com/citation-style-language/schema/raw/master/csl-citation.json"}</w:instrText>
      </w:r>
      <w:r w:rsidR="007F6EFD">
        <w:rPr>
          <w:rFonts w:cstheme="minorHAnsi"/>
          <w:szCs w:val="16"/>
        </w:rPr>
        <w:fldChar w:fldCharType="separate"/>
      </w:r>
      <w:r w:rsidR="00F22092" w:rsidRPr="00F22092">
        <w:rPr>
          <w:rFonts w:cstheme="minorHAnsi"/>
          <w:noProof/>
          <w:szCs w:val="16"/>
          <w:vertAlign w:val="superscript"/>
        </w:rPr>
        <w:t>10</w:t>
      </w:r>
      <w:r w:rsidR="007F6EFD">
        <w:rPr>
          <w:rFonts w:cstheme="minorHAnsi"/>
          <w:szCs w:val="16"/>
        </w:rPr>
        <w:fldChar w:fldCharType="end"/>
      </w:r>
      <w:r w:rsidR="007F6EFD">
        <w:rPr>
          <w:rFonts w:cstheme="minorHAnsi"/>
          <w:szCs w:val="16"/>
        </w:rPr>
        <w:t xml:space="preserve">. </w:t>
      </w:r>
      <w:r w:rsidR="005C1E2A">
        <w:rPr>
          <w:rFonts w:cstheme="minorHAnsi"/>
          <w:szCs w:val="16"/>
        </w:rPr>
        <w:t>Here, u</w:t>
      </w:r>
      <w:r w:rsidR="00692E34">
        <w:rPr>
          <w:rFonts w:cstheme="minorHAnsi"/>
          <w:szCs w:val="16"/>
        </w:rPr>
        <w:t>sing large case cohorts from international consortia</w:t>
      </w:r>
      <w:r w:rsidR="00460A17">
        <w:rPr>
          <w:rFonts w:cstheme="minorHAnsi"/>
          <w:szCs w:val="16"/>
        </w:rPr>
        <w:t xml:space="preserve"> (</w:t>
      </w:r>
      <w:r w:rsidR="00460A17">
        <w:rPr>
          <w:rFonts w:eastAsia="Times New Roman" w:cstheme="minorHAnsi"/>
          <w:color w:val="201F1E"/>
          <w:bdr w:val="none" w:sz="0" w:space="0" w:color="auto" w:frame="1"/>
          <w:lang w:eastAsia="en-GB"/>
        </w:rPr>
        <w:t>1847 LQTS and 3335 BrS cases)</w:t>
      </w:r>
      <w:r w:rsidR="00692E34">
        <w:rPr>
          <w:rFonts w:cstheme="minorHAnsi"/>
          <w:szCs w:val="16"/>
        </w:rPr>
        <w:t xml:space="preserve">, </w:t>
      </w:r>
      <w:r>
        <w:rPr>
          <w:rFonts w:cstheme="minorHAnsi"/>
          <w:szCs w:val="16"/>
        </w:rPr>
        <w:t xml:space="preserve">we apply and refine </w:t>
      </w:r>
      <w:r w:rsidR="003F4966">
        <w:rPr>
          <w:rFonts w:cstheme="minorHAnsi"/>
          <w:szCs w:val="16"/>
        </w:rPr>
        <w:t xml:space="preserve">our </w:t>
      </w:r>
      <w:r w:rsidR="007F6EFD">
        <w:rPr>
          <w:rFonts w:cstheme="minorHAnsi"/>
          <w:szCs w:val="16"/>
        </w:rPr>
        <w:t xml:space="preserve">ACMG/AMP </w:t>
      </w:r>
      <w:r w:rsidR="003F4966">
        <w:rPr>
          <w:rFonts w:cstheme="minorHAnsi"/>
          <w:szCs w:val="16"/>
        </w:rPr>
        <w:t>guidelines adaptation</w:t>
      </w:r>
      <w:r>
        <w:rPr>
          <w:rFonts w:cstheme="minorHAnsi"/>
          <w:szCs w:val="16"/>
        </w:rPr>
        <w:t xml:space="preserve"> to the three major disease genes of BrS and LQTS. We demonstrate how we can identify and classify high confidence pathogenic variant classes in specific clinical genetics contexts</w:t>
      </w:r>
      <w:r w:rsidR="005C1E2A">
        <w:rPr>
          <w:rFonts w:cstheme="minorHAnsi"/>
          <w:szCs w:val="16"/>
        </w:rPr>
        <w:t>, and apply this evidence within the ACMG/AMP framework</w:t>
      </w:r>
      <w:r>
        <w:rPr>
          <w:rFonts w:cstheme="minorHAnsi"/>
          <w:szCs w:val="16"/>
        </w:rPr>
        <w:t xml:space="preserve"> to enable </w:t>
      </w:r>
      <w:r w:rsidR="005C1E2A">
        <w:rPr>
          <w:rFonts w:cstheme="minorHAnsi"/>
          <w:szCs w:val="16"/>
        </w:rPr>
        <w:t xml:space="preserve">an improved balance between </w:t>
      </w:r>
      <w:r w:rsidR="005C1E2A">
        <w:t>sensitivity and specificity in clinical genetic testing</w:t>
      </w:r>
      <w:r w:rsidR="005C1E2A">
        <w:rPr>
          <w:rFonts w:cstheme="minorHAnsi"/>
          <w:szCs w:val="16"/>
        </w:rPr>
        <w:t xml:space="preserve"> </w:t>
      </w:r>
      <w:r>
        <w:rPr>
          <w:rFonts w:cstheme="minorHAnsi"/>
          <w:szCs w:val="16"/>
        </w:rPr>
        <w:t>for these conditions.</w:t>
      </w:r>
    </w:p>
    <w:p w14:paraId="4F540FF7" w14:textId="77777777" w:rsidR="00A85DB9" w:rsidRDefault="00A85DB9" w:rsidP="00521E45">
      <w:pPr>
        <w:autoSpaceDE w:val="0"/>
        <w:autoSpaceDN w:val="0"/>
        <w:adjustRightInd w:val="0"/>
        <w:spacing w:after="0" w:line="480" w:lineRule="auto"/>
        <w:rPr>
          <w:rFonts w:cstheme="minorHAnsi"/>
          <w:szCs w:val="16"/>
        </w:rPr>
      </w:pPr>
    </w:p>
    <w:p w14:paraId="2E1CD1D3" w14:textId="77777777" w:rsidR="003A3E31" w:rsidRDefault="003A3E31" w:rsidP="00521E45">
      <w:pPr>
        <w:autoSpaceDE w:val="0"/>
        <w:autoSpaceDN w:val="0"/>
        <w:adjustRightInd w:val="0"/>
        <w:spacing w:after="0" w:line="480" w:lineRule="auto"/>
        <w:rPr>
          <w:rFonts w:cstheme="minorHAnsi"/>
          <w:szCs w:val="16"/>
        </w:rPr>
      </w:pPr>
    </w:p>
    <w:p w14:paraId="42E55208" w14:textId="77777777" w:rsidR="002D6AF3" w:rsidRDefault="002D6AF3" w:rsidP="00521E45">
      <w:pPr>
        <w:autoSpaceDE w:val="0"/>
        <w:autoSpaceDN w:val="0"/>
        <w:adjustRightInd w:val="0"/>
        <w:spacing w:after="0" w:line="480" w:lineRule="auto"/>
        <w:rPr>
          <w:rFonts w:cstheme="minorHAnsi"/>
          <w:szCs w:val="16"/>
        </w:rPr>
      </w:pPr>
    </w:p>
    <w:p w14:paraId="4D59C328" w14:textId="77777777" w:rsidR="00CF4F48" w:rsidRDefault="00CF4F48" w:rsidP="00521E45">
      <w:pPr>
        <w:autoSpaceDE w:val="0"/>
        <w:autoSpaceDN w:val="0"/>
        <w:adjustRightInd w:val="0"/>
        <w:spacing w:after="0" w:line="480" w:lineRule="auto"/>
        <w:rPr>
          <w:rFonts w:cstheme="minorHAnsi"/>
          <w:szCs w:val="16"/>
        </w:rPr>
      </w:pPr>
    </w:p>
    <w:p w14:paraId="70B30C50" w14:textId="77777777" w:rsidR="00823734" w:rsidRDefault="00823734" w:rsidP="00521E45">
      <w:pPr>
        <w:autoSpaceDE w:val="0"/>
        <w:autoSpaceDN w:val="0"/>
        <w:adjustRightInd w:val="0"/>
        <w:spacing w:after="0" w:line="480" w:lineRule="auto"/>
        <w:rPr>
          <w:rFonts w:cstheme="minorHAnsi"/>
          <w:szCs w:val="16"/>
        </w:rPr>
      </w:pPr>
    </w:p>
    <w:p w14:paraId="1FEC39B9" w14:textId="77777777" w:rsidR="00823734" w:rsidRDefault="00823734" w:rsidP="00521E45">
      <w:pPr>
        <w:autoSpaceDE w:val="0"/>
        <w:autoSpaceDN w:val="0"/>
        <w:adjustRightInd w:val="0"/>
        <w:spacing w:after="0" w:line="480" w:lineRule="auto"/>
        <w:rPr>
          <w:rFonts w:cstheme="minorHAnsi"/>
          <w:szCs w:val="16"/>
        </w:rPr>
      </w:pPr>
    </w:p>
    <w:p w14:paraId="446F2DF9" w14:textId="77777777" w:rsidR="00823734" w:rsidRDefault="00823734" w:rsidP="00521E45">
      <w:pPr>
        <w:autoSpaceDE w:val="0"/>
        <w:autoSpaceDN w:val="0"/>
        <w:adjustRightInd w:val="0"/>
        <w:spacing w:after="0" w:line="480" w:lineRule="auto"/>
        <w:rPr>
          <w:rFonts w:cstheme="minorHAnsi"/>
          <w:szCs w:val="16"/>
        </w:rPr>
      </w:pPr>
    </w:p>
    <w:p w14:paraId="78437309" w14:textId="77777777" w:rsidR="00823734" w:rsidRDefault="00823734" w:rsidP="00521E45">
      <w:pPr>
        <w:autoSpaceDE w:val="0"/>
        <w:autoSpaceDN w:val="0"/>
        <w:adjustRightInd w:val="0"/>
        <w:spacing w:after="0" w:line="480" w:lineRule="auto"/>
        <w:rPr>
          <w:rFonts w:cstheme="minorHAnsi"/>
          <w:szCs w:val="16"/>
        </w:rPr>
      </w:pPr>
    </w:p>
    <w:p w14:paraId="4EA10858" w14:textId="77777777" w:rsidR="00823734" w:rsidRDefault="00823734" w:rsidP="00521E45">
      <w:pPr>
        <w:autoSpaceDE w:val="0"/>
        <w:autoSpaceDN w:val="0"/>
        <w:adjustRightInd w:val="0"/>
        <w:spacing w:after="0" w:line="480" w:lineRule="auto"/>
        <w:rPr>
          <w:rFonts w:cstheme="minorHAnsi"/>
          <w:szCs w:val="16"/>
        </w:rPr>
      </w:pPr>
    </w:p>
    <w:p w14:paraId="12C9FD5A" w14:textId="77777777" w:rsidR="00823734" w:rsidRDefault="00823734" w:rsidP="00521E45">
      <w:pPr>
        <w:autoSpaceDE w:val="0"/>
        <w:autoSpaceDN w:val="0"/>
        <w:adjustRightInd w:val="0"/>
        <w:spacing w:after="0" w:line="480" w:lineRule="auto"/>
        <w:rPr>
          <w:rFonts w:cstheme="minorHAnsi"/>
          <w:szCs w:val="16"/>
        </w:rPr>
      </w:pPr>
    </w:p>
    <w:p w14:paraId="35256423" w14:textId="5919F22B" w:rsidR="00A3119E" w:rsidRDefault="00A3119E" w:rsidP="00521E45">
      <w:pPr>
        <w:spacing w:after="0" w:line="480" w:lineRule="auto"/>
      </w:pPr>
    </w:p>
    <w:p w14:paraId="687E23FE" w14:textId="0BD1BF94" w:rsidR="00F45553" w:rsidRPr="00F45553" w:rsidRDefault="00B775CA" w:rsidP="00521E45">
      <w:pPr>
        <w:spacing w:after="0" w:line="480" w:lineRule="auto"/>
        <w:rPr>
          <w:b/>
        </w:rPr>
      </w:pPr>
      <w:r>
        <w:rPr>
          <w:b/>
        </w:rPr>
        <w:lastRenderedPageBreak/>
        <w:t>MATERIALS AND METHODS</w:t>
      </w:r>
    </w:p>
    <w:p w14:paraId="4A37BB0A" w14:textId="77777777" w:rsidR="003A2102" w:rsidRDefault="003A2102" w:rsidP="00521E45">
      <w:pPr>
        <w:spacing w:after="0" w:line="480" w:lineRule="auto"/>
        <w:rPr>
          <w:i/>
        </w:rPr>
      </w:pPr>
      <w:r>
        <w:rPr>
          <w:i/>
        </w:rPr>
        <w:t xml:space="preserve">Patient </w:t>
      </w:r>
      <w:r w:rsidR="001B1D8A">
        <w:rPr>
          <w:i/>
        </w:rPr>
        <w:t xml:space="preserve">and control </w:t>
      </w:r>
      <w:r>
        <w:rPr>
          <w:i/>
        </w:rPr>
        <w:t>cohorts</w:t>
      </w:r>
    </w:p>
    <w:p w14:paraId="0707A4E3" w14:textId="0EC28414" w:rsidR="00E34ECC" w:rsidRDefault="00304EA7" w:rsidP="00521E45">
      <w:pPr>
        <w:spacing w:after="0" w:line="480" w:lineRule="auto"/>
      </w:pPr>
      <w:r>
        <w:t xml:space="preserve">The primary arrhythmia cohorts </w:t>
      </w:r>
      <w:r w:rsidR="00BE3337">
        <w:t xml:space="preserve">comprised patients diagnosed with BrS </w:t>
      </w:r>
      <w:r w:rsidR="001128A7">
        <w:t xml:space="preserve">or LQTS </w:t>
      </w:r>
      <w:r w:rsidR="00BE3337">
        <w:t xml:space="preserve">recruited by </w:t>
      </w:r>
      <w:r w:rsidR="00A242C8">
        <w:t>th</w:t>
      </w:r>
      <w:r>
        <w:t>e International BrS Genetics Consortium</w:t>
      </w:r>
      <w:r w:rsidR="00BE3337">
        <w:t xml:space="preserve"> and the International LQTS Genetics </w:t>
      </w:r>
      <w:r w:rsidR="00BE3337" w:rsidRPr="00BE3337">
        <w:t>Consortium</w:t>
      </w:r>
      <w:r w:rsidR="001128A7">
        <w:t>, respectively</w:t>
      </w:r>
      <w:r w:rsidR="003A35EA">
        <w:fldChar w:fldCharType="begin" w:fldLock="1"/>
      </w:r>
      <w:r w:rsidR="00E22F7B">
        <w:instrText>ADDIN CSL_CITATION {"citationItems":[{"id":"ITEM-1","itemData":{"DOI":"10.1016/j.hrthm.2011.05.020","ISSN":"1556-3871","PMID":"21787999","author":[{"dropping-particle":"","family":"Ackerman","given":"Michael J","non-dropping-particle":"","parse-names":false,"suffix":""},{"dropping-particle":"","family":"Priori","given":"Silvia G","non-dropping-particle":"","parse-names":false,"suffix":""},{"dropping-particle":"","family":"Willems","given":"Stephan","non-dropping-particle":"","parse-names":false,"suffix":""},{"dropping-particle":"","family":"Berul","given":"Charles","non-dropping-particle":"","parse-names":false,"suffix":""},{"dropping-particle":"","family":"Brugada","given":"Ramon","non-dropping-particle":"","parse-names":false,"suffix":""},{"dropping-particle":"","family":"Calkins","given":"Hugh","non-dropping-particle":"","parse-names":false,"suffix":""},{"dropping-particle":"","family":"Camm","given":"A John","non-dropping-particle":"","parse-names":false,"suffix":""},{"dropping-particle":"","family":"Ellinor","given":"Patrick T","non-dropping-particle":"","parse-names":false,"suffix":""},{"dropping-particle":"","family":"Gollob","given":"Michael","non-dropping-particle":"","parse-names":false,"suffix":""},{"dropping-particle":"","family":"Hamilton","given":"Robert","non-dropping-particle":"","parse-names":false,"suffix":""},{"dropping-particle":"","family":"Hershberger","given":"Ray E","non-dropping-particle":"","parse-names":false,"suffix":""},{"dropping-particle":"","family":"Judge","given":"Daniel P","non-dropping-particle":"","parse-names":false,"suffix":""},{"dropping-particle":"","family":"Marec","given":"Hervè","non-dropping-particle":"Le","parse-names":false,"suffix":""},{"dropping-particle":"","family":"McKenna","given":"William J","non-dropping-particle":"","parse-names":false,"suffix":""},{"dropping-particle":"","family":"Schulze-Bahr","given":"Eric","non-dropping-particle":"","parse-names":false,"suffix":""},{"dropping-particle":"","family":"Semsarian","given":"Chris","non-dropping-particle":"","parse-names":false,"suffix":""},{"dropping-particle":"","family":"Towbin","given":"Jeffrey A","non-dropping-particle":"","parse-names":false,"suffix":""},{"dropping-particle":"","family":"Watkins","given":"Hugh","non-dropping-particle":"","parse-names":false,"suffix":""},{"dropping-particle":"","family":"Wilde","given":"Arthur","non-dropping-particle":"","parse-names":false,"suffix":""},{"dropping-particle":"","family":"Wolpert","given":"Christian","non-dropping-particle":"","parse-names":false,"suffix":""},{"dropping-particle":"","family":"Zipes","given":"Douglas P","non-dropping-particle":"","parse-names":false,"suffix":""}],"container-title":"Heart rhythm","id":"ITEM-1","issue":"8","issued":{"date-parts":[["2011","8"]]},"page":"1308-39","title":"HRS/EHRA expert consensus statement on the state of genetic testing for the channelopathies and cardiomyopathies this document was developed as a partnership between the Heart Rhythm Society (HRS) and the European Heart Rhythm Association (EHRA).","type":"article-journal","volume":"8"},"uris":["http://www.mendeley.com/documents/?uuid=a13750b6-39c3-41e6-8186-ac0a4fa607ce"]},{"id":"ITEM-2","itemData":{"DOI":"10.1161/CIRCULATIONAHA.120.045956","ISSN":"1524-4539","PMID":"32429735","abstract":"Background: Long QT syndrome (LQTS) is a rare genetic disorder and a major preventable cause of sudden cardiac death in the young. A causal rare genetic variant with large effect size is identified in up to 80% of probands (genotype positive) and cascade family screening shows incomplete penetrance of genetic variants. Furthermore, a proportion of cases meeting diagnostic criteria for LQTS remain genetically elusive despite genetic testing of established genes (genotype negative). These observations raise the possibility that common genetic variants with small effect size contribute to the clinical picture of LQTS. This study aimed to characterize and quantify the contribution of common genetic variation to LQTS disease susceptibility. Methods: We conducted genome-wide association studies (GWAS) followed by transethnic meta-analysis in 1,656 unrelated LQTS patients of European or Japanese ancestry and 9,890 controls to identify susceptibility single nucleotide polymorphisms (SNPs). We estimated the SNP heritability (h2SNP) of LQTS and tested the genetic correlation between LQTS susceptibility and other cardiac traits. Furthermore, we tested the aggregate effect of the 68 SNPs previously associated with QTc in the general population using a polygenic risk score (PRSQT). Results: Genome-wide association analysis identified three loci associated with LQTS at genome-wide statistical significance (P&lt;5x10-8) near NOS1AP, KCNQ1 and KLF12, and one missense variant in KCNE1 (p.Asp85Asn) at the suggestive threshold (P&lt;10-6). Heritability analyses showed that ~15% of variance in overall LQTS susceptibility was attributable to common genetic variation (h2SNP 0.148; standard error [SE] 0.019). LQTS susceptibility showed a strong genome-wide genetic correlation with the QT interval in the general population (rg=0.40, P=3.2x10-3). PRSQT was greater in LQTS cases compared to controls (P&lt;10-13), and notably, among LQTS patients PRSQT was greater in genotype negative compared to genotype positive patients (P&lt;0.005). Conclusions: This work establishes an important role for common genetic variation in susceptibility to LQTS. We demonstrate overlap between genetic control of the QT interval in the general population and genetic factors contributing to LQTS susceptibility. Using polygenic risk score analyses aggregating common genetic variants that modulate the QT interval in the general population, we provide evidence for a polygenic architecture in genotype negative LQTS.","author":[{"dropping-particle":"","family":"Lahrouchi","given":"Najim","non-dropping-particle":"","parse-names":false,"suffix":""},{"dropping-particle":"","family":"Tadros","given":"Rafik","non-dropping-particle":"","parse-names":false,"suffix":""},{"dropping-particle":"","family":"Crotti","given":"Lia","non-dropping-particle":"","parse-names":false,"suffix":""},{"dropping-particle":"","family":"Mizusawa","given":"Yuka","non-dropping-particle":"","parse-names":false,"suffix":""},{"dropping-particle":"","family":"Postema","given":"Pieter G","non-dropping-particle":"","parse-names":false,"suffix":""},{"dropping-particle":"","family":"Beekman","given":"Leander","non-dropping-particle":"","parse-names":false,"suffix":""},{"dropping-particle":"","family":"Walsh","given":"Roddy","non-dropping-particle":"","parse-names":false,"suffix":""},{"dropping-particle":"","family":"Hasegawa","given":"Kanae","non-dropping-particle":"","parse-names":false,"suffix":""},{"dropping-particle":"","family":"Barc","given":"Julien","non-dropping-particle":"","parse-names":false,"suffix":""},{"dropping-particle":"","family":"Ernsting","given":"Marko","non-dropping-particle":"","parse-names":false,"suffix":""},{"dropping-particle":"","family":"Turkowski","given":"Kari L","non-dropping-particle":"","parse-names":false,"suffix":""},{"dropping-particle":"","family":"Mazzanti","given":"Andrea","non-dropping-particle":"","parse-names":false,"suffix":""},{"dropping-particle":"","family":"Beckmann","given":"Britt M","non-dropping-particle":"","parse-names":false,"suffix":""},{"dropping-particle":"","family":"Shimamoto","given":"Keiko","non-dropping-particle":"","parse-names":false,"suffix":""},{"dropping-particle":"","family":"Diamant","given":"Ulla-Britt","non-dropping-particle":"","parse-names":false,"suffix":""},{"dropping-particle":"","family":"Wijeyeratne","given":"Yanushi D","non-dropping-particle":"","parse-names":false,"suffix":""},{"dropping-particle":"","family":"Kucho","given":"Yu","non-dropping-particle":"","parse-names":false,"suffix":""},{"dropping-particle":"","family":"Robyns","given":"Tomas","non-dropping-particle":"","parse-names":false,"suffix":""},{"dropping-particle":"","family":"Ishikawa","given":"Taisuke","non-dropping-particle":"","parse-names":false,"suffix":""},{"dropping-particle":"","family":"Arbelo","given":"Elena","non-dropping-particle":"","parse-names":false,"suffix":""},{"dropping-particle":"","family":"Christiansen","given":"Michael","non-dropping-particle":"","parse-names":false,"suffix":""},{"dropping-particle":"","family":"Winbo","given":"Annika","non-dropping-particle":"","parse-names":false,"suffix":""},{"dropping-particle":"","family":"Jabbari","given":"Reza","non-dropping-particle":"","parse-names":false,"suffix":""},{"dropping-particle":"","family":"Lubitz","given":"Steven A","non-dropping-particle":"","parse-names":false,"suffix":""},{"dropping-particle":"","family":"Steinfurt","given":"Johannes","non-dropping-particle":"","parse-names":false,"suffix":""},{"dropping-particle":"","family":"Rudic","given":"Boris","non-dropping-particle":"","parse-names":false,"suffix":""},{"dropping-particle":"","family":"Loeys","given":"Bart","non-dropping-particle":"","parse-names":false,"suffix":""},{"dropping-particle":"Ben","family":"Shoemaker","given":"M","non-dropping-particle":"","parse-names":false,"suffix":""},{"dropping-particle":"","family":"Weeke","given":"Peter E","non-dropping-particle":"","parse-names":false,"suffix":""},{"dropping-particle":"","family":"Pfeiffer","given":"Ryan","non-dropping-particle":"","parse-names":false,"suffix":""},{"dropping-particle":"","family":"Davies","given":"Brianna","non-dropping-particle":"","parse-names":false,"suffix":""},{"dropping-particle":"","family":"Andorin","given":"Antoine","non-dropping-particle":"","parse-names":false,"suffix":""},{"dropping-particle":"","family":"Hofman","given":"Nynke","non-dropping-particle":"","parse-names":false,"suffix":""},{"dropping-particle":"","family":"Dagradi","given":"Federica","non-dropping-particle":"","parse-names":false,"suffix":""},{"dropping-particle":"","family":"Pedrazzini","given":"Matteo","non-dropping-particle":"","parse-names":false,"suffix":""},{"dropping-particle":"","family":"Tester","given":"David J","non-dropping-particle":"","parse-names":false,"suffix":""},{"dropping-particle":"","family":"Bos","given":"J Martijn","non-dropping-particle":"","parse-names":false,"suffix":""},{"dropping-particle":"","family":"Sarquella-Brugada","given":"Georgia","non-dropping-particle":"","parse-names":false,"suffix":""},{"dropping-particle":"","family":"Campuzano","given":"Óscar","non-dropping-particle":"","parse-names":false,"suffix":""},{"dropping-particle":"","family":"Platonov","given":"Pyotr G","non-dropping-particle":"","parse-names":false,"suffix":""},{"dropping-particle":"","family":"Stallmeyer","given":"Birgit","non-dropping-particle":"","parse-names":false,"suffix":""},{"dropping-particle":"","family":"Zumhagen","given":"Sven","non-dropping-particle":"","parse-names":false,"suffix":""},{"dropping-particle":"","family":"Nannenberg","given":"Eline A","non-dropping-particle":"","parse-names":false,"suffix":""},{"dropping-particle":"","family":"Veldink","given":"Jan H","non-dropping-particle":"","parse-names":false,"suffix":""},{"dropping-particle":"","family":"Berg","given":"Leonard H","non-dropping-particle":"van den","parse-names":false,"suffix":""},{"dropping-particle":"","family":"Al-Chalabi","given":"Ammar","non-dropping-particle":"","parse-names":false,"suffix":""},{"dropping-particle":"","family":"Shaw","given":"Christopher E","non-dropping-particle":"","parse-names":false,"suffix":""},{"dropping-particle":"","family":"Shaw","given":"Pamela J","non-dropping-particle":"","parse-names":false,"suffix":""},{"dropping-particle":"","family":"Morrison","given":"Karen E","non-dropping-particle":"","parse-names":false,"suffix":""},{"dropping-particle":"","family":"Andersen","given":"Peter M","non-dropping-particle":"","parse-names":false,"suffix":""},{"dropping-particle":"","family":"Müller-Nurasyid","given":"Martina","non-dropping-particle":"","parse-names":false,"suffix":""},{"dropping-particle":"","family":"Cusi","given":"Daniele","non-dropping-particle":"","parse-names":false,"suffix":""},{"dropping-particle":"","family":"Barlassina","given":"Cristina","non-dropping-particle":"","parse-names":false,"suffix":""},{"dropping-particle":"","family":"Galan","given":"Pilar","non-dropping-particle":"","parse-names":false,"suffix":""},{"dropping-particle":"","family":"Lathrop","given":"Mark","non-dropping-particle":"","parse-names":false,"suffix":""},{"dropping-particle":"","family":"Munter","given":"Markus","non-dropping-particle":"","parse-names":false,"suffix":""},{"dropping-particle":"","family":"Werge","given":"Thomas","non-dropping-particle":"","parse-names":false,"suffix":""},{"dropping-particle":"","family":"Ribasés","given":"Marta","non-dropping-particle":"","parse-names":false,"suffix":""},{"dropping-particle":"","family":"Aung","given":"Tin","non-dropping-particle":"","parse-names":false,"suffix":""},{"dropping-particle":"","family":"Khor","given":"Chiea C","non-dropping-particle":"","parse-names":false,"suffix":""},{"dropping-particle":"","family":"Ozaki","given":"Mineo","non-dropping-particle":"","parse-names":false,"suffix":""},{"dropping-particle":"","family":"Lichtner","given":"Peter","non-dropping-particle":"","parse-names":false,"suffix":""},{"dropping-particle":"","family":"Meitinger","given":"Thomas","non-dropping-particle":"","parse-names":false,"suffix":""},{"dropping-particle":"","family":"Tintelen","given":"J Peter","non-dropping-particle":"van","parse-names":false,"suffix":""},{"dropping-particle":"","family":"Hoedemaekers","given":"Yvonne","non-dropping-particle":"","parse-names":false,"suffix":""},{"dropping-particle":"","family":"Denjoy","given":"Isabelle","non-dropping-particle":"","parse-names":false,"suffix":""},{"dropping-particle":"","family":"Leenhardt","given":"Antoine","non-dropping-particle":"","parse-names":false,"suffix":""},{"dropping-particle":"","family":"Napolitano","given":"Carlo","non-dropping-particle":"","parse-names":false,"suffix":""},{"dropping-particle":"","family":"Shimizu","given":"Wataru","non-dropping-particle":"","parse-names":false,"suffix":""},{"dropping-particle":"","family":"Schott","given":"Jean-Jacques","non-dropping-particle":"","parse-names":false,"suffix":""},{"dropping-particle":"","family":"Gourraud","given":"Jean-Baptiste","non-dropping-particle":"","parse-names":false,"suffix":""},{"dropping-particle":"","family":"Makiyama","given":"Takeru","non-dropping-particle":"","parse-names":false,"suffix":""},{"dropping-particle":"","family":"Ohno","given":"Seiko","non-dropping-particle":"","parse-names":false,"suffix":""},{"dropping-particle":"","family":"Itoh","given":"Hideki","non-dropping-particle":"","parse-names":false,"suffix":""},{"dropping-particle":"","family":"Krahn","given":"Andrew D","non-dropping-particle":"","parse-names":false,"suffix":""},{"dropping-particle":"","family":"Antzelevitch","given":"Charles","non-dropping-particle":"","parse-names":false,"suffix":""},{"dropping-particle":"","family":"Roden","given":"Dan M","non-dropping-particle":"","parse-names":false,"suffix":""},{"dropping-particle":"","family":"Saenen","given":"Johan","non-dropping-particle":"","parse-names":false,"suffix":""},{"dropping-particle":"","family":"Borggrefe","given":"Martin","non-dropping-particle":"","parse-names":false,"suffix":""},{"dropping-particle":"","family":"Odening","given":"Katja E","non-dropping-particle":"","parse-names":false,"suffix":""},{"dropping-particle":"","family":"Ellinor","given":"Patrick T","non-dropping-particle":"","parse-names":false,"suffix":""},{"dropping-particle":"","family":"Tfelt-Hansen","given":"Jacob","non-dropping-particle":"","parse-names":false,"suffix":""},{"dropping-particle":"","family":"Skinner","given":"Jonathan R","non-dropping-particle":"","parse-names":false,"suffix":""},{"dropping-particle":"","family":"Berg","given":"Maarten P","non-dropping-particle":"van den","parse-names":false,"suffix":""},{"dropping-particle":"","family":"Olesen","given":"Morten Salling","non-dropping-particle":"","parse-names":false,"suffix":""},{"dropping-particle":"","family":"Brugada","given":"Josep","non-dropping-particle":"","parse-names":false,"suffix":""},{"dropping-particle":"","family":"Brugada","given":"Ramón","non-dropping-particle":"","parse-names":false,"suffix":""},{"dropping-particle":"","family":"Makita","given":"Naomasa","non-dropping-particle":"","parse-names":false,"suffix":""},{"dropping-particle":"","family":"Breckpot","given":"Jeroen","non-dropping-particle":"","parse-names":false,"suffix":""},{"dropping-particle":"","family":"Yoshinaga","given":"Masao","non-dropping-particle":"","parse-names":false,"suffix":""},{"dropping-particle":"","family":"Behr","given":"Elijah R","non-dropping-particle":"","parse-names":false,"suffix":""},{"dropping-particle":"","family":"Rydberg","given":"Annika","non-dropping-particle":"","parse-names":false,"suffix":""},{"dropping-particle":"","family":"Aiba","given":"Takeshi","non-dropping-particle":"","parse-names":false,"suffix":""},{"dropping-particle":"","family":"Kääb","given":"Stefan","non-dropping-particle":"","parse-names":false,"suffix":""},{"dropping-particle":"","family":"Priori","given":"Silvia G","non-dropping-particle":"","parse-names":false,"suffix":""},{"dropping-particle":"","family":"Guicheney","given":"Pascale","non-dropping-particle":"","parse-names":false,"suffix":""},{"dropping-particle":"","family":"Tan","given":"Hanno L","non-dropping-particle":"","parse-names":false,"suffix":""},{"dropping-particle":"","family":"Newton-Cheh","given":"Christopher","non-dropping-particle":"","parse-names":false,"suffix":""},{"dropping-particle":"","family":"Ackerman","given":"Michael J","non-dropping-particle":"","parse-names":false,"suffix":""},{"dropping-particle":"","family":"Schwartz","given":"Peter J","non-dropping-particle":"","parse-names":false,"suffix":""},{"dropping-particle":"","family":"Schulze-Bahr","given":"Eric","non-dropping-particle":"","parse-names":false,"suffix":""},{"dropping-particle":"","family":"Probst","given":"Vincent","non-dropping-particle":"","parse-names":false,"suffix":""},{"dropping-particle":"","family":"Horie","given":"Minoru","non-dropping-particle":"","parse-names":false,"suffix":""},{"dropping-particle":"","family":"Wilde","given":"Arthur A","non-dropping-particle":"","parse-names":false,"suffix":""},{"dropping-particle":"","family":"Tanck","given":"Michael W T","non-dropping-particle":"","parse-names":false,"suffix":""},{"dropping-particle":"","family":"Bezzina","given":"Connie R","non-dropping-particle":"","parse-names":false,"suffix":""}],"container-title":"Circulation","id":"ITEM-2","issued":{"date-parts":[["2020","5","20"]]},"title":"Transethnic Genome-Wide Association Study Provides Insights in the Genetic Architecture and Heritability of Long QT Syndrome.","type":"article-journal"},"uris":["http://www.mendeley.com/documents/?uuid=94bf5170-dbbe-4866-bfe4-76a8515cf2cd"]}],"mendeley":{"formattedCitation":"&lt;sup&gt;5,11&lt;/sup&gt;","plainTextFormattedCitation":"5,11","previouslyFormattedCitation":"&lt;sup&gt;5,11&lt;/sup&gt;"},"properties":{"noteIndex":0},"schema":"https://github.com/citation-style-language/schema/raw/master/csl-citation.json"}</w:instrText>
      </w:r>
      <w:r w:rsidR="003A35EA">
        <w:fldChar w:fldCharType="separate"/>
      </w:r>
      <w:r w:rsidR="00E22F7B" w:rsidRPr="00E22F7B">
        <w:rPr>
          <w:noProof/>
          <w:vertAlign w:val="superscript"/>
        </w:rPr>
        <w:t>5,11</w:t>
      </w:r>
      <w:r w:rsidR="003A35EA">
        <w:fldChar w:fldCharType="end"/>
      </w:r>
      <w:r w:rsidR="00BE3337" w:rsidRPr="00BE3337">
        <w:t>. The</w:t>
      </w:r>
      <w:r w:rsidR="00BE3337">
        <w:t xml:space="preserve"> BrS cohort consisted of</w:t>
      </w:r>
      <w:r w:rsidR="00BE3337" w:rsidDel="00BE3337">
        <w:t xml:space="preserve"> </w:t>
      </w:r>
      <w:r>
        <w:t xml:space="preserve">2400 </w:t>
      </w:r>
      <w:r w:rsidR="002F7B56">
        <w:t>unrelated cases</w:t>
      </w:r>
      <w:r>
        <w:t xml:space="preserve"> of European origin from 23 </w:t>
      </w:r>
      <w:r w:rsidR="00BB43F9">
        <w:t xml:space="preserve">predominantly European </w:t>
      </w:r>
      <w:r w:rsidR="00E34ECC">
        <w:t>referral</w:t>
      </w:r>
      <w:r>
        <w:t xml:space="preserve"> centres</w:t>
      </w:r>
      <w:r w:rsidR="009A5673">
        <w:t xml:space="preserve"> and 935 </w:t>
      </w:r>
      <w:r w:rsidR="002F7B56">
        <w:t>unrelated</w:t>
      </w:r>
      <w:r w:rsidR="009A5673">
        <w:t xml:space="preserve"> </w:t>
      </w:r>
      <w:r w:rsidR="002F7B56">
        <w:t>cases</w:t>
      </w:r>
      <w:r w:rsidR="009A5673">
        <w:t xml:space="preserve"> from 5 Japanese centres</w:t>
      </w:r>
      <w:r w:rsidR="00BE3337">
        <w:t>. The LQTS cohort consisted of</w:t>
      </w:r>
      <w:r w:rsidR="00AA64A2">
        <w:t xml:space="preserve"> 1394 </w:t>
      </w:r>
      <w:r w:rsidR="002F7B56">
        <w:t>unrelated cases</w:t>
      </w:r>
      <w:r w:rsidR="00AA64A2">
        <w:t xml:space="preserve"> of European origin and 453 </w:t>
      </w:r>
      <w:r w:rsidR="002F7B56">
        <w:t>unrelated cases</w:t>
      </w:r>
      <w:r w:rsidR="00AA64A2">
        <w:t xml:space="preserve"> from Japan</w:t>
      </w:r>
      <w:r w:rsidR="007E640E">
        <w:t xml:space="preserve"> (Table S2)</w:t>
      </w:r>
      <w:r w:rsidR="00AA64A2">
        <w:t xml:space="preserve">. </w:t>
      </w:r>
      <w:r w:rsidR="002F7B56">
        <w:t xml:space="preserve">All ECGs were centrally assessed by a genetic cardiac electrophysiologist prior to inclusion. </w:t>
      </w:r>
      <w:r w:rsidR="002F7B56" w:rsidRPr="001128A7">
        <w:t>For European cases, genetic ancestry was confirmed using genotypic principal component analysis.</w:t>
      </w:r>
      <w:r w:rsidR="00E21218" w:rsidRPr="00E21218">
        <w:rPr>
          <w:rFonts w:cstheme="minorHAnsi"/>
          <w:color w:val="000000"/>
        </w:rPr>
        <w:t xml:space="preserve"> All subjects or their guardians provided informed consent</w:t>
      </w:r>
      <w:r w:rsidR="00566334">
        <w:rPr>
          <w:rFonts w:cstheme="minorHAnsi"/>
          <w:color w:val="000000"/>
        </w:rPr>
        <w:t xml:space="preserve"> and t</w:t>
      </w:r>
      <w:r w:rsidR="00566334" w:rsidRPr="00566334">
        <w:rPr>
          <w:rFonts w:cstheme="minorHAnsi"/>
          <w:color w:val="000000"/>
        </w:rPr>
        <w:t>he study was approved by local ethical review commit</w:t>
      </w:r>
      <w:r w:rsidR="00566334">
        <w:rPr>
          <w:rFonts w:cstheme="minorHAnsi"/>
          <w:color w:val="000000"/>
        </w:rPr>
        <w:t>tees of the participating centre</w:t>
      </w:r>
      <w:r w:rsidR="00566334" w:rsidRPr="00566334">
        <w:rPr>
          <w:rFonts w:cstheme="minorHAnsi"/>
          <w:color w:val="000000"/>
        </w:rPr>
        <w:t>s.</w:t>
      </w:r>
    </w:p>
    <w:p w14:paraId="6A090FF4" w14:textId="77777777" w:rsidR="00823734" w:rsidRDefault="00823734" w:rsidP="00521E45">
      <w:pPr>
        <w:spacing w:after="0" w:line="480" w:lineRule="auto"/>
      </w:pPr>
    </w:p>
    <w:p w14:paraId="570F3A76" w14:textId="66D2DE5E" w:rsidR="00287D06" w:rsidRDefault="00AA64A2" w:rsidP="00521E45">
      <w:pPr>
        <w:spacing w:after="0" w:line="480" w:lineRule="auto"/>
      </w:pPr>
      <w:r>
        <w:t xml:space="preserve">Rare variant data from diagnostic sequencing of </w:t>
      </w:r>
      <w:r w:rsidR="0095771E" w:rsidRPr="0095771E">
        <w:rPr>
          <w:i/>
        </w:rPr>
        <w:t>SCN5A</w:t>
      </w:r>
      <w:r>
        <w:t xml:space="preserve"> (BrS) and </w:t>
      </w:r>
      <w:r w:rsidR="0095771E" w:rsidRPr="0095771E">
        <w:rPr>
          <w:i/>
        </w:rPr>
        <w:t>KCNQ1</w:t>
      </w:r>
      <w:r>
        <w:t xml:space="preserve">, </w:t>
      </w:r>
      <w:r w:rsidR="0095771E" w:rsidRPr="0095771E">
        <w:rPr>
          <w:i/>
        </w:rPr>
        <w:t>KCNH2</w:t>
      </w:r>
      <w:r>
        <w:t xml:space="preserve"> and </w:t>
      </w:r>
      <w:r w:rsidR="0095771E" w:rsidRPr="0095771E">
        <w:rPr>
          <w:i/>
        </w:rPr>
        <w:t>SCN5A</w:t>
      </w:r>
      <w:r>
        <w:t xml:space="preserve"> (LQTS) were provided by the different centres and curated based on the following canonical transcripts: </w:t>
      </w:r>
      <w:r w:rsidRPr="00AA64A2">
        <w:t>ENST00000155840 (</w:t>
      </w:r>
      <w:r w:rsidR="0095771E" w:rsidRPr="0095771E">
        <w:rPr>
          <w:i/>
        </w:rPr>
        <w:t>KCNQ1</w:t>
      </w:r>
      <w:r w:rsidRPr="00AA64A2">
        <w:t>), ENST00000262186 (</w:t>
      </w:r>
      <w:r w:rsidR="0095771E" w:rsidRPr="0095771E">
        <w:rPr>
          <w:i/>
        </w:rPr>
        <w:t>KCNH2</w:t>
      </w:r>
      <w:r w:rsidRPr="00AA64A2">
        <w:t>) and ENST00000333535 (</w:t>
      </w:r>
      <w:r w:rsidR="0095771E" w:rsidRPr="0095771E">
        <w:rPr>
          <w:i/>
        </w:rPr>
        <w:t>SCN5A</w:t>
      </w:r>
      <w:r w:rsidRPr="00AA64A2">
        <w:t>).</w:t>
      </w:r>
      <w:r w:rsidR="009A36F2">
        <w:t xml:space="preserve"> </w:t>
      </w:r>
      <w:r w:rsidR="00362667">
        <w:t>Details of all rare va</w:t>
      </w:r>
      <w:r w:rsidR="00833E2D">
        <w:t>riants are provided in Tables S3/S4</w:t>
      </w:r>
      <w:r w:rsidR="00362667">
        <w:t xml:space="preserve">. </w:t>
      </w:r>
      <w:r w:rsidR="009A36F2">
        <w:t>Three additional</w:t>
      </w:r>
      <w:r w:rsidR="0035509E">
        <w:t xml:space="preserve"> </w:t>
      </w:r>
      <w:r w:rsidR="009A36F2">
        <w:t>arrhythmia</w:t>
      </w:r>
      <w:r w:rsidR="000B7C1C">
        <w:t>-related</w:t>
      </w:r>
      <w:r w:rsidR="007E640E">
        <w:t xml:space="preserve"> datasets detailed in </w:t>
      </w:r>
      <w:r w:rsidR="003A3E31">
        <w:t>Supplemental Methods</w:t>
      </w:r>
      <w:r w:rsidR="007E640E">
        <w:t xml:space="preserve"> and Table S2</w:t>
      </w:r>
      <w:r w:rsidR="009A36F2">
        <w:t xml:space="preserve"> were used for further </w:t>
      </w:r>
      <w:r w:rsidR="000B7C1C">
        <w:t>analyse</w:t>
      </w:r>
      <w:r w:rsidR="0035509E">
        <w:t xml:space="preserve">s </w:t>
      </w:r>
      <w:r w:rsidR="009A36F2">
        <w:t xml:space="preserve">as </w:t>
      </w:r>
      <w:r w:rsidR="0035509E">
        <w:t>described in Results</w:t>
      </w:r>
      <w:r w:rsidR="00451BA7">
        <w:t>.</w:t>
      </w:r>
    </w:p>
    <w:p w14:paraId="78B5EE8F" w14:textId="77777777" w:rsidR="00823734" w:rsidRDefault="00823734" w:rsidP="00521E45">
      <w:pPr>
        <w:spacing w:after="0" w:line="480" w:lineRule="auto"/>
      </w:pPr>
    </w:p>
    <w:p w14:paraId="7E4293CF" w14:textId="6FF391E4" w:rsidR="009A36F2" w:rsidRDefault="009A36F2" w:rsidP="00521E45">
      <w:pPr>
        <w:spacing w:after="0" w:line="480" w:lineRule="auto"/>
      </w:pPr>
      <w:r>
        <w:t>The gnomAD dataset (version 2.1) comprising 125748 individuals with exome sequencing was used for population controls, with the following population-specific subsets used for the European and Japanese cases</w:t>
      </w:r>
      <w:r w:rsidR="003A35EA">
        <w:t xml:space="preserve"> respectively</w:t>
      </w:r>
      <w:r>
        <w:t>: non-Finnish European (gnomAD-NFE) comprising 56885 individuals and East Asian (gnomAD-EAS) comprising 9197 individuals.</w:t>
      </w:r>
    </w:p>
    <w:p w14:paraId="5B2D6F53" w14:textId="77777777" w:rsidR="00451BA7" w:rsidRDefault="00451BA7" w:rsidP="00521E45"/>
    <w:p w14:paraId="6B76F5A0" w14:textId="77777777" w:rsidR="000B6982" w:rsidRDefault="000B6982" w:rsidP="00521E45"/>
    <w:p w14:paraId="1A16EDCD" w14:textId="77777777" w:rsidR="00B775CA" w:rsidRDefault="00B775CA" w:rsidP="00521E45"/>
    <w:p w14:paraId="7CAD9EA5" w14:textId="77777777" w:rsidR="00B775CA" w:rsidRDefault="00B775CA" w:rsidP="00F42FE2">
      <w:pPr>
        <w:jc w:val="both"/>
      </w:pPr>
    </w:p>
    <w:p w14:paraId="2BAC2398" w14:textId="77777777" w:rsidR="00B775CA" w:rsidRDefault="00B775CA" w:rsidP="00F42FE2">
      <w:pPr>
        <w:jc w:val="both"/>
      </w:pPr>
    </w:p>
    <w:p w14:paraId="1187CD6F" w14:textId="77777777" w:rsidR="00B775CA" w:rsidRDefault="00B775CA" w:rsidP="00F42FE2">
      <w:pPr>
        <w:jc w:val="both"/>
      </w:pPr>
    </w:p>
    <w:p w14:paraId="21E0C7D5" w14:textId="77777777" w:rsidR="00B775CA" w:rsidRDefault="00B775CA" w:rsidP="00F42FE2">
      <w:pPr>
        <w:jc w:val="both"/>
      </w:pPr>
    </w:p>
    <w:p w14:paraId="28D5EFD1" w14:textId="77777777" w:rsidR="00CD4DF0" w:rsidRPr="00304EA7" w:rsidRDefault="00CD4DF0" w:rsidP="00521E45">
      <w:pPr>
        <w:spacing w:after="0" w:line="480" w:lineRule="auto"/>
        <w:rPr>
          <w:i/>
        </w:rPr>
      </w:pPr>
      <w:r>
        <w:rPr>
          <w:i/>
        </w:rPr>
        <w:t>Defining population frequency thresholds for rare variants</w:t>
      </w:r>
    </w:p>
    <w:p w14:paraId="325DE8BD" w14:textId="2F6E1064" w:rsidR="00CD4DF0" w:rsidRDefault="009B3277" w:rsidP="00521E45">
      <w:pPr>
        <w:spacing w:after="0" w:line="480" w:lineRule="auto"/>
      </w:pPr>
      <w:r>
        <w:t>The m</w:t>
      </w:r>
      <w:r w:rsidR="00CD4DF0">
        <w:t xml:space="preserve">aximum credible population allele frequency thresholds for rare, pathogenic variants were calculated </w:t>
      </w:r>
      <w:r w:rsidR="000B23F2">
        <w:t>as previously described</w:t>
      </w:r>
      <w:r w:rsidR="00CA0DD7">
        <w:fldChar w:fldCharType="begin" w:fldLock="1"/>
      </w:r>
      <w:r w:rsidR="007818E5">
        <w:instrText>ADDIN CSL_CITATION {"citationItems":[{"id":"ITEM-1","itemData":{"DOI":"10.1038/gim.2017.26","ISSN":"1530-0366","PMID":"28518168","abstract":"PurposeWhole-exome and whole-genome sequencing have transformed the discovery of genetic variants that cause human Mendelian disease, but discriminating pathogenic from benign variants remains a daunting challenge. Rarity is recognized as a necessary, although not sufficient, criterion for pathogenicity, but frequency cutoffs used in Mendelian analysis are often arbitrary and overly lenient. Recent very large reference datasets, such as the Exome Aggregation Consortium (ExAC), provide an unprecedented opportunity to obtain robust frequency estimates even for very rare variants.MethodsWe present a statistical framework for the frequency-based filtering of candidate disease-causing variants, accounting for disease prevalence, genetic and allelic heterogeneity, inheritance mode, penetrance, and sampling variance in reference datasets.ResultsUsing the example of cardiomyopathy, we show that our approach reduces by two-thirds the number of candidate variants under consideration in the average exome, without removing true pathogenic variants (false-positive rate&lt;0.001).ConclusionWe outline a statistically robust framework for assessing whether a variant is \"too common\" to be causative for a Mendelian disorder of interest. We present precomputed allele frequency cutoffs for all variants in the ExAC dataset.","author":[{"dropping-particle":"","family":"Whiffin","given":"Nicola","non-dropping-particle":"","parse-names":false,"suffix":""},{"dropping-particle":"","family":"Minikel","given":"Eric","non-dropping-particle":"","parse-names":false,"suffix":""},{"dropping-particle":"","family":"Walsh","given":"Roddy","non-dropping-particle":"","parse-names":false,"suffix":""},{"dropping-particle":"","family":"O'Donnell-Luria","given":"Anne H","non-dropping-particle":"","parse-names":false,"suffix":""},{"dropping-particle":"","family":"Karczewski","given":"Konrad","non-dropping-particle":"","parse-names":false,"suffix":""},{"dropping-particle":"","family":"Ing","given":"Alexander Y","non-dropping-particle":"","parse-names":false,"suffix":""},{"dropping-particle":"","family":"Barton","given":"Paul J R","non-dropping-particle":"","parse-names":false,"suffix":""},{"dropping-particle":"","family":"Funke","given":"Birgit","non-dropping-particle":"","parse-names":false,"suffix":""},{"dropping-particle":"","family":"Cook","given":"Stuart A","non-dropping-particle":"","parse-names":false,"suffix":""},{"dropping-particle":"","family":"MacArthur","given":"Daniel","non-dropping-particle":"","parse-names":false,"suffix":""},{"dropping-particle":"","family":"Ware","given":"James S","non-dropping-particle":"","parse-names":false,"suffix":""}],"container-title":"Genetics in medicine : official journal of the American College of Medical Genetics","id":"ITEM-1","issue":"10","issued":{"date-parts":[["2017","10","18"]]},"page":"1151-1158","title":"Using high-resolution variant frequencies to empower clinical genome interpretation.","type":"article-journal","volume":"19"},"uris":["http://www.mendeley.com/documents/?uuid=1159b56e-b758-439e-b40d-ae1a2cf6605e"]}],"mendeley":{"formattedCitation":"&lt;sup&gt;12&lt;/sup&gt;","plainTextFormattedCitation":"12","previouslyFormattedCitation":"&lt;sup&gt;14&lt;/sup&gt;"},"properties":{"noteIndex":0},"schema":"https://github.com/citation-style-language/schema/raw/master/csl-citation.json"}</w:instrText>
      </w:r>
      <w:r w:rsidR="00CA0DD7">
        <w:fldChar w:fldCharType="separate"/>
      </w:r>
      <w:r w:rsidR="007818E5" w:rsidRPr="007818E5">
        <w:rPr>
          <w:noProof/>
          <w:vertAlign w:val="superscript"/>
        </w:rPr>
        <w:t>12</w:t>
      </w:r>
      <w:r w:rsidR="00CA0DD7">
        <w:fldChar w:fldCharType="end"/>
      </w:r>
      <w:r w:rsidR="00CD4DF0">
        <w:t>:</w:t>
      </w:r>
    </w:p>
    <w:p w14:paraId="57B65CE5" w14:textId="77777777" w:rsidR="00CD4DF0" w:rsidRPr="00D76383" w:rsidRDefault="00C52853" w:rsidP="00521E45">
      <w:pPr>
        <w:spacing w:after="0" w:line="480" w:lineRule="auto"/>
      </w:pPr>
      <m:oMathPara>
        <m:oMath>
          <m:f>
            <m:fPr>
              <m:ctrlPr>
                <w:rPr>
                  <w:rFonts w:ascii="Cambria Math" w:hAnsi="Cambria Math"/>
                  <w:i/>
                </w:rPr>
              </m:ctrlPr>
            </m:fPr>
            <m:num>
              <m:r>
                <w:rPr>
                  <w:rFonts w:ascii="Cambria Math" w:hAnsi="Cambria Math"/>
                </w:rPr>
                <m:t>prevalence of disease ×maximum allelic contribution</m:t>
              </m:r>
            </m:num>
            <m:den>
              <m:r>
                <w:rPr>
                  <w:rFonts w:ascii="Cambria Math" w:hAnsi="Cambria Math"/>
                </w:rPr>
                <m:t>penetrance</m:t>
              </m:r>
            </m:den>
          </m:f>
        </m:oMath>
      </m:oMathPara>
    </w:p>
    <w:p w14:paraId="0A16ACEA" w14:textId="644917CD" w:rsidR="00F45553" w:rsidRDefault="00CD4DF0" w:rsidP="00521E45">
      <w:pPr>
        <w:autoSpaceDE w:val="0"/>
        <w:autoSpaceDN w:val="0"/>
        <w:adjustRightInd w:val="0"/>
        <w:spacing w:after="0" w:line="480" w:lineRule="auto"/>
        <w:rPr>
          <w:rFonts w:cstheme="minorHAnsi"/>
        </w:rPr>
      </w:pPr>
      <w:r>
        <w:t xml:space="preserve">where the maximum allelic </w:t>
      </w:r>
      <w:r w:rsidRPr="00CD4DF0">
        <w:rPr>
          <w:rFonts w:cstheme="minorHAnsi"/>
        </w:rPr>
        <w:t>contribution</w:t>
      </w:r>
      <w:r>
        <w:rPr>
          <w:rFonts w:cstheme="minorHAnsi"/>
        </w:rPr>
        <w:t xml:space="preserve"> is </w:t>
      </w:r>
      <w:r w:rsidRPr="00CD4DF0">
        <w:rPr>
          <w:rFonts w:cstheme="minorHAnsi"/>
          <w:color w:val="231F20"/>
        </w:rPr>
        <w:t>the maximum proportion</w:t>
      </w:r>
      <w:r>
        <w:rPr>
          <w:rFonts w:cstheme="minorHAnsi"/>
          <w:color w:val="231F20"/>
        </w:rPr>
        <w:t xml:space="preserve"> </w:t>
      </w:r>
      <w:r w:rsidRPr="00CD4DF0">
        <w:rPr>
          <w:rFonts w:cstheme="minorHAnsi"/>
          <w:color w:val="231F20"/>
        </w:rPr>
        <w:t xml:space="preserve">of cases potentially attributable to a single </w:t>
      </w:r>
      <w:r w:rsidR="001B54A3">
        <w:rPr>
          <w:rFonts w:cstheme="minorHAnsi"/>
          <w:color w:val="231F20"/>
        </w:rPr>
        <w:t>causative variant in these cohorts</w:t>
      </w:r>
      <w:r>
        <w:rPr>
          <w:rFonts w:cstheme="minorHAnsi"/>
        </w:rPr>
        <w:t>.</w:t>
      </w:r>
    </w:p>
    <w:p w14:paraId="0D77EF47" w14:textId="77777777" w:rsidR="000B7C1C" w:rsidRDefault="000B7C1C" w:rsidP="00823734">
      <w:pPr>
        <w:autoSpaceDE w:val="0"/>
        <w:autoSpaceDN w:val="0"/>
        <w:adjustRightInd w:val="0"/>
        <w:spacing w:after="0" w:line="480" w:lineRule="auto"/>
        <w:jc w:val="both"/>
        <w:rPr>
          <w:rFonts w:cstheme="minorHAnsi"/>
        </w:rPr>
      </w:pPr>
    </w:p>
    <w:p w14:paraId="22F439D1" w14:textId="30130239" w:rsidR="006B3C5C" w:rsidRDefault="006B3C5C" w:rsidP="00521E45">
      <w:pPr>
        <w:spacing w:after="0" w:line="480" w:lineRule="auto"/>
      </w:pPr>
      <w:r>
        <w:t xml:space="preserve">Population frequency thresholds were calculated on the basis of two estimates of penetrance – </w:t>
      </w:r>
      <w:r w:rsidR="009A36F2">
        <w:t>50% and 10%</w:t>
      </w:r>
      <w:r w:rsidR="00485BD2">
        <w:t xml:space="preserve"> - for both BrS and LQTS</w:t>
      </w:r>
      <w:r w:rsidR="009A36F2">
        <w:t xml:space="preserve">. For BrS, we used a </w:t>
      </w:r>
      <w:r>
        <w:t xml:space="preserve">disease prevalence of 1/1000 and </w:t>
      </w:r>
      <w:r w:rsidR="009A36F2">
        <w:t xml:space="preserve">a </w:t>
      </w:r>
      <w:r>
        <w:t xml:space="preserve">maximum </w:t>
      </w:r>
      <w:r w:rsidR="009A36F2">
        <w:t>allelic contribution of 0.01 (</w:t>
      </w:r>
      <w:r w:rsidR="00F20B62">
        <w:t xml:space="preserve">based on </w:t>
      </w:r>
      <w:r w:rsidR="0095771E" w:rsidRPr="0095771E">
        <w:rPr>
          <w:i/>
        </w:rPr>
        <w:t>SCN5A</w:t>
      </w:r>
      <w:r>
        <w:t>:</w:t>
      </w:r>
      <w:r w:rsidRPr="0020755C">
        <w:t>c.4813+5_4813+6insGTGG</w:t>
      </w:r>
      <w:r w:rsidR="00F20B62">
        <w:t>,</w:t>
      </w:r>
      <w:r>
        <w:t xml:space="preserve"> attributable to 15/2400 or 0.6%</w:t>
      </w:r>
      <w:r w:rsidR="000B6982">
        <w:t xml:space="preserve"> (0.3-1.0%)</w:t>
      </w:r>
      <w:r>
        <w:t xml:space="preserve"> of cases in </w:t>
      </w:r>
      <w:r w:rsidR="000B6982">
        <w:t>this study</w:t>
      </w:r>
      <w:r w:rsidR="009A36F2">
        <w:t>). T</w:t>
      </w:r>
      <w:r>
        <w:t xml:space="preserve">he thresholds </w:t>
      </w:r>
      <w:r w:rsidR="009A36F2">
        <w:t xml:space="preserve">for BrS </w:t>
      </w:r>
      <w:r>
        <w:t>were calculated as 1.0x10</w:t>
      </w:r>
      <w:r w:rsidRPr="0020755C">
        <w:rPr>
          <w:vertAlign w:val="superscript"/>
        </w:rPr>
        <w:t>-5</w:t>
      </w:r>
      <w:r>
        <w:t xml:space="preserve"> and 5.0x10</w:t>
      </w:r>
      <w:r w:rsidRPr="0020755C">
        <w:rPr>
          <w:vertAlign w:val="superscript"/>
        </w:rPr>
        <w:t>-5</w:t>
      </w:r>
      <w:r w:rsidR="009A36F2">
        <w:t xml:space="preserve"> respectively. For LQTS, we used a </w:t>
      </w:r>
      <w:r>
        <w:t xml:space="preserve">disease prevalence of 1/2000 and maximum </w:t>
      </w:r>
      <w:r w:rsidR="009A36F2">
        <w:t>allelic contribution of 0.022 (</w:t>
      </w:r>
      <w:r w:rsidR="00F20B62">
        <w:t xml:space="preserve">based on </w:t>
      </w:r>
      <w:r w:rsidR="0095771E" w:rsidRPr="0095771E">
        <w:rPr>
          <w:i/>
        </w:rPr>
        <w:t>KCNQ1</w:t>
      </w:r>
      <w:r>
        <w:t>:</w:t>
      </w:r>
      <w:r w:rsidRPr="0020755C">
        <w:rPr>
          <w:rFonts w:ascii="Calibri" w:eastAsia="Times New Roman" w:hAnsi="Calibri" w:cs="Calibri"/>
          <w:color w:val="000000"/>
          <w:lang w:eastAsia="en-GB"/>
        </w:rPr>
        <w:t>c.1032G&gt;A</w:t>
      </w:r>
      <w:r w:rsidR="00F20B62">
        <w:rPr>
          <w:rFonts w:ascii="Calibri" w:eastAsia="Times New Roman" w:hAnsi="Calibri" w:cs="Calibri"/>
          <w:color w:val="000000"/>
          <w:lang w:eastAsia="en-GB"/>
        </w:rPr>
        <w:t>,</w:t>
      </w:r>
      <w:r>
        <w:t xml:space="preserve"> attributable to 29/1847 or 1.6%</w:t>
      </w:r>
      <w:r w:rsidR="000B6982">
        <w:t xml:space="preserve"> (1.1-2.2%) of cases in this study</w:t>
      </w:r>
      <w:r>
        <w:t>)</w:t>
      </w:r>
      <w:r w:rsidR="009A36F2">
        <w:t>. T</w:t>
      </w:r>
      <w:r>
        <w:t xml:space="preserve">he thresholds </w:t>
      </w:r>
      <w:r w:rsidR="009A36F2">
        <w:t xml:space="preserve">for LQTS </w:t>
      </w:r>
      <w:r>
        <w:t>were calculated as 1.1x10</w:t>
      </w:r>
      <w:r w:rsidRPr="0020755C">
        <w:rPr>
          <w:vertAlign w:val="superscript"/>
        </w:rPr>
        <w:t>-5</w:t>
      </w:r>
      <w:r>
        <w:t xml:space="preserve"> and 5.5x10</w:t>
      </w:r>
      <w:r w:rsidRPr="0020755C">
        <w:rPr>
          <w:vertAlign w:val="superscript"/>
        </w:rPr>
        <w:t>-5</w:t>
      </w:r>
      <w:r>
        <w:t xml:space="preserve"> respectively. </w:t>
      </w:r>
    </w:p>
    <w:p w14:paraId="0E5AD23B" w14:textId="77777777" w:rsidR="00093E31" w:rsidRDefault="00093E31" w:rsidP="00521E45">
      <w:pPr>
        <w:spacing w:after="0" w:line="480" w:lineRule="auto"/>
      </w:pPr>
    </w:p>
    <w:p w14:paraId="4D3FE9F7" w14:textId="4BE5AEED" w:rsidR="00A3119E" w:rsidRPr="00A3119E" w:rsidRDefault="00520219" w:rsidP="00521E45">
      <w:pPr>
        <w:spacing w:after="0" w:line="480" w:lineRule="auto"/>
        <w:rPr>
          <w:i/>
        </w:rPr>
      </w:pPr>
      <w:r>
        <w:rPr>
          <w:i/>
        </w:rPr>
        <w:t>Defining case-enriched regions in arrhythmia genes</w:t>
      </w:r>
    </w:p>
    <w:p w14:paraId="4C4793AC" w14:textId="549C9AAE" w:rsidR="00520219" w:rsidRDefault="00520219" w:rsidP="00521E45">
      <w:pPr>
        <w:spacing w:after="0" w:line="480" w:lineRule="auto"/>
      </w:pPr>
      <w:r>
        <w:t xml:space="preserve">To define the relative enrichment of rare variants in cases over controls for arrhythmia gene regions, we used </w:t>
      </w:r>
      <w:r w:rsidR="005A29F3">
        <w:t>the etiological fraction (EF)</w:t>
      </w:r>
      <w:r>
        <w:t>, which in the context of Mendelian disease</w:t>
      </w:r>
      <w:r w:rsidR="005A29F3">
        <w:t xml:space="preserve"> </w:t>
      </w:r>
      <w:r w:rsidR="005A29F3" w:rsidRPr="005A29F3">
        <w:t>estimates the proportion of cases with a rare variant of a particular class in whom that variant is disease-causing</w:t>
      </w:r>
      <w:r w:rsidR="00587B6E">
        <w:t xml:space="preserve">. </w:t>
      </w:r>
      <w:r>
        <w:t>The EF</w:t>
      </w:r>
      <w:r w:rsidR="00587B6E">
        <w:t xml:space="preserve"> is derived from the odd</w:t>
      </w:r>
      <w:r w:rsidR="000B6982">
        <w:t>s ratio (OR) by the formula: EF=</w:t>
      </w:r>
      <w:r w:rsidR="00587B6E">
        <w:t>(OR-1)/OR, with 95% confidence intervals (CI) calculated as described in</w:t>
      </w:r>
      <w:r w:rsidR="00AF2B94">
        <w:t xml:space="preserve"> Supplemental Methods</w:t>
      </w:r>
      <w:r w:rsidR="00587B6E">
        <w:t>. For the three arrhythmia genes</w:t>
      </w:r>
      <w:r w:rsidR="004933A6">
        <w:t xml:space="preserve"> (</w:t>
      </w:r>
      <w:r w:rsidR="004933A6" w:rsidRPr="0095771E">
        <w:rPr>
          <w:i/>
        </w:rPr>
        <w:t>KCNQ1</w:t>
      </w:r>
      <w:r w:rsidR="008001F5">
        <w:t>/</w:t>
      </w:r>
      <w:r w:rsidR="004933A6" w:rsidRPr="0095771E">
        <w:rPr>
          <w:i/>
        </w:rPr>
        <w:t>KCNH2</w:t>
      </w:r>
      <w:r w:rsidR="008001F5">
        <w:t>/</w:t>
      </w:r>
      <w:r w:rsidR="004933A6" w:rsidRPr="0095771E">
        <w:rPr>
          <w:i/>
        </w:rPr>
        <w:t>SCN5A</w:t>
      </w:r>
      <w:r w:rsidR="004933A6">
        <w:t>)</w:t>
      </w:r>
      <w:r w:rsidR="00587B6E">
        <w:t>, EFs were calculated for rare non-truncating (misse</w:t>
      </w:r>
      <w:r w:rsidR="009A36F2">
        <w:t>nse and inframe insertion</w:t>
      </w:r>
      <w:r w:rsidR="008B37BD">
        <w:t>s</w:t>
      </w:r>
      <w:r w:rsidR="009A36F2">
        <w:t>/deletion</w:t>
      </w:r>
      <w:r w:rsidR="008B37BD">
        <w:t>s</w:t>
      </w:r>
      <w:r w:rsidR="00587B6E">
        <w:t xml:space="preserve">) variants by comparing arrhythmia cohorts with population-relevant gnomAD controls. EFs were calculated for specific gene/protein regions in </w:t>
      </w:r>
      <w:r w:rsidR="0095771E" w:rsidRPr="0095771E">
        <w:rPr>
          <w:i/>
        </w:rPr>
        <w:t>KCNQ1</w:t>
      </w:r>
      <w:r w:rsidR="008001F5">
        <w:t>/</w:t>
      </w:r>
      <w:r w:rsidR="0095771E" w:rsidRPr="0095771E">
        <w:rPr>
          <w:i/>
        </w:rPr>
        <w:t>KCNH2</w:t>
      </w:r>
      <w:r w:rsidR="008001F5">
        <w:t>/</w:t>
      </w:r>
      <w:r w:rsidR="0095771E" w:rsidRPr="0095771E">
        <w:rPr>
          <w:i/>
        </w:rPr>
        <w:t>SCN5A</w:t>
      </w:r>
      <w:r w:rsidR="00587B6E">
        <w:t xml:space="preserve">, </w:t>
      </w:r>
      <w:r w:rsidR="002A2EE5">
        <w:t xml:space="preserve">defined </w:t>
      </w:r>
      <w:r w:rsidR="002A2EE5">
        <w:lastRenderedPageBreak/>
        <w:t xml:space="preserve">according to recognised domains in the respective </w:t>
      </w:r>
      <w:proofErr w:type="spellStart"/>
      <w:r w:rsidR="002A2EE5">
        <w:t>UniProt</w:t>
      </w:r>
      <w:proofErr w:type="spellEnd"/>
      <w:r w:rsidR="002A2EE5">
        <w:t xml:space="preserve"> </w:t>
      </w:r>
      <w:r w:rsidR="002A2EE5" w:rsidRPr="004A535D">
        <w:rPr>
          <w:rStyle w:val="Emphasis"/>
          <w:i w:val="0"/>
        </w:rPr>
        <w:t xml:space="preserve">(version 207) </w:t>
      </w:r>
      <w:r w:rsidR="002A2EE5">
        <w:t>entries</w:t>
      </w:r>
      <w:r>
        <w:t xml:space="preserve"> (details in Results and Supplemental Methods)</w:t>
      </w:r>
      <w:r w:rsidR="00406081">
        <w:t xml:space="preserve">, </w:t>
      </w:r>
      <w:r>
        <w:t xml:space="preserve">as well as the </w:t>
      </w:r>
      <w:r w:rsidRPr="00520219">
        <w:rPr>
          <w:i/>
        </w:rPr>
        <w:t>KCNQ1</w:t>
      </w:r>
      <w:r>
        <w:t xml:space="preserve"> C-terminus highly conserved regions defined by Kapplinger at al.</w:t>
      </w:r>
      <w:r>
        <w:fldChar w:fldCharType="begin" w:fldLock="1"/>
      </w:r>
      <w:r w:rsidR="00F22092">
        <w:instrText>ADDIN CSL_CITATION {"citationItems":[{"id":"ITEM-1","itemData":{"DOI":"10.1007/s12265-015-9622-8","ISSN":"1937-5395","PMID":"25854863","abstract":"Despite the overrepresentation of Kv7.1 mutations among patients with a robust diagnosis of long QT syndrome (LQTS), a background rate of innocuous Kv7.1 missense variants observed in healthy controls creates ambiguity in the interpretation of LQTS genetic test results. A recent study showed that the probability of pathogenicity for rare missense mutations depends in part on the topological location of the variant in Kv7.1's various structure-function domains. Since the Kv7.1's C-terminus accounts for nearly 50 % of the overall protein and nearly 50 % of the overall background rate of rare variants falls within the C-terminus, further enhancement in mutation calling may provide guidance in distinguishing pathogenic long QT syndrome type 1 (LQT1)-causing mutations from rare non-disease-causing variants in the Kv7.1's C-terminus. Therefore, we have used conservation analysis and a large case-control study to generate topology-based estimative predictive values to aid in interpretation, identifying three regions of high conservation within the Kv7.1's C-terminus which have a high probability of LQT1 pathogenicity.","author":[{"dropping-particle":"","family":"Kapplinger","given":"Jamie D","non-dropping-particle":"","parse-names":false,"suffix":""},{"dropping-particle":"","family":"Tseng","given":"Andrew S","non-dropping-particle":"","parse-names":false,"suffix":""},{"dropping-particle":"","family":"Salisbury","given":"Benjamin A","non-dropping-particle":"","parse-names":false,"suffix":""},{"dropping-particle":"","family":"Tester","given":"David J","non-dropping-particle":"","parse-names":false,"suffix":""},{"dropping-particle":"","family":"Callis","given":"Thomas E","non-dropping-particle":"","parse-names":false,"suffix":""},{"dropping-particle":"","family":"Alders","given":"Marielle","non-dropping-particle":"","parse-names":false,"suffix":""},{"dropping-particle":"","family":"Wilde","given":"Arthur A M","non-dropping-particle":"","parse-names":false,"suffix":""},{"dropping-particle":"","family":"Ackerman","given":"Michael J","non-dropping-particle":"","parse-names":false,"suffix":""}],"container-title":"Journal of cardiovascular translational research","id":"ITEM-1","issue":"3","issued":{"date-parts":[["2015","4","21"]]},"page":"187-97","title":"Enhancing the Predictive Power of Mutations in the C-Terminus of the KCNQ1-Encoded Kv7.1 Voltage-Gated Potassium Channel.","type":"article-journal","volume":"8"},"uris":["http://www.mendeley.com/documents/?uuid=a5db3813-1f65-4dfe-a9b3-7c1d46c5bfcb"]}],"mendeley":{"formattedCitation":"&lt;sup&gt;9&lt;/sup&gt;","plainTextFormattedCitation":"9","previouslyFormattedCitation":"&lt;sup&gt;9&lt;/sup&gt;"},"properties":{"noteIndex":0},"schema":"https://github.com/citation-style-language/schema/raw/master/csl-citation.json"}</w:instrText>
      </w:r>
      <w:r>
        <w:fldChar w:fldCharType="separate"/>
      </w:r>
      <w:r w:rsidR="00F22092" w:rsidRPr="00F22092">
        <w:rPr>
          <w:noProof/>
          <w:vertAlign w:val="superscript"/>
        </w:rPr>
        <w:t>9</w:t>
      </w:r>
      <w:r>
        <w:fldChar w:fldCharType="end"/>
      </w:r>
      <w:r>
        <w:t xml:space="preserve"> and the </w:t>
      </w:r>
      <w:r w:rsidRPr="00520219">
        <w:rPr>
          <w:i/>
        </w:rPr>
        <w:t>KCNH2</w:t>
      </w:r>
      <w:r w:rsidRPr="00520219">
        <w:t xml:space="preserve"> </w:t>
      </w:r>
      <w:r>
        <w:t>N-terminus cluster based on distribution of LQTS variants in this study.</w:t>
      </w:r>
      <w:r w:rsidRPr="00520219">
        <w:t xml:space="preserve"> </w:t>
      </w:r>
      <w:r>
        <w:t xml:space="preserve">Regions with poor coverage in gnomAD and founder/recurrent case variants that may inflate regional EFs were masked from this analysis (see details in Supplemental Methods). </w:t>
      </w:r>
    </w:p>
    <w:p w14:paraId="3B6484A6" w14:textId="77777777" w:rsidR="00A85DB9" w:rsidRDefault="00A85DB9" w:rsidP="00521E45">
      <w:pPr>
        <w:spacing w:after="0" w:line="480" w:lineRule="auto"/>
      </w:pPr>
    </w:p>
    <w:p w14:paraId="0C955AEA" w14:textId="77777777" w:rsidR="009A36F2" w:rsidRPr="003A2102" w:rsidRDefault="009A36F2" w:rsidP="00521E45">
      <w:pPr>
        <w:spacing w:after="0" w:line="480" w:lineRule="auto"/>
        <w:rPr>
          <w:i/>
        </w:rPr>
      </w:pPr>
      <w:r>
        <w:rPr>
          <w:i/>
        </w:rPr>
        <w:t>Variant interpretation with standard ACMG/AMP guidelines</w:t>
      </w:r>
    </w:p>
    <w:p w14:paraId="58CD8039" w14:textId="6B3BEC32" w:rsidR="009A36F2" w:rsidRDefault="005766C0" w:rsidP="00521E45">
      <w:pPr>
        <w:spacing w:after="0" w:line="480" w:lineRule="auto"/>
      </w:pPr>
      <w:r>
        <w:t>Case v</w:t>
      </w:r>
      <w:r w:rsidR="009A36F2">
        <w:t>ariants were classified</w:t>
      </w:r>
      <w:r w:rsidR="00234519">
        <w:t xml:space="preserve"> according to ACMG/AMP guidelines using </w:t>
      </w:r>
      <w:r w:rsidR="009A36F2">
        <w:t>the CardioClassifier application</w:t>
      </w:r>
      <w:r w:rsidR="009A36F2">
        <w:fldChar w:fldCharType="begin" w:fldLock="1"/>
      </w:r>
      <w:r w:rsidR="007818E5">
        <w:instrText>ADDIN CSL_CITATION {"citationItems":[{"id":"ITEM-1","itemData":{"DOI":"10.1038/gim.2017.258","ISSN":"1530-0366","PMID":"29369293","abstract":"PURPOSE Internationally adopted variant interpretation guidelines from the American College of Medical Genetics and Genomics (ACMG) are generic and require disease-specific refinement. Here we developed CardioClassifier ( http://www.cardioclassifier.org ), a semiautomated decision-support tool for inherited cardiac conditions (ICCs). METHODS CardioClassifier integrates data retrieved from multiple sources with user-input case-specific information, through an interactive interface, to support variant interpretation. Combining disease- and gene-specific knowledge with variant observations in large cohorts of cases and controls, we refined 14 computational ACMG criteria and created three ICC-specific rules. RESULTS We benchmarked CardioClassifier on 57 expertly curated variants and show full retrieval of all computational data, concordantly activating 87.3% of rules. A generic annotation tool identified fewer than half as many clinically actionable variants (64/219 vs. 156/219, Fisher's P = 1.1 × 10-18), with important false positives, illustrating the critical importance of disease and gene-specific annotations. CardioClassifier identified putatively disease-causing variants in 33.7% of 327 cardiomyopathy cases, comparable with leading ICC laboratories. Through addition of manually curated data, variants found in over 40% of cardiomyopathy cases are fully annotated, without requiring additional user-input data. CONCLUSION CardioClassifier is an ICC-specific decision-support tool that integrates expertly curated computational annotations with case-specific data to generate fast, reproducible, and interactive variant pathogenicity reports, according to best practice guidelines.","author":[{"dropping-particle":"","family":"Whiffin","given":"Nicola","non-dropping-particle":"","parse-names":false,"suffix":""},{"dropping-particle":"","family":"Walsh","given":"Roddy","non-dropping-particle":"","parse-names":false,"suffix":""},{"dropping-particle":"","family":"Govind","given":"Risha","non-dropping-particle":"","parse-names":false,"suffix":""},{"dropping-particle":"","family":"Edwards","given":"Matthew","non-dropping-particle":"","parse-names":false,"suffix":""},{"dropping-particle":"","family":"Ahmad","given":"Mian","non-dropping-particle":"","parse-names":false,"suffix":""},{"dropping-particle":"","family":"Zhang","given":"Xiaolei","non-dropping-particle":"","parse-names":false,"suffix":""},{"dropping-particle":"","family":"Tayal","given":"Upasana","non-dropping-particle":"","parse-names":false,"suffix":""},{"dropping-particle":"","family":"Buchan","given":"Rachel","non-dropping-particle":"","parse-names":false,"suffix":""},{"dropping-particle":"","family":"Midwinter","given":"William","non-dropping-particle":"","parse-names":false,"suffix":""},{"dropping-particle":"","family":"Wilk","given":"Alicja E","non-dropping-particle":"","parse-names":false,"suffix":""},{"dropping-particle":"","family":"Najgebauer","given":"Hanna","non-dropping-particle":"","parse-names":false,"suffix":""},{"dropping-particle":"","family":"Francis","given":"Catherine","non-dropping-particle":"","parse-names":false,"suffix":""},{"dropping-particle":"","family":"Wilkinson","given":"Sam","non-dropping-particle":"","parse-names":false,"suffix":""},{"dropping-particle":"","family":"Monk","given":"Thomas","non-dropping-particle":"","parse-names":false,"suffix":""},{"dropping-particle":"","family":"Brett","given":"Laura","non-dropping-particle":"","parse-names":false,"suffix":""},{"dropping-particle":"","family":"O'Regan","given":"Declan P","non-dropping-particle":"","parse-names":false,"suffix":""},{"dropping-particle":"","family":"Prasad","given":"Sanjay K.","non-dropping-particle":"","parse-names":false,"suffix":""},{"dropping-particle":"","family":"Morris-Rosendahl","given":"Deborah J.","non-dropping-particle":"","parse-names":false,"suffix":""},{"dropping-particle":"","family":"Barton","given":"Paul J. R.","non-dropping-particle":"","parse-names":false,"suffix":""},{"dropping-particle":"","family":"Edwards","given":"Elizabeth","non-dropping-particle":"","parse-names":false,"suffix":""},{"dropping-particle":"","family":"Ware","given":"James S.","non-dropping-particle":"","parse-names":false,"suffix":""},{"dropping-particle":"","family":"Cook","given":"Stuart A.","non-dropping-particle":"","parse-names":false,"suffix":""}],"container-title":"Genetics in medicine : official journal of the American College of Medical Genetics","id":"ITEM-1","issue":"10","issued":{"date-parts":[["2018","1","25"]]},"page":"1246-1254","title":"CardioClassifier: disease- and gene-specific computational decision support for clinical genome interpretation.","type":"article-journal","volume":"20"},"uris":["http://www.mendeley.com/documents/?uuid=3a95551c-bb74-42b9-8cd5-0a53aa03be6d"]}],"mendeley":{"formattedCitation":"&lt;sup&gt;13&lt;/sup&gt;","plainTextFormattedCitation":"13","previouslyFormattedCitation":"&lt;sup&gt;15&lt;/sup&gt;"},"properties":{"noteIndex":0},"schema":"https://github.com/citation-style-language/schema/raw/master/csl-citation.json"}</w:instrText>
      </w:r>
      <w:r w:rsidR="009A36F2">
        <w:fldChar w:fldCharType="separate"/>
      </w:r>
      <w:r w:rsidR="007818E5" w:rsidRPr="007818E5">
        <w:rPr>
          <w:noProof/>
          <w:vertAlign w:val="superscript"/>
        </w:rPr>
        <w:t>13</w:t>
      </w:r>
      <w:r w:rsidR="009A36F2">
        <w:fldChar w:fldCharType="end"/>
      </w:r>
      <w:r w:rsidR="009B0600">
        <w:t xml:space="preserve"> </w:t>
      </w:r>
      <w:r w:rsidR="009A36F2">
        <w:t>with adaptations for the following rules</w:t>
      </w:r>
      <w:r w:rsidR="003C7C83">
        <w:t>: (1)</w:t>
      </w:r>
      <w:r w:rsidR="009A36F2">
        <w:t xml:space="preserve"> </w:t>
      </w:r>
      <w:r w:rsidR="002804A8">
        <w:t xml:space="preserve">Variant </w:t>
      </w:r>
      <w:r w:rsidR="009A36F2">
        <w:t xml:space="preserve">population frequency </w:t>
      </w:r>
      <w:r w:rsidR="002804A8">
        <w:t xml:space="preserve">(PM2/BS1 rules) </w:t>
      </w:r>
      <w:r w:rsidR="009A36F2">
        <w:t xml:space="preserve">used gnomAD exomes filtering allele frequencies (FAF) with thresholds </w:t>
      </w:r>
      <w:r w:rsidR="000B0A16">
        <w:t>defined in this study</w:t>
      </w:r>
      <w:r w:rsidR="009A36F2">
        <w:t xml:space="preserve">. </w:t>
      </w:r>
      <w:r w:rsidR="003C7C83">
        <w:t xml:space="preserve">(2) </w:t>
      </w:r>
      <w:r w:rsidR="00EF4CDF">
        <w:t>L</w:t>
      </w:r>
      <w:r w:rsidR="009A36F2">
        <w:t>oss</w:t>
      </w:r>
      <w:r w:rsidR="00EF4CDF">
        <w:t>-</w:t>
      </w:r>
      <w:r w:rsidR="009A36F2">
        <w:t>of</w:t>
      </w:r>
      <w:r w:rsidR="00EF4CDF">
        <w:t>-</w:t>
      </w:r>
      <w:r w:rsidR="009A36F2">
        <w:t>function</w:t>
      </w:r>
      <w:r w:rsidR="00EF4CDF">
        <w:t xml:space="preserve"> evidence</w:t>
      </w:r>
      <w:r w:rsidR="009A36F2">
        <w:t xml:space="preserve"> </w:t>
      </w:r>
      <w:r w:rsidR="00EF4CDF">
        <w:t>(</w:t>
      </w:r>
      <w:r w:rsidR="009A36F2">
        <w:t>PVS1</w:t>
      </w:r>
      <w:r w:rsidR="00EF4CDF">
        <w:t>)</w:t>
      </w:r>
      <w:r w:rsidR="009A36F2">
        <w:t xml:space="preserve"> was implemented according to recommendations from the ClinGen Sequence Variant Interpretation Workgroup</w:t>
      </w:r>
      <w:r w:rsidR="009A36F2">
        <w:fldChar w:fldCharType="begin" w:fldLock="1"/>
      </w:r>
      <w:r w:rsidR="007818E5">
        <w:instrText>ADDIN CSL_CITATION {"citationItems":[{"id":"ITEM-1","itemData":{"DOI":"10.1002/humu.23626","ISSN":"1098-1004","PMID":"30192042","abstract":"The 2015 ACMG/AMP sequence variant interpretation guideline provided a framework for classifying variants based on several benign and pathogenic evidence criteria, including a pathogenic criterion (PVS1) for predicted loss of function variants. However, the guideline did not elaborate on specific considerations for the different types of loss of function variants, nor did it provide decision-making pathways assimilating information about variant type, its location, or any additional evidence for the likelihood of a true null effect. Furthermore, this guideline did not take into account the relative strengths for each evidence type and the final outcome of their combinations with respect to PVS1 strength. Finally, criteria specifying the genes for which PVS1 can be applied are still missing. Here, as part of the ClinGen Sequence Variant Interpretation (SVI) Workgroup's goal of refining ACMG/AMP criteria, we provide recommendations for applying the PVS1 criterion using detailed guidance addressing the above-mentioned gaps. Evaluation of the refined criterion by seven disease-specific groups using heterogeneous types of loss of function variants (n = 56) showed 89% agreement with the new recommendation, while discrepancies in six variants (11%) were appropriately due to disease-specific refinements. Our recommendations will facilitate consistent and accurate interpretation of predicted loss of function variants.","author":[{"dropping-particle":"","family":"Abou Tayoun","given":"Ahmad N","non-dropping-particle":"","parse-names":false,"suffix":""},{"dropping-particle":"","family":"Pesaran","given":"Tina","non-dropping-particle":"","parse-names":false,"suffix":""},{"dropping-particle":"","family":"DiStefano","given":"Marina T","non-dropping-particle":"","parse-names":false,"suffix":""},{"dropping-particle":"","family":"Oza","given":"Andrea","non-dropping-particle":"","parse-names":false,"suffix":""},{"dropping-particle":"","family":"Rehm","given":"Heidi L","non-dropping-particle":"","parse-names":false,"suffix":""},{"dropping-particle":"","family":"Biesecker","given":"Leslie G","non-dropping-particle":"","parse-names":false,"suffix":""},{"dropping-particle":"","family":"Harrison","given":"Steven M","non-dropping-particle":"","parse-names":false,"suffix":""},{"dropping-particle":"","family":"ClinGen Sequence Variant Interpretation Working Group (ClinGen SVI)","given":"","non-dropping-particle":"","parse-names":false,"suffix":""}],"container-title":"Human mutation","id":"ITEM-1","issue":"11","issued":{"date-parts":[["2018"]]},"page":"1517-1524","title":"Recommendations for interpreting the loss of function PVS1 ACMG/AMP variant criterion.","type":"article-journal","volume":"39"},"uris":["http://www.mendeley.com/documents/?uuid=4cbb14c8-6a67-49fb-a5b8-e77e1b6ab7a6"]}],"mendeley":{"formattedCitation":"&lt;sup&gt;14&lt;/sup&gt;","plainTextFormattedCitation":"14","previouslyFormattedCitation":"&lt;sup&gt;16&lt;/sup&gt;"},"properties":{"noteIndex":0},"schema":"https://github.com/citation-style-language/schema/raw/master/csl-citation.json"}</w:instrText>
      </w:r>
      <w:r w:rsidR="009A36F2">
        <w:fldChar w:fldCharType="separate"/>
      </w:r>
      <w:r w:rsidR="007818E5" w:rsidRPr="007818E5">
        <w:rPr>
          <w:noProof/>
          <w:vertAlign w:val="superscript"/>
        </w:rPr>
        <w:t>14</w:t>
      </w:r>
      <w:r w:rsidR="009A36F2">
        <w:fldChar w:fldCharType="end"/>
      </w:r>
      <w:r w:rsidR="009A36F2">
        <w:t xml:space="preserve">. </w:t>
      </w:r>
      <w:r w:rsidR="003C7C83">
        <w:t xml:space="preserve">(3) </w:t>
      </w:r>
      <w:r w:rsidR="00EF4CDF">
        <w:t>F</w:t>
      </w:r>
      <w:r w:rsidR="009A36F2">
        <w:t xml:space="preserve">unctional evidence rules </w:t>
      </w:r>
      <w:r w:rsidR="00D31C4F">
        <w:t>(</w:t>
      </w:r>
      <w:r w:rsidR="009A36F2">
        <w:t>PS3/BS3</w:t>
      </w:r>
      <w:r w:rsidR="00D31C4F">
        <w:t>)</w:t>
      </w:r>
      <w:r w:rsidR="009A36F2">
        <w:t xml:space="preserve"> </w:t>
      </w:r>
      <w:r w:rsidR="00BB162F">
        <w:t>for BrS/</w:t>
      </w:r>
      <w:r w:rsidR="0095771E" w:rsidRPr="0095771E">
        <w:rPr>
          <w:i/>
        </w:rPr>
        <w:t>SCN5A</w:t>
      </w:r>
      <w:r w:rsidR="00BB162F">
        <w:t xml:space="preserve"> </w:t>
      </w:r>
      <w:r w:rsidR="009A36F2">
        <w:t>were applied using published data curated by Denham et al</w:t>
      </w:r>
      <w:r w:rsidR="009A36F2">
        <w:fldChar w:fldCharType="begin" w:fldLock="1"/>
      </w:r>
      <w:r w:rsidR="00F22092">
        <w:instrText>ADDIN CSL_CITATION {"citationItems":[{"id":"ITEM-1","itemData":{"DOI":"10.1111/jce.13740","ISSN":"1540-8167","PMID":"30203441","abstract":"BACKGROUND A large number of SCN5A variants have been reported to underlie Brugada syndrome (BrS). However, the evidence supporting individual variants is highly heterogeneous. OBJECTIVE We systematically re-evaluated all SCN5A variants reported in BrS using the 2015 American college of medical genetics and genomics and the association for molecular pathology (ACMG-AMP) guidelines. METHODS A PubMed/Embase search was performed to identify all reported SCN5A variants in BrS. Standardized bioinformatic re-analysis (SIFT, PolyPhen, Mutation Taster, Mutation assessor, FATHMM, GERP, PhyloP, and SiPhy) and re-evaluation of frequency in the gnomAD database were performed. Fourteen ACMG-AMP rules were deemed applicable for SCN5A variant analysis. RESULTS Four hundred and eighty unique SCN5A variants were identified, the majority of which 425 (88%) were coding variants. One hundred and fifty-six of 425 (37%) variants were classified as pathogenic/likely pathogenic. Two hundred and fifty-eight (60%) were classified as variants of uncertain significance, while a further 11 (3%) were classified as benign/likely benign. When considering the subset of variants that were considered \"null\" variants separately, 95% fulfilled criteria for pathogenicity/likely pathogenicity. In contrast, only 17% of missense variants fulfilled criteria for pathogenicity/likely pathogenicity. Importantly, however, only 25% of missense variants had available functional data, which was a major score driver for pathogenic classification. CONCLUSION Based on contemporary ACMG-AMP guidelines, only a minority of SCN5A variants implicated in BrS fulfill the criteria for pathogenicity or likely pathogenicity.","author":[{"dropping-particle":"","family":"Denham","given":"Nathan C","non-dropping-particle":"","parse-names":false,"suffix":""},{"dropping-particle":"","family":"Pearman","given":"Charles M","non-dropping-particle":"","parse-names":false,"suffix":""},{"dropping-particle":"","family":"Ding","given":"Wern Yew","non-dropping-particle":"","parse-names":false,"suffix":""},{"dropping-particle":"","family":"Waktare","given":"Johan","non-dropping-particle":"","parse-names":false,"suffix":""},{"dropping-particle":"","family":"Gupta","given":"Dhiraj","non-dropping-particle":"","parse-names":false,"suffix":""},{"dropping-particle":"","family":"Snowdon","given":"Richard","non-dropping-particle":"","parse-names":false,"suffix":""},{"dropping-particle":"","family":"Hall","given":"Mark","non-dropping-particle":"","parse-names":false,"suffix":""},{"dropping-particle":"","family":"Cooper","given":"Robert","non-dropping-particle":"","parse-names":false,"suffix":""},{"dropping-particle":"","family":"Modi","given":"Simon","non-dropping-particle":"","parse-names":false,"suffix":""},{"dropping-particle":"","family":"Todd","given":"Derick","non-dropping-particle":"","parse-names":false,"suffix":""},{"dropping-particle":"","family":"Mahida","given":"Saagar","non-dropping-particle":"","parse-names":false,"suffix":""}],"container-title":"Journal of cardiovascular electrophysiology","id":"ITEM-1","issue":"1","issued":{"date-parts":[["2019","1","11"]]},"page":"118-127","title":"Systematic re-evaluation of SCN5A variants associated with Brugada syndrome.","type":"article-journal","volume":"30"},"uris":["http://www.mendeley.com/documents/?uuid=eba091fe-af87-43e2-be9d-0a76043e4cb5"]}],"mendeley":{"formattedCitation":"&lt;sup&gt;6&lt;/sup&gt;","plainTextFormattedCitation":"6","previouslyFormattedCitation":"&lt;sup&gt;6&lt;/sup&gt;"},"properties":{"noteIndex":0},"schema":"https://github.com/citation-style-language/schema/raw/master/csl-citation.json"}</w:instrText>
      </w:r>
      <w:r w:rsidR="009A36F2">
        <w:fldChar w:fldCharType="separate"/>
      </w:r>
      <w:r w:rsidR="00F22092" w:rsidRPr="00F22092">
        <w:rPr>
          <w:noProof/>
          <w:vertAlign w:val="superscript"/>
        </w:rPr>
        <w:t>6</w:t>
      </w:r>
      <w:r w:rsidR="009A36F2">
        <w:fldChar w:fldCharType="end"/>
      </w:r>
      <w:r w:rsidR="00BB162F">
        <w:t xml:space="preserve"> and a high</w:t>
      </w:r>
      <w:r w:rsidR="00EF4CDF">
        <w:t>-</w:t>
      </w:r>
      <w:r w:rsidR="00BB162F">
        <w:t>throughput functional study by Glazer et al</w:t>
      </w:r>
      <w:r w:rsidR="00F52C40">
        <w:fldChar w:fldCharType="begin" w:fldLock="1"/>
      </w:r>
      <w:r w:rsidR="007818E5">
        <w:instrText>ADDIN CSL_CITATION {"citationItems":[{"id":"ITEM-1","itemData":{"DOI":"10.1161/CIRCGEN.119.002786","ISSN":"2574-8300","PMID":"31928070","abstract":"BACKGROUND Variants in ion channel genes have classically been studied in low throughput by patch clamping. Deep mutational scanning is a complementary approach that can simultaneously assess function of thousands of variants. METHODS We have developed and validated a method to perform a deep mutational scan of variants in SCN5A, which encodes the major voltage-gated sodium channel in the heart. We created a library of nearly all possible variants in a 36 base region of SCN5A in the S4 voltage sensor of domain IV and stably integrated the library into HEK293T cells. RESULTS In preliminary experiments, challenge with 3 drugs (veratridine, brevetoxin, and ouabain) could discriminate wild-type channels from gain- and loss-of-function pathogenic variants. High-throughput sequencing of the pre- and postdrug challenge pools was used to count the prevalence of each variant and identify variants with abnormal function. The deep mutational scan scores identified 40 putative gain-of-function and 33 putative loss-of-function variants. For 8 of 9 variants, patch clamping data were consistent with the scores. CONCLUSIONS These experiments demonstrate the accuracy of a high-throughput in vitro scan of SCN5A variant function, which can be used to identify deleterious variants in SCN5A and other ion channel genes.","author":[{"dropping-particle":"","family":"Glazer","given":"Andrew M.","non-dropping-particle":"","parse-names":false,"suffix":""},{"dropping-particle":"","family":"Kroncke","given":"Brett M.","non-dropping-particle":"","parse-names":false,"suffix":""},{"dropping-particle":"","family":"Matreyek","given":"Kenneth A","non-dropping-particle":"","parse-names":false,"suffix":""},{"dropping-particle":"","family":"Yang","given":"Tao","non-dropping-particle":"","parse-names":false,"suffix":""},{"dropping-particle":"","family":"Wada","given":"Yuko","non-dropping-particle":"","parse-names":false,"suffix":""},{"dropping-particle":"","family":"Shields","given":"Tiffany","non-dropping-particle":"","parse-names":false,"suffix":""},{"dropping-particle":"","family":"Salem","given":"Joe-Elie","non-dropping-particle":"","parse-names":false,"suffix":""},{"dropping-particle":"","family":"Fowler","given":"Douglas M","non-dropping-particle":"","parse-names":false,"suffix":""},{"dropping-particle":"","family":"Roden","given":"Dan M.","non-dropping-particle":"","parse-names":false,"suffix":""}],"container-title":"Circulation. Genomic and precision medicine","id":"ITEM-1","issue":"1","issued":{"date-parts":[["2020","2","12"]]},"page":"e002786","title":"Deep Mutational Scan of an SCN5A Voltage Sensor.","type":"article-journal","volume":"13"},"uris":["http://www.mendeley.com/documents/?uuid=f2075e25-e649-4397-a935-ea0ad837abc9"]}],"mendeley":{"formattedCitation":"&lt;sup&gt;15&lt;/sup&gt;","plainTextFormattedCitation":"15","previouslyFormattedCitation":"&lt;sup&gt;17&lt;/sup&gt;"},"properties":{"noteIndex":0},"schema":"https://github.com/citation-style-language/schema/raw/master/csl-citation.json"}</w:instrText>
      </w:r>
      <w:r w:rsidR="00F52C40">
        <w:fldChar w:fldCharType="separate"/>
      </w:r>
      <w:r w:rsidR="007818E5" w:rsidRPr="007818E5">
        <w:rPr>
          <w:noProof/>
          <w:vertAlign w:val="superscript"/>
        </w:rPr>
        <w:t>15</w:t>
      </w:r>
      <w:r w:rsidR="00F52C40">
        <w:fldChar w:fldCharType="end"/>
      </w:r>
      <w:r w:rsidR="009A36F2">
        <w:t>. Note, evidence relat</w:t>
      </w:r>
      <w:r w:rsidR="00D31C4F">
        <w:t xml:space="preserve">ing to co-segregation (PP1/BS4), </w:t>
      </w:r>
      <w:r w:rsidR="009A36F2" w:rsidRPr="00B107EB">
        <w:rPr>
          <w:i/>
        </w:rPr>
        <w:t>de novo</w:t>
      </w:r>
      <w:r w:rsidR="009A36F2">
        <w:t xml:space="preserve"> inheritance (PS2/PM6) </w:t>
      </w:r>
      <w:r w:rsidR="00D31C4F" w:rsidRPr="000B0A16">
        <w:t>and functional data for LQTS</w:t>
      </w:r>
      <w:r w:rsidR="00D31C4F">
        <w:t xml:space="preserve"> (PS3</w:t>
      </w:r>
      <w:r w:rsidR="00FF5C86">
        <w:t>/</w:t>
      </w:r>
      <w:r w:rsidR="00D31C4F">
        <w:t xml:space="preserve">BS3) </w:t>
      </w:r>
      <w:r w:rsidR="001B54A3">
        <w:t xml:space="preserve">could </w:t>
      </w:r>
      <w:r w:rsidR="009A36F2">
        <w:t xml:space="preserve">not </w:t>
      </w:r>
      <w:r w:rsidR="001B54A3">
        <w:t xml:space="preserve">be </w:t>
      </w:r>
      <w:r w:rsidR="009A36F2">
        <w:t xml:space="preserve">applied </w:t>
      </w:r>
      <w:r w:rsidR="001D73F9">
        <w:t>due to the lack of curated resources. While this</w:t>
      </w:r>
      <w:r w:rsidR="009A36F2">
        <w:t xml:space="preserve"> will affect the yield o</w:t>
      </w:r>
      <w:r w:rsidR="00D31C4F">
        <w:t>f (likely) pathogenic variants</w:t>
      </w:r>
      <w:r w:rsidR="009A36F2">
        <w:t xml:space="preserve">, </w:t>
      </w:r>
      <w:r w:rsidR="00D31C4F">
        <w:t xml:space="preserve">co-segregation </w:t>
      </w:r>
      <w:r w:rsidR="009A36F2">
        <w:t xml:space="preserve">evidence is not expected to be particularly informative </w:t>
      </w:r>
      <w:r w:rsidR="00D31C4F">
        <w:t>for BrS</w:t>
      </w:r>
      <w:r w:rsidR="009A36F2">
        <w:t xml:space="preserve"> as family pedigrees tend to be of limited sizes with numerous examples of non-Mendelian segregation</w:t>
      </w:r>
      <w:r w:rsidR="009A36F2">
        <w:fldChar w:fldCharType="begin" w:fldLock="1"/>
      </w:r>
      <w:r w:rsidR="007818E5">
        <w:instrText>ADDIN CSL_CITATION {"citationItems":[{"id":"ITEM-1","itemData":{"DOI":"10.1161/CIRCGENETICS.109.853374","ISSN":"1942-3268","PMID":"20031634","abstract":"BACKGROUND Mutations in SCN5A are identified in approximately 20% to 30% of probands affected by Brugada syndrome (BrS). However, in familial studies, the relationship between SCN5A mutations and BrS remains poorly understood. The aim of this study was to investigate the association of SCN5A mutations and BrS in a group of large genotyped families. METHODS AND RESULTS Families were included if at least 5 family members were carriers of the SCN5A mutation, which was identified in the proband. Thirteen large families composed of 115 mutation carriers were studied. The signature type I ECG was present in 54 mutation carriers (BrS-ECG+; 47%). In 5 families, we found 8 individuals affected by BrS but with a negative genotype (mutation-negative BrS-ECG+). Among these 8 mutation-negative BrS-ECG+ individuals, 3, belonging to 3 different families, had a spontaneous type I ECG, whereas 5 had a type I ECG only after the administration of sodium channel blockers. One of these 8 individuals had also experienced syncope. Mutation carriers had, on average, longer PR and QRS intervals than noncarriers, demonstrating that these mutations exerted functional effects. CONCLUSIONS Our results suggest that SCN5A mutations are not directly causal to the occurrence of a BrS-ECG+ and that genetic background may play a powerful role in the pathophysiology of BrS. These findings add further complexity to concepts regarding the causes of BrS, and are consistent with the emerging notion that the pathophysiology of BrS includes various elements beyond mutant sodium channels.","author":[{"dropping-particle":"","family":"Probst","given":"Vincent","non-dropping-particle":"","parse-names":false,"suffix":""},{"dropping-particle":"","family":"Wilde","given":"Arthur A M","non-dropping-particle":"","parse-names":false,"suffix":""},{"dropping-particle":"","family":"Barc","given":"Julien","non-dropping-particle":"","parse-names":false,"suffix":""},{"dropping-particle":"","family":"Sacher","given":"Frederic","non-dropping-particle":"","parse-names":false,"suffix":""},{"dropping-particle":"","family":"Babuty","given":"Dominique","non-dropping-particle":"","parse-names":false,"suffix":""},{"dropping-particle":"","family":"Mabo","given":"Philippe","non-dropping-particle":"","parse-names":false,"suffix":""},{"dropping-particle":"","family":"Mansourati","given":"Jacques","non-dropping-particle":"","parse-names":false,"suffix":""},{"dropping-particle":"","family":"Scouarnec","given":"Solena","non-dropping-particle":"Le","parse-names":false,"suffix":""},{"dropping-particle":"","family":"Kyndt","given":"Florence","non-dropping-particle":"","parse-names":false,"suffix":""},{"dropping-particle":"","family":"Caignec","given":"Cedric","non-dropping-particle":"Le","parse-names":false,"suffix":""},{"dropping-particle":"","family":"Guicheney","given":"Pascale","non-dropping-particle":"","parse-names":false,"suffix":""},{"dropping-particle":"","family":"Gouas","given":"Laetitia","non-dropping-particle":"","parse-names":false,"suffix":""},{"dropping-particle":"","family":"Albuisson","given":"Juliette","non-dropping-particle":"","parse-names":false,"suffix":""},{"dropping-particle":"","family":"Meregalli","given":"Paola G","non-dropping-particle":"","parse-names":false,"suffix":""},{"dropping-particle":"","family":"Marec","given":"Hervé","non-dropping-particle":"Le","parse-names":false,"suffix":""},{"dropping-particle":"","family":"Tan","given":"Hanno L","non-dropping-particle":"","parse-names":false,"suffix":""},{"dropping-particle":"","family":"Schott","given":"Jean-Jacques","non-dropping-particle":"","parse-names":false,"suffix":""}],"container-title":"Circulation. Cardiovascular genetics","id":"ITEM-1","issue":"6","issued":{"date-parts":[["2009","12"]]},"page":"552-7","title":"SCN5A mutations and the role of genetic background in the pathophysiology of Brugada syndrome.","type":"article-journal","volume":"2"},"uris":["http://www.mendeley.com/documents/?uuid=b388b9e8-200b-4c40-bba7-880c07aae25e"]},{"id":"ITEM-2","itemData":{"DOI":"10.1111/jce.13740","ISSN":"1540-8167","PMID":"30203441","abstract":"BACKGROUND A large number of SCN5A variants have been reported to underlie Brugada syndrome (BrS). However, the evidence supporting individual variants is highly heterogeneous. OBJECTIVE We systematically re-evaluated all SCN5A variants reported in BrS using the 2015 American college of medical genetics and genomics and the association for molecular pathology (ACMG-AMP) guidelines. METHODS A PubMed/Embase search was performed to identify all reported SCN5A variants in BrS. Standardized bioinformatic re-analysis (SIFT, PolyPhen, Mutation Taster, Mutation assessor, FATHMM, GERP, PhyloP, and SiPhy) and re-evaluation of frequency in the gnomAD database were performed. Fourteen ACMG-AMP rules were deemed applicable for SCN5A variant analysis. RESULTS Four hundred and eighty unique SCN5A variants were identified, the majority of which 425 (88%) were coding variants. One hundred and fifty-six of 425 (37%) variants were classified as pathogenic/likely pathogenic. Two hundred and fifty-eight (60%) were classified as variants of uncertain significance, while a further 11 (3%) were classified as benign/likely benign. When considering the subset of variants that were considered \"null\" variants separately, 95% fulfilled criteria for pathogenicity/likely pathogenicity. In contrast, only 17% of missense variants fulfilled criteria for pathogenicity/likely pathogenicity. Importantly, however, only 25% of missense variants had available functional data, which was a major score driver for pathogenic classification. CONCLUSION Based on contemporary ACMG-AMP guidelines, only a minority of SCN5A variants implicated in BrS fulfill the criteria for pathogenicity or likely pathogenicity.","author":[{"dropping-particle":"","family":"Denham","given":"Nathan C","non-dropping-particle":"","parse-names":false,"suffix":""},{"dropping-particle":"","family":"Pearman","given":"Charles M","non-dropping-particle":"","parse-names":false,"suffix":""},{"dropping-particle":"","family":"Ding","given":"Wern Yew","non-dropping-particle":"","parse-names":false,"suffix":""},{"dropping-particle":"","family":"Waktare","given":"Johan","non-dropping-particle":"","parse-names":false,"suffix":""},{"dropping-particle":"","family":"Gupta","given":"Dhiraj","non-dropping-particle":"","parse-names":false,"suffix":""},{"dropping-particle":"","family":"Snowdon","given":"Richard","non-dropping-particle":"","parse-names":false,"suffix":""},{"dropping-particle":"","family":"Hall","given":"Mark","non-dropping-particle":"","parse-names":false,"suffix":""},{"dropping-particle":"","family":"Cooper","given":"Robert","non-dropping-particle":"","parse-names":false,"suffix":""},{"dropping-particle":"","family":"Modi","given":"Simon","non-dropping-particle":"","parse-names":false,"suffix":""},{"dropping-particle":"","family":"Todd","given":"Derick","non-dropping-particle":"","parse-names":false,"suffix":""},{"dropping-particle":"","family":"Mahida","given":"Saagar","non-dropping-particle":"","parse-names":false,"suffix":""}],"container-title":"Journal of cardiovascular electrophysiology","id":"ITEM-2","issue":"1","issued":{"date-parts":[["2019","1","11"]]},"page":"118-127","title":"Systematic re-evaluation of SCN5A variants associated with Brugada syndrome.","type":"article-journal","volume":"30"},"uris":["http://www.mendeley.com/documents/?uuid=eba091fe-af87-43e2-be9d-0a76043e4cb5"]}],"mendeley":{"formattedCitation":"&lt;sup&gt;6,16&lt;/sup&gt;","plainTextFormattedCitation":"6,16","previouslyFormattedCitation":"&lt;sup&gt;6,18&lt;/sup&gt;"},"properties":{"noteIndex":0},"schema":"https://github.com/citation-style-language/schema/raw/master/csl-citation.json"}</w:instrText>
      </w:r>
      <w:r w:rsidR="009A36F2">
        <w:fldChar w:fldCharType="separate"/>
      </w:r>
      <w:r w:rsidR="007818E5" w:rsidRPr="007818E5">
        <w:rPr>
          <w:noProof/>
          <w:vertAlign w:val="superscript"/>
        </w:rPr>
        <w:t>6,16</w:t>
      </w:r>
      <w:r w:rsidR="009A36F2">
        <w:fldChar w:fldCharType="end"/>
      </w:r>
      <w:r w:rsidR="009A36F2">
        <w:t>.</w:t>
      </w:r>
    </w:p>
    <w:p w14:paraId="3D10A0E0" w14:textId="77777777" w:rsidR="008F5787" w:rsidRDefault="008F5787" w:rsidP="00521E45">
      <w:pPr>
        <w:spacing w:after="0" w:line="480" w:lineRule="auto"/>
      </w:pPr>
    </w:p>
    <w:p w14:paraId="41F87CC1" w14:textId="34E308E0" w:rsidR="008F5787" w:rsidRPr="003A2102" w:rsidRDefault="00383634" w:rsidP="00521E45">
      <w:pPr>
        <w:spacing w:after="0" w:line="480" w:lineRule="auto"/>
        <w:rPr>
          <w:i/>
        </w:rPr>
      </w:pPr>
      <w:r>
        <w:rPr>
          <w:i/>
        </w:rPr>
        <w:t xml:space="preserve">Variant interpretation with </w:t>
      </w:r>
      <w:r w:rsidR="00624523">
        <w:rPr>
          <w:i/>
        </w:rPr>
        <w:t xml:space="preserve">case-control evidence </w:t>
      </w:r>
    </w:p>
    <w:p w14:paraId="5EBCF3E8" w14:textId="74E13D5C" w:rsidR="001A44E9" w:rsidRDefault="008C3269" w:rsidP="00521E45">
      <w:pPr>
        <w:spacing w:after="0" w:line="480" w:lineRule="auto"/>
      </w:pPr>
      <w:r>
        <w:t xml:space="preserve">We then implemented refined ACMG/AMP guidelines based on </w:t>
      </w:r>
      <w:r w:rsidR="000A0B4A">
        <w:t xml:space="preserve">the </w:t>
      </w:r>
      <w:r>
        <w:t xml:space="preserve">case-control evidence </w:t>
      </w:r>
      <w:r w:rsidR="000A0B4A">
        <w:t xml:space="preserve">we generated </w:t>
      </w:r>
      <w:r w:rsidR="00D31C4F">
        <w:t>to assess the effect on the yield of (likely) pathogenic variants.</w:t>
      </w:r>
      <w:r w:rsidR="00D31C4F" w:rsidRPr="00D31C4F">
        <w:t xml:space="preserve"> </w:t>
      </w:r>
      <w:r w:rsidR="00495552">
        <w:t xml:space="preserve">For the enrichment of </w:t>
      </w:r>
      <w:r w:rsidR="00001307">
        <w:t>classes of rare non-truncating variants (PM1 rule), EF data from the protein region analysis was applied.</w:t>
      </w:r>
      <w:r w:rsidR="00D31C4F">
        <w:t xml:space="preserve"> </w:t>
      </w:r>
      <w:r w:rsidR="001A44E9" w:rsidRPr="001A44E9">
        <w:rPr>
          <w:i/>
        </w:rPr>
        <w:t>PM1_strong</w:t>
      </w:r>
      <w:r w:rsidR="001A44E9">
        <w:t xml:space="preserve"> was applied for rare variants in regions with an EF</w:t>
      </w:r>
      <w:r w:rsidR="001A44E9">
        <w:rPr>
          <w:rFonts w:cstheme="minorHAnsi"/>
        </w:rPr>
        <w:t>≥</w:t>
      </w:r>
      <w:r w:rsidR="001A44E9">
        <w:t>0.95</w:t>
      </w:r>
      <w:r w:rsidR="00F475E3">
        <w:t xml:space="preserve"> (equivalent to OR</w:t>
      </w:r>
      <w:r w:rsidR="00F475E3">
        <w:rPr>
          <w:rFonts w:cstheme="minorHAnsi"/>
        </w:rPr>
        <w:t>≥</w:t>
      </w:r>
      <w:r w:rsidR="00F475E3">
        <w:t>20)</w:t>
      </w:r>
      <w:r w:rsidR="001A44E9">
        <w:t xml:space="preserve">, </w:t>
      </w:r>
      <w:r w:rsidR="001A44E9" w:rsidRPr="001A44E9">
        <w:rPr>
          <w:i/>
        </w:rPr>
        <w:t>PM1_moderate</w:t>
      </w:r>
      <w:r w:rsidR="001A44E9">
        <w:t xml:space="preserve"> where 0.9</w:t>
      </w:r>
      <w:r w:rsidR="00F475E3">
        <w:t>5&gt;</w:t>
      </w:r>
      <w:r w:rsidR="001A44E9">
        <w:t>EF</w:t>
      </w:r>
      <w:r w:rsidR="00F475E3">
        <w:rPr>
          <w:rFonts w:cstheme="minorHAnsi"/>
        </w:rPr>
        <w:t>≥0.90 (</w:t>
      </w:r>
      <w:r w:rsidR="00F475E3">
        <w:t>20&gt;OR</w:t>
      </w:r>
      <w:r w:rsidR="00F475E3">
        <w:rPr>
          <w:rFonts w:cstheme="minorHAnsi"/>
        </w:rPr>
        <w:t>≥10)</w:t>
      </w:r>
      <w:r w:rsidR="001A44E9">
        <w:rPr>
          <w:rFonts w:cstheme="minorHAnsi"/>
        </w:rPr>
        <w:t xml:space="preserve"> and </w:t>
      </w:r>
      <w:r w:rsidR="001A44E9" w:rsidRPr="001A44E9">
        <w:rPr>
          <w:rFonts w:cstheme="minorHAnsi"/>
          <w:i/>
        </w:rPr>
        <w:t>PM1_supporting</w:t>
      </w:r>
      <w:r w:rsidR="00F475E3">
        <w:rPr>
          <w:rFonts w:cstheme="minorHAnsi"/>
        </w:rPr>
        <w:t xml:space="preserve"> where </w:t>
      </w:r>
      <w:r w:rsidR="00F475E3">
        <w:t>0.90&gt;EF</w:t>
      </w:r>
      <w:r w:rsidR="00F475E3">
        <w:rPr>
          <w:rFonts w:cstheme="minorHAnsi"/>
        </w:rPr>
        <w:t>≥0.80 (</w:t>
      </w:r>
      <w:r w:rsidR="00F475E3">
        <w:t>10&gt;OR</w:t>
      </w:r>
      <w:r w:rsidR="00F475E3">
        <w:rPr>
          <w:rFonts w:cstheme="minorHAnsi"/>
        </w:rPr>
        <w:t>≥5)</w:t>
      </w:r>
      <w:r w:rsidR="001A44E9">
        <w:rPr>
          <w:rFonts w:cstheme="minorHAnsi"/>
        </w:rPr>
        <w:t>, as previously described</w:t>
      </w:r>
      <w:r w:rsidR="001A44E9">
        <w:rPr>
          <w:rFonts w:cstheme="minorHAnsi"/>
        </w:rPr>
        <w:fldChar w:fldCharType="begin" w:fldLock="1"/>
      </w:r>
      <w:r w:rsidR="00F22092">
        <w:rPr>
          <w:rFonts w:cstheme="minorHAnsi"/>
        </w:rPr>
        <w:instrText>ADDIN CSL_CITATION {"citationItems":[{"id":"ITEM-1","itemData":{"DOI":"10.1186/s13073-019-0616-z","ISSN":"1756-994X","PMID":"30696458","abstract":"BACKGROUND International guidelines for variant interpretation in Mendelian disease set stringent criteria to report a variant as (likely) pathogenic, prioritising control of false-positive rate over test sensitivity and diagnostic yield. Genetic testing is also more likely informative in individuals with well-characterised variants from extensively studied European-ancestry populations. Inherited cardiomyopathies are relatively common Mendelian diseases that allow empirical calibration and assessment of this framework. METHODS We compared rare variants in large hypertrophic cardiomyopathy (HCM) cohorts (up to 6179 cases) to reference populations to identify variant classes with high prior likelihoods of pathogenicity, as defined by etiological fraction (EF). We analysed the distribution of variants using a bespoke unsupervised clustering algorithm to identify gene regions in which variants are significantly clustered in cases. RESULTS Analysis of variant distribution identified regions in which variants are significantly enriched in cases and variant location was a better discriminator of pathogenicity than generic computational functional prediction algorithms. Non-truncating variant classes with an EF ≥ 0.95 were identified in five established HCM genes. Applying this approach leads to an estimated 14-20% increase in cases with actionable HCM variants, i.e. variants classified as pathogenic/likely pathogenic that might be used for predictive testing in probands' relatives. CONCLUSIONS When found in a patient confirmed to have disease, novel variants in some genes and regions are empirically shown to have a sufficiently high probability of pathogenicity to support a \"likely pathogenic\" classification, even without additional segregation or functional data. This could increase the yield of high confidence actionable variants, consistent with the framework and recommendations of current guidelines. The techniques outlined offer a consistent and unbiased approach to variant interpretation for Mendelian disease genetic testing. We propose adaptations to ACMG/AMP guidelines to incorporate such evidence in a quantitative and transparent manner.","author":[{"dropping-particle":"","family":"Walsh","given":"Roddy","non-dropping-particle":"","parse-names":false,"suffix":""},{"dropping-particle":"","family":"Mazzarotto","given":"Francesco","non-dropping-particle":"","parse-names":false,"suffix":""},{"dropping-particle":"","family":"Whiffin","given":"Nicola","non-dropping-particle":"","parse-names":false,"suffix":""},{"dropping-particle":"","family":"Buchan","given":"Rachel","non-dropping-particle":"","parse-names":false,"suffix":""},{"dropping-particle":"","family":"Midwinter","given":"William","non-dropping-particle":"","parse-names":false,"suffix":""},{"dropping-particle":"","family":"Wilk","given":"Alicja","non-dropping-particle":"","parse-names":false,"suffix":""},{"dropping-particle":"","family":"Li","given":"Nicholas","non-dropping-particle":"","parse-names":false,"suffix":""},{"dropping-particle":"","family":"Felkin","given":"Leanne","non-dropping-particle":"","parse-names":false,"suffix":""},{"dropping-particle":"","family":"Ingold","given":"Nathan","non-dropping-particle":"","parse-names":false,"suffix":""},{"dropping-particle":"","family":"Govind","given":"Risha","non-dropping-particle":"","parse-names":false,"suffix":""},{"dropping-particle":"","family":"Ahmad","given":"Mian","non-dropping-particle":"","parse-names":false,"suffix":""},{"dropping-particle":"","family":"Mazaika","given":"Erica","non-dropping-particle":"","parse-names":false,"suffix":""},{"dropping-particle":"","family":"Allouba","given":"Mona","non-dropping-particle":"","parse-names":false,"suffix":""},{"dropping-particle":"","family":"Zhang","given":"Xiaolei","non-dropping-particle":"","parse-names":false,"suffix":""},{"dropping-particle":"","family":"Marvao","given":"Antonio","non-dropping-particle":"de","parse-names":false,"suffix":""},{"dropping-particle":"","family":"Day","given":"Sharlene M","non-dropping-particle":"","parse-names":false,"suffix":""},{"dropping-particle":"","family":"Ashley","given":"Euan","non-dropping-particle":"","parse-names":false,"suffix":""},{"dropping-particle":"","family":"Colan","given":"Steven D","non-dropping-particle":"","parse-names":false,"suffix":""},{"dropping-particle":"","family":"Michels","given":"Michelle","non-dropping-particle":"","parse-names":false,"suffix":""},{"dropping-particle":"","family":"Pereira","given":"Alexandre C","non-dropping-particle":"","parse-names":false,"suffix":""},{"dropping-particle":"","family":"Jacoby","given":"Daniel","non-dropping-particle":"","parse-names":false,"suffix":""},{"dropping-particle":"","family":"Ho","given":"Carolyn Y","non-dropping-particle":"","parse-names":false,"suffix":""},{"dropping-particle":"","family":"Thomson","given":"Kate L","non-dropping-particle":"","parse-names":false,"suffix":""},{"dropping-particle":"","family":"Watkins","given":"Hugh","non-dropping-particle":"","parse-names":false,"suffix":""},{"dropping-particle":"","family":"Barton","given":"Paul J R","non-dropping-particle":"","parse-names":false,"suffix":""},{"dropping-particle":"","family":"Olivotto","given":"Iacopo","non-dropping-particle":"","parse-names":false,"suffix":""},{"dropping-particle":"","family":"Cook","given":"Stuart A","non-dropping-particle":"","parse-names":false,"suffix":""},{"dropping-particle":"","family":"Ware","given":"James S","non-dropping-particle":"","parse-names":false,"suffix":""}],"container-title":"Genome medicine","id":"ITEM-1","issue":"1","issued":{"date-parts":[["2019","1","29"]]},"page":"5","title":"Quantitative approaches to variant classification increase the yield and precision of genetic testing in Mendelian diseases: the case of hypertrophic cardiomyopathy.","type":"article-journal","volume":"11"},"uris":["http://www.mendeley.com/documents/?uuid=ca8fd3d6-c118-4015-b400-b49fd899a460"]}],"mendeley":{"formattedCitation":"&lt;sup&gt;4&lt;/sup&gt;","plainTextFormattedCitation":"4","previouslyFormattedCitation":"&lt;sup&gt;4&lt;/sup&gt;"},"properties":{"noteIndex":0},"schema":"https://github.com/citation-style-language/schema/raw/master/csl-citation.json"}</w:instrText>
      </w:r>
      <w:r w:rsidR="001A44E9">
        <w:rPr>
          <w:rFonts w:cstheme="minorHAnsi"/>
        </w:rPr>
        <w:fldChar w:fldCharType="separate"/>
      </w:r>
      <w:r w:rsidR="00F22092" w:rsidRPr="00F22092">
        <w:rPr>
          <w:rFonts w:cstheme="minorHAnsi"/>
          <w:noProof/>
          <w:vertAlign w:val="superscript"/>
        </w:rPr>
        <w:t>4</w:t>
      </w:r>
      <w:r w:rsidR="001A44E9">
        <w:rPr>
          <w:rFonts w:cstheme="minorHAnsi"/>
        </w:rPr>
        <w:fldChar w:fldCharType="end"/>
      </w:r>
      <w:r w:rsidR="001A44E9">
        <w:rPr>
          <w:rFonts w:cstheme="minorHAnsi"/>
        </w:rPr>
        <w:t>.</w:t>
      </w:r>
      <w:r w:rsidR="004D0AD2">
        <w:t xml:space="preserve"> </w:t>
      </w:r>
      <w:r w:rsidR="005C2357">
        <w:t xml:space="preserve">The EF threshold of 0.95 implies a 95% or greater prior </w:t>
      </w:r>
      <w:r w:rsidR="005C2357">
        <w:lastRenderedPageBreak/>
        <w:t>probability of pathogenicity and therefore the likely pathogenic classification for variants with EF</w:t>
      </w:r>
      <w:r w:rsidR="005C2357">
        <w:rPr>
          <w:rFonts w:cstheme="minorHAnsi"/>
        </w:rPr>
        <w:t>≥</w:t>
      </w:r>
      <w:r w:rsidR="005C2357">
        <w:t>0.95 (</w:t>
      </w:r>
      <w:r w:rsidR="005C2357" w:rsidRPr="005C2357">
        <w:t>PM1_strong</w:t>
      </w:r>
      <w:r w:rsidR="005C2357">
        <w:t>, PM2) align</w:t>
      </w:r>
      <w:r w:rsidR="00EF4CDF">
        <w:t>s</w:t>
      </w:r>
      <w:r w:rsidR="005C2357">
        <w:t xml:space="preserve"> with variant interpretation guidelines</w:t>
      </w:r>
      <w:r w:rsidR="005C2357">
        <w:fldChar w:fldCharType="begin" w:fldLock="1"/>
      </w:r>
      <w:r w:rsidR="00F22092">
        <w:instrText>ADDIN CSL_CITATION {"citationItems":[{"id":"ITEM-1","itemData":{"DOI":"10.1038/gim.2015.30","ISSN":"1098-3600","author":[{"dropping-particle":"","family":"Richards","given":"Sue","non-dropping-particle":"","parse-names":false,"suffix":""},{"dropping-particle":"","family":"Aziz","given":"Nazneen","non-dropping-particle":"","parse-names":false,"suffix":""},{"dropping-particle":"","family":"Bale","given":"Sherri","non-dropping-particle":"","parse-names":false,"suffix":""},{"dropping-particle":"","family":"Bick","given":"David","non-dropping-particle":"","parse-names":false,"suffix":""},{"dropping-particle":"","family":"Das","given":"Soma","non-dropping-particle":"","parse-names":false,"suffix":""},{"dropping-particle":"","family":"Gastier-Foster","given":"Julie","non-dropping-particle":"","parse-names":false,"suffix":""},{"dropping-particle":"","family":"Grody","given":"Wayne W.","non-dropping-particle":"","parse-names":false,"suffix":""},{"dropping-particle":"","family":"Hegde","given":"Madhuri","non-dropping-particle":"","parse-names":false,"suffix":""},{"dropping-particle":"","family":"Lyon","given":"Elaine","non-dropping-particle":"","parse-names":false,"suffix":""},{"dropping-particle":"","family":"Spector","given":"Elaine","non-dropping-particle":"","parse-names":false,"suffix":""},{"dropping-particle":"","family":"Voelkerding","given":"Karl","non-dropping-particle":"","parse-names":false,"suffix":""},{"dropping-particle":"","family":"Rehm","given":"Heidi L.","non-dropping-particle":"","parse-names":false,"suffix":""}],"container-title":"Genetics in Medicine","id":"ITEM-1","issue":"5","issued":{"date-parts":[["2015","5","5"]]},"page":"405-423","title":"Standards and guidelines for the interpretation of sequence variants: a joint consensus recommendation of the American College of Medical Genetics and Genomics and the Association for Molecular Pathology","type":"article-journal","volume":"17"},"uris":["http://www.mendeley.com/documents/?uuid=aa3c211c-1e40-4e48-9d8b-799a3b7ec11c"]}],"mendeley":{"formattedCitation":"&lt;sup&gt;3&lt;/sup&gt;","plainTextFormattedCitation":"3","previouslyFormattedCitation":"&lt;sup&gt;3&lt;/sup&gt;"},"properties":{"noteIndex":0},"schema":"https://github.com/citation-style-language/schema/raw/master/csl-citation.json"}</w:instrText>
      </w:r>
      <w:r w:rsidR="005C2357">
        <w:fldChar w:fldCharType="separate"/>
      </w:r>
      <w:r w:rsidR="00F22092" w:rsidRPr="00F22092">
        <w:rPr>
          <w:noProof/>
          <w:vertAlign w:val="superscript"/>
        </w:rPr>
        <w:t>3</w:t>
      </w:r>
      <w:r w:rsidR="005C2357">
        <w:fldChar w:fldCharType="end"/>
      </w:r>
      <w:r w:rsidR="005C2357">
        <w:t xml:space="preserve">. </w:t>
      </w:r>
      <w:r w:rsidR="009E5D87">
        <w:t>Individual variants significantly enriched in cases over population-specific gnomAD controls were identified (minimum case count of 3 and Fisher’s exact p-value &lt;0.05 with</w:t>
      </w:r>
      <w:r w:rsidR="009E5D87" w:rsidRPr="00A960BF">
        <w:t xml:space="preserve"> </w:t>
      </w:r>
      <w:r w:rsidR="009E5D87">
        <w:t xml:space="preserve">Bonferroni multiple testing correction for the number of case variants assessed for each condition). The PS4 rule strength was applied based on the lower </w:t>
      </w:r>
      <w:r w:rsidR="00FE2E7B">
        <w:t xml:space="preserve">boundary of the </w:t>
      </w:r>
      <w:r w:rsidR="009E5D87">
        <w:t xml:space="preserve">95% CI </w:t>
      </w:r>
      <w:r w:rsidR="00FE2E7B">
        <w:t xml:space="preserve">of the </w:t>
      </w:r>
      <w:r w:rsidR="009E5D87">
        <w:t xml:space="preserve">OR, </w:t>
      </w:r>
      <w:r w:rsidR="009E5D87">
        <w:rPr>
          <w:rFonts w:cstheme="minorHAnsi"/>
        </w:rPr>
        <w:t>≥</w:t>
      </w:r>
      <w:r w:rsidR="009E5D87">
        <w:t xml:space="preserve">20, </w:t>
      </w:r>
      <w:r w:rsidR="009E5D87">
        <w:rPr>
          <w:rFonts w:cstheme="minorHAnsi"/>
        </w:rPr>
        <w:t>≥</w:t>
      </w:r>
      <w:r w:rsidR="009E5D87">
        <w:t xml:space="preserve">10 and </w:t>
      </w:r>
      <w:r w:rsidR="009E5D87">
        <w:rPr>
          <w:rFonts w:cstheme="minorHAnsi"/>
        </w:rPr>
        <w:t>≥</w:t>
      </w:r>
      <w:r w:rsidR="009E5D87">
        <w:t xml:space="preserve">5 for strong, moderate and supporting evidence respectively (equivalent to </w:t>
      </w:r>
      <w:r w:rsidR="00F475E3">
        <w:t xml:space="preserve">the </w:t>
      </w:r>
      <w:r w:rsidR="009E5D87">
        <w:t>PM1 OR thresholds). See Supplemental Methods for full details of how each ACMG/AMP rule was applied.</w:t>
      </w:r>
    </w:p>
    <w:p w14:paraId="11E5E606" w14:textId="77777777" w:rsidR="00D31C4F" w:rsidRDefault="00D31C4F" w:rsidP="00521E45">
      <w:pPr>
        <w:spacing w:after="0" w:line="480" w:lineRule="auto"/>
      </w:pPr>
    </w:p>
    <w:p w14:paraId="3BB62662" w14:textId="77777777" w:rsidR="00D31C4F" w:rsidRDefault="00D31C4F" w:rsidP="00521E45">
      <w:pPr>
        <w:spacing w:after="0" w:line="480" w:lineRule="auto"/>
      </w:pPr>
    </w:p>
    <w:p w14:paraId="55EB4BE7" w14:textId="77777777" w:rsidR="009A36F2" w:rsidRDefault="009A36F2" w:rsidP="00521E45">
      <w:pPr>
        <w:spacing w:after="0" w:line="480" w:lineRule="auto"/>
      </w:pPr>
    </w:p>
    <w:p w14:paraId="3ECBAFA4" w14:textId="77777777" w:rsidR="00FA312B" w:rsidRDefault="00FA312B" w:rsidP="00521E45">
      <w:pPr>
        <w:spacing w:after="0" w:line="480" w:lineRule="auto"/>
      </w:pPr>
    </w:p>
    <w:p w14:paraId="271DEE70" w14:textId="77777777" w:rsidR="00567317" w:rsidRDefault="00567317" w:rsidP="00521E45">
      <w:pPr>
        <w:spacing w:after="0" w:line="480" w:lineRule="auto"/>
      </w:pPr>
    </w:p>
    <w:p w14:paraId="4250F995" w14:textId="77777777" w:rsidR="001A44E9" w:rsidRDefault="001A44E9" w:rsidP="00521E45">
      <w:pPr>
        <w:spacing w:after="0" w:line="480" w:lineRule="auto"/>
      </w:pPr>
    </w:p>
    <w:p w14:paraId="7B91C3C5" w14:textId="77777777" w:rsidR="000B6982" w:rsidRDefault="000B6982" w:rsidP="00521E45">
      <w:pPr>
        <w:spacing w:after="0" w:line="480" w:lineRule="auto"/>
      </w:pPr>
    </w:p>
    <w:p w14:paraId="7DEC26F6" w14:textId="77777777" w:rsidR="00EF4CDF" w:rsidRDefault="00EF4CDF" w:rsidP="00521E45">
      <w:pPr>
        <w:spacing w:after="0" w:line="480" w:lineRule="auto"/>
      </w:pPr>
    </w:p>
    <w:p w14:paraId="7FED3836" w14:textId="77777777" w:rsidR="008C3269" w:rsidRDefault="008C3269" w:rsidP="00521E45">
      <w:pPr>
        <w:spacing w:after="0" w:line="480" w:lineRule="auto"/>
      </w:pPr>
    </w:p>
    <w:p w14:paraId="6818BECD" w14:textId="77777777" w:rsidR="00F6340A" w:rsidRDefault="00F6340A" w:rsidP="00521E45">
      <w:pPr>
        <w:spacing w:after="0" w:line="480" w:lineRule="auto"/>
      </w:pPr>
    </w:p>
    <w:p w14:paraId="185CBDC7" w14:textId="77777777" w:rsidR="00F6340A" w:rsidRDefault="00F6340A" w:rsidP="00823734">
      <w:pPr>
        <w:spacing w:after="0" w:line="480" w:lineRule="auto"/>
        <w:jc w:val="both"/>
      </w:pPr>
    </w:p>
    <w:p w14:paraId="38E94612" w14:textId="77777777" w:rsidR="00F6340A" w:rsidRDefault="00F6340A" w:rsidP="00823734">
      <w:pPr>
        <w:spacing w:after="0" w:line="480" w:lineRule="auto"/>
        <w:jc w:val="both"/>
      </w:pPr>
    </w:p>
    <w:p w14:paraId="68320504" w14:textId="77777777" w:rsidR="00F6340A" w:rsidRDefault="00F6340A" w:rsidP="00823734">
      <w:pPr>
        <w:spacing w:after="0" w:line="480" w:lineRule="auto"/>
        <w:jc w:val="both"/>
      </w:pPr>
    </w:p>
    <w:p w14:paraId="43898E33" w14:textId="77777777" w:rsidR="00D75B9A" w:rsidRDefault="00D75B9A" w:rsidP="00823734">
      <w:pPr>
        <w:spacing w:after="0" w:line="480" w:lineRule="auto"/>
        <w:jc w:val="both"/>
      </w:pPr>
    </w:p>
    <w:p w14:paraId="0F2110EC" w14:textId="77777777" w:rsidR="00D75B9A" w:rsidRDefault="00D75B9A" w:rsidP="00823734">
      <w:pPr>
        <w:spacing w:after="0" w:line="480" w:lineRule="auto"/>
        <w:jc w:val="both"/>
      </w:pPr>
    </w:p>
    <w:p w14:paraId="0292F1C6" w14:textId="77777777" w:rsidR="00D75B9A" w:rsidRDefault="00D75B9A" w:rsidP="00823734">
      <w:pPr>
        <w:spacing w:after="0" w:line="480" w:lineRule="auto"/>
        <w:jc w:val="both"/>
      </w:pPr>
    </w:p>
    <w:p w14:paraId="61F75A8B" w14:textId="77777777" w:rsidR="00F6340A" w:rsidRDefault="00F6340A" w:rsidP="00823734">
      <w:pPr>
        <w:spacing w:after="0" w:line="480" w:lineRule="auto"/>
        <w:jc w:val="both"/>
      </w:pPr>
    </w:p>
    <w:p w14:paraId="3D9E90AB" w14:textId="77777777" w:rsidR="00823734" w:rsidRDefault="00823734" w:rsidP="00823734">
      <w:pPr>
        <w:spacing w:after="0" w:line="480" w:lineRule="auto"/>
        <w:jc w:val="both"/>
      </w:pPr>
    </w:p>
    <w:p w14:paraId="3180C247" w14:textId="3D25D3D0" w:rsidR="00F45553" w:rsidRPr="00F45553" w:rsidRDefault="00B775CA" w:rsidP="00521E45">
      <w:pPr>
        <w:spacing w:after="0" w:line="480" w:lineRule="auto"/>
        <w:rPr>
          <w:b/>
        </w:rPr>
      </w:pPr>
      <w:r>
        <w:rPr>
          <w:b/>
        </w:rPr>
        <w:lastRenderedPageBreak/>
        <w:t>RESULTS</w:t>
      </w:r>
    </w:p>
    <w:p w14:paraId="33A9E3C7" w14:textId="77777777" w:rsidR="00F45553" w:rsidRDefault="00D76383" w:rsidP="00521E45">
      <w:pPr>
        <w:spacing w:after="0" w:line="480" w:lineRule="auto"/>
      </w:pPr>
      <w:r>
        <w:rPr>
          <w:i/>
        </w:rPr>
        <w:t>Defining population frequency thresholds for rare variants</w:t>
      </w:r>
    </w:p>
    <w:p w14:paraId="179415CC" w14:textId="1E7176FB" w:rsidR="00156BF9" w:rsidRDefault="006B3C5C" w:rsidP="00521E45">
      <w:pPr>
        <w:spacing w:after="0" w:line="480" w:lineRule="auto"/>
      </w:pPr>
      <w:r>
        <w:t xml:space="preserve">To define appropriate population </w:t>
      </w:r>
      <w:r w:rsidR="00124712">
        <w:t xml:space="preserve">allele </w:t>
      </w:r>
      <w:r>
        <w:t>frequency thresholds for BrS and LQTS</w:t>
      </w:r>
      <w:r w:rsidR="00124712">
        <w:t xml:space="preserve"> (i.e. the frequency above which variants are unlikely to be causative)</w:t>
      </w:r>
      <w:r>
        <w:t xml:space="preserve">, we computed disease odds ratios (OR) </w:t>
      </w:r>
      <w:r w:rsidR="00CC0942">
        <w:t>across different frequency bins (comparing</w:t>
      </w:r>
      <w:r w:rsidR="00CC0942" w:rsidRPr="00CC0942">
        <w:t xml:space="preserve"> </w:t>
      </w:r>
      <w:r w:rsidR="00CC0942">
        <w:t>non-truncating variants</w:t>
      </w:r>
      <w:r>
        <w:t xml:space="preserve"> </w:t>
      </w:r>
      <w:r w:rsidR="00CC0942">
        <w:t xml:space="preserve">from </w:t>
      </w:r>
      <w:r>
        <w:t xml:space="preserve">European arrhythmia case cohorts and gnomAD-NFE </w:t>
      </w:r>
      <w:r w:rsidR="00CC0942">
        <w:t>population controls)</w:t>
      </w:r>
      <w:r>
        <w:t>. Disease-specific frequency thresholds were calculated as described in Methods for variant penetrance estimates of 10% and 50% (5.0x10</w:t>
      </w:r>
      <w:r w:rsidRPr="0020755C">
        <w:rPr>
          <w:vertAlign w:val="superscript"/>
        </w:rPr>
        <w:t>-5</w:t>
      </w:r>
      <w:r>
        <w:t xml:space="preserve"> and 1.0x10</w:t>
      </w:r>
      <w:r w:rsidRPr="0020755C">
        <w:rPr>
          <w:vertAlign w:val="superscript"/>
        </w:rPr>
        <w:t>-5</w:t>
      </w:r>
      <w:r>
        <w:t xml:space="preserve"> for BrS, 5.5x10</w:t>
      </w:r>
      <w:r w:rsidRPr="0020755C">
        <w:rPr>
          <w:vertAlign w:val="superscript"/>
        </w:rPr>
        <w:t>-5</w:t>
      </w:r>
      <w:r>
        <w:t xml:space="preserve"> and 1.1x10</w:t>
      </w:r>
      <w:r w:rsidRPr="0020755C">
        <w:rPr>
          <w:vertAlign w:val="superscript"/>
        </w:rPr>
        <w:t>-5</w:t>
      </w:r>
      <w:r>
        <w:t xml:space="preserve"> for LQTS respectively), wh</w:t>
      </w:r>
      <w:r w:rsidR="00FC377C">
        <w:t>ich were used as upper frequency threshold</w:t>
      </w:r>
      <w:r w:rsidR="00CC0942">
        <w:t>s</w:t>
      </w:r>
      <w:r w:rsidR="00FC377C">
        <w:t xml:space="preserve"> along with </w:t>
      </w:r>
      <w:r w:rsidR="00FC377C" w:rsidRPr="00B23E6D">
        <w:t>1x10</w:t>
      </w:r>
      <w:r w:rsidR="00FC377C" w:rsidRPr="00B23E6D">
        <w:rPr>
          <w:vertAlign w:val="superscript"/>
        </w:rPr>
        <w:t>-3</w:t>
      </w:r>
      <w:r w:rsidR="00FC377C">
        <w:t xml:space="preserve"> </w:t>
      </w:r>
      <w:r w:rsidR="00C52CC1">
        <w:t>(BA1 benign variant threshold</w:t>
      </w:r>
      <w:r w:rsidR="00C52CC1">
        <w:fldChar w:fldCharType="begin" w:fldLock="1"/>
      </w:r>
      <w:r w:rsidR="007818E5">
        <w:instrText>ADDIN CSL_CITATION {"citationItems":[{"id":"ITEM-1","itemData":{"DOI":"10.1038/gim.2017.258","ISSN":"1530-0366","PMID":"29369293","abstract":"PURPOSE Internationally adopted variant interpretation guidelines from the American College of Medical Genetics and Genomics (ACMG) are generic and require disease-specific refinement. Here we developed CardioClassifier ( http://www.cardioclassifier.org ), a semiautomated decision-support tool for inherited cardiac conditions (ICCs). METHODS CardioClassifier integrates data retrieved from multiple sources with user-input case-specific information, through an interactive interface, to support variant interpretation. Combining disease- and gene-specific knowledge with variant observations in large cohorts of cases and controls, we refined 14 computational ACMG criteria and created three ICC-specific rules. RESULTS We benchmarked CardioClassifier on 57 expertly curated variants and show full retrieval of all computational data, concordantly activating 87.3% of rules. A generic annotation tool identified fewer than half as many clinically actionable variants (64/219 vs. 156/219, Fisher's P = 1.1 × 10-18), with important false positives, illustrating the critical importance of disease and gene-specific annotations. CardioClassifier identified putatively disease-causing variants in 33.7% of 327 cardiomyopathy cases, comparable with leading ICC laboratories. Through addition of manually curated data, variants found in over 40% of cardiomyopathy cases are fully annotated, without requiring additional user-input data. CONCLUSION CardioClassifier is an ICC-specific decision-support tool that integrates expertly curated computational annotations with case-specific data to generate fast, reproducible, and interactive variant pathogenicity reports, according to best practice guidelines.","author":[{"dropping-particle":"","family":"Whiffin","given":"Nicola","non-dropping-particle":"","parse-names":false,"suffix":""},{"dropping-particle":"","family":"Walsh","given":"Roddy","non-dropping-particle":"","parse-names":false,"suffix":""},{"dropping-particle":"","family":"Govind","given":"Risha","non-dropping-particle":"","parse-names":false,"suffix":""},{"dropping-particle":"","family":"Edwards","given":"Matthew","non-dropping-particle":"","parse-names":false,"suffix":""},{"dropping-particle":"","family":"Ahmad","given":"Mian","non-dropping-particle":"","parse-names":false,"suffix":""},{"dropping-particle":"","family":"Zhang","given":"Xiaolei","non-dropping-particle":"","parse-names":false,"suffix":""},{"dropping-particle":"","family":"Tayal","given":"Upasana","non-dropping-particle":"","parse-names":false,"suffix":""},{"dropping-particle":"","family":"Buchan","given":"Rachel","non-dropping-particle":"","parse-names":false,"suffix":""},{"dropping-particle":"","family":"Midwinter","given":"William","non-dropping-particle":"","parse-names":false,"suffix":""},{"dropping-particle":"","family":"Wilk","given":"Alicja E","non-dropping-particle":"","parse-names":false,"suffix":""},{"dropping-particle":"","family":"Najgebauer","given":"Hanna","non-dropping-particle":"","parse-names":false,"suffix":""},{"dropping-particle":"","family":"Francis","given":"Catherine","non-dropping-particle":"","parse-names":false,"suffix":""},{"dropping-particle":"","family":"Wilkinson","given":"Sam","non-dropping-particle":"","parse-names":false,"suffix":""},{"dropping-particle":"","family":"Monk","given":"Thomas","non-dropping-particle":"","parse-names":false,"suffix":""},{"dropping-particle":"","family":"Brett","given":"Laura","non-dropping-particle":"","parse-names":false,"suffix":""},{"dropping-particle":"","family":"O'Regan","given":"Declan P","non-dropping-particle":"","parse-names":false,"suffix":""},{"dropping-particle":"","family":"Prasad","given":"Sanjay K.","non-dropping-particle":"","parse-names":false,"suffix":""},{"dropping-particle":"","family":"Morris-Rosendahl","given":"Deborah J.","non-dropping-particle":"","parse-names":false,"suffix":""},{"dropping-particle":"","family":"Barton","given":"Paul J. R.","non-dropping-particle":"","parse-names":false,"suffix":""},{"dropping-particle":"","family":"Edwards","given":"Elizabeth","non-dropping-particle":"","parse-names":false,"suffix":""},{"dropping-particle":"","family":"Ware","given":"James S.","non-dropping-particle":"","parse-names":false,"suffix":""},{"dropping-particle":"","family":"Cook","given":"Stuart A.","non-dropping-particle":"","parse-names":false,"suffix":""}],"container-title":"Genetics in medicine : official journal of the American College of Medical Genetics","id":"ITEM-1","issue":"10","issued":{"date-parts":[["2018","1","25"]]},"page":"1246-1254","title":"CardioClassifier: disease- and gene-specific computational decision support for clinical genome interpretation.","type":"article-journal","volume":"20"},"uris":["http://www.mendeley.com/documents/?uuid=3a95551c-bb74-42b9-8cd5-0a53aa03be6d"]}],"mendeley":{"formattedCitation":"&lt;sup&gt;13&lt;/sup&gt;","plainTextFormattedCitation":"13","previouslyFormattedCitation":"&lt;sup&gt;15&lt;/sup&gt;"},"properties":{"noteIndex":0},"schema":"https://github.com/citation-style-language/schema/raw/master/csl-citation.json"}</w:instrText>
      </w:r>
      <w:r w:rsidR="00C52CC1">
        <w:fldChar w:fldCharType="separate"/>
      </w:r>
      <w:r w:rsidR="007818E5" w:rsidRPr="007818E5">
        <w:rPr>
          <w:noProof/>
          <w:vertAlign w:val="superscript"/>
        </w:rPr>
        <w:t>13</w:t>
      </w:r>
      <w:r w:rsidR="00C52CC1">
        <w:fldChar w:fldCharType="end"/>
      </w:r>
      <w:r w:rsidR="00C52CC1">
        <w:t xml:space="preserve">) </w:t>
      </w:r>
      <w:r w:rsidR="00FC377C">
        <w:t>(Figure 2</w:t>
      </w:r>
      <w:r w:rsidR="00FB56B0">
        <w:t>A</w:t>
      </w:r>
      <w:r w:rsidR="00FC377C">
        <w:t xml:space="preserve"> and Table S</w:t>
      </w:r>
      <w:r w:rsidR="007E640E">
        <w:t>5</w:t>
      </w:r>
      <w:r w:rsidR="00FC377C">
        <w:t>).</w:t>
      </w:r>
      <w:r w:rsidR="00156BF9">
        <w:t xml:space="preserve"> </w:t>
      </w:r>
    </w:p>
    <w:p w14:paraId="6C52A6A9" w14:textId="77777777" w:rsidR="00823734" w:rsidRDefault="00823734" w:rsidP="00521E45">
      <w:pPr>
        <w:spacing w:after="0" w:line="480" w:lineRule="auto"/>
      </w:pPr>
    </w:p>
    <w:p w14:paraId="497AB72C" w14:textId="285BA5D9" w:rsidR="00110D0E" w:rsidRDefault="00156BF9" w:rsidP="00521E45">
      <w:pPr>
        <w:spacing w:after="0" w:line="480" w:lineRule="auto"/>
      </w:pPr>
      <w:r>
        <w:t xml:space="preserve">Variants in </w:t>
      </w:r>
      <w:r w:rsidR="00FC377C">
        <w:t xml:space="preserve">the second rarest bin, i.e. corresponding to estimated penetrance between 10% and 50%, were either </w:t>
      </w:r>
      <w:r>
        <w:t xml:space="preserve">not significantly enriched in cases or had </w:t>
      </w:r>
      <w:r w:rsidR="00FC377C">
        <w:t xml:space="preserve">substantially lower </w:t>
      </w:r>
      <w:r>
        <w:t>ORs compared to</w:t>
      </w:r>
      <w:r w:rsidR="00FC377C">
        <w:t xml:space="preserve"> the rarest bin (where penetrance </w:t>
      </w:r>
      <w:r w:rsidR="00FC377C">
        <w:rPr>
          <w:rFonts w:cstheme="minorHAnsi"/>
        </w:rPr>
        <w:t>≥</w:t>
      </w:r>
      <w:r w:rsidR="00FC377C">
        <w:t>50%)</w:t>
      </w:r>
      <w:r>
        <w:t xml:space="preserve"> </w:t>
      </w:r>
      <w:r w:rsidR="00FC377C">
        <w:t xml:space="preserve">– </w:t>
      </w:r>
      <w:r w:rsidR="00FE2E7B">
        <w:t>10-50%:</w:t>
      </w:r>
      <w:r w:rsidR="008030E2">
        <w:t>3.8</w:t>
      </w:r>
      <w:r w:rsidR="00FC377C">
        <w:t xml:space="preserve"> (</w:t>
      </w:r>
      <w:r w:rsidR="008030E2">
        <w:t>2.2</w:t>
      </w:r>
      <w:r w:rsidR="00FC377C">
        <w:t>-</w:t>
      </w:r>
      <w:r w:rsidR="008030E2">
        <w:t>6.6</w:t>
      </w:r>
      <w:r w:rsidR="00FC377C">
        <w:t xml:space="preserve">) and </w:t>
      </w:r>
      <w:r w:rsidR="00FE2E7B">
        <w:t>&gt;50%:</w:t>
      </w:r>
      <w:r w:rsidR="00FC377C" w:rsidRPr="00C82F0D">
        <w:t>1</w:t>
      </w:r>
      <w:r w:rsidR="002C53E9">
        <w:t>55.8</w:t>
      </w:r>
      <w:r w:rsidR="00FC377C">
        <w:t xml:space="preserve"> (</w:t>
      </w:r>
      <w:r w:rsidR="002C53E9">
        <w:t>128.9</w:t>
      </w:r>
      <w:r w:rsidR="00FC377C">
        <w:t>-</w:t>
      </w:r>
      <w:r w:rsidR="002C53E9">
        <w:t>188.2</w:t>
      </w:r>
      <w:r w:rsidR="001A44E9">
        <w:t xml:space="preserve">) for </w:t>
      </w:r>
      <w:r w:rsidR="0095771E" w:rsidRPr="0095771E">
        <w:rPr>
          <w:i/>
        </w:rPr>
        <w:t>KCNQ1</w:t>
      </w:r>
      <w:r w:rsidR="00FC377C">
        <w:t xml:space="preserve">/LQTS, </w:t>
      </w:r>
      <w:r w:rsidR="00FE2E7B">
        <w:t>10-50%:</w:t>
      </w:r>
      <w:r w:rsidR="008030E2">
        <w:t>2.4</w:t>
      </w:r>
      <w:r w:rsidR="00FC377C">
        <w:t xml:space="preserve"> (</w:t>
      </w:r>
      <w:r w:rsidR="008030E2">
        <w:t>1.2-4.5</w:t>
      </w:r>
      <w:r w:rsidR="00FC377C">
        <w:t xml:space="preserve">) and </w:t>
      </w:r>
      <w:r w:rsidR="00FE2E7B">
        <w:t>&gt;50%:</w:t>
      </w:r>
      <w:r w:rsidR="005A3DEE">
        <w:t>55.5</w:t>
      </w:r>
      <w:r w:rsidR="00FC377C">
        <w:t xml:space="preserve"> (</w:t>
      </w:r>
      <w:r w:rsidR="005A3DEE">
        <w:t>46.0-67.0</w:t>
      </w:r>
      <w:r w:rsidR="00FC377C">
        <w:t xml:space="preserve">) for </w:t>
      </w:r>
      <w:r w:rsidR="0095771E" w:rsidRPr="0095771E">
        <w:rPr>
          <w:i/>
        </w:rPr>
        <w:t>KCNH2</w:t>
      </w:r>
      <w:r w:rsidR="00FC377C">
        <w:t>/LQTS</w:t>
      </w:r>
      <w:r>
        <w:t xml:space="preserve">, </w:t>
      </w:r>
      <w:r w:rsidR="00FE2E7B">
        <w:t>10-50%:</w:t>
      </w:r>
      <w:r w:rsidR="008030E2">
        <w:t>1.0 (0.5-1.9</w:t>
      </w:r>
      <w:r>
        <w:t xml:space="preserve">) and </w:t>
      </w:r>
      <w:r w:rsidR="00FE2E7B">
        <w:t>&gt;50%:</w:t>
      </w:r>
      <w:r w:rsidR="008030E2">
        <w:t>7.9 (6.2-10.0</w:t>
      </w:r>
      <w:r>
        <w:t xml:space="preserve">) for </w:t>
      </w:r>
      <w:r w:rsidR="0095771E" w:rsidRPr="0095771E">
        <w:rPr>
          <w:i/>
        </w:rPr>
        <w:t>SCN5A</w:t>
      </w:r>
      <w:r>
        <w:t xml:space="preserve">/LQTS </w:t>
      </w:r>
      <w:r w:rsidR="00FC377C">
        <w:t xml:space="preserve">and </w:t>
      </w:r>
      <w:r w:rsidR="00FE2E7B">
        <w:t>10-50%:</w:t>
      </w:r>
      <w:r w:rsidR="00FC377C">
        <w:t>2.7 (1.9-</w:t>
      </w:r>
      <w:r w:rsidR="00FC377C" w:rsidRPr="00C82F0D">
        <w:t>3.6</w:t>
      </w:r>
      <w:r w:rsidR="00FC377C">
        <w:t xml:space="preserve">) and </w:t>
      </w:r>
      <w:r w:rsidR="00FE2E7B">
        <w:t>&gt;50%:</w:t>
      </w:r>
      <w:r w:rsidR="00296AC8">
        <w:t>18.6 (16.0</w:t>
      </w:r>
      <w:r w:rsidR="00FC377C">
        <w:t>-2</w:t>
      </w:r>
      <w:r w:rsidR="00296AC8">
        <w:t>1.7</w:t>
      </w:r>
      <w:r>
        <w:t xml:space="preserve">) for </w:t>
      </w:r>
      <w:r w:rsidR="0095771E" w:rsidRPr="0095771E">
        <w:rPr>
          <w:i/>
        </w:rPr>
        <w:t>SCN5A</w:t>
      </w:r>
      <w:r w:rsidR="008030E2">
        <w:t>/BrS</w:t>
      </w:r>
      <w:r w:rsidR="00FC377C">
        <w:t xml:space="preserve">. </w:t>
      </w:r>
      <w:r>
        <w:t xml:space="preserve">No </w:t>
      </w:r>
      <w:r w:rsidR="008030E2">
        <w:t xml:space="preserve">significant </w:t>
      </w:r>
      <w:r>
        <w:t xml:space="preserve">enrichment of variants </w:t>
      </w:r>
      <w:r w:rsidR="004932D4">
        <w:t>with frequencies between 1x10</w:t>
      </w:r>
      <w:r w:rsidR="004932D4" w:rsidRPr="004932D4">
        <w:rPr>
          <w:vertAlign w:val="superscript"/>
        </w:rPr>
        <w:t>-3</w:t>
      </w:r>
      <w:r w:rsidR="00CC0942">
        <w:t xml:space="preserve"> and 5</w:t>
      </w:r>
      <w:r w:rsidR="004932D4">
        <w:t>x10</w:t>
      </w:r>
      <w:r w:rsidR="004932D4" w:rsidRPr="004932D4">
        <w:rPr>
          <w:vertAlign w:val="superscript"/>
        </w:rPr>
        <w:t>-5</w:t>
      </w:r>
      <w:r w:rsidR="00CC0942">
        <w:t>/5.5</w:t>
      </w:r>
      <w:r w:rsidR="004932D4">
        <w:t>x10</w:t>
      </w:r>
      <w:r w:rsidR="004932D4" w:rsidRPr="004932D4">
        <w:rPr>
          <w:vertAlign w:val="superscript"/>
        </w:rPr>
        <w:t>-5</w:t>
      </w:r>
      <w:r w:rsidR="004932D4">
        <w:t xml:space="preserve"> </w:t>
      </w:r>
      <w:r w:rsidR="008030E2">
        <w:t>was observed for any gene.</w:t>
      </w:r>
    </w:p>
    <w:p w14:paraId="39D08460" w14:textId="77777777" w:rsidR="00823734" w:rsidRDefault="00823734" w:rsidP="00521E45">
      <w:pPr>
        <w:spacing w:after="0" w:line="480" w:lineRule="auto"/>
      </w:pPr>
    </w:p>
    <w:p w14:paraId="274EEE23" w14:textId="7B26F04A" w:rsidR="00BE07F7" w:rsidRPr="002F2F5B" w:rsidRDefault="00BE07F7" w:rsidP="00521E45">
      <w:pPr>
        <w:spacing w:after="0" w:line="480" w:lineRule="auto"/>
      </w:pPr>
      <w:r>
        <w:t>These results indicate that while some variants with a population frequency above the more stringent thresholds may be disease-causing, the lower signal</w:t>
      </w:r>
      <w:r w:rsidR="00FE2E7B">
        <w:t>-</w:t>
      </w:r>
      <w:r>
        <w:t>to</w:t>
      </w:r>
      <w:r w:rsidR="00FE2E7B">
        <w:t>-</w:t>
      </w:r>
      <w:r>
        <w:t xml:space="preserve">noise ratio and presumably lower penetrance of such variants suggest </w:t>
      </w:r>
      <w:r w:rsidR="00541C0E">
        <w:t xml:space="preserve">that </w:t>
      </w:r>
      <w:r>
        <w:t>a higher burden of proof should be required to classify them as (likely) pathogenic (e.g. demonstration of functional effects or statistical enrichment in cases). For subsequent analysis in this study, we use</w:t>
      </w:r>
      <w:r w:rsidR="00541C0E">
        <w:t>d</w:t>
      </w:r>
      <w:r>
        <w:t xml:space="preserve"> the higher, more inclusive thresholds (based on estimated penetrance of 10%)</w:t>
      </w:r>
      <w:r w:rsidR="00541C0E">
        <w:t>,</w:t>
      </w:r>
      <w:r>
        <w:t xml:space="preserve"> for describing the prevalence of rare variants in arrhythmia cohorts. However, the more stringent thresholds (based on estimated penetrance of </w:t>
      </w:r>
      <w:r w:rsidR="00CC0942">
        <w:rPr>
          <w:rFonts w:cstheme="minorHAnsi"/>
        </w:rPr>
        <w:t>≥</w:t>
      </w:r>
      <w:r>
        <w:t xml:space="preserve">50%) </w:t>
      </w:r>
      <w:r w:rsidR="00541C0E">
        <w:t xml:space="preserve">were </w:t>
      </w:r>
      <w:r>
        <w:t xml:space="preserve">used when applying the </w:t>
      </w:r>
      <w:r w:rsidR="003414A0">
        <w:t xml:space="preserve">PM2/PM1 </w:t>
      </w:r>
      <w:r>
        <w:t xml:space="preserve">variant classification rules to minimise false positive </w:t>
      </w:r>
      <w:r>
        <w:lastRenderedPageBreak/>
        <w:t>classifications. The PM2 rule (rarity in population) was therefore applied to va</w:t>
      </w:r>
      <w:r w:rsidR="003414A0">
        <w:t>riants with a gnomAD exomes FAF&lt;</w:t>
      </w:r>
      <w:r>
        <w:t>1.0x10</w:t>
      </w:r>
      <w:r w:rsidRPr="0020755C">
        <w:rPr>
          <w:vertAlign w:val="superscript"/>
        </w:rPr>
        <w:t>-5</w:t>
      </w:r>
      <w:r>
        <w:t xml:space="preserve"> (BrS) and 1.1x10</w:t>
      </w:r>
      <w:r w:rsidRPr="0020755C">
        <w:rPr>
          <w:vertAlign w:val="superscript"/>
        </w:rPr>
        <w:t>-5</w:t>
      </w:r>
      <w:r>
        <w:t xml:space="preserve"> (LQTS) and the BS1 rule (frequency too high for the disorder) was</w:t>
      </w:r>
      <w:r w:rsidR="003414A0">
        <w:t xml:space="preserve"> applied to variants with a FAF&gt;</w:t>
      </w:r>
      <w:r>
        <w:t>5.0x10</w:t>
      </w:r>
      <w:r w:rsidRPr="0020755C">
        <w:rPr>
          <w:vertAlign w:val="superscript"/>
        </w:rPr>
        <w:t>-5</w:t>
      </w:r>
      <w:r>
        <w:t xml:space="preserve"> (BrS) and 5.5x10</w:t>
      </w:r>
      <w:r w:rsidRPr="0020755C">
        <w:rPr>
          <w:vertAlign w:val="superscript"/>
        </w:rPr>
        <w:t>-5</w:t>
      </w:r>
      <w:r>
        <w:t xml:space="preserve"> (LQTS), with a recommended “grey zone”</w:t>
      </w:r>
      <w:r>
        <w:fldChar w:fldCharType="begin" w:fldLock="1"/>
      </w:r>
      <w:r w:rsidR="007818E5">
        <w:instrText>ADDIN CSL_CITATION {"citationItems":[{"id":"ITEM-1","itemData":{"DOI":"10.1038/gim.2017.210","ISSN":"1530-0366","PMID":"29300386","abstract":"PURPOSE We evaluated the American College of Medical Genetics and Genomics/Association for Molecular Pathology (ACMG/AMP) variant pathogenicity guidelines for internal consistency and compatibility with Bayesian statistical reasoning. METHODS The ACMG/AMP criteria were translated into a naive Bayesian classifier, assuming four levels of evidence and exponentially scaled odds of pathogenicity. We tested this framework with a range of prior probabilities and odds of pathogenicity. RESULTS We modeled the ACMG/AMP guidelines using biologically plausible assumptions. Most ACMG/AMP combining criteria were compatible. One ACMG/AMP likely pathogenic combination was mathematically equivalent to pathogenic and one ACMG/AMP pathogenic combination was actually likely pathogenic. We modeled combinations that include evidence for and against pathogenicity, showing that our approach scored some combinations as pathogenic or likely pathogenic that ACMG/AMP would designate as variant of uncertain significance (VUS). CONCLUSION By transforming the ACMG/AMP guidelines into a Bayesian framework, we provide a mathematical foundation for what was a qualitative heuristic. Only 2 of the 18 existing ACMG/AMP evidence combinations were mathematically inconsistent with the overall framework. Mixed combinations of pathogenic and benign evidence could yield a likely pathogenic, likely benign, or VUS result. This quantitative framework validates the approach adopted by the ACMG/AMP, provides opportunities to further refine evidence categories and combining rules, and supports efforts to automate components of variant pathogenicity assessments.","author":[{"dropping-particle":"V","family":"Tavtigian","given":"Sean","non-dropping-particle":"","parse-names":false,"suffix":""},{"dropping-particle":"","family":"Greenblatt","given":"Marc S","non-dropping-particle":"","parse-names":false,"suffix":""},{"dropping-particle":"","family":"Harrison","given":"Steven M","non-dropping-particle":"","parse-names":false,"suffix":""},{"dropping-particle":"","family":"Nussbaum","given":"Robert L","non-dropping-particle":"","parse-names":false,"suffix":""},{"dropping-particle":"","family":"Prabhu","given":"Snehit A","non-dropping-particle":"","parse-names":false,"suffix":""},{"dropping-particle":"","family":"Boucher","given":"Kenneth M","non-dropping-particle":"","parse-names":false,"suffix":""},{"dropping-particle":"","family":"Biesecker","given":"Leslie G","non-dropping-particle":"","parse-names":false,"suffix":""},{"dropping-particle":"","family":"ClinGen Sequence Variant Interpretation Working Group (ClinGen SVI)","given":"","non-dropping-particle":"","parse-names":false,"suffix":""}],"container-title":"Genetics in medicine : official journal of the American College of Medical Genetics","id":"ITEM-1","issue":"9","issued":{"date-parts":[["2018","1","4"]]},"page":"1054-1060","title":"Modeling the ACMG/AMP variant classification guidelines as a Bayesian classification framework.","type":"article-journal","volume":"20"},"uris":["http://www.mendeley.com/documents/?uuid=32c16e05-4d62-44d3-a361-516e04535599"]},{"id":"ITEM-2","itemData":{"DOI":"10.1002/cphg.93","ISSN":"1934-8258","PMID":"31479589","abstract":"The 2015 ACMG/AMP guidelines established a classification system for sequence variants; however, the broad scope of these guidelines necessitates specification of evidence types for specific genes or diseases of interest. Since publication of the guidelines, both general use and disease-focused specifications have emerged to aid in accurate application of ACMG/AMP evidence types. This article summarizes the approaches to, and rationale for, specifying three evidence categories (population frequency data, variant type and location, and case-level data), including available resources and a quantitative framework that can inform the specification process. © 2019 by John Wiley &amp; Sons, Inc.","author":[{"dropping-particle":"","family":"Harrison","given":"Steven M.","non-dropping-particle":"","parse-names":false,"suffix":""},{"dropping-particle":"","family":"Biesecker","given":"Leslie G.","non-dropping-particle":"","parse-names":false,"suffix":""},{"dropping-particle":"","family":"Rehm","given":"Heidi L.","non-dropping-particle":"","parse-names":false,"suffix":""}],"container-title":"Current protocols in human genetics","id":"ITEM-2","issue":"1","issued":{"date-parts":[["2019","9"]]},"page":"e93","title":"Overview of Specifications to the ACMG/AMP Variant Interpretation Guidelines.","type":"article-journal","volume":"103"},"uris":["http://www.mendeley.com/documents/?uuid=6cb0bdcc-58f8-4ca1-9725-da3988bebf4a"]}],"mendeley":{"formattedCitation":"&lt;sup&gt;7,17&lt;/sup&gt;","plainTextFormattedCitation":"7,17","previouslyFormattedCitation":"&lt;sup&gt;7,19&lt;/sup&gt;"},"properties":{"noteIndex":0},"schema":"https://github.com/citation-style-language/schema/raw/master/csl-citation.json"}</w:instrText>
      </w:r>
      <w:r>
        <w:fldChar w:fldCharType="separate"/>
      </w:r>
      <w:r w:rsidR="007818E5" w:rsidRPr="007818E5">
        <w:rPr>
          <w:noProof/>
          <w:vertAlign w:val="superscript"/>
        </w:rPr>
        <w:t>7,17</w:t>
      </w:r>
      <w:r>
        <w:fldChar w:fldCharType="end"/>
      </w:r>
      <w:r>
        <w:t xml:space="preserve"> where neither is applied for the potential low penetrance variants.</w:t>
      </w:r>
    </w:p>
    <w:p w14:paraId="2FCED0D4" w14:textId="77777777" w:rsidR="0044183A" w:rsidRDefault="0044183A" w:rsidP="00521E45">
      <w:pPr>
        <w:spacing w:after="0" w:line="480" w:lineRule="auto"/>
      </w:pPr>
    </w:p>
    <w:p w14:paraId="7F02D84B" w14:textId="77777777" w:rsidR="00EC3FF7" w:rsidRDefault="00EC3FF7" w:rsidP="00521E45">
      <w:pPr>
        <w:spacing w:after="0" w:line="480" w:lineRule="auto"/>
      </w:pPr>
      <w:r>
        <w:rPr>
          <w:i/>
        </w:rPr>
        <w:t>Prevalence of rare variants in primary arrhythmia cohorts</w:t>
      </w:r>
    </w:p>
    <w:p w14:paraId="2B30AB67" w14:textId="67523CFE" w:rsidR="00EC3FF7" w:rsidRDefault="00EC3FF7" w:rsidP="00521E45">
      <w:pPr>
        <w:spacing w:after="0" w:line="480" w:lineRule="auto"/>
      </w:pPr>
      <w:r w:rsidRPr="00252F01">
        <w:t xml:space="preserve">The prevalence of rare </w:t>
      </w:r>
      <w:r w:rsidR="0065622E">
        <w:t>(FAF&lt;5</w:t>
      </w:r>
      <w:r w:rsidR="00F4298F">
        <w:t>x10</w:t>
      </w:r>
      <w:r w:rsidR="00CF3DB9" w:rsidRPr="00F4298F">
        <w:rPr>
          <w:vertAlign w:val="superscript"/>
        </w:rPr>
        <w:t>-5</w:t>
      </w:r>
      <w:r w:rsidR="00CF3DB9" w:rsidRPr="00252F01">
        <w:t xml:space="preserve">) </w:t>
      </w:r>
      <w:r w:rsidR="00CF3DB9" w:rsidRPr="00CF3DB9">
        <w:rPr>
          <w:i/>
        </w:rPr>
        <w:t>SCN5A</w:t>
      </w:r>
      <w:r w:rsidR="00CF3DB9">
        <w:t xml:space="preserve"> </w:t>
      </w:r>
      <w:r w:rsidRPr="00252F01">
        <w:t>variants in the BrS cohort was significantly different between the European and Japanese cohorts, detected in 20.8% and 8.</w:t>
      </w:r>
      <w:r w:rsidR="00F4298F">
        <w:t>9% of cases respectively (p=</w:t>
      </w:r>
      <w:r w:rsidR="009F4D23">
        <w:t>5.7</w:t>
      </w:r>
      <w:r w:rsidR="00F4298F">
        <w:t>x10</w:t>
      </w:r>
      <w:r w:rsidRPr="00F4298F">
        <w:rPr>
          <w:vertAlign w:val="superscript"/>
        </w:rPr>
        <w:t>-18</w:t>
      </w:r>
      <w:r w:rsidRPr="00252F01">
        <w:t>)</w:t>
      </w:r>
      <w:r w:rsidR="0065622E" w:rsidRPr="0065622E">
        <w:t xml:space="preserve"> </w:t>
      </w:r>
      <w:r w:rsidR="00FB56B0">
        <w:t>(Figure 2B</w:t>
      </w:r>
      <w:r w:rsidR="007E640E">
        <w:t>, Table S6</w:t>
      </w:r>
      <w:r w:rsidR="0065622E">
        <w:t>)</w:t>
      </w:r>
      <w:r w:rsidRPr="00252F01">
        <w:t>. Non-trunca</w:t>
      </w:r>
      <w:r w:rsidR="009F4D23">
        <w:t>ting variants accounted for 71.0</w:t>
      </w:r>
      <w:r w:rsidRPr="00252F01">
        <w:t xml:space="preserve">% </w:t>
      </w:r>
      <w:r w:rsidR="0065622E">
        <w:t xml:space="preserve">and </w:t>
      </w:r>
      <w:r w:rsidR="0065622E" w:rsidRPr="00252F01">
        <w:t xml:space="preserve">86.7% </w:t>
      </w:r>
      <w:r w:rsidRPr="00252F01">
        <w:t xml:space="preserve">of rare variants detected in the European </w:t>
      </w:r>
      <w:r w:rsidR="0065622E">
        <w:t xml:space="preserve">and Japanese </w:t>
      </w:r>
      <w:r w:rsidR="00F4298F">
        <w:t xml:space="preserve">BrS </w:t>
      </w:r>
      <w:r w:rsidRPr="00252F01">
        <w:t xml:space="preserve">cases </w:t>
      </w:r>
      <w:r w:rsidR="0065622E">
        <w:t>respectively</w:t>
      </w:r>
      <w:r w:rsidRPr="00252F01">
        <w:t>.</w:t>
      </w:r>
      <w:r>
        <w:t xml:space="preserve"> </w:t>
      </w:r>
      <w:r w:rsidRPr="00680B1F">
        <w:t xml:space="preserve">The prevalence of rare </w:t>
      </w:r>
      <w:r w:rsidR="00F4298F">
        <w:t>(FAF&lt;5.5x10</w:t>
      </w:r>
      <w:r w:rsidR="00CF3DB9" w:rsidRPr="00F4298F">
        <w:rPr>
          <w:vertAlign w:val="superscript"/>
        </w:rPr>
        <w:t>-5</w:t>
      </w:r>
      <w:r w:rsidR="00CF3DB9" w:rsidRPr="00680B1F">
        <w:t xml:space="preserve">) </w:t>
      </w:r>
      <w:r w:rsidRPr="00680B1F">
        <w:t>variants</w:t>
      </w:r>
      <w:r w:rsidR="00CF3DB9" w:rsidRPr="00CF3DB9">
        <w:t xml:space="preserve"> </w:t>
      </w:r>
      <w:r w:rsidR="00CF3DB9" w:rsidRPr="00680B1F">
        <w:t xml:space="preserve">in </w:t>
      </w:r>
      <w:r w:rsidR="00CF3DB9" w:rsidRPr="0095771E">
        <w:rPr>
          <w:i/>
        </w:rPr>
        <w:t>KCNQ1</w:t>
      </w:r>
      <w:r w:rsidR="00CF3DB9" w:rsidRPr="00680B1F">
        <w:t xml:space="preserve">, </w:t>
      </w:r>
      <w:r w:rsidR="00CF3DB9" w:rsidRPr="0095771E">
        <w:rPr>
          <w:i/>
        </w:rPr>
        <w:t>KCNH2</w:t>
      </w:r>
      <w:r w:rsidR="00CF3DB9" w:rsidRPr="00680B1F">
        <w:t xml:space="preserve"> and </w:t>
      </w:r>
      <w:r w:rsidR="00CF3DB9" w:rsidRPr="0095771E">
        <w:rPr>
          <w:i/>
        </w:rPr>
        <w:t>SCN5A</w:t>
      </w:r>
      <w:r w:rsidR="00F4298F">
        <w:t xml:space="preserve"> in the LQTS cohort was high</w:t>
      </w:r>
      <w:r w:rsidRPr="00680B1F">
        <w:t xml:space="preserve"> </w:t>
      </w:r>
      <w:r>
        <w:t xml:space="preserve">(as expected) </w:t>
      </w:r>
      <w:r w:rsidRPr="00680B1F">
        <w:t xml:space="preserve">and similar between European and Japanese cohorts, detected in </w:t>
      </w:r>
      <w:r>
        <w:t>85.4% and 85.9</w:t>
      </w:r>
      <w:r w:rsidRPr="00FB2C09">
        <w:t>%</w:t>
      </w:r>
      <w:r w:rsidRPr="00680B1F">
        <w:t xml:space="preserve"> of cases respectively (p=0.</w:t>
      </w:r>
      <w:r w:rsidR="007E5F2A">
        <w:t>63</w:t>
      </w:r>
      <w:r>
        <w:t>)</w:t>
      </w:r>
      <w:r w:rsidR="00F4298F">
        <w:t>. T</w:t>
      </w:r>
      <w:r>
        <w:t xml:space="preserve">he relative proportions of truncating and non-truncating variants in </w:t>
      </w:r>
      <w:r w:rsidR="0095771E" w:rsidRPr="0095771E">
        <w:rPr>
          <w:i/>
        </w:rPr>
        <w:t>KCNQ1</w:t>
      </w:r>
      <w:r>
        <w:t xml:space="preserve"> and </w:t>
      </w:r>
      <w:r w:rsidR="0095771E" w:rsidRPr="0095771E">
        <w:rPr>
          <w:i/>
        </w:rPr>
        <w:t>KCNH2</w:t>
      </w:r>
      <w:r>
        <w:t xml:space="preserve"> </w:t>
      </w:r>
      <w:r w:rsidR="00F4298F">
        <w:t xml:space="preserve">however </w:t>
      </w:r>
      <w:r>
        <w:t xml:space="preserve">are </w:t>
      </w:r>
      <w:r w:rsidR="00CF3DB9">
        <w:t xml:space="preserve">marginally </w:t>
      </w:r>
      <w:r>
        <w:t>different betwee</w:t>
      </w:r>
      <w:r w:rsidR="00F4298F">
        <w:t>n the two populations (p=0.0</w:t>
      </w:r>
      <w:r w:rsidR="00CA09E9">
        <w:t>07</w:t>
      </w:r>
      <w:r w:rsidR="00F4298F">
        <w:t>)</w:t>
      </w:r>
      <w:r w:rsidR="00FB56B0">
        <w:t xml:space="preserve"> (Figure 2B</w:t>
      </w:r>
      <w:r w:rsidR="00907917">
        <w:t>)</w:t>
      </w:r>
      <w:r w:rsidR="00F4298F">
        <w:t>.</w:t>
      </w:r>
    </w:p>
    <w:p w14:paraId="7F81F5EB" w14:textId="77777777" w:rsidR="0006346F" w:rsidRDefault="0006346F" w:rsidP="00521E45">
      <w:pPr>
        <w:spacing w:after="0" w:line="480" w:lineRule="auto"/>
        <w:rPr>
          <w:i/>
        </w:rPr>
      </w:pPr>
    </w:p>
    <w:p w14:paraId="135DC104" w14:textId="366232F8" w:rsidR="00201218" w:rsidRDefault="000B23F2" w:rsidP="00521E45">
      <w:pPr>
        <w:spacing w:after="0" w:line="480" w:lineRule="auto"/>
      </w:pPr>
      <w:r>
        <w:rPr>
          <w:i/>
        </w:rPr>
        <w:t>Assessing enrichment of rare variants in cases in a</w:t>
      </w:r>
      <w:r w:rsidR="00201218">
        <w:rPr>
          <w:i/>
        </w:rPr>
        <w:t xml:space="preserve">rrhythmia gene regions </w:t>
      </w:r>
    </w:p>
    <w:p w14:paraId="7170F208" w14:textId="3BBEF7D9" w:rsidR="008534BF" w:rsidRDefault="00201218" w:rsidP="00521E45">
      <w:pPr>
        <w:spacing w:after="0" w:line="480" w:lineRule="auto"/>
      </w:pPr>
      <w:r>
        <w:t xml:space="preserve">We next </w:t>
      </w:r>
      <w:r w:rsidR="007E11EF">
        <w:t xml:space="preserve">assessed </w:t>
      </w:r>
      <w:r w:rsidR="008534BF">
        <w:t>variant</w:t>
      </w:r>
      <w:r w:rsidR="007E11EF">
        <w:t xml:space="preserve"> distribution to identify</w:t>
      </w:r>
      <w:r>
        <w:t xml:space="preserve"> gene/protein regions enriched for </w:t>
      </w:r>
      <w:r w:rsidR="008534BF">
        <w:t xml:space="preserve">rare (corresponding to an estimated penetrance of </w:t>
      </w:r>
      <w:r w:rsidR="008534BF">
        <w:rPr>
          <w:rFonts w:cstheme="minorHAnsi"/>
        </w:rPr>
        <w:t>≥</w:t>
      </w:r>
      <w:r w:rsidR="008534BF">
        <w:t xml:space="preserve">50% as described above) </w:t>
      </w:r>
      <w:r>
        <w:t xml:space="preserve">non-truncating variants in cases </w:t>
      </w:r>
      <w:r w:rsidR="00CF3DB9">
        <w:t>compared to gnomAD</w:t>
      </w:r>
      <w:r w:rsidR="00FB56B0">
        <w:t xml:space="preserve"> (Figure 3A</w:t>
      </w:r>
      <w:r w:rsidR="008534BF">
        <w:t>)</w:t>
      </w:r>
      <w:r w:rsidR="007D13C2">
        <w:t xml:space="preserve">, as </w:t>
      </w:r>
      <w:r w:rsidR="008534BF">
        <w:t>defined by the etiological fraction (EF)</w:t>
      </w:r>
      <w:r w:rsidR="007D13C2">
        <w:t>.</w:t>
      </w:r>
    </w:p>
    <w:p w14:paraId="0F732EC5" w14:textId="77777777" w:rsidR="00823734" w:rsidRDefault="00823734" w:rsidP="00521E45">
      <w:pPr>
        <w:spacing w:after="0" w:line="480" w:lineRule="auto"/>
      </w:pPr>
    </w:p>
    <w:p w14:paraId="682E445F" w14:textId="2F6D076F" w:rsidR="0090265D" w:rsidRDefault="003E448C" w:rsidP="00521E45">
      <w:pPr>
        <w:spacing w:after="0" w:line="480" w:lineRule="auto"/>
      </w:pPr>
      <w:r>
        <w:t>For BrS and LQTS, EFs were calculated separately by population, with European cases versus gnomAD-NFE and Japanese cases versus gnomAD-EAS</w:t>
      </w:r>
      <w:r w:rsidR="007D35D1">
        <w:t xml:space="preserve"> (Tables </w:t>
      </w:r>
      <w:r w:rsidR="00232BC1">
        <w:t>1</w:t>
      </w:r>
      <w:r w:rsidR="007D35D1">
        <w:t>,</w:t>
      </w:r>
      <w:r w:rsidR="00232BC1">
        <w:t>2</w:t>
      </w:r>
      <w:r>
        <w:t>).</w:t>
      </w:r>
      <w:r w:rsidR="007D6E6E">
        <w:t xml:space="preserve"> </w:t>
      </w:r>
      <w:r w:rsidR="00201218" w:rsidRPr="0032769F">
        <w:t>For BrS, th</w:t>
      </w:r>
      <w:r w:rsidR="0060523C">
        <w:t xml:space="preserve">e yield of rare </w:t>
      </w:r>
      <w:r w:rsidR="0095771E" w:rsidRPr="0095771E">
        <w:rPr>
          <w:i/>
        </w:rPr>
        <w:t>SCN5A</w:t>
      </w:r>
      <w:r w:rsidR="0060523C">
        <w:t xml:space="preserve"> variants wa</w:t>
      </w:r>
      <w:r w:rsidR="00201218" w:rsidRPr="0032769F">
        <w:t>s significantly higher for cases</w:t>
      </w:r>
      <w:r w:rsidR="00823734">
        <w:t xml:space="preserve"> diagnosed</w:t>
      </w:r>
      <w:r w:rsidR="00201218" w:rsidRPr="0032769F">
        <w:t xml:space="preserve"> with a </w:t>
      </w:r>
      <w:r w:rsidR="000B23F2">
        <w:t>spontaneous</w:t>
      </w:r>
      <w:r w:rsidR="00201218" w:rsidRPr="0032769F">
        <w:t xml:space="preserve"> compared to a drug-induced </w:t>
      </w:r>
      <w:r w:rsidR="00BB43F9">
        <w:t>t</w:t>
      </w:r>
      <w:r w:rsidR="00201218" w:rsidRPr="0032769F">
        <w:t>ype 1 ECG pattern (28.7% vs 15.8%</w:t>
      </w:r>
      <w:r w:rsidR="0032769F" w:rsidRPr="0032769F">
        <w:t xml:space="preserve"> in the European cases</w:t>
      </w:r>
      <w:r w:rsidR="00201218" w:rsidRPr="0032769F">
        <w:t>, p=1.3</w:t>
      </w:r>
      <w:r w:rsidR="00082CD1">
        <w:t>x10</w:t>
      </w:r>
      <w:r w:rsidR="00201218" w:rsidRPr="00082CD1">
        <w:rPr>
          <w:vertAlign w:val="superscript"/>
        </w:rPr>
        <w:t>-13</w:t>
      </w:r>
      <w:r>
        <w:t xml:space="preserve">), therefore EFs were also calculated for European cases </w:t>
      </w:r>
      <w:r w:rsidR="007D6E6E">
        <w:t xml:space="preserve">sub-classified </w:t>
      </w:r>
      <w:r w:rsidR="00232BC1">
        <w:t>by ECG pattern (Table 1</w:t>
      </w:r>
      <w:r>
        <w:t>).</w:t>
      </w:r>
      <w:r w:rsidRPr="003E448C">
        <w:t xml:space="preserve"> </w:t>
      </w:r>
      <w:r>
        <w:t>For LQTS, as clinical genetic tests are often referred based on suspected rather than confirmed diagnosis</w:t>
      </w:r>
      <w:r w:rsidR="007D6E6E">
        <w:t>,</w:t>
      </w:r>
      <w:r>
        <w:t xml:space="preserve"> we also </w:t>
      </w:r>
      <w:r>
        <w:lastRenderedPageBreak/>
        <w:t>calculated EFs from a published referral cohort of 2500 cases</w:t>
      </w:r>
      <w:r>
        <w:fldChar w:fldCharType="begin" w:fldLock="1"/>
      </w:r>
      <w:r w:rsidR="007818E5">
        <w:instrText>ADDIN CSL_CITATION {"citationItems":[{"id":"ITEM-1","itemData":{"DOI":"10.1016/j.hrthm.2009.05.021","ISSN":"1556-3871","PMID":"19716085","abstract":"BACKGROUND Long QT syndrome (LQTS) is a potentially lethal, highly treatable cardiac channelopathy for which genetic testing has matured from discovery to translation and now clinical implementation. OBJECTIVES Here we examine the spectrum and prevalence of mutations found in the first 2,500 unrelated cases referred for the FAMILION LQTS clinical genetic test. METHODS Retrospective analysis of the first 2,500 cases (1,515 female patients, average age at testing 23 +/- 17 years, range 0 to 90 years) scanned for mutations in 5 of the LQTS-susceptibility genes: KCNQ1 (LQT1), KCNH2 (LQT2), SCN5A (LQT3), KCNE1 (LQT5), and KCNE2 (LQT6). RESULTS Overall, 903 referral cases (36%) hosted a possible LQTS-causing mutation that was absent in &gt;2,600 reference alleles; 821 (91%) of the mutation-positive cases had single genotypes, whereas the remaining 82 patients (9%) had &gt;1 mutation in &gt; or =1 gene, including 52 cases that were compound heterozygous with mutations in &gt;1 gene. Of the 562 distinct mutations, 394 (70%) were missense, 428 (76%) were seen once, and 336 (60%) are novel, including 92 of 199 in KCNQ1, 159 of 226 in KCNH2, and 70 of 110 in SCN5A. CONCLUSION This cohort increases the publicly available compendium of putative LQTS-associated mutations by &gt;50%, and approximately one-third of the most recently detected mutations continue to be novel. Although control population data suggest that the great majority of these mutations are pathogenic, expert interpretation of genetic test results will remain critical for effective clinical use of LQTS genetic test results.","author":[{"dropping-particle":"","family":"Kapplinger","given":"Jamie D","non-dropping-particle":"","parse-names":false,"suffix":""},{"dropping-particle":"","family":"Tester","given":"David J","non-dropping-particle":"","parse-names":false,"suffix":""},{"dropping-particle":"","family":"Salisbury","given":"Benjamin A","non-dropping-particle":"","parse-names":false,"suffix":""},{"dropping-particle":"","family":"Carr","given":"Janet L","non-dropping-particle":"","parse-names":false,"suffix":""},{"dropping-particle":"","family":"Harris-Kerr","given":"Carole","non-dropping-particle":"","parse-names":false,"suffix":""},{"dropping-particle":"","family":"Pollevick","given":"Guido D","non-dropping-particle":"","parse-names":false,"suffix":""},{"dropping-particle":"","family":"Wilde","given":"Arthur A M","non-dropping-particle":"","parse-names":false,"suffix":""},{"dropping-particle":"","family":"Ackerman","given":"Michael J","non-dropping-particle":"","parse-names":false,"suffix":""}],"container-title":"Heart rhythm","id":"ITEM-1","issue":"9","issued":{"date-parts":[["2009","9"]]},"page":"1297-303","title":"Spectrum and prevalence of mutations from the first 2,500 consecutive unrelated patients referred for the FAMILION long QT syndrome genetic test.","type":"article-journal","volume":"6"},"uris":["http://www.mendeley.com/documents/?uuid=db31007e-4411-4408-898d-4a614594b610"]}],"mendeley":{"formattedCitation":"&lt;sup&gt;18&lt;/sup&gt;","plainTextFormattedCitation":"18","previouslyFormattedCitation":"&lt;sup&gt;12&lt;/sup&gt;"},"properties":{"noteIndex":0},"schema":"https://github.com/citation-style-language/schema/raw/master/csl-citation.json"}</w:instrText>
      </w:r>
      <w:r>
        <w:fldChar w:fldCharType="separate"/>
      </w:r>
      <w:r w:rsidR="007818E5" w:rsidRPr="007818E5">
        <w:rPr>
          <w:noProof/>
          <w:vertAlign w:val="superscript"/>
        </w:rPr>
        <w:t>18</w:t>
      </w:r>
      <w:r>
        <w:fldChar w:fldCharType="end"/>
      </w:r>
      <w:r>
        <w:t xml:space="preserve">, where the </w:t>
      </w:r>
      <w:r w:rsidRPr="00043106">
        <w:t xml:space="preserve">yield of rare variants in the three LQTS genes </w:t>
      </w:r>
      <w:r>
        <w:t>(</w:t>
      </w:r>
      <w:r w:rsidRPr="00043106">
        <w:t>33.6</w:t>
      </w:r>
      <w:r>
        <w:t>%) reflects a lower proport</w:t>
      </w:r>
      <w:r w:rsidR="00232BC1">
        <w:t>ion of definitive cases (Table 2</w:t>
      </w:r>
      <w:r>
        <w:t>)</w:t>
      </w:r>
      <w:r w:rsidRPr="00043106">
        <w:t>.</w:t>
      </w:r>
      <w:r>
        <w:t xml:space="preserve"> </w:t>
      </w:r>
    </w:p>
    <w:p w14:paraId="50D5F184" w14:textId="77777777" w:rsidR="00823734" w:rsidRDefault="00823734" w:rsidP="00521E45">
      <w:pPr>
        <w:spacing w:after="0" w:line="480" w:lineRule="auto"/>
      </w:pPr>
    </w:p>
    <w:p w14:paraId="5224AF9E" w14:textId="4A9AE75C" w:rsidR="00450452" w:rsidRDefault="0090265D" w:rsidP="00E51047">
      <w:pPr>
        <w:spacing w:after="0" w:line="480" w:lineRule="auto"/>
      </w:pPr>
      <w:r>
        <w:t xml:space="preserve">Variants </w:t>
      </w:r>
      <w:r w:rsidR="007D35D1">
        <w:t xml:space="preserve">were highly enriched in cases in the transmembrane regions of all three genes (with the exception of </w:t>
      </w:r>
      <w:r w:rsidR="007D35D1" w:rsidRPr="0095771E">
        <w:rPr>
          <w:i/>
        </w:rPr>
        <w:t>SCN5A</w:t>
      </w:r>
      <w:r w:rsidR="007D35D1">
        <w:t xml:space="preserve"> variants in LQTS cases) and select N/C-terminus domains in </w:t>
      </w:r>
      <w:r w:rsidR="007D35D1" w:rsidRPr="007D35D1">
        <w:rPr>
          <w:i/>
        </w:rPr>
        <w:t>KCNQ1</w:t>
      </w:r>
      <w:r w:rsidR="007D35D1">
        <w:t xml:space="preserve"> and </w:t>
      </w:r>
      <w:r w:rsidR="007D35D1" w:rsidRPr="007D35D1">
        <w:rPr>
          <w:i/>
        </w:rPr>
        <w:t>KCNH2</w:t>
      </w:r>
      <w:r w:rsidR="007D35D1">
        <w:t xml:space="preserve"> (Tables </w:t>
      </w:r>
      <w:r w:rsidR="00232BC1">
        <w:t>1,2</w:t>
      </w:r>
      <w:r w:rsidR="007D35D1">
        <w:t xml:space="preserve">). </w:t>
      </w:r>
      <w:r w:rsidR="00450452">
        <w:t xml:space="preserve">The regional EFs produced by this analysis, and consequently the strength of the evidence applied (PM1 rule), </w:t>
      </w:r>
      <w:r w:rsidR="00CF3DB9">
        <w:t>display marked variability</w:t>
      </w:r>
      <w:r w:rsidR="007D6E6E">
        <w:t xml:space="preserve"> by </w:t>
      </w:r>
      <w:r w:rsidR="009F7EBB">
        <w:t xml:space="preserve">ancestry </w:t>
      </w:r>
      <w:r w:rsidR="007D6E6E">
        <w:t>(BrS)</w:t>
      </w:r>
      <w:r w:rsidR="000E4374">
        <w:t>,</w:t>
      </w:r>
      <w:r w:rsidR="007D6E6E">
        <w:t xml:space="preserve"> diagnostic certainty (LQTS) and diagnostic criteria (BrS</w:t>
      </w:r>
      <w:r w:rsidR="007D13C2">
        <w:t xml:space="preserve"> spontaneous/</w:t>
      </w:r>
      <w:r w:rsidR="007D13C2" w:rsidRPr="0032769F">
        <w:t xml:space="preserve">drug-induced </w:t>
      </w:r>
      <w:r w:rsidR="007D13C2">
        <w:t>t</w:t>
      </w:r>
      <w:r w:rsidR="007D13C2" w:rsidRPr="0032769F">
        <w:t>ype 1 ECG pattern</w:t>
      </w:r>
      <w:r w:rsidR="007D6E6E">
        <w:t>),</w:t>
      </w:r>
      <w:r w:rsidR="00450452">
        <w:t xml:space="preserve"> highlighting the importance of considering </w:t>
      </w:r>
      <w:r w:rsidR="007D6E6E">
        <w:t>these</w:t>
      </w:r>
      <w:r w:rsidR="00450452">
        <w:t xml:space="preserve"> context</w:t>
      </w:r>
      <w:r w:rsidR="007D6E6E">
        <w:t>s</w:t>
      </w:r>
      <w:r w:rsidR="00450452">
        <w:t xml:space="preserve"> for variant interpretation.</w:t>
      </w:r>
    </w:p>
    <w:p w14:paraId="7AC66DB0" w14:textId="77777777" w:rsidR="00342239" w:rsidRPr="00342239" w:rsidRDefault="00342239" w:rsidP="00E51047">
      <w:pPr>
        <w:spacing w:after="0" w:line="480" w:lineRule="auto"/>
        <w:jc w:val="both"/>
      </w:pPr>
    </w:p>
    <w:p w14:paraId="44D78AAE" w14:textId="77777777" w:rsidR="00362667" w:rsidRPr="00A7744A" w:rsidRDefault="00362667" w:rsidP="00E51047">
      <w:pPr>
        <w:spacing w:after="0" w:line="480" w:lineRule="auto"/>
        <w:rPr>
          <w:i/>
        </w:rPr>
      </w:pPr>
      <w:r>
        <w:rPr>
          <w:i/>
        </w:rPr>
        <w:t>Identification of specific variants enriched in arrhythmia case cohorts</w:t>
      </w:r>
    </w:p>
    <w:p w14:paraId="1BF0078F" w14:textId="0B5CABBD" w:rsidR="00362667" w:rsidRDefault="00362667" w:rsidP="00E51047">
      <w:pPr>
        <w:spacing w:after="0" w:line="480" w:lineRule="auto"/>
      </w:pPr>
      <w:r w:rsidRPr="00C6424E">
        <w:t xml:space="preserve">Based on European and Japanese case-control comparisons as described in Methods, 48 </w:t>
      </w:r>
      <w:r>
        <w:t xml:space="preserve">individual </w:t>
      </w:r>
      <w:r w:rsidRPr="00C6424E">
        <w:t>variants are enriched in BrS cases (with 2, 26 and 20 variants activating the PS4 strong, moderate and supporting rules re</w:t>
      </w:r>
      <w:r w:rsidR="007E640E">
        <w:t>spectively) (Figure S1, Table S9</w:t>
      </w:r>
      <w:r w:rsidRPr="00C6424E">
        <w:t xml:space="preserve">) </w:t>
      </w:r>
      <w:r w:rsidRPr="00151860">
        <w:t>and 108 variants are enriched in LQTS cases (with 43, 54 and 11 variants activating the PS4 strong, moderate and supporting rules respectively) (</w:t>
      </w:r>
      <w:r>
        <w:t>Figure S2, Table S</w:t>
      </w:r>
      <w:r w:rsidR="007E640E">
        <w:t>10</w:t>
      </w:r>
      <w:r w:rsidRPr="00151860">
        <w:t>)</w:t>
      </w:r>
      <w:r>
        <w:t>.</w:t>
      </w:r>
      <w:r w:rsidRPr="00151860">
        <w:t xml:space="preserve"> </w:t>
      </w:r>
    </w:p>
    <w:p w14:paraId="5815512A" w14:textId="77777777" w:rsidR="00362667" w:rsidRDefault="00362667" w:rsidP="00521E45">
      <w:pPr>
        <w:spacing w:after="0" w:line="480" w:lineRule="auto"/>
        <w:rPr>
          <w:i/>
        </w:rPr>
      </w:pPr>
    </w:p>
    <w:p w14:paraId="1F66819D" w14:textId="77777777" w:rsidR="00753543" w:rsidRPr="00DB3CA5" w:rsidRDefault="00753543" w:rsidP="00521E45">
      <w:pPr>
        <w:spacing w:after="0" w:line="480" w:lineRule="auto"/>
        <w:rPr>
          <w:i/>
        </w:rPr>
      </w:pPr>
      <w:r>
        <w:rPr>
          <w:i/>
        </w:rPr>
        <w:t>ACMG/AMP classification of rare variants in arrhythmia cohorts</w:t>
      </w:r>
    </w:p>
    <w:p w14:paraId="2D8134D3" w14:textId="2B427629" w:rsidR="00E333FA" w:rsidRDefault="007D2725" w:rsidP="00521E45">
      <w:pPr>
        <w:spacing w:after="0" w:line="480" w:lineRule="auto"/>
      </w:pPr>
      <w:r>
        <w:t>We classified the variants in the BrS and LQTS cohorts according to the ACMG/AMP guidelines, using the CardioClassifier application</w:t>
      </w:r>
      <w:r>
        <w:fldChar w:fldCharType="begin" w:fldLock="1"/>
      </w:r>
      <w:r w:rsidR="007818E5">
        <w:instrText>ADDIN CSL_CITATION {"citationItems":[{"id":"ITEM-1","itemData":{"DOI":"10.1038/gim.2017.258","ISSN":"1530-0366","PMID":"29369293","abstract":"PURPOSE Internationally adopted variant interpretation guidelines from the American College of Medical Genetics and Genomics (ACMG) are generic and require disease-specific refinement. Here we developed CardioClassifier ( http://www.cardioclassifier.org ), a semiautomated decision-support tool for inherited cardiac conditions (ICCs). METHODS CardioClassifier integrates data retrieved from multiple sources with user-input case-specific information, through an interactive interface, to support variant interpretation. Combining disease- and gene-specific knowledge with variant observations in large cohorts of cases and controls, we refined 14 computational ACMG criteria and created three ICC-specific rules. RESULTS We benchmarked CardioClassifier on 57 expertly curated variants and show full retrieval of all computational data, concordantly activating 87.3% of rules. A generic annotation tool identified fewer than half as many clinically actionable variants (64/219 vs. 156/219, Fisher's P = 1.1 × 10-18), with important false positives, illustrating the critical importance of disease and gene-specific annotations. CardioClassifier identified putatively disease-causing variants in 33.7% of 327 cardiomyopathy cases, comparable with leading ICC laboratories. Through addition of manually curated data, variants found in over 40% of cardiomyopathy cases are fully annotated, without requiring additional user-input data. CONCLUSION CardioClassifier is an ICC-specific decision-support tool that integrates expertly curated computational annotations with case-specific data to generate fast, reproducible, and interactive variant pathogenicity reports, according to best practice guidelines.","author":[{"dropping-particle":"","family":"Whiffin","given":"Nicola","non-dropping-particle":"","parse-names":false,"suffix":""},{"dropping-particle":"","family":"Walsh","given":"Roddy","non-dropping-particle":"","parse-names":false,"suffix":""},{"dropping-particle":"","family":"Govind","given":"Risha","non-dropping-particle":"","parse-names":false,"suffix":""},{"dropping-particle":"","family":"Edwards","given":"Matthew","non-dropping-particle":"","parse-names":false,"suffix":""},{"dropping-particle":"","family":"Ahmad","given":"Mian","non-dropping-particle":"","parse-names":false,"suffix":""},{"dropping-particle":"","family":"Zhang","given":"Xiaolei","non-dropping-particle":"","parse-names":false,"suffix":""},{"dropping-particle":"","family":"Tayal","given":"Upasana","non-dropping-particle":"","parse-names":false,"suffix":""},{"dropping-particle":"","family":"Buchan","given":"Rachel","non-dropping-particle":"","parse-names":false,"suffix":""},{"dropping-particle":"","family":"Midwinter","given":"William","non-dropping-particle":"","parse-names":false,"suffix":""},{"dropping-particle":"","family":"Wilk","given":"Alicja E","non-dropping-particle":"","parse-names":false,"suffix":""},{"dropping-particle":"","family":"Najgebauer","given":"Hanna","non-dropping-particle":"","parse-names":false,"suffix":""},{"dropping-particle":"","family":"Francis","given":"Catherine","non-dropping-particle":"","parse-names":false,"suffix":""},{"dropping-particle":"","family":"Wilkinson","given":"Sam","non-dropping-particle":"","parse-names":false,"suffix":""},{"dropping-particle":"","family":"Monk","given":"Thomas","non-dropping-particle":"","parse-names":false,"suffix":""},{"dropping-particle":"","family":"Brett","given":"Laura","non-dropping-particle":"","parse-names":false,"suffix":""},{"dropping-particle":"","family":"O'Regan","given":"Declan P","non-dropping-particle":"","parse-names":false,"suffix":""},{"dropping-particle":"","family":"Prasad","given":"Sanjay K.","non-dropping-particle":"","parse-names":false,"suffix":""},{"dropping-particle":"","family":"Morris-Rosendahl","given":"Deborah J.","non-dropping-particle":"","parse-names":false,"suffix":""},{"dropping-particle":"","family":"Barton","given":"Paul J. R.","non-dropping-particle":"","parse-names":false,"suffix":""},{"dropping-particle":"","family":"Edwards","given":"Elizabeth","non-dropping-particle":"","parse-names":false,"suffix":""},{"dropping-particle":"","family":"Ware","given":"James S.","non-dropping-particle":"","parse-names":false,"suffix":""},{"dropping-particle":"","family":"Cook","given":"Stuart A.","non-dropping-particle":"","parse-names":false,"suffix":""}],"container-title":"Genetics in medicine : official journal of the American College of Medical Genetics","id":"ITEM-1","issue":"10","issued":{"date-parts":[["2018","1","25"]]},"page":"1246-1254","title":"CardioClassifier: disease- and gene-specific computational decision support for clinical genome interpretation.","type":"article-journal","volume":"20"},"uris":["http://www.mendeley.com/documents/?uuid=3a95551c-bb74-42b9-8cd5-0a53aa03be6d"]}],"mendeley":{"formattedCitation":"&lt;sup&gt;13&lt;/sup&gt;","plainTextFormattedCitation":"13","previouslyFormattedCitation":"&lt;sup&gt;15&lt;/sup&gt;"},"properties":{"noteIndex":0},"schema":"https://github.com/citation-style-language/schema/raw/master/csl-citation.json"}</w:instrText>
      </w:r>
      <w:r>
        <w:fldChar w:fldCharType="separate"/>
      </w:r>
      <w:r w:rsidR="007818E5" w:rsidRPr="007818E5">
        <w:rPr>
          <w:noProof/>
          <w:vertAlign w:val="superscript"/>
        </w:rPr>
        <w:t>13</w:t>
      </w:r>
      <w:r>
        <w:fldChar w:fldCharType="end"/>
      </w:r>
      <w:r>
        <w:t xml:space="preserve"> (with adaptations as described in Methods). </w:t>
      </w:r>
      <w:r w:rsidR="00E333FA">
        <w:t xml:space="preserve">The frequency of rare variants in gnomAD estimates the rate of rare benign variants in both population and arrhythmia </w:t>
      </w:r>
      <w:r w:rsidR="001B54A3">
        <w:t xml:space="preserve">cohorts, </w:t>
      </w:r>
      <w:r w:rsidR="00E333FA">
        <w:t>and can be used to assess the sensitivity (and specificity) of variant classification approaches. In particular, the excess of VUS over this gnomAD frequency denotes the false negative rate in clinical genetic testing, i.e. the proportion of cases with variants that are expected to be disease-causing but for which insufficient evidence currently exists to classi</w:t>
      </w:r>
      <w:r w:rsidR="00281EE4">
        <w:t>fy them as (likely) pathogenic.</w:t>
      </w:r>
    </w:p>
    <w:p w14:paraId="689EF619" w14:textId="77777777" w:rsidR="00823734" w:rsidRDefault="00823734" w:rsidP="00521E45">
      <w:pPr>
        <w:spacing w:after="0" w:line="480" w:lineRule="auto"/>
      </w:pPr>
    </w:p>
    <w:p w14:paraId="6040E833" w14:textId="16DAFD50" w:rsidR="00DB42A9" w:rsidRDefault="009B419F" w:rsidP="00521E45">
      <w:pPr>
        <w:spacing w:after="0" w:line="480" w:lineRule="auto"/>
      </w:pPr>
      <w:r>
        <w:t>For BrS, c</w:t>
      </w:r>
      <w:r w:rsidR="00753543">
        <w:t xml:space="preserve">lassification was performed before and after inclusion of the case-control evidence described above (PM1/PS4 rules), to assess the effect of these approaches on the diagnostic yield. </w:t>
      </w:r>
      <w:r w:rsidR="00E333FA">
        <w:t>W</w:t>
      </w:r>
      <w:r w:rsidR="00E333FA" w:rsidRPr="00093E31">
        <w:t>ith the basic ACMG/AMP rules</w:t>
      </w:r>
      <w:r w:rsidR="00E333FA">
        <w:t xml:space="preserve"> (including functional evidence but excluding segregation data), </w:t>
      </w:r>
      <w:r w:rsidR="00E333FA" w:rsidRPr="00093E31">
        <w:t>9.</w:t>
      </w:r>
      <w:r w:rsidR="00546C79">
        <w:t>1</w:t>
      </w:r>
      <w:r w:rsidR="00E333FA" w:rsidRPr="00093E31">
        <w:t xml:space="preserve">% of </w:t>
      </w:r>
      <w:r w:rsidR="00DB42A9">
        <w:t xml:space="preserve">European BrS </w:t>
      </w:r>
      <w:r w:rsidR="00E333FA" w:rsidRPr="00093E31">
        <w:t xml:space="preserve">cases </w:t>
      </w:r>
      <w:r w:rsidR="00E333FA">
        <w:t>had</w:t>
      </w:r>
      <w:r w:rsidR="00E333FA" w:rsidRPr="00093E31">
        <w:t xml:space="preserve"> a rare non-truncating </w:t>
      </w:r>
      <w:r w:rsidR="00E333FA" w:rsidRPr="00E333FA">
        <w:rPr>
          <w:i/>
        </w:rPr>
        <w:t>SCN5A</w:t>
      </w:r>
      <w:r w:rsidR="00E333FA">
        <w:t xml:space="preserve"> </w:t>
      </w:r>
      <w:r w:rsidR="00E333FA" w:rsidRPr="00093E31">
        <w:t>VUS compared to 1.5% in gnomAD</w:t>
      </w:r>
      <w:r w:rsidR="00E333FA">
        <w:t>, highlighting a large false negative rate</w:t>
      </w:r>
      <w:r w:rsidR="00E333FA" w:rsidRPr="00093E31">
        <w:t>.</w:t>
      </w:r>
      <w:r w:rsidR="00DB42A9" w:rsidRPr="00DB42A9">
        <w:t xml:space="preserve"> </w:t>
      </w:r>
      <w:r w:rsidR="00DB42A9" w:rsidRPr="00093E31">
        <w:t xml:space="preserve">After applying the case-control PM1/PS4 evidence, </w:t>
      </w:r>
      <w:r w:rsidR="00DB42A9">
        <w:t>the proportion of c</w:t>
      </w:r>
      <w:r w:rsidR="00546C79">
        <w:t>ases with VUS was reduced to 3.1</w:t>
      </w:r>
      <w:r w:rsidR="00FB56B0">
        <w:t>% (Figure 3B</w:t>
      </w:r>
      <w:r w:rsidR="00DB42A9">
        <w:t>). Given the more modest E</w:t>
      </w:r>
      <w:r w:rsidR="00DB42A9" w:rsidRPr="00EE6F7A">
        <w:t>Fs associated with variants found solely in Japanese BrS cases,</w:t>
      </w:r>
      <w:r w:rsidR="00DB42A9">
        <w:t xml:space="preserve"> the VUS rate was reduced from 4.4% to 3.0% in Japanese BrS patients (</w:t>
      </w:r>
      <w:r w:rsidR="00DB42A9" w:rsidRPr="00EE6F7A">
        <w:t xml:space="preserve">compared to </w:t>
      </w:r>
      <w:r w:rsidR="00DB42A9">
        <w:t xml:space="preserve">a </w:t>
      </w:r>
      <w:r w:rsidR="00DB42A9" w:rsidRPr="00EE6F7A">
        <w:t xml:space="preserve">1.7% </w:t>
      </w:r>
      <w:r w:rsidR="00DB42A9">
        <w:t xml:space="preserve">background rate </w:t>
      </w:r>
      <w:r w:rsidR="00DB42A9" w:rsidRPr="00EE6F7A">
        <w:t>in</w:t>
      </w:r>
      <w:r w:rsidR="00DB42A9">
        <w:t xml:space="preserve"> gnomAD-EAS)</w:t>
      </w:r>
      <w:r w:rsidR="00A1349A">
        <w:t xml:space="preserve"> (Figure 3C)</w:t>
      </w:r>
      <w:r w:rsidR="00DB42A9">
        <w:t>.</w:t>
      </w:r>
    </w:p>
    <w:p w14:paraId="3554157E" w14:textId="77777777" w:rsidR="00823734" w:rsidRDefault="00823734" w:rsidP="00521E45">
      <w:pPr>
        <w:spacing w:after="0" w:line="480" w:lineRule="auto"/>
      </w:pPr>
    </w:p>
    <w:p w14:paraId="17E6B50D" w14:textId="01F40237" w:rsidR="00753543" w:rsidRDefault="00753543" w:rsidP="00521E45">
      <w:pPr>
        <w:spacing w:after="0" w:line="480" w:lineRule="auto"/>
      </w:pPr>
      <w:r>
        <w:t xml:space="preserve">For LQTS, </w:t>
      </w:r>
      <w:r w:rsidR="00D910DF">
        <w:t xml:space="preserve">familial co-segregation and functional evidence are critical for the classification of non-truncating variants (all were VUS with the basic ACMG/AMP classification) but given the extensive </w:t>
      </w:r>
      <w:r w:rsidR="006A2129">
        <w:t xml:space="preserve">allelic </w:t>
      </w:r>
      <w:r w:rsidR="00D910DF">
        <w:t>heterogeneity (</w:t>
      </w:r>
      <w:r w:rsidR="00644925" w:rsidRPr="00644925">
        <w:t>504</w:t>
      </w:r>
      <w:r w:rsidR="00D910DF">
        <w:t xml:space="preserve"> distinct </w:t>
      </w:r>
      <w:r w:rsidR="00644925">
        <w:t xml:space="preserve">rare </w:t>
      </w:r>
      <w:r w:rsidR="00D910DF">
        <w:t>non-truncating variants in 1847 cases) and the lack of high</w:t>
      </w:r>
      <w:r w:rsidR="006A2129">
        <w:t>-</w:t>
      </w:r>
      <w:r w:rsidR="00D910DF">
        <w:t xml:space="preserve">throughput functional studies or curated resources, it was not feasible to include this evidence here. </w:t>
      </w:r>
      <w:r w:rsidR="00A467D8">
        <w:t>However, u</w:t>
      </w:r>
      <w:r w:rsidR="00D910DF">
        <w:t xml:space="preserve">sing </w:t>
      </w:r>
      <w:r w:rsidR="00823734">
        <w:t>t</w:t>
      </w:r>
      <w:r w:rsidR="00A467D8">
        <w:t xml:space="preserve">he </w:t>
      </w:r>
      <w:r w:rsidRPr="00093E31">
        <w:t>case-control PM1/PS4 evidence</w:t>
      </w:r>
      <w:r>
        <w:t xml:space="preserve">, </w:t>
      </w:r>
      <w:r w:rsidRPr="00577789">
        <w:t xml:space="preserve">the proportion of cases with VUS was </w:t>
      </w:r>
      <w:r w:rsidR="00A467D8">
        <w:t xml:space="preserve">reduced to </w:t>
      </w:r>
      <w:r w:rsidRPr="00577789">
        <w:t xml:space="preserve">2.33% for </w:t>
      </w:r>
      <w:r w:rsidR="0095771E" w:rsidRPr="0095771E">
        <w:rPr>
          <w:i/>
        </w:rPr>
        <w:t>KCNQ1</w:t>
      </w:r>
      <w:r w:rsidRPr="00577789">
        <w:t xml:space="preserve"> (compared to a gnomAD </w:t>
      </w:r>
      <w:r w:rsidR="00A467D8">
        <w:t xml:space="preserve">background </w:t>
      </w:r>
      <w:r w:rsidRPr="00577789">
        <w:t xml:space="preserve">frequency of 0.53%), 3.68% for </w:t>
      </w:r>
      <w:r w:rsidR="0095771E" w:rsidRPr="0095771E">
        <w:rPr>
          <w:i/>
        </w:rPr>
        <w:t>KCNH2</w:t>
      </w:r>
      <w:r w:rsidRPr="00577789">
        <w:t xml:space="preserve"> (gnomAD</w:t>
      </w:r>
      <w:r w:rsidR="00A467D8">
        <w:t>=</w:t>
      </w:r>
      <w:r w:rsidRPr="00577789">
        <w:t xml:space="preserve">0.77%) and </w:t>
      </w:r>
      <w:r w:rsidR="00644925" w:rsidRPr="00644925">
        <w:t>3.14</w:t>
      </w:r>
      <w:r w:rsidRPr="00644925">
        <w:t>%</w:t>
      </w:r>
      <w:r w:rsidRPr="00577789">
        <w:t xml:space="preserve"> for </w:t>
      </w:r>
      <w:r w:rsidR="0095771E" w:rsidRPr="0095771E">
        <w:rPr>
          <w:i/>
        </w:rPr>
        <w:t>SCN5A</w:t>
      </w:r>
      <w:r w:rsidRPr="00577789">
        <w:t xml:space="preserve"> (gnomAD</w:t>
      </w:r>
      <w:r w:rsidR="00A467D8">
        <w:t>=</w:t>
      </w:r>
      <w:r w:rsidR="00FB56B0">
        <w:t>1.5%) (Figure 3</w:t>
      </w:r>
      <w:r w:rsidR="00A1349A">
        <w:t>D</w:t>
      </w:r>
      <w:r w:rsidRPr="00577789">
        <w:t>).</w:t>
      </w:r>
    </w:p>
    <w:p w14:paraId="03650CEA" w14:textId="77777777" w:rsidR="00044B2D" w:rsidRDefault="00044B2D" w:rsidP="00521E45">
      <w:pPr>
        <w:spacing w:after="0" w:line="480" w:lineRule="auto"/>
      </w:pPr>
    </w:p>
    <w:p w14:paraId="56AD23C8" w14:textId="1B234D69" w:rsidR="00044B2D" w:rsidRDefault="00044B2D" w:rsidP="00521E45">
      <w:pPr>
        <w:spacing w:after="0" w:line="480" w:lineRule="auto"/>
      </w:pPr>
      <w:r>
        <w:t xml:space="preserve">Of the variants upgraded from VUS to (likely) pathogenic, only 11.1% of BrS and 36.1% of LQTS variants had a non-conflicting pathogenic or likely pathogenic classification in ClinVar (Tables S11/S12). </w:t>
      </w:r>
    </w:p>
    <w:p w14:paraId="08BC60C2" w14:textId="77777777" w:rsidR="00753543" w:rsidRPr="00EC3FF7" w:rsidRDefault="00753543" w:rsidP="00521E45">
      <w:pPr>
        <w:spacing w:after="0" w:line="480" w:lineRule="auto"/>
      </w:pPr>
    </w:p>
    <w:p w14:paraId="222922DD" w14:textId="77777777" w:rsidR="00F755A4" w:rsidRPr="00183B40" w:rsidRDefault="00F755A4" w:rsidP="00521E45">
      <w:pPr>
        <w:spacing w:after="0" w:line="480" w:lineRule="auto"/>
        <w:rPr>
          <w:i/>
        </w:rPr>
      </w:pPr>
      <w:r>
        <w:rPr>
          <w:i/>
        </w:rPr>
        <w:t>Re-classification of published BrS SCN5A variants</w:t>
      </w:r>
    </w:p>
    <w:p w14:paraId="1F2B4145" w14:textId="28B52BC1" w:rsidR="00F755A4" w:rsidRDefault="00F755A4" w:rsidP="00521E45">
      <w:pPr>
        <w:spacing w:after="0" w:line="480" w:lineRule="auto"/>
      </w:pPr>
      <w:r w:rsidRPr="00C562A8">
        <w:t>We also re-analysed the set of published</w:t>
      </w:r>
      <w:r w:rsidR="008A3970">
        <w:t xml:space="preserve"> BrS-implicated</w:t>
      </w:r>
      <w:r w:rsidRPr="00C562A8">
        <w:t xml:space="preserve"> </w:t>
      </w:r>
      <w:r w:rsidRPr="0095771E">
        <w:rPr>
          <w:i/>
        </w:rPr>
        <w:t>SCN5A</w:t>
      </w:r>
      <w:r w:rsidRPr="00C562A8">
        <w:t xml:space="preserve"> variants</w:t>
      </w:r>
      <w:r>
        <w:t xml:space="preserve"> </w:t>
      </w:r>
      <w:r w:rsidRPr="00C562A8">
        <w:t>that were classified with contemporary ACMG/AMP guidelines by Denham et al</w:t>
      </w:r>
      <w:r>
        <w:fldChar w:fldCharType="begin" w:fldLock="1"/>
      </w:r>
      <w:r w:rsidR="00F22092">
        <w:instrText>ADDIN CSL_CITATION {"citationItems":[{"id":"ITEM-1","itemData":{"DOI":"10.1111/jce.13740","ISSN":"1540-8167","PMID":"30203441","abstract":"BACKGROUND A large number of SCN5A variants have been reported to underlie Brugada syndrome (BrS). However, the evidence supporting individual variants is highly heterogeneous. OBJECTIVE We systematically re-evaluated all SCN5A variants reported in BrS using the 2015 American college of medical genetics and genomics and the association for molecular pathology (ACMG-AMP) guidelines. METHODS A PubMed/Embase search was performed to identify all reported SCN5A variants in BrS. Standardized bioinformatic re-analysis (SIFT, PolyPhen, Mutation Taster, Mutation assessor, FATHMM, GERP, PhyloP, and SiPhy) and re-evaluation of frequency in the gnomAD database were performed. Fourteen ACMG-AMP rules were deemed applicable for SCN5A variant analysis. RESULTS Four hundred and eighty unique SCN5A variants were identified, the majority of which 425 (88%) were coding variants. One hundred and fifty-six of 425 (37%) variants were classified as pathogenic/likely pathogenic. Two hundred and fifty-eight (60%) were classified as variants of uncertain significance, while a further 11 (3%) were classified as benign/likely benign. When considering the subset of variants that were considered \"null\" variants separately, 95% fulfilled criteria for pathogenicity/likely pathogenicity. In contrast, only 17% of missense variants fulfilled criteria for pathogenicity/likely pathogenicity. Importantly, however, only 25% of missense variants had available functional data, which was a major score driver for pathogenic classification. CONCLUSION Based on contemporary ACMG-AMP guidelines, only a minority of SCN5A variants implicated in BrS fulfill the criteria for pathogenicity or likely pathogenicity.","author":[{"dropping-particle":"","family":"Denham","given":"Nathan C","non-dropping-particle":"","parse-names":false,"suffix":""},{"dropping-particle":"","family":"Pearman","given":"Charles M","non-dropping-particle":"","parse-names":false,"suffix":""},{"dropping-particle":"","family":"Ding","given":"Wern Yew","non-dropping-particle":"","parse-names":false,"suffix":""},{"dropping-particle":"","family":"Waktare","given":"Johan","non-dropping-particle":"","parse-names":false,"suffix":""},{"dropping-particle":"","family":"Gupta","given":"Dhiraj","non-dropping-particle":"","parse-names":false,"suffix":""},{"dropping-particle":"","family":"Snowdon","given":"Richard","non-dropping-particle":"","parse-names":false,"suffix":""},{"dropping-particle":"","family":"Hall","given":"Mark","non-dropping-particle":"","parse-names":false,"suffix":""},{"dropping-particle":"","family":"Cooper","given":"Robert","non-dropping-particle":"","parse-names":false,"suffix":""},{"dropping-particle":"","family":"Modi","given":"Simon","non-dropping-particle":"","parse-names":false,"suffix":""},{"dropping-particle":"","family":"Todd","given":"Derick","non-dropping-particle":"","parse-names":false,"suffix":""},{"dropping-particle":"","family":"Mahida","given":"Saagar","non-dropping-particle":"","parse-names":false,"suffix":""}],"container-title":"Journal of cardiovascular electrophysiology","id":"ITEM-1","issue":"1","issued":{"date-parts":[["2019","1","11"]]},"page":"118-127","title":"Systematic re-evaluation of SCN5A variants associated with Brugada syndrome.","type":"article-journal","volume":"30"},"uris":["http://www.mendeley.com/documents/?uuid=eba091fe-af87-43e2-be9d-0a76043e4cb5"]}],"mendeley":{"formattedCitation":"&lt;sup&gt;6&lt;/sup&gt;","plainTextFormattedCitation":"6","previouslyFormattedCitation":"&lt;sup&gt;6&lt;/sup&gt;"},"properties":{"noteIndex":0},"schema":"https://github.com/citation-style-language/schema/raw/master/csl-citation.json"}</w:instrText>
      </w:r>
      <w:r>
        <w:fldChar w:fldCharType="separate"/>
      </w:r>
      <w:r w:rsidR="00F22092" w:rsidRPr="00F22092">
        <w:rPr>
          <w:noProof/>
          <w:vertAlign w:val="superscript"/>
        </w:rPr>
        <w:t>6</w:t>
      </w:r>
      <w:r>
        <w:fldChar w:fldCharType="end"/>
      </w:r>
      <w:r w:rsidR="008A3970">
        <w:t xml:space="preserve">, where 72% (231/321) of </w:t>
      </w:r>
      <w:r w:rsidRPr="00C562A8">
        <w:t xml:space="preserve">non-truncating </w:t>
      </w:r>
      <w:r w:rsidRPr="0095771E">
        <w:rPr>
          <w:i/>
        </w:rPr>
        <w:t>SCN5A</w:t>
      </w:r>
      <w:r w:rsidRPr="00C562A8">
        <w:t xml:space="preserve"> variants were classified as VUS. Applying the</w:t>
      </w:r>
      <w:r w:rsidR="004976FF">
        <w:t xml:space="preserve"> case-control (</w:t>
      </w:r>
      <w:r w:rsidRPr="00C562A8">
        <w:t>PS4</w:t>
      </w:r>
      <w:r w:rsidR="004976FF">
        <w:t xml:space="preserve"> and PM1 based on all </w:t>
      </w:r>
      <w:r w:rsidR="004976FF">
        <w:lastRenderedPageBreak/>
        <w:t>European BrS cases</w:t>
      </w:r>
      <w:r>
        <w:t>)</w:t>
      </w:r>
      <w:r w:rsidRPr="00C562A8">
        <w:t xml:space="preserve"> and </w:t>
      </w:r>
      <w:r>
        <w:t>frequency</w:t>
      </w:r>
      <w:r w:rsidRPr="00C562A8">
        <w:t xml:space="preserve"> (PM2/BS1) </w:t>
      </w:r>
      <w:r>
        <w:t>evidence</w:t>
      </w:r>
      <w:r w:rsidRPr="00C562A8">
        <w:t xml:space="preserve"> described here, 152 of these VUS (65.8%) </w:t>
      </w:r>
      <w:r>
        <w:t>were</w:t>
      </w:r>
      <w:r w:rsidRPr="00C562A8">
        <w:t xml:space="preserve"> upgraded </w:t>
      </w:r>
      <w:r>
        <w:t>to (likely) pathogenic (Table S</w:t>
      </w:r>
      <w:r w:rsidR="00362667">
        <w:t>1</w:t>
      </w:r>
      <w:r w:rsidR="00266E45">
        <w:t>3</w:t>
      </w:r>
      <w:r w:rsidRPr="00C562A8">
        <w:t xml:space="preserve">). </w:t>
      </w:r>
    </w:p>
    <w:p w14:paraId="3DD8AC52" w14:textId="77777777" w:rsidR="00753543" w:rsidRDefault="00753543" w:rsidP="00521E45">
      <w:pPr>
        <w:spacing w:after="0" w:line="480" w:lineRule="auto"/>
      </w:pPr>
    </w:p>
    <w:p w14:paraId="030ACEDC" w14:textId="77777777" w:rsidR="004C7FFD" w:rsidRDefault="004C7FFD" w:rsidP="00521E45">
      <w:pPr>
        <w:spacing w:after="0" w:line="480" w:lineRule="auto"/>
      </w:pPr>
      <w:r>
        <w:rPr>
          <w:i/>
        </w:rPr>
        <w:t>Application to Sudden Arrhythmic Death Syndrome (SADS)</w:t>
      </w:r>
    </w:p>
    <w:p w14:paraId="50AE82E5" w14:textId="0131A30B" w:rsidR="004C7FFD" w:rsidRDefault="004C7FFD" w:rsidP="00521E45">
      <w:pPr>
        <w:spacing w:after="0" w:line="480" w:lineRule="auto"/>
      </w:pPr>
      <w:r>
        <w:t>As well as clinical genetic testing for individuals with BrS/LQTS, sequencing of the major arrhythmia genes is also often performed for SADS cases, i.e. sudden death in usually non-elderly individuals with a structurally normal heart,</w:t>
      </w:r>
      <w:r w:rsidRPr="00386C10">
        <w:t xml:space="preserve"> </w:t>
      </w:r>
      <w:r>
        <w:t>including the coronary arteries. We assessed the enrichment of rare variants (FAF&lt;1x10</w:t>
      </w:r>
      <w:r w:rsidRPr="00FB5DCB">
        <w:rPr>
          <w:vertAlign w:val="superscript"/>
        </w:rPr>
        <w:t>-5</w:t>
      </w:r>
      <w:r>
        <w:t xml:space="preserve">) in </w:t>
      </w:r>
      <w:r w:rsidRPr="00AF2809">
        <w:rPr>
          <w:i/>
        </w:rPr>
        <w:t>KCNQ1</w:t>
      </w:r>
      <w:r>
        <w:t xml:space="preserve">, </w:t>
      </w:r>
      <w:r w:rsidRPr="00AF2809">
        <w:rPr>
          <w:i/>
        </w:rPr>
        <w:t>KCNH2</w:t>
      </w:r>
      <w:r>
        <w:t xml:space="preserve">, </w:t>
      </w:r>
      <w:r w:rsidRPr="00AF2809">
        <w:rPr>
          <w:i/>
        </w:rPr>
        <w:t>SCN5A</w:t>
      </w:r>
      <w:r>
        <w:t xml:space="preserve"> and </w:t>
      </w:r>
      <w:r w:rsidRPr="00AF2809">
        <w:rPr>
          <w:i/>
        </w:rPr>
        <w:t>RYR2</w:t>
      </w:r>
      <w:r>
        <w:t xml:space="preserve"> in a cohort of 505 SADS cases compared to gnomAD to calculate EFs in the context of SADS and identify interpretable variant classes</w:t>
      </w:r>
      <w:r>
        <w:fldChar w:fldCharType="begin" w:fldLock="1"/>
      </w:r>
      <w:r w:rsidR="007818E5">
        <w:instrText>ADDIN CSL_CITATION {"citationItems":[{"id":"ITEM-1","itemData":{"DOI":"10.1016/j.jacc.2017.02.046","ISSN":"1558-3597","PMID":"28449774","abstract":"BACKGROUND Sudden arrhythmic death syndrome (SADS) describes a sudden death with negative autopsy and toxicological analysis. Cardiac genetic disease is a likely etiology. OBJECTIVES This study investigated the clinical utility and combined yield of post-mortem genetic testing (molecular autopsy) in cases of SADS and comprehensive clinical evaluation of surviving relatives. METHODS We evaluated 302 expertly validated SADS cases with suitable DNA (median age: 24 years; 65% males) who underwent next-generation sequencing using an extended panel of 77 primary electrical disorder and cardiomyopathy genes. Pathogenic and likely pathogenic variants were classified using American College of Medical Genetics (ACMG) consensus guidelines. The yield of combined molecular autopsy and clinical evaluation in 82 surviving families was evaluated. A gene-level rare variant association analysis was conducted in SADS cases versus controls. RESULTS A clinically actionable pathogenic or likely pathogenic variant was identified in 40 of 302 cases (13%). The main etiologies established were catecholaminergic polymorphic ventricular tachycardia and long QT syndrome (17 [6%] and 11 [4%], respectively). Gene-based rare variants association analysis showed enrichment of rare predicted deleterious variants in RYR2 (p = 5 × 10-5). Combining molecular autopsy with clinical evaluation in surviving families increased diagnostic yield from 26% to 39%. CONCLUSIONS Molecular autopsy for electrical disorder and cardiomyopathy genes, using ACMG guidelines for variant classification, identified a modest but realistic yield in SADS. Our data highlighted the predominant role of catecholaminergic polymorphic ventricular tachycardia and long QT syndrome, especially the RYR2 gene, as well as the minimal yield from other genes. Furthermore, we showed the enhanced utility of combined clinical and genetic evaluation.","author":[{"dropping-particle":"","family":"Lahrouchi","given":"Najim","non-dropping-particle":"","parse-names":false,"suffix":""},{"dropping-particle":"","family":"Raju","given":"Hariharan","non-dropping-particle":"","parse-names":false,"suffix":""},{"dropping-particle":"","family":"Lodder","given":"Elisabeth M","non-dropping-particle":"","parse-names":false,"suffix":""},{"dropping-particle":"","family":"Papatheodorou","given":"Efstathios","non-dropping-particle":"","parse-names":false,"suffix":""},{"dropping-particle":"","family":"Ware","given":"James S","non-dropping-particle":"","parse-names":false,"suffix":""},{"dropping-particle":"","family":"Papadakis","given":"Michael","non-dropping-particle":"","parse-names":false,"suffix":""},{"dropping-particle":"","family":"Tadros","given":"Rafik","non-dropping-particle":"","parse-names":false,"suffix":""},{"dropping-particle":"","family":"Cole","given":"Della","non-dropping-particle":"","parse-names":false,"suffix":""},{"dropping-particle":"","family":"Skinner","given":"Jonathan R","non-dropping-particle":"","parse-names":false,"suffix":""},{"dropping-particle":"","family":"Crawford","given":"Jackie","non-dropping-particle":"","parse-names":false,"suffix":""},{"dropping-particle":"","family":"Love","given":"Donald R","non-dropping-particle":"","parse-names":false,"suffix":""},{"dropping-particle":"","family":"Pua","given":"Chee J","non-dropping-particle":"","parse-names":false,"suffix":""},{"dropping-particle":"","family":"Soh","given":"Bee Y","non-dropping-particle":"","parse-names":false,"suffix":""},{"dropping-particle":"","family":"Bhalshankar","given":"Jaydutt D","non-dropping-particle":"","parse-names":false,"suffix":""},{"dropping-particle":"","family":"Govind","given":"Risha","non-dropping-particle":"","parse-names":false,"suffix":""},{"dropping-particle":"","family":"Tfelt-Hansen","given":"Jacob","non-dropping-particle":"","parse-names":false,"suffix":""},{"dropping-particle":"","family":"Winkel","given":"Bo G","non-dropping-particle":"","parse-names":false,"suffix":""},{"dropping-particle":"","family":"Werf","given":"Christian","non-dropping-particle":"van der","parse-names":false,"suffix":""},{"dropping-particle":"","family":"Wijeyeratne","given":"Yanushi D","non-dropping-particle":"","parse-names":false,"suffix":""},{"dropping-particle":"","family":"Mellor","given":"Greg","non-dropping-particle":"","parse-names":false,"suffix":""},{"dropping-particle":"","family":"Till","given":"Jan","non-dropping-particle":"","parse-names":false,"suffix":""},{"dropping-particle":"","family":"Cohen","given":"Marta C","non-dropping-particle":"","parse-names":false,"suffix":""},{"dropping-particle":"","family":"Tome-Esteban","given":"Maria","non-dropping-particle":"","parse-names":false,"suffix":""},{"dropping-particle":"","family":"Sharma","given":"Sanjay","non-dropping-particle":"","parse-names":false,"suffix":""},{"dropping-particle":"","family":"Wilde","given":"Arthur A M","non-dropping-particle":"","parse-names":false,"suffix":""},{"dropping-particle":"","family":"Cook","given":"Stuart A","non-dropping-particle":"","parse-names":false,"suffix":""},{"dropping-particle":"","family":"Bezzina","given":"Connie R","non-dropping-particle":"","parse-names":false,"suffix":""},{"dropping-particle":"","family":"Sheppard","given":"Mary N","non-dropping-particle":"","parse-names":false,"suffix":""},{"dropping-particle":"","family":"Behr","given":"Elijah R","non-dropping-particle":"","parse-names":false,"suffix":""}],"container-title":"Journal of the American College of Cardiology","id":"ITEM-1","issue":"17","issued":{"date-parts":[["2017","5","2"]]},"page":"2134-2145","title":"Utility of Post-Mortem Genetic Testing in Cases of Sudden Arrhythmic Death Syndrome.","type":"article-journal","volume":"69"},"uris":["http://www.mendeley.com/documents/?uuid=43bc4c15-9700-4fb2-b19e-8d3f43d983f2"]}],"mendeley":{"formattedCitation":"&lt;sup&gt;19&lt;/sup&gt;","plainTextFormattedCitation":"19","previouslyFormattedCitation":"&lt;sup&gt;13&lt;/sup&gt;"},"properties":{"noteIndex":0},"schema":"https://github.com/citation-style-language/schema/raw/master/csl-citation.json"}</w:instrText>
      </w:r>
      <w:r>
        <w:fldChar w:fldCharType="separate"/>
      </w:r>
      <w:r w:rsidR="007818E5" w:rsidRPr="007818E5">
        <w:rPr>
          <w:noProof/>
          <w:vertAlign w:val="superscript"/>
        </w:rPr>
        <w:t>19</w:t>
      </w:r>
      <w:r>
        <w:fldChar w:fldCharType="end"/>
      </w:r>
      <w:r>
        <w:t xml:space="preserve">. The yield of rare non-truncating variants in the SADS cohort was low - </w:t>
      </w:r>
      <w:r w:rsidRPr="00AF2809">
        <w:rPr>
          <w:i/>
        </w:rPr>
        <w:t>KCNQ1</w:t>
      </w:r>
      <w:r>
        <w:t xml:space="preserve"> (1.4%), </w:t>
      </w:r>
      <w:r w:rsidRPr="00AF2809">
        <w:rPr>
          <w:i/>
        </w:rPr>
        <w:t>KCNH2</w:t>
      </w:r>
      <w:r>
        <w:t xml:space="preserve"> (1.8%), </w:t>
      </w:r>
      <w:r w:rsidRPr="00AF2809">
        <w:rPr>
          <w:i/>
        </w:rPr>
        <w:t>SCN5A</w:t>
      </w:r>
      <w:r>
        <w:t xml:space="preserve"> (1.8%) and </w:t>
      </w:r>
      <w:r w:rsidRPr="00AF2809">
        <w:rPr>
          <w:i/>
        </w:rPr>
        <w:t>RYR2</w:t>
      </w:r>
      <w:r>
        <w:t xml:space="preserve"> (5.0%), with EFs for most protein regions either too low for PM1 rule application (EF&lt;0.8) or based on very limited case variants. The exception are variants in the pathogenic hotspots of </w:t>
      </w:r>
      <w:r w:rsidRPr="00F935CE">
        <w:rPr>
          <w:i/>
        </w:rPr>
        <w:t>RYR2</w:t>
      </w:r>
      <w:r>
        <w:t xml:space="preserve"> identified in our previous study</w:t>
      </w:r>
      <w:r>
        <w:fldChar w:fldCharType="begin" w:fldLock="1"/>
      </w:r>
      <w:r w:rsidR="00F22092">
        <w:instrText>ADDIN CSL_CITATION {"citationItems":[{"id":"ITEM-1","itemData":{"DOI":"10.1186/s13073-019-0616-z","ISSN":"1756-994X","PMID":"30696458","abstract":"BACKGROUND International guidelines for variant interpretation in Mendelian disease set stringent criteria to report a variant as (likely) pathogenic, prioritising control of false-positive rate over test sensitivity and diagnostic yield. Genetic testing is also more likely informative in individuals with well-characterised variants from extensively studied European-ancestry populations. Inherited cardiomyopathies are relatively common Mendelian diseases that allow empirical calibration and assessment of this framework. METHODS We compared rare variants in large hypertrophic cardiomyopathy (HCM) cohorts (up to 6179 cases) to reference populations to identify variant classes with high prior likelihoods of pathogenicity, as defined by etiological fraction (EF). We analysed the distribution of variants using a bespoke unsupervised clustering algorithm to identify gene regions in which variants are significantly clustered in cases. RESULTS Analysis of variant distribution identified regions in which variants are significantly enriched in cases and variant location was a better discriminator of pathogenicity than generic computational functional prediction algorithms. Non-truncating variant classes with an EF ≥ 0.95 were identified in five established HCM genes. Applying this approach leads to an estimated 14-20% increase in cases with actionable HCM variants, i.e. variants classified as pathogenic/likely pathogenic that might be used for predictive testing in probands' relatives. CONCLUSIONS When found in a patient confirmed to have disease, novel variants in some genes and regions are empirically shown to have a sufficiently high probability of pathogenicity to support a \"likely pathogenic\" classification, even without additional segregation or functional data. This could increase the yield of high confidence actionable variants, consistent with the framework and recommendations of current guidelines. The techniques outlined offer a consistent and unbiased approach to variant interpretation for Mendelian disease genetic testing. We propose adaptations to ACMG/AMP guidelines to incorporate such evidence in a quantitative and transparent manner.","author":[{"dropping-particle":"","family":"Walsh","given":"Roddy","non-dropping-particle":"","parse-names":false,"suffix":""},{"dropping-particle":"","family":"Mazzarotto","given":"Francesco","non-dropping-particle":"","parse-names":false,"suffix":""},{"dropping-particle":"","family":"Whiffin","given":"Nicola","non-dropping-particle":"","parse-names":false,"suffix":""},{"dropping-particle":"","family":"Buchan","given":"Rachel","non-dropping-particle":"","parse-names":false,"suffix":""},{"dropping-particle":"","family":"Midwinter","given":"William","non-dropping-particle":"","parse-names":false,"suffix":""},{"dropping-particle":"","family":"Wilk","given":"Alicja","non-dropping-particle":"","parse-names":false,"suffix":""},{"dropping-particle":"","family":"Li","given":"Nicholas","non-dropping-particle":"","parse-names":false,"suffix":""},{"dropping-particle":"","family":"Felkin","given":"Leanne","non-dropping-particle":"","parse-names":false,"suffix":""},{"dropping-particle":"","family":"Ingold","given":"Nathan","non-dropping-particle":"","parse-names":false,"suffix":""},{"dropping-particle":"","family":"Govind","given":"Risha","non-dropping-particle":"","parse-names":false,"suffix":""},{"dropping-particle":"","family":"Ahmad","given":"Mian","non-dropping-particle":"","parse-names":false,"suffix":""},{"dropping-particle":"","family":"Mazaika","given":"Erica","non-dropping-particle":"","parse-names":false,"suffix":""},{"dropping-particle":"","family":"Allouba","given":"Mona","non-dropping-particle":"","parse-names":false,"suffix":""},{"dropping-particle":"","family":"Zhang","given":"Xiaolei","non-dropping-particle":"","parse-names":false,"suffix":""},{"dropping-particle":"","family":"Marvao","given":"Antonio","non-dropping-particle":"de","parse-names":false,"suffix":""},{"dropping-particle":"","family":"Day","given":"Sharlene M","non-dropping-particle":"","parse-names":false,"suffix":""},{"dropping-particle":"","family":"Ashley","given":"Euan","non-dropping-particle":"","parse-names":false,"suffix":""},{"dropping-particle":"","family":"Colan","given":"Steven D","non-dropping-particle":"","parse-names":false,"suffix":""},{"dropping-particle":"","family":"Michels","given":"Michelle","non-dropping-particle":"","parse-names":false,"suffix":""},{"dropping-particle":"","family":"Pereira","given":"Alexandre C","non-dropping-particle":"","parse-names":false,"suffix":""},{"dropping-particle":"","family":"Jacoby","given":"Daniel","non-dropping-particle":"","parse-names":false,"suffix":""},{"dropping-particle":"","family":"Ho","given":"Carolyn Y","non-dropping-particle":"","parse-names":false,"suffix":""},{"dropping-particle":"","family":"Thomson","given":"Kate L","non-dropping-particle":"","parse-names":false,"suffix":""},{"dropping-particle":"","family":"Watkins","given":"Hugh","non-dropping-particle":"","parse-names":false,"suffix":""},{"dropping-particle":"","family":"Barton","given":"Paul J R","non-dropping-particle":"","parse-names":false,"suffix":""},{"dropping-particle":"","family":"Olivotto","given":"Iacopo","non-dropping-particle":"","parse-names":false,"suffix":""},{"dropping-particle":"","family":"Cook","given":"Stuart A","non-dropping-particle":"","parse-names":false,"suffix":""},{"dropping-particle":"","family":"Ware","given":"James S","non-dropping-particle":"","parse-names":false,"suffix":""}],"container-title":"Genome medicine","id":"ITEM-1","issue":"1","issued":{"date-parts":[["2019","1","29"]]},"page":"5","title":"Quantitative approaches to variant classification increase the yield and precision of genetic testing in Mendelian diseases: the case of hypertrophic cardiomyopathy.","type":"article-journal","volume":"11"},"uris":["http://www.mendeley.com/documents/?uuid=ca8fd3d6-c118-4015-b400-b49fd899a460"]}],"mendeley":{"formattedCitation":"&lt;sup&gt;4&lt;/sup&gt;","plainTextFormattedCitation":"4","previouslyFormattedCitation":"&lt;sup&gt;4&lt;/sup&gt;"},"properties":{"noteIndex":0},"schema":"https://github.com/citation-style-language/schema/raw/master/csl-citation.json"}</w:instrText>
      </w:r>
      <w:r>
        <w:fldChar w:fldCharType="separate"/>
      </w:r>
      <w:r w:rsidR="00F22092" w:rsidRPr="00F22092">
        <w:rPr>
          <w:noProof/>
          <w:vertAlign w:val="superscript"/>
        </w:rPr>
        <w:t>4</w:t>
      </w:r>
      <w:r>
        <w:fldChar w:fldCharType="end"/>
      </w:r>
      <w:r>
        <w:t>, although the EF (0.88) yields only PM</w:t>
      </w:r>
      <w:r w:rsidR="007E640E">
        <w:t>1_supporting evidence (Table S1</w:t>
      </w:r>
      <w:r w:rsidR="00266E45">
        <w:t>4</w:t>
      </w:r>
      <w:r>
        <w:t>).</w:t>
      </w:r>
    </w:p>
    <w:p w14:paraId="4A13D0EC" w14:textId="77777777" w:rsidR="00D910DF" w:rsidRDefault="00D910DF" w:rsidP="00521E45"/>
    <w:p w14:paraId="7542BF54" w14:textId="77777777" w:rsidR="00D910DF" w:rsidRDefault="00D910DF" w:rsidP="00521E45"/>
    <w:p w14:paraId="1D81BA9A" w14:textId="643C81FE" w:rsidR="00753543" w:rsidRDefault="00753543" w:rsidP="00521E45"/>
    <w:p w14:paraId="625EC453" w14:textId="77777777" w:rsidR="00362667" w:rsidRDefault="00362667" w:rsidP="00521E45"/>
    <w:p w14:paraId="689E9A03" w14:textId="77777777" w:rsidR="00362667" w:rsidRDefault="00362667" w:rsidP="00521E45"/>
    <w:p w14:paraId="27875A94" w14:textId="77777777" w:rsidR="00362667" w:rsidRDefault="00362667" w:rsidP="00521E45"/>
    <w:p w14:paraId="0EAAB26A" w14:textId="77777777" w:rsidR="00362667" w:rsidRDefault="00362667" w:rsidP="00521E45"/>
    <w:p w14:paraId="458B4D65" w14:textId="77777777" w:rsidR="00362667" w:rsidRDefault="00362667" w:rsidP="00521E45"/>
    <w:p w14:paraId="0C250113" w14:textId="77777777" w:rsidR="00362667" w:rsidRDefault="00362667" w:rsidP="00521E45"/>
    <w:p w14:paraId="4D1BDEE0" w14:textId="77777777" w:rsidR="00F45553" w:rsidRPr="00B775CA" w:rsidRDefault="00F45553" w:rsidP="00521E45">
      <w:pPr>
        <w:spacing w:after="0" w:line="480" w:lineRule="auto"/>
        <w:rPr>
          <w:b/>
          <w:caps/>
        </w:rPr>
      </w:pPr>
      <w:r w:rsidRPr="00B775CA">
        <w:rPr>
          <w:b/>
          <w:caps/>
        </w:rPr>
        <w:t>Discussion</w:t>
      </w:r>
    </w:p>
    <w:p w14:paraId="1FFCCCBF" w14:textId="0905A1F2" w:rsidR="0064382B" w:rsidRDefault="003C4A57" w:rsidP="00521E45">
      <w:pPr>
        <w:spacing w:after="0" w:line="480" w:lineRule="auto"/>
      </w:pPr>
      <w:r>
        <w:t>In this study</w:t>
      </w:r>
      <w:r w:rsidR="00165B82">
        <w:t xml:space="preserve"> we have shown that large cohorts of genetically characterised arrhythmia patients can be used to develop disease</w:t>
      </w:r>
      <w:r w:rsidR="00FE2E7B">
        <w:t>-</w:t>
      </w:r>
      <w:r w:rsidR="00165B82">
        <w:t xml:space="preserve"> and gene-specific quantitative applications of the ACMG/AMP framework and increase the sensitivity of genetic testing in these conditions.</w:t>
      </w:r>
      <w:r w:rsidR="00041667">
        <w:t xml:space="preserve"> Through case-control </w:t>
      </w:r>
      <w:r w:rsidR="00041667">
        <w:lastRenderedPageBreak/>
        <w:t xml:space="preserve">analysis with gnomAD population data, we </w:t>
      </w:r>
      <w:r w:rsidR="001F3098">
        <w:t xml:space="preserve">defined appropriate arrhythmia-specific </w:t>
      </w:r>
      <w:r w:rsidR="00565BF8">
        <w:t xml:space="preserve">population frequency thresholds to define variant rarity and then developed rules </w:t>
      </w:r>
      <w:r w:rsidR="00F21A28">
        <w:t>for</w:t>
      </w:r>
      <w:r w:rsidR="00281EE4">
        <w:t xml:space="preserve"> variant enrichment evidence - </w:t>
      </w:r>
      <w:r w:rsidR="00565BF8">
        <w:t xml:space="preserve">the </w:t>
      </w:r>
      <w:r w:rsidR="00D0228A" w:rsidRPr="00565BF8">
        <w:t>association</w:t>
      </w:r>
      <w:r w:rsidR="00847CF1" w:rsidRPr="00565BF8">
        <w:t xml:space="preserve"> </w:t>
      </w:r>
      <w:r w:rsidR="00D0228A" w:rsidRPr="00565BF8">
        <w:t xml:space="preserve">of individual variants </w:t>
      </w:r>
      <w:r w:rsidR="00847CF1" w:rsidRPr="00565BF8">
        <w:t>with</w:t>
      </w:r>
      <w:r w:rsidR="00041667" w:rsidRPr="00565BF8">
        <w:t xml:space="preserve"> disease (PS4) and </w:t>
      </w:r>
      <w:r w:rsidR="00D0228A" w:rsidRPr="00565BF8">
        <w:t xml:space="preserve">enrichment of </w:t>
      </w:r>
      <w:r w:rsidR="003C637F" w:rsidRPr="00565BF8">
        <w:t xml:space="preserve">region-specific variants </w:t>
      </w:r>
      <w:r w:rsidR="00847CF1" w:rsidRPr="00565BF8">
        <w:t>in case cohorts</w:t>
      </w:r>
      <w:r w:rsidR="000E4374" w:rsidRPr="00565BF8">
        <w:t xml:space="preserve"> (PM1</w:t>
      </w:r>
      <w:r w:rsidR="00041667" w:rsidRPr="00565BF8">
        <w:t>).</w:t>
      </w:r>
      <w:r w:rsidR="00041667">
        <w:t xml:space="preserve"> The latter allows us to </w:t>
      </w:r>
      <w:r w:rsidR="00E8010E">
        <w:t xml:space="preserve">distinguish between </w:t>
      </w:r>
      <w:r w:rsidR="00F7366E">
        <w:t xml:space="preserve">highly pathogenic </w:t>
      </w:r>
      <w:r w:rsidR="00777CA4">
        <w:t>non-truncating variant classes (</w:t>
      </w:r>
      <w:r w:rsidR="00F7366E">
        <w:t>with</w:t>
      </w:r>
      <w:r w:rsidR="00777CA4">
        <w:t xml:space="preserve"> some approachin</w:t>
      </w:r>
      <w:r w:rsidR="00847CF1">
        <w:t>g truncating variant ORs</w:t>
      </w:r>
      <w:r w:rsidR="00777CA4">
        <w:t xml:space="preserve">) </w:t>
      </w:r>
      <w:r w:rsidR="00F7366E">
        <w:t>that</w:t>
      </w:r>
      <w:r w:rsidR="00777CA4">
        <w:t xml:space="preserve"> can be </w:t>
      </w:r>
      <w:r w:rsidR="008D010C">
        <w:t xml:space="preserve">confidently </w:t>
      </w:r>
      <w:r w:rsidR="00777CA4">
        <w:t xml:space="preserve">classified as </w:t>
      </w:r>
      <w:r w:rsidR="008D010C">
        <w:t>likely pathogenic</w:t>
      </w:r>
      <w:r w:rsidR="00777CA4">
        <w:t xml:space="preserve"> </w:t>
      </w:r>
      <w:r w:rsidR="00D0228A">
        <w:t>even when</w:t>
      </w:r>
      <w:r w:rsidR="00777CA4">
        <w:t xml:space="preserve"> further corroborating evidence</w:t>
      </w:r>
      <w:r w:rsidR="00D0228A">
        <w:t xml:space="preserve"> is absent</w:t>
      </w:r>
      <w:r w:rsidR="00777CA4">
        <w:t xml:space="preserve"> and those with lower probabilities that require additional </w:t>
      </w:r>
      <w:r w:rsidR="00847CF1">
        <w:t>evidence</w:t>
      </w:r>
      <w:r w:rsidR="00777CA4">
        <w:t xml:space="preserve"> to inform pathogenicity.</w:t>
      </w:r>
      <w:r w:rsidR="0056572E">
        <w:t xml:space="preserve"> </w:t>
      </w:r>
      <w:r w:rsidR="00847CF1">
        <w:t>By incorporating this</w:t>
      </w:r>
      <w:r w:rsidR="00777CA4" w:rsidRPr="0056572E">
        <w:t xml:space="preserve"> evidence</w:t>
      </w:r>
      <w:r w:rsidR="0056572E" w:rsidRPr="0056572E">
        <w:t xml:space="preserve"> </w:t>
      </w:r>
      <w:r w:rsidR="00847CF1">
        <w:t>into</w:t>
      </w:r>
      <w:r w:rsidR="0056572E" w:rsidRPr="0056572E">
        <w:t xml:space="preserve"> ACMG/AMP </w:t>
      </w:r>
      <w:r w:rsidR="00847CF1">
        <w:t>guidelines,</w:t>
      </w:r>
      <w:r w:rsidR="00F7366E">
        <w:t xml:space="preserve"> the prevalence of VUS in the three arrhythmia genes are reduced close to the background rare variant frequency (Figure </w:t>
      </w:r>
      <w:r w:rsidR="00FB56B0">
        <w:t>3</w:t>
      </w:r>
      <w:r w:rsidR="00F7366E">
        <w:t>).</w:t>
      </w:r>
      <w:r w:rsidR="0056572E" w:rsidRPr="0056572E">
        <w:t xml:space="preserve"> </w:t>
      </w:r>
    </w:p>
    <w:p w14:paraId="644ABD48" w14:textId="77777777" w:rsidR="003C4A57" w:rsidRDefault="003C4A57" w:rsidP="00521E45">
      <w:pPr>
        <w:spacing w:after="0" w:line="480" w:lineRule="auto"/>
      </w:pPr>
    </w:p>
    <w:p w14:paraId="1D8AFAE7" w14:textId="146591D6" w:rsidR="00253F9D" w:rsidRDefault="0063448E" w:rsidP="00521E45">
      <w:pPr>
        <w:spacing w:after="0" w:line="480" w:lineRule="auto"/>
      </w:pPr>
      <w:r>
        <w:t>As the domain-based PM1 rule adaptations depend on</w:t>
      </w:r>
      <w:r w:rsidR="00253F9D">
        <w:t xml:space="preserve"> the case-</w:t>
      </w:r>
      <w:r>
        <w:t xml:space="preserve">control signal-to-noise ratio, these </w:t>
      </w:r>
      <w:r w:rsidR="00253F9D">
        <w:t xml:space="preserve">should be applied </w:t>
      </w:r>
      <w:r w:rsidR="00603293">
        <w:t>taking into account</w:t>
      </w:r>
      <w:r w:rsidR="00253F9D">
        <w:t xml:space="preserve"> factors that </w:t>
      </w:r>
      <w:r w:rsidR="00603293">
        <w:t>affect this ratio</w:t>
      </w:r>
      <w:r w:rsidR="007E5E94">
        <w:t xml:space="preserve"> (see Tables 1 and 2 for how to apply this evidence)</w:t>
      </w:r>
      <w:r w:rsidR="00253F9D">
        <w:t>.</w:t>
      </w:r>
      <w:r w:rsidR="00603293">
        <w:t xml:space="preserve"> These include patient ethnicity due to differences in rare variant population frequencies and disease genetic architecture, such as observed here between European and Japanese BrS cases. Diagnostic criteria such as </w:t>
      </w:r>
      <w:r w:rsidR="000B23F2">
        <w:t>spontaneous</w:t>
      </w:r>
      <w:r w:rsidR="000B23F2" w:rsidRPr="0032769F">
        <w:t xml:space="preserve"> </w:t>
      </w:r>
      <w:r w:rsidR="007C7A75">
        <w:t>or induced t</w:t>
      </w:r>
      <w:r w:rsidR="00603293">
        <w:t xml:space="preserve">ype 1 ECG pattern </w:t>
      </w:r>
      <w:r w:rsidR="009252A3">
        <w:t xml:space="preserve">in BrS patients </w:t>
      </w:r>
      <w:r w:rsidR="00603293">
        <w:t xml:space="preserve">may also influence diagnostic yield and hence </w:t>
      </w:r>
      <w:r w:rsidR="00FC603B">
        <w:t xml:space="preserve">the interpretability of detected variants. </w:t>
      </w:r>
      <w:r w:rsidR="00154C4B">
        <w:t>It is also critical to account for phenotype u</w:t>
      </w:r>
      <w:r w:rsidR="00FC603B">
        <w:t xml:space="preserve">ncertainty </w:t>
      </w:r>
      <w:r w:rsidR="00154C4B">
        <w:t>in</w:t>
      </w:r>
      <w:r w:rsidR="00FC603B">
        <w:t xml:space="preserve"> the individual being tested</w:t>
      </w:r>
      <w:r w:rsidR="00154C4B">
        <w:t xml:space="preserve">. Here, we provide guidelines for LQTS in the context of either a definitive diagnosis of disease or referral for genetic testing based on suspicion of disease, and demonstrate that </w:t>
      </w:r>
      <w:r w:rsidR="009252A3">
        <w:t xml:space="preserve">this approach has limited utility for SADS genetic testing, given the extremely heterogeneous aetiology underlying these cases. </w:t>
      </w:r>
    </w:p>
    <w:p w14:paraId="224C5803" w14:textId="77777777" w:rsidR="003C4A57" w:rsidRDefault="003C4A57" w:rsidP="00521E45">
      <w:pPr>
        <w:spacing w:after="0" w:line="480" w:lineRule="auto"/>
      </w:pPr>
    </w:p>
    <w:p w14:paraId="6DE1ED58" w14:textId="1FE1762F" w:rsidR="00E70E1E" w:rsidRDefault="00E70E1E" w:rsidP="00521E45">
      <w:pPr>
        <w:spacing w:after="0" w:line="480" w:lineRule="auto"/>
      </w:pPr>
      <w:r>
        <w:t>We applied this method to rare variants defined with stringent population frequency thresholds, based on the published framework</w:t>
      </w:r>
      <w:r>
        <w:fldChar w:fldCharType="begin" w:fldLock="1"/>
      </w:r>
      <w:r w:rsidR="007818E5">
        <w:instrText>ADDIN CSL_CITATION {"citationItems":[{"id":"ITEM-1","itemData":{"DOI":"10.1038/gim.2017.26","ISSN":"1530-0366","PMID":"28518168","abstract":"PurposeWhole-exome and whole-genome sequencing have transformed the discovery of genetic variants that cause human Mendelian disease, but discriminating pathogenic from benign variants remains a daunting challenge. Rarity is recognized as a necessary, although not sufficient, criterion for pathogenicity, but frequency cutoffs used in Mendelian analysis are often arbitrary and overly lenient. Recent very large reference datasets, such as the Exome Aggregation Consortium (ExAC), provide an unprecedented opportunity to obtain robust frequency estimates even for very rare variants.MethodsWe present a statistical framework for the frequency-based filtering of candidate disease-causing variants, accounting for disease prevalence, genetic and allelic heterogeneity, inheritance mode, penetrance, and sampling variance in reference datasets.ResultsUsing the example of cardiomyopathy, we show that our approach reduces by two-thirds the number of candidate variants under consideration in the average exome, without removing true pathogenic variants (false-positive rate&lt;0.001).ConclusionWe outline a statistically robust framework for assessing whether a variant is \"too common\" to be causative for a Mendelian disorder of interest. We present precomputed allele frequency cutoffs for all variants in the ExAC dataset.","author":[{"dropping-particle":"","family":"Whiffin","given":"Nicola","non-dropping-particle":"","parse-names":false,"suffix":""},{"dropping-particle":"","family":"Minikel","given":"Eric","non-dropping-particle":"","parse-names":false,"suffix":""},{"dropping-particle":"","family":"Walsh","given":"Roddy","non-dropping-particle":"","parse-names":false,"suffix":""},{"dropping-particle":"","family":"O'Donnell-Luria","given":"Anne H","non-dropping-particle":"","parse-names":false,"suffix":""},{"dropping-particle":"","family":"Karczewski","given":"Konrad","non-dropping-particle":"","parse-names":false,"suffix":""},{"dropping-particle":"","family":"Ing","given":"Alexander Y","non-dropping-particle":"","parse-names":false,"suffix":""},{"dropping-particle":"","family":"Barton","given":"Paul J R","non-dropping-particle":"","parse-names":false,"suffix":""},{"dropping-particle":"","family":"Funke","given":"Birgit","non-dropping-particle":"","parse-names":false,"suffix":""},{"dropping-particle":"","family":"Cook","given":"Stuart A","non-dropping-particle":"","parse-names":false,"suffix":""},{"dropping-particle":"","family":"MacArthur","given":"Daniel","non-dropping-particle":"","parse-names":false,"suffix":""},{"dropping-particle":"","family":"Ware","given":"James S","non-dropping-particle":"","parse-names":false,"suffix":""}],"container-title":"Genetics in medicine : official journal of the American College of Medical Genetics","id":"ITEM-1","issue":"10","issued":{"date-parts":[["2017","10","18"]]},"page":"1151-1158","title":"Using high-resolution variant frequencies to empower clinical genome interpretation.","type":"article-journal","volume":"19"},"uris":["http://www.mendeley.com/documents/?uuid=1159b56e-b758-439e-b40d-ae1a2cf6605e"]}],"mendeley":{"formattedCitation":"&lt;sup&gt;12&lt;/sup&gt;","plainTextFormattedCitation":"12","previouslyFormattedCitation":"&lt;sup&gt;14&lt;/sup&gt;"},"properties":{"noteIndex":0},"schema":"https://github.com/citation-style-language/schema/raw/master/csl-citation.json"}</w:instrText>
      </w:r>
      <w:r>
        <w:fldChar w:fldCharType="separate"/>
      </w:r>
      <w:r w:rsidR="007818E5" w:rsidRPr="007818E5">
        <w:rPr>
          <w:noProof/>
          <w:vertAlign w:val="superscript"/>
        </w:rPr>
        <w:t>12</w:t>
      </w:r>
      <w:r>
        <w:fldChar w:fldCharType="end"/>
      </w:r>
      <w:r>
        <w:t xml:space="preserve"> and estimating penetrance of at least 50%. Such ultra-rare variants have the strongest case-control signals (Figure 2</w:t>
      </w:r>
      <w:r w:rsidR="00FB56B0">
        <w:t>A</w:t>
      </w:r>
      <w:r>
        <w:t xml:space="preserve">), allowing us to identify interpretable variants with high confidence and minimise the risk of false positive classifications. We also observed a modest case excess of variants with population frequencies corresponding to lower estimated </w:t>
      </w:r>
      <w:r>
        <w:lastRenderedPageBreak/>
        <w:t>penetrance (10%-50%). Some of these variants, if detected in patients, may well contribute to the disease phenotype as genetic risk factors with modest effect sizes. However, given the much reduced signal</w:t>
      </w:r>
      <w:r w:rsidR="00FE2E7B">
        <w:t>-</w:t>
      </w:r>
      <w:r>
        <w:t>to</w:t>
      </w:r>
      <w:r w:rsidR="00FE2E7B">
        <w:t>-</w:t>
      </w:r>
      <w:r>
        <w:t xml:space="preserve">noise ratio, and the likelihood that many will be benign variants, a higher evidence threshold should be applied for establishing any pathogenic role. For this reason, we have not applied the PM1 or PM2 rules to such variants – more direct evidence such as enrichment of the specific variant in cases and validation with established functional assays is required. </w:t>
      </w:r>
    </w:p>
    <w:p w14:paraId="65D9314C" w14:textId="77777777" w:rsidR="003C4A57" w:rsidRDefault="003C4A57" w:rsidP="00521E45">
      <w:pPr>
        <w:spacing w:after="0" w:line="480" w:lineRule="auto"/>
      </w:pPr>
    </w:p>
    <w:p w14:paraId="1ADBF80E" w14:textId="1B2F55BE" w:rsidR="00A842A2" w:rsidRDefault="00A842A2" w:rsidP="00521E45">
      <w:pPr>
        <w:spacing w:after="0" w:line="480" w:lineRule="auto"/>
      </w:pPr>
      <w:r>
        <w:t>Demonstrating significant enrichment of specific variants in disease cases is also potentially powerful evidence for pathogenicity when pedigree or functional data is not available. However, defining the significance of an observed enrichment and applying the appropriate evidence strength can be challenging. While most disease-specific</w:t>
      </w:r>
      <w:r w:rsidRPr="00A842A2">
        <w:t xml:space="preserve"> </w:t>
      </w:r>
      <w:r>
        <w:t>ACMG/AMP framework implementations have proposed specific numbers of previously described cases for each evidence level (in the absence of large sequenced case cohorts), these can be arbitrary and do not demonstrate statistical enrichment (Table S1). The approach we describe here utilises large multi-centre arrhythmia cohorts to identify significantly enriched variants compared to population-matched gnomAD controls, adjusts for the disparity in cohort size between cases and controls and applies conservative thresholds for the different evidence levels to minimise any false positive classifications. These methods can also easily incorporate any newly sequenced cohorts to identify additional enriched variants in the main arrhythmia genes.</w:t>
      </w:r>
      <w:r w:rsidR="001C0821">
        <w:t xml:space="preserve"> The specific PS4 variant evidence (detailed in Tables S9/S10) can be applied to all BrS/LQTS patients regardless of ethnicity or clinical context.</w:t>
      </w:r>
    </w:p>
    <w:p w14:paraId="58451204" w14:textId="77777777" w:rsidR="003C4A57" w:rsidRDefault="003C4A57" w:rsidP="00521E45">
      <w:pPr>
        <w:spacing w:after="0" w:line="480" w:lineRule="auto"/>
      </w:pPr>
    </w:p>
    <w:p w14:paraId="6F3BAEF2" w14:textId="77777777" w:rsidR="00B775CA" w:rsidRDefault="00B775CA" w:rsidP="00521E45">
      <w:pPr>
        <w:spacing w:after="0" w:line="480" w:lineRule="auto"/>
      </w:pPr>
    </w:p>
    <w:p w14:paraId="21CEB99E" w14:textId="12F7AA57" w:rsidR="00A81E47" w:rsidRPr="00B775CA" w:rsidRDefault="00F97C08" w:rsidP="00521E45">
      <w:pPr>
        <w:spacing w:after="0" w:line="480" w:lineRule="auto"/>
        <w:rPr>
          <w:i/>
        </w:rPr>
      </w:pPr>
      <w:r w:rsidRPr="00B775CA">
        <w:rPr>
          <w:i/>
        </w:rPr>
        <w:t>Limitations</w:t>
      </w:r>
    </w:p>
    <w:p w14:paraId="10BD108A" w14:textId="7D1EC385" w:rsidR="00F97C08" w:rsidRDefault="00DA6D21" w:rsidP="00521E45">
      <w:pPr>
        <w:spacing w:after="0" w:line="480" w:lineRule="auto"/>
      </w:pPr>
      <w:r>
        <w:t xml:space="preserve">The same primary arrhythmia cohorts were used to calculate regional EFs and then test the effect of PM1 evidence on variant classification. However, when accounting for population and disease diagnosis, we are confident that the observed variant frequencies </w:t>
      </w:r>
      <w:r w:rsidR="00E215CF">
        <w:t>will</w:t>
      </w:r>
      <w:r>
        <w:t xml:space="preserve"> be consistent with </w:t>
      </w:r>
      <w:r w:rsidR="00E215CF">
        <w:t xml:space="preserve">other </w:t>
      </w:r>
      <w:r>
        <w:lastRenderedPageBreak/>
        <w:t xml:space="preserve">equivalent cohorts. </w:t>
      </w:r>
      <w:r w:rsidR="008E1F98">
        <w:t xml:space="preserve">We provide variant interpretation guidelines based on analysis of European and Japanese arrhythmia patients, therefore these should be used with caution for other ethnicities if there is an expectation of different case/control rare variant frequencies in other population groups. Large-scale sequencing of disease and population datasets for other populations groups remains a critical need, </w:t>
      </w:r>
      <w:r w:rsidR="000D3322">
        <w:t>especially as quantitative classification methods like these are likely to be particularly beneficial for non-European populations, given the increased difficulty of identifying pathogenic variants for such patients using standard guidelines</w:t>
      </w:r>
      <w:r w:rsidR="000D3322">
        <w:fldChar w:fldCharType="begin" w:fldLock="1"/>
      </w:r>
      <w:r w:rsidR="00E22F7B">
        <w:instrText>ADDIN CSL_CITATION {"citationItems":[{"id":"ITEM-1","itemData":{"DOI":"10.1001/jamacardio.2017.5333","ISSN":"2380-6591","PMID":"29490334","abstract":"Importance Individuals of all races/ethnicities have a fundamental right to access health care and benefit from advances in science and medicine, including genetic testing. Objective To determine whether detection rates for cardiomyopathy genetic testing differed between white people, Asian people, and underrepresented minorities (individuals of black, Hispanic, Native American, Alaskan Native, or Pacific Islander descent). Design, Setting, and Participants We conducted a cross-sectional analysis of the genetic panel test results of 5729 probands who had a suspected diagnosis or family history of cardiomyopathy and who had been referred for testing between October 2003 and December 2017. Testing was performed at the Laboratory for Molecular Medicine at Partners Personalized Medicine in Cambridge, Massachusetts. Results were stratified into 3 categories of self-reported race/ethnicity: white, Asian, and underrepresented minorities. Main Outcomes and Measures The primary outcome was whether a pathogenic or likely pathogenic variant was identified that explained the features or family history of cardiomyopathy. A secondary outcome was the number of test results that were inconclusive because of the presence of 1 or more variants of uncertain significance in the absence of an explanation for cardiomyopathy features or family history. Results A total of 5729 probands were studied (of whom 3523 [61.5%] were male). Of these, 4539 (79.2%) were white, 348 (6.1%) were Asian individuals, and 842 (14.7%) were underrepresented minorities. Positive detection occurred in 1314 white individuals (29.0%) compared with 155 underrepresented minorities (18.4%; χ21 = 39.8; P &lt; .001) and 87 Asian individuals (25.0%; χ21 = 2.5; P = .12). Inconclusive results were found in 1115 white individuals (24.6%) compared with 335 underrepresented minorities (39.8%; χ21 = 83.6; P &lt; .001) and 136 Asian individuals (39.2%; χ21 = 35.8; P &lt; .001). Conclusions and Relevance These results show a significantly higher positive detection rate and a significantly lower rate of inconclusive results in white individuals in comparison with underrepresented minorities. This suggests greater clinical usefulness of genetic testing for cardiomyopathy in white persons in comparison with people of other racial/ethnic groups. This clear disparity warrants further study to understand the gaps in usefulness, which may derive from a lack of clinical testing and research in underrepresented minority populations…","author":[{"dropping-particle":"","family":"Landry","given":"Latrice G","non-dropping-particle":"","parse-names":false,"suffix":""},{"dropping-particle":"","family":"Rehm","given":"Heidi L","non-dropping-particle":"","parse-names":false,"suffix":""}],"container-title":"JAMA cardiology","id":"ITEM-1","issue":"4","issued":{"date-parts":[["2018","4","1"]]},"page":"341-345","title":"Association of Racial/Ethnic Categories With the Ability of Genetic Tests to Detect a Cause of Cardiomyopathy.","type":"article-journal","volume":"3"},"uris":["http://www.mendeley.com/documents/?uuid=15c4d305-a829-44c6-9dd9-71e1dbeb41c5"]}],"mendeley":{"formattedCitation":"&lt;sup&gt;20&lt;/sup&gt;","plainTextFormattedCitation":"20","previouslyFormattedCitation":"&lt;sup&gt;20&lt;/sup&gt;"},"properties":{"noteIndex":0},"schema":"https://github.com/citation-style-language/schema/raw/master/csl-citation.json"}</w:instrText>
      </w:r>
      <w:r w:rsidR="000D3322">
        <w:fldChar w:fldCharType="separate"/>
      </w:r>
      <w:r w:rsidR="00E22F7B" w:rsidRPr="00E22F7B">
        <w:rPr>
          <w:noProof/>
          <w:vertAlign w:val="superscript"/>
        </w:rPr>
        <w:t>20</w:t>
      </w:r>
      <w:r w:rsidR="000D3322">
        <w:fldChar w:fldCharType="end"/>
      </w:r>
      <w:r w:rsidR="000D3322">
        <w:t xml:space="preserve">. </w:t>
      </w:r>
      <w:r>
        <w:t xml:space="preserve">For LQTS we were unable to fully </w:t>
      </w:r>
      <w:r w:rsidR="00E215CF">
        <w:t>assess</w:t>
      </w:r>
      <w:r>
        <w:t xml:space="preserve"> the </w:t>
      </w:r>
      <w:r w:rsidR="00E215CF">
        <w:t xml:space="preserve">additive </w:t>
      </w:r>
      <w:r>
        <w:t xml:space="preserve">effect of these methods on </w:t>
      </w:r>
      <w:r w:rsidR="00E215CF">
        <w:t>ACMG/AMP</w:t>
      </w:r>
      <w:r>
        <w:t xml:space="preserve"> </w:t>
      </w:r>
      <w:r w:rsidR="00E215CF">
        <w:t xml:space="preserve">variant </w:t>
      </w:r>
      <w:r>
        <w:t>classification</w:t>
      </w:r>
      <w:r w:rsidR="00E215CF">
        <w:t xml:space="preserve">, as this is dependent on segregation and functional evidence for which comprehensive curated datasets are not available. </w:t>
      </w:r>
    </w:p>
    <w:p w14:paraId="236CFF0C" w14:textId="77777777" w:rsidR="009252A3" w:rsidRDefault="009252A3" w:rsidP="00521E45">
      <w:pPr>
        <w:spacing w:after="0" w:line="480" w:lineRule="auto"/>
      </w:pPr>
    </w:p>
    <w:p w14:paraId="12B3A576" w14:textId="77777777" w:rsidR="001A44E9" w:rsidRPr="00B775CA" w:rsidRDefault="00CA73C7" w:rsidP="00521E45">
      <w:pPr>
        <w:spacing w:after="0" w:line="480" w:lineRule="auto"/>
        <w:rPr>
          <w:i/>
        </w:rPr>
      </w:pPr>
      <w:r w:rsidRPr="00B775CA">
        <w:rPr>
          <w:i/>
        </w:rPr>
        <w:t>Conclusion</w:t>
      </w:r>
    </w:p>
    <w:p w14:paraId="10DF6926" w14:textId="17391486" w:rsidR="001A44E9" w:rsidRPr="00E201C8" w:rsidRDefault="00155E82" w:rsidP="00521E45">
      <w:pPr>
        <w:spacing w:after="0" w:line="480" w:lineRule="auto"/>
      </w:pPr>
      <w:r>
        <w:t xml:space="preserve">Through analysis of large sequenced case and control cohorts, we have developed quantitative and gene/disease-specific applications of </w:t>
      </w:r>
      <w:r w:rsidR="00513FD1">
        <w:t xml:space="preserve">ACMG/AMP </w:t>
      </w:r>
      <w:r>
        <w:t>variant interpretation guideli</w:t>
      </w:r>
      <w:r w:rsidR="00513FD1">
        <w:t>nes for major arrhythmia genes, that improve the balance between sensitivity and accuracy of clinical genetic testing</w:t>
      </w:r>
      <w:r w:rsidR="00513FD1" w:rsidRPr="00513FD1">
        <w:t xml:space="preserve"> </w:t>
      </w:r>
      <w:r w:rsidR="00513FD1">
        <w:t xml:space="preserve">and reduce the false negative rate associated with these genetically heterogeneous diseases. </w:t>
      </w:r>
      <w:r w:rsidR="00623DA2">
        <w:t xml:space="preserve">The findings also highlight that population </w:t>
      </w:r>
      <w:r w:rsidR="00513FD1">
        <w:t xml:space="preserve">and phenotype context </w:t>
      </w:r>
      <w:r w:rsidR="00623DA2">
        <w:t>are critical for effective</w:t>
      </w:r>
      <w:r w:rsidR="00513FD1">
        <w:t>ly interpreti</w:t>
      </w:r>
      <w:r w:rsidR="00623DA2">
        <w:t>n</w:t>
      </w:r>
      <w:r w:rsidR="00513FD1">
        <w:t xml:space="preserve">g </w:t>
      </w:r>
      <w:r w:rsidR="00623DA2">
        <w:t>the clinical effect of rare variation.</w:t>
      </w:r>
      <w:r w:rsidR="00697566" w:rsidRPr="00697566">
        <w:t xml:space="preserve"> </w:t>
      </w:r>
      <w:r w:rsidR="0019153A">
        <w:t>This study will have significant clinical impact in improving the diagnosis, treatment and family screening of BrS/LQTS patients who currently receive uncertain genetic test results.</w:t>
      </w:r>
    </w:p>
    <w:p w14:paraId="65D1A301" w14:textId="77777777" w:rsidR="001A44E9" w:rsidRDefault="001A44E9" w:rsidP="00521E45">
      <w:pPr>
        <w:spacing w:after="0" w:line="480" w:lineRule="auto"/>
      </w:pPr>
    </w:p>
    <w:p w14:paraId="63DD85EB" w14:textId="77777777" w:rsidR="003C4A57" w:rsidRDefault="003C4A57" w:rsidP="00521E45">
      <w:pPr>
        <w:spacing w:after="0" w:line="480" w:lineRule="auto"/>
      </w:pPr>
    </w:p>
    <w:p w14:paraId="4467650F" w14:textId="77777777" w:rsidR="003C4A57" w:rsidRDefault="003C4A57" w:rsidP="00521E45">
      <w:pPr>
        <w:spacing w:after="0" w:line="480" w:lineRule="auto"/>
      </w:pPr>
    </w:p>
    <w:p w14:paraId="77B23DC9" w14:textId="18202780" w:rsidR="002C4804" w:rsidRPr="00907344" w:rsidRDefault="00D75B9A" w:rsidP="00521E45">
      <w:pPr>
        <w:spacing w:after="0" w:line="480" w:lineRule="auto"/>
        <w:rPr>
          <w:b/>
        </w:rPr>
      </w:pPr>
      <w:r>
        <w:rPr>
          <w:b/>
        </w:rPr>
        <w:t>ACKNOWLEDGEMENTS</w:t>
      </w:r>
    </w:p>
    <w:p w14:paraId="004D99BC" w14:textId="09C1E775" w:rsidR="00A74582" w:rsidRDefault="002C4804" w:rsidP="00521E45">
      <w:pPr>
        <w:spacing w:after="0" w:line="480" w:lineRule="auto"/>
      </w:pPr>
      <w:r w:rsidRPr="00D36DA4">
        <w:t xml:space="preserve">RW is supported by an Amsterdam Cardiovascular Sciences fellowship. </w:t>
      </w:r>
      <w:r w:rsidR="00A74582" w:rsidRPr="00D36DA4">
        <w:t>CRB is supported by the Dutch Heart Foundation (CVON Predict</w:t>
      </w:r>
      <w:r w:rsidR="000E18A0">
        <w:t>-</w:t>
      </w:r>
      <w:r w:rsidR="00A74582" w:rsidRPr="00D36DA4">
        <w:t>2</w:t>
      </w:r>
      <w:r w:rsidR="000E18A0">
        <w:t>/</w:t>
      </w:r>
      <w:proofErr w:type="spellStart"/>
      <w:r w:rsidR="00A74582" w:rsidRPr="00D36DA4">
        <w:t>Concor</w:t>
      </w:r>
      <w:proofErr w:type="spellEnd"/>
      <w:r w:rsidR="00A74582" w:rsidRPr="00D36DA4">
        <w:t xml:space="preserve">-genes), Netherlands Organization for Scientific Research (VICI 016.150.610) and </w:t>
      </w:r>
      <w:proofErr w:type="spellStart"/>
      <w:r w:rsidR="00A74582" w:rsidRPr="00D36DA4">
        <w:t>Fondation</w:t>
      </w:r>
      <w:proofErr w:type="spellEnd"/>
      <w:r w:rsidR="00A74582" w:rsidRPr="00D36DA4">
        <w:t xml:space="preserve"> </w:t>
      </w:r>
      <w:proofErr w:type="spellStart"/>
      <w:r w:rsidR="00A74582" w:rsidRPr="00D36DA4">
        <w:t>Leducq</w:t>
      </w:r>
      <w:proofErr w:type="spellEnd"/>
      <w:r w:rsidR="00A74582" w:rsidRPr="00D36DA4">
        <w:t>.</w:t>
      </w:r>
      <w:r w:rsidR="00A74582">
        <w:t xml:space="preserve"> See Supplement for </w:t>
      </w:r>
      <w:r w:rsidR="000E18A0">
        <w:t xml:space="preserve">all </w:t>
      </w:r>
      <w:r w:rsidR="00A74582">
        <w:t xml:space="preserve">Acknowledgements. </w:t>
      </w:r>
    </w:p>
    <w:p w14:paraId="16882F85" w14:textId="0193B53F" w:rsidR="00AD19B4" w:rsidRPr="00AD19B4" w:rsidRDefault="00AD19B4" w:rsidP="00521E45">
      <w:pPr>
        <w:spacing w:after="0" w:line="480" w:lineRule="auto"/>
        <w:rPr>
          <w:b/>
        </w:rPr>
      </w:pPr>
      <w:r w:rsidRPr="00AD19B4">
        <w:rPr>
          <w:b/>
        </w:rPr>
        <w:lastRenderedPageBreak/>
        <w:t>CONSORTIUM</w:t>
      </w:r>
    </w:p>
    <w:p w14:paraId="061B06E1" w14:textId="1A9CE0A5" w:rsidR="00AD19B4" w:rsidRPr="00AD19B4" w:rsidRDefault="00AD19B4" w:rsidP="00AD19B4">
      <w:pPr>
        <w:jc w:val="both"/>
        <w:rPr>
          <w:b/>
        </w:rPr>
      </w:pPr>
      <w:r w:rsidRPr="00AD19B4">
        <w:rPr>
          <w:b/>
        </w:rPr>
        <w:t xml:space="preserve">Nantes Referral </w:t>
      </w:r>
      <w:proofErr w:type="spellStart"/>
      <w:r w:rsidRPr="00AD19B4">
        <w:rPr>
          <w:b/>
        </w:rPr>
        <w:t>Center</w:t>
      </w:r>
      <w:proofErr w:type="spellEnd"/>
      <w:r w:rsidRPr="00AD19B4">
        <w:rPr>
          <w:b/>
        </w:rPr>
        <w:t xml:space="preserve"> for inherited cardiac arrhythmia: </w:t>
      </w:r>
    </w:p>
    <w:p w14:paraId="60A29A25" w14:textId="7D497504" w:rsidR="00AD19B4" w:rsidRDefault="00AD19B4" w:rsidP="00AD19B4">
      <w:pPr>
        <w:jc w:val="both"/>
      </w:pPr>
      <w:r w:rsidRPr="00A248A5">
        <w:t xml:space="preserve">Alain Al Arnaout, MD, </w:t>
      </w:r>
      <w:proofErr w:type="spellStart"/>
      <w:r w:rsidRPr="00A248A5">
        <w:t>PhD,</w:t>
      </w:r>
      <w:r w:rsidRPr="00A248A5">
        <w:rPr>
          <w:vertAlign w:val="superscript"/>
        </w:rPr>
        <w:t>cp</w:t>
      </w:r>
      <w:proofErr w:type="spellEnd"/>
      <w:r w:rsidRPr="00A248A5">
        <w:t xml:space="preserve"> Mathieu </w:t>
      </w:r>
      <w:proofErr w:type="spellStart"/>
      <w:r w:rsidRPr="00A248A5">
        <w:t>Amelot</w:t>
      </w:r>
      <w:proofErr w:type="spellEnd"/>
      <w:r w:rsidRPr="00A248A5">
        <w:t xml:space="preserve">, MD, </w:t>
      </w:r>
      <w:proofErr w:type="spellStart"/>
      <w:r w:rsidRPr="00A248A5">
        <w:t>PhD,</w:t>
      </w:r>
      <w:r w:rsidRPr="00A248A5">
        <w:rPr>
          <w:vertAlign w:val="superscript"/>
        </w:rPr>
        <w:t>cq</w:t>
      </w:r>
      <w:proofErr w:type="spellEnd"/>
      <w:r w:rsidRPr="00A248A5">
        <w:t xml:space="preserve"> </w:t>
      </w:r>
      <w:proofErr w:type="spellStart"/>
      <w:r w:rsidRPr="00A248A5">
        <w:t>Frédéric</w:t>
      </w:r>
      <w:proofErr w:type="spellEnd"/>
      <w:r w:rsidRPr="00A248A5">
        <w:t xml:space="preserve"> </w:t>
      </w:r>
      <w:proofErr w:type="spellStart"/>
      <w:r w:rsidRPr="00A248A5">
        <w:t>Anselme</w:t>
      </w:r>
      <w:proofErr w:type="spellEnd"/>
      <w:r w:rsidRPr="00A248A5">
        <w:t xml:space="preserve">, MD, </w:t>
      </w:r>
      <w:proofErr w:type="spellStart"/>
      <w:r w:rsidRPr="00A248A5">
        <w:t>PhD,</w:t>
      </w:r>
      <w:r w:rsidRPr="00A248A5">
        <w:rPr>
          <w:vertAlign w:val="superscript"/>
        </w:rPr>
        <w:t>cr</w:t>
      </w:r>
      <w:proofErr w:type="spellEnd"/>
      <w:r w:rsidRPr="00A248A5">
        <w:t xml:space="preserve"> Dominique </w:t>
      </w:r>
      <w:proofErr w:type="spellStart"/>
      <w:r w:rsidRPr="00A248A5">
        <w:t>Babuty</w:t>
      </w:r>
      <w:proofErr w:type="spellEnd"/>
      <w:r w:rsidRPr="00A248A5">
        <w:t xml:space="preserve">, MD, </w:t>
      </w:r>
      <w:proofErr w:type="spellStart"/>
      <w:r w:rsidRPr="00A248A5">
        <w:t>PhD,</w:t>
      </w:r>
      <w:r w:rsidRPr="00A248A5">
        <w:rPr>
          <w:vertAlign w:val="superscript"/>
        </w:rPr>
        <w:t>o</w:t>
      </w:r>
      <w:proofErr w:type="spellEnd"/>
      <w:r w:rsidRPr="00A248A5">
        <w:t xml:space="preserve"> Olivier Billon, MD, </w:t>
      </w:r>
      <w:proofErr w:type="spellStart"/>
      <w:r w:rsidRPr="00A248A5">
        <w:t>PhD,</w:t>
      </w:r>
      <w:r w:rsidRPr="00A248A5">
        <w:rPr>
          <w:vertAlign w:val="superscript"/>
        </w:rPr>
        <w:t>cs</w:t>
      </w:r>
      <w:proofErr w:type="spellEnd"/>
      <w:r w:rsidRPr="00A248A5">
        <w:t xml:space="preserve"> Pascal </w:t>
      </w:r>
      <w:proofErr w:type="spellStart"/>
      <w:r w:rsidRPr="00A248A5">
        <w:t>Defaye</w:t>
      </w:r>
      <w:proofErr w:type="spellEnd"/>
      <w:r w:rsidRPr="00A248A5">
        <w:t xml:space="preserve">, MD, </w:t>
      </w:r>
      <w:proofErr w:type="spellStart"/>
      <w:r w:rsidRPr="00A248A5">
        <w:t>PhD,</w:t>
      </w:r>
      <w:r w:rsidRPr="00A248A5">
        <w:rPr>
          <w:vertAlign w:val="superscript"/>
        </w:rPr>
        <w:t>ct</w:t>
      </w:r>
      <w:proofErr w:type="spellEnd"/>
      <w:r w:rsidRPr="00A248A5">
        <w:t xml:space="preserve"> Jean-Marc Dupuis, MD, </w:t>
      </w:r>
      <w:proofErr w:type="spellStart"/>
      <w:r w:rsidRPr="00A248A5">
        <w:t>PhD,</w:t>
      </w:r>
      <w:r w:rsidRPr="00A248A5">
        <w:rPr>
          <w:vertAlign w:val="superscript"/>
        </w:rPr>
        <w:t>cu</w:t>
      </w:r>
      <w:proofErr w:type="spellEnd"/>
      <w:r w:rsidRPr="00A248A5">
        <w:t xml:space="preserve"> Jean-Baptiste </w:t>
      </w:r>
      <w:proofErr w:type="spellStart"/>
      <w:r w:rsidRPr="00A248A5">
        <w:t>Gourraud</w:t>
      </w:r>
      <w:proofErr w:type="spellEnd"/>
      <w:r w:rsidRPr="00A248A5">
        <w:t xml:space="preserve">, MD, </w:t>
      </w:r>
      <w:proofErr w:type="spellStart"/>
      <w:r w:rsidRPr="00A248A5">
        <w:t>PhD,</w:t>
      </w:r>
      <w:r w:rsidRPr="00A248A5">
        <w:rPr>
          <w:vertAlign w:val="superscript"/>
        </w:rPr>
        <w:t>d,b</w:t>
      </w:r>
      <w:proofErr w:type="spellEnd"/>
      <w:r w:rsidRPr="00A248A5">
        <w:t xml:space="preserve"> Laurence </w:t>
      </w:r>
      <w:proofErr w:type="spellStart"/>
      <w:r w:rsidRPr="00A248A5">
        <w:t>Jesel</w:t>
      </w:r>
      <w:proofErr w:type="spellEnd"/>
      <w:r w:rsidRPr="00A248A5">
        <w:t xml:space="preserve">, MD, </w:t>
      </w:r>
      <w:proofErr w:type="spellStart"/>
      <w:r w:rsidRPr="00A248A5">
        <w:t>PhD,</w:t>
      </w:r>
      <w:r w:rsidRPr="00A248A5">
        <w:rPr>
          <w:vertAlign w:val="superscript"/>
        </w:rPr>
        <w:t>cv</w:t>
      </w:r>
      <w:proofErr w:type="spellEnd"/>
      <w:r w:rsidRPr="00A248A5">
        <w:t xml:space="preserve"> Gabriel Laurent, MD, </w:t>
      </w:r>
      <w:proofErr w:type="spellStart"/>
      <w:r w:rsidRPr="00A248A5">
        <w:t>PhD,</w:t>
      </w:r>
      <w:r w:rsidRPr="00A248A5">
        <w:rPr>
          <w:vertAlign w:val="superscript"/>
        </w:rPr>
        <w:t>cw</w:t>
      </w:r>
      <w:proofErr w:type="spellEnd"/>
      <w:r w:rsidRPr="00A248A5">
        <w:t xml:space="preserve"> Jacques </w:t>
      </w:r>
      <w:proofErr w:type="spellStart"/>
      <w:r w:rsidRPr="00A248A5">
        <w:t>Mansourati</w:t>
      </w:r>
      <w:proofErr w:type="spellEnd"/>
      <w:r w:rsidRPr="00A248A5">
        <w:t xml:space="preserve">, MD, </w:t>
      </w:r>
      <w:proofErr w:type="spellStart"/>
      <w:r w:rsidRPr="00A248A5">
        <w:t>PhD,</w:t>
      </w:r>
      <w:r w:rsidRPr="00A248A5">
        <w:rPr>
          <w:vertAlign w:val="superscript"/>
        </w:rPr>
        <w:t>ay</w:t>
      </w:r>
      <w:proofErr w:type="spellEnd"/>
      <w:r w:rsidRPr="00A248A5">
        <w:t xml:space="preserve"> </w:t>
      </w:r>
      <w:proofErr w:type="spellStart"/>
      <w:r w:rsidRPr="00A248A5">
        <w:t>Raphaël</w:t>
      </w:r>
      <w:proofErr w:type="spellEnd"/>
      <w:r w:rsidRPr="00A248A5">
        <w:t xml:space="preserve"> P. Martins, MD, </w:t>
      </w:r>
      <w:proofErr w:type="spellStart"/>
      <w:r w:rsidRPr="00A248A5">
        <w:t>PhD,</w:t>
      </w:r>
      <w:r w:rsidRPr="00A248A5">
        <w:rPr>
          <w:vertAlign w:val="superscript"/>
        </w:rPr>
        <w:t>az</w:t>
      </w:r>
      <w:proofErr w:type="spellEnd"/>
      <w:r w:rsidRPr="00A248A5">
        <w:t xml:space="preserve"> Philippe </w:t>
      </w:r>
      <w:proofErr w:type="spellStart"/>
      <w:r w:rsidRPr="00A248A5">
        <w:t>Maury</w:t>
      </w:r>
      <w:proofErr w:type="spellEnd"/>
      <w:r w:rsidRPr="00A248A5">
        <w:t xml:space="preserve">, MD, </w:t>
      </w:r>
      <w:proofErr w:type="spellStart"/>
      <w:r w:rsidRPr="00A248A5">
        <w:t>PhD,</w:t>
      </w:r>
      <w:r w:rsidRPr="00A248A5">
        <w:rPr>
          <w:vertAlign w:val="superscript"/>
        </w:rPr>
        <w:t>cx</w:t>
      </w:r>
      <w:proofErr w:type="spellEnd"/>
      <w:r w:rsidRPr="00A248A5">
        <w:t xml:space="preserve"> Jean-Luc </w:t>
      </w:r>
      <w:proofErr w:type="spellStart"/>
      <w:r w:rsidRPr="00A248A5">
        <w:t>Pasquie</w:t>
      </w:r>
      <w:proofErr w:type="spellEnd"/>
      <w:r w:rsidRPr="00A248A5">
        <w:t xml:space="preserve">, MD, </w:t>
      </w:r>
      <w:proofErr w:type="spellStart"/>
      <w:r w:rsidRPr="00A248A5">
        <w:t>PhD,</w:t>
      </w:r>
      <w:r w:rsidRPr="00A248A5">
        <w:rPr>
          <w:vertAlign w:val="superscript"/>
        </w:rPr>
        <w:t>cy</w:t>
      </w:r>
      <w:proofErr w:type="spellEnd"/>
      <w:r w:rsidRPr="00A248A5">
        <w:t xml:space="preserve"> Vincent Probst, MD, </w:t>
      </w:r>
      <w:proofErr w:type="spellStart"/>
      <w:r w:rsidRPr="00A248A5">
        <w:t>PhD,</w:t>
      </w:r>
      <w:r w:rsidRPr="00A248A5">
        <w:rPr>
          <w:vertAlign w:val="superscript"/>
        </w:rPr>
        <w:t>d,b</w:t>
      </w:r>
      <w:proofErr w:type="spellEnd"/>
      <w:r w:rsidRPr="00A248A5">
        <w:t xml:space="preserve"> </w:t>
      </w:r>
      <w:proofErr w:type="spellStart"/>
      <w:r w:rsidRPr="00A248A5">
        <w:t>Frédéric</w:t>
      </w:r>
      <w:proofErr w:type="spellEnd"/>
      <w:r w:rsidRPr="00A248A5">
        <w:t xml:space="preserve"> </w:t>
      </w:r>
      <w:proofErr w:type="spellStart"/>
      <w:r w:rsidRPr="00A248A5">
        <w:t>Sacher</w:t>
      </w:r>
      <w:proofErr w:type="spellEnd"/>
      <w:r w:rsidRPr="00A248A5">
        <w:t xml:space="preserve">, MD, </w:t>
      </w:r>
      <w:proofErr w:type="spellStart"/>
      <w:r w:rsidRPr="00A248A5">
        <w:t>PhD,</w:t>
      </w:r>
      <w:r w:rsidRPr="00A248A5">
        <w:rPr>
          <w:vertAlign w:val="superscript"/>
        </w:rPr>
        <w:t>bh</w:t>
      </w:r>
      <w:proofErr w:type="spellEnd"/>
      <w:r w:rsidRPr="00A248A5">
        <w:t xml:space="preserve"> Francois Wiart, MD, </w:t>
      </w:r>
      <w:proofErr w:type="spellStart"/>
      <w:r w:rsidRPr="00A248A5">
        <w:t>PhD,</w:t>
      </w:r>
      <w:r w:rsidRPr="00A248A5">
        <w:rPr>
          <w:vertAlign w:val="superscript"/>
        </w:rPr>
        <w:t>cz</w:t>
      </w:r>
      <w:proofErr w:type="spellEnd"/>
    </w:p>
    <w:p w14:paraId="631EFF54" w14:textId="77777777" w:rsidR="00AD19B4" w:rsidRDefault="00AD19B4" w:rsidP="00521E45">
      <w:pPr>
        <w:spacing w:after="0" w:line="480" w:lineRule="auto"/>
      </w:pPr>
    </w:p>
    <w:p w14:paraId="20A5E024" w14:textId="77777777" w:rsidR="00AD19B4" w:rsidRDefault="00AD19B4" w:rsidP="00AD19B4">
      <w:pPr>
        <w:pStyle w:val="NoSpacing"/>
      </w:pPr>
      <w:proofErr w:type="spellStart"/>
      <w:r>
        <w:t>cp</w:t>
      </w:r>
      <w:proofErr w:type="spellEnd"/>
      <w:r>
        <w:tab/>
        <w:t xml:space="preserve">Service de </w:t>
      </w:r>
      <w:proofErr w:type="spellStart"/>
      <w:r>
        <w:t>cardiologie</w:t>
      </w:r>
      <w:proofErr w:type="spellEnd"/>
      <w:r>
        <w:t>, GH La Rochelle, 17019 La Rochelle, France</w:t>
      </w:r>
    </w:p>
    <w:p w14:paraId="16948465" w14:textId="77777777" w:rsidR="00AD19B4" w:rsidRDefault="00AD19B4" w:rsidP="00AD19B4">
      <w:pPr>
        <w:pStyle w:val="NoSpacing"/>
      </w:pPr>
      <w:proofErr w:type="spellStart"/>
      <w:r>
        <w:t>cq</w:t>
      </w:r>
      <w:proofErr w:type="spellEnd"/>
      <w:r>
        <w:tab/>
        <w:t>Cardiology department, CH de Le Mans, Le Mans, France</w:t>
      </w:r>
    </w:p>
    <w:p w14:paraId="5AA7DCD3" w14:textId="77777777" w:rsidR="00AD19B4" w:rsidRDefault="00AD19B4" w:rsidP="00AD19B4">
      <w:pPr>
        <w:pStyle w:val="NoSpacing"/>
      </w:pPr>
      <w:proofErr w:type="spellStart"/>
      <w:r>
        <w:t>cr</w:t>
      </w:r>
      <w:proofErr w:type="spellEnd"/>
      <w:r>
        <w:tab/>
        <w:t>Cardiology department, CHU de Rouen, Rouen, France</w:t>
      </w:r>
    </w:p>
    <w:p w14:paraId="74CF6517" w14:textId="77777777" w:rsidR="00AD19B4" w:rsidRDefault="00AD19B4" w:rsidP="00AD19B4">
      <w:pPr>
        <w:pStyle w:val="NoSpacing"/>
      </w:pPr>
      <w:proofErr w:type="spellStart"/>
      <w:r>
        <w:t>cs</w:t>
      </w:r>
      <w:proofErr w:type="spellEnd"/>
      <w:r>
        <w:tab/>
      </w:r>
      <w:proofErr w:type="spellStart"/>
      <w:r>
        <w:t>Chd</w:t>
      </w:r>
      <w:proofErr w:type="spellEnd"/>
      <w:r>
        <w:t xml:space="preserve"> Les </w:t>
      </w:r>
      <w:proofErr w:type="spellStart"/>
      <w:r>
        <w:t>Oudairies</w:t>
      </w:r>
      <w:proofErr w:type="spellEnd"/>
      <w:r>
        <w:t>, La Roche Sur Yon, France</w:t>
      </w:r>
    </w:p>
    <w:p w14:paraId="53660669" w14:textId="77777777" w:rsidR="00AD19B4" w:rsidRDefault="00AD19B4" w:rsidP="00AD19B4">
      <w:pPr>
        <w:pStyle w:val="NoSpacing"/>
      </w:pPr>
      <w:proofErr w:type="spellStart"/>
      <w:r>
        <w:t>ct</w:t>
      </w:r>
      <w:proofErr w:type="spellEnd"/>
      <w:r>
        <w:tab/>
        <w:t xml:space="preserve">CHU Grenoble, Service de </w:t>
      </w:r>
      <w:proofErr w:type="spellStart"/>
      <w:r>
        <w:t>Cardiologie</w:t>
      </w:r>
      <w:proofErr w:type="spellEnd"/>
      <w:r>
        <w:t>, Grenoble, France</w:t>
      </w:r>
    </w:p>
    <w:p w14:paraId="0C10C915" w14:textId="77777777" w:rsidR="00AD19B4" w:rsidRDefault="00AD19B4" w:rsidP="00AD19B4">
      <w:pPr>
        <w:pStyle w:val="NoSpacing"/>
      </w:pPr>
      <w:r>
        <w:t>cu</w:t>
      </w:r>
      <w:r>
        <w:tab/>
        <w:t xml:space="preserve">Service de </w:t>
      </w:r>
      <w:proofErr w:type="spellStart"/>
      <w:r>
        <w:t>cardiologie</w:t>
      </w:r>
      <w:proofErr w:type="spellEnd"/>
      <w:r>
        <w:t xml:space="preserve">, CHU </w:t>
      </w:r>
      <w:proofErr w:type="spellStart"/>
      <w:r>
        <w:t>d'Angers</w:t>
      </w:r>
      <w:proofErr w:type="spellEnd"/>
      <w:r>
        <w:t>, 49100 Angers, France</w:t>
      </w:r>
    </w:p>
    <w:p w14:paraId="7AFEE36C" w14:textId="77777777" w:rsidR="00AD19B4" w:rsidRDefault="00AD19B4" w:rsidP="00AD19B4">
      <w:pPr>
        <w:pStyle w:val="NoSpacing"/>
      </w:pPr>
      <w:r>
        <w:t>cv</w:t>
      </w:r>
      <w:r>
        <w:tab/>
        <w:t xml:space="preserve">Service de </w:t>
      </w:r>
      <w:proofErr w:type="spellStart"/>
      <w:r>
        <w:t>cardiologie</w:t>
      </w:r>
      <w:proofErr w:type="spellEnd"/>
      <w:r>
        <w:t>, CHRU de Strasbourg, 67091 Strasbourg, France</w:t>
      </w:r>
    </w:p>
    <w:p w14:paraId="1F679A4D" w14:textId="77777777" w:rsidR="00AD19B4" w:rsidRDefault="00AD19B4" w:rsidP="00AD19B4">
      <w:pPr>
        <w:pStyle w:val="NoSpacing"/>
      </w:pPr>
      <w:proofErr w:type="spellStart"/>
      <w:r>
        <w:t>cw</w:t>
      </w:r>
      <w:proofErr w:type="spellEnd"/>
      <w:r>
        <w:tab/>
        <w:t>Department of Cardiology, University Hospital, 21000 Dijon, France</w:t>
      </w:r>
    </w:p>
    <w:p w14:paraId="64973D62" w14:textId="77777777" w:rsidR="00AD19B4" w:rsidRDefault="00AD19B4" w:rsidP="00AD19B4">
      <w:pPr>
        <w:pStyle w:val="NoSpacing"/>
      </w:pPr>
      <w:r>
        <w:t>cx</w:t>
      </w:r>
      <w:r>
        <w:tab/>
        <w:t xml:space="preserve">CHU Toulouse, Service de </w:t>
      </w:r>
      <w:proofErr w:type="spellStart"/>
      <w:r>
        <w:t>Cardiologie</w:t>
      </w:r>
      <w:proofErr w:type="spellEnd"/>
      <w:r>
        <w:t>, Toulouse, France</w:t>
      </w:r>
    </w:p>
    <w:p w14:paraId="191AC866" w14:textId="77777777" w:rsidR="00AD19B4" w:rsidRDefault="00AD19B4" w:rsidP="00AD19B4">
      <w:pPr>
        <w:pStyle w:val="NoSpacing"/>
      </w:pPr>
      <w:r>
        <w:t>cy</w:t>
      </w:r>
      <w:r>
        <w:tab/>
        <w:t xml:space="preserve">Department of Cardiology, Arnaud de Villeneuve Hospital, Montpellier University Hospital </w:t>
      </w:r>
      <w:proofErr w:type="spellStart"/>
      <w:r>
        <w:t>Center</w:t>
      </w:r>
      <w:proofErr w:type="spellEnd"/>
      <w:r>
        <w:t>, Montpellier, France</w:t>
      </w:r>
    </w:p>
    <w:p w14:paraId="3386A4D5" w14:textId="77777777" w:rsidR="00AD19B4" w:rsidRPr="00075E2C" w:rsidRDefault="00AD19B4" w:rsidP="00AD19B4">
      <w:pPr>
        <w:pStyle w:val="NoSpacing"/>
      </w:pPr>
      <w:proofErr w:type="spellStart"/>
      <w:r>
        <w:t>cz</w:t>
      </w:r>
      <w:proofErr w:type="spellEnd"/>
      <w:r>
        <w:tab/>
        <w:t xml:space="preserve">Service de </w:t>
      </w:r>
      <w:proofErr w:type="spellStart"/>
      <w:r>
        <w:t>cardiologie</w:t>
      </w:r>
      <w:proofErr w:type="spellEnd"/>
      <w:r>
        <w:t xml:space="preserve">, CHU de La </w:t>
      </w:r>
      <w:proofErr w:type="spellStart"/>
      <w:r>
        <w:t>Réunion</w:t>
      </w:r>
      <w:proofErr w:type="spellEnd"/>
      <w:r>
        <w:t>, 97400 Saint-Denis, Reunion</w:t>
      </w:r>
    </w:p>
    <w:p w14:paraId="4F6CEBFB" w14:textId="77777777" w:rsidR="00AD19B4" w:rsidRDefault="00AD19B4" w:rsidP="00521E45">
      <w:pPr>
        <w:spacing w:after="0" w:line="480" w:lineRule="auto"/>
      </w:pPr>
    </w:p>
    <w:p w14:paraId="34C46DD0" w14:textId="77777777" w:rsidR="003C4A57" w:rsidRDefault="003C4A57" w:rsidP="003C4A57">
      <w:pPr>
        <w:spacing w:after="0" w:line="480" w:lineRule="auto"/>
        <w:jc w:val="both"/>
      </w:pPr>
    </w:p>
    <w:p w14:paraId="0F62DA9C" w14:textId="77777777" w:rsidR="00AD19B4" w:rsidRDefault="00AD19B4" w:rsidP="003C4A57">
      <w:pPr>
        <w:spacing w:after="0" w:line="480" w:lineRule="auto"/>
        <w:jc w:val="both"/>
      </w:pPr>
    </w:p>
    <w:p w14:paraId="5E694848" w14:textId="77777777" w:rsidR="00AD19B4" w:rsidRDefault="00AD19B4" w:rsidP="003C4A57">
      <w:pPr>
        <w:spacing w:after="0" w:line="480" w:lineRule="auto"/>
        <w:jc w:val="both"/>
      </w:pPr>
    </w:p>
    <w:p w14:paraId="0806DDCB" w14:textId="77777777" w:rsidR="00AD19B4" w:rsidRDefault="00AD19B4" w:rsidP="003C4A57">
      <w:pPr>
        <w:spacing w:after="0" w:line="480" w:lineRule="auto"/>
        <w:jc w:val="both"/>
      </w:pPr>
    </w:p>
    <w:p w14:paraId="6EB5A522" w14:textId="77777777" w:rsidR="003C4A57" w:rsidRDefault="003C4A57" w:rsidP="003C4A57">
      <w:pPr>
        <w:spacing w:after="0" w:line="480" w:lineRule="auto"/>
        <w:jc w:val="both"/>
      </w:pPr>
    </w:p>
    <w:p w14:paraId="18FF4B04" w14:textId="77777777" w:rsidR="00C112D5" w:rsidRDefault="00C112D5" w:rsidP="003C4A57">
      <w:pPr>
        <w:spacing w:after="0" w:line="480" w:lineRule="auto"/>
        <w:jc w:val="both"/>
        <w:rPr>
          <w:b/>
        </w:rPr>
      </w:pPr>
    </w:p>
    <w:p w14:paraId="14ED9FDD" w14:textId="77777777" w:rsidR="00C112D5" w:rsidRDefault="00C112D5" w:rsidP="003C4A57">
      <w:pPr>
        <w:spacing w:after="0" w:line="480" w:lineRule="auto"/>
        <w:jc w:val="both"/>
        <w:rPr>
          <w:b/>
        </w:rPr>
      </w:pPr>
    </w:p>
    <w:p w14:paraId="7B1A98BB" w14:textId="77777777" w:rsidR="00C112D5" w:rsidRDefault="00C112D5" w:rsidP="003C4A57">
      <w:pPr>
        <w:spacing w:after="0" w:line="480" w:lineRule="auto"/>
        <w:jc w:val="both"/>
        <w:rPr>
          <w:b/>
        </w:rPr>
      </w:pPr>
    </w:p>
    <w:p w14:paraId="466227A8" w14:textId="77777777" w:rsidR="00C112D5" w:rsidRDefault="00C112D5" w:rsidP="003C4A57">
      <w:pPr>
        <w:spacing w:after="0" w:line="480" w:lineRule="auto"/>
        <w:jc w:val="both"/>
        <w:rPr>
          <w:b/>
        </w:rPr>
      </w:pPr>
    </w:p>
    <w:p w14:paraId="3E983D43" w14:textId="77777777" w:rsidR="00C112D5" w:rsidRDefault="00C112D5" w:rsidP="003C4A57">
      <w:pPr>
        <w:spacing w:after="0" w:line="480" w:lineRule="auto"/>
        <w:jc w:val="both"/>
        <w:rPr>
          <w:b/>
        </w:rPr>
      </w:pPr>
    </w:p>
    <w:p w14:paraId="7172F606" w14:textId="77777777" w:rsidR="00C112D5" w:rsidRDefault="00C112D5" w:rsidP="003C4A57">
      <w:pPr>
        <w:spacing w:after="0" w:line="480" w:lineRule="auto"/>
        <w:jc w:val="both"/>
        <w:rPr>
          <w:b/>
        </w:rPr>
      </w:pPr>
    </w:p>
    <w:p w14:paraId="62553758" w14:textId="77777777" w:rsidR="00C112D5" w:rsidRDefault="00C112D5" w:rsidP="003C4A57">
      <w:pPr>
        <w:spacing w:after="0" w:line="480" w:lineRule="auto"/>
        <w:jc w:val="both"/>
        <w:rPr>
          <w:b/>
        </w:rPr>
      </w:pPr>
    </w:p>
    <w:p w14:paraId="7A390BD9" w14:textId="77777777" w:rsidR="00C112D5" w:rsidRDefault="00C112D5" w:rsidP="003C4A57">
      <w:pPr>
        <w:spacing w:after="0" w:line="480" w:lineRule="auto"/>
        <w:jc w:val="both"/>
        <w:rPr>
          <w:b/>
        </w:rPr>
      </w:pPr>
    </w:p>
    <w:p w14:paraId="5A0AFCF1" w14:textId="2C9690E1" w:rsidR="00F45553" w:rsidRPr="00F45553" w:rsidRDefault="003C4A57" w:rsidP="003C4A57">
      <w:pPr>
        <w:spacing w:after="0" w:line="480" w:lineRule="auto"/>
        <w:jc w:val="both"/>
        <w:rPr>
          <w:b/>
        </w:rPr>
      </w:pPr>
      <w:r>
        <w:rPr>
          <w:b/>
        </w:rPr>
        <w:lastRenderedPageBreak/>
        <w:t>REFERENCES</w:t>
      </w:r>
    </w:p>
    <w:p w14:paraId="219DFA5B" w14:textId="3ADC422B" w:rsidR="007818E5" w:rsidRPr="007818E5" w:rsidRDefault="00CA0DD7" w:rsidP="007818E5">
      <w:pPr>
        <w:widowControl w:val="0"/>
        <w:autoSpaceDE w:val="0"/>
        <w:autoSpaceDN w:val="0"/>
        <w:adjustRightInd w:val="0"/>
        <w:spacing w:after="0" w:line="480" w:lineRule="auto"/>
        <w:ind w:left="640" w:hanging="640"/>
        <w:rPr>
          <w:rFonts w:ascii="Calibri" w:hAnsi="Calibri" w:cs="Calibri"/>
          <w:noProof/>
          <w:szCs w:val="24"/>
        </w:rPr>
      </w:pPr>
      <w:r>
        <w:fldChar w:fldCharType="begin" w:fldLock="1"/>
      </w:r>
      <w:r>
        <w:instrText xml:space="preserve">ADDIN Mendeley Bibliography CSL_BIBLIOGRAPHY </w:instrText>
      </w:r>
      <w:r>
        <w:fldChar w:fldCharType="separate"/>
      </w:r>
      <w:r w:rsidR="007818E5" w:rsidRPr="007818E5">
        <w:rPr>
          <w:rFonts w:ascii="Calibri" w:hAnsi="Calibri" w:cs="Calibri"/>
          <w:noProof/>
          <w:szCs w:val="24"/>
        </w:rPr>
        <w:t xml:space="preserve">1. </w:t>
      </w:r>
      <w:r w:rsidR="007818E5" w:rsidRPr="007818E5">
        <w:rPr>
          <w:rFonts w:ascii="Calibri" w:hAnsi="Calibri" w:cs="Calibri"/>
          <w:noProof/>
          <w:szCs w:val="24"/>
        </w:rPr>
        <w:tab/>
        <w:t xml:space="preserve">Walsh R, Thomson KL, Ware JS, et al. Reassessment of Mendelian gene pathogenicity using 7,855 cardiomyopathy cases and 60,706 reference samples. </w:t>
      </w:r>
      <w:r w:rsidR="007818E5" w:rsidRPr="007818E5">
        <w:rPr>
          <w:rFonts w:ascii="Calibri" w:hAnsi="Calibri" w:cs="Calibri"/>
          <w:i/>
          <w:iCs/>
          <w:noProof/>
          <w:szCs w:val="24"/>
        </w:rPr>
        <w:t>Genet Med</w:t>
      </w:r>
      <w:r w:rsidR="007818E5" w:rsidRPr="007818E5">
        <w:rPr>
          <w:rFonts w:ascii="Calibri" w:hAnsi="Calibri" w:cs="Calibri"/>
          <w:noProof/>
          <w:szCs w:val="24"/>
        </w:rPr>
        <w:t>. 2017;19(2):192-203. doi:10.1038/gim.2016.90</w:t>
      </w:r>
    </w:p>
    <w:p w14:paraId="449A4023" w14:textId="77777777" w:rsidR="007818E5" w:rsidRPr="007818E5" w:rsidRDefault="007818E5" w:rsidP="007818E5">
      <w:pPr>
        <w:widowControl w:val="0"/>
        <w:autoSpaceDE w:val="0"/>
        <w:autoSpaceDN w:val="0"/>
        <w:adjustRightInd w:val="0"/>
        <w:spacing w:after="0" w:line="480" w:lineRule="auto"/>
        <w:ind w:left="640" w:hanging="640"/>
        <w:rPr>
          <w:rFonts w:ascii="Calibri" w:hAnsi="Calibri" w:cs="Calibri"/>
          <w:noProof/>
          <w:szCs w:val="24"/>
        </w:rPr>
      </w:pPr>
      <w:r w:rsidRPr="007818E5">
        <w:rPr>
          <w:rFonts w:ascii="Calibri" w:hAnsi="Calibri" w:cs="Calibri"/>
          <w:noProof/>
          <w:szCs w:val="24"/>
        </w:rPr>
        <w:t xml:space="preserve">2. </w:t>
      </w:r>
      <w:r w:rsidRPr="007818E5">
        <w:rPr>
          <w:rFonts w:ascii="Calibri" w:hAnsi="Calibri" w:cs="Calibri"/>
          <w:noProof/>
          <w:szCs w:val="24"/>
        </w:rPr>
        <w:tab/>
        <w:t xml:space="preserve">Hosseini SM, Kim R, Udupa S, et al. Reappraisal of Reported Genes for Sudden Arrhythmic Death. </w:t>
      </w:r>
      <w:r w:rsidRPr="007818E5">
        <w:rPr>
          <w:rFonts w:ascii="Calibri" w:hAnsi="Calibri" w:cs="Calibri"/>
          <w:i/>
          <w:iCs/>
          <w:noProof/>
          <w:szCs w:val="24"/>
        </w:rPr>
        <w:t>Circulation</w:t>
      </w:r>
      <w:r w:rsidRPr="007818E5">
        <w:rPr>
          <w:rFonts w:ascii="Calibri" w:hAnsi="Calibri" w:cs="Calibri"/>
          <w:noProof/>
          <w:szCs w:val="24"/>
        </w:rPr>
        <w:t>. 2018;138(12):1195-1205. doi:10.1161/CIRCULATIONAHA.118.035070</w:t>
      </w:r>
    </w:p>
    <w:p w14:paraId="6C9B58B4" w14:textId="77777777" w:rsidR="007818E5" w:rsidRPr="007818E5" w:rsidRDefault="007818E5" w:rsidP="007818E5">
      <w:pPr>
        <w:widowControl w:val="0"/>
        <w:autoSpaceDE w:val="0"/>
        <w:autoSpaceDN w:val="0"/>
        <w:adjustRightInd w:val="0"/>
        <w:spacing w:after="0" w:line="480" w:lineRule="auto"/>
        <w:ind w:left="640" w:hanging="640"/>
        <w:rPr>
          <w:rFonts w:ascii="Calibri" w:hAnsi="Calibri" w:cs="Calibri"/>
          <w:noProof/>
          <w:szCs w:val="24"/>
        </w:rPr>
      </w:pPr>
      <w:r w:rsidRPr="007818E5">
        <w:rPr>
          <w:rFonts w:ascii="Calibri" w:hAnsi="Calibri" w:cs="Calibri"/>
          <w:noProof/>
          <w:szCs w:val="24"/>
        </w:rPr>
        <w:t xml:space="preserve">3. </w:t>
      </w:r>
      <w:r w:rsidRPr="007818E5">
        <w:rPr>
          <w:rFonts w:ascii="Calibri" w:hAnsi="Calibri" w:cs="Calibri"/>
          <w:noProof/>
          <w:szCs w:val="24"/>
        </w:rPr>
        <w:tab/>
        <w:t xml:space="preserve">Richards S, Aziz N, Bale S, et al. Standards and guidelines for the interpretation of sequence variants: a joint consensus recommendation of the American College of Medical Genetics and Genomics and the Association for Molecular Pathology. </w:t>
      </w:r>
      <w:r w:rsidRPr="007818E5">
        <w:rPr>
          <w:rFonts w:ascii="Calibri" w:hAnsi="Calibri" w:cs="Calibri"/>
          <w:i/>
          <w:iCs/>
          <w:noProof/>
          <w:szCs w:val="24"/>
        </w:rPr>
        <w:t>Genet Med</w:t>
      </w:r>
      <w:r w:rsidRPr="007818E5">
        <w:rPr>
          <w:rFonts w:ascii="Calibri" w:hAnsi="Calibri" w:cs="Calibri"/>
          <w:noProof/>
          <w:szCs w:val="24"/>
        </w:rPr>
        <w:t>. 2015;17(5):405-423. doi:10.1038/gim.2015.30</w:t>
      </w:r>
    </w:p>
    <w:p w14:paraId="1EA6D100" w14:textId="77777777" w:rsidR="007818E5" w:rsidRPr="007818E5" w:rsidRDefault="007818E5" w:rsidP="007818E5">
      <w:pPr>
        <w:widowControl w:val="0"/>
        <w:autoSpaceDE w:val="0"/>
        <w:autoSpaceDN w:val="0"/>
        <w:adjustRightInd w:val="0"/>
        <w:spacing w:after="0" w:line="480" w:lineRule="auto"/>
        <w:ind w:left="640" w:hanging="640"/>
        <w:rPr>
          <w:rFonts w:ascii="Calibri" w:hAnsi="Calibri" w:cs="Calibri"/>
          <w:noProof/>
          <w:szCs w:val="24"/>
        </w:rPr>
      </w:pPr>
      <w:r w:rsidRPr="007818E5">
        <w:rPr>
          <w:rFonts w:ascii="Calibri" w:hAnsi="Calibri" w:cs="Calibri"/>
          <w:noProof/>
          <w:szCs w:val="24"/>
        </w:rPr>
        <w:t xml:space="preserve">4. </w:t>
      </w:r>
      <w:r w:rsidRPr="007818E5">
        <w:rPr>
          <w:rFonts w:ascii="Calibri" w:hAnsi="Calibri" w:cs="Calibri"/>
          <w:noProof/>
          <w:szCs w:val="24"/>
        </w:rPr>
        <w:tab/>
        <w:t xml:space="preserve">Walsh R, Mazzarotto F, Whiffin N, et al. Quantitative approaches to variant classification increase the yield and precision of genetic testing in Mendelian diseases: the case of hypertrophic cardiomyopathy. </w:t>
      </w:r>
      <w:r w:rsidRPr="007818E5">
        <w:rPr>
          <w:rFonts w:ascii="Calibri" w:hAnsi="Calibri" w:cs="Calibri"/>
          <w:i/>
          <w:iCs/>
          <w:noProof/>
          <w:szCs w:val="24"/>
        </w:rPr>
        <w:t>Genome Med</w:t>
      </w:r>
      <w:r w:rsidRPr="007818E5">
        <w:rPr>
          <w:rFonts w:ascii="Calibri" w:hAnsi="Calibri" w:cs="Calibri"/>
          <w:noProof/>
          <w:szCs w:val="24"/>
        </w:rPr>
        <w:t>. 2019;11(1):5. doi:10.1186/s13073-019-0616-z</w:t>
      </w:r>
    </w:p>
    <w:p w14:paraId="00ACBE27" w14:textId="77777777" w:rsidR="007818E5" w:rsidRPr="007818E5" w:rsidRDefault="007818E5" w:rsidP="007818E5">
      <w:pPr>
        <w:widowControl w:val="0"/>
        <w:autoSpaceDE w:val="0"/>
        <w:autoSpaceDN w:val="0"/>
        <w:adjustRightInd w:val="0"/>
        <w:spacing w:after="0" w:line="480" w:lineRule="auto"/>
        <w:ind w:left="640" w:hanging="640"/>
        <w:rPr>
          <w:rFonts w:ascii="Calibri" w:hAnsi="Calibri" w:cs="Calibri"/>
          <w:noProof/>
          <w:szCs w:val="24"/>
        </w:rPr>
      </w:pPr>
      <w:r w:rsidRPr="007818E5">
        <w:rPr>
          <w:rFonts w:ascii="Calibri" w:hAnsi="Calibri" w:cs="Calibri"/>
          <w:noProof/>
          <w:szCs w:val="24"/>
        </w:rPr>
        <w:t xml:space="preserve">5. </w:t>
      </w:r>
      <w:r w:rsidRPr="007818E5">
        <w:rPr>
          <w:rFonts w:ascii="Calibri" w:hAnsi="Calibri" w:cs="Calibri"/>
          <w:noProof/>
          <w:szCs w:val="24"/>
        </w:rPr>
        <w:tab/>
        <w:t xml:space="preserve">Ackerman MJ, Priori SG, Willems S, et al. HRS/EHRA expert consensus statement on the state of genetic testing for the channelopathies and cardiomyopathies this document was developed as a partnership between the Heart Rhythm Society (HRS) and the European Heart Rhythm Association (EHRA). </w:t>
      </w:r>
      <w:r w:rsidRPr="007818E5">
        <w:rPr>
          <w:rFonts w:ascii="Calibri" w:hAnsi="Calibri" w:cs="Calibri"/>
          <w:i/>
          <w:iCs/>
          <w:noProof/>
          <w:szCs w:val="24"/>
        </w:rPr>
        <w:t>Hear Rhythm</w:t>
      </w:r>
      <w:r w:rsidRPr="007818E5">
        <w:rPr>
          <w:rFonts w:ascii="Calibri" w:hAnsi="Calibri" w:cs="Calibri"/>
          <w:noProof/>
          <w:szCs w:val="24"/>
        </w:rPr>
        <w:t>. 2011;8(8):1308-1339. doi:10.1016/j.hrthm.2011.05.020</w:t>
      </w:r>
    </w:p>
    <w:p w14:paraId="7E0786C7" w14:textId="77777777" w:rsidR="007818E5" w:rsidRPr="007818E5" w:rsidRDefault="007818E5" w:rsidP="007818E5">
      <w:pPr>
        <w:widowControl w:val="0"/>
        <w:autoSpaceDE w:val="0"/>
        <w:autoSpaceDN w:val="0"/>
        <w:adjustRightInd w:val="0"/>
        <w:spacing w:after="0" w:line="480" w:lineRule="auto"/>
        <w:ind w:left="640" w:hanging="640"/>
        <w:rPr>
          <w:rFonts w:ascii="Calibri" w:hAnsi="Calibri" w:cs="Calibri"/>
          <w:noProof/>
          <w:szCs w:val="24"/>
        </w:rPr>
      </w:pPr>
      <w:r w:rsidRPr="007818E5">
        <w:rPr>
          <w:rFonts w:ascii="Calibri" w:hAnsi="Calibri" w:cs="Calibri"/>
          <w:noProof/>
          <w:szCs w:val="24"/>
        </w:rPr>
        <w:t xml:space="preserve">6. </w:t>
      </w:r>
      <w:r w:rsidRPr="007818E5">
        <w:rPr>
          <w:rFonts w:ascii="Calibri" w:hAnsi="Calibri" w:cs="Calibri"/>
          <w:noProof/>
          <w:szCs w:val="24"/>
        </w:rPr>
        <w:tab/>
        <w:t xml:space="preserve">Denham NC, Pearman CM, Ding WY, et al. Systematic re-evaluation of SCN5A variants associated with Brugada syndrome. </w:t>
      </w:r>
      <w:r w:rsidRPr="007818E5">
        <w:rPr>
          <w:rFonts w:ascii="Calibri" w:hAnsi="Calibri" w:cs="Calibri"/>
          <w:i/>
          <w:iCs/>
          <w:noProof/>
          <w:szCs w:val="24"/>
        </w:rPr>
        <w:t>J Cardiovasc Electrophysiol</w:t>
      </w:r>
      <w:r w:rsidRPr="007818E5">
        <w:rPr>
          <w:rFonts w:ascii="Calibri" w:hAnsi="Calibri" w:cs="Calibri"/>
          <w:noProof/>
          <w:szCs w:val="24"/>
        </w:rPr>
        <w:t>. 2019;30(1):118-127. doi:10.1111/jce.13740</w:t>
      </w:r>
    </w:p>
    <w:p w14:paraId="01CA6B5F" w14:textId="77777777" w:rsidR="007818E5" w:rsidRPr="007818E5" w:rsidRDefault="007818E5" w:rsidP="007818E5">
      <w:pPr>
        <w:widowControl w:val="0"/>
        <w:autoSpaceDE w:val="0"/>
        <w:autoSpaceDN w:val="0"/>
        <w:adjustRightInd w:val="0"/>
        <w:spacing w:after="0" w:line="480" w:lineRule="auto"/>
        <w:ind w:left="640" w:hanging="640"/>
        <w:rPr>
          <w:rFonts w:ascii="Calibri" w:hAnsi="Calibri" w:cs="Calibri"/>
          <w:noProof/>
          <w:szCs w:val="24"/>
        </w:rPr>
      </w:pPr>
      <w:r w:rsidRPr="007818E5">
        <w:rPr>
          <w:rFonts w:ascii="Calibri" w:hAnsi="Calibri" w:cs="Calibri"/>
          <w:noProof/>
          <w:szCs w:val="24"/>
        </w:rPr>
        <w:t xml:space="preserve">7. </w:t>
      </w:r>
      <w:r w:rsidRPr="007818E5">
        <w:rPr>
          <w:rFonts w:ascii="Calibri" w:hAnsi="Calibri" w:cs="Calibri"/>
          <w:noProof/>
          <w:szCs w:val="24"/>
        </w:rPr>
        <w:tab/>
        <w:t xml:space="preserve">Harrison SM, Biesecker LG, Rehm HL. Overview of Specifications to the ACMG/AMP Variant Interpretation Guidelines. </w:t>
      </w:r>
      <w:r w:rsidRPr="007818E5">
        <w:rPr>
          <w:rFonts w:ascii="Calibri" w:hAnsi="Calibri" w:cs="Calibri"/>
          <w:i/>
          <w:iCs/>
          <w:noProof/>
          <w:szCs w:val="24"/>
        </w:rPr>
        <w:t>Curr Protoc Hum Genet</w:t>
      </w:r>
      <w:r w:rsidRPr="007818E5">
        <w:rPr>
          <w:rFonts w:ascii="Calibri" w:hAnsi="Calibri" w:cs="Calibri"/>
          <w:noProof/>
          <w:szCs w:val="24"/>
        </w:rPr>
        <w:t>. 2019;103(1):e93. doi:10.1002/cphg.93</w:t>
      </w:r>
    </w:p>
    <w:p w14:paraId="4D85C9E4" w14:textId="77777777" w:rsidR="007818E5" w:rsidRPr="007818E5" w:rsidRDefault="007818E5" w:rsidP="007818E5">
      <w:pPr>
        <w:widowControl w:val="0"/>
        <w:autoSpaceDE w:val="0"/>
        <w:autoSpaceDN w:val="0"/>
        <w:adjustRightInd w:val="0"/>
        <w:spacing w:after="0" w:line="480" w:lineRule="auto"/>
        <w:ind w:left="640" w:hanging="640"/>
        <w:rPr>
          <w:rFonts w:ascii="Calibri" w:hAnsi="Calibri" w:cs="Calibri"/>
          <w:noProof/>
          <w:szCs w:val="24"/>
        </w:rPr>
      </w:pPr>
      <w:r w:rsidRPr="007818E5">
        <w:rPr>
          <w:rFonts w:ascii="Calibri" w:hAnsi="Calibri" w:cs="Calibri"/>
          <w:noProof/>
          <w:szCs w:val="24"/>
        </w:rPr>
        <w:t xml:space="preserve">8. </w:t>
      </w:r>
      <w:r w:rsidRPr="007818E5">
        <w:rPr>
          <w:rFonts w:ascii="Calibri" w:hAnsi="Calibri" w:cs="Calibri"/>
          <w:noProof/>
          <w:szCs w:val="24"/>
        </w:rPr>
        <w:tab/>
        <w:t xml:space="preserve">Kapa S, Tester DJ, Salisbury BA, et al. Genetic testing for long-QT syndrome: distinguishing pathogenic mutations from benign variants. </w:t>
      </w:r>
      <w:r w:rsidRPr="007818E5">
        <w:rPr>
          <w:rFonts w:ascii="Calibri" w:hAnsi="Calibri" w:cs="Calibri"/>
          <w:i/>
          <w:iCs/>
          <w:noProof/>
          <w:szCs w:val="24"/>
        </w:rPr>
        <w:t>Circulation</w:t>
      </w:r>
      <w:r w:rsidRPr="007818E5">
        <w:rPr>
          <w:rFonts w:ascii="Calibri" w:hAnsi="Calibri" w:cs="Calibri"/>
          <w:noProof/>
          <w:szCs w:val="24"/>
        </w:rPr>
        <w:t>. 2009;120(18):1752-1760. doi:10.1161/CIRCULATIONAHA.109.863076</w:t>
      </w:r>
    </w:p>
    <w:p w14:paraId="209F1A61" w14:textId="77777777" w:rsidR="007818E5" w:rsidRPr="007818E5" w:rsidRDefault="007818E5" w:rsidP="007818E5">
      <w:pPr>
        <w:widowControl w:val="0"/>
        <w:autoSpaceDE w:val="0"/>
        <w:autoSpaceDN w:val="0"/>
        <w:adjustRightInd w:val="0"/>
        <w:spacing w:after="0" w:line="480" w:lineRule="auto"/>
        <w:ind w:left="640" w:hanging="640"/>
        <w:rPr>
          <w:rFonts w:ascii="Calibri" w:hAnsi="Calibri" w:cs="Calibri"/>
          <w:noProof/>
          <w:szCs w:val="24"/>
        </w:rPr>
      </w:pPr>
      <w:r w:rsidRPr="007818E5">
        <w:rPr>
          <w:rFonts w:ascii="Calibri" w:hAnsi="Calibri" w:cs="Calibri"/>
          <w:noProof/>
          <w:szCs w:val="24"/>
        </w:rPr>
        <w:lastRenderedPageBreak/>
        <w:t xml:space="preserve">9. </w:t>
      </w:r>
      <w:r w:rsidRPr="007818E5">
        <w:rPr>
          <w:rFonts w:ascii="Calibri" w:hAnsi="Calibri" w:cs="Calibri"/>
          <w:noProof/>
          <w:szCs w:val="24"/>
        </w:rPr>
        <w:tab/>
        <w:t xml:space="preserve">Kapplinger JD, Tseng AS, Salisbury BA, et al. Enhancing the Predictive Power of Mutations in the C-Terminus of the KCNQ1-Encoded Kv7.1 Voltage-Gated Potassium Channel. </w:t>
      </w:r>
      <w:r w:rsidRPr="007818E5">
        <w:rPr>
          <w:rFonts w:ascii="Calibri" w:hAnsi="Calibri" w:cs="Calibri"/>
          <w:i/>
          <w:iCs/>
          <w:noProof/>
          <w:szCs w:val="24"/>
        </w:rPr>
        <w:t>J Cardiovasc Transl Res</w:t>
      </w:r>
      <w:r w:rsidRPr="007818E5">
        <w:rPr>
          <w:rFonts w:ascii="Calibri" w:hAnsi="Calibri" w:cs="Calibri"/>
          <w:noProof/>
          <w:szCs w:val="24"/>
        </w:rPr>
        <w:t>. 2015;8(3):187-197. doi:10.1007/s12265-015-9622-8</w:t>
      </w:r>
    </w:p>
    <w:p w14:paraId="12C3D0F6" w14:textId="77777777" w:rsidR="007818E5" w:rsidRPr="007818E5" w:rsidRDefault="007818E5" w:rsidP="007818E5">
      <w:pPr>
        <w:widowControl w:val="0"/>
        <w:autoSpaceDE w:val="0"/>
        <w:autoSpaceDN w:val="0"/>
        <w:adjustRightInd w:val="0"/>
        <w:spacing w:after="0" w:line="480" w:lineRule="auto"/>
        <w:ind w:left="640" w:hanging="640"/>
        <w:rPr>
          <w:rFonts w:ascii="Calibri" w:hAnsi="Calibri" w:cs="Calibri"/>
          <w:noProof/>
          <w:szCs w:val="24"/>
        </w:rPr>
      </w:pPr>
      <w:r w:rsidRPr="007818E5">
        <w:rPr>
          <w:rFonts w:ascii="Calibri" w:hAnsi="Calibri" w:cs="Calibri"/>
          <w:noProof/>
          <w:szCs w:val="24"/>
        </w:rPr>
        <w:t xml:space="preserve">10. </w:t>
      </w:r>
      <w:r w:rsidRPr="007818E5">
        <w:rPr>
          <w:rFonts w:ascii="Calibri" w:hAnsi="Calibri" w:cs="Calibri"/>
          <w:noProof/>
          <w:szCs w:val="24"/>
        </w:rPr>
        <w:tab/>
        <w:t xml:space="preserve">Kapplinger JD, Giudicessi JR, Ye D, et al. Enhanced Classification of Brugada Syndrome–Associated and Long-QT Syndrome–Associated Genetic Variants in the SCN5A -Encoded Na v 1.5 Cardiac Sodium ChannelCLINICAL PERSPECTIVE. </w:t>
      </w:r>
      <w:r w:rsidRPr="007818E5">
        <w:rPr>
          <w:rFonts w:ascii="Calibri" w:hAnsi="Calibri" w:cs="Calibri"/>
          <w:i/>
          <w:iCs/>
          <w:noProof/>
          <w:szCs w:val="24"/>
        </w:rPr>
        <w:t>Circ Cardiovasc Genet</w:t>
      </w:r>
      <w:r w:rsidRPr="007818E5">
        <w:rPr>
          <w:rFonts w:ascii="Calibri" w:hAnsi="Calibri" w:cs="Calibri"/>
          <w:noProof/>
          <w:szCs w:val="24"/>
        </w:rPr>
        <w:t>. 2015;8(4):582-595. doi:10.1161/CIRCGENETICS.114.000831</w:t>
      </w:r>
    </w:p>
    <w:p w14:paraId="7D34190C" w14:textId="77777777" w:rsidR="007818E5" w:rsidRPr="007818E5" w:rsidRDefault="007818E5" w:rsidP="007818E5">
      <w:pPr>
        <w:widowControl w:val="0"/>
        <w:autoSpaceDE w:val="0"/>
        <w:autoSpaceDN w:val="0"/>
        <w:adjustRightInd w:val="0"/>
        <w:spacing w:after="0" w:line="480" w:lineRule="auto"/>
        <w:ind w:left="640" w:hanging="640"/>
        <w:rPr>
          <w:rFonts w:ascii="Calibri" w:hAnsi="Calibri" w:cs="Calibri"/>
          <w:noProof/>
          <w:szCs w:val="24"/>
        </w:rPr>
      </w:pPr>
      <w:r w:rsidRPr="007818E5">
        <w:rPr>
          <w:rFonts w:ascii="Calibri" w:hAnsi="Calibri" w:cs="Calibri"/>
          <w:noProof/>
          <w:szCs w:val="24"/>
        </w:rPr>
        <w:t xml:space="preserve">11. </w:t>
      </w:r>
      <w:r w:rsidRPr="007818E5">
        <w:rPr>
          <w:rFonts w:ascii="Calibri" w:hAnsi="Calibri" w:cs="Calibri"/>
          <w:noProof/>
          <w:szCs w:val="24"/>
        </w:rPr>
        <w:tab/>
        <w:t xml:space="preserve">Lahrouchi N, Tadros R, Crotti L, et al. Transethnic Genome-Wide Association Study Provides Insights in the Genetic Architecture and Heritability of Long QT Syndrome. </w:t>
      </w:r>
      <w:r w:rsidRPr="007818E5">
        <w:rPr>
          <w:rFonts w:ascii="Calibri" w:hAnsi="Calibri" w:cs="Calibri"/>
          <w:i/>
          <w:iCs/>
          <w:noProof/>
          <w:szCs w:val="24"/>
        </w:rPr>
        <w:t>Circulation</w:t>
      </w:r>
      <w:r w:rsidRPr="007818E5">
        <w:rPr>
          <w:rFonts w:ascii="Calibri" w:hAnsi="Calibri" w:cs="Calibri"/>
          <w:noProof/>
          <w:szCs w:val="24"/>
        </w:rPr>
        <w:t>. May 2020. doi:10.1161/CIRCULATIONAHA.120.045956</w:t>
      </w:r>
    </w:p>
    <w:p w14:paraId="52B1DD97" w14:textId="77777777" w:rsidR="007818E5" w:rsidRPr="007818E5" w:rsidRDefault="007818E5" w:rsidP="007818E5">
      <w:pPr>
        <w:widowControl w:val="0"/>
        <w:autoSpaceDE w:val="0"/>
        <w:autoSpaceDN w:val="0"/>
        <w:adjustRightInd w:val="0"/>
        <w:spacing w:after="0" w:line="480" w:lineRule="auto"/>
        <w:ind w:left="640" w:hanging="640"/>
        <w:rPr>
          <w:rFonts w:ascii="Calibri" w:hAnsi="Calibri" w:cs="Calibri"/>
          <w:noProof/>
          <w:szCs w:val="24"/>
        </w:rPr>
      </w:pPr>
      <w:r w:rsidRPr="007818E5">
        <w:rPr>
          <w:rFonts w:ascii="Calibri" w:hAnsi="Calibri" w:cs="Calibri"/>
          <w:noProof/>
          <w:szCs w:val="24"/>
        </w:rPr>
        <w:t xml:space="preserve">12. </w:t>
      </w:r>
      <w:r w:rsidRPr="007818E5">
        <w:rPr>
          <w:rFonts w:ascii="Calibri" w:hAnsi="Calibri" w:cs="Calibri"/>
          <w:noProof/>
          <w:szCs w:val="24"/>
        </w:rPr>
        <w:tab/>
        <w:t xml:space="preserve">Whiffin N, Minikel E, Walsh R, et al. Using high-resolution variant frequencies to empower clinical genome interpretation. </w:t>
      </w:r>
      <w:r w:rsidRPr="007818E5">
        <w:rPr>
          <w:rFonts w:ascii="Calibri" w:hAnsi="Calibri" w:cs="Calibri"/>
          <w:i/>
          <w:iCs/>
          <w:noProof/>
          <w:szCs w:val="24"/>
        </w:rPr>
        <w:t>Genet Med</w:t>
      </w:r>
      <w:r w:rsidRPr="007818E5">
        <w:rPr>
          <w:rFonts w:ascii="Calibri" w:hAnsi="Calibri" w:cs="Calibri"/>
          <w:noProof/>
          <w:szCs w:val="24"/>
        </w:rPr>
        <w:t>. 2017;19(10):1151-1158. doi:10.1038/gim.2017.26</w:t>
      </w:r>
    </w:p>
    <w:p w14:paraId="0C8EC9FE" w14:textId="77777777" w:rsidR="007818E5" w:rsidRPr="007818E5" w:rsidRDefault="007818E5" w:rsidP="007818E5">
      <w:pPr>
        <w:widowControl w:val="0"/>
        <w:autoSpaceDE w:val="0"/>
        <w:autoSpaceDN w:val="0"/>
        <w:adjustRightInd w:val="0"/>
        <w:spacing w:after="0" w:line="480" w:lineRule="auto"/>
        <w:ind w:left="640" w:hanging="640"/>
        <w:rPr>
          <w:rFonts w:ascii="Calibri" w:hAnsi="Calibri" w:cs="Calibri"/>
          <w:noProof/>
          <w:szCs w:val="24"/>
        </w:rPr>
      </w:pPr>
      <w:r w:rsidRPr="007818E5">
        <w:rPr>
          <w:rFonts w:ascii="Calibri" w:hAnsi="Calibri" w:cs="Calibri"/>
          <w:noProof/>
          <w:szCs w:val="24"/>
        </w:rPr>
        <w:t xml:space="preserve">13. </w:t>
      </w:r>
      <w:r w:rsidRPr="007818E5">
        <w:rPr>
          <w:rFonts w:ascii="Calibri" w:hAnsi="Calibri" w:cs="Calibri"/>
          <w:noProof/>
          <w:szCs w:val="24"/>
        </w:rPr>
        <w:tab/>
        <w:t xml:space="preserve">Whiffin N, Walsh R, Govind R, et al. CardioClassifier: disease- and gene-specific computational decision support for clinical genome interpretation. </w:t>
      </w:r>
      <w:r w:rsidRPr="007818E5">
        <w:rPr>
          <w:rFonts w:ascii="Calibri" w:hAnsi="Calibri" w:cs="Calibri"/>
          <w:i/>
          <w:iCs/>
          <w:noProof/>
          <w:szCs w:val="24"/>
        </w:rPr>
        <w:t>Genet Med</w:t>
      </w:r>
      <w:r w:rsidRPr="007818E5">
        <w:rPr>
          <w:rFonts w:ascii="Calibri" w:hAnsi="Calibri" w:cs="Calibri"/>
          <w:noProof/>
          <w:szCs w:val="24"/>
        </w:rPr>
        <w:t>. 2018;20(10):1246-1254. doi:10.1038/gim.2017.258</w:t>
      </w:r>
    </w:p>
    <w:p w14:paraId="5CE7CA79" w14:textId="77777777" w:rsidR="007818E5" w:rsidRPr="007818E5" w:rsidRDefault="007818E5" w:rsidP="007818E5">
      <w:pPr>
        <w:widowControl w:val="0"/>
        <w:autoSpaceDE w:val="0"/>
        <w:autoSpaceDN w:val="0"/>
        <w:adjustRightInd w:val="0"/>
        <w:spacing w:after="0" w:line="480" w:lineRule="auto"/>
        <w:ind w:left="640" w:hanging="640"/>
        <w:rPr>
          <w:rFonts w:ascii="Calibri" w:hAnsi="Calibri" w:cs="Calibri"/>
          <w:noProof/>
          <w:szCs w:val="24"/>
        </w:rPr>
      </w:pPr>
      <w:r w:rsidRPr="007818E5">
        <w:rPr>
          <w:rFonts w:ascii="Calibri" w:hAnsi="Calibri" w:cs="Calibri"/>
          <w:noProof/>
          <w:szCs w:val="24"/>
        </w:rPr>
        <w:t xml:space="preserve">14. </w:t>
      </w:r>
      <w:r w:rsidRPr="007818E5">
        <w:rPr>
          <w:rFonts w:ascii="Calibri" w:hAnsi="Calibri" w:cs="Calibri"/>
          <w:noProof/>
          <w:szCs w:val="24"/>
        </w:rPr>
        <w:tab/>
        <w:t xml:space="preserve">Abou Tayoun AN, Pesaran T, DiStefano MT, et al. Recommendations for interpreting the loss of function PVS1 ACMG/AMP variant criterion. </w:t>
      </w:r>
      <w:r w:rsidRPr="007818E5">
        <w:rPr>
          <w:rFonts w:ascii="Calibri" w:hAnsi="Calibri" w:cs="Calibri"/>
          <w:i/>
          <w:iCs/>
          <w:noProof/>
          <w:szCs w:val="24"/>
        </w:rPr>
        <w:t>Hum Mutat</w:t>
      </w:r>
      <w:r w:rsidRPr="007818E5">
        <w:rPr>
          <w:rFonts w:ascii="Calibri" w:hAnsi="Calibri" w:cs="Calibri"/>
          <w:noProof/>
          <w:szCs w:val="24"/>
        </w:rPr>
        <w:t>. 2018;39(11):1517-1524. doi:10.1002/humu.23626</w:t>
      </w:r>
    </w:p>
    <w:p w14:paraId="434F5C73" w14:textId="77777777" w:rsidR="007818E5" w:rsidRPr="007818E5" w:rsidRDefault="007818E5" w:rsidP="007818E5">
      <w:pPr>
        <w:widowControl w:val="0"/>
        <w:autoSpaceDE w:val="0"/>
        <w:autoSpaceDN w:val="0"/>
        <w:adjustRightInd w:val="0"/>
        <w:spacing w:after="0" w:line="480" w:lineRule="auto"/>
        <w:ind w:left="640" w:hanging="640"/>
        <w:rPr>
          <w:rFonts w:ascii="Calibri" w:hAnsi="Calibri" w:cs="Calibri"/>
          <w:noProof/>
          <w:szCs w:val="24"/>
        </w:rPr>
      </w:pPr>
      <w:r w:rsidRPr="007818E5">
        <w:rPr>
          <w:rFonts w:ascii="Calibri" w:hAnsi="Calibri" w:cs="Calibri"/>
          <w:noProof/>
          <w:szCs w:val="24"/>
        </w:rPr>
        <w:t xml:space="preserve">15. </w:t>
      </w:r>
      <w:r w:rsidRPr="007818E5">
        <w:rPr>
          <w:rFonts w:ascii="Calibri" w:hAnsi="Calibri" w:cs="Calibri"/>
          <w:noProof/>
          <w:szCs w:val="24"/>
        </w:rPr>
        <w:tab/>
        <w:t xml:space="preserve">Glazer AM, Kroncke BM, Matreyek KA, et al. Deep Mutational Scan of an SCN5A Voltage Sensor. </w:t>
      </w:r>
      <w:r w:rsidRPr="007818E5">
        <w:rPr>
          <w:rFonts w:ascii="Calibri" w:hAnsi="Calibri" w:cs="Calibri"/>
          <w:i/>
          <w:iCs/>
          <w:noProof/>
          <w:szCs w:val="24"/>
        </w:rPr>
        <w:t>Circ Genomic Precis Med</w:t>
      </w:r>
      <w:r w:rsidRPr="007818E5">
        <w:rPr>
          <w:rFonts w:ascii="Calibri" w:hAnsi="Calibri" w:cs="Calibri"/>
          <w:noProof/>
          <w:szCs w:val="24"/>
        </w:rPr>
        <w:t>. 2020;13(1):e002786. doi:10.1161/CIRCGEN.119.002786</w:t>
      </w:r>
    </w:p>
    <w:p w14:paraId="569A6F1C" w14:textId="77777777" w:rsidR="007818E5" w:rsidRPr="007818E5" w:rsidRDefault="007818E5" w:rsidP="007818E5">
      <w:pPr>
        <w:widowControl w:val="0"/>
        <w:autoSpaceDE w:val="0"/>
        <w:autoSpaceDN w:val="0"/>
        <w:adjustRightInd w:val="0"/>
        <w:spacing w:after="0" w:line="480" w:lineRule="auto"/>
        <w:ind w:left="640" w:hanging="640"/>
        <w:rPr>
          <w:rFonts w:ascii="Calibri" w:hAnsi="Calibri" w:cs="Calibri"/>
          <w:noProof/>
          <w:szCs w:val="24"/>
        </w:rPr>
      </w:pPr>
      <w:r w:rsidRPr="007818E5">
        <w:rPr>
          <w:rFonts w:ascii="Calibri" w:hAnsi="Calibri" w:cs="Calibri"/>
          <w:noProof/>
          <w:szCs w:val="24"/>
        </w:rPr>
        <w:t xml:space="preserve">16. </w:t>
      </w:r>
      <w:r w:rsidRPr="007818E5">
        <w:rPr>
          <w:rFonts w:ascii="Calibri" w:hAnsi="Calibri" w:cs="Calibri"/>
          <w:noProof/>
          <w:szCs w:val="24"/>
        </w:rPr>
        <w:tab/>
        <w:t xml:space="preserve">Probst V, Wilde AAM, Barc J, et al. SCN5A mutations and the role of genetic background in the pathophysiology of Brugada syndrome. </w:t>
      </w:r>
      <w:r w:rsidRPr="007818E5">
        <w:rPr>
          <w:rFonts w:ascii="Calibri" w:hAnsi="Calibri" w:cs="Calibri"/>
          <w:i/>
          <w:iCs/>
          <w:noProof/>
          <w:szCs w:val="24"/>
        </w:rPr>
        <w:t>Circ Cardiovasc Genet</w:t>
      </w:r>
      <w:r w:rsidRPr="007818E5">
        <w:rPr>
          <w:rFonts w:ascii="Calibri" w:hAnsi="Calibri" w:cs="Calibri"/>
          <w:noProof/>
          <w:szCs w:val="24"/>
        </w:rPr>
        <w:t>. 2009;2(6):552-557. doi:10.1161/CIRCGENETICS.109.853374</w:t>
      </w:r>
    </w:p>
    <w:p w14:paraId="7DA55C03" w14:textId="77777777" w:rsidR="007818E5" w:rsidRPr="007818E5" w:rsidRDefault="007818E5" w:rsidP="007818E5">
      <w:pPr>
        <w:widowControl w:val="0"/>
        <w:autoSpaceDE w:val="0"/>
        <w:autoSpaceDN w:val="0"/>
        <w:adjustRightInd w:val="0"/>
        <w:spacing w:after="0" w:line="480" w:lineRule="auto"/>
        <w:ind w:left="640" w:hanging="640"/>
        <w:rPr>
          <w:rFonts w:ascii="Calibri" w:hAnsi="Calibri" w:cs="Calibri"/>
          <w:noProof/>
          <w:szCs w:val="24"/>
        </w:rPr>
      </w:pPr>
      <w:r w:rsidRPr="007818E5">
        <w:rPr>
          <w:rFonts w:ascii="Calibri" w:hAnsi="Calibri" w:cs="Calibri"/>
          <w:noProof/>
          <w:szCs w:val="24"/>
        </w:rPr>
        <w:t xml:space="preserve">17. </w:t>
      </w:r>
      <w:r w:rsidRPr="007818E5">
        <w:rPr>
          <w:rFonts w:ascii="Calibri" w:hAnsi="Calibri" w:cs="Calibri"/>
          <w:noProof/>
          <w:szCs w:val="24"/>
        </w:rPr>
        <w:tab/>
        <w:t xml:space="preserve">Tavtigian S V, Greenblatt MS, Harrison SM, et al. Modeling the ACMG/AMP variant classification guidelines as a Bayesian classification framework. </w:t>
      </w:r>
      <w:r w:rsidRPr="007818E5">
        <w:rPr>
          <w:rFonts w:ascii="Calibri" w:hAnsi="Calibri" w:cs="Calibri"/>
          <w:i/>
          <w:iCs/>
          <w:noProof/>
          <w:szCs w:val="24"/>
        </w:rPr>
        <w:t>Genet Med</w:t>
      </w:r>
      <w:r w:rsidRPr="007818E5">
        <w:rPr>
          <w:rFonts w:ascii="Calibri" w:hAnsi="Calibri" w:cs="Calibri"/>
          <w:noProof/>
          <w:szCs w:val="24"/>
        </w:rPr>
        <w:t>. 2018;20(9):1054-1060. doi:10.1038/gim.2017.210</w:t>
      </w:r>
    </w:p>
    <w:p w14:paraId="4BC7CCEF" w14:textId="77777777" w:rsidR="007818E5" w:rsidRPr="007818E5" w:rsidRDefault="007818E5" w:rsidP="007818E5">
      <w:pPr>
        <w:widowControl w:val="0"/>
        <w:autoSpaceDE w:val="0"/>
        <w:autoSpaceDN w:val="0"/>
        <w:adjustRightInd w:val="0"/>
        <w:spacing w:after="0" w:line="480" w:lineRule="auto"/>
        <w:ind w:left="640" w:hanging="640"/>
        <w:rPr>
          <w:rFonts w:ascii="Calibri" w:hAnsi="Calibri" w:cs="Calibri"/>
          <w:noProof/>
          <w:szCs w:val="24"/>
        </w:rPr>
      </w:pPr>
      <w:r w:rsidRPr="007818E5">
        <w:rPr>
          <w:rFonts w:ascii="Calibri" w:hAnsi="Calibri" w:cs="Calibri"/>
          <w:noProof/>
          <w:szCs w:val="24"/>
        </w:rPr>
        <w:lastRenderedPageBreak/>
        <w:t xml:space="preserve">18. </w:t>
      </w:r>
      <w:r w:rsidRPr="007818E5">
        <w:rPr>
          <w:rFonts w:ascii="Calibri" w:hAnsi="Calibri" w:cs="Calibri"/>
          <w:noProof/>
          <w:szCs w:val="24"/>
        </w:rPr>
        <w:tab/>
        <w:t xml:space="preserve">Kapplinger JD, Tester DJ, Salisbury BA, et al. Spectrum and prevalence of mutations from the first 2,500 consecutive unrelated patients referred for the FAMILION long QT syndrome genetic test. </w:t>
      </w:r>
      <w:r w:rsidRPr="007818E5">
        <w:rPr>
          <w:rFonts w:ascii="Calibri" w:hAnsi="Calibri" w:cs="Calibri"/>
          <w:i/>
          <w:iCs/>
          <w:noProof/>
          <w:szCs w:val="24"/>
        </w:rPr>
        <w:t>Hear Rhythm</w:t>
      </w:r>
      <w:r w:rsidRPr="007818E5">
        <w:rPr>
          <w:rFonts w:ascii="Calibri" w:hAnsi="Calibri" w:cs="Calibri"/>
          <w:noProof/>
          <w:szCs w:val="24"/>
        </w:rPr>
        <w:t>. 2009;6(9):1297-1303. doi:10.1016/j.hrthm.2009.05.021</w:t>
      </w:r>
    </w:p>
    <w:p w14:paraId="4B0DD1C1" w14:textId="77777777" w:rsidR="007818E5" w:rsidRPr="007818E5" w:rsidRDefault="007818E5" w:rsidP="007818E5">
      <w:pPr>
        <w:widowControl w:val="0"/>
        <w:autoSpaceDE w:val="0"/>
        <w:autoSpaceDN w:val="0"/>
        <w:adjustRightInd w:val="0"/>
        <w:spacing w:after="0" w:line="480" w:lineRule="auto"/>
        <w:ind w:left="640" w:hanging="640"/>
        <w:rPr>
          <w:rFonts w:ascii="Calibri" w:hAnsi="Calibri" w:cs="Calibri"/>
          <w:noProof/>
          <w:szCs w:val="24"/>
        </w:rPr>
      </w:pPr>
      <w:r w:rsidRPr="007818E5">
        <w:rPr>
          <w:rFonts w:ascii="Calibri" w:hAnsi="Calibri" w:cs="Calibri"/>
          <w:noProof/>
          <w:szCs w:val="24"/>
        </w:rPr>
        <w:t xml:space="preserve">19. </w:t>
      </w:r>
      <w:r w:rsidRPr="007818E5">
        <w:rPr>
          <w:rFonts w:ascii="Calibri" w:hAnsi="Calibri" w:cs="Calibri"/>
          <w:noProof/>
          <w:szCs w:val="24"/>
        </w:rPr>
        <w:tab/>
        <w:t xml:space="preserve">Lahrouchi N, Raju H, Lodder EM, et al. Utility of Post-Mortem Genetic Testing in Cases of Sudden Arrhythmic Death Syndrome. </w:t>
      </w:r>
      <w:r w:rsidRPr="007818E5">
        <w:rPr>
          <w:rFonts w:ascii="Calibri" w:hAnsi="Calibri" w:cs="Calibri"/>
          <w:i/>
          <w:iCs/>
          <w:noProof/>
          <w:szCs w:val="24"/>
        </w:rPr>
        <w:t>J Am Coll Cardiol</w:t>
      </w:r>
      <w:r w:rsidRPr="007818E5">
        <w:rPr>
          <w:rFonts w:ascii="Calibri" w:hAnsi="Calibri" w:cs="Calibri"/>
          <w:noProof/>
          <w:szCs w:val="24"/>
        </w:rPr>
        <w:t>. 2017;69(17):2134-2145. doi:10.1016/j.jacc.2017.02.046</w:t>
      </w:r>
    </w:p>
    <w:p w14:paraId="6C34A649" w14:textId="77777777" w:rsidR="007818E5" w:rsidRPr="007818E5" w:rsidRDefault="007818E5" w:rsidP="007818E5">
      <w:pPr>
        <w:widowControl w:val="0"/>
        <w:autoSpaceDE w:val="0"/>
        <w:autoSpaceDN w:val="0"/>
        <w:adjustRightInd w:val="0"/>
        <w:spacing w:after="0" w:line="480" w:lineRule="auto"/>
        <w:ind w:left="640" w:hanging="640"/>
        <w:rPr>
          <w:rFonts w:ascii="Calibri" w:hAnsi="Calibri" w:cs="Calibri"/>
          <w:noProof/>
        </w:rPr>
      </w:pPr>
      <w:r w:rsidRPr="007818E5">
        <w:rPr>
          <w:rFonts w:ascii="Calibri" w:hAnsi="Calibri" w:cs="Calibri"/>
          <w:noProof/>
          <w:szCs w:val="24"/>
        </w:rPr>
        <w:t xml:space="preserve">20. </w:t>
      </w:r>
      <w:r w:rsidRPr="007818E5">
        <w:rPr>
          <w:rFonts w:ascii="Calibri" w:hAnsi="Calibri" w:cs="Calibri"/>
          <w:noProof/>
          <w:szCs w:val="24"/>
        </w:rPr>
        <w:tab/>
        <w:t xml:space="preserve">Landry LG, Rehm HL. Association of Racial/Ethnic Categories With the Ability of Genetic Tests to Detect a Cause of Cardiomyopathy. </w:t>
      </w:r>
      <w:r w:rsidRPr="007818E5">
        <w:rPr>
          <w:rFonts w:ascii="Calibri" w:hAnsi="Calibri" w:cs="Calibri"/>
          <w:i/>
          <w:iCs/>
          <w:noProof/>
          <w:szCs w:val="24"/>
        </w:rPr>
        <w:t>JAMA Cardiol</w:t>
      </w:r>
      <w:r w:rsidRPr="007818E5">
        <w:rPr>
          <w:rFonts w:ascii="Calibri" w:hAnsi="Calibri" w:cs="Calibri"/>
          <w:noProof/>
          <w:szCs w:val="24"/>
        </w:rPr>
        <w:t>. 2018;3(4):341-345. doi:10.1001/jamacardio.2017.5333</w:t>
      </w:r>
    </w:p>
    <w:p w14:paraId="7681847F" w14:textId="77777777" w:rsidR="00F45553" w:rsidRDefault="00CA0DD7" w:rsidP="003C4A57">
      <w:pPr>
        <w:spacing w:after="0" w:line="480" w:lineRule="auto"/>
        <w:jc w:val="both"/>
      </w:pPr>
      <w:r>
        <w:fldChar w:fldCharType="end"/>
      </w:r>
    </w:p>
    <w:p w14:paraId="5D8741F9" w14:textId="77777777" w:rsidR="00F45553" w:rsidRDefault="00F45553" w:rsidP="00F42FE2">
      <w:pPr>
        <w:jc w:val="both"/>
      </w:pPr>
    </w:p>
    <w:p w14:paraId="6A32513C" w14:textId="77777777" w:rsidR="0006346F" w:rsidRDefault="0006346F" w:rsidP="00F42FE2">
      <w:pPr>
        <w:jc w:val="both"/>
      </w:pPr>
    </w:p>
    <w:p w14:paraId="27636CF3" w14:textId="77777777" w:rsidR="0006346F" w:rsidRDefault="0006346F" w:rsidP="00F42FE2">
      <w:pPr>
        <w:jc w:val="both"/>
      </w:pPr>
    </w:p>
    <w:p w14:paraId="2C576D50" w14:textId="77777777" w:rsidR="0006346F" w:rsidRDefault="0006346F" w:rsidP="00F42FE2">
      <w:pPr>
        <w:jc w:val="both"/>
      </w:pPr>
    </w:p>
    <w:p w14:paraId="31095108" w14:textId="77777777" w:rsidR="0006346F" w:rsidRDefault="0006346F" w:rsidP="00F42FE2">
      <w:pPr>
        <w:jc w:val="both"/>
      </w:pPr>
    </w:p>
    <w:p w14:paraId="4D7677DF" w14:textId="77777777" w:rsidR="0006346F" w:rsidRDefault="0006346F" w:rsidP="00F42FE2">
      <w:pPr>
        <w:jc w:val="both"/>
      </w:pPr>
    </w:p>
    <w:p w14:paraId="54E1894A" w14:textId="77777777" w:rsidR="0006346F" w:rsidRDefault="0006346F" w:rsidP="00F42FE2">
      <w:pPr>
        <w:jc w:val="both"/>
      </w:pPr>
    </w:p>
    <w:p w14:paraId="6B5CCF92" w14:textId="77777777" w:rsidR="0006346F" w:rsidRDefault="0006346F" w:rsidP="00F42FE2">
      <w:pPr>
        <w:jc w:val="both"/>
      </w:pPr>
    </w:p>
    <w:p w14:paraId="0A7778A2" w14:textId="77777777" w:rsidR="00AD19B4" w:rsidRDefault="00AD19B4" w:rsidP="00F42FE2">
      <w:pPr>
        <w:jc w:val="both"/>
      </w:pPr>
    </w:p>
    <w:p w14:paraId="245BA80F" w14:textId="77777777" w:rsidR="00AD19B4" w:rsidRDefault="00AD19B4" w:rsidP="00F42FE2">
      <w:pPr>
        <w:jc w:val="both"/>
      </w:pPr>
    </w:p>
    <w:p w14:paraId="6B4B0CAE" w14:textId="77777777" w:rsidR="00AD19B4" w:rsidRDefault="00AD19B4" w:rsidP="00F42FE2">
      <w:pPr>
        <w:jc w:val="both"/>
      </w:pPr>
    </w:p>
    <w:p w14:paraId="3932691F" w14:textId="77777777" w:rsidR="00AD19B4" w:rsidRDefault="00AD19B4" w:rsidP="00F42FE2">
      <w:pPr>
        <w:jc w:val="both"/>
      </w:pPr>
    </w:p>
    <w:p w14:paraId="5DF7921E" w14:textId="77777777" w:rsidR="00AD19B4" w:rsidRDefault="00AD19B4" w:rsidP="00F42FE2">
      <w:pPr>
        <w:jc w:val="both"/>
      </w:pPr>
    </w:p>
    <w:p w14:paraId="7DAD6A27" w14:textId="77777777" w:rsidR="00AD19B4" w:rsidRDefault="00AD19B4" w:rsidP="00F42FE2">
      <w:pPr>
        <w:jc w:val="both"/>
      </w:pPr>
    </w:p>
    <w:p w14:paraId="00CE5188" w14:textId="77777777" w:rsidR="00AD19B4" w:rsidRDefault="00AD19B4" w:rsidP="00F42FE2">
      <w:pPr>
        <w:jc w:val="both"/>
      </w:pPr>
    </w:p>
    <w:p w14:paraId="061A8F86" w14:textId="77777777" w:rsidR="00AD19B4" w:rsidRDefault="00AD19B4" w:rsidP="00F42FE2">
      <w:pPr>
        <w:jc w:val="both"/>
      </w:pPr>
    </w:p>
    <w:p w14:paraId="4400B53D" w14:textId="77777777" w:rsidR="00AD19B4" w:rsidRDefault="00AD19B4" w:rsidP="00F42FE2">
      <w:pPr>
        <w:jc w:val="both"/>
      </w:pPr>
    </w:p>
    <w:p w14:paraId="6A35B4EA" w14:textId="77777777" w:rsidR="00AD19B4" w:rsidRDefault="00AD19B4" w:rsidP="00F42FE2">
      <w:pPr>
        <w:jc w:val="both"/>
      </w:pPr>
    </w:p>
    <w:p w14:paraId="6293FF42" w14:textId="77777777" w:rsidR="0006346F" w:rsidRDefault="0006346F" w:rsidP="00F42FE2">
      <w:pPr>
        <w:jc w:val="both"/>
      </w:pPr>
    </w:p>
    <w:p w14:paraId="356B5A13" w14:textId="32427940" w:rsidR="0006346F" w:rsidRPr="0006346F" w:rsidRDefault="00C112D5" w:rsidP="00521E45">
      <w:pPr>
        <w:spacing w:after="0" w:line="480" w:lineRule="auto"/>
        <w:rPr>
          <w:b/>
        </w:rPr>
      </w:pPr>
      <w:r>
        <w:rPr>
          <w:b/>
        </w:rPr>
        <w:lastRenderedPageBreak/>
        <w:t>FIGURES</w:t>
      </w:r>
    </w:p>
    <w:p w14:paraId="3B3267BD" w14:textId="586D33E3" w:rsidR="00C112D5" w:rsidRPr="00C112D5" w:rsidRDefault="00C112D5" w:rsidP="00521E45">
      <w:pPr>
        <w:spacing w:after="0" w:line="480" w:lineRule="auto"/>
      </w:pPr>
      <w:r>
        <w:pict w14:anchorId="43BF6A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2pt;height:333pt">
            <v:imagedata r:id="rId9" o:title="Figure 1"/>
          </v:shape>
        </w:pict>
      </w:r>
    </w:p>
    <w:p w14:paraId="1CF63F58" w14:textId="77777777" w:rsidR="0006346F" w:rsidRDefault="0006346F" w:rsidP="00521E45">
      <w:pPr>
        <w:spacing w:after="0" w:line="480" w:lineRule="auto"/>
        <w:rPr>
          <w:i/>
        </w:rPr>
      </w:pPr>
      <w:r>
        <w:rPr>
          <w:i/>
        </w:rPr>
        <w:t>Figure 1: For rare non-truncating variants in autosomal dominant disease, evidence classes and ACMG/AMP rules (rule codes from Richards et al</w:t>
      </w:r>
      <w:r>
        <w:rPr>
          <w:i/>
        </w:rPr>
        <w:fldChar w:fldCharType="begin" w:fldLock="1"/>
      </w:r>
      <w:r>
        <w:rPr>
          <w:i/>
        </w:rPr>
        <w:instrText>ADDIN CSL_CITATION {"citationItems":[{"id":"ITEM-1","itemData":{"DOI":"10.1038/gim.2015.30","ISSN":"1098-3600","author":[{"dropping-particle":"","family":"Richards","given":"Sue","non-dropping-particle":"","parse-names":false,"suffix":""},{"dropping-particle":"","family":"Aziz","given":"Nazneen","non-dropping-particle":"","parse-names":false,"suffix":""},{"dropping-particle":"","family":"Bale","given":"Sherri","non-dropping-particle":"","parse-names":false,"suffix":""},{"dropping-particle":"","family":"Bick","given":"David","non-dropping-particle":"","parse-names":false,"suffix":""},{"dropping-particle":"","family":"Das","given":"Soma","non-dropping-particle":"","parse-names":false,"suffix":""},{"dropping-particle":"","family":"Gastier-Foster","given":"Julie","non-dropping-particle":"","parse-names":false,"suffix":""},{"dropping-particle":"","family":"Grody","given":"Wayne W.","non-dropping-particle":"","parse-names":false,"suffix":""},{"dropping-particle":"","family":"Hegde","given":"Madhuri","non-dropping-particle":"","parse-names":false,"suffix":""},{"dropping-particle":"","family":"Lyon","given":"Elaine","non-dropping-particle":"","parse-names":false,"suffix":""},{"dropping-particle":"","family":"Spector","given":"Elaine","non-dropping-particle":"","parse-names":false,"suffix":""},{"dropping-particle":"","family":"Voelkerding","given":"Karl","non-dropping-particle":"","parse-names":false,"suffix":""},{"dropping-particle":"","family":"Rehm","given":"Heidi L.","non-dropping-particle":"","parse-names":false,"suffix":""}],"container-title":"Genetics in Medicine","id":"ITEM-1","issue":"5","issued":{"date-parts":[["2015","5","5"]]},"page":"405-423","title":"Standards and guidelines for the interpretation of sequence variants: a joint consensus recommendation of the American College of Medical Genetics and Genomics and the Association for Molecular Pathology","type":"article-journal","volume":"17"},"uris":["http://www.mendeley.com/documents/?uuid=aa3c211c-1e40-4e48-9d8b-799a3b7ec11c"]}],"mendeley":{"formattedCitation":"&lt;sup&gt;3&lt;/sup&gt;","plainTextFormattedCitation":"3","previouslyFormattedCitation":"&lt;sup&gt;3&lt;/sup&gt;"},"properties":{"noteIndex":0},"schema":"https://github.com/citation-style-language/schema/raw/master/csl-citation.json"}</w:instrText>
      </w:r>
      <w:r>
        <w:rPr>
          <w:i/>
        </w:rPr>
        <w:fldChar w:fldCharType="separate"/>
      </w:r>
      <w:r w:rsidRPr="00F22092">
        <w:rPr>
          <w:noProof/>
          <w:vertAlign w:val="superscript"/>
        </w:rPr>
        <w:t>3</w:t>
      </w:r>
      <w:r>
        <w:rPr>
          <w:i/>
        </w:rPr>
        <w:fldChar w:fldCharType="end"/>
      </w:r>
      <w:r>
        <w:rPr>
          <w:i/>
        </w:rPr>
        <w:t>) can be broadly grouped by their power to distinguish between pathogenic and benign variants (y-axis) and the likelihood that such evidence will be available (x-axis). Variant-specific evidence (such as co-segregation in family pedigrees) is powerful but often unavailable for genetically heterogeneous diseases. Supporting evidence (such as population frequency) can be applied to most variants but is rarely sufficient for definitive classification. If available, data from case-control studies, relating to enrichment of specific variants or classes of variants, provides powerful gene/disease-specific evidence and helps to address the high false negative rate associated with stringent contemporary guidelines.</w:t>
      </w:r>
    </w:p>
    <w:p w14:paraId="59AF30D3" w14:textId="77777777" w:rsidR="0006346F" w:rsidRDefault="0006346F" w:rsidP="00521E45">
      <w:pPr>
        <w:spacing w:after="0" w:line="480" w:lineRule="auto"/>
      </w:pPr>
    </w:p>
    <w:p w14:paraId="706C8299" w14:textId="77777777" w:rsidR="00C112D5" w:rsidRDefault="00C112D5" w:rsidP="00521E45">
      <w:pPr>
        <w:spacing w:after="0" w:line="480" w:lineRule="auto"/>
      </w:pPr>
    </w:p>
    <w:p w14:paraId="0DDB2072" w14:textId="77777777" w:rsidR="00C112D5" w:rsidRDefault="00C112D5" w:rsidP="00521E45">
      <w:pPr>
        <w:spacing w:after="0" w:line="480" w:lineRule="auto"/>
      </w:pPr>
    </w:p>
    <w:p w14:paraId="04C1A811" w14:textId="77777777" w:rsidR="00C112D5" w:rsidRDefault="00C112D5" w:rsidP="00521E45">
      <w:pPr>
        <w:spacing w:after="0" w:line="480" w:lineRule="auto"/>
        <w:sectPr w:rsidR="00C112D5">
          <w:footerReference w:type="default" r:id="rId10"/>
          <w:pgSz w:w="11906" w:h="16838"/>
          <w:pgMar w:top="1440" w:right="1440" w:bottom="1440" w:left="1440" w:header="708" w:footer="708" w:gutter="0"/>
          <w:cols w:space="708"/>
          <w:docGrid w:linePitch="360"/>
        </w:sectPr>
      </w:pPr>
    </w:p>
    <w:p w14:paraId="2A786871" w14:textId="0FEA9997" w:rsidR="00C112D5" w:rsidRPr="00C112D5" w:rsidRDefault="00C112D5" w:rsidP="00521E45">
      <w:pPr>
        <w:spacing w:after="0" w:line="480" w:lineRule="auto"/>
      </w:pPr>
      <w:r>
        <w:lastRenderedPageBreak/>
        <w:pict w14:anchorId="44F408D0">
          <v:shape id="_x0000_i1026" type="#_x0000_t75" style="width:761.4pt;height:333.6pt">
            <v:imagedata r:id="rId11" o:title="NEW Figure 2 - A and B"/>
          </v:shape>
        </w:pict>
      </w:r>
    </w:p>
    <w:p w14:paraId="09EA9308" w14:textId="122A596D" w:rsidR="0006346F" w:rsidRDefault="0006346F" w:rsidP="00521E45">
      <w:pPr>
        <w:spacing w:after="0" w:line="480" w:lineRule="auto"/>
        <w:rPr>
          <w:i/>
        </w:rPr>
      </w:pPr>
      <w:r>
        <w:rPr>
          <w:i/>
        </w:rPr>
        <w:t xml:space="preserve">Figure 2: </w:t>
      </w:r>
      <w:r w:rsidR="00FB56B0">
        <w:rPr>
          <w:i/>
        </w:rPr>
        <w:t xml:space="preserve">(A) </w:t>
      </w:r>
      <w:r w:rsidRPr="004B6A53">
        <w:rPr>
          <w:rFonts w:cstheme="minorHAnsi"/>
          <w:i/>
          <w:color w:val="231F20"/>
        </w:rPr>
        <w:t>The odds ratio for disease-association for LQTS (KCN</w:t>
      </w:r>
      <w:r>
        <w:rPr>
          <w:rFonts w:cstheme="minorHAnsi"/>
          <w:i/>
          <w:color w:val="231F20"/>
        </w:rPr>
        <w:t>Q</w:t>
      </w:r>
      <w:r w:rsidRPr="004B6A53">
        <w:rPr>
          <w:rFonts w:cstheme="minorHAnsi"/>
          <w:i/>
          <w:color w:val="231F20"/>
        </w:rPr>
        <w:t xml:space="preserve">1, </w:t>
      </w:r>
      <w:r w:rsidRPr="0095771E">
        <w:rPr>
          <w:rFonts w:cstheme="minorHAnsi"/>
          <w:i/>
          <w:color w:val="231F20"/>
        </w:rPr>
        <w:t>KCNH2</w:t>
      </w:r>
      <w:r w:rsidRPr="004B6A53">
        <w:rPr>
          <w:rFonts w:cstheme="minorHAnsi"/>
          <w:i/>
          <w:color w:val="231F20"/>
        </w:rPr>
        <w:t xml:space="preserve">, </w:t>
      </w:r>
      <w:r w:rsidRPr="0095771E">
        <w:rPr>
          <w:rFonts w:cstheme="minorHAnsi"/>
          <w:i/>
          <w:color w:val="231F20"/>
        </w:rPr>
        <w:t>SCN5A</w:t>
      </w:r>
      <w:r w:rsidRPr="004B6A53">
        <w:rPr>
          <w:rFonts w:cstheme="minorHAnsi"/>
          <w:i/>
          <w:color w:val="231F20"/>
        </w:rPr>
        <w:t>) and BrS (</w:t>
      </w:r>
      <w:r w:rsidRPr="0095771E">
        <w:rPr>
          <w:rFonts w:cstheme="minorHAnsi"/>
          <w:i/>
          <w:color w:val="231F20"/>
        </w:rPr>
        <w:t>SCN5A</w:t>
      </w:r>
      <w:r w:rsidRPr="004B6A53">
        <w:rPr>
          <w:rFonts w:cstheme="minorHAnsi"/>
          <w:i/>
          <w:color w:val="231F20"/>
        </w:rPr>
        <w:t xml:space="preserve">) stratified by filtering allele frequency, based on the prevalence of rare variants in the </w:t>
      </w:r>
      <w:r>
        <w:rPr>
          <w:rFonts w:cstheme="minorHAnsi"/>
          <w:i/>
          <w:color w:val="231F20"/>
        </w:rPr>
        <w:t>European</w:t>
      </w:r>
      <w:r w:rsidRPr="004B6A53">
        <w:rPr>
          <w:rFonts w:cstheme="minorHAnsi"/>
          <w:i/>
          <w:color w:val="231F20"/>
        </w:rPr>
        <w:t xml:space="preserve"> arrhythmia cohorts and gnomAD exomes. Data for each bin is plotted at the upper frequency cut</w:t>
      </w:r>
      <w:r>
        <w:rPr>
          <w:rFonts w:cstheme="minorHAnsi"/>
          <w:i/>
          <w:color w:val="231F20"/>
        </w:rPr>
        <w:t>-</w:t>
      </w:r>
      <w:r w:rsidRPr="004B6A53">
        <w:rPr>
          <w:rFonts w:cstheme="minorHAnsi"/>
          <w:i/>
          <w:color w:val="231F20"/>
        </w:rPr>
        <w:t>off. Error bars represent 95% confidence intervals.</w:t>
      </w:r>
      <w:r>
        <w:rPr>
          <w:rFonts w:cstheme="minorHAnsi"/>
          <w:i/>
          <w:color w:val="231F20"/>
        </w:rPr>
        <w:t xml:space="preserve"> The dashed grey line indicates an OR of 1.</w:t>
      </w:r>
      <w:r w:rsidR="00FB56B0">
        <w:rPr>
          <w:rFonts w:cstheme="minorHAnsi"/>
          <w:i/>
          <w:color w:val="231F20"/>
        </w:rPr>
        <w:t xml:space="preserve"> (B)</w:t>
      </w:r>
      <w:r w:rsidRPr="00753543">
        <w:rPr>
          <w:i/>
        </w:rPr>
        <w:t xml:space="preserve"> </w:t>
      </w:r>
      <w:r>
        <w:rPr>
          <w:i/>
        </w:rPr>
        <w:t xml:space="preserve">Proportion of cases in the BrS and LQTS European and Japanese cohorts with rare non-truncating (missense and inframe insertions/deletions) and truncating (frameshift, nonsense, splice) variants (blue) and comparison to the frequency of such variants in population-specific gnomAD datasets (grey). The darker shades indicate the rarest variants corresponding to an estimated penetrance of </w:t>
      </w:r>
      <w:r>
        <w:rPr>
          <w:rFonts w:cstheme="minorHAnsi"/>
          <w:i/>
        </w:rPr>
        <w:t>≥50% (</w:t>
      </w:r>
      <w:r w:rsidRPr="008E52EA">
        <w:rPr>
          <w:rFonts w:cstheme="minorHAnsi"/>
          <w:i/>
        </w:rPr>
        <w:t>FAF&lt;</w:t>
      </w:r>
      <w:r w:rsidRPr="008E52EA">
        <w:rPr>
          <w:i/>
        </w:rPr>
        <w:t>1.0x10</w:t>
      </w:r>
      <w:r w:rsidRPr="008E52EA">
        <w:rPr>
          <w:i/>
          <w:vertAlign w:val="superscript"/>
        </w:rPr>
        <w:t>-5</w:t>
      </w:r>
      <w:r>
        <w:rPr>
          <w:i/>
        </w:rPr>
        <w:t xml:space="preserve"> </w:t>
      </w:r>
      <w:r w:rsidRPr="008E52EA">
        <w:rPr>
          <w:i/>
        </w:rPr>
        <w:t>and 1.1x10</w:t>
      </w:r>
      <w:r w:rsidRPr="008E52EA">
        <w:rPr>
          <w:i/>
          <w:vertAlign w:val="superscript"/>
        </w:rPr>
        <w:t>-5</w:t>
      </w:r>
      <w:r>
        <w:rPr>
          <w:i/>
        </w:rPr>
        <w:t xml:space="preserve"> for BrS and LQTS respectively), while the lighter shades represent variants in the 10-50% penetrance range.</w:t>
      </w:r>
    </w:p>
    <w:p w14:paraId="26BD684F" w14:textId="77777777" w:rsidR="0006346F" w:rsidRPr="00C112D5" w:rsidRDefault="0006346F" w:rsidP="00521E45">
      <w:pPr>
        <w:spacing w:after="0" w:line="480" w:lineRule="auto"/>
      </w:pPr>
    </w:p>
    <w:p w14:paraId="220ED536" w14:textId="5AE04A26" w:rsidR="00C112D5" w:rsidRPr="00C112D5" w:rsidRDefault="00C112D5" w:rsidP="00C112D5">
      <w:pPr>
        <w:spacing w:after="0" w:line="480" w:lineRule="auto"/>
        <w:jc w:val="center"/>
      </w:pPr>
      <w:r>
        <w:rPr>
          <w:noProof/>
          <w:lang w:eastAsia="en-GB"/>
        </w:rPr>
        <w:drawing>
          <wp:inline distT="0" distB="0" distL="0" distR="0" wp14:anchorId="264FA7BE" wp14:editId="0C34C7E8">
            <wp:extent cx="8138160" cy="5780610"/>
            <wp:effectExtent l="0" t="0" r="0" b="0"/>
            <wp:docPr id="1" name="Picture 1" descr="C:\Users\rwalsh\AppData\Local\Microsoft\Windows\INetCache\Content.Word\NEW 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walsh\AppData\Local\Microsoft\Windows\INetCache\Content.Word\NEW Figure 3.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45839" cy="5786064"/>
                    </a:xfrm>
                    <a:prstGeom prst="rect">
                      <a:avLst/>
                    </a:prstGeom>
                    <a:noFill/>
                    <a:ln>
                      <a:noFill/>
                    </a:ln>
                  </pic:spPr>
                </pic:pic>
              </a:graphicData>
            </a:graphic>
          </wp:inline>
        </w:drawing>
      </w:r>
    </w:p>
    <w:p w14:paraId="2E163DDA" w14:textId="77777777" w:rsidR="00C112D5" w:rsidRPr="00C112D5" w:rsidRDefault="00C112D5" w:rsidP="00521E45">
      <w:pPr>
        <w:spacing w:after="0" w:line="480" w:lineRule="auto"/>
      </w:pPr>
    </w:p>
    <w:p w14:paraId="2B96F7DA" w14:textId="79EA1A0D" w:rsidR="0006346F" w:rsidRDefault="00FB56B0" w:rsidP="00521E45">
      <w:pPr>
        <w:spacing w:after="0" w:line="480" w:lineRule="auto"/>
        <w:rPr>
          <w:i/>
        </w:rPr>
      </w:pPr>
      <w:r>
        <w:rPr>
          <w:i/>
        </w:rPr>
        <w:t>Figure 3</w:t>
      </w:r>
      <w:r w:rsidR="0006346F">
        <w:rPr>
          <w:i/>
        </w:rPr>
        <w:t xml:space="preserve">: </w:t>
      </w:r>
      <w:r>
        <w:rPr>
          <w:i/>
        </w:rPr>
        <w:t xml:space="preserve">(A) </w:t>
      </w:r>
      <w:r w:rsidR="0006346F">
        <w:rPr>
          <w:i/>
        </w:rPr>
        <w:t xml:space="preserve">Distribution of rare, non-truncating variants in the primary BrS and LQTS cohorts across the domains of </w:t>
      </w:r>
      <w:r w:rsidR="0006346F" w:rsidRPr="0095771E">
        <w:rPr>
          <w:i/>
        </w:rPr>
        <w:t>KCNQ1</w:t>
      </w:r>
      <w:r w:rsidR="0006346F">
        <w:rPr>
          <w:i/>
        </w:rPr>
        <w:t xml:space="preserve">, </w:t>
      </w:r>
      <w:r w:rsidR="0006346F" w:rsidRPr="0095771E">
        <w:rPr>
          <w:i/>
        </w:rPr>
        <w:t>KCNH2</w:t>
      </w:r>
      <w:r w:rsidR="0006346F">
        <w:rPr>
          <w:i/>
        </w:rPr>
        <w:t xml:space="preserve"> and </w:t>
      </w:r>
      <w:r w:rsidR="0006346F" w:rsidRPr="0095771E">
        <w:rPr>
          <w:i/>
        </w:rPr>
        <w:t>SCN5A</w:t>
      </w:r>
      <w:r w:rsidR="0006346F">
        <w:rPr>
          <w:i/>
        </w:rPr>
        <w:t xml:space="preserve"> and equivalent variant classes in gnomAD (full dataset). Domain coordinates are derived from </w:t>
      </w:r>
      <w:proofErr w:type="spellStart"/>
      <w:r w:rsidR="0006346F">
        <w:rPr>
          <w:i/>
        </w:rPr>
        <w:t>UniProt</w:t>
      </w:r>
      <w:proofErr w:type="spellEnd"/>
      <w:r w:rsidR="0006346F">
        <w:rPr>
          <w:i/>
        </w:rPr>
        <w:t xml:space="preserve"> entries, with the exception of the </w:t>
      </w:r>
      <w:r w:rsidR="0006346F" w:rsidRPr="0095771E">
        <w:rPr>
          <w:i/>
        </w:rPr>
        <w:t>KCNQ1</w:t>
      </w:r>
      <w:r w:rsidR="0006346F">
        <w:rPr>
          <w:i/>
        </w:rPr>
        <w:t xml:space="preserve"> C-terminus highly conserved regions (from Kapplinger et al</w:t>
      </w:r>
      <w:r w:rsidR="0006346F">
        <w:rPr>
          <w:i/>
        </w:rPr>
        <w:fldChar w:fldCharType="begin" w:fldLock="1"/>
      </w:r>
      <w:r w:rsidR="0006346F">
        <w:rPr>
          <w:i/>
        </w:rPr>
        <w:instrText>ADDIN CSL_CITATION {"citationItems":[{"id":"ITEM-1","itemData":{"DOI":"10.1007/s12265-015-9622-8","ISSN":"1937-5395","PMID":"25854863","abstract":"Despite the overrepresentation of Kv7.1 mutations among patients with a robust diagnosis of long QT syndrome (LQTS), a background rate of innocuous Kv7.1 missense variants observed in healthy controls creates ambiguity in the interpretation of LQTS genetic test results. A recent study showed that the probability of pathogenicity for rare missense mutations depends in part on the topological location of the variant in Kv7.1's various structure-function domains. Since the Kv7.1's C-terminus accounts for nearly 50 % of the overall protein and nearly 50 % of the overall background rate of rare variants falls within the C-terminus, further enhancement in mutation calling may provide guidance in distinguishing pathogenic long QT syndrome type 1 (LQT1)-causing mutations from rare non-disease-causing variants in the Kv7.1's C-terminus. Therefore, we have used conservation analysis and a large case-control study to generate topology-based estimative predictive values to aid in interpretation, identifying three regions of high conservation within the Kv7.1's C-terminus which have a high probability of LQT1 pathogenicity.","author":[{"dropping-particle":"","family":"Kapplinger","given":"Jamie D","non-dropping-particle":"","parse-names":false,"suffix":""},{"dropping-particle":"","family":"Tseng","given":"Andrew S","non-dropping-particle":"","parse-names":false,"suffix":""},{"dropping-particle":"","family":"Salisbury","given":"Benjamin A","non-dropping-particle":"","parse-names":false,"suffix":""},{"dropping-particle":"","family":"Tester","given":"David J","non-dropping-particle":"","parse-names":false,"suffix":""},{"dropping-particle":"","family":"Callis","given":"Thomas E","non-dropping-particle":"","parse-names":false,"suffix":""},{"dropping-particle":"","family":"Alders","given":"Marielle","non-dropping-particle":"","parse-names":false,"suffix":""},{"dropping-particle":"","family":"Wilde","given":"Arthur A M","non-dropping-particle":"","parse-names":false,"suffix":""},{"dropping-particle":"","family":"Ackerman","given":"Michael J","non-dropping-particle":"","parse-names":false,"suffix":""}],"container-title":"Journal of cardiovascular translational research","id":"ITEM-1","issue":"3","issued":{"date-parts":[["2015","4","21"]]},"page":"187-97","title":"Enhancing the Predictive Power of Mutations in the C-Terminus of the KCNQ1-Encoded Kv7.1 Voltage-Gated Potassium Channel.","type":"article-journal","volume":"8"},"uris":["http://www.mendeley.com/documents/?uuid=a5db3813-1f65-4dfe-a9b3-7c1d46c5bfcb"]}],"mendeley":{"formattedCitation":"&lt;sup&gt;9&lt;/sup&gt;","plainTextFormattedCitation":"9","previouslyFormattedCitation":"&lt;sup&gt;9&lt;/sup&gt;"},"properties":{"noteIndex":0},"schema":"https://github.com/citation-style-language/schema/raw/master/csl-citation.json"}</w:instrText>
      </w:r>
      <w:r w:rsidR="0006346F">
        <w:rPr>
          <w:i/>
        </w:rPr>
        <w:fldChar w:fldCharType="separate"/>
      </w:r>
      <w:r w:rsidR="0006346F" w:rsidRPr="00F22092">
        <w:rPr>
          <w:noProof/>
          <w:vertAlign w:val="superscript"/>
        </w:rPr>
        <w:t>9</w:t>
      </w:r>
      <w:r w:rsidR="0006346F">
        <w:rPr>
          <w:i/>
        </w:rPr>
        <w:fldChar w:fldCharType="end"/>
      </w:r>
      <w:r w:rsidR="0006346F">
        <w:rPr>
          <w:i/>
        </w:rPr>
        <w:t xml:space="preserve">) and the </w:t>
      </w:r>
      <w:r w:rsidR="0006346F" w:rsidRPr="0095771E">
        <w:rPr>
          <w:i/>
        </w:rPr>
        <w:t>KCNH2</w:t>
      </w:r>
      <w:r w:rsidR="0006346F">
        <w:rPr>
          <w:i/>
        </w:rPr>
        <w:t xml:space="preserve"> N-terminus cluster (based on variant distribution observed in this cohort and published referral cohort</w:t>
      </w:r>
      <w:r w:rsidR="0006346F">
        <w:rPr>
          <w:i/>
        </w:rPr>
        <w:fldChar w:fldCharType="begin" w:fldLock="1"/>
      </w:r>
      <w:r w:rsidR="007818E5">
        <w:rPr>
          <w:i/>
        </w:rPr>
        <w:instrText>ADDIN CSL_CITATION {"citationItems":[{"id":"ITEM-1","itemData":{"DOI":"10.1016/j.hrthm.2009.05.021","ISSN":"1556-3871","PMID":"19716085","abstract":"BACKGROUND Long QT syndrome (LQTS) is a potentially lethal, highly treatable cardiac channelopathy for which genetic testing has matured from discovery to translation and now clinical implementation. OBJECTIVES Here we examine the spectrum and prevalence of mutations found in the first 2,500 unrelated cases referred for the FAMILION LQTS clinical genetic test. METHODS Retrospective analysis of the first 2,500 cases (1,515 female patients, average age at testing 23 +/- 17 years, range 0 to 90 years) scanned for mutations in 5 of the LQTS-susceptibility genes: KCNQ1 (LQT1), KCNH2 (LQT2), SCN5A (LQT3), KCNE1 (LQT5), and KCNE2 (LQT6). RESULTS Overall, 903 referral cases (36%) hosted a possible LQTS-causing mutation that was absent in &gt;2,600 reference alleles; 821 (91%) of the mutation-positive cases had single genotypes, whereas the remaining 82 patients (9%) had &gt;1 mutation in &gt; or =1 gene, including 52 cases that were compound heterozygous with mutations in &gt;1 gene. Of the 562 distinct mutations, 394 (70%) were missense, 428 (76%) were seen once, and 336 (60%) are novel, including 92 of 199 in KCNQ1, 159 of 226 in KCNH2, and 70 of 110 in SCN5A. CONCLUSION This cohort increases the publicly available compendium of putative LQTS-associated mutations by &gt;50%, and approximately one-third of the most recently detected mutations continue to be novel. Although control population data suggest that the great majority of these mutations are pathogenic, expert interpretation of genetic test results will remain critical for effective clinical use of LQTS genetic test results.","author":[{"dropping-particle":"","family":"Kapplinger","given":"Jamie D","non-dropping-particle":"","parse-names":false,"suffix":""},{"dropping-particle":"","family":"Tester","given":"David J","non-dropping-particle":"","parse-names":false,"suffix":""},{"dropping-particle":"","family":"Salisbury","given":"Benjamin A","non-dropping-particle":"","parse-names":false,"suffix":""},{"dropping-particle":"","family":"Carr","given":"Janet L","non-dropping-particle":"","parse-names":false,"suffix":""},{"dropping-particle":"","family":"Harris-Kerr","given":"Carole","non-dropping-particle":"","parse-names":false,"suffix":""},{"dropping-particle":"","family":"Pollevick","given":"Guido D","non-dropping-particle":"","parse-names":false,"suffix":""},{"dropping-particle":"","family":"Wilde","given":"Arthur A M","non-dropping-particle":"","parse-names":false,"suffix":""},{"dropping-particle":"","family":"Ackerman","given":"Michael J","non-dropping-particle":"","parse-names":false,"suffix":""}],"container-title":"Heart rhythm","id":"ITEM-1","issue":"9","issued":{"date-parts":[["2009","9"]]},"page":"1297-303","title":"Spectrum and prevalence of mutations from the first 2,500 consecutive unrelated patients referred for the FAMILION long QT syndrome genetic test.","type":"article-journal","volume":"6"},"uris":["http://www.mendeley.com/documents/?uuid=db31007e-4411-4408-898d-4a614594b610"]}],"mendeley":{"formattedCitation":"&lt;sup&gt;18&lt;/sup&gt;","plainTextFormattedCitation":"18","previouslyFormattedCitation":"&lt;sup&gt;12&lt;/sup&gt;"},"properties":{"noteIndex":0},"schema":"https://github.com/citation-style-language/schema/raw/master/csl-citation.json"}</w:instrText>
      </w:r>
      <w:r w:rsidR="0006346F">
        <w:rPr>
          <w:i/>
        </w:rPr>
        <w:fldChar w:fldCharType="separate"/>
      </w:r>
      <w:r w:rsidR="007818E5" w:rsidRPr="007818E5">
        <w:rPr>
          <w:noProof/>
          <w:vertAlign w:val="superscript"/>
        </w:rPr>
        <w:t>18</w:t>
      </w:r>
      <w:r w:rsidR="0006346F">
        <w:rPr>
          <w:i/>
        </w:rPr>
        <w:fldChar w:fldCharType="end"/>
      </w:r>
      <w:r w:rsidR="0006346F">
        <w:rPr>
          <w:i/>
        </w:rPr>
        <w:t xml:space="preserve">). Regions with poor coverage in gnomAD exome sequencing, and therefore excluded from EF calculations, are in white. </w:t>
      </w:r>
      <w:r w:rsidR="0006346F" w:rsidRPr="007E2506">
        <w:rPr>
          <w:rFonts w:cstheme="minorHAnsi"/>
          <w:i/>
          <w:color w:val="131413"/>
        </w:rPr>
        <w:t>Darker grey indicates higher variant density (overlapping variants not plotted separately). The coordinates describe amino-acid position.</w:t>
      </w:r>
      <w:r>
        <w:rPr>
          <w:rFonts w:cstheme="minorHAnsi"/>
          <w:i/>
          <w:color w:val="131413"/>
        </w:rPr>
        <w:t xml:space="preserve"> (B</w:t>
      </w:r>
      <w:r w:rsidR="00A1349A">
        <w:rPr>
          <w:rFonts w:cstheme="minorHAnsi"/>
          <w:i/>
          <w:color w:val="131413"/>
        </w:rPr>
        <w:t>-D</w:t>
      </w:r>
      <w:r>
        <w:rPr>
          <w:rFonts w:cstheme="minorHAnsi"/>
          <w:i/>
          <w:color w:val="131413"/>
        </w:rPr>
        <w:t>)</w:t>
      </w:r>
      <w:r w:rsidR="0006346F">
        <w:rPr>
          <w:i/>
        </w:rPr>
        <w:t xml:space="preserve"> Effect of case-control evidence (PM1/PS4 rules) on ACMG/AMP classification of rare non-truncating variants. For BrS, the proportion of cases with pathogenic, likely pathogenic and VUS variants are displayed before and after use of these e</w:t>
      </w:r>
      <w:r w:rsidR="00A1349A">
        <w:rPr>
          <w:i/>
        </w:rPr>
        <w:t>vidence classes, for European (B) and Japanese (C</w:t>
      </w:r>
      <w:r w:rsidR="0006346F">
        <w:rPr>
          <w:i/>
        </w:rPr>
        <w:t>) cases. Classification using case-control evidence for both European and Japanese LQTS cases is shown in (</w:t>
      </w:r>
      <w:r w:rsidR="00A1349A">
        <w:rPr>
          <w:i/>
        </w:rPr>
        <w:t>D</w:t>
      </w:r>
      <w:r w:rsidR="0006346F">
        <w:rPr>
          <w:i/>
        </w:rPr>
        <w:t>). The sensitivity of variant classification methods can be measured by comparison to the rate of rare benign variation in gnomAD (grey) – any excess beyond this is expected to reflect pathogenic variation in cases and therefore represents the target cohort yield of pathogenic variants.</w:t>
      </w:r>
    </w:p>
    <w:p w14:paraId="726B645D" w14:textId="77777777" w:rsidR="0006346F" w:rsidRDefault="0006346F" w:rsidP="00521E45"/>
    <w:p w14:paraId="5FE5D6D6" w14:textId="77777777" w:rsidR="00C112D5" w:rsidRDefault="00C112D5" w:rsidP="00521E45"/>
    <w:p w14:paraId="0F6FBB7E" w14:textId="77777777" w:rsidR="00C112D5" w:rsidRDefault="00C112D5" w:rsidP="00521E45"/>
    <w:p w14:paraId="4C788BE4" w14:textId="77777777" w:rsidR="00C112D5" w:rsidRDefault="00C112D5" w:rsidP="00521E45"/>
    <w:p w14:paraId="479B8FBB" w14:textId="77777777" w:rsidR="00C112D5" w:rsidRDefault="00C112D5" w:rsidP="00521E45"/>
    <w:p w14:paraId="35E5D3F9" w14:textId="77777777" w:rsidR="00C112D5" w:rsidRDefault="00C112D5" w:rsidP="00521E45"/>
    <w:p w14:paraId="4D01C588" w14:textId="77777777" w:rsidR="00C112D5" w:rsidRDefault="00C112D5" w:rsidP="00521E45"/>
    <w:p w14:paraId="5803D696" w14:textId="77777777" w:rsidR="00C112D5" w:rsidRDefault="00C112D5" w:rsidP="00521E45"/>
    <w:p w14:paraId="264C0CB7" w14:textId="77777777" w:rsidR="00C112D5" w:rsidRDefault="00C112D5" w:rsidP="00521E45"/>
    <w:p w14:paraId="289340B1" w14:textId="77777777" w:rsidR="00C112D5" w:rsidRDefault="00C112D5" w:rsidP="00521E45"/>
    <w:p w14:paraId="3425804C" w14:textId="1DB7ADB7" w:rsidR="00C112D5" w:rsidRPr="00C112D5" w:rsidRDefault="00C112D5" w:rsidP="00521E45">
      <w:pPr>
        <w:rPr>
          <w:b/>
        </w:rPr>
      </w:pPr>
      <w:r w:rsidRPr="00C112D5">
        <w:rPr>
          <w:b/>
        </w:rPr>
        <w:lastRenderedPageBreak/>
        <w:t>TABLES</w:t>
      </w:r>
    </w:p>
    <w:p w14:paraId="4E908240" w14:textId="77777777" w:rsidR="00C112D5" w:rsidRDefault="00C112D5" w:rsidP="00521E45"/>
    <w:tbl>
      <w:tblPr>
        <w:tblStyle w:val="TableGrid"/>
        <w:tblW w:w="15388" w:type="dxa"/>
        <w:tblLook w:val="04A0" w:firstRow="1" w:lastRow="0" w:firstColumn="1" w:lastColumn="0" w:noHBand="0" w:noVBand="1"/>
      </w:tblPr>
      <w:tblGrid>
        <w:gridCol w:w="2122"/>
        <w:gridCol w:w="2334"/>
        <w:gridCol w:w="936"/>
        <w:gridCol w:w="875"/>
        <w:gridCol w:w="718"/>
        <w:gridCol w:w="266"/>
        <w:gridCol w:w="1044"/>
        <w:gridCol w:w="764"/>
        <w:gridCol w:w="718"/>
        <w:gridCol w:w="320"/>
        <w:gridCol w:w="936"/>
        <w:gridCol w:w="875"/>
        <w:gridCol w:w="718"/>
        <w:gridCol w:w="320"/>
        <w:gridCol w:w="960"/>
        <w:gridCol w:w="764"/>
        <w:gridCol w:w="718"/>
      </w:tblGrid>
      <w:tr w:rsidR="00C112D5" w:rsidRPr="00342239" w14:paraId="6B4A6C54" w14:textId="77777777" w:rsidTr="00734A9E">
        <w:trPr>
          <w:trHeight w:val="576"/>
        </w:trPr>
        <w:tc>
          <w:tcPr>
            <w:tcW w:w="2122" w:type="dxa"/>
            <w:vMerge w:val="restart"/>
            <w:hideMark/>
          </w:tcPr>
          <w:p w14:paraId="1ECB79A4" w14:textId="77777777" w:rsidR="00C112D5" w:rsidRPr="00342239" w:rsidRDefault="00C112D5" w:rsidP="00734A9E">
            <w:pPr>
              <w:spacing w:line="480" w:lineRule="auto"/>
              <w:rPr>
                <w:rFonts w:ascii="Calibri" w:eastAsia="Times New Roman" w:hAnsi="Calibri" w:cs="Calibri"/>
                <w:b/>
                <w:bCs/>
                <w:color w:val="000000"/>
                <w:sz w:val="20"/>
                <w:szCs w:val="20"/>
                <w:lang w:eastAsia="en-GB"/>
              </w:rPr>
            </w:pPr>
            <w:r w:rsidRPr="0095771E">
              <w:rPr>
                <w:rFonts w:ascii="Calibri" w:eastAsia="Times New Roman" w:hAnsi="Calibri" w:cs="Calibri"/>
                <w:b/>
                <w:bCs/>
                <w:i/>
                <w:color w:val="000000"/>
                <w:sz w:val="20"/>
                <w:szCs w:val="20"/>
                <w:lang w:eastAsia="en-GB"/>
              </w:rPr>
              <w:t>SCN5A</w:t>
            </w:r>
            <w:r w:rsidRPr="00342239">
              <w:rPr>
                <w:rFonts w:ascii="Calibri" w:eastAsia="Times New Roman" w:hAnsi="Calibri" w:cs="Calibri"/>
                <w:b/>
                <w:bCs/>
                <w:color w:val="000000"/>
                <w:sz w:val="20"/>
                <w:szCs w:val="20"/>
                <w:lang w:eastAsia="en-GB"/>
              </w:rPr>
              <w:t xml:space="preserve"> Region/Domain</w:t>
            </w:r>
          </w:p>
        </w:tc>
        <w:tc>
          <w:tcPr>
            <w:tcW w:w="2334" w:type="dxa"/>
            <w:vMerge w:val="restart"/>
          </w:tcPr>
          <w:p w14:paraId="7F065766" w14:textId="77777777" w:rsidR="00C112D5" w:rsidRPr="00342239" w:rsidRDefault="00C112D5" w:rsidP="00734A9E">
            <w:pPr>
              <w:spacing w:line="480" w:lineRule="auto"/>
              <w:jc w:val="center"/>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t>Amino acid residues</w:t>
            </w:r>
          </w:p>
        </w:tc>
        <w:tc>
          <w:tcPr>
            <w:tcW w:w="2529" w:type="dxa"/>
            <w:gridSpan w:val="3"/>
            <w:hideMark/>
          </w:tcPr>
          <w:p w14:paraId="3153E78E" w14:textId="77777777" w:rsidR="00C112D5" w:rsidRPr="00342239" w:rsidRDefault="00C112D5" w:rsidP="00734A9E">
            <w:pPr>
              <w:spacing w:line="480" w:lineRule="auto"/>
              <w:jc w:val="center"/>
              <w:rPr>
                <w:rFonts w:ascii="Calibri" w:eastAsia="Times New Roman" w:hAnsi="Calibri" w:cs="Calibri"/>
                <w:b/>
                <w:bCs/>
                <w:color w:val="000000"/>
                <w:sz w:val="20"/>
                <w:szCs w:val="20"/>
                <w:lang w:eastAsia="en-GB"/>
              </w:rPr>
            </w:pPr>
            <w:r w:rsidRPr="00342239">
              <w:rPr>
                <w:rFonts w:ascii="Calibri" w:eastAsia="Times New Roman" w:hAnsi="Calibri" w:cs="Calibri"/>
                <w:b/>
                <w:bCs/>
                <w:color w:val="000000"/>
                <w:sz w:val="20"/>
                <w:szCs w:val="20"/>
                <w:lang w:eastAsia="en-GB"/>
              </w:rPr>
              <w:t xml:space="preserve">European BrS </w:t>
            </w:r>
            <w:r w:rsidRPr="000B23F2">
              <w:rPr>
                <w:b/>
                <w:sz w:val="20"/>
              </w:rPr>
              <w:t>spontaneous</w:t>
            </w:r>
            <w:r w:rsidRPr="000B23F2">
              <w:rPr>
                <w:sz w:val="20"/>
              </w:rPr>
              <w:t xml:space="preserve"> </w:t>
            </w:r>
            <w:r w:rsidRPr="00342239">
              <w:rPr>
                <w:rFonts w:ascii="Calibri" w:eastAsia="Times New Roman" w:hAnsi="Calibri" w:cs="Calibri"/>
                <w:b/>
                <w:bCs/>
                <w:color w:val="000000"/>
                <w:sz w:val="20"/>
                <w:szCs w:val="20"/>
                <w:lang w:eastAsia="en-GB"/>
              </w:rPr>
              <w:t xml:space="preserve">Type 1 </w:t>
            </w:r>
            <w:r>
              <w:rPr>
                <w:rFonts w:ascii="Calibri" w:eastAsia="Times New Roman" w:hAnsi="Calibri" w:cs="Calibri"/>
                <w:b/>
                <w:bCs/>
                <w:color w:val="000000"/>
                <w:sz w:val="20"/>
                <w:szCs w:val="20"/>
                <w:lang w:eastAsia="en-GB"/>
              </w:rPr>
              <w:t xml:space="preserve">ECG </w:t>
            </w:r>
            <w:r w:rsidRPr="00342239">
              <w:rPr>
                <w:rFonts w:ascii="Calibri" w:eastAsia="Times New Roman" w:hAnsi="Calibri" w:cs="Calibri"/>
                <w:b/>
                <w:bCs/>
                <w:color w:val="000000"/>
                <w:sz w:val="20"/>
                <w:szCs w:val="20"/>
                <w:lang w:eastAsia="en-GB"/>
              </w:rPr>
              <w:t>vs gnomAD-NFE</w:t>
            </w:r>
          </w:p>
        </w:tc>
        <w:tc>
          <w:tcPr>
            <w:tcW w:w="266" w:type="dxa"/>
            <w:vMerge w:val="restart"/>
            <w:noWrap/>
            <w:hideMark/>
          </w:tcPr>
          <w:p w14:paraId="7AE70408" w14:textId="77777777" w:rsidR="00C112D5" w:rsidRPr="00342239" w:rsidRDefault="00C112D5" w:rsidP="00734A9E">
            <w:pPr>
              <w:spacing w:line="480" w:lineRule="auto"/>
              <w:jc w:val="center"/>
              <w:rPr>
                <w:rFonts w:ascii="Calibri" w:eastAsia="Times New Roman" w:hAnsi="Calibri" w:cs="Calibri"/>
                <w:color w:val="000000"/>
                <w:lang w:eastAsia="en-GB"/>
              </w:rPr>
            </w:pPr>
          </w:p>
        </w:tc>
        <w:tc>
          <w:tcPr>
            <w:tcW w:w="2526" w:type="dxa"/>
            <w:gridSpan w:val="3"/>
            <w:hideMark/>
          </w:tcPr>
          <w:p w14:paraId="0B9291C2" w14:textId="77777777" w:rsidR="00C112D5" w:rsidRPr="00342239" w:rsidRDefault="00C112D5" w:rsidP="00734A9E">
            <w:pPr>
              <w:spacing w:line="480" w:lineRule="auto"/>
              <w:jc w:val="center"/>
              <w:rPr>
                <w:rFonts w:ascii="Calibri" w:eastAsia="Times New Roman" w:hAnsi="Calibri" w:cs="Calibri"/>
                <w:b/>
                <w:bCs/>
                <w:color w:val="000000"/>
                <w:sz w:val="20"/>
                <w:szCs w:val="20"/>
                <w:lang w:eastAsia="en-GB"/>
              </w:rPr>
            </w:pPr>
            <w:r w:rsidRPr="00342239">
              <w:rPr>
                <w:rFonts w:ascii="Calibri" w:eastAsia="Times New Roman" w:hAnsi="Calibri" w:cs="Calibri"/>
                <w:b/>
                <w:bCs/>
                <w:color w:val="000000"/>
                <w:sz w:val="20"/>
                <w:szCs w:val="20"/>
                <w:lang w:eastAsia="en-GB"/>
              </w:rPr>
              <w:t xml:space="preserve">European BrS </w:t>
            </w:r>
            <w:r>
              <w:rPr>
                <w:rFonts w:ascii="Calibri" w:eastAsia="Times New Roman" w:hAnsi="Calibri" w:cs="Calibri"/>
                <w:b/>
                <w:bCs/>
                <w:color w:val="000000"/>
                <w:sz w:val="20"/>
                <w:szCs w:val="20"/>
                <w:lang w:eastAsia="en-GB"/>
              </w:rPr>
              <w:t xml:space="preserve">induced </w:t>
            </w:r>
            <w:r w:rsidRPr="00342239">
              <w:rPr>
                <w:rFonts w:ascii="Calibri" w:eastAsia="Times New Roman" w:hAnsi="Calibri" w:cs="Calibri"/>
                <w:b/>
                <w:bCs/>
                <w:color w:val="000000"/>
                <w:sz w:val="20"/>
                <w:szCs w:val="20"/>
                <w:lang w:eastAsia="en-GB"/>
              </w:rPr>
              <w:t xml:space="preserve">Type </w:t>
            </w:r>
            <w:r>
              <w:rPr>
                <w:rFonts w:ascii="Calibri" w:eastAsia="Times New Roman" w:hAnsi="Calibri" w:cs="Calibri"/>
                <w:b/>
                <w:bCs/>
                <w:color w:val="000000"/>
                <w:sz w:val="20"/>
                <w:szCs w:val="20"/>
                <w:lang w:eastAsia="en-GB"/>
              </w:rPr>
              <w:t>1 ECG</w:t>
            </w:r>
            <w:r w:rsidRPr="00342239">
              <w:rPr>
                <w:rFonts w:ascii="Calibri" w:eastAsia="Times New Roman" w:hAnsi="Calibri" w:cs="Calibri"/>
                <w:b/>
                <w:bCs/>
                <w:color w:val="000000"/>
                <w:sz w:val="20"/>
                <w:szCs w:val="20"/>
                <w:lang w:eastAsia="en-GB"/>
              </w:rPr>
              <w:t xml:space="preserve"> vs gnomAD-NFE</w:t>
            </w:r>
          </w:p>
        </w:tc>
        <w:tc>
          <w:tcPr>
            <w:tcW w:w="320" w:type="dxa"/>
            <w:vMerge w:val="restart"/>
            <w:noWrap/>
            <w:hideMark/>
          </w:tcPr>
          <w:p w14:paraId="10EE73DB" w14:textId="77777777" w:rsidR="00C112D5" w:rsidRPr="00342239" w:rsidRDefault="00C112D5" w:rsidP="00734A9E">
            <w:pPr>
              <w:spacing w:line="480" w:lineRule="auto"/>
              <w:jc w:val="center"/>
              <w:rPr>
                <w:rFonts w:ascii="Calibri" w:eastAsia="Times New Roman" w:hAnsi="Calibri" w:cs="Calibri"/>
                <w:color w:val="000000"/>
                <w:lang w:eastAsia="en-GB"/>
              </w:rPr>
            </w:pPr>
          </w:p>
        </w:tc>
        <w:tc>
          <w:tcPr>
            <w:tcW w:w="2529" w:type="dxa"/>
            <w:gridSpan w:val="3"/>
            <w:hideMark/>
          </w:tcPr>
          <w:p w14:paraId="26DF4AC3" w14:textId="77777777" w:rsidR="00C112D5" w:rsidRPr="00342239" w:rsidRDefault="00C112D5" w:rsidP="00734A9E">
            <w:pPr>
              <w:spacing w:line="480" w:lineRule="auto"/>
              <w:jc w:val="center"/>
              <w:rPr>
                <w:rFonts w:ascii="Calibri" w:eastAsia="Times New Roman" w:hAnsi="Calibri" w:cs="Calibri"/>
                <w:b/>
                <w:bCs/>
                <w:color w:val="000000"/>
                <w:sz w:val="20"/>
                <w:szCs w:val="20"/>
                <w:lang w:eastAsia="en-GB"/>
              </w:rPr>
            </w:pPr>
            <w:r w:rsidRPr="00342239">
              <w:rPr>
                <w:rFonts w:ascii="Calibri" w:eastAsia="Times New Roman" w:hAnsi="Calibri" w:cs="Calibri"/>
                <w:b/>
                <w:bCs/>
                <w:color w:val="000000"/>
                <w:sz w:val="20"/>
                <w:szCs w:val="20"/>
                <w:lang w:eastAsia="en-GB"/>
              </w:rPr>
              <w:t>European BrS all cases vs gnomAD-NFE</w:t>
            </w:r>
          </w:p>
        </w:tc>
        <w:tc>
          <w:tcPr>
            <w:tcW w:w="320" w:type="dxa"/>
            <w:vMerge w:val="restart"/>
            <w:noWrap/>
            <w:hideMark/>
          </w:tcPr>
          <w:p w14:paraId="5F43E923" w14:textId="77777777" w:rsidR="00C112D5" w:rsidRPr="00342239" w:rsidRDefault="00C112D5" w:rsidP="00734A9E">
            <w:pPr>
              <w:spacing w:line="480" w:lineRule="auto"/>
              <w:jc w:val="center"/>
              <w:rPr>
                <w:rFonts w:ascii="Calibri" w:eastAsia="Times New Roman" w:hAnsi="Calibri" w:cs="Calibri"/>
                <w:color w:val="000000"/>
                <w:lang w:eastAsia="en-GB"/>
              </w:rPr>
            </w:pPr>
          </w:p>
        </w:tc>
        <w:tc>
          <w:tcPr>
            <w:tcW w:w="2442" w:type="dxa"/>
            <w:gridSpan w:val="3"/>
            <w:hideMark/>
          </w:tcPr>
          <w:p w14:paraId="4B53DCCC" w14:textId="77777777" w:rsidR="00C112D5" w:rsidRPr="00342239" w:rsidRDefault="00C112D5" w:rsidP="00734A9E">
            <w:pPr>
              <w:spacing w:line="480" w:lineRule="auto"/>
              <w:jc w:val="center"/>
              <w:rPr>
                <w:rFonts w:ascii="Calibri" w:eastAsia="Times New Roman" w:hAnsi="Calibri" w:cs="Calibri"/>
                <w:b/>
                <w:bCs/>
                <w:color w:val="000000"/>
                <w:sz w:val="20"/>
                <w:szCs w:val="20"/>
                <w:lang w:eastAsia="en-GB"/>
              </w:rPr>
            </w:pPr>
            <w:r w:rsidRPr="00342239">
              <w:rPr>
                <w:rFonts w:ascii="Calibri" w:eastAsia="Times New Roman" w:hAnsi="Calibri" w:cs="Calibri"/>
                <w:b/>
                <w:bCs/>
                <w:color w:val="000000"/>
                <w:sz w:val="20"/>
                <w:szCs w:val="20"/>
                <w:lang w:eastAsia="en-GB"/>
              </w:rPr>
              <w:t xml:space="preserve">Japanese BrS </w:t>
            </w:r>
            <w:r>
              <w:rPr>
                <w:rFonts w:ascii="Calibri" w:eastAsia="Times New Roman" w:hAnsi="Calibri" w:cs="Calibri"/>
                <w:b/>
                <w:bCs/>
                <w:color w:val="000000"/>
                <w:sz w:val="20"/>
                <w:szCs w:val="20"/>
                <w:lang w:eastAsia="en-GB"/>
              </w:rPr>
              <w:t>c</w:t>
            </w:r>
            <w:r w:rsidRPr="00342239">
              <w:rPr>
                <w:rFonts w:ascii="Calibri" w:eastAsia="Times New Roman" w:hAnsi="Calibri" w:cs="Calibri"/>
                <w:b/>
                <w:bCs/>
                <w:color w:val="000000"/>
                <w:sz w:val="20"/>
                <w:szCs w:val="20"/>
                <w:lang w:eastAsia="en-GB"/>
              </w:rPr>
              <w:t>ases vs gnomAD-EAS</w:t>
            </w:r>
          </w:p>
        </w:tc>
      </w:tr>
      <w:tr w:rsidR="00C112D5" w:rsidRPr="00342239" w14:paraId="229313C8" w14:textId="77777777" w:rsidTr="00734A9E">
        <w:trPr>
          <w:trHeight w:val="288"/>
        </w:trPr>
        <w:tc>
          <w:tcPr>
            <w:tcW w:w="2122" w:type="dxa"/>
            <w:vMerge/>
            <w:hideMark/>
          </w:tcPr>
          <w:p w14:paraId="212AB3C6" w14:textId="77777777" w:rsidR="00C112D5" w:rsidRPr="00342239" w:rsidRDefault="00C112D5" w:rsidP="00734A9E">
            <w:pPr>
              <w:spacing w:line="480" w:lineRule="auto"/>
              <w:rPr>
                <w:rFonts w:ascii="Calibri" w:eastAsia="Times New Roman" w:hAnsi="Calibri" w:cs="Calibri"/>
                <w:b/>
                <w:bCs/>
                <w:color w:val="000000"/>
                <w:sz w:val="20"/>
                <w:szCs w:val="20"/>
                <w:lang w:eastAsia="en-GB"/>
              </w:rPr>
            </w:pPr>
          </w:p>
        </w:tc>
        <w:tc>
          <w:tcPr>
            <w:tcW w:w="2334" w:type="dxa"/>
            <w:vMerge/>
          </w:tcPr>
          <w:p w14:paraId="7E3F8413" w14:textId="77777777" w:rsidR="00C112D5" w:rsidRPr="00342239" w:rsidRDefault="00C112D5" w:rsidP="00734A9E">
            <w:pPr>
              <w:spacing w:line="480" w:lineRule="auto"/>
              <w:jc w:val="center"/>
              <w:rPr>
                <w:rFonts w:ascii="Calibri" w:eastAsia="Times New Roman" w:hAnsi="Calibri" w:cs="Calibri"/>
                <w:b/>
                <w:bCs/>
                <w:color w:val="000000"/>
                <w:sz w:val="20"/>
                <w:szCs w:val="20"/>
                <w:lang w:eastAsia="en-GB"/>
              </w:rPr>
            </w:pPr>
          </w:p>
        </w:tc>
        <w:tc>
          <w:tcPr>
            <w:tcW w:w="936" w:type="dxa"/>
            <w:noWrap/>
            <w:hideMark/>
          </w:tcPr>
          <w:p w14:paraId="65BAC23D" w14:textId="77777777" w:rsidR="00C112D5" w:rsidRPr="00342239" w:rsidRDefault="00C112D5" w:rsidP="00734A9E">
            <w:pPr>
              <w:spacing w:line="480" w:lineRule="auto"/>
              <w:jc w:val="center"/>
              <w:rPr>
                <w:rFonts w:ascii="Calibri" w:eastAsia="Times New Roman" w:hAnsi="Calibri" w:cs="Calibri"/>
                <w:b/>
                <w:bCs/>
                <w:color w:val="000000"/>
                <w:sz w:val="20"/>
                <w:szCs w:val="20"/>
                <w:lang w:eastAsia="en-GB"/>
              </w:rPr>
            </w:pPr>
            <w:r w:rsidRPr="00342239">
              <w:rPr>
                <w:rFonts w:ascii="Calibri" w:eastAsia="Times New Roman" w:hAnsi="Calibri" w:cs="Calibri"/>
                <w:b/>
                <w:bCs/>
                <w:color w:val="000000"/>
                <w:sz w:val="20"/>
                <w:szCs w:val="20"/>
                <w:lang w:eastAsia="en-GB"/>
              </w:rPr>
              <w:t>gnomAD</w:t>
            </w:r>
          </w:p>
        </w:tc>
        <w:tc>
          <w:tcPr>
            <w:tcW w:w="875" w:type="dxa"/>
            <w:noWrap/>
            <w:hideMark/>
          </w:tcPr>
          <w:p w14:paraId="48BA8962" w14:textId="77777777" w:rsidR="00C112D5" w:rsidRPr="00342239" w:rsidRDefault="00C112D5" w:rsidP="00734A9E">
            <w:pPr>
              <w:spacing w:line="480" w:lineRule="auto"/>
              <w:jc w:val="center"/>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t>BrS</w:t>
            </w:r>
          </w:p>
        </w:tc>
        <w:tc>
          <w:tcPr>
            <w:tcW w:w="718" w:type="dxa"/>
            <w:noWrap/>
            <w:hideMark/>
          </w:tcPr>
          <w:p w14:paraId="37354BAB" w14:textId="77777777" w:rsidR="00C112D5" w:rsidRPr="00342239" w:rsidRDefault="00C112D5" w:rsidP="00734A9E">
            <w:pPr>
              <w:spacing w:line="480" w:lineRule="auto"/>
              <w:jc w:val="center"/>
              <w:rPr>
                <w:rFonts w:ascii="Calibri" w:eastAsia="Times New Roman" w:hAnsi="Calibri" w:cs="Calibri"/>
                <w:b/>
                <w:bCs/>
                <w:color w:val="000000"/>
                <w:sz w:val="20"/>
                <w:szCs w:val="20"/>
                <w:lang w:eastAsia="en-GB"/>
              </w:rPr>
            </w:pPr>
            <w:r w:rsidRPr="00342239">
              <w:rPr>
                <w:rFonts w:ascii="Calibri" w:eastAsia="Times New Roman" w:hAnsi="Calibri" w:cs="Calibri"/>
                <w:b/>
                <w:bCs/>
                <w:color w:val="000000"/>
                <w:sz w:val="20"/>
                <w:szCs w:val="20"/>
                <w:lang w:eastAsia="en-GB"/>
              </w:rPr>
              <w:t>EF</w:t>
            </w:r>
          </w:p>
        </w:tc>
        <w:tc>
          <w:tcPr>
            <w:tcW w:w="266" w:type="dxa"/>
            <w:vMerge/>
            <w:hideMark/>
          </w:tcPr>
          <w:p w14:paraId="12A4BB83" w14:textId="77777777" w:rsidR="00C112D5" w:rsidRPr="00342239" w:rsidRDefault="00C112D5" w:rsidP="00734A9E">
            <w:pPr>
              <w:spacing w:line="480" w:lineRule="auto"/>
              <w:jc w:val="center"/>
              <w:rPr>
                <w:rFonts w:ascii="Calibri" w:eastAsia="Times New Roman" w:hAnsi="Calibri" w:cs="Calibri"/>
                <w:color w:val="000000"/>
                <w:lang w:eastAsia="en-GB"/>
              </w:rPr>
            </w:pPr>
          </w:p>
        </w:tc>
        <w:tc>
          <w:tcPr>
            <w:tcW w:w="1044" w:type="dxa"/>
            <w:noWrap/>
            <w:hideMark/>
          </w:tcPr>
          <w:p w14:paraId="54BA42A4" w14:textId="77777777" w:rsidR="00C112D5" w:rsidRPr="00342239" w:rsidRDefault="00C112D5" w:rsidP="00734A9E">
            <w:pPr>
              <w:spacing w:line="480" w:lineRule="auto"/>
              <w:jc w:val="center"/>
              <w:rPr>
                <w:rFonts w:ascii="Calibri" w:eastAsia="Times New Roman" w:hAnsi="Calibri" w:cs="Calibri"/>
                <w:b/>
                <w:bCs/>
                <w:color w:val="000000"/>
                <w:sz w:val="20"/>
                <w:szCs w:val="20"/>
                <w:lang w:eastAsia="en-GB"/>
              </w:rPr>
            </w:pPr>
            <w:r w:rsidRPr="00342239">
              <w:rPr>
                <w:rFonts w:ascii="Calibri" w:eastAsia="Times New Roman" w:hAnsi="Calibri" w:cs="Calibri"/>
                <w:b/>
                <w:bCs/>
                <w:color w:val="000000"/>
                <w:sz w:val="20"/>
                <w:szCs w:val="20"/>
                <w:lang w:eastAsia="en-GB"/>
              </w:rPr>
              <w:t>gnomAD</w:t>
            </w:r>
          </w:p>
        </w:tc>
        <w:tc>
          <w:tcPr>
            <w:tcW w:w="764" w:type="dxa"/>
            <w:noWrap/>
            <w:hideMark/>
          </w:tcPr>
          <w:p w14:paraId="089B744F" w14:textId="77777777" w:rsidR="00C112D5" w:rsidRPr="00342239" w:rsidRDefault="00C112D5" w:rsidP="00734A9E">
            <w:pPr>
              <w:spacing w:line="480" w:lineRule="auto"/>
              <w:jc w:val="center"/>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t>BrS</w:t>
            </w:r>
          </w:p>
        </w:tc>
        <w:tc>
          <w:tcPr>
            <w:tcW w:w="718" w:type="dxa"/>
            <w:noWrap/>
            <w:hideMark/>
          </w:tcPr>
          <w:p w14:paraId="4EC9AF4C" w14:textId="77777777" w:rsidR="00C112D5" w:rsidRPr="00342239" w:rsidRDefault="00C112D5" w:rsidP="00734A9E">
            <w:pPr>
              <w:spacing w:line="480" w:lineRule="auto"/>
              <w:jc w:val="center"/>
              <w:rPr>
                <w:rFonts w:ascii="Calibri" w:eastAsia="Times New Roman" w:hAnsi="Calibri" w:cs="Calibri"/>
                <w:b/>
                <w:bCs/>
                <w:color w:val="000000"/>
                <w:sz w:val="20"/>
                <w:szCs w:val="20"/>
                <w:lang w:eastAsia="en-GB"/>
              </w:rPr>
            </w:pPr>
            <w:r w:rsidRPr="00342239">
              <w:rPr>
                <w:rFonts w:ascii="Calibri" w:eastAsia="Times New Roman" w:hAnsi="Calibri" w:cs="Calibri"/>
                <w:b/>
                <w:bCs/>
                <w:color w:val="000000"/>
                <w:sz w:val="20"/>
                <w:szCs w:val="20"/>
                <w:lang w:eastAsia="en-GB"/>
              </w:rPr>
              <w:t>EF</w:t>
            </w:r>
          </w:p>
        </w:tc>
        <w:tc>
          <w:tcPr>
            <w:tcW w:w="320" w:type="dxa"/>
            <w:vMerge/>
            <w:hideMark/>
          </w:tcPr>
          <w:p w14:paraId="2A56E415" w14:textId="77777777" w:rsidR="00C112D5" w:rsidRPr="00342239" w:rsidRDefault="00C112D5" w:rsidP="00734A9E">
            <w:pPr>
              <w:spacing w:line="480" w:lineRule="auto"/>
              <w:jc w:val="center"/>
              <w:rPr>
                <w:rFonts w:ascii="Calibri" w:eastAsia="Times New Roman" w:hAnsi="Calibri" w:cs="Calibri"/>
                <w:color w:val="000000"/>
                <w:lang w:eastAsia="en-GB"/>
              </w:rPr>
            </w:pPr>
          </w:p>
        </w:tc>
        <w:tc>
          <w:tcPr>
            <w:tcW w:w="936" w:type="dxa"/>
            <w:noWrap/>
            <w:hideMark/>
          </w:tcPr>
          <w:p w14:paraId="6278BB90" w14:textId="77777777" w:rsidR="00C112D5" w:rsidRPr="00342239" w:rsidRDefault="00C112D5" w:rsidP="00734A9E">
            <w:pPr>
              <w:spacing w:line="480" w:lineRule="auto"/>
              <w:jc w:val="center"/>
              <w:rPr>
                <w:rFonts w:ascii="Calibri" w:eastAsia="Times New Roman" w:hAnsi="Calibri" w:cs="Calibri"/>
                <w:b/>
                <w:bCs/>
                <w:color w:val="000000"/>
                <w:sz w:val="20"/>
                <w:szCs w:val="20"/>
                <w:lang w:eastAsia="en-GB"/>
              </w:rPr>
            </w:pPr>
            <w:r w:rsidRPr="00342239">
              <w:rPr>
                <w:rFonts w:ascii="Calibri" w:eastAsia="Times New Roman" w:hAnsi="Calibri" w:cs="Calibri"/>
                <w:b/>
                <w:bCs/>
                <w:color w:val="000000"/>
                <w:sz w:val="20"/>
                <w:szCs w:val="20"/>
                <w:lang w:eastAsia="en-GB"/>
              </w:rPr>
              <w:t>gnomAD</w:t>
            </w:r>
          </w:p>
        </w:tc>
        <w:tc>
          <w:tcPr>
            <w:tcW w:w="875" w:type="dxa"/>
            <w:noWrap/>
            <w:hideMark/>
          </w:tcPr>
          <w:p w14:paraId="4CC07D85" w14:textId="77777777" w:rsidR="00C112D5" w:rsidRPr="00342239" w:rsidRDefault="00C112D5" w:rsidP="00734A9E">
            <w:pPr>
              <w:spacing w:line="480" w:lineRule="auto"/>
              <w:jc w:val="center"/>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t>BrS</w:t>
            </w:r>
          </w:p>
        </w:tc>
        <w:tc>
          <w:tcPr>
            <w:tcW w:w="718" w:type="dxa"/>
            <w:noWrap/>
            <w:hideMark/>
          </w:tcPr>
          <w:p w14:paraId="0F9C3AF9" w14:textId="77777777" w:rsidR="00C112D5" w:rsidRPr="00342239" w:rsidRDefault="00C112D5" w:rsidP="00734A9E">
            <w:pPr>
              <w:spacing w:line="480" w:lineRule="auto"/>
              <w:jc w:val="center"/>
              <w:rPr>
                <w:rFonts w:ascii="Calibri" w:eastAsia="Times New Roman" w:hAnsi="Calibri" w:cs="Calibri"/>
                <w:b/>
                <w:bCs/>
                <w:color w:val="000000"/>
                <w:sz w:val="20"/>
                <w:szCs w:val="20"/>
                <w:lang w:eastAsia="en-GB"/>
              </w:rPr>
            </w:pPr>
            <w:r w:rsidRPr="00342239">
              <w:rPr>
                <w:rFonts w:ascii="Calibri" w:eastAsia="Times New Roman" w:hAnsi="Calibri" w:cs="Calibri"/>
                <w:b/>
                <w:bCs/>
                <w:color w:val="000000"/>
                <w:sz w:val="20"/>
                <w:szCs w:val="20"/>
                <w:lang w:eastAsia="en-GB"/>
              </w:rPr>
              <w:t>EF</w:t>
            </w:r>
          </w:p>
        </w:tc>
        <w:tc>
          <w:tcPr>
            <w:tcW w:w="320" w:type="dxa"/>
            <w:vMerge/>
            <w:hideMark/>
          </w:tcPr>
          <w:p w14:paraId="778F2C42" w14:textId="77777777" w:rsidR="00C112D5" w:rsidRPr="00342239" w:rsidRDefault="00C112D5" w:rsidP="00734A9E">
            <w:pPr>
              <w:spacing w:line="480" w:lineRule="auto"/>
              <w:jc w:val="center"/>
              <w:rPr>
                <w:rFonts w:ascii="Calibri" w:eastAsia="Times New Roman" w:hAnsi="Calibri" w:cs="Calibri"/>
                <w:color w:val="000000"/>
                <w:lang w:eastAsia="en-GB"/>
              </w:rPr>
            </w:pPr>
          </w:p>
        </w:tc>
        <w:tc>
          <w:tcPr>
            <w:tcW w:w="960" w:type="dxa"/>
            <w:noWrap/>
            <w:hideMark/>
          </w:tcPr>
          <w:p w14:paraId="4AA1DCF5" w14:textId="77777777" w:rsidR="00C112D5" w:rsidRPr="00342239" w:rsidRDefault="00C112D5" w:rsidP="00734A9E">
            <w:pPr>
              <w:spacing w:line="480" w:lineRule="auto"/>
              <w:jc w:val="center"/>
              <w:rPr>
                <w:rFonts w:ascii="Calibri" w:eastAsia="Times New Roman" w:hAnsi="Calibri" w:cs="Calibri"/>
                <w:b/>
                <w:bCs/>
                <w:color w:val="000000"/>
                <w:sz w:val="20"/>
                <w:szCs w:val="20"/>
                <w:lang w:eastAsia="en-GB"/>
              </w:rPr>
            </w:pPr>
            <w:r w:rsidRPr="00342239">
              <w:rPr>
                <w:rFonts w:ascii="Calibri" w:eastAsia="Times New Roman" w:hAnsi="Calibri" w:cs="Calibri"/>
                <w:b/>
                <w:bCs/>
                <w:color w:val="000000"/>
                <w:sz w:val="20"/>
                <w:szCs w:val="20"/>
                <w:lang w:eastAsia="en-GB"/>
              </w:rPr>
              <w:t>gnomAD</w:t>
            </w:r>
          </w:p>
        </w:tc>
        <w:tc>
          <w:tcPr>
            <w:tcW w:w="764" w:type="dxa"/>
            <w:noWrap/>
            <w:hideMark/>
          </w:tcPr>
          <w:p w14:paraId="3EA67BF2" w14:textId="77777777" w:rsidR="00C112D5" w:rsidRPr="00342239" w:rsidRDefault="00C112D5" w:rsidP="00734A9E">
            <w:pPr>
              <w:spacing w:line="480" w:lineRule="auto"/>
              <w:jc w:val="center"/>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t>BrS</w:t>
            </w:r>
          </w:p>
        </w:tc>
        <w:tc>
          <w:tcPr>
            <w:tcW w:w="718" w:type="dxa"/>
            <w:noWrap/>
            <w:hideMark/>
          </w:tcPr>
          <w:p w14:paraId="13EDBDB2" w14:textId="77777777" w:rsidR="00C112D5" w:rsidRPr="00342239" w:rsidRDefault="00C112D5" w:rsidP="00734A9E">
            <w:pPr>
              <w:spacing w:line="480" w:lineRule="auto"/>
              <w:jc w:val="center"/>
              <w:rPr>
                <w:rFonts w:ascii="Calibri" w:eastAsia="Times New Roman" w:hAnsi="Calibri" w:cs="Calibri"/>
                <w:b/>
                <w:bCs/>
                <w:color w:val="000000"/>
                <w:sz w:val="20"/>
                <w:szCs w:val="20"/>
                <w:lang w:eastAsia="en-GB"/>
              </w:rPr>
            </w:pPr>
            <w:r w:rsidRPr="00342239">
              <w:rPr>
                <w:rFonts w:ascii="Calibri" w:eastAsia="Times New Roman" w:hAnsi="Calibri" w:cs="Calibri"/>
                <w:b/>
                <w:bCs/>
                <w:color w:val="000000"/>
                <w:sz w:val="20"/>
                <w:szCs w:val="20"/>
                <w:lang w:eastAsia="en-GB"/>
              </w:rPr>
              <w:t>EF</w:t>
            </w:r>
          </w:p>
        </w:tc>
      </w:tr>
      <w:tr w:rsidR="00C112D5" w:rsidRPr="00342239" w14:paraId="7B1CEB4A" w14:textId="77777777" w:rsidTr="00734A9E">
        <w:trPr>
          <w:trHeight w:val="283"/>
        </w:trPr>
        <w:tc>
          <w:tcPr>
            <w:tcW w:w="2122" w:type="dxa"/>
            <w:vAlign w:val="center"/>
            <w:hideMark/>
          </w:tcPr>
          <w:p w14:paraId="7F6AA962" w14:textId="77777777" w:rsidR="00C112D5" w:rsidRPr="00342239" w:rsidRDefault="00C112D5" w:rsidP="00734A9E">
            <w:pPr>
              <w:spacing w:line="480" w:lineRule="auto"/>
              <w:rPr>
                <w:rFonts w:ascii="Calibri" w:eastAsia="Times New Roman" w:hAnsi="Calibri" w:cs="Calibri"/>
                <w:color w:val="000000"/>
                <w:lang w:eastAsia="en-GB"/>
              </w:rPr>
            </w:pPr>
            <w:r w:rsidRPr="00342239">
              <w:rPr>
                <w:rFonts w:ascii="Calibri" w:eastAsia="Times New Roman" w:hAnsi="Calibri" w:cs="Calibri"/>
                <w:color w:val="000000"/>
                <w:lang w:eastAsia="en-GB"/>
              </w:rPr>
              <w:t>Transmembrane region</w:t>
            </w:r>
            <w:r>
              <w:rPr>
                <w:rFonts w:ascii="Calibri" w:eastAsia="Times New Roman" w:hAnsi="Calibri" w:cs="Calibri"/>
                <w:color w:val="000000"/>
                <w:lang w:eastAsia="en-GB"/>
              </w:rPr>
              <w:t>s</w:t>
            </w:r>
          </w:p>
        </w:tc>
        <w:tc>
          <w:tcPr>
            <w:tcW w:w="2334" w:type="dxa"/>
            <w:vAlign w:val="center"/>
          </w:tcPr>
          <w:p w14:paraId="39F10A9D" w14:textId="77777777" w:rsidR="00C112D5" w:rsidRDefault="00C112D5" w:rsidP="00734A9E">
            <w:pPr>
              <w:pStyle w:val="NoSpacing"/>
              <w:spacing w:line="480" w:lineRule="auto"/>
            </w:pPr>
            <w:r>
              <w:rPr>
                <w:rStyle w:val="Emphasis"/>
              </w:rPr>
              <w:t>132-410, 718-938, 1207-1466, 1530-1771</w:t>
            </w:r>
          </w:p>
        </w:tc>
        <w:tc>
          <w:tcPr>
            <w:tcW w:w="936" w:type="dxa"/>
            <w:noWrap/>
            <w:vAlign w:val="center"/>
            <w:hideMark/>
          </w:tcPr>
          <w:p w14:paraId="6F31062B" w14:textId="77777777" w:rsidR="00C112D5" w:rsidRDefault="00C112D5" w:rsidP="00734A9E">
            <w:pPr>
              <w:pStyle w:val="NoSpacing"/>
              <w:spacing w:line="480" w:lineRule="auto"/>
              <w:jc w:val="center"/>
            </w:pPr>
            <w:r>
              <w:t>0.31%</w:t>
            </w:r>
          </w:p>
        </w:tc>
        <w:tc>
          <w:tcPr>
            <w:tcW w:w="875" w:type="dxa"/>
            <w:noWrap/>
            <w:vAlign w:val="center"/>
            <w:hideMark/>
          </w:tcPr>
          <w:p w14:paraId="46C6975B" w14:textId="77777777" w:rsidR="00C112D5" w:rsidRDefault="00C112D5" w:rsidP="00734A9E">
            <w:pPr>
              <w:pStyle w:val="NoSpacing"/>
              <w:spacing w:line="480" w:lineRule="auto"/>
              <w:jc w:val="center"/>
            </w:pPr>
            <w:r>
              <w:t>14.67%</w:t>
            </w:r>
          </w:p>
        </w:tc>
        <w:tc>
          <w:tcPr>
            <w:tcW w:w="718" w:type="dxa"/>
            <w:noWrap/>
            <w:vAlign w:val="center"/>
            <w:hideMark/>
          </w:tcPr>
          <w:p w14:paraId="4BA96216" w14:textId="77777777" w:rsidR="00C112D5" w:rsidRPr="001F0044" w:rsidRDefault="00C112D5" w:rsidP="00734A9E">
            <w:pPr>
              <w:pStyle w:val="NoSpacing"/>
              <w:spacing w:line="480" w:lineRule="auto"/>
              <w:jc w:val="center"/>
              <w:rPr>
                <w:color w:val="FF0000"/>
              </w:rPr>
            </w:pPr>
            <w:r w:rsidRPr="001F0044">
              <w:rPr>
                <w:color w:val="FF0000"/>
              </w:rPr>
              <w:t>0.982</w:t>
            </w:r>
          </w:p>
        </w:tc>
        <w:tc>
          <w:tcPr>
            <w:tcW w:w="266" w:type="dxa"/>
            <w:vMerge/>
            <w:vAlign w:val="center"/>
            <w:hideMark/>
          </w:tcPr>
          <w:p w14:paraId="3C24D2A4" w14:textId="77777777" w:rsidR="00C112D5" w:rsidRPr="00342239" w:rsidRDefault="00C112D5" w:rsidP="00734A9E">
            <w:pPr>
              <w:spacing w:line="480" w:lineRule="auto"/>
              <w:jc w:val="center"/>
              <w:rPr>
                <w:rFonts w:ascii="Calibri" w:eastAsia="Times New Roman" w:hAnsi="Calibri" w:cs="Calibri"/>
                <w:color w:val="000000"/>
                <w:lang w:eastAsia="en-GB"/>
              </w:rPr>
            </w:pPr>
          </w:p>
        </w:tc>
        <w:tc>
          <w:tcPr>
            <w:tcW w:w="1044" w:type="dxa"/>
            <w:noWrap/>
            <w:vAlign w:val="center"/>
            <w:hideMark/>
          </w:tcPr>
          <w:p w14:paraId="6BB19F96" w14:textId="77777777" w:rsidR="00C112D5" w:rsidRDefault="00C112D5" w:rsidP="00734A9E">
            <w:pPr>
              <w:pStyle w:val="NoSpacing"/>
              <w:spacing w:line="480" w:lineRule="auto"/>
              <w:jc w:val="center"/>
            </w:pPr>
            <w:r>
              <w:t>0.31%</w:t>
            </w:r>
          </w:p>
        </w:tc>
        <w:tc>
          <w:tcPr>
            <w:tcW w:w="764" w:type="dxa"/>
            <w:noWrap/>
            <w:vAlign w:val="center"/>
            <w:hideMark/>
          </w:tcPr>
          <w:p w14:paraId="18443EAC" w14:textId="77777777" w:rsidR="00C112D5" w:rsidRDefault="00C112D5" w:rsidP="00734A9E">
            <w:pPr>
              <w:pStyle w:val="NoSpacing"/>
              <w:spacing w:line="480" w:lineRule="auto"/>
              <w:jc w:val="center"/>
            </w:pPr>
            <w:r>
              <w:t>7.78%</w:t>
            </w:r>
          </w:p>
        </w:tc>
        <w:tc>
          <w:tcPr>
            <w:tcW w:w="718" w:type="dxa"/>
            <w:noWrap/>
            <w:vAlign w:val="center"/>
            <w:hideMark/>
          </w:tcPr>
          <w:p w14:paraId="0D2505A8" w14:textId="77777777" w:rsidR="00C112D5" w:rsidRPr="001F0044" w:rsidRDefault="00C112D5" w:rsidP="00734A9E">
            <w:pPr>
              <w:pStyle w:val="NoSpacing"/>
              <w:spacing w:line="480" w:lineRule="auto"/>
              <w:jc w:val="center"/>
              <w:rPr>
                <w:color w:val="FF0000"/>
              </w:rPr>
            </w:pPr>
            <w:r w:rsidRPr="001F0044">
              <w:rPr>
                <w:color w:val="FF0000"/>
              </w:rPr>
              <w:t>0.96</w:t>
            </w:r>
            <w:r>
              <w:rPr>
                <w:color w:val="FF0000"/>
              </w:rPr>
              <w:t>4</w:t>
            </w:r>
          </w:p>
        </w:tc>
        <w:tc>
          <w:tcPr>
            <w:tcW w:w="320" w:type="dxa"/>
            <w:vMerge/>
            <w:vAlign w:val="center"/>
            <w:hideMark/>
          </w:tcPr>
          <w:p w14:paraId="6056C835" w14:textId="77777777" w:rsidR="00C112D5" w:rsidRPr="00342239" w:rsidRDefault="00C112D5" w:rsidP="00734A9E">
            <w:pPr>
              <w:spacing w:line="480" w:lineRule="auto"/>
              <w:jc w:val="center"/>
              <w:rPr>
                <w:rFonts w:ascii="Calibri" w:eastAsia="Times New Roman" w:hAnsi="Calibri" w:cs="Calibri"/>
                <w:color w:val="000000"/>
                <w:lang w:eastAsia="en-GB"/>
              </w:rPr>
            </w:pPr>
          </w:p>
        </w:tc>
        <w:tc>
          <w:tcPr>
            <w:tcW w:w="936" w:type="dxa"/>
            <w:noWrap/>
            <w:vAlign w:val="center"/>
            <w:hideMark/>
          </w:tcPr>
          <w:p w14:paraId="7C4B92B6" w14:textId="77777777" w:rsidR="00C112D5" w:rsidRDefault="00C112D5" w:rsidP="00734A9E">
            <w:pPr>
              <w:pStyle w:val="NoSpacing"/>
              <w:spacing w:line="480" w:lineRule="auto"/>
              <w:jc w:val="center"/>
            </w:pPr>
            <w:r>
              <w:t>0.31%</w:t>
            </w:r>
          </w:p>
        </w:tc>
        <w:tc>
          <w:tcPr>
            <w:tcW w:w="875" w:type="dxa"/>
            <w:noWrap/>
            <w:vAlign w:val="center"/>
            <w:hideMark/>
          </w:tcPr>
          <w:p w14:paraId="7A483AD0" w14:textId="77777777" w:rsidR="00C112D5" w:rsidRDefault="00C112D5" w:rsidP="00734A9E">
            <w:pPr>
              <w:pStyle w:val="NoSpacing"/>
              <w:spacing w:line="480" w:lineRule="auto"/>
              <w:jc w:val="center"/>
            </w:pPr>
            <w:r>
              <w:t>10.58%</w:t>
            </w:r>
          </w:p>
        </w:tc>
        <w:tc>
          <w:tcPr>
            <w:tcW w:w="718" w:type="dxa"/>
            <w:noWrap/>
            <w:vAlign w:val="center"/>
            <w:hideMark/>
          </w:tcPr>
          <w:p w14:paraId="40053094" w14:textId="77777777" w:rsidR="00C112D5" w:rsidRPr="001F0044" w:rsidRDefault="00C112D5" w:rsidP="00734A9E">
            <w:pPr>
              <w:pStyle w:val="NoSpacing"/>
              <w:spacing w:line="480" w:lineRule="auto"/>
              <w:jc w:val="center"/>
              <w:rPr>
                <w:color w:val="FF0000"/>
              </w:rPr>
            </w:pPr>
            <w:r w:rsidRPr="001F0044">
              <w:rPr>
                <w:color w:val="FF0000"/>
              </w:rPr>
              <w:t>0.974</w:t>
            </w:r>
          </w:p>
        </w:tc>
        <w:tc>
          <w:tcPr>
            <w:tcW w:w="320" w:type="dxa"/>
            <w:vMerge/>
            <w:vAlign w:val="center"/>
            <w:hideMark/>
          </w:tcPr>
          <w:p w14:paraId="222570B7" w14:textId="77777777" w:rsidR="00C112D5" w:rsidRPr="00342239" w:rsidRDefault="00C112D5" w:rsidP="00734A9E">
            <w:pPr>
              <w:spacing w:line="480" w:lineRule="auto"/>
              <w:jc w:val="center"/>
              <w:rPr>
                <w:rFonts w:ascii="Calibri" w:eastAsia="Times New Roman" w:hAnsi="Calibri" w:cs="Calibri"/>
                <w:color w:val="000000"/>
                <w:lang w:eastAsia="en-GB"/>
              </w:rPr>
            </w:pPr>
          </w:p>
        </w:tc>
        <w:tc>
          <w:tcPr>
            <w:tcW w:w="960" w:type="dxa"/>
            <w:noWrap/>
            <w:vAlign w:val="center"/>
            <w:hideMark/>
          </w:tcPr>
          <w:p w14:paraId="1161D2E2" w14:textId="77777777" w:rsidR="00C112D5" w:rsidRDefault="00C112D5" w:rsidP="00734A9E">
            <w:pPr>
              <w:pStyle w:val="NoSpacing"/>
              <w:spacing w:line="480" w:lineRule="auto"/>
              <w:jc w:val="center"/>
            </w:pPr>
            <w:r>
              <w:t>0.37%</w:t>
            </w:r>
          </w:p>
        </w:tc>
        <w:tc>
          <w:tcPr>
            <w:tcW w:w="764" w:type="dxa"/>
            <w:noWrap/>
            <w:vAlign w:val="center"/>
            <w:hideMark/>
          </w:tcPr>
          <w:p w14:paraId="70E3D6A1" w14:textId="77777777" w:rsidR="00C112D5" w:rsidRDefault="00C112D5" w:rsidP="00734A9E">
            <w:pPr>
              <w:pStyle w:val="NoSpacing"/>
              <w:spacing w:line="480" w:lineRule="auto"/>
              <w:jc w:val="center"/>
            </w:pPr>
            <w:r>
              <w:t>4.28%</w:t>
            </w:r>
          </w:p>
        </w:tc>
        <w:tc>
          <w:tcPr>
            <w:tcW w:w="718" w:type="dxa"/>
            <w:noWrap/>
            <w:vAlign w:val="center"/>
            <w:hideMark/>
          </w:tcPr>
          <w:p w14:paraId="6FADD6F8" w14:textId="77777777" w:rsidR="00C112D5" w:rsidRPr="001F0044" w:rsidRDefault="00C112D5" w:rsidP="00734A9E">
            <w:pPr>
              <w:pStyle w:val="NoSpacing"/>
              <w:spacing w:line="480" w:lineRule="auto"/>
              <w:jc w:val="center"/>
              <w:rPr>
                <w:color w:val="FFC000"/>
              </w:rPr>
            </w:pPr>
            <w:r w:rsidRPr="001F0044">
              <w:rPr>
                <w:color w:val="FFC000"/>
              </w:rPr>
              <w:t>0.918</w:t>
            </w:r>
          </w:p>
        </w:tc>
      </w:tr>
      <w:tr w:rsidR="00C112D5" w:rsidRPr="00342239" w14:paraId="12604358" w14:textId="77777777" w:rsidTr="00734A9E">
        <w:trPr>
          <w:trHeight w:val="283"/>
        </w:trPr>
        <w:tc>
          <w:tcPr>
            <w:tcW w:w="2122" w:type="dxa"/>
            <w:vAlign w:val="center"/>
            <w:hideMark/>
          </w:tcPr>
          <w:p w14:paraId="1F7B782F" w14:textId="77777777" w:rsidR="00C112D5" w:rsidRPr="00342239" w:rsidRDefault="00C112D5" w:rsidP="00734A9E">
            <w:pPr>
              <w:spacing w:line="480" w:lineRule="auto"/>
              <w:rPr>
                <w:rFonts w:ascii="Calibri" w:eastAsia="Times New Roman" w:hAnsi="Calibri" w:cs="Calibri"/>
                <w:color w:val="000000"/>
                <w:lang w:eastAsia="en-GB"/>
              </w:rPr>
            </w:pPr>
            <w:r w:rsidRPr="00342239">
              <w:rPr>
                <w:rFonts w:ascii="Calibri" w:eastAsia="Times New Roman" w:hAnsi="Calibri" w:cs="Calibri"/>
                <w:color w:val="000000"/>
                <w:lang w:eastAsia="en-GB"/>
              </w:rPr>
              <w:t>Transmembrane - pore segment</w:t>
            </w:r>
            <w:r>
              <w:rPr>
                <w:rFonts w:ascii="Calibri" w:eastAsia="Times New Roman" w:hAnsi="Calibri" w:cs="Calibri"/>
                <w:color w:val="000000"/>
                <w:lang w:eastAsia="en-GB"/>
              </w:rPr>
              <w:t>s</w:t>
            </w:r>
          </w:p>
        </w:tc>
        <w:tc>
          <w:tcPr>
            <w:tcW w:w="2334" w:type="dxa"/>
            <w:vAlign w:val="center"/>
          </w:tcPr>
          <w:p w14:paraId="5EBE781E" w14:textId="77777777" w:rsidR="00C112D5" w:rsidRDefault="00C112D5" w:rsidP="00734A9E">
            <w:pPr>
              <w:pStyle w:val="NoSpacing"/>
              <w:spacing w:line="480" w:lineRule="auto"/>
            </w:pPr>
            <w:r>
              <w:rPr>
                <w:rStyle w:val="Emphasis"/>
              </w:rPr>
              <w:t>273-389, 857-917, 1354-1444, 1675-1748</w:t>
            </w:r>
          </w:p>
        </w:tc>
        <w:tc>
          <w:tcPr>
            <w:tcW w:w="936" w:type="dxa"/>
            <w:noWrap/>
            <w:vAlign w:val="center"/>
            <w:hideMark/>
          </w:tcPr>
          <w:p w14:paraId="4C12F6F5" w14:textId="77777777" w:rsidR="00C112D5" w:rsidRDefault="00C112D5" w:rsidP="00734A9E">
            <w:pPr>
              <w:pStyle w:val="NoSpacing"/>
              <w:spacing w:line="480" w:lineRule="auto"/>
              <w:jc w:val="center"/>
            </w:pPr>
            <w:r>
              <w:t>0.09%</w:t>
            </w:r>
          </w:p>
        </w:tc>
        <w:tc>
          <w:tcPr>
            <w:tcW w:w="875" w:type="dxa"/>
            <w:noWrap/>
            <w:vAlign w:val="center"/>
            <w:hideMark/>
          </w:tcPr>
          <w:p w14:paraId="0E98E99A" w14:textId="77777777" w:rsidR="00C112D5" w:rsidRDefault="00C112D5" w:rsidP="00734A9E">
            <w:pPr>
              <w:pStyle w:val="NoSpacing"/>
              <w:spacing w:line="480" w:lineRule="auto"/>
              <w:jc w:val="center"/>
            </w:pPr>
            <w:r>
              <w:t>8.22%</w:t>
            </w:r>
          </w:p>
        </w:tc>
        <w:tc>
          <w:tcPr>
            <w:tcW w:w="718" w:type="dxa"/>
            <w:noWrap/>
            <w:vAlign w:val="center"/>
            <w:hideMark/>
          </w:tcPr>
          <w:p w14:paraId="1B466F32" w14:textId="77777777" w:rsidR="00C112D5" w:rsidRPr="001F0044" w:rsidRDefault="00C112D5" w:rsidP="00734A9E">
            <w:pPr>
              <w:pStyle w:val="NoSpacing"/>
              <w:spacing w:line="480" w:lineRule="auto"/>
              <w:jc w:val="center"/>
              <w:rPr>
                <w:color w:val="FF0000"/>
              </w:rPr>
            </w:pPr>
            <w:r w:rsidRPr="001F0044">
              <w:rPr>
                <w:color w:val="FF0000"/>
              </w:rPr>
              <w:t>0.989</w:t>
            </w:r>
          </w:p>
        </w:tc>
        <w:tc>
          <w:tcPr>
            <w:tcW w:w="266" w:type="dxa"/>
            <w:vMerge/>
            <w:vAlign w:val="center"/>
            <w:hideMark/>
          </w:tcPr>
          <w:p w14:paraId="7824981E" w14:textId="77777777" w:rsidR="00C112D5" w:rsidRPr="00342239" w:rsidRDefault="00C112D5" w:rsidP="00734A9E">
            <w:pPr>
              <w:spacing w:line="480" w:lineRule="auto"/>
              <w:jc w:val="center"/>
              <w:rPr>
                <w:rFonts w:ascii="Calibri" w:eastAsia="Times New Roman" w:hAnsi="Calibri" w:cs="Calibri"/>
                <w:color w:val="000000"/>
                <w:lang w:eastAsia="en-GB"/>
              </w:rPr>
            </w:pPr>
          </w:p>
        </w:tc>
        <w:tc>
          <w:tcPr>
            <w:tcW w:w="1044" w:type="dxa"/>
            <w:noWrap/>
            <w:vAlign w:val="center"/>
            <w:hideMark/>
          </w:tcPr>
          <w:p w14:paraId="2EECB7A0" w14:textId="77777777" w:rsidR="00C112D5" w:rsidRDefault="00C112D5" w:rsidP="00734A9E">
            <w:pPr>
              <w:pStyle w:val="NoSpacing"/>
              <w:spacing w:line="480" w:lineRule="auto"/>
              <w:jc w:val="center"/>
            </w:pPr>
            <w:r>
              <w:t>0.09%</w:t>
            </w:r>
          </w:p>
        </w:tc>
        <w:tc>
          <w:tcPr>
            <w:tcW w:w="764" w:type="dxa"/>
            <w:noWrap/>
            <w:vAlign w:val="center"/>
            <w:hideMark/>
          </w:tcPr>
          <w:p w14:paraId="4A4D515D" w14:textId="77777777" w:rsidR="00C112D5" w:rsidRDefault="00C112D5" w:rsidP="00734A9E">
            <w:pPr>
              <w:pStyle w:val="NoSpacing"/>
              <w:spacing w:line="480" w:lineRule="auto"/>
              <w:jc w:val="center"/>
            </w:pPr>
            <w:r>
              <w:t>3.89%</w:t>
            </w:r>
          </w:p>
        </w:tc>
        <w:tc>
          <w:tcPr>
            <w:tcW w:w="718" w:type="dxa"/>
            <w:noWrap/>
            <w:vAlign w:val="center"/>
            <w:hideMark/>
          </w:tcPr>
          <w:p w14:paraId="13372744" w14:textId="77777777" w:rsidR="00C112D5" w:rsidRPr="001F0044" w:rsidRDefault="00C112D5" w:rsidP="00734A9E">
            <w:pPr>
              <w:pStyle w:val="NoSpacing"/>
              <w:spacing w:line="480" w:lineRule="auto"/>
              <w:jc w:val="center"/>
              <w:rPr>
                <w:color w:val="FF0000"/>
              </w:rPr>
            </w:pPr>
            <w:r w:rsidRPr="001F0044">
              <w:rPr>
                <w:color w:val="FF0000"/>
              </w:rPr>
              <w:t>0.977</w:t>
            </w:r>
          </w:p>
        </w:tc>
        <w:tc>
          <w:tcPr>
            <w:tcW w:w="320" w:type="dxa"/>
            <w:vMerge/>
            <w:vAlign w:val="center"/>
            <w:hideMark/>
          </w:tcPr>
          <w:p w14:paraId="45EA244F" w14:textId="77777777" w:rsidR="00C112D5" w:rsidRPr="00342239" w:rsidRDefault="00C112D5" w:rsidP="00734A9E">
            <w:pPr>
              <w:spacing w:line="480" w:lineRule="auto"/>
              <w:jc w:val="center"/>
              <w:rPr>
                <w:rFonts w:ascii="Calibri" w:eastAsia="Times New Roman" w:hAnsi="Calibri" w:cs="Calibri"/>
                <w:color w:val="000000"/>
                <w:lang w:eastAsia="en-GB"/>
              </w:rPr>
            </w:pPr>
          </w:p>
        </w:tc>
        <w:tc>
          <w:tcPr>
            <w:tcW w:w="936" w:type="dxa"/>
            <w:noWrap/>
            <w:vAlign w:val="center"/>
            <w:hideMark/>
          </w:tcPr>
          <w:p w14:paraId="427FC4EA" w14:textId="77777777" w:rsidR="00C112D5" w:rsidRDefault="00C112D5" w:rsidP="00734A9E">
            <w:pPr>
              <w:pStyle w:val="NoSpacing"/>
              <w:spacing w:line="480" w:lineRule="auto"/>
              <w:jc w:val="center"/>
            </w:pPr>
            <w:r>
              <w:t>0.09%</w:t>
            </w:r>
          </w:p>
        </w:tc>
        <w:tc>
          <w:tcPr>
            <w:tcW w:w="875" w:type="dxa"/>
            <w:noWrap/>
            <w:vAlign w:val="center"/>
            <w:hideMark/>
          </w:tcPr>
          <w:p w14:paraId="3AB21329" w14:textId="77777777" w:rsidR="00C112D5" w:rsidRDefault="00C112D5" w:rsidP="00734A9E">
            <w:pPr>
              <w:pStyle w:val="NoSpacing"/>
              <w:spacing w:line="480" w:lineRule="auto"/>
              <w:jc w:val="center"/>
            </w:pPr>
            <w:r>
              <w:t>5.58%</w:t>
            </w:r>
          </w:p>
        </w:tc>
        <w:tc>
          <w:tcPr>
            <w:tcW w:w="718" w:type="dxa"/>
            <w:noWrap/>
            <w:vAlign w:val="center"/>
            <w:hideMark/>
          </w:tcPr>
          <w:p w14:paraId="5C95D0AD" w14:textId="77777777" w:rsidR="00C112D5" w:rsidRPr="001F0044" w:rsidRDefault="00C112D5" w:rsidP="00734A9E">
            <w:pPr>
              <w:pStyle w:val="NoSpacing"/>
              <w:spacing w:line="480" w:lineRule="auto"/>
              <w:jc w:val="center"/>
              <w:rPr>
                <w:color w:val="FF0000"/>
              </w:rPr>
            </w:pPr>
            <w:r w:rsidRPr="001F0044">
              <w:rPr>
                <w:color w:val="FF0000"/>
              </w:rPr>
              <w:t>0.984</w:t>
            </w:r>
          </w:p>
        </w:tc>
        <w:tc>
          <w:tcPr>
            <w:tcW w:w="320" w:type="dxa"/>
            <w:vMerge/>
            <w:vAlign w:val="center"/>
            <w:hideMark/>
          </w:tcPr>
          <w:p w14:paraId="7A73734E" w14:textId="77777777" w:rsidR="00C112D5" w:rsidRPr="00342239" w:rsidRDefault="00C112D5" w:rsidP="00734A9E">
            <w:pPr>
              <w:spacing w:line="480" w:lineRule="auto"/>
              <w:jc w:val="center"/>
              <w:rPr>
                <w:rFonts w:ascii="Calibri" w:eastAsia="Times New Roman" w:hAnsi="Calibri" w:cs="Calibri"/>
                <w:color w:val="000000"/>
                <w:lang w:eastAsia="en-GB"/>
              </w:rPr>
            </w:pPr>
          </w:p>
        </w:tc>
        <w:tc>
          <w:tcPr>
            <w:tcW w:w="960" w:type="dxa"/>
            <w:noWrap/>
            <w:vAlign w:val="center"/>
            <w:hideMark/>
          </w:tcPr>
          <w:p w14:paraId="3A1B7E35" w14:textId="77777777" w:rsidR="00C112D5" w:rsidRDefault="00C112D5" w:rsidP="00734A9E">
            <w:pPr>
              <w:pStyle w:val="NoSpacing"/>
              <w:spacing w:line="480" w:lineRule="auto"/>
              <w:jc w:val="center"/>
            </w:pPr>
            <w:r>
              <w:t>0.17%</w:t>
            </w:r>
          </w:p>
        </w:tc>
        <w:tc>
          <w:tcPr>
            <w:tcW w:w="764" w:type="dxa"/>
            <w:noWrap/>
            <w:vAlign w:val="center"/>
            <w:hideMark/>
          </w:tcPr>
          <w:p w14:paraId="4BC58F4B" w14:textId="77777777" w:rsidR="00C112D5" w:rsidRDefault="00C112D5" w:rsidP="00734A9E">
            <w:pPr>
              <w:pStyle w:val="NoSpacing"/>
              <w:spacing w:line="480" w:lineRule="auto"/>
              <w:jc w:val="center"/>
            </w:pPr>
            <w:r>
              <w:t>2.14%</w:t>
            </w:r>
          </w:p>
        </w:tc>
        <w:tc>
          <w:tcPr>
            <w:tcW w:w="718" w:type="dxa"/>
            <w:noWrap/>
            <w:vAlign w:val="center"/>
            <w:hideMark/>
          </w:tcPr>
          <w:p w14:paraId="75171A7E" w14:textId="77777777" w:rsidR="00C112D5" w:rsidRPr="001F0044" w:rsidRDefault="00C112D5" w:rsidP="00734A9E">
            <w:pPr>
              <w:pStyle w:val="NoSpacing"/>
              <w:spacing w:line="480" w:lineRule="auto"/>
              <w:jc w:val="center"/>
              <w:rPr>
                <w:color w:val="FFC000"/>
              </w:rPr>
            </w:pPr>
            <w:r w:rsidRPr="001F0044">
              <w:rPr>
                <w:color w:val="FFC000"/>
              </w:rPr>
              <w:t>0.924</w:t>
            </w:r>
          </w:p>
        </w:tc>
      </w:tr>
      <w:tr w:rsidR="00C112D5" w:rsidRPr="00342239" w14:paraId="52ED8DAC" w14:textId="77777777" w:rsidTr="00734A9E">
        <w:trPr>
          <w:trHeight w:val="283"/>
        </w:trPr>
        <w:tc>
          <w:tcPr>
            <w:tcW w:w="2122" w:type="dxa"/>
            <w:vAlign w:val="center"/>
            <w:hideMark/>
          </w:tcPr>
          <w:p w14:paraId="12044C48" w14:textId="77777777" w:rsidR="00C112D5" w:rsidRPr="00342239" w:rsidRDefault="00C112D5" w:rsidP="00734A9E">
            <w:pPr>
              <w:spacing w:line="480" w:lineRule="auto"/>
              <w:rPr>
                <w:rFonts w:ascii="Calibri" w:eastAsia="Times New Roman" w:hAnsi="Calibri" w:cs="Calibri"/>
                <w:color w:val="000000"/>
                <w:lang w:eastAsia="en-GB"/>
              </w:rPr>
            </w:pPr>
            <w:r w:rsidRPr="00342239">
              <w:rPr>
                <w:rFonts w:ascii="Calibri" w:eastAsia="Times New Roman" w:hAnsi="Calibri" w:cs="Calibri"/>
                <w:color w:val="000000"/>
                <w:lang w:eastAsia="en-GB"/>
              </w:rPr>
              <w:t>Transmembrane - other regions</w:t>
            </w:r>
          </w:p>
        </w:tc>
        <w:tc>
          <w:tcPr>
            <w:tcW w:w="2334" w:type="dxa"/>
            <w:vAlign w:val="center"/>
          </w:tcPr>
          <w:p w14:paraId="49EF1A4E" w14:textId="77777777" w:rsidR="00C112D5" w:rsidRDefault="00C112D5" w:rsidP="00734A9E">
            <w:pPr>
              <w:pStyle w:val="NoSpacing"/>
              <w:spacing w:line="480" w:lineRule="auto"/>
            </w:pPr>
            <w:r>
              <w:t>-</w:t>
            </w:r>
          </w:p>
        </w:tc>
        <w:tc>
          <w:tcPr>
            <w:tcW w:w="936" w:type="dxa"/>
            <w:noWrap/>
            <w:vAlign w:val="center"/>
            <w:hideMark/>
          </w:tcPr>
          <w:p w14:paraId="74D10C5B" w14:textId="77777777" w:rsidR="00C112D5" w:rsidRDefault="00C112D5" w:rsidP="00734A9E">
            <w:pPr>
              <w:pStyle w:val="NoSpacing"/>
              <w:spacing w:line="480" w:lineRule="auto"/>
              <w:jc w:val="center"/>
            </w:pPr>
            <w:r>
              <w:t>0.21%</w:t>
            </w:r>
          </w:p>
        </w:tc>
        <w:tc>
          <w:tcPr>
            <w:tcW w:w="875" w:type="dxa"/>
            <w:noWrap/>
            <w:vAlign w:val="center"/>
            <w:hideMark/>
          </w:tcPr>
          <w:p w14:paraId="12D40017" w14:textId="77777777" w:rsidR="00C112D5" w:rsidRDefault="00C112D5" w:rsidP="00734A9E">
            <w:pPr>
              <w:pStyle w:val="NoSpacing"/>
              <w:spacing w:line="480" w:lineRule="auto"/>
              <w:jc w:val="center"/>
            </w:pPr>
            <w:r>
              <w:t>6.44%</w:t>
            </w:r>
          </w:p>
        </w:tc>
        <w:tc>
          <w:tcPr>
            <w:tcW w:w="718" w:type="dxa"/>
            <w:noWrap/>
            <w:vAlign w:val="center"/>
            <w:hideMark/>
          </w:tcPr>
          <w:p w14:paraId="6A141DBD" w14:textId="77777777" w:rsidR="00C112D5" w:rsidRPr="001F0044" w:rsidRDefault="00C112D5" w:rsidP="00734A9E">
            <w:pPr>
              <w:pStyle w:val="NoSpacing"/>
              <w:spacing w:line="480" w:lineRule="auto"/>
              <w:jc w:val="center"/>
              <w:rPr>
                <w:color w:val="FF0000"/>
              </w:rPr>
            </w:pPr>
            <w:r w:rsidRPr="001F0044">
              <w:rPr>
                <w:color w:val="FF0000"/>
              </w:rPr>
              <w:t>0.969</w:t>
            </w:r>
          </w:p>
        </w:tc>
        <w:tc>
          <w:tcPr>
            <w:tcW w:w="266" w:type="dxa"/>
            <w:vMerge/>
            <w:vAlign w:val="center"/>
            <w:hideMark/>
          </w:tcPr>
          <w:p w14:paraId="20C5BC05" w14:textId="77777777" w:rsidR="00C112D5" w:rsidRPr="00342239" w:rsidRDefault="00C112D5" w:rsidP="00734A9E">
            <w:pPr>
              <w:spacing w:line="480" w:lineRule="auto"/>
              <w:jc w:val="center"/>
              <w:rPr>
                <w:rFonts w:ascii="Calibri" w:eastAsia="Times New Roman" w:hAnsi="Calibri" w:cs="Calibri"/>
                <w:color w:val="000000"/>
                <w:lang w:eastAsia="en-GB"/>
              </w:rPr>
            </w:pPr>
          </w:p>
        </w:tc>
        <w:tc>
          <w:tcPr>
            <w:tcW w:w="1044" w:type="dxa"/>
            <w:noWrap/>
            <w:vAlign w:val="center"/>
            <w:hideMark/>
          </w:tcPr>
          <w:p w14:paraId="5CCAD5EB" w14:textId="77777777" w:rsidR="00C112D5" w:rsidRDefault="00C112D5" w:rsidP="00734A9E">
            <w:pPr>
              <w:pStyle w:val="NoSpacing"/>
              <w:spacing w:line="480" w:lineRule="auto"/>
              <w:jc w:val="center"/>
            </w:pPr>
            <w:r>
              <w:t>0.21%</w:t>
            </w:r>
          </w:p>
        </w:tc>
        <w:tc>
          <w:tcPr>
            <w:tcW w:w="764" w:type="dxa"/>
            <w:noWrap/>
            <w:vAlign w:val="center"/>
            <w:hideMark/>
          </w:tcPr>
          <w:p w14:paraId="6C7D8ADC" w14:textId="77777777" w:rsidR="00C112D5" w:rsidRDefault="00C112D5" w:rsidP="00734A9E">
            <w:pPr>
              <w:pStyle w:val="NoSpacing"/>
              <w:spacing w:line="480" w:lineRule="auto"/>
              <w:jc w:val="center"/>
            </w:pPr>
            <w:r>
              <w:t>3.89%</w:t>
            </w:r>
          </w:p>
        </w:tc>
        <w:tc>
          <w:tcPr>
            <w:tcW w:w="718" w:type="dxa"/>
            <w:noWrap/>
            <w:vAlign w:val="center"/>
            <w:hideMark/>
          </w:tcPr>
          <w:p w14:paraId="274508BE" w14:textId="77777777" w:rsidR="00C112D5" w:rsidRDefault="00C112D5" w:rsidP="00734A9E">
            <w:pPr>
              <w:pStyle w:val="NoSpacing"/>
              <w:spacing w:line="480" w:lineRule="auto"/>
              <w:jc w:val="center"/>
            </w:pPr>
            <w:r w:rsidRPr="001F0044">
              <w:rPr>
                <w:color w:val="FFC000"/>
              </w:rPr>
              <w:t>0.94</w:t>
            </w:r>
            <w:r>
              <w:rPr>
                <w:color w:val="FFC000"/>
              </w:rPr>
              <w:t>7</w:t>
            </w:r>
          </w:p>
        </w:tc>
        <w:tc>
          <w:tcPr>
            <w:tcW w:w="320" w:type="dxa"/>
            <w:vMerge/>
            <w:vAlign w:val="center"/>
            <w:hideMark/>
          </w:tcPr>
          <w:p w14:paraId="1E6D2D61" w14:textId="77777777" w:rsidR="00C112D5" w:rsidRPr="00342239" w:rsidRDefault="00C112D5" w:rsidP="00734A9E">
            <w:pPr>
              <w:spacing w:line="480" w:lineRule="auto"/>
              <w:jc w:val="center"/>
              <w:rPr>
                <w:rFonts w:ascii="Calibri" w:eastAsia="Times New Roman" w:hAnsi="Calibri" w:cs="Calibri"/>
                <w:color w:val="000000"/>
                <w:lang w:eastAsia="en-GB"/>
              </w:rPr>
            </w:pPr>
          </w:p>
        </w:tc>
        <w:tc>
          <w:tcPr>
            <w:tcW w:w="936" w:type="dxa"/>
            <w:noWrap/>
            <w:vAlign w:val="center"/>
            <w:hideMark/>
          </w:tcPr>
          <w:p w14:paraId="5D72993C" w14:textId="77777777" w:rsidR="00C112D5" w:rsidRDefault="00C112D5" w:rsidP="00734A9E">
            <w:pPr>
              <w:pStyle w:val="NoSpacing"/>
              <w:spacing w:line="480" w:lineRule="auto"/>
              <w:jc w:val="center"/>
            </w:pPr>
            <w:r>
              <w:t>0.21%</w:t>
            </w:r>
          </w:p>
        </w:tc>
        <w:tc>
          <w:tcPr>
            <w:tcW w:w="875" w:type="dxa"/>
            <w:noWrap/>
            <w:vAlign w:val="center"/>
            <w:hideMark/>
          </w:tcPr>
          <w:p w14:paraId="106D7914" w14:textId="77777777" w:rsidR="00C112D5" w:rsidRDefault="00C112D5" w:rsidP="00734A9E">
            <w:pPr>
              <w:pStyle w:val="NoSpacing"/>
              <w:spacing w:line="480" w:lineRule="auto"/>
              <w:jc w:val="center"/>
            </w:pPr>
            <w:r>
              <w:t>5.00%</w:t>
            </w:r>
          </w:p>
        </w:tc>
        <w:tc>
          <w:tcPr>
            <w:tcW w:w="718" w:type="dxa"/>
            <w:noWrap/>
            <w:vAlign w:val="center"/>
            <w:hideMark/>
          </w:tcPr>
          <w:p w14:paraId="52CAA56B" w14:textId="77777777" w:rsidR="00C112D5" w:rsidRPr="001F0044" w:rsidRDefault="00C112D5" w:rsidP="00734A9E">
            <w:pPr>
              <w:pStyle w:val="NoSpacing"/>
              <w:spacing w:line="480" w:lineRule="auto"/>
              <w:jc w:val="center"/>
              <w:rPr>
                <w:color w:val="FF0000"/>
              </w:rPr>
            </w:pPr>
            <w:r w:rsidRPr="001F0044">
              <w:rPr>
                <w:color w:val="FF0000"/>
              </w:rPr>
              <w:t>0.959</w:t>
            </w:r>
          </w:p>
        </w:tc>
        <w:tc>
          <w:tcPr>
            <w:tcW w:w="320" w:type="dxa"/>
            <w:vMerge/>
            <w:vAlign w:val="center"/>
            <w:hideMark/>
          </w:tcPr>
          <w:p w14:paraId="4338D9B4" w14:textId="77777777" w:rsidR="00C112D5" w:rsidRPr="00342239" w:rsidRDefault="00C112D5" w:rsidP="00734A9E">
            <w:pPr>
              <w:spacing w:line="480" w:lineRule="auto"/>
              <w:jc w:val="center"/>
              <w:rPr>
                <w:rFonts w:ascii="Calibri" w:eastAsia="Times New Roman" w:hAnsi="Calibri" w:cs="Calibri"/>
                <w:color w:val="000000"/>
                <w:lang w:eastAsia="en-GB"/>
              </w:rPr>
            </w:pPr>
          </w:p>
        </w:tc>
        <w:tc>
          <w:tcPr>
            <w:tcW w:w="960" w:type="dxa"/>
            <w:noWrap/>
            <w:vAlign w:val="center"/>
            <w:hideMark/>
          </w:tcPr>
          <w:p w14:paraId="7704B471" w14:textId="77777777" w:rsidR="00C112D5" w:rsidRDefault="00C112D5" w:rsidP="00734A9E">
            <w:pPr>
              <w:pStyle w:val="NoSpacing"/>
              <w:spacing w:line="480" w:lineRule="auto"/>
              <w:jc w:val="center"/>
            </w:pPr>
            <w:r>
              <w:t>0.20%</w:t>
            </w:r>
          </w:p>
        </w:tc>
        <w:tc>
          <w:tcPr>
            <w:tcW w:w="764" w:type="dxa"/>
            <w:noWrap/>
            <w:vAlign w:val="center"/>
            <w:hideMark/>
          </w:tcPr>
          <w:p w14:paraId="0A8B3C07" w14:textId="77777777" w:rsidR="00C112D5" w:rsidRDefault="00C112D5" w:rsidP="00734A9E">
            <w:pPr>
              <w:pStyle w:val="NoSpacing"/>
              <w:spacing w:line="480" w:lineRule="auto"/>
              <w:jc w:val="center"/>
            </w:pPr>
            <w:r>
              <w:t>2.14%</w:t>
            </w:r>
          </w:p>
        </w:tc>
        <w:tc>
          <w:tcPr>
            <w:tcW w:w="718" w:type="dxa"/>
            <w:noWrap/>
            <w:vAlign w:val="center"/>
            <w:hideMark/>
          </w:tcPr>
          <w:p w14:paraId="1A8A9E74" w14:textId="77777777" w:rsidR="00C112D5" w:rsidRPr="001F0044" w:rsidRDefault="00C112D5" w:rsidP="00734A9E">
            <w:pPr>
              <w:pStyle w:val="NoSpacing"/>
              <w:spacing w:line="480" w:lineRule="auto"/>
              <w:jc w:val="center"/>
              <w:rPr>
                <w:color w:val="FFC000"/>
              </w:rPr>
            </w:pPr>
            <w:r w:rsidRPr="001F0044">
              <w:rPr>
                <w:color w:val="FFC000"/>
              </w:rPr>
              <w:t>0.908</w:t>
            </w:r>
          </w:p>
        </w:tc>
      </w:tr>
      <w:tr w:rsidR="00C112D5" w:rsidRPr="00342239" w14:paraId="31D6C6D8" w14:textId="77777777" w:rsidTr="00734A9E">
        <w:trPr>
          <w:trHeight w:val="520"/>
        </w:trPr>
        <w:tc>
          <w:tcPr>
            <w:tcW w:w="2122" w:type="dxa"/>
            <w:vAlign w:val="center"/>
            <w:hideMark/>
          </w:tcPr>
          <w:p w14:paraId="7E60EEE6" w14:textId="77777777" w:rsidR="00C112D5" w:rsidRPr="00342239" w:rsidRDefault="00C112D5" w:rsidP="00734A9E">
            <w:pPr>
              <w:spacing w:line="480" w:lineRule="auto"/>
              <w:rPr>
                <w:rFonts w:ascii="Calibri" w:eastAsia="Times New Roman" w:hAnsi="Calibri" w:cs="Calibri"/>
                <w:color w:val="000000"/>
                <w:lang w:eastAsia="en-GB"/>
              </w:rPr>
            </w:pPr>
            <w:r w:rsidRPr="00342239">
              <w:rPr>
                <w:rFonts w:ascii="Calibri" w:eastAsia="Times New Roman" w:hAnsi="Calibri" w:cs="Calibri"/>
                <w:color w:val="000000"/>
                <w:lang w:eastAsia="en-GB"/>
              </w:rPr>
              <w:t>N-terminus</w:t>
            </w:r>
          </w:p>
        </w:tc>
        <w:tc>
          <w:tcPr>
            <w:tcW w:w="2334" w:type="dxa"/>
            <w:vAlign w:val="center"/>
          </w:tcPr>
          <w:p w14:paraId="67B9F194" w14:textId="77777777" w:rsidR="00C112D5" w:rsidRDefault="00C112D5" w:rsidP="00734A9E">
            <w:pPr>
              <w:pStyle w:val="NoSpacing"/>
              <w:spacing w:line="480" w:lineRule="auto"/>
            </w:pPr>
            <w:r>
              <w:rPr>
                <w:rStyle w:val="Emphasis"/>
              </w:rPr>
              <w:t>1-131</w:t>
            </w:r>
          </w:p>
        </w:tc>
        <w:tc>
          <w:tcPr>
            <w:tcW w:w="936" w:type="dxa"/>
            <w:noWrap/>
            <w:vAlign w:val="center"/>
            <w:hideMark/>
          </w:tcPr>
          <w:p w14:paraId="637596B3" w14:textId="77777777" w:rsidR="00C112D5" w:rsidRDefault="00C112D5" w:rsidP="00734A9E">
            <w:pPr>
              <w:pStyle w:val="NoSpacing"/>
              <w:spacing w:line="480" w:lineRule="auto"/>
              <w:jc w:val="center"/>
            </w:pPr>
            <w:r>
              <w:t>0.05%</w:t>
            </w:r>
          </w:p>
        </w:tc>
        <w:tc>
          <w:tcPr>
            <w:tcW w:w="875" w:type="dxa"/>
            <w:noWrap/>
            <w:vAlign w:val="center"/>
            <w:hideMark/>
          </w:tcPr>
          <w:p w14:paraId="31234C5C" w14:textId="77777777" w:rsidR="00C112D5" w:rsidRDefault="00C112D5" w:rsidP="00734A9E">
            <w:pPr>
              <w:pStyle w:val="NoSpacing"/>
              <w:spacing w:line="480" w:lineRule="auto"/>
              <w:jc w:val="center"/>
            </w:pPr>
            <w:r>
              <w:t>0.78%</w:t>
            </w:r>
          </w:p>
        </w:tc>
        <w:tc>
          <w:tcPr>
            <w:tcW w:w="718" w:type="dxa"/>
            <w:noWrap/>
            <w:vAlign w:val="center"/>
            <w:hideMark/>
          </w:tcPr>
          <w:p w14:paraId="32353E83" w14:textId="77777777" w:rsidR="00C112D5" w:rsidRDefault="00C112D5" w:rsidP="00734A9E">
            <w:pPr>
              <w:pStyle w:val="NoSpacing"/>
              <w:spacing w:line="480" w:lineRule="auto"/>
              <w:jc w:val="center"/>
            </w:pPr>
            <w:r w:rsidRPr="001F0044">
              <w:rPr>
                <w:color w:val="FFC000"/>
              </w:rPr>
              <w:t>0.931</w:t>
            </w:r>
          </w:p>
        </w:tc>
        <w:tc>
          <w:tcPr>
            <w:tcW w:w="266" w:type="dxa"/>
            <w:vMerge/>
            <w:vAlign w:val="center"/>
            <w:hideMark/>
          </w:tcPr>
          <w:p w14:paraId="3FAC004E" w14:textId="77777777" w:rsidR="00C112D5" w:rsidRPr="00342239" w:rsidRDefault="00C112D5" w:rsidP="00734A9E">
            <w:pPr>
              <w:spacing w:line="480" w:lineRule="auto"/>
              <w:jc w:val="center"/>
              <w:rPr>
                <w:rFonts w:ascii="Calibri" w:eastAsia="Times New Roman" w:hAnsi="Calibri" w:cs="Calibri"/>
                <w:color w:val="000000"/>
                <w:lang w:eastAsia="en-GB"/>
              </w:rPr>
            </w:pPr>
          </w:p>
        </w:tc>
        <w:tc>
          <w:tcPr>
            <w:tcW w:w="1044" w:type="dxa"/>
            <w:noWrap/>
            <w:vAlign w:val="center"/>
            <w:hideMark/>
          </w:tcPr>
          <w:p w14:paraId="44948C93" w14:textId="77777777" w:rsidR="00C112D5" w:rsidRDefault="00C112D5" w:rsidP="00734A9E">
            <w:pPr>
              <w:pStyle w:val="NoSpacing"/>
              <w:spacing w:line="480" w:lineRule="auto"/>
              <w:jc w:val="center"/>
            </w:pPr>
            <w:r>
              <w:t>0.05%</w:t>
            </w:r>
          </w:p>
        </w:tc>
        <w:tc>
          <w:tcPr>
            <w:tcW w:w="764" w:type="dxa"/>
            <w:noWrap/>
            <w:vAlign w:val="center"/>
            <w:hideMark/>
          </w:tcPr>
          <w:p w14:paraId="11E1ADE2" w14:textId="77777777" w:rsidR="00C112D5" w:rsidRDefault="00C112D5" w:rsidP="00734A9E">
            <w:pPr>
              <w:pStyle w:val="NoSpacing"/>
              <w:spacing w:line="480" w:lineRule="auto"/>
              <w:jc w:val="center"/>
            </w:pPr>
            <w:r>
              <w:t>0.49%</w:t>
            </w:r>
          </w:p>
        </w:tc>
        <w:tc>
          <w:tcPr>
            <w:tcW w:w="718" w:type="dxa"/>
            <w:noWrap/>
            <w:vAlign w:val="center"/>
            <w:hideMark/>
          </w:tcPr>
          <w:p w14:paraId="19D87FB6" w14:textId="77777777" w:rsidR="00C112D5" w:rsidRDefault="00C112D5" w:rsidP="00734A9E">
            <w:pPr>
              <w:pStyle w:val="NoSpacing"/>
              <w:spacing w:line="480" w:lineRule="auto"/>
              <w:jc w:val="center"/>
            </w:pPr>
            <w:r w:rsidRPr="001F0044">
              <w:rPr>
                <w:color w:val="00B050"/>
              </w:rPr>
              <w:t>0.889</w:t>
            </w:r>
          </w:p>
        </w:tc>
        <w:tc>
          <w:tcPr>
            <w:tcW w:w="320" w:type="dxa"/>
            <w:vMerge/>
            <w:vAlign w:val="center"/>
            <w:hideMark/>
          </w:tcPr>
          <w:p w14:paraId="21A81CF8" w14:textId="77777777" w:rsidR="00C112D5" w:rsidRPr="00342239" w:rsidRDefault="00C112D5" w:rsidP="00734A9E">
            <w:pPr>
              <w:spacing w:line="480" w:lineRule="auto"/>
              <w:jc w:val="center"/>
              <w:rPr>
                <w:rFonts w:ascii="Calibri" w:eastAsia="Times New Roman" w:hAnsi="Calibri" w:cs="Calibri"/>
                <w:color w:val="000000"/>
                <w:lang w:eastAsia="en-GB"/>
              </w:rPr>
            </w:pPr>
          </w:p>
        </w:tc>
        <w:tc>
          <w:tcPr>
            <w:tcW w:w="936" w:type="dxa"/>
            <w:noWrap/>
            <w:vAlign w:val="center"/>
            <w:hideMark/>
          </w:tcPr>
          <w:p w14:paraId="496C243E" w14:textId="77777777" w:rsidR="00C112D5" w:rsidRDefault="00C112D5" w:rsidP="00734A9E">
            <w:pPr>
              <w:pStyle w:val="NoSpacing"/>
              <w:spacing w:line="480" w:lineRule="auto"/>
              <w:jc w:val="center"/>
            </w:pPr>
            <w:r>
              <w:t>0.05%</w:t>
            </w:r>
          </w:p>
        </w:tc>
        <w:tc>
          <w:tcPr>
            <w:tcW w:w="875" w:type="dxa"/>
            <w:noWrap/>
            <w:vAlign w:val="center"/>
            <w:hideMark/>
          </w:tcPr>
          <w:p w14:paraId="54B749AC" w14:textId="77777777" w:rsidR="00C112D5" w:rsidRDefault="00C112D5" w:rsidP="00734A9E">
            <w:pPr>
              <w:pStyle w:val="NoSpacing"/>
              <w:spacing w:line="480" w:lineRule="auto"/>
              <w:jc w:val="center"/>
            </w:pPr>
            <w:r>
              <w:t>0.58%</w:t>
            </w:r>
          </w:p>
        </w:tc>
        <w:tc>
          <w:tcPr>
            <w:tcW w:w="718" w:type="dxa"/>
            <w:noWrap/>
            <w:vAlign w:val="center"/>
            <w:hideMark/>
          </w:tcPr>
          <w:p w14:paraId="16921B96" w14:textId="77777777" w:rsidR="00C112D5" w:rsidRDefault="00C112D5" w:rsidP="00734A9E">
            <w:pPr>
              <w:pStyle w:val="NoSpacing"/>
              <w:spacing w:line="480" w:lineRule="auto"/>
              <w:jc w:val="center"/>
            </w:pPr>
            <w:r w:rsidRPr="001F0044">
              <w:rPr>
                <w:color w:val="FFC000"/>
              </w:rPr>
              <w:t>0.908</w:t>
            </w:r>
          </w:p>
        </w:tc>
        <w:tc>
          <w:tcPr>
            <w:tcW w:w="320" w:type="dxa"/>
            <w:vMerge/>
            <w:vAlign w:val="center"/>
            <w:hideMark/>
          </w:tcPr>
          <w:p w14:paraId="7E3903A2" w14:textId="77777777" w:rsidR="00C112D5" w:rsidRPr="00342239" w:rsidRDefault="00C112D5" w:rsidP="00734A9E">
            <w:pPr>
              <w:spacing w:line="480" w:lineRule="auto"/>
              <w:jc w:val="center"/>
              <w:rPr>
                <w:rFonts w:ascii="Calibri" w:eastAsia="Times New Roman" w:hAnsi="Calibri" w:cs="Calibri"/>
                <w:color w:val="000000"/>
                <w:lang w:eastAsia="en-GB"/>
              </w:rPr>
            </w:pPr>
          </w:p>
        </w:tc>
        <w:tc>
          <w:tcPr>
            <w:tcW w:w="960" w:type="dxa"/>
            <w:noWrap/>
            <w:vAlign w:val="center"/>
            <w:hideMark/>
          </w:tcPr>
          <w:p w14:paraId="6C4D5C41" w14:textId="77777777" w:rsidR="00C112D5" w:rsidRDefault="00C112D5" w:rsidP="00734A9E">
            <w:pPr>
              <w:pStyle w:val="NoSpacing"/>
              <w:spacing w:line="480" w:lineRule="auto"/>
              <w:jc w:val="center"/>
            </w:pPr>
            <w:r>
              <w:t>0.07%</w:t>
            </w:r>
          </w:p>
        </w:tc>
        <w:tc>
          <w:tcPr>
            <w:tcW w:w="764" w:type="dxa"/>
            <w:noWrap/>
            <w:vAlign w:val="center"/>
            <w:hideMark/>
          </w:tcPr>
          <w:p w14:paraId="6ED913EF" w14:textId="77777777" w:rsidR="00C112D5" w:rsidRDefault="00C112D5" w:rsidP="00734A9E">
            <w:pPr>
              <w:pStyle w:val="NoSpacing"/>
              <w:spacing w:line="480" w:lineRule="auto"/>
              <w:jc w:val="center"/>
            </w:pPr>
            <w:r>
              <w:t>0.11%</w:t>
            </w:r>
          </w:p>
        </w:tc>
        <w:tc>
          <w:tcPr>
            <w:tcW w:w="718" w:type="dxa"/>
            <w:noWrap/>
            <w:vAlign w:val="center"/>
            <w:hideMark/>
          </w:tcPr>
          <w:p w14:paraId="18DEAE70" w14:textId="77777777" w:rsidR="00C112D5" w:rsidRDefault="00C112D5" w:rsidP="00734A9E">
            <w:pPr>
              <w:pStyle w:val="NoSpacing"/>
              <w:spacing w:line="480" w:lineRule="auto"/>
              <w:jc w:val="center"/>
            </w:pPr>
            <w:r>
              <w:t>0.373</w:t>
            </w:r>
          </w:p>
        </w:tc>
      </w:tr>
      <w:tr w:rsidR="00C112D5" w:rsidRPr="00342239" w14:paraId="4FBE0A99" w14:textId="77777777" w:rsidTr="00734A9E">
        <w:trPr>
          <w:trHeight w:val="283"/>
        </w:trPr>
        <w:tc>
          <w:tcPr>
            <w:tcW w:w="2122" w:type="dxa"/>
            <w:vAlign w:val="center"/>
            <w:hideMark/>
          </w:tcPr>
          <w:p w14:paraId="1797233D" w14:textId="77777777" w:rsidR="00C112D5" w:rsidRPr="00342239" w:rsidRDefault="00C112D5" w:rsidP="00734A9E">
            <w:pPr>
              <w:spacing w:line="480" w:lineRule="auto"/>
              <w:rPr>
                <w:rFonts w:ascii="Calibri" w:eastAsia="Times New Roman" w:hAnsi="Calibri" w:cs="Calibri"/>
                <w:color w:val="000000"/>
                <w:lang w:eastAsia="en-GB"/>
              </w:rPr>
            </w:pPr>
            <w:proofErr w:type="spellStart"/>
            <w:r w:rsidRPr="00342239">
              <w:rPr>
                <w:rFonts w:ascii="Calibri" w:eastAsia="Times New Roman" w:hAnsi="Calibri" w:cs="Calibri"/>
                <w:color w:val="000000"/>
                <w:lang w:eastAsia="en-GB"/>
              </w:rPr>
              <w:t>I</w:t>
            </w:r>
            <w:r>
              <w:rPr>
                <w:rFonts w:ascii="Calibri" w:eastAsia="Times New Roman" w:hAnsi="Calibri" w:cs="Calibri"/>
                <w:color w:val="000000"/>
                <w:lang w:eastAsia="en-GB"/>
              </w:rPr>
              <w:t>nterdomain</w:t>
            </w:r>
            <w:proofErr w:type="spellEnd"/>
            <w:r>
              <w:rPr>
                <w:rFonts w:ascii="Calibri" w:eastAsia="Times New Roman" w:hAnsi="Calibri" w:cs="Calibri"/>
                <w:color w:val="000000"/>
                <w:lang w:eastAsia="en-GB"/>
              </w:rPr>
              <w:t xml:space="preserve"> Linkers</w:t>
            </w:r>
          </w:p>
        </w:tc>
        <w:tc>
          <w:tcPr>
            <w:tcW w:w="2334" w:type="dxa"/>
            <w:vAlign w:val="center"/>
          </w:tcPr>
          <w:p w14:paraId="1C2F9BAD" w14:textId="77777777" w:rsidR="00C112D5" w:rsidRDefault="00C112D5" w:rsidP="00734A9E">
            <w:pPr>
              <w:pStyle w:val="NoSpacing"/>
              <w:spacing w:line="480" w:lineRule="auto"/>
            </w:pPr>
            <w:r>
              <w:rPr>
                <w:rStyle w:val="Emphasis"/>
              </w:rPr>
              <w:t>411-717, 939-1206, 1467-1529</w:t>
            </w:r>
          </w:p>
        </w:tc>
        <w:tc>
          <w:tcPr>
            <w:tcW w:w="936" w:type="dxa"/>
            <w:noWrap/>
            <w:vAlign w:val="center"/>
            <w:hideMark/>
          </w:tcPr>
          <w:p w14:paraId="6973FE62" w14:textId="77777777" w:rsidR="00C112D5" w:rsidRDefault="00C112D5" w:rsidP="00734A9E">
            <w:pPr>
              <w:pStyle w:val="NoSpacing"/>
              <w:spacing w:line="480" w:lineRule="auto"/>
              <w:jc w:val="center"/>
            </w:pPr>
            <w:r>
              <w:t>0.32%</w:t>
            </w:r>
          </w:p>
        </w:tc>
        <w:tc>
          <w:tcPr>
            <w:tcW w:w="875" w:type="dxa"/>
            <w:noWrap/>
            <w:vAlign w:val="center"/>
            <w:hideMark/>
          </w:tcPr>
          <w:p w14:paraId="21F2DAD5" w14:textId="77777777" w:rsidR="00C112D5" w:rsidRDefault="00C112D5" w:rsidP="00734A9E">
            <w:pPr>
              <w:pStyle w:val="NoSpacing"/>
              <w:spacing w:line="480" w:lineRule="auto"/>
              <w:jc w:val="center"/>
            </w:pPr>
            <w:r>
              <w:t>1.00%</w:t>
            </w:r>
          </w:p>
        </w:tc>
        <w:tc>
          <w:tcPr>
            <w:tcW w:w="718" w:type="dxa"/>
            <w:noWrap/>
            <w:vAlign w:val="center"/>
            <w:hideMark/>
          </w:tcPr>
          <w:p w14:paraId="7CC1E010" w14:textId="77777777" w:rsidR="00C112D5" w:rsidRDefault="00C112D5" w:rsidP="00734A9E">
            <w:pPr>
              <w:pStyle w:val="NoSpacing"/>
              <w:spacing w:line="480" w:lineRule="auto"/>
              <w:jc w:val="center"/>
            </w:pPr>
            <w:r>
              <w:t>0.684</w:t>
            </w:r>
          </w:p>
        </w:tc>
        <w:tc>
          <w:tcPr>
            <w:tcW w:w="266" w:type="dxa"/>
            <w:vMerge/>
            <w:vAlign w:val="center"/>
            <w:hideMark/>
          </w:tcPr>
          <w:p w14:paraId="34BDB8FA" w14:textId="77777777" w:rsidR="00C112D5" w:rsidRPr="00342239" w:rsidRDefault="00C112D5" w:rsidP="00734A9E">
            <w:pPr>
              <w:spacing w:line="480" w:lineRule="auto"/>
              <w:jc w:val="center"/>
              <w:rPr>
                <w:rFonts w:ascii="Calibri" w:eastAsia="Times New Roman" w:hAnsi="Calibri" w:cs="Calibri"/>
                <w:color w:val="000000"/>
                <w:lang w:eastAsia="en-GB"/>
              </w:rPr>
            </w:pPr>
          </w:p>
        </w:tc>
        <w:tc>
          <w:tcPr>
            <w:tcW w:w="1044" w:type="dxa"/>
            <w:noWrap/>
            <w:vAlign w:val="center"/>
            <w:hideMark/>
          </w:tcPr>
          <w:p w14:paraId="6D6E2FB3" w14:textId="77777777" w:rsidR="00C112D5" w:rsidRDefault="00C112D5" w:rsidP="00734A9E">
            <w:pPr>
              <w:pStyle w:val="NoSpacing"/>
              <w:spacing w:line="480" w:lineRule="auto"/>
              <w:jc w:val="center"/>
            </w:pPr>
            <w:r>
              <w:t>0.32%</w:t>
            </w:r>
          </w:p>
        </w:tc>
        <w:tc>
          <w:tcPr>
            <w:tcW w:w="764" w:type="dxa"/>
            <w:noWrap/>
            <w:vAlign w:val="center"/>
            <w:hideMark/>
          </w:tcPr>
          <w:p w14:paraId="3728E0E9" w14:textId="77777777" w:rsidR="00C112D5" w:rsidRDefault="00C112D5" w:rsidP="00734A9E">
            <w:pPr>
              <w:pStyle w:val="NoSpacing"/>
              <w:spacing w:line="480" w:lineRule="auto"/>
              <w:jc w:val="center"/>
            </w:pPr>
            <w:r>
              <w:t>0.69%</w:t>
            </w:r>
          </w:p>
        </w:tc>
        <w:tc>
          <w:tcPr>
            <w:tcW w:w="718" w:type="dxa"/>
            <w:noWrap/>
            <w:vAlign w:val="center"/>
            <w:hideMark/>
          </w:tcPr>
          <w:p w14:paraId="3649204A" w14:textId="77777777" w:rsidR="00C112D5" w:rsidRDefault="00C112D5" w:rsidP="00734A9E">
            <w:pPr>
              <w:pStyle w:val="NoSpacing"/>
              <w:spacing w:line="480" w:lineRule="auto"/>
              <w:jc w:val="center"/>
            </w:pPr>
            <w:r>
              <w:t>0.544</w:t>
            </w:r>
          </w:p>
        </w:tc>
        <w:tc>
          <w:tcPr>
            <w:tcW w:w="320" w:type="dxa"/>
            <w:vMerge/>
            <w:vAlign w:val="center"/>
            <w:hideMark/>
          </w:tcPr>
          <w:p w14:paraId="2E6881F6" w14:textId="77777777" w:rsidR="00C112D5" w:rsidRPr="00342239" w:rsidRDefault="00C112D5" w:rsidP="00734A9E">
            <w:pPr>
              <w:spacing w:line="480" w:lineRule="auto"/>
              <w:jc w:val="center"/>
              <w:rPr>
                <w:rFonts w:ascii="Calibri" w:eastAsia="Times New Roman" w:hAnsi="Calibri" w:cs="Calibri"/>
                <w:color w:val="000000"/>
                <w:lang w:eastAsia="en-GB"/>
              </w:rPr>
            </w:pPr>
          </w:p>
        </w:tc>
        <w:tc>
          <w:tcPr>
            <w:tcW w:w="936" w:type="dxa"/>
            <w:noWrap/>
            <w:vAlign w:val="center"/>
            <w:hideMark/>
          </w:tcPr>
          <w:p w14:paraId="7A4E945A" w14:textId="77777777" w:rsidR="00C112D5" w:rsidRDefault="00C112D5" w:rsidP="00734A9E">
            <w:pPr>
              <w:pStyle w:val="NoSpacing"/>
              <w:spacing w:line="480" w:lineRule="auto"/>
              <w:jc w:val="center"/>
            </w:pPr>
            <w:r>
              <w:t>0.32%</w:t>
            </w:r>
          </w:p>
        </w:tc>
        <w:tc>
          <w:tcPr>
            <w:tcW w:w="875" w:type="dxa"/>
            <w:noWrap/>
            <w:vAlign w:val="center"/>
            <w:hideMark/>
          </w:tcPr>
          <w:p w14:paraId="339E46AB" w14:textId="77777777" w:rsidR="00C112D5" w:rsidRDefault="00C112D5" w:rsidP="00734A9E">
            <w:pPr>
              <w:pStyle w:val="NoSpacing"/>
              <w:spacing w:line="480" w:lineRule="auto"/>
              <w:jc w:val="center"/>
            </w:pPr>
            <w:r>
              <w:t>0.79%</w:t>
            </w:r>
          </w:p>
        </w:tc>
        <w:tc>
          <w:tcPr>
            <w:tcW w:w="718" w:type="dxa"/>
            <w:noWrap/>
            <w:vAlign w:val="center"/>
            <w:hideMark/>
          </w:tcPr>
          <w:p w14:paraId="5A09DF44" w14:textId="77777777" w:rsidR="00C112D5" w:rsidRDefault="00C112D5" w:rsidP="00734A9E">
            <w:pPr>
              <w:pStyle w:val="NoSpacing"/>
              <w:spacing w:line="480" w:lineRule="auto"/>
              <w:jc w:val="center"/>
            </w:pPr>
            <w:r>
              <w:t>0.600</w:t>
            </w:r>
          </w:p>
        </w:tc>
        <w:tc>
          <w:tcPr>
            <w:tcW w:w="320" w:type="dxa"/>
            <w:vMerge/>
            <w:vAlign w:val="center"/>
            <w:hideMark/>
          </w:tcPr>
          <w:p w14:paraId="47C7290A" w14:textId="77777777" w:rsidR="00C112D5" w:rsidRPr="00342239" w:rsidRDefault="00C112D5" w:rsidP="00734A9E">
            <w:pPr>
              <w:spacing w:line="480" w:lineRule="auto"/>
              <w:jc w:val="center"/>
              <w:rPr>
                <w:rFonts w:ascii="Calibri" w:eastAsia="Times New Roman" w:hAnsi="Calibri" w:cs="Calibri"/>
                <w:color w:val="000000"/>
                <w:lang w:eastAsia="en-GB"/>
              </w:rPr>
            </w:pPr>
          </w:p>
        </w:tc>
        <w:tc>
          <w:tcPr>
            <w:tcW w:w="960" w:type="dxa"/>
            <w:noWrap/>
            <w:vAlign w:val="center"/>
            <w:hideMark/>
          </w:tcPr>
          <w:p w14:paraId="3E7E4FB5" w14:textId="77777777" w:rsidR="00C112D5" w:rsidRDefault="00C112D5" w:rsidP="00734A9E">
            <w:pPr>
              <w:pStyle w:val="NoSpacing"/>
              <w:spacing w:line="480" w:lineRule="auto"/>
              <w:jc w:val="center"/>
            </w:pPr>
            <w:r>
              <w:t>0.24%</w:t>
            </w:r>
          </w:p>
        </w:tc>
        <w:tc>
          <w:tcPr>
            <w:tcW w:w="764" w:type="dxa"/>
            <w:noWrap/>
            <w:vAlign w:val="center"/>
            <w:hideMark/>
          </w:tcPr>
          <w:p w14:paraId="0EC49BE3" w14:textId="77777777" w:rsidR="00C112D5" w:rsidRDefault="00C112D5" w:rsidP="00734A9E">
            <w:pPr>
              <w:pStyle w:val="NoSpacing"/>
              <w:spacing w:line="480" w:lineRule="auto"/>
              <w:jc w:val="center"/>
            </w:pPr>
            <w:r>
              <w:t>0.43%</w:t>
            </w:r>
          </w:p>
        </w:tc>
        <w:tc>
          <w:tcPr>
            <w:tcW w:w="718" w:type="dxa"/>
            <w:noWrap/>
            <w:vAlign w:val="center"/>
            <w:hideMark/>
          </w:tcPr>
          <w:p w14:paraId="279D11BB" w14:textId="77777777" w:rsidR="00C112D5" w:rsidRDefault="00C112D5" w:rsidP="00734A9E">
            <w:pPr>
              <w:pStyle w:val="NoSpacing"/>
              <w:spacing w:line="480" w:lineRule="auto"/>
              <w:jc w:val="center"/>
            </w:pPr>
            <w:r>
              <w:t>0.448</w:t>
            </w:r>
          </w:p>
        </w:tc>
      </w:tr>
      <w:tr w:rsidR="00C112D5" w:rsidRPr="00342239" w14:paraId="76F4309F" w14:textId="77777777" w:rsidTr="00734A9E">
        <w:trPr>
          <w:trHeight w:val="550"/>
        </w:trPr>
        <w:tc>
          <w:tcPr>
            <w:tcW w:w="2122" w:type="dxa"/>
            <w:vAlign w:val="center"/>
            <w:hideMark/>
          </w:tcPr>
          <w:p w14:paraId="48A97D5A" w14:textId="77777777" w:rsidR="00C112D5" w:rsidRPr="00342239" w:rsidRDefault="00C112D5" w:rsidP="00734A9E">
            <w:pPr>
              <w:spacing w:line="480" w:lineRule="auto"/>
              <w:rPr>
                <w:rFonts w:ascii="Calibri" w:eastAsia="Times New Roman" w:hAnsi="Calibri" w:cs="Calibri"/>
                <w:color w:val="000000"/>
                <w:lang w:eastAsia="en-GB"/>
              </w:rPr>
            </w:pPr>
            <w:r w:rsidRPr="00342239">
              <w:rPr>
                <w:rFonts w:ascii="Calibri" w:eastAsia="Times New Roman" w:hAnsi="Calibri" w:cs="Calibri"/>
                <w:color w:val="000000"/>
                <w:lang w:eastAsia="en-GB"/>
              </w:rPr>
              <w:t>C-terminus</w:t>
            </w:r>
          </w:p>
        </w:tc>
        <w:tc>
          <w:tcPr>
            <w:tcW w:w="2334" w:type="dxa"/>
            <w:vAlign w:val="center"/>
          </w:tcPr>
          <w:p w14:paraId="293AC382" w14:textId="77777777" w:rsidR="00C112D5" w:rsidRDefault="00C112D5" w:rsidP="00734A9E">
            <w:pPr>
              <w:pStyle w:val="NoSpacing"/>
              <w:spacing w:line="480" w:lineRule="auto"/>
            </w:pPr>
            <w:r>
              <w:rPr>
                <w:rStyle w:val="Emphasis"/>
              </w:rPr>
              <w:t>1772-2016</w:t>
            </w:r>
          </w:p>
        </w:tc>
        <w:tc>
          <w:tcPr>
            <w:tcW w:w="936" w:type="dxa"/>
            <w:noWrap/>
            <w:vAlign w:val="center"/>
            <w:hideMark/>
          </w:tcPr>
          <w:p w14:paraId="4E6B1596" w14:textId="77777777" w:rsidR="00C112D5" w:rsidRDefault="00C112D5" w:rsidP="00734A9E">
            <w:pPr>
              <w:pStyle w:val="NoSpacing"/>
              <w:spacing w:line="480" w:lineRule="auto"/>
              <w:jc w:val="center"/>
            </w:pPr>
            <w:r>
              <w:t>0.11%</w:t>
            </w:r>
          </w:p>
        </w:tc>
        <w:tc>
          <w:tcPr>
            <w:tcW w:w="875" w:type="dxa"/>
            <w:noWrap/>
            <w:vAlign w:val="center"/>
            <w:hideMark/>
          </w:tcPr>
          <w:p w14:paraId="7D2800A4" w14:textId="77777777" w:rsidR="00C112D5" w:rsidRDefault="00C112D5" w:rsidP="00734A9E">
            <w:pPr>
              <w:pStyle w:val="NoSpacing"/>
              <w:spacing w:line="480" w:lineRule="auto"/>
              <w:jc w:val="center"/>
            </w:pPr>
            <w:r>
              <w:t>0.67%</w:t>
            </w:r>
          </w:p>
        </w:tc>
        <w:tc>
          <w:tcPr>
            <w:tcW w:w="718" w:type="dxa"/>
            <w:noWrap/>
            <w:vAlign w:val="center"/>
            <w:hideMark/>
          </w:tcPr>
          <w:p w14:paraId="02AD9C07" w14:textId="77777777" w:rsidR="00C112D5" w:rsidRDefault="00C112D5" w:rsidP="00734A9E">
            <w:pPr>
              <w:pStyle w:val="NoSpacing"/>
              <w:spacing w:line="480" w:lineRule="auto"/>
              <w:jc w:val="center"/>
            </w:pPr>
            <w:r w:rsidRPr="001F0044">
              <w:rPr>
                <w:color w:val="00B050"/>
              </w:rPr>
              <w:t>0.833</w:t>
            </w:r>
          </w:p>
        </w:tc>
        <w:tc>
          <w:tcPr>
            <w:tcW w:w="266" w:type="dxa"/>
            <w:vMerge/>
            <w:vAlign w:val="center"/>
            <w:hideMark/>
          </w:tcPr>
          <w:p w14:paraId="5947632D" w14:textId="77777777" w:rsidR="00C112D5" w:rsidRPr="00342239" w:rsidRDefault="00C112D5" w:rsidP="00734A9E">
            <w:pPr>
              <w:spacing w:line="480" w:lineRule="auto"/>
              <w:jc w:val="center"/>
              <w:rPr>
                <w:rFonts w:ascii="Calibri" w:eastAsia="Times New Roman" w:hAnsi="Calibri" w:cs="Calibri"/>
                <w:color w:val="000000"/>
                <w:lang w:eastAsia="en-GB"/>
              </w:rPr>
            </w:pPr>
          </w:p>
        </w:tc>
        <w:tc>
          <w:tcPr>
            <w:tcW w:w="1044" w:type="dxa"/>
            <w:noWrap/>
            <w:vAlign w:val="center"/>
            <w:hideMark/>
          </w:tcPr>
          <w:p w14:paraId="22B49CC1" w14:textId="77777777" w:rsidR="00C112D5" w:rsidRDefault="00C112D5" w:rsidP="00734A9E">
            <w:pPr>
              <w:pStyle w:val="NoSpacing"/>
              <w:spacing w:line="480" w:lineRule="auto"/>
              <w:jc w:val="center"/>
            </w:pPr>
            <w:r>
              <w:t>0.11%</w:t>
            </w:r>
          </w:p>
        </w:tc>
        <w:tc>
          <w:tcPr>
            <w:tcW w:w="764" w:type="dxa"/>
            <w:noWrap/>
            <w:vAlign w:val="center"/>
            <w:hideMark/>
          </w:tcPr>
          <w:p w14:paraId="05EE55B5" w14:textId="77777777" w:rsidR="00C112D5" w:rsidRDefault="00C112D5" w:rsidP="00734A9E">
            <w:pPr>
              <w:pStyle w:val="NoSpacing"/>
              <w:spacing w:line="480" w:lineRule="auto"/>
              <w:jc w:val="center"/>
            </w:pPr>
            <w:r>
              <w:t>0.35%</w:t>
            </w:r>
          </w:p>
        </w:tc>
        <w:tc>
          <w:tcPr>
            <w:tcW w:w="718" w:type="dxa"/>
            <w:noWrap/>
            <w:vAlign w:val="center"/>
            <w:hideMark/>
          </w:tcPr>
          <w:p w14:paraId="235AC012" w14:textId="77777777" w:rsidR="00C112D5" w:rsidRDefault="00C112D5" w:rsidP="00734A9E">
            <w:pPr>
              <w:pStyle w:val="NoSpacing"/>
              <w:spacing w:line="480" w:lineRule="auto"/>
              <w:jc w:val="center"/>
            </w:pPr>
            <w:r>
              <w:t>0.679</w:t>
            </w:r>
          </w:p>
        </w:tc>
        <w:tc>
          <w:tcPr>
            <w:tcW w:w="320" w:type="dxa"/>
            <w:vMerge/>
            <w:vAlign w:val="center"/>
            <w:hideMark/>
          </w:tcPr>
          <w:p w14:paraId="6B8738AB" w14:textId="77777777" w:rsidR="00C112D5" w:rsidRPr="00342239" w:rsidRDefault="00C112D5" w:rsidP="00734A9E">
            <w:pPr>
              <w:spacing w:line="480" w:lineRule="auto"/>
              <w:jc w:val="center"/>
              <w:rPr>
                <w:rFonts w:ascii="Calibri" w:eastAsia="Times New Roman" w:hAnsi="Calibri" w:cs="Calibri"/>
                <w:color w:val="000000"/>
                <w:lang w:eastAsia="en-GB"/>
              </w:rPr>
            </w:pPr>
          </w:p>
        </w:tc>
        <w:tc>
          <w:tcPr>
            <w:tcW w:w="936" w:type="dxa"/>
            <w:noWrap/>
            <w:vAlign w:val="center"/>
            <w:hideMark/>
          </w:tcPr>
          <w:p w14:paraId="3D95F8EC" w14:textId="77777777" w:rsidR="00C112D5" w:rsidRDefault="00C112D5" w:rsidP="00734A9E">
            <w:pPr>
              <w:pStyle w:val="NoSpacing"/>
              <w:spacing w:line="480" w:lineRule="auto"/>
              <w:jc w:val="center"/>
            </w:pPr>
            <w:r>
              <w:t>0.11%</w:t>
            </w:r>
          </w:p>
        </w:tc>
        <w:tc>
          <w:tcPr>
            <w:tcW w:w="875" w:type="dxa"/>
            <w:noWrap/>
            <w:vAlign w:val="center"/>
            <w:hideMark/>
          </w:tcPr>
          <w:p w14:paraId="3D7B58DD" w14:textId="77777777" w:rsidR="00C112D5" w:rsidRDefault="00C112D5" w:rsidP="00734A9E">
            <w:pPr>
              <w:pStyle w:val="NoSpacing"/>
              <w:spacing w:line="480" w:lineRule="auto"/>
              <w:jc w:val="center"/>
            </w:pPr>
            <w:r>
              <w:t>0.46%</w:t>
            </w:r>
          </w:p>
        </w:tc>
        <w:tc>
          <w:tcPr>
            <w:tcW w:w="718" w:type="dxa"/>
            <w:noWrap/>
            <w:vAlign w:val="center"/>
            <w:hideMark/>
          </w:tcPr>
          <w:p w14:paraId="400CFC0A" w14:textId="77777777" w:rsidR="00C112D5" w:rsidRDefault="00C112D5" w:rsidP="00734A9E">
            <w:pPr>
              <w:pStyle w:val="NoSpacing"/>
              <w:spacing w:line="480" w:lineRule="auto"/>
              <w:jc w:val="center"/>
            </w:pPr>
            <w:r>
              <w:t>0.757</w:t>
            </w:r>
          </w:p>
        </w:tc>
        <w:tc>
          <w:tcPr>
            <w:tcW w:w="320" w:type="dxa"/>
            <w:vMerge/>
            <w:vAlign w:val="center"/>
            <w:hideMark/>
          </w:tcPr>
          <w:p w14:paraId="4D2DD8BC" w14:textId="77777777" w:rsidR="00C112D5" w:rsidRPr="00342239" w:rsidRDefault="00C112D5" w:rsidP="00734A9E">
            <w:pPr>
              <w:spacing w:line="480" w:lineRule="auto"/>
              <w:jc w:val="center"/>
              <w:rPr>
                <w:rFonts w:ascii="Calibri" w:eastAsia="Times New Roman" w:hAnsi="Calibri" w:cs="Calibri"/>
                <w:color w:val="000000"/>
                <w:lang w:eastAsia="en-GB"/>
              </w:rPr>
            </w:pPr>
          </w:p>
        </w:tc>
        <w:tc>
          <w:tcPr>
            <w:tcW w:w="960" w:type="dxa"/>
            <w:noWrap/>
            <w:vAlign w:val="center"/>
            <w:hideMark/>
          </w:tcPr>
          <w:p w14:paraId="72E07A9D" w14:textId="77777777" w:rsidR="00C112D5" w:rsidRDefault="00C112D5" w:rsidP="00734A9E">
            <w:pPr>
              <w:pStyle w:val="NoSpacing"/>
              <w:spacing w:line="480" w:lineRule="auto"/>
              <w:jc w:val="center"/>
            </w:pPr>
            <w:r>
              <w:t>0.12%</w:t>
            </w:r>
          </w:p>
        </w:tc>
        <w:tc>
          <w:tcPr>
            <w:tcW w:w="764" w:type="dxa"/>
            <w:noWrap/>
            <w:vAlign w:val="center"/>
            <w:hideMark/>
          </w:tcPr>
          <w:p w14:paraId="28CCBC77" w14:textId="77777777" w:rsidR="00C112D5" w:rsidRDefault="00C112D5" w:rsidP="00734A9E">
            <w:pPr>
              <w:pStyle w:val="NoSpacing"/>
              <w:spacing w:line="480" w:lineRule="auto"/>
              <w:jc w:val="center"/>
            </w:pPr>
            <w:r>
              <w:t>0.43%</w:t>
            </w:r>
          </w:p>
        </w:tc>
        <w:tc>
          <w:tcPr>
            <w:tcW w:w="718" w:type="dxa"/>
            <w:noWrap/>
            <w:vAlign w:val="center"/>
            <w:hideMark/>
          </w:tcPr>
          <w:p w14:paraId="5166FC91" w14:textId="77777777" w:rsidR="00C112D5" w:rsidRDefault="00C112D5" w:rsidP="00734A9E">
            <w:pPr>
              <w:pStyle w:val="NoSpacing"/>
              <w:spacing w:line="480" w:lineRule="auto"/>
              <w:jc w:val="center"/>
            </w:pPr>
            <w:r>
              <w:t>0.713</w:t>
            </w:r>
          </w:p>
        </w:tc>
      </w:tr>
    </w:tbl>
    <w:p w14:paraId="10FA3DD3" w14:textId="77777777" w:rsidR="00C112D5" w:rsidRDefault="00C112D5" w:rsidP="00C112D5">
      <w:pPr>
        <w:spacing w:line="480" w:lineRule="auto"/>
        <w:jc w:val="both"/>
        <w:rPr>
          <w:i/>
        </w:rPr>
      </w:pPr>
    </w:p>
    <w:p w14:paraId="6B227714" w14:textId="77777777" w:rsidR="00C112D5" w:rsidRDefault="00C112D5" w:rsidP="00C112D5">
      <w:pPr>
        <w:spacing w:line="480" w:lineRule="auto"/>
        <w:jc w:val="both"/>
        <w:rPr>
          <w:i/>
        </w:rPr>
      </w:pPr>
      <w:r>
        <w:rPr>
          <w:i/>
        </w:rPr>
        <w:t xml:space="preserve">Table 1: Etiological fraction (EF) values for gene regions/domains in </w:t>
      </w:r>
      <w:r w:rsidRPr="0095771E">
        <w:rPr>
          <w:i/>
        </w:rPr>
        <w:t>SCN5A</w:t>
      </w:r>
      <w:r>
        <w:rPr>
          <w:i/>
        </w:rPr>
        <w:t xml:space="preserve"> based on comparison of rare (FAF&lt;1x10</w:t>
      </w:r>
      <w:r w:rsidRPr="007E2506">
        <w:rPr>
          <w:i/>
          <w:vertAlign w:val="superscript"/>
        </w:rPr>
        <w:t>-5</w:t>
      </w:r>
      <w:r>
        <w:rPr>
          <w:i/>
        </w:rPr>
        <w:t xml:space="preserve">) non-truncating variants in BrS and gnomAD population cohorts. EF values are coloured according to the PM1 rule activated – strong (red), moderate (orange), supporting (green) and none (black). The comparisons shown are European BrS cases with a </w:t>
      </w:r>
      <w:r w:rsidRPr="000B23F2">
        <w:rPr>
          <w:i/>
        </w:rPr>
        <w:t>spontaneous</w:t>
      </w:r>
      <w:r w:rsidRPr="0032769F">
        <w:t xml:space="preserve"> </w:t>
      </w:r>
      <w:r>
        <w:rPr>
          <w:i/>
        </w:rPr>
        <w:t xml:space="preserve">Type 1 ECG (n=900) vs gnomAD-NFE, European BrS cases with an induced Type 1 ECG (n=1440) vs gnomAD-NFE, all European BrS cases </w:t>
      </w:r>
      <w:r>
        <w:rPr>
          <w:i/>
        </w:rPr>
        <w:lastRenderedPageBreak/>
        <w:t>(n=2400) vs gnomAD-NFE and Japanese BrS cases (n=935) vs gnomAD-EAS (see Table S7 for full details). This evidence should be used only for non-truncating SCN5A variants detected in patients with BrS as follows: 1) check the variant is rare (gnomAD FAF&lt;1x10</w:t>
      </w:r>
      <w:r w:rsidRPr="000E5189">
        <w:rPr>
          <w:i/>
          <w:vertAlign w:val="superscript"/>
        </w:rPr>
        <w:t>-5</w:t>
      </w:r>
      <w:r>
        <w:rPr>
          <w:i/>
        </w:rPr>
        <w:t xml:space="preserve">), 2) select the appropriate comparison depending on patient ethnicity (European ancestry or Japanese) and type 1 ECG pattern of the patient (spontaneous, induced or use “all cases” if unknown), 3) select the PM1 evidence level (based on EF) depending on the SCN5A region/domain where the variant is located. </w:t>
      </w:r>
    </w:p>
    <w:p w14:paraId="243F39A5" w14:textId="77777777" w:rsidR="00C112D5" w:rsidRDefault="00C112D5" w:rsidP="00C112D5"/>
    <w:p w14:paraId="18E1ACD1" w14:textId="77777777" w:rsidR="00C112D5" w:rsidRDefault="00C112D5" w:rsidP="00521E45"/>
    <w:p w14:paraId="7B7EE799" w14:textId="77777777" w:rsidR="00C112D5" w:rsidRDefault="00C112D5" w:rsidP="00521E45"/>
    <w:p w14:paraId="4E87E260" w14:textId="77777777" w:rsidR="00C112D5" w:rsidRDefault="00C112D5" w:rsidP="00521E45"/>
    <w:p w14:paraId="4E045836" w14:textId="77777777" w:rsidR="00C112D5" w:rsidRDefault="00C112D5" w:rsidP="00521E45"/>
    <w:p w14:paraId="17B8F992" w14:textId="77777777" w:rsidR="00C112D5" w:rsidRDefault="00C112D5" w:rsidP="00521E45"/>
    <w:p w14:paraId="2E4B035F" w14:textId="77777777" w:rsidR="00C112D5" w:rsidRDefault="00C112D5" w:rsidP="00521E45"/>
    <w:p w14:paraId="0ECD293C" w14:textId="77777777" w:rsidR="00C112D5" w:rsidRDefault="00C112D5" w:rsidP="00521E45"/>
    <w:p w14:paraId="6FB38E7A" w14:textId="77777777" w:rsidR="00C112D5" w:rsidRDefault="00C112D5" w:rsidP="00521E45"/>
    <w:p w14:paraId="566DDA8D" w14:textId="77777777" w:rsidR="00C112D5" w:rsidRDefault="00C112D5" w:rsidP="00521E45"/>
    <w:p w14:paraId="4F66335B" w14:textId="77777777" w:rsidR="00C112D5" w:rsidRDefault="00C112D5" w:rsidP="00521E45"/>
    <w:p w14:paraId="1ECD05A0" w14:textId="77777777" w:rsidR="00C112D5" w:rsidRDefault="00C112D5" w:rsidP="00521E45"/>
    <w:p w14:paraId="3A5D7D41" w14:textId="77777777" w:rsidR="00C112D5" w:rsidRDefault="00C112D5" w:rsidP="00521E45"/>
    <w:p w14:paraId="2F9AEDF2" w14:textId="77777777" w:rsidR="00C112D5" w:rsidRDefault="00C112D5" w:rsidP="00521E45"/>
    <w:p w14:paraId="65A733C1" w14:textId="77777777" w:rsidR="00C112D5" w:rsidRDefault="00C112D5" w:rsidP="00521E45"/>
    <w:p w14:paraId="5A7960F5" w14:textId="77777777" w:rsidR="00C112D5" w:rsidRDefault="00C112D5" w:rsidP="00521E45">
      <w:bookmarkStart w:id="0" w:name="_GoBack"/>
      <w:bookmarkEnd w:id="0"/>
    </w:p>
    <w:p w14:paraId="7D897BC7" w14:textId="77777777" w:rsidR="00C112D5" w:rsidRDefault="00C112D5" w:rsidP="00521E45"/>
    <w:tbl>
      <w:tblPr>
        <w:tblStyle w:val="TableGrid"/>
        <w:tblW w:w="15446" w:type="dxa"/>
        <w:tblLook w:val="04A0" w:firstRow="1" w:lastRow="0" w:firstColumn="1" w:lastColumn="0" w:noHBand="0" w:noVBand="1"/>
      </w:tblPr>
      <w:tblGrid>
        <w:gridCol w:w="792"/>
        <w:gridCol w:w="3314"/>
        <w:gridCol w:w="2977"/>
        <w:gridCol w:w="1100"/>
        <w:gridCol w:w="875"/>
        <w:gridCol w:w="718"/>
        <w:gridCol w:w="284"/>
        <w:gridCol w:w="1064"/>
        <w:gridCol w:w="815"/>
        <w:gridCol w:w="672"/>
        <w:gridCol w:w="279"/>
        <w:gridCol w:w="997"/>
        <w:gridCol w:w="850"/>
        <w:gridCol w:w="709"/>
      </w:tblGrid>
      <w:tr w:rsidR="00C112D5" w:rsidRPr="002C0BBD" w14:paraId="16D82685" w14:textId="77777777" w:rsidTr="00734A9E">
        <w:trPr>
          <w:trHeight w:val="576"/>
        </w:trPr>
        <w:tc>
          <w:tcPr>
            <w:tcW w:w="792" w:type="dxa"/>
            <w:vMerge w:val="restart"/>
            <w:hideMark/>
          </w:tcPr>
          <w:p w14:paraId="78AB2AE9" w14:textId="77777777" w:rsidR="00C112D5" w:rsidRPr="002C0BBD" w:rsidRDefault="00C112D5" w:rsidP="00734A9E">
            <w:pPr>
              <w:spacing w:line="480" w:lineRule="auto"/>
              <w:jc w:val="center"/>
              <w:rPr>
                <w:rFonts w:ascii="Calibri" w:eastAsia="Times New Roman" w:hAnsi="Calibri" w:cs="Calibri"/>
                <w:b/>
                <w:bCs/>
                <w:color w:val="000000"/>
                <w:sz w:val="20"/>
                <w:szCs w:val="20"/>
                <w:lang w:eastAsia="en-GB"/>
              </w:rPr>
            </w:pPr>
            <w:r w:rsidRPr="002C0BBD">
              <w:rPr>
                <w:rFonts w:ascii="Calibri" w:eastAsia="Times New Roman" w:hAnsi="Calibri" w:cs="Calibri"/>
                <w:b/>
                <w:bCs/>
                <w:color w:val="000000"/>
                <w:sz w:val="20"/>
                <w:szCs w:val="20"/>
                <w:lang w:eastAsia="en-GB"/>
              </w:rPr>
              <w:lastRenderedPageBreak/>
              <w:t>Gene</w:t>
            </w:r>
          </w:p>
        </w:tc>
        <w:tc>
          <w:tcPr>
            <w:tcW w:w="3314" w:type="dxa"/>
            <w:vMerge w:val="restart"/>
            <w:hideMark/>
          </w:tcPr>
          <w:p w14:paraId="599A3550" w14:textId="77777777" w:rsidR="00C112D5" w:rsidRPr="002C0BBD" w:rsidRDefault="00C112D5" w:rsidP="00734A9E">
            <w:pPr>
              <w:spacing w:line="480" w:lineRule="auto"/>
              <w:jc w:val="center"/>
              <w:rPr>
                <w:rFonts w:ascii="Calibri" w:eastAsia="Times New Roman" w:hAnsi="Calibri" w:cs="Calibri"/>
                <w:b/>
                <w:bCs/>
                <w:color w:val="000000"/>
                <w:sz w:val="20"/>
                <w:szCs w:val="20"/>
                <w:lang w:eastAsia="en-GB"/>
              </w:rPr>
            </w:pPr>
            <w:r w:rsidRPr="002C0BBD">
              <w:rPr>
                <w:rFonts w:ascii="Calibri" w:eastAsia="Times New Roman" w:hAnsi="Calibri" w:cs="Calibri"/>
                <w:b/>
                <w:bCs/>
                <w:color w:val="000000"/>
                <w:sz w:val="20"/>
                <w:szCs w:val="20"/>
                <w:lang w:eastAsia="en-GB"/>
              </w:rPr>
              <w:t>Region/Domain</w:t>
            </w:r>
          </w:p>
        </w:tc>
        <w:tc>
          <w:tcPr>
            <w:tcW w:w="2977" w:type="dxa"/>
            <w:vMerge w:val="restart"/>
          </w:tcPr>
          <w:p w14:paraId="0BFC23E5" w14:textId="77777777" w:rsidR="00C112D5" w:rsidRPr="002C0BBD" w:rsidRDefault="00C112D5" w:rsidP="00734A9E">
            <w:pPr>
              <w:spacing w:line="480" w:lineRule="auto"/>
              <w:jc w:val="center"/>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t>Amino acid residues</w:t>
            </w:r>
          </w:p>
        </w:tc>
        <w:tc>
          <w:tcPr>
            <w:tcW w:w="2693" w:type="dxa"/>
            <w:gridSpan w:val="3"/>
            <w:hideMark/>
          </w:tcPr>
          <w:p w14:paraId="62F9B5E5" w14:textId="77777777" w:rsidR="00C112D5" w:rsidRPr="00C112D5" w:rsidRDefault="00C112D5" w:rsidP="00C112D5">
            <w:pPr>
              <w:jc w:val="center"/>
              <w:rPr>
                <w:b/>
                <w:lang w:eastAsia="en-GB"/>
              </w:rPr>
            </w:pPr>
            <w:r w:rsidRPr="00C112D5">
              <w:rPr>
                <w:b/>
                <w:lang w:eastAsia="en-GB"/>
              </w:rPr>
              <w:t>European LQTS cohort vs gnomAD-NFE</w:t>
            </w:r>
          </w:p>
        </w:tc>
        <w:tc>
          <w:tcPr>
            <w:tcW w:w="284" w:type="dxa"/>
            <w:vMerge w:val="restart"/>
            <w:noWrap/>
            <w:hideMark/>
          </w:tcPr>
          <w:p w14:paraId="20C40AC1" w14:textId="77777777" w:rsidR="00C112D5" w:rsidRPr="00C112D5" w:rsidRDefault="00C112D5" w:rsidP="00C112D5">
            <w:pPr>
              <w:jc w:val="center"/>
              <w:rPr>
                <w:b/>
                <w:lang w:eastAsia="en-GB"/>
              </w:rPr>
            </w:pPr>
          </w:p>
        </w:tc>
        <w:tc>
          <w:tcPr>
            <w:tcW w:w="2551" w:type="dxa"/>
            <w:gridSpan w:val="3"/>
            <w:hideMark/>
          </w:tcPr>
          <w:p w14:paraId="1BDD4B8F" w14:textId="77777777" w:rsidR="00C112D5" w:rsidRPr="00C112D5" w:rsidRDefault="00C112D5" w:rsidP="00C112D5">
            <w:pPr>
              <w:jc w:val="center"/>
              <w:rPr>
                <w:b/>
                <w:lang w:eastAsia="en-GB"/>
              </w:rPr>
            </w:pPr>
            <w:r w:rsidRPr="00C112D5">
              <w:rPr>
                <w:b/>
                <w:lang w:eastAsia="en-GB"/>
              </w:rPr>
              <w:t>Japanese LQTS cohort vs gnomAD-EAS</w:t>
            </w:r>
          </w:p>
        </w:tc>
        <w:tc>
          <w:tcPr>
            <w:tcW w:w="279" w:type="dxa"/>
            <w:vMerge w:val="restart"/>
            <w:noWrap/>
            <w:hideMark/>
          </w:tcPr>
          <w:p w14:paraId="13A85E54" w14:textId="77777777" w:rsidR="00C112D5" w:rsidRPr="00C112D5" w:rsidRDefault="00C112D5" w:rsidP="00C112D5">
            <w:pPr>
              <w:jc w:val="center"/>
              <w:rPr>
                <w:b/>
                <w:lang w:eastAsia="en-GB"/>
              </w:rPr>
            </w:pPr>
          </w:p>
        </w:tc>
        <w:tc>
          <w:tcPr>
            <w:tcW w:w="2556" w:type="dxa"/>
            <w:gridSpan w:val="3"/>
            <w:hideMark/>
          </w:tcPr>
          <w:p w14:paraId="3D378AE4" w14:textId="77777777" w:rsidR="00C112D5" w:rsidRPr="00C112D5" w:rsidRDefault="00C112D5" w:rsidP="00C112D5">
            <w:pPr>
              <w:jc w:val="center"/>
              <w:rPr>
                <w:b/>
                <w:lang w:eastAsia="en-GB"/>
              </w:rPr>
            </w:pPr>
            <w:r w:rsidRPr="00C112D5">
              <w:rPr>
                <w:b/>
                <w:lang w:eastAsia="en-GB"/>
              </w:rPr>
              <w:t>Referral LQTS cohort vs gnomAD-ALL</w:t>
            </w:r>
          </w:p>
        </w:tc>
      </w:tr>
      <w:tr w:rsidR="00C112D5" w:rsidRPr="002C0BBD" w14:paraId="096B83C5" w14:textId="77777777" w:rsidTr="00734A9E">
        <w:trPr>
          <w:trHeight w:val="288"/>
        </w:trPr>
        <w:tc>
          <w:tcPr>
            <w:tcW w:w="792" w:type="dxa"/>
            <w:vMerge/>
            <w:noWrap/>
            <w:hideMark/>
          </w:tcPr>
          <w:p w14:paraId="7D4A800C" w14:textId="77777777" w:rsidR="00C112D5" w:rsidRPr="002C0BBD" w:rsidRDefault="00C112D5" w:rsidP="00734A9E">
            <w:pPr>
              <w:spacing w:line="480" w:lineRule="auto"/>
              <w:rPr>
                <w:rFonts w:ascii="Calibri" w:eastAsia="Times New Roman" w:hAnsi="Calibri" w:cs="Calibri"/>
                <w:b/>
                <w:bCs/>
                <w:color w:val="000000"/>
                <w:sz w:val="20"/>
                <w:szCs w:val="20"/>
                <w:lang w:eastAsia="en-GB"/>
              </w:rPr>
            </w:pPr>
          </w:p>
        </w:tc>
        <w:tc>
          <w:tcPr>
            <w:tcW w:w="3314" w:type="dxa"/>
            <w:vMerge/>
            <w:noWrap/>
            <w:hideMark/>
          </w:tcPr>
          <w:p w14:paraId="2E1F545B" w14:textId="77777777" w:rsidR="00C112D5" w:rsidRPr="002C0BBD" w:rsidRDefault="00C112D5" w:rsidP="00734A9E">
            <w:pPr>
              <w:spacing w:line="480" w:lineRule="auto"/>
              <w:rPr>
                <w:rFonts w:ascii="Calibri" w:eastAsia="Times New Roman" w:hAnsi="Calibri" w:cs="Calibri"/>
                <w:b/>
                <w:bCs/>
                <w:color w:val="000000"/>
                <w:sz w:val="20"/>
                <w:szCs w:val="20"/>
                <w:lang w:eastAsia="en-GB"/>
              </w:rPr>
            </w:pPr>
          </w:p>
        </w:tc>
        <w:tc>
          <w:tcPr>
            <w:tcW w:w="2977" w:type="dxa"/>
            <w:vMerge/>
          </w:tcPr>
          <w:p w14:paraId="02F3F49D" w14:textId="77777777" w:rsidR="00C112D5" w:rsidRPr="002C0BBD" w:rsidRDefault="00C112D5" w:rsidP="00734A9E">
            <w:pPr>
              <w:spacing w:line="480" w:lineRule="auto"/>
              <w:jc w:val="center"/>
              <w:rPr>
                <w:rFonts w:ascii="Calibri" w:eastAsia="Times New Roman" w:hAnsi="Calibri" w:cs="Calibri"/>
                <w:b/>
                <w:bCs/>
                <w:color w:val="000000"/>
                <w:sz w:val="20"/>
                <w:szCs w:val="20"/>
                <w:lang w:eastAsia="en-GB"/>
              </w:rPr>
            </w:pPr>
          </w:p>
        </w:tc>
        <w:tc>
          <w:tcPr>
            <w:tcW w:w="1100" w:type="dxa"/>
            <w:noWrap/>
            <w:hideMark/>
          </w:tcPr>
          <w:p w14:paraId="63FBDE6F" w14:textId="77777777" w:rsidR="00C112D5" w:rsidRPr="002C0BBD" w:rsidRDefault="00C112D5" w:rsidP="00734A9E">
            <w:pPr>
              <w:spacing w:line="480" w:lineRule="auto"/>
              <w:jc w:val="center"/>
              <w:rPr>
                <w:rFonts w:ascii="Calibri" w:eastAsia="Times New Roman" w:hAnsi="Calibri" w:cs="Calibri"/>
                <w:b/>
                <w:bCs/>
                <w:color w:val="000000"/>
                <w:sz w:val="20"/>
                <w:szCs w:val="20"/>
                <w:lang w:eastAsia="en-GB"/>
              </w:rPr>
            </w:pPr>
            <w:r w:rsidRPr="002C0BBD">
              <w:rPr>
                <w:rFonts w:ascii="Calibri" w:eastAsia="Times New Roman" w:hAnsi="Calibri" w:cs="Calibri"/>
                <w:b/>
                <w:bCs/>
                <w:color w:val="000000"/>
                <w:sz w:val="20"/>
                <w:szCs w:val="20"/>
                <w:lang w:eastAsia="en-GB"/>
              </w:rPr>
              <w:t>gnomAD</w:t>
            </w:r>
          </w:p>
        </w:tc>
        <w:tc>
          <w:tcPr>
            <w:tcW w:w="875" w:type="dxa"/>
            <w:noWrap/>
            <w:hideMark/>
          </w:tcPr>
          <w:p w14:paraId="50913965" w14:textId="77777777" w:rsidR="00C112D5" w:rsidRPr="002C0BBD" w:rsidRDefault="00C112D5" w:rsidP="00734A9E">
            <w:pPr>
              <w:spacing w:line="480" w:lineRule="auto"/>
              <w:jc w:val="center"/>
              <w:rPr>
                <w:rFonts w:ascii="Calibri" w:eastAsia="Times New Roman" w:hAnsi="Calibri" w:cs="Calibri"/>
                <w:b/>
                <w:bCs/>
                <w:color w:val="000000"/>
                <w:sz w:val="20"/>
                <w:szCs w:val="20"/>
                <w:lang w:eastAsia="en-GB"/>
              </w:rPr>
            </w:pPr>
            <w:r w:rsidRPr="002C0BBD">
              <w:rPr>
                <w:rFonts w:ascii="Calibri" w:eastAsia="Times New Roman" w:hAnsi="Calibri" w:cs="Calibri"/>
                <w:b/>
                <w:bCs/>
                <w:color w:val="000000"/>
                <w:sz w:val="20"/>
                <w:szCs w:val="20"/>
                <w:lang w:eastAsia="en-GB"/>
              </w:rPr>
              <w:t>LQTS</w:t>
            </w:r>
          </w:p>
        </w:tc>
        <w:tc>
          <w:tcPr>
            <w:tcW w:w="718" w:type="dxa"/>
            <w:noWrap/>
            <w:hideMark/>
          </w:tcPr>
          <w:p w14:paraId="6E53A5D7" w14:textId="77777777" w:rsidR="00C112D5" w:rsidRPr="002C0BBD" w:rsidRDefault="00C112D5" w:rsidP="00734A9E">
            <w:pPr>
              <w:spacing w:line="480" w:lineRule="auto"/>
              <w:jc w:val="center"/>
              <w:rPr>
                <w:rFonts w:ascii="Calibri" w:eastAsia="Times New Roman" w:hAnsi="Calibri" w:cs="Calibri"/>
                <w:b/>
                <w:bCs/>
                <w:color w:val="000000"/>
                <w:sz w:val="20"/>
                <w:szCs w:val="20"/>
                <w:lang w:eastAsia="en-GB"/>
              </w:rPr>
            </w:pPr>
            <w:r w:rsidRPr="002C0BBD">
              <w:rPr>
                <w:rFonts w:ascii="Calibri" w:eastAsia="Times New Roman" w:hAnsi="Calibri" w:cs="Calibri"/>
                <w:b/>
                <w:bCs/>
                <w:color w:val="000000"/>
                <w:sz w:val="20"/>
                <w:szCs w:val="20"/>
                <w:lang w:eastAsia="en-GB"/>
              </w:rPr>
              <w:t>EF</w:t>
            </w:r>
          </w:p>
        </w:tc>
        <w:tc>
          <w:tcPr>
            <w:tcW w:w="284" w:type="dxa"/>
            <w:vMerge/>
            <w:hideMark/>
          </w:tcPr>
          <w:p w14:paraId="1A0E1441" w14:textId="77777777" w:rsidR="00C112D5" w:rsidRPr="002C0BBD" w:rsidRDefault="00C112D5" w:rsidP="00734A9E">
            <w:pPr>
              <w:spacing w:line="480" w:lineRule="auto"/>
              <w:jc w:val="center"/>
              <w:rPr>
                <w:rFonts w:ascii="Calibri" w:eastAsia="Times New Roman" w:hAnsi="Calibri" w:cs="Calibri"/>
                <w:b/>
                <w:bCs/>
                <w:color w:val="000000"/>
                <w:sz w:val="20"/>
                <w:szCs w:val="20"/>
                <w:lang w:eastAsia="en-GB"/>
              </w:rPr>
            </w:pPr>
          </w:p>
        </w:tc>
        <w:tc>
          <w:tcPr>
            <w:tcW w:w="1064" w:type="dxa"/>
            <w:noWrap/>
            <w:hideMark/>
          </w:tcPr>
          <w:p w14:paraId="292BD1DD" w14:textId="77777777" w:rsidR="00C112D5" w:rsidRPr="002C0BBD" w:rsidRDefault="00C112D5" w:rsidP="00734A9E">
            <w:pPr>
              <w:spacing w:line="480" w:lineRule="auto"/>
              <w:jc w:val="center"/>
              <w:rPr>
                <w:rFonts w:ascii="Calibri" w:eastAsia="Times New Roman" w:hAnsi="Calibri" w:cs="Calibri"/>
                <w:b/>
                <w:bCs/>
                <w:color w:val="000000"/>
                <w:sz w:val="20"/>
                <w:szCs w:val="20"/>
                <w:lang w:eastAsia="en-GB"/>
              </w:rPr>
            </w:pPr>
            <w:r w:rsidRPr="002C0BBD">
              <w:rPr>
                <w:rFonts w:ascii="Calibri" w:eastAsia="Times New Roman" w:hAnsi="Calibri" w:cs="Calibri"/>
                <w:b/>
                <w:bCs/>
                <w:color w:val="000000"/>
                <w:sz w:val="20"/>
                <w:szCs w:val="20"/>
                <w:lang w:eastAsia="en-GB"/>
              </w:rPr>
              <w:t>gnomAD</w:t>
            </w:r>
          </w:p>
        </w:tc>
        <w:tc>
          <w:tcPr>
            <w:tcW w:w="815" w:type="dxa"/>
            <w:noWrap/>
            <w:hideMark/>
          </w:tcPr>
          <w:p w14:paraId="111ED35F" w14:textId="77777777" w:rsidR="00C112D5" w:rsidRPr="002C0BBD" w:rsidRDefault="00C112D5" w:rsidP="00734A9E">
            <w:pPr>
              <w:spacing w:line="480" w:lineRule="auto"/>
              <w:jc w:val="center"/>
              <w:rPr>
                <w:rFonts w:ascii="Calibri" w:eastAsia="Times New Roman" w:hAnsi="Calibri" w:cs="Calibri"/>
                <w:b/>
                <w:bCs/>
                <w:color w:val="000000"/>
                <w:sz w:val="20"/>
                <w:szCs w:val="20"/>
                <w:lang w:eastAsia="en-GB"/>
              </w:rPr>
            </w:pPr>
            <w:r w:rsidRPr="002C0BBD">
              <w:rPr>
                <w:rFonts w:ascii="Calibri" w:eastAsia="Times New Roman" w:hAnsi="Calibri" w:cs="Calibri"/>
                <w:b/>
                <w:bCs/>
                <w:color w:val="000000"/>
                <w:sz w:val="20"/>
                <w:szCs w:val="20"/>
                <w:lang w:eastAsia="en-GB"/>
              </w:rPr>
              <w:t>LQTS</w:t>
            </w:r>
          </w:p>
        </w:tc>
        <w:tc>
          <w:tcPr>
            <w:tcW w:w="672" w:type="dxa"/>
            <w:noWrap/>
            <w:hideMark/>
          </w:tcPr>
          <w:p w14:paraId="669F8CF2" w14:textId="77777777" w:rsidR="00C112D5" w:rsidRPr="002C0BBD" w:rsidRDefault="00C112D5" w:rsidP="00734A9E">
            <w:pPr>
              <w:spacing w:line="480" w:lineRule="auto"/>
              <w:jc w:val="center"/>
              <w:rPr>
                <w:rFonts w:ascii="Calibri" w:eastAsia="Times New Roman" w:hAnsi="Calibri" w:cs="Calibri"/>
                <w:b/>
                <w:bCs/>
                <w:color w:val="000000"/>
                <w:sz w:val="20"/>
                <w:szCs w:val="20"/>
                <w:lang w:eastAsia="en-GB"/>
              </w:rPr>
            </w:pPr>
            <w:r w:rsidRPr="002C0BBD">
              <w:rPr>
                <w:rFonts w:ascii="Calibri" w:eastAsia="Times New Roman" w:hAnsi="Calibri" w:cs="Calibri"/>
                <w:b/>
                <w:bCs/>
                <w:color w:val="000000"/>
                <w:sz w:val="20"/>
                <w:szCs w:val="20"/>
                <w:lang w:eastAsia="en-GB"/>
              </w:rPr>
              <w:t>EF</w:t>
            </w:r>
          </w:p>
        </w:tc>
        <w:tc>
          <w:tcPr>
            <w:tcW w:w="279" w:type="dxa"/>
            <w:vMerge/>
            <w:hideMark/>
          </w:tcPr>
          <w:p w14:paraId="11EF0AEA" w14:textId="77777777" w:rsidR="00C112D5" w:rsidRPr="002C0BBD" w:rsidRDefault="00C112D5" w:rsidP="00734A9E">
            <w:pPr>
              <w:spacing w:line="480" w:lineRule="auto"/>
              <w:jc w:val="center"/>
              <w:rPr>
                <w:rFonts w:ascii="Calibri" w:eastAsia="Times New Roman" w:hAnsi="Calibri" w:cs="Calibri"/>
                <w:b/>
                <w:bCs/>
                <w:color w:val="000000"/>
                <w:sz w:val="20"/>
                <w:szCs w:val="20"/>
                <w:lang w:eastAsia="en-GB"/>
              </w:rPr>
            </w:pPr>
          </w:p>
        </w:tc>
        <w:tc>
          <w:tcPr>
            <w:tcW w:w="997" w:type="dxa"/>
            <w:noWrap/>
            <w:hideMark/>
          </w:tcPr>
          <w:p w14:paraId="1A82752C" w14:textId="77777777" w:rsidR="00C112D5" w:rsidRPr="002C0BBD" w:rsidRDefault="00C112D5" w:rsidP="00734A9E">
            <w:pPr>
              <w:spacing w:line="480" w:lineRule="auto"/>
              <w:jc w:val="center"/>
              <w:rPr>
                <w:rFonts w:ascii="Calibri" w:eastAsia="Times New Roman" w:hAnsi="Calibri" w:cs="Calibri"/>
                <w:b/>
                <w:bCs/>
                <w:color w:val="000000"/>
                <w:sz w:val="20"/>
                <w:szCs w:val="20"/>
                <w:lang w:eastAsia="en-GB"/>
              </w:rPr>
            </w:pPr>
            <w:r w:rsidRPr="002C0BBD">
              <w:rPr>
                <w:rFonts w:ascii="Calibri" w:eastAsia="Times New Roman" w:hAnsi="Calibri" w:cs="Calibri"/>
                <w:b/>
                <w:bCs/>
                <w:color w:val="000000"/>
                <w:sz w:val="20"/>
                <w:szCs w:val="20"/>
                <w:lang w:eastAsia="en-GB"/>
              </w:rPr>
              <w:t>gnomAD</w:t>
            </w:r>
          </w:p>
        </w:tc>
        <w:tc>
          <w:tcPr>
            <w:tcW w:w="850" w:type="dxa"/>
            <w:noWrap/>
            <w:hideMark/>
          </w:tcPr>
          <w:p w14:paraId="19D5DB60" w14:textId="77777777" w:rsidR="00C112D5" w:rsidRPr="002C0BBD" w:rsidRDefault="00C112D5" w:rsidP="00734A9E">
            <w:pPr>
              <w:spacing w:line="480" w:lineRule="auto"/>
              <w:jc w:val="center"/>
              <w:rPr>
                <w:rFonts w:ascii="Calibri" w:eastAsia="Times New Roman" w:hAnsi="Calibri" w:cs="Calibri"/>
                <w:b/>
                <w:bCs/>
                <w:color w:val="000000"/>
                <w:sz w:val="20"/>
                <w:szCs w:val="20"/>
                <w:lang w:eastAsia="en-GB"/>
              </w:rPr>
            </w:pPr>
            <w:r w:rsidRPr="002C0BBD">
              <w:rPr>
                <w:rFonts w:ascii="Calibri" w:eastAsia="Times New Roman" w:hAnsi="Calibri" w:cs="Calibri"/>
                <w:b/>
                <w:bCs/>
                <w:color w:val="000000"/>
                <w:sz w:val="20"/>
                <w:szCs w:val="20"/>
                <w:lang w:eastAsia="en-GB"/>
              </w:rPr>
              <w:t>LQTS</w:t>
            </w:r>
          </w:p>
        </w:tc>
        <w:tc>
          <w:tcPr>
            <w:tcW w:w="709" w:type="dxa"/>
            <w:noWrap/>
            <w:hideMark/>
          </w:tcPr>
          <w:p w14:paraId="3C4DA2CE" w14:textId="77777777" w:rsidR="00C112D5" w:rsidRPr="002C0BBD" w:rsidRDefault="00C112D5" w:rsidP="00734A9E">
            <w:pPr>
              <w:spacing w:line="480" w:lineRule="auto"/>
              <w:jc w:val="center"/>
              <w:rPr>
                <w:rFonts w:ascii="Calibri" w:eastAsia="Times New Roman" w:hAnsi="Calibri" w:cs="Calibri"/>
                <w:b/>
                <w:bCs/>
                <w:color w:val="000000"/>
                <w:sz w:val="20"/>
                <w:szCs w:val="20"/>
                <w:lang w:eastAsia="en-GB"/>
              </w:rPr>
            </w:pPr>
            <w:r w:rsidRPr="002C0BBD">
              <w:rPr>
                <w:rFonts w:ascii="Calibri" w:eastAsia="Times New Roman" w:hAnsi="Calibri" w:cs="Calibri"/>
                <w:b/>
                <w:bCs/>
                <w:color w:val="000000"/>
                <w:sz w:val="20"/>
                <w:szCs w:val="20"/>
                <w:lang w:eastAsia="en-GB"/>
              </w:rPr>
              <w:t>EF</w:t>
            </w:r>
          </w:p>
        </w:tc>
      </w:tr>
      <w:tr w:rsidR="00C112D5" w:rsidRPr="002C0BBD" w14:paraId="7C377F5F" w14:textId="77777777" w:rsidTr="00734A9E">
        <w:trPr>
          <w:trHeight w:val="288"/>
        </w:trPr>
        <w:tc>
          <w:tcPr>
            <w:tcW w:w="792" w:type="dxa"/>
            <w:vMerge w:val="restart"/>
            <w:noWrap/>
            <w:vAlign w:val="center"/>
            <w:hideMark/>
          </w:tcPr>
          <w:p w14:paraId="7CAAC241" w14:textId="77777777" w:rsidR="00C112D5" w:rsidRPr="002C0BBD" w:rsidRDefault="00C112D5" w:rsidP="00734A9E">
            <w:pPr>
              <w:spacing w:line="480" w:lineRule="auto"/>
              <w:rPr>
                <w:rFonts w:ascii="Calibri" w:eastAsia="Times New Roman" w:hAnsi="Calibri" w:cs="Calibri"/>
                <w:color w:val="000000"/>
                <w:sz w:val="20"/>
                <w:szCs w:val="20"/>
                <w:lang w:eastAsia="en-GB"/>
              </w:rPr>
            </w:pPr>
            <w:r w:rsidRPr="0095771E">
              <w:rPr>
                <w:rFonts w:ascii="Calibri" w:eastAsia="Times New Roman" w:hAnsi="Calibri" w:cs="Calibri"/>
                <w:i/>
                <w:color w:val="000000"/>
                <w:sz w:val="20"/>
                <w:szCs w:val="20"/>
                <w:lang w:eastAsia="en-GB"/>
              </w:rPr>
              <w:t>KCNQ1</w:t>
            </w:r>
          </w:p>
        </w:tc>
        <w:tc>
          <w:tcPr>
            <w:tcW w:w="3314" w:type="dxa"/>
            <w:noWrap/>
            <w:hideMark/>
          </w:tcPr>
          <w:p w14:paraId="3DEB1F77" w14:textId="77777777" w:rsidR="00C112D5" w:rsidRPr="00CB1155" w:rsidRDefault="00C112D5" w:rsidP="00734A9E">
            <w:pPr>
              <w:pStyle w:val="NoSpacing"/>
              <w:spacing w:line="480" w:lineRule="auto"/>
              <w:rPr>
                <w:sz w:val="20"/>
                <w:szCs w:val="20"/>
              </w:rPr>
            </w:pPr>
            <w:r w:rsidRPr="00CB1155">
              <w:rPr>
                <w:sz w:val="20"/>
                <w:szCs w:val="20"/>
              </w:rPr>
              <w:t>Transmembrane/Linker/Pore</w:t>
            </w:r>
          </w:p>
        </w:tc>
        <w:tc>
          <w:tcPr>
            <w:tcW w:w="2977" w:type="dxa"/>
            <w:vAlign w:val="center"/>
          </w:tcPr>
          <w:p w14:paraId="0022E8C8" w14:textId="77777777" w:rsidR="00C112D5" w:rsidRPr="00CB1155" w:rsidRDefault="00C112D5" w:rsidP="00734A9E">
            <w:pPr>
              <w:pStyle w:val="NoSpacing"/>
              <w:spacing w:line="480" w:lineRule="auto"/>
              <w:rPr>
                <w:sz w:val="20"/>
                <w:szCs w:val="20"/>
              </w:rPr>
            </w:pPr>
            <w:r>
              <w:t>122-348</w:t>
            </w:r>
          </w:p>
        </w:tc>
        <w:tc>
          <w:tcPr>
            <w:tcW w:w="1100" w:type="dxa"/>
            <w:noWrap/>
            <w:vAlign w:val="center"/>
            <w:hideMark/>
          </w:tcPr>
          <w:p w14:paraId="5648FE3F" w14:textId="77777777" w:rsidR="00C112D5" w:rsidRPr="00CB1155" w:rsidRDefault="00C112D5" w:rsidP="00734A9E">
            <w:pPr>
              <w:pStyle w:val="NoSpacing"/>
              <w:spacing w:line="480" w:lineRule="auto"/>
              <w:jc w:val="center"/>
              <w:rPr>
                <w:sz w:val="20"/>
                <w:szCs w:val="20"/>
              </w:rPr>
            </w:pPr>
            <w:r w:rsidRPr="00CB1155">
              <w:rPr>
                <w:sz w:val="20"/>
                <w:szCs w:val="20"/>
              </w:rPr>
              <w:t>0.10%</w:t>
            </w:r>
          </w:p>
        </w:tc>
        <w:tc>
          <w:tcPr>
            <w:tcW w:w="875" w:type="dxa"/>
            <w:noWrap/>
            <w:vAlign w:val="center"/>
            <w:hideMark/>
          </w:tcPr>
          <w:p w14:paraId="494E9C91" w14:textId="77777777" w:rsidR="00C112D5" w:rsidRPr="00CB1155" w:rsidRDefault="00C112D5" w:rsidP="00734A9E">
            <w:pPr>
              <w:pStyle w:val="NoSpacing"/>
              <w:spacing w:line="480" w:lineRule="auto"/>
              <w:jc w:val="center"/>
              <w:rPr>
                <w:sz w:val="20"/>
                <w:szCs w:val="20"/>
              </w:rPr>
            </w:pPr>
            <w:r w:rsidRPr="00CB1155">
              <w:rPr>
                <w:sz w:val="20"/>
                <w:szCs w:val="20"/>
              </w:rPr>
              <w:t>22.31%</w:t>
            </w:r>
          </w:p>
        </w:tc>
        <w:tc>
          <w:tcPr>
            <w:tcW w:w="718" w:type="dxa"/>
            <w:noWrap/>
            <w:vAlign w:val="center"/>
            <w:hideMark/>
          </w:tcPr>
          <w:p w14:paraId="67D93B31" w14:textId="77777777" w:rsidR="00C112D5" w:rsidRPr="00CB1155" w:rsidRDefault="00C112D5" w:rsidP="00734A9E">
            <w:pPr>
              <w:pStyle w:val="NoSpacing"/>
              <w:spacing w:line="480" w:lineRule="auto"/>
              <w:jc w:val="center"/>
              <w:rPr>
                <w:sz w:val="20"/>
                <w:szCs w:val="20"/>
              </w:rPr>
            </w:pPr>
            <w:r w:rsidRPr="00CB1155">
              <w:rPr>
                <w:color w:val="FF0000"/>
                <w:sz w:val="20"/>
                <w:szCs w:val="20"/>
              </w:rPr>
              <w:t>0.997</w:t>
            </w:r>
          </w:p>
        </w:tc>
        <w:tc>
          <w:tcPr>
            <w:tcW w:w="284" w:type="dxa"/>
            <w:vMerge/>
            <w:vAlign w:val="center"/>
            <w:hideMark/>
          </w:tcPr>
          <w:p w14:paraId="13C0C2CF" w14:textId="77777777" w:rsidR="00C112D5" w:rsidRPr="00CB1155" w:rsidRDefault="00C112D5" w:rsidP="00734A9E">
            <w:pPr>
              <w:spacing w:line="480" w:lineRule="auto"/>
              <w:jc w:val="center"/>
              <w:rPr>
                <w:rFonts w:ascii="Calibri" w:eastAsia="Times New Roman" w:hAnsi="Calibri" w:cs="Calibri"/>
                <w:b/>
                <w:bCs/>
                <w:color w:val="000000"/>
                <w:sz w:val="20"/>
                <w:szCs w:val="20"/>
                <w:lang w:eastAsia="en-GB"/>
              </w:rPr>
            </w:pPr>
          </w:p>
        </w:tc>
        <w:tc>
          <w:tcPr>
            <w:tcW w:w="1064" w:type="dxa"/>
            <w:noWrap/>
            <w:vAlign w:val="center"/>
            <w:hideMark/>
          </w:tcPr>
          <w:p w14:paraId="64FE4A47" w14:textId="77777777" w:rsidR="00C112D5" w:rsidRPr="00CB1155" w:rsidRDefault="00C112D5" w:rsidP="00734A9E">
            <w:pPr>
              <w:pStyle w:val="NoSpacing"/>
              <w:spacing w:line="480" w:lineRule="auto"/>
              <w:jc w:val="center"/>
              <w:rPr>
                <w:sz w:val="20"/>
                <w:szCs w:val="20"/>
              </w:rPr>
            </w:pPr>
            <w:r w:rsidRPr="00CB1155">
              <w:rPr>
                <w:sz w:val="20"/>
                <w:szCs w:val="20"/>
              </w:rPr>
              <w:t>0.11%</w:t>
            </w:r>
          </w:p>
        </w:tc>
        <w:tc>
          <w:tcPr>
            <w:tcW w:w="815" w:type="dxa"/>
            <w:noWrap/>
            <w:vAlign w:val="center"/>
            <w:hideMark/>
          </w:tcPr>
          <w:p w14:paraId="0A745FC9" w14:textId="77777777" w:rsidR="00C112D5" w:rsidRPr="00CB1155" w:rsidRDefault="00C112D5" w:rsidP="00734A9E">
            <w:pPr>
              <w:pStyle w:val="NoSpacing"/>
              <w:spacing w:line="480" w:lineRule="auto"/>
              <w:jc w:val="center"/>
              <w:rPr>
                <w:sz w:val="20"/>
                <w:szCs w:val="20"/>
              </w:rPr>
            </w:pPr>
            <w:r w:rsidRPr="00CB1155">
              <w:rPr>
                <w:sz w:val="20"/>
                <w:szCs w:val="20"/>
              </w:rPr>
              <w:t>26.05%</w:t>
            </w:r>
          </w:p>
        </w:tc>
        <w:tc>
          <w:tcPr>
            <w:tcW w:w="672" w:type="dxa"/>
            <w:noWrap/>
            <w:vAlign w:val="center"/>
            <w:hideMark/>
          </w:tcPr>
          <w:p w14:paraId="2D8B5B44" w14:textId="77777777" w:rsidR="00C112D5" w:rsidRPr="00CB1155" w:rsidRDefault="00C112D5" w:rsidP="00734A9E">
            <w:pPr>
              <w:pStyle w:val="NoSpacing"/>
              <w:spacing w:line="480" w:lineRule="auto"/>
              <w:jc w:val="center"/>
              <w:rPr>
                <w:sz w:val="20"/>
                <w:szCs w:val="20"/>
              </w:rPr>
            </w:pPr>
            <w:r w:rsidRPr="00CB1155">
              <w:rPr>
                <w:color w:val="FF0000"/>
                <w:sz w:val="20"/>
                <w:szCs w:val="20"/>
              </w:rPr>
              <w:t>0.997</w:t>
            </w:r>
          </w:p>
        </w:tc>
        <w:tc>
          <w:tcPr>
            <w:tcW w:w="279" w:type="dxa"/>
            <w:vMerge/>
            <w:vAlign w:val="center"/>
            <w:hideMark/>
          </w:tcPr>
          <w:p w14:paraId="563910D9" w14:textId="77777777" w:rsidR="00C112D5" w:rsidRPr="00CB1155" w:rsidRDefault="00C112D5" w:rsidP="00734A9E">
            <w:pPr>
              <w:spacing w:line="480" w:lineRule="auto"/>
              <w:jc w:val="center"/>
              <w:rPr>
                <w:rFonts w:ascii="Calibri" w:eastAsia="Times New Roman" w:hAnsi="Calibri" w:cs="Calibri"/>
                <w:b/>
                <w:bCs/>
                <w:color w:val="000000"/>
                <w:sz w:val="20"/>
                <w:szCs w:val="20"/>
                <w:lang w:eastAsia="en-GB"/>
              </w:rPr>
            </w:pPr>
          </w:p>
        </w:tc>
        <w:tc>
          <w:tcPr>
            <w:tcW w:w="997" w:type="dxa"/>
            <w:noWrap/>
            <w:vAlign w:val="center"/>
            <w:hideMark/>
          </w:tcPr>
          <w:p w14:paraId="66484A2B" w14:textId="77777777" w:rsidR="00C112D5" w:rsidRPr="00CB1155" w:rsidRDefault="00C112D5" w:rsidP="00734A9E">
            <w:pPr>
              <w:pStyle w:val="NoSpacing"/>
              <w:spacing w:line="480" w:lineRule="auto"/>
              <w:jc w:val="center"/>
              <w:rPr>
                <w:sz w:val="20"/>
                <w:szCs w:val="20"/>
              </w:rPr>
            </w:pPr>
            <w:r w:rsidRPr="00CB1155">
              <w:rPr>
                <w:sz w:val="20"/>
                <w:szCs w:val="20"/>
              </w:rPr>
              <w:t>0.10%</w:t>
            </w:r>
          </w:p>
        </w:tc>
        <w:tc>
          <w:tcPr>
            <w:tcW w:w="850" w:type="dxa"/>
            <w:noWrap/>
            <w:vAlign w:val="center"/>
            <w:hideMark/>
          </w:tcPr>
          <w:p w14:paraId="7E523EB1" w14:textId="77777777" w:rsidR="00C112D5" w:rsidRPr="00CB1155" w:rsidRDefault="00C112D5" w:rsidP="00734A9E">
            <w:pPr>
              <w:pStyle w:val="NoSpacing"/>
              <w:spacing w:line="480" w:lineRule="auto"/>
              <w:jc w:val="center"/>
              <w:rPr>
                <w:sz w:val="20"/>
                <w:szCs w:val="20"/>
              </w:rPr>
            </w:pPr>
            <w:r w:rsidRPr="00CB1155">
              <w:rPr>
                <w:sz w:val="20"/>
                <w:szCs w:val="20"/>
              </w:rPr>
              <w:t>7.68%</w:t>
            </w:r>
          </w:p>
        </w:tc>
        <w:tc>
          <w:tcPr>
            <w:tcW w:w="709" w:type="dxa"/>
            <w:noWrap/>
            <w:vAlign w:val="center"/>
            <w:hideMark/>
          </w:tcPr>
          <w:p w14:paraId="343BFBCC" w14:textId="77777777" w:rsidR="00C112D5" w:rsidRPr="00CB1155" w:rsidRDefault="00C112D5" w:rsidP="00734A9E">
            <w:pPr>
              <w:pStyle w:val="NoSpacing"/>
              <w:spacing w:line="480" w:lineRule="auto"/>
              <w:jc w:val="center"/>
              <w:rPr>
                <w:sz w:val="20"/>
                <w:szCs w:val="20"/>
              </w:rPr>
            </w:pPr>
            <w:r w:rsidRPr="00CB1155">
              <w:rPr>
                <w:color w:val="FF0000"/>
                <w:sz w:val="20"/>
                <w:szCs w:val="20"/>
              </w:rPr>
              <w:t>0.988</w:t>
            </w:r>
          </w:p>
        </w:tc>
      </w:tr>
      <w:tr w:rsidR="00C112D5" w:rsidRPr="002C0BBD" w14:paraId="7A451A8D" w14:textId="77777777" w:rsidTr="00734A9E">
        <w:trPr>
          <w:trHeight w:val="288"/>
        </w:trPr>
        <w:tc>
          <w:tcPr>
            <w:tcW w:w="792" w:type="dxa"/>
            <w:vMerge/>
            <w:vAlign w:val="center"/>
            <w:hideMark/>
          </w:tcPr>
          <w:p w14:paraId="781E5D8A" w14:textId="77777777" w:rsidR="00C112D5" w:rsidRPr="002C0BBD" w:rsidRDefault="00C112D5" w:rsidP="00734A9E">
            <w:pPr>
              <w:spacing w:line="480" w:lineRule="auto"/>
              <w:rPr>
                <w:rFonts w:ascii="Calibri" w:eastAsia="Times New Roman" w:hAnsi="Calibri" w:cs="Calibri"/>
                <w:color w:val="000000"/>
                <w:sz w:val="20"/>
                <w:szCs w:val="20"/>
                <w:lang w:eastAsia="en-GB"/>
              </w:rPr>
            </w:pPr>
          </w:p>
        </w:tc>
        <w:tc>
          <w:tcPr>
            <w:tcW w:w="3314" w:type="dxa"/>
            <w:noWrap/>
            <w:hideMark/>
          </w:tcPr>
          <w:p w14:paraId="3FF7650E" w14:textId="77777777" w:rsidR="00C112D5" w:rsidRPr="00CB1155" w:rsidRDefault="00C112D5" w:rsidP="00734A9E">
            <w:pPr>
              <w:pStyle w:val="NoSpacing"/>
              <w:spacing w:line="480" w:lineRule="auto"/>
              <w:rPr>
                <w:sz w:val="20"/>
                <w:szCs w:val="20"/>
              </w:rPr>
            </w:pPr>
            <w:r w:rsidRPr="00CB1155">
              <w:rPr>
                <w:sz w:val="20"/>
                <w:szCs w:val="20"/>
              </w:rPr>
              <w:t>N-terminus</w:t>
            </w:r>
          </w:p>
        </w:tc>
        <w:tc>
          <w:tcPr>
            <w:tcW w:w="2977" w:type="dxa"/>
            <w:vAlign w:val="center"/>
          </w:tcPr>
          <w:p w14:paraId="10EC8F8C" w14:textId="77777777" w:rsidR="00C112D5" w:rsidRPr="00CB1155" w:rsidRDefault="00C112D5" w:rsidP="00734A9E">
            <w:pPr>
              <w:pStyle w:val="NoSpacing"/>
              <w:spacing w:line="480" w:lineRule="auto"/>
              <w:rPr>
                <w:sz w:val="20"/>
                <w:szCs w:val="20"/>
              </w:rPr>
            </w:pPr>
            <w:r>
              <w:t>71-121</w:t>
            </w:r>
          </w:p>
        </w:tc>
        <w:tc>
          <w:tcPr>
            <w:tcW w:w="1100" w:type="dxa"/>
            <w:noWrap/>
            <w:vAlign w:val="center"/>
            <w:hideMark/>
          </w:tcPr>
          <w:p w14:paraId="5E4BAFF2" w14:textId="77777777" w:rsidR="00C112D5" w:rsidRPr="00CB1155" w:rsidRDefault="00C112D5" w:rsidP="00734A9E">
            <w:pPr>
              <w:pStyle w:val="NoSpacing"/>
              <w:spacing w:line="480" w:lineRule="auto"/>
              <w:jc w:val="center"/>
              <w:rPr>
                <w:sz w:val="20"/>
                <w:szCs w:val="20"/>
              </w:rPr>
            </w:pPr>
            <w:r w:rsidRPr="00CB1155">
              <w:rPr>
                <w:sz w:val="20"/>
                <w:szCs w:val="20"/>
              </w:rPr>
              <w:t>0.04%</w:t>
            </w:r>
          </w:p>
        </w:tc>
        <w:tc>
          <w:tcPr>
            <w:tcW w:w="875" w:type="dxa"/>
            <w:noWrap/>
            <w:vAlign w:val="center"/>
            <w:hideMark/>
          </w:tcPr>
          <w:p w14:paraId="18A9B8B3" w14:textId="77777777" w:rsidR="00C112D5" w:rsidRPr="00CB1155" w:rsidRDefault="00C112D5" w:rsidP="00734A9E">
            <w:pPr>
              <w:pStyle w:val="NoSpacing"/>
              <w:spacing w:line="480" w:lineRule="auto"/>
              <w:jc w:val="center"/>
              <w:rPr>
                <w:sz w:val="20"/>
                <w:szCs w:val="20"/>
              </w:rPr>
            </w:pPr>
            <w:r w:rsidRPr="00CB1155">
              <w:rPr>
                <w:sz w:val="20"/>
                <w:szCs w:val="20"/>
              </w:rPr>
              <w:t>0.65%</w:t>
            </w:r>
          </w:p>
        </w:tc>
        <w:tc>
          <w:tcPr>
            <w:tcW w:w="718" w:type="dxa"/>
            <w:noWrap/>
            <w:vAlign w:val="center"/>
            <w:hideMark/>
          </w:tcPr>
          <w:p w14:paraId="421F6014" w14:textId="77777777" w:rsidR="00C112D5" w:rsidRPr="00CB1155" w:rsidRDefault="00C112D5" w:rsidP="00734A9E">
            <w:pPr>
              <w:pStyle w:val="NoSpacing"/>
              <w:spacing w:line="480" w:lineRule="auto"/>
              <w:jc w:val="center"/>
              <w:rPr>
                <w:sz w:val="20"/>
                <w:szCs w:val="20"/>
              </w:rPr>
            </w:pPr>
            <w:r w:rsidRPr="00CB1155">
              <w:rPr>
                <w:color w:val="FFC000"/>
                <w:sz w:val="20"/>
                <w:szCs w:val="20"/>
              </w:rPr>
              <w:t>0.940</w:t>
            </w:r>
          </w:p>
        </w:tc>
        <w:tc>
          <w:tcPr>
            <w:tcW w:w="284" w:type="dxa"/>
            <w:vMerge/>
            <w:vAlign w:val="center"/>
            <w:hideMark/>
          </w:tcPr>
          <w:p w14:paraId="48B5A9D2" w14:textId="77777777" w:rsidR="00C112D5" w:rsidRPr="00CB1155" w:rsidRDefault="00C112D5" w:rsidP="00734A9E">
            <w:pPr>
              <w:spacing w:line="480" w:lineRule="auto"/>
              <w:jc w:val="center"/>
              <w:rPr>
                <w:rFonts w:ascii="Calibri" w:eastAsia="Times New Roman" w:hAnsi="Calibri" w:cs="Calibri"/>
                <w:b/>
                <w:bCs/>
                <w:color w:val="000000"/>
                <w:sz w:val="20"/>
                <w:szCs w:val="20"/>
                <w:lang w:eastAsia="en-GB"/>
              </w:rPr>
            </w:pPr>
          </w:p>
        </w:tc>
        <w:tc>
          <w:tcPr>
            <w:tcW w:w="1064" w:type="dxa"/>
            <w:noWrap/>
            <w:vAlign w:val="center"/>
            <w:hideMark/>
          </w:tcPr>
          <w:p w14:paraId="7C40ACDC" w14:textId="77777777" w:rsidR="00C112D5" w:rsidRPr="00CB1155" w:rsidRDefault="00C112D5" w:rsidP="00734A9E">
            <w:pPr>
              <w:pStyle w:val="NoSpacing"/>
              <w:spacing w:line="480" w:lineRule="auto"/>
              <w:jc w:val="center"/>
              <w:rPr>
                <w:sz w:val="20"/>
                <w:szCs w:val="20"/>
              </w:rPr>
            </w:pPr>
            <w:r w:rsidRPr="00CB1155">
              <w:rPr>
                <w:sz w:val="20"/>
                <w:szCs w:val="20"/>
              </w:rPr>
              <w:t>0.02%</w:t>
            </w:r>
          </w:p>
        </w:tc>
        <w:tc>
          <w:tcPr>
            <w:tcW w:w="815" w:type="dxa"/>
            <w:noWrap/>
            <w:vAlign w:val="center"/>
            <w:hideMark/>
          </w:tcPr>
          <w:p w14:paraId="58347060" w14:textId="77777777" w:rsidR="00C112D5" w:rsidRPr="00CB1155" w:rsidRDefault="00C112D5" w:rsidP="00734A9E">
            <w:pPr>
              <w:pStyle w:val="NoSpacing"/>
              <w:spacing w:line="480" w:lineRule="auto"/>
              <w:jc w:val="center"/>
              <w:rPr>
                <w:sz w:val="20"/>
                <w:szCs w:val="20"/>
              </w:rPr>
            </w:pPr>
            <w:r w:rsidRPr="00CB1155">
              <w:rPr>
                <w:sz w:val="20"/>
                <w:szCs w:val="20"/>
              </w:rPr>
              <w:t>0.00%</w:t>
            </w:r>
          </w:p>
        </w:tc>
        <w:tc>
          <w:tcPr>
            <w:tcW w:w="672" w:type="dxa"/>
            <w:noWrap/>
            <w:vAlign w:val="center"/>
            <w:hideMark/>
          </w:tcPr>
          <w:p w14:paraId="6EC807D6" w14:textId="77777777" w:rsidR="00C112D5" w:rsidRPr="00CB1155" w:rsidRDefault="00C112D5" w:rsidP="00734A9E">
            <w:pPr>
              <w:pStyle w:val="NoSpacing"/>
              <w:spacing w:line="480" w:lineRule="auto"/>
              <w:jc w:val="center"/>
              <w:rPr>
                <w:sz w:val="20"/>
                <w:szCs w:val="20"/>
              </w:rPr>
            </w:pPr>
            <w:r>
              <w:rPr>
                <w:sz w:val="20"/>
                <w:szCs w:val="20"/>
              </w:rPr>
              <w:t>-</w:t>
            </w:r>
          </w:p>
        </w:tc>
        <w:tc>
          <w:tcPr>
            <w:tcW w:w="279" w:type="dxa"/>
            <w:vMerge/>
            <w:vAlign w:val="center"/>
            <w:hideMark/>
          </w:tcPr>
          <w:p w14:paraId="0AE18B57" w14:textId="77777777" w:rsidR="00C112D5" w:rsidRPr="00CB1155" w:rsidRDefault="00C112D5" w:rsidP="00734A9E">
            <w:pPr>
              <w:spacing w:line="480" w:lineRule="auto"/>
              <w:jc w:val="center"/>
              <w:rPr>
                <w:rFonts w:ascii="Calibri" w:eastAsia="Times New Roman" w:hAnsi="Calibri" w:cs="Calibri"/>
                <w:b/>
                <w:bCs/>
                <w:color w:val="000000"/>
                <w:sz w:val="20"/>
                <w:szCs w:val="20"/>
                <w:lang w:eastAsia="en-GB"/>
              </w:rPr>
            </w:pPr>
          </w:p>
        </w:tc>
        <w:tc>
          <w:tcPr>
            <w:tcW w:w="997" w:type="dxa"/>
            <w:noWrap/>
            <w:vAlign w:val="center"/>
            <w:hideMark/>
          </w:tcPr>
          <w:p w14:paraId="09AB3FFB" w14:textId="77777777" w:rsidR="00C112D5" w:rsidRPr="00CB1155" w:rsidRDefault="00C112D5" w:rsidP="00734A9E">
            <w:pPr>
              <w:pStyle w:val="NoSpacing"/>
              <w:spacing w:line="480" w:lineRule="auto"/>
              <w:jc w:val="center"/>
              <w:rPr>
                <w:sz w:val="20"/>
                <w:szCs w:val="20"/>
              </w:rPr>
            </w:pPr>
            <w:r w:rsidRPr="00CB1155">
              <w:rPr>
                <w:sz w:val="20"/>
                <w:szCs w:val="20"/>
              </w:rPr>
              <w:t>0.03%</w:t>
            </w:r>
          </w:p>
        </w:tc>
        <w:tc>
          <w:tcPr>
            <w:tcW w:w="850" w:type="dxa"/>
            <w:noWrap/>
            <w:vAlign w:val="center"/>
            <w:hideMark/>
          </w:tcPr>
          <w:p w14:paraId="09C23C94" w14:textId="77777777" w:rsidR="00C112D5" w:rsidRPr="00CB1155" w:rsidRDefault="00C112D5" w:rsidP="00734A9E">
            <w:pPr>
              <w:pStyle w:val="NoSpacing"/>
              <w:spacing w:line="480" w:lineRule="auto"/>
              <w:jc w:val="center"/>
              <w:rPr>
                <w:sz w:val="20"/>
                <w:szCs w:val="20"/>
              </w:rPr>
            </w:pPr>
            <w:r w:rsidRPr="00CB1155">
              <w:rPr>
                <w:sz w:val="20"/>
                <w:szCs w:val="20"/>
              </w:rPr>
              <w:t>0.24%</w:t>
            </w:r>
          </w:p>
        </w:tc>
        <w:tc>
          <w:tcPr>
            <w:tcW w:w="709" w:type="dxa"/>
            <w:noWrap/>
            <w:vAlign w:val="center"/>
            <w:hideMark/>
          </w:tcPr>
          <w:p w14:paraId="7B9ABCAC" w14:textId="77777777" w:rsidR="00C112D5" w:rsidRPr="00CB1155" w:rsidRDefault="00C112D5" w:rsidP="00734A9E">
            <w:pPr>
              <w:pStyle w:val="NoSpacing"/>
              <w:spacing w:line="480" w:lineRule="auto"/>
              <w:jc w:val="center"/>
              <w:rPr>
                <w:sz w:val="20"/>
                <w:szCs w:val="20"/>
              </w:rPr>
            </w:pPr>
            <w:r w:rsidRPr="00CB1155">
              <w:rPr>
                <w:color w:val="00B050"/>
                <w:sz w:val="20"/>
                <w:szCs w:val="20"/>
              </w:rPr>
              <w:t>0.887</w:t>
            </w:r>
          </w:p>
        </w:tc>
      </w:tr>
      <w:tr w:rsidR="00C112D5" w:rsidRPr="002C0BBD" w14:paraId="7F2AC259" w14:textId="77777777" w:rsidTr="00734A9E">
        <w:trPr>
          <w:trHeight w:val="288"/>
        </w:trPr>
        <w:tc>
          <w:tcPr>
            <w:tcW w:w="792" w:type="dxa"/>
            <w:vMerge/>
            <w:vAlign w:val="center"/>
            <w:hideMark/>
          </w:tcPr>
          <w:p w14:paraId="48188E08" w14:textId="77777777" w:rsidR="00C112D5" w:rsidRPr="002C0BBD" w:rsidRDefault="00C112D5" w:rsidP="00734A9E">
            <w:pPr>
              <w:spacing w:line="480" w:lineRule="auto"/>
              <w:rPr>
                <w:rFonts w:ascii="Calibri" w:eastAsia="Times New Roman" w:hAnsi="Calibri" w:cs="Calibri"/>
                <w:color w:val="000000"/>
                <w:sz w:val="20"/>
                <w:szCs w:val="20"/>
                <w:lang w:eastAsia="en-GB"/>
              </w:rPr>
            </w:pPr>
          </w:p>
        </w:tc>
        <w:tc>
          <w:tcPr>
            <w:tcW w:w="3314" w:type="dxa"/>
            <w:noWrap/>
            <w:hideMark/>
          </w:tcPr>
          <w:p w14:paraId="710D97A7" w14:textId="77777777" w:rsidR="00C112D5" w:rsidRPr="00CB1155" w:rsidRDefault="00C112D5" w:rsidP="00734A9E">
            <w:pPr>
              <w:pStyle w:val="NoSpacing"/>
              <w:spacing w:line="480" w:lineRule="auto"/>
              <w:rPr>
                <w:sz w:val="20"/>
                <w:szCs w:val="20"/>
              </w:rPr>
            </w:pPr>
            <w:r w:rsidRPr="00CB1155">
              <w:rPr>
                <w:sz w:val="20"/>
                <w:szCs w:val="20"/>
              </w:rPr>
              <w:t>C-terminus: Highly conserved regions</w:t>
            </w:r>
          </w:p>
        </w:tc>
        <w:tc>
          <w:tcPr>
            <w:tcW w:w="2977" w:type="dxa"/>
            <w:vAlign w:val="center"/>
          </w:tcPr>
          <w:p w14:paraId="317FDE33" w14:textId="77777777" w:rsidR="00C112D5" w:rsidRPr="00CB1155" w:rsidRDefault="00C112D5" w:rsidP="00734A9E">
            <w:pPr>
              <w:pStyle w:val="NoSpacing"/>
              <w:spacing w:line="480" w:lineRule="auto"/>
              <w:rPr>
                <w:sz w:val="20"/>
                <w:szCs w:val="20"/>
              </w:rPr>
            </w:pPr>
            <w:r>
              <w:t>349-391, 509-575, 585-607</w:t>
            </w:r>
          </w:p>
        </w:tc>
        <w:tc>
          <w:tcPr>
            <w:tcW w:w="1100" w:type="dxa"/>
            <w:noWrap/>
            <w:vAlign w:val="center"/>
            <w:hideMark/>
          </w:tcPr>
          <w:p w14:paraId="117C202C" w14:textId="77777777" w:rsidR="00C112D5" w:rsidRPr="00CB1155" w:rsidRDefault="00C112D5" w:rsidP="00734A9E">
            <w:pPr>
              <w:pStyle w:val="NoSpacing"/>
              <w:spacing w:line="480" w:lineRule="auto"/>
              <w:jc w:val="center"/>
              <w:rPr>
                <w:sz w:val="20"/>
                <w:szCs w:val="20"/>
              </w:rPr>
            </w:pPr>
            <w:r w:rsidRPr="00CB1155">
              <w:rPr>
                <w:sz w:val="20"/>
                <w:szCs w:val="20"/>
              </w:rPr>
              <w:t>0.05%</w:t>
            </w:r>
          </w:p>
        </w:tc>
        <w:tc>
          <w:tcPr>
            <w:tcW w:w="875" w:type="dxa"/>
            <w:noWrap/>
            <w:vAlign w:val="center"/>
            <w:hideMark/>
          </w:tcPr>
          <w:p w14:paraId="61EB0310" w14:textId="77777777" w:rsidR="00C112D5" w:rsidRPr="00CB1155" w:rsidRDefault="00C112D5" w:rsidP="00734A9E">
            <w:pPr>
              <w:pStyle w:val="NoSpacing"/>
              <w:spacing w:line="480" w:lineRule="auto"/>
              <w:jc w:val="center"/>
              <w:rPr>
                <w:sz w:val="20"/>
                <w:szCs w:val="20"/>
              </w:rPr>
            </w:pPr>
            <w:r w:rsidRPr="00CB1155">
              <w:rPr>
                <w:sz w:val="20"/>
                <w:szCs w:val="20"/>
              </w:rPr>
              <w:t>8.68%</w:t>
            </w:r>
          </w:p>
        </w:tc>
        <w:tc>
          <w:tcPr>
            <w:tcW w:w="718" w:type="dxa"/>
            <w:noWrap/>
            <w:vAlign w:val="center"/>
            <w:hideMark/>
          </w:tcPr>
          <w:p w14:paraId="0FE156CE" w14:textId="77777777" w:rsidR="00C112D5" w:rsidRPr="00CB1155" w:rsidRDefault="00C112D5" w:rsidP="00734A9E">
            <w:pPr>
              <w:pStyle w:val="NoSpacing"/>
              <w:spacing w:line="480" w:lineRule="auto"/>
              <w:jc w:val="center"/>
              <w:rPr>
                <w:sz w:val="20"/>
                <w:szCs w:val="20"/>
              </w:rPr>
            </w:pPr>
            <w:r w:rsidRPr="00CB1155">
              <w:rPr>
                <w:color w:val="FF0000"/>
                <w:sz w:val="20"/>
                <w:szCs w:val="20"/>
              </w:rPr>
              <w:t>0.995</w:t>
            </w:r>
          </w:p>
        </w:tc>
        <w:tc>
          <w:tcPr>
            <w:tcW w:w="284" w:type="dxa"/>
            <w:vMerge/>
            <w:vAlign w:val="center"/>
            <w:hideMark/>
          </w:tcPr>
          <w:p w14:paraId="52CBD615" w14:textId="77777777" w:rsidR="00C112D5" w:rsidRPr="00CB1155" w:rsidRDefault="00C112D5" w:rsidP="00734A9E">
            <w:pPr>
              <w:spacing w:line="480" w:lineRule="auto"/>
              <w:jc w:val="center"/>
              <w:rPr>
                <w:rFonts w:ascii="Calibri" w:eastAsia="Times New Roman" w:hAnsi="Calibri" w:cs="Calibri"/>
                <w:b/>
                <w:bCs/>
                <w:color w:val="000000"/>
                <w:sz w:val="20"/>
                <w:szCs w:val="20"/>
                <w:lang w:eastAsia="en-GB"/>
              </w:rPr>
            </w:pPr>
          </w:p>
        </w:tc>
        <w:tc>
          <w:tcPr>
            <w:tcW w:w="1064" w:type="dxa"/>
            <w:noWrap/>
            <w:vAlign w:val="center"/>
            <w:hideMark/>
          </w:tcPr>
          <w:p w14:paraId="70E0B4C6" w14:textId="77777777" w:rsidR="00C112D5" w:rsidRPr="00CB1155" w:rsidRDefault="00C112D5" w:rsidP="00734A9E">
            <w:pPr>
              <w:pStyle w:val="NoSpacing"/>
              <w:spacing w:line="480" w:lineRule="auto"/>
              <w:jc w:val="center"/>
              <w:rPr>
                <w:sz w:val="20"/>
                <w:szCs w:val="20"/>
              </w:rPr>
            </w:pPr>
            <w:r w:rsidRPr="00CB1155">
              <w:rPr>
                <w:sz w:val="20"/>
                <w:szCs w:val="20"/>
              </w:rPr>
              <w:t>0.05%</w:t>
            </w:r>
          </w:p>
        </w:tc>
        <w:tc>
          <w:tcPr>
            <w:tcW w:w="815" w:type="dxa"/>
            <w:noWrap/>
            <w:vAlign w:val="center"/>
            <w:hideMark/>
          </w:tcPr>
          <w:p w14:paraId="77840544" w14:textId="77777777" w:rsidR="00C112D5" w:rsidRPr="00CB1155" w:rsidRDefault="00C112D5" w:rsidP="00734A9E">
            <w:pPr>
              <w:pStyle w:val="NoSpacing"/>
              <w:spacing w:line="480" w:lineRule="auto"/>
              <w:jc w:val="center"/>
              <w:rPr>
                <w:sz w:val="20"/>
                <w:szCs w:val="20"/>
              </w:rPr>
            </w:pPr>
            <w:r w:rsidRPr="00CB1155">
              <w:rPr>
                <w:sz w:val="20"/>
                <w:szCs w:val="20"/>
              </w:rPr>
              <w:t>5.74%</w:t>
            </w:r>
          </w:p>
        </w:tc>
        <w:tc>
          <w:tcPr>
            <w:tcW w:w="672" w:type="dxa"/>
            <w:noWrap/>
            <w:vAlign w:val="center"/>
            <w:hideMark/>
          </w:tcPr>
          <w:p w14:paraId="1ECAECEE" w14:textId="77777777" w:rsidR="00C112D5" w:rsidRPr="00CB1155" w:rsidRDefault="00C112D5" w:rsidP="00734A9E">
            <w:pPr>
              <w:pStyle w:val="NoSpacing"/>
              <w:spacing w:line="480" w:lineRule="auto"/>
              <w:jc w:val="center"/>
              <w:rPr>
                <w:sz w:val="20"/>
                <w:szCs w:val="20"/>
              </w:rPr>
            </w:pPr>
            <w:r w:rsidRPr="00CB1155">
              <w:rPr>
                <w:color w:val="FF0000"/>
                <w:sz w:val="20"/>
                <w:szCs w:val="20"/>
              </w:rPr>
              <w:t>0.992</w:t>
            </w:r>
          </w:p>
        </w:tc>
        <w:tc>
          <w:tcPr>
            <w:tcW w:w="279" w:type="dxa"/>
            <w:vMerge/>
            <w:vAlign w:val="center"/>
            <w:hideMark/>
          </w:tcPr>
          <w:p w14:paraId="69F0173D" w14:textId="77777777" w:rsidR="00C112D5" w:rsidRPr="00CB1155" w:rsidRDefault="00C112D5" w:rsidP="00734A9E">
            <w:pPr>
              <w:spacing w:line="480" w:lineRule="auto"/>
              <w:jc w:val="center"/>
              <w:rPr>
                <w:rFonts w:ascii="Calibri" w:eastAsia="Times New Roman" w:hAnsi="Calibri" w:cs="Calibri"/>
                <w:b/>
                <w:bCs/>
                <w:color w:val="000000"/>
                <w:sz w:val="20"/>
                <w:szCs w:val="20"/>
                <w:lang w:eastAsia="en-GB"/>
              </w:rPr>
            </w:pPr>
          </w:p>
        </w:tc>
        <w:tc>
          <w:tcPr>
            <w:tcW w:w="997" w:type="dxa"/>
            <w:noWrap/>
            <w:vAlign w:val="center"/>
            <w:hideMark/>
          </w:tcPr>
          <w:p w14:paraId="3AB86284" w14:textId="77777777" w:rsidR="00C112D5" w:rsidRPr="00CB1155" w:rsidRDefault="00C112D5" w:rsidP="00734A9E">
            <w:pPr>
              <w:pStyle w:val="NoSpacing"/>
              <w:spacing w:line="480" w:lineRule="auto"/>
              <w:jc w:val="center"/>
              <w:rPr>
                <w:sz w:val="20"/>
                <w:szCs w:val="20"/>
              </w:rPr>
            </w:pPr>
            <w:r w:rsidRPr="00CB1155">
              <w:rPr>
                <w:sz w:val="20"/>
                <w:szCs w:val="20"/>
              </w:rPr>
              <w:t>0.05%</w:t>
            </w:r>
          </w:p>
        </w:tc>
        <w:tc>
          <w:tcPr>
            <w:tcW w:w="850" w:type="dxa"/>
            <w:noWrap/>
            <w:vAlign w:val="center"/>
            <w:hideMark/>
          </w:tcPr>
          <w:p w14:paraId="4EA8363F" w14:textId="77777777" w:rsidR="00C112D5" w:rsidRPr="00CB1155" w:rsidRDefault="00C112D5" w:rsidP="00734A9E">
            <w:pPr>
              <w:pStyle w:val="NoSpacing"/>
              <w:spacing w:line="480" w:lineRule="auto"/>
              <w:jc w:val="center"/>
              <w:rPr>
                <w:sz w:val="20"/>
                <w:szCs w:val="20"/>
              </w:rPr>
            </w:pPr>
            <w:r w:rsidRPr="00CB1155">
              <w:rPr>
                <w:sz w:val="20"/>
                <w:szCs w:val="20"/>
              </w:rPr>
              <w:t>3.24%</w:t>
            </w:r>
          </w:p>
        </w:tc>
        <w:tc>
          <w:tcPr>
            <w:tcW w:w="709" w:type="dxa"/>
            <w:noWrap/>
            <w:vAlign w:val="center"/>
            <w:hideMark/>
          </w:tcPr>
          <w:p w14:paraId="2635F5FD" w14:textId="77777777" w:rsidR="00C112D5" w:rsidRPr="00CB1155" w:rsidRDefault="00C112D5" w:rsidP="00734A9E">
            <w:pPr>
              <w:pStyle w:val="NoSpacing"/>
              <w:spacing w:line="480" w:lineRule="auto"/>
              <w:jc w:val="center"/>
              <w:rPr>
                <w:sz w:val="20"/>
                <w:szCs w:val="20"/>
              </w:rPr>
            </w:pPr>
            <w:r w:rsidRPr="00CB1155">
              <w:rPr>
                <w:color w:val="FF0000"/>
                <w:sz w:val="20"/>
                <w:szCs w:val="20"/>
              </w:rPr>
              <w:t>0.986</w:t>
            </w:r>
          </w:p>
        </w:tc>
      </w:tr>
      <w:tr w:rsidR="00C112D5" w:rsidRPr="002C0BBD" w14:paraId="60964126" w14:textId="77777777" w:rsidTr="00734A9E">
        <w:trPr>
          <w:trHeight w:val="288"/>
        </w:trPr>
        <w:tc>
          <w:tcPr>
            <w:tcW w:w="792" w:type="dxa"/>
            <w:vMerge/>
            <w:vAlign w:val="center"/>
            <w:hideMark/>
          </w:tcPr>
          <w:p w14:paraId="266ECF90" w14:textId="77777777" w:rsidR="00C112D5" w:rsidRPr="002C0BBD" w:rsidRDefault="00C112D5" w:rsidP="00734A9E">
            <w:pPr>
              <w:spacing w:line="480" w:lineRule="auto"/>
              <w:rPr>
                <w:rFonts w:ascii="Calibri" w:eastAsia="Times New Roman" w:hAnsi="Calibri" w:cs="Calibri"/>
                <w:color w:val="000000"/>
                <w:sz w:val="20"/>
                <w:szCs w:val="20"/>
                <w:lang w:eastAsia="en-GB"/>
              </w:rPr>
            </w:pPr>
          </w:p>
        </w:tc>
        <w:tc>
          <w:tcPr>
            <w:tcW w:w="3314" w:type="dxa"/>
            <w:noWrap/>
            <w:hideMark/>
          </w:tcPr>
          <w:p w14:paraId="041D8B47" w14:textId="77777777" w:rsidR="00C112D5" w:rsidRPr="00CB1155" w:rsidRDefault="00C112D5" w:rsidP="00734A9E">
            <w:pPr>
              <w:pStyle w:val="NoSpacing"/>
              <w:spacing w:line="480" w:lineRule="auto"/>
              <w:rPr>
                <w:sz w:val="20"/>
                <w:szCs w:val="20"/>
              </w:rPr>
            </w:pPr>
            <w:r w:rsidRPr="00CB1155">
              <w:rPr>
                <w:sz w:val="20"/>
                <w:szCs w:val="20"/>
              </w:rPr>
              <w:t>C-terminus: Other regions</w:t>
            </w:r>
          </w:p>
        </w:tc>
        <w:tc>
          <w:tcPr>
            <w:tcW w:w="2977" w:type="dxa"/>
            <w:vAlign w:val="center"/>
          </w:tcPr>
          <w:p w14:paraId="7C74CC99" w14:textId="77777777" w:rsidR="00C112D5" w:rsidRPr="00CB1155" w:rsidRDefault="00C112D5" w:rsidP="00734A9E">
            <w:pPr>
              <w:pStyle w:val="NoSpacing"/>
              <w:spacing w:line="480" w:lineRule="auto"/>
              <w:rPr>
                <w:sz w:val="20"/>
                <w:szCs w:val="20"/>
              </w:rPr>
            </w:pPr>
            <w:r>
              <w:t>392-508, 576-584, 608-676</w:t>
            </w:r>
          </w:p>
        </w:tc>
        <w:tc>
          <w:tcPr>
            <w:tcW w:w="1100" w:type="dxa"/>
            <w:noWrap/>
            <w:vAlign w:val="center"/>
            <w:hideMark/>
          </w:tcPr>
          <w:p w14:paraId="27DA176C" w14:textId="77777777" w:rsidR="00C112D5" w:rsidRPr="00CB1155" w:rsidRDefault="00C112D5" w:rsidP="00734A9E">
            <w:pPr>
              <w:pStyle w:val="NoSpacing"/>
              <w:spacing w:line="480" w:lineRule="auto"/>
              <w:jc w:val="center"/>
              <w:rPr>
                <w:sz w:val="20"/>
                <w:szCs w:val="20"/>
              </w:rPr>
            </w:pPr>
            <w:r w:rsidRPr="00CB1155">
              <w:rPr>
                <w:sz w:val="20"/>
                <w:szCs w:val="20"/>
              </w:rPr>
              <w:t>0.11%</w:t>
            </w:r>
          </w:p>
        </w:tc>
        <w:tc>
          <w:tcPr>
            <w:tcW w:w="875" w:type="dxa"/>
            <w:noWrap/>
            <w:vAlign w:val="center"/>
            <w:hideMark/>
          </w:tcPr>
          <w:p w14:paraId="74C15E3A" w14:textId="77777777" w:rsidR="00C112D5" w:rsidRPr="00CB1155" w:rsidRDefault="00C112D5" w:rsidP="00734A9E">
            <w:pPr>
              <w:pStyle w:val="NoSpacing"/>
              <w:spacing w:line="480" w:lineRule="auto"/>
              <w:jc w:val="center"/>
              <w:rPr>
                <w:sz w:val="20"/>
                <w:szCs w:val="20"/>
              </w:rPr>
            </w:pPr>
            <w:r w:rsidRPr="00CB1155">
              <w:rPr>
                <w:sz w:val="20"/>
                <w:szCs w:val="20"/>
              </w:rPr>
              <w:t>0.86%</w:t>
            </w:r>
          </w:p>
        </w:tc>
        <w:tc>
          <w:tcPr>
            <w:tcW w:w="718" w:type="dxa"/>
            <w:noWrap/>
            <w:vAlign w:val="center"/>
            <w:hideMark/>
          </w:tcPr>
          <w:p w14:paraId="3948C8AA" w14:textId="77777777" w:rsidR="00C112D5" w:rsidRPr="00CB1155" w:rsidRDefault="00C112D5" w:rsidP="00734A9E">
            <w:pPr>
              <w:pStyle w:val="NoSpacing"/>
              <w:spacing w:line="480" w:lineRule="auto"/>
              <w:jc w:val="center"/>
              <w:rPr>
                <w:sz w:val="20"/>
                <w:szCs w:val="20"/>
              </w:rPr>
            </w:pPr>
            <w:r w:rsidRPr="00CB1155">
              <w:rPr>
                <w:color w:val="00B050"/>
                <w:sz w:val="20"/>
                <w:szCs w:val="20"/>
              </w:rPr>
              <w:t>0.879</w:t>
            </w:r>
          </w:p>
        </w:tc>
        <w:tc>
          <w:tcPr>
            <w:tcW w:w="284" w:type="dxa"/>
            <w:vMerge/>
            <w:vAlign w:val="center"/>
            <w:hideMark/>
          </w:tcPr>
          <w:p w14:paraId="3846E352" w14:textId="77777777" w:rsidR="00C112D5" w:rsidRPr="00CB1155" w:rsidRDefault="00C112D5" w:rsidP="00734A9E">
            <w:pPr>
              <w:spacing w:line="480" w:lineRule="auto"/>
              <w:jc w:val="center"/>
              <w:rPr>
                <w:rFonts w:ascii="Calibri" w:eastAsia="Times New Roman" w:hAnsi="Calibri" w:cs="Calibri"/>
                <w:b/>
                <w:bCs/>
                <w:color w:val="000000"/>
                <w:sz w:val="20"/>
                <w:szCs w:val="20"/>
                <w:lang w:eastAsia="en-GB"/>
              </w:rPr>
            </w:pPr>
          </w:p>
        </w:tc>
        <w:tc>
          <w:tcPr>
            <w:tcW w:w="1064" w:type="dxa"/>
            <w:noWrap/>
            <w:vAlign w:val="center"/>
            <w:hideMark/>
          </w:tcPr>
          <w:p w14:paraId="128B9829" w14:textId="77777777" w:rsidR="00C112D5" w:rsidRPr="00CB1155" w:rsidRDefault="00C112D5" w:rsidP="00734A9E">
            <w:pPr>
              <w:pStyle w:val="NoSpacing"/>
              <w:spacing w:line="480" w:lineRule="auto"/>
              <w:jc w:val="center"/>
              <w:rPr>
                <w:sz w:val="20"/>
                <w:szCs w:val="20"/>
              </w:rPr>
            </w:pPr>
            <w:r w:rsidRPr="00CB1155">
              <w:rPr>
                <w:sz w:val="20"/>
                <w:szCs w:val="20"/>
              </w:rPr>
              <w:t>0.07%</w:t>
            </w:r>
          </w:p>
        </w:tc>
        <w:tc>
          <w:tcPr>
            <w:tcW w:w="815" w:type="dxa"/>
            <w:noWrap/>
            <w:vAlign w:val="center"/>
            <w:hideMark/>
          </w:tcPr>
          <w:p w14:paraId="1059086E" w14:textId="77777777" w:rsidR="00C112D5" w:rsidRPr="00CB1155" w:rsidRDefault="00C112D5" w:rsidP="00734A9E">
            <w:pPr>
              <w:pStyle w:val="NoSpacing"/>
              <w:spacing w:line="480" w:lineRule="auto"/>
              <w:jc w:val="center"/>
              <w:rPr>
                <w:sz w:val="20"/>
                <w:szCs w:val="20"/>
              </w:rPr>
            </w:pPr>
            <w:r w:rsidRPr="00CB1155">
              <w:rPr>
                <w:sz w:val="20"/>
                <w:szCs w:val="20"/>
              </w:rPr>
              <w:t>0.88%</w:t>
            </w:r>
          </w:p>
        </w:tc>
        <w:tc>
          <w:tcPr>
            <w:tcW w:w="672" w:type="dxa"/>
            <w:noWrap/>
            <w:vAlign w:val="center"/>
            <w:hideMark/>
          </w:tcPr>
          <w:p w14:paraId="42A52BE4" w14:textId="77777777" w:rsidR="00C112D5" w:rsidRPr="00CB1155" w:rsidRDefault="00C112D5" w:rsidP="00734A9E">
            <w:pPr>
              <w:pStyle w:val="NoSpacing"/>
              <w:spacing w:line="480" w:lineRule="auto"/>
              <w:jc w:val="center"/>
              <w:rPr>
                <w:sz w:val="20"/>
                <w:szCs w:val="20"/>
              </w:rPr>
            </w:pPr>
            <w:r w:rsidRPr="00CB1155">
              <w:rPr>
                <w:color w:val="FFC000"/>
                <w:sz w:val="20"/>
                <w:szCs w:val="20"/>
              </w:rPr>
              <w:t>0.923</w:t>
            </w:r>
          </w:p>
        </w:tc>
        <w:tc>
          <w:tcPr>
            <w:tcW w:w="279" w:type="dxa"/>
            <w:vMerge/>
            <w:vAlign w:val="center"/>
            <w:hideMark/>
          </w:tcPr>
          <w:p w14:paraId="5591B20D" w14:textId="77777777" w:rsidR="00C112D5" w:rsidRPr="00CB1155" w:rsidRDefault="00C112D5" w:rsidP="00734A9E">
            <w:pPr>
              <w:spacing w:line="480" w:lineRule="auto"/>
              <w:jc w:val="center"/>
              <w:rPr>
                <w:rFonts w:ascii="Calibri" w:eastAsia="Times New Roman" w:hAnsi="Calibri" w:cs="Calibri"/>
                <w:b/>
                <w:bCs/>
                <w:color w:val="000000"/>
                <w:sz w:val="20"/>
                <w:szCs w:val="20"/>
                <w:lang w:eastAsia="en-GB"/>
              </w:rPr>
            </w:pPr>
          </w:p>
        </w:tc>
        <w:tc>
          <w:tcPr>
            <w:tcW w:w="997" w:type="dxa"/>
            <w:noWrap/>
            <w:vAlign w:val="center"/>
            <w:hideMark/>
          </w:tcPr>
          <w:p w14:paraId="51688FF6" w14:textId="77777777" w:rsidR="00C112D5" w:rsidRPr="00CB1155" w:rsidRDefault="00C112D5" w:rsidP="00734A9E">
            <w:pPr>
              <w:pStyle w:val="NoSpacing"/>
              <w:spacing w:line="480" w:lineRule="auto"/>
              <w:jc w:val="center"/>
              <w:rPr>
                <w:sz w:val="20"/>
                <w:szCs w:val="20"/>
              </w:rPr>
            </w:pPr>
            <w:r w:rsidRPr="00CB1155">
              <w:rPr>
                <w:sz w:val="20"/>
                <w:szCs w:val="20"/>
              </w:rPr>
              <w:t>0.10%</w:t>
            </w:r>
          </w:p>
        </w:tc>
        <w:tc>
          <w:tcPr>
            <w:tcW w:w="850" w:type="dxa"/>
            <w:noWrap/>
            <w:vAlign w:val="center"/>
            <w:hideMark/>
          </w:tcPr>
          <w:p w14:paraId="3367B825" w14:textId="77777777" w:rsidR="00C112D5" w:rsidRPr="00CB1155" w:rsidRDefault="00C112D5" w:rsidP="00734A9E">
            <w:pPr>
              <w:pStyle w:val="NoSpacing"/>
              <w:spacing w:line="480" w:lineRule="auto"/>
              <w:jc w:val="center"/>
              <w:rPr>
                <w:sz w:val="20"/>
                <w:szCs w:val="20"/>
              </w:rPr>
            </w:pPr>
            <w:r w:rsidRPr="00CB1155">
              <w:rPr>
                <w:sz w:val="20"/>
                <w:szCs w:val="20"/>
              </w:rPr>
              <w:t>0.44%</w:t>
            </w:r>
          </w:p>
        </w:tc>
        <w:tc>
          <w:tcPr>
            <w:tcW w:w="709" w:type="dxa"/>
            <w:noWrap/>
            <w:vAlign w:val="center"/>
            <w:hideMark/>
          </w:tcPr>
          <w:p w14:paraId="2D102CDF" w14:textId="77777777" w:rsidR="00C112D5" w:rsidRPr="00CB1155" w:rsidRDefault="00C112D5" w:rsidP="00734A9E">
            <w:pPr>
              <w:pStyle w:val="NoSpacing"/>
              <w:spacing w:line="480" w:lineRule="auto"/>
              <w:jc w:val="center"/>
              <w:rPr>
                <w:sz w:val="20"/>
                <w:szCs w:val="20"/>
              </w:rPr>
            </w:pPr>
            <w:r w:rsidRPr="00CB1155">
              <w:rPr>
                <w:sz w:val="20"/>
                <w:szCs w:val="20"/>
              </w:rPr>
              <w:t>0.765</w:t>
            </w:r>
          </w:p>
        </w:tc>
      </w:tr>
      <w:tr w:rsidR="00C112D5" w:rsidRPr="002C0BBD" w14:paraId="776E1199" w14:textId="77777777" w:rsidTr="00C112D5">
        <w:trPr>
          <w:trHeight w:val="170"/>
        </w:trPr>
        <w:tc>
          <w:tcPr>
            <w:tcW w:w="15446" w:type="dxa"/>
            <w:gridSpan w:val="14"/>
            <w:vAlign w:val="center"/>
          </w:tcPr>
          <w:p w14:paraId="7F4E3C59" w14:textId="155DADC6" w:rsidR="00C112D5" w:rsidRPr="00CB1155" w:rsidRDefault="00C112D5" w:rsidP="00734A9E">
            <w:pPr>
              <w:spacing w:line="48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xml:space="preserve">  </w:t>
            </w:r>
          </w:p>
        </w:tc>
      </w:tr>
      <w:tr w:rsidR="00C112D5" w:rsidRPr="002C0BBD" w14:paraId="45D0C28C" w14:textId="77777777" w:rsidTr="00734A9E">
        <w:trPr>
          <w:trHeight w:val="288"/>
        </w:trPr>
        <w:tc>
          <w:tcPr>
            <w:tcW w:w="792" w:type="dxa"/>
            <w:vMerge w:val="restart"/>
            <w:noWrap/>
            <w:vAlign w:val="center"/>
            <w:hideMark/>
          </w:tcPr>
          <w:p w14:paraId="54A610BE" w14:textId="77777777" w:rsidR="00C112D5" w:rsidRPr="002C0BBD" w:rsidRDefault="00C112D5" w:rsidP="00734A9E">
            <w:pPr>
              <w:spacing w:line="480" w:lineRule="auto"/>
              <w:rPr>
                <w:rFonts w:ascii="Calibri" w:eastAsia="Times New Roman" w:hAnsi="Calibri" w:cs="Calibri"/>
                <w:color w:val="000000"/>
                <w:sz w:val="20"/>
                <w:szCs w:val="20"/>
                <w:lang w:eastAsia="en-GB"/>
              </w:rPr>
            </w:pPr>
            <w:r w:rsidRPr="0095771E">
              <w:rPr>
                <w:rFonts w:ascii="Calibri" w:eastAsia="Times New Roman" w:hAnsi="Calibri" w:cs="Calibri"/>
                <w:i/>
                <w:color w:val="000000"/>
                <w:sz w:val="20"/>
                <w:szCs w:val="20"/>
                <w:lang w:eastAsia="en-GB"/>
              </w:rPr>
              <w:t>KCNH2</w:t>
            </w:r>
          </w:p>
        </w:tc>
        <w:tc>
          <w:tcPr>
            <w:tcW w:w="3314" w:type="dxa"/>
            <w:noWrap/>
            <w:hideMark/>
          </w:tcPr>
          <w:p w14:paraId="01DD341A" w14:textId="77777777" w:rsidR="00C112D5" w:rsidRPr="00CB1155" w:rsidRDefault="00C112D5" w:rsidP="00734A9E">
            <w:pPr>
              <w:spacing w:line="480" w:lineRule="auto"/>
              <w:rPr>
                <w:rFonts w:ascii="Calibri" w:eastAsia="Times New Roman" w:hAnsi="Calibri" w:cs="Calibri"/>
                <w:color w:val="000000"/>
                <w:sz w:val="20"/>
                <w:szCs w:val="20"/>
                <w:lang w:eastAsia="en-GB"/>
              </w:rPr>
            </w:pPr>
            <w:r w:rsidRPr="00CB1155">
              <w:rPr>
                <w:rFonts w:ascii="Calibri" w:eastAsia="Times New Roman" w:hAnsi="Calibri" w:cs="Calibri"/>
                <w:color w:val="000000"/>
                <w:sz w:val="20"/>
                <w:szCs w:val="20"/>
                <w:lang w:eastAsia="en-GB"/>
              </w:rPr>
              <w:t>Transmembrane/Linker/Pore</w:t>
            </w:r>
          </w:p>
        </w:tc>
        <w:tc>
          <w:tcPr>
            <w:tcW w:w="2977" w:type="dxa"/>
            <w:vAlign w:val="center"/>
          </w:tcPr>
          <w:p w14:paraId="1E246C37" w14:textId="77777777" w:rsidR="00C112D5" w:rsidRDefault="00C112D5" w:rsidP="00734A9E">
            <w:pPr>
              <w:pStyle w:val="NoSpacing"/>
              <w:spacing w:line="480" w:lineRule="auto"/>
            </w:pPr>
            <w:r>
              <w:t>404-659</w:t>
            </w:r>
          </w:p>
        </w:tc>
        <w:tc>
          <w:tcPr>
            <w:tcW w:w="1100" w:type="dxa"/>
            <w:noWrap/>
            <w:vAlign w:val="center"/>
            <w:hideMark/>
          </w:tcPr>
          <w:p w14:paraId="7658383F" w14:textId="77777777" w:rsidR="00C112D5" w:rsidRDefault="00C112D5" w:rsidP="00734A9E">
            <w:pPr>
              <w:pStyle w:val="NoSpacing"/>
              <w:spacing w:line="480" w:lineRule="auto"/>
              <w:jc w:val="center"/>
            </w:pPr>
            <w:r>
              <w:t>0.07%</w:t>
            </w:r>
          </w:p>
        </w:tc>
        <w:tc>
          <w:tcPr>
            <w:tcW w:w="875" w:type="dxa"/>
            <w:noWrap/>
            <w:vAlign w:val="center"/>
            <w:hideMark/>
          </w:tcPr>
          <w:p w14:paraId="3172B78F" w14:textId="77777777" w:rsidR="00C112D5" w:rsidRDefault="00C112D5" w:rsidP="00734A9E">
            <w:pPr>
              <w:pStyle w:val="NoSpacing"/>
              <w:spacing w:line="480" w:lineRule="auto"/>
              <w:jc w:val="center"/>
            </w:pPr>
            <w:r>
              <w:t>10.83%</w:t>
            </w:r>
          </w:p>
        </w:tc>
        <w:tc>
          <w:tcPr>
            <w:tcW w:w="718" w:type="dxa"/>
            <w:noWrap/>
            <w:vAlign w:val="center"/>
            <w:hideMark/>
          </w:tcPr>
          <w:p w14:paraId="18F8A75E" w14:textId="77777777" w:rsidR="00C112D5" w:rsidRPr="00412680" w:rsidRDefault="00C112D5" w:rsidP="00734A9E">
            <w:pPr>
              <w:pStyle w:val="NoSpacing"/>
              <w:spacing w:line="480" w:lineRule="auto"/>
              <w:jc w:val="center"/>
              <w:rPr>
                <w:color w:val="FF0000"/>
              </w:rPr>
            </w:pPr>
            <w:r w:rsidRPr="00412680">
              <w:rPr>
                <w:color w:val="FF0000"/>
              </w:rPr>
              <w:t>0.994</w:t>
            </w:r>
          </w:p>
        </w:tc>
        <w:tc>
          <w:tcPr>
            <w:tcW w:w="284" w:type="dxa"/>
            <w:vMerge w:val="restart"/>
            <w:noWrap/>
            <w:vAlign w:val="center"/>
            <w:hideMark/>
          </w:tcPr>
          <w:p w14:paraId="16398064" w14:textId="77777777" w:rsidR="00C112D5" w:rsidRPr="00CB1155" w:rsidRDefault="00C112D5" w:rsidP="00734A9E">
            <w:pPr>
              <w:spacing w:line="480" w:lineRule="auto"/>
              <w:jc w:val="center"/>
              <w:rPr>
                <w:rFonts w:ascii="Calibri" w:eastAsia="Times New Roman" w:hAnsi="Calibri" w:cs="Calibri"/>
                <w:color w:val="000000"/>
                <w:sz w:val="20"/>
                <w:szCs w:val="20"/>
                <w:lang w:eastAsia="en-GB"/>
              </w:rPr>
            </w:pPr>
          </w:p>
        </w:tc>
        <w:tc>
          <w:tcPr>
            <w:tcW w:w="1064" w:type="dxa"/>
            <w:noWrap/>
            <w:vAlign w:val="center"/>
            <w:hideMark/>
          </w:tcPr>
          <w:p w14:paraId="36FF3B7E" w14:textId="77777777" w:rsidR="00C112D5" w:rsidRPr="00CB1155" w:rsidRDefault="00C112D5" w:rsidP="00734A9E">
            <w:pPr>
              <w:pStyle w:val="NoSpacing"/>
              <w:spacing w:line="480" w:lineRule="auto"/>
              <w:jc w:val="center"/>
              <w:rPr>
                <w:sz w:val="20"/>
                <w:szCs w:val="20"/>
              </w:rPr>
            </w:pPr>
            <w:r w:rsidRPr="00CB1155">
              <w:rPr>
                <w:sz w:val="20"/>
                <w:szCs w:val="20"/>
              </w:rPr>
              <w:t>0.06%</w:t>
            </w:r>
          </w:p>
        </w:tc>
        <w:tc>
          <w:tcPr>
            <w:tcW w:w="815" w:type="dxa"/>
            <w:noWrap/>
            <w:vAlign w:val="center"/>
            <w:hideMark/>
          </w:tcPr>
          <w:p w14:paraId="789A2F54" w14:textId="77777777" w:rsidR="00C112D5" w:rsidRPr="00CB1155" w:rsidRDefault="00C112D5" w:rsidP="00734A9E">
            <w:pPr>
              <w:pStyle w:val="NoSpacing"/>
              <w:spacing w:line="480" w:lineRule="auto"/>
              <w:jc w:val="center"/>
              <w:rPr>
                <w:sz w:val="20"/>
                <w:szCs w:val="20"/>
              </w:rPr>
            </w:pPr>
            <w:r w:rsidRPr="00CB1155">
              <w:rPr>
                <w:sz w:val="20"/>
                <w:szCs w:val="20"/>
              </w:rPr>
              <w:t>12.36%</w:t>
            </w:r>
          </w:p>
        </w:tc>
        <w:tc>
          <w:tcPr>
            <w:tcW w:w="672" w:type="dxa"/>
            <w:noWrap/>
            <w:vAlign w:val="center"/>
            <w:hideMark/>
          </w:tcPr>
          <w:p w14:paraId="4E16B28F" w14:textId="77777777" w:rsidR="00C112D5" w:rsidRPr="00CB1155" w:rsidRDefault="00C112D5" w:rsidP="00734A9E">
            <w:pPr>
              <w:pStyle w:val="NoSpacing"/>
              <w:spacing w:line="480" w:lineRule="auto"/>
              <w:jc w:val="center"/>
              <w:rPr>
                <w:color w:val="FF0000"/>
                <w:sz w:val="20"/>
                <w:szCs w:val="20"/>
              </w:rPr>
            </w:pPr>
            <w:r w:rsidRPr="00CB1155">
              <w:rPr>
                <w:color w:val="FF0000"/>
                <w:sz w:val="20"/>
                <w:szCs w:val="20"/>
              </w:rPr>
              <w:t>0.996</w:t>
            </w:r>
          </w:p>
        </w:tc>
        <w:tc>
          <w:tcPr>
            <w:tcW w:w="279" w:type="dxa"/>
            <w:vMerge w:val="restart"/>
            <w:noWrap/>
            <w:vAlign w:val="center"/>
            <w:hideMark/>
          </w:tcPr>
          <w:p w14:paraId="57CCFA54" w14:textId="77777777" w:rsidR="00C112D5" w:rsidRPr="00CB1155" w:rsidRDefault="00C112D5" w:rsidP="00734A9E">
            <w:pPr>
              <w:spacing w:line="480" w:lineRule="auto"/>
              <w:jc w:val="center"/>
              <w:rPr>
                <w:rFonts w:ascii="Calibri" w:eastAsia="Times New Roman" w:hAnsi="Calibri" w:cs="Calibri"/>
                <w:color w:val="000000"/>
                <w:sz w:val="20"/>
                <w:szCs w:val="20"/>
                <w:lang w:eastAsia="en-GB"/>
              </w:rPr>
            </w:pPr>
          </w:p>
        </w:tc>
        <w:tc>
          <w:tcPr>
            <w:tcW w:w="997" w:type="dxa"/>
            <w:noWrap/>
            <w:vAlign w:val="center"/>
            <w:hideMark/>
          </w:tcPr>
          <w:p w14:paraId="6DAC554F" w14:textId="77777777" w:rsidR="00C112D5" w:rsidRPr="00CB1155" w:rsidRDefault="00C112D5" w:rsidP="00734A9E">
            <w:pPr>
              <w:pStyle w:val="NoSpacing"/>
              <w:spacing w:line="480" w:lineRule="auto"/>
              <w:jc w:val="center"/>
              <w:rPr>
                <w:sz w:val="20"/>
                <w:szCs w:val="20"/>
              </w:rPr>
            </w:pPr>
            <w:r w:rsidRPr="00CB1155">
              <w:rPr>
                <w:sz w:val="20"/>
                <w:szCs w:val="20"/>
              </w:rPr>
              <w:t>0.06%</w:t>
            </w:r>
          </w:p>
        </w:tc>
        <w:tc>
          <w:tcPr>
            <w:tcW w:w="850" w:type="dxa"/>
            <w:noWrap/>
            <w:vAlign w:val="center"/>
            <w:hideMark/>
          </w:tcPr>
          <w:p w14:paraId="0751AE04" w14:textId="77777777" w:rsidR="00C112D5" w:rsidRPr="00CB1155" w:rsidRDefault="00C112D5" w:rsidP="00734A9E">
            <w:pPr>
              <w:pStyle w:val="NoSpacing"/>
              <w:spacing w:line="480" w:lineRule="auto"/>
              <w:jc w:val="center"/>
              <w:rPr>
                <w:sz w:val="20"/>
                <w:szCs w:val="20"/>
              </w:rPr>
            </w:pPr>
            <w:r w:rsidRPr="00CB1155">
              <w:rPr>
                <w:sz w:val="20"/>
                <w:szCs w:val="20"/>
              </w:rPr>
              <w:t>3.68%</w:t>
            </w:r>
          </w:p>
        </w:tc>
        <w:tc>
          <w:tcPr>
            <w:tcW w:w="709" w:type="dxa"/>
            <w:noWrap/>
            <w:vAlign w:val="center"/>
            <w:hideMark/>
          </w:tcPr>
          <w:p w14:paraId="638D7BBC" w14:textId="77777777" w:rsidR="00C112D5" w:rsidRPr="00CB1155" w:rsidRDefault="00C112D5" w:rsidP="00734A9E">
            <w:pPr>
              <w:pStyle w:val="NoSpacing"/>
              <w:spacing w:line="480" w:lineRule="auto"/>
              <w:jc w:val="center"/>
              <w:rPr>
                <w:color w:val="FF0000"/>
                <w:sz w:val="20"/>
                <w:szCs w:val="20"/>
              </w:rPr>
            </w:pPr>
            <w:r w:rsidRPr="00CB1155">
              <w:rPr>
                <w:color w:val="FF0000"/>
                <w:sz w:val="20"/>
                <w:szCs w:val="20"/>
              </w:rPr>
              <w:t>0.985</w:t>
            </w:r>
          </w:p>
        </w:tc>
      </w:tr>
      <w:tr w:rsidR="00C112D5" w:rsidRPr="002C0BBD" w14:paraId="30F53AE6" w14:textId="77777777" w:rsidTr="00734A9E">
        <w:trPr>
          <w:trHeight w:val="288"/>
        </w:trPr>
        <w:tc>
          <w:tcPr>
            <w:tcW w:w="792" w:type="dxa"/>
            <w:vMerge/>
            <w:vAlign w:val="center"/>
            <w:hideMark/>
          </w:tcPr>
          <w:p w14:paraId="74C45A3C" w14:textId="77777777" w:rsidR="00C112D5" w:rsidRPr="002C0BBD" w:rsidRDefault="00C112D5" w:rsidP="00734A9E">
            <w:pPr>
              <w:spacing w:line="480" w:lineRule="auto"/>
              <w:rPr>
                <w:rFonts w:ascii="Calibri" w:eastAsia="Times New Roman" w:hAnsi="Calibri" w:cs="Calibri"/>
                <w:color w:val="000000"/>
                <w:sz w:val="20"/>
                <w:szCs w:val="20"/>
                <w:lang w:eastAsia="en-GB"/>
              </w:rPr>
            </w:pPr>
          </w:p>
        </w:tc>
        <w:tc>
          <w:tcPr>
            <w:tcW w:w="3314" w:type="dxa"/>
            <w:noWrap/>
            <w:hideMark/>
          </w:tcPr>
          <w:p w14:paraId="2BC6A6C9" w14:textId="77777777" w:rsidR="00C112D5" w:rsidRPr="00CB1155" w:rsidRDefault="00C112D5" w:rsidP="00734A9E">
            <w:pPr>
              <w:spacing w:line="480" w:lineRule="auto"/>
              <w:rPr>
                <w:rFonts w:ascii="Calibri" w:eastAsia="Times New Roman" w:hAnsi="Calibri" w:cs="Calibri"/>
                <w:color w:val="000000"/>
                <w:sz w:val="20"/>
                <w:szCs w:val="20"/>
                <w:lang w:eastAsia="en-GB"/>
              </w:rPr>
            </w:pPr>
            <w:r w:rsidRPr="00CB1155">
              <w:rPr>
                <w:rFonts w:ascii="Calibri" w:eastAsia="Times New Roman" w:hAnsi="Calibri" w:cs="Calibri"/>
                <w:color w:val="000000"/>
                <w:sz w:val="20"/>
                <w:szCs w:val="20"/>
                <w:lang w:eastAsia="en-GB"/>
              </w:rPr>
              <w:t>N-terminus: Cluster</w:t>
            </w:r>
          </w:p>
        </w:tc>
        <w:tc>
          <w:tcPr>
            <w:tcW w:w="2977" w:type="dxa"/>
            <w:vAlign w:val="center"/>
          </w:tcPr>
          <w:p w14:paraId="7EF93193" w14:textId="77777777" w:rsidR="00C112D5" w:rsidRDefault="00C112D5" w:rsidP="00734A9E">
            <w:pPr>
              <w:pStyle w:val="NoSpacing"/>
              <w:spacing w:line="480" w:lineRule="auto"/>
            </w:pPr>
            <w:r>
              <w:t>1-130</w:t>
            </w:r>
          </w:p>
        </w:tc>
        <w:tc>
          <w:tcPr>
            <w:tcW w:w="1100" w:type="dxa"/>
            <w:noWrap/>
            <w:vAlign w:val="center"/>
            <w:hideMark/>
          </w:tcPr>
          <w:p w14:paraId="38EFDC53" w14:textId="77777777" w:rsidR="00C112D5" w:rsidRDefault="00C112D5" w:rsidP="00734A9E">
            <w:pPr>
              <w:pStyle w:val="NoSpacing"/>
              <w:spacing w:line="480" w:lineRule="auto"/>
              <w:jc w:val="center"/>
            </w:pPr>
            <w:r>
              <w:t>0.03%</w:t>
            </w:r>
          </w:p>
        </w:tc>
        <w:tc>
          <w:tcPr>
            <w:tcW w:w="875" w:type="dxa"/>
            <w:noWrap/>
            <w:vAlign w:val="center"/>
            <w:hideMark/>
          </w:tcPr>
          <w:p w14:paraId="64E422CF" w14:textId="77777777" w:rsidR="00C112D5" w:rsidRDefault="00C112D5" w:rsidP="00734A9E">
            <w:pPr>
              <w:pStyle w:val="NoSpacing"/>
              <w:spacing w:line="480" w:lineRule="auto"/>
              <w:jc w:val="center"/>
            </w:pPr>
            <w:r>
              <w:t>4.38%</w:t>
            </w:r>
          </w:p>
        </w:tc>
        <w:tc>
          <w:tcPr>
            <w:tcW w:w="718" w:type="dxa"/>
            <w:noWrap/>
            <w:vAlign w:val="center"/>
            <w:hideMark/>
          </w:tcPr>
          <w:p w14:paraId="1F18440E" w14:textId="77777777" w:rsidR="00C112D5" w:rsidRPr="00412680" w:rsidRDefault="00C112D5" w:rsidP="00734A9E">
            <w:pPr>
              <w:pStyle w:val="NoSpacing"/>
              <w:spacing w:line="480" w:lineRule="auto"/>
              <w:jc w:val="center"/>
              <w:rPr>
                <w:color w:val="FF0000"/>
              </w:rPr>
            </w:pPr>
            <w:r w:rsidRPr="00412680">
              <w:rPr>
                <w:color w:val="FF0000"/>
              </w:rPr>
              <w:t>0.994</w:t>
            </w:r>
          </w:p>
        </w:tc>
        <w:tc>
          <w:tcPr>
            <w:tcW w:w="284" w:type="dxa"/>
            <w:vMerge/>
            <w:vAlign w:val="center"/>
            <w:hideMark/>
          </w:tcPr>
          <w:p w14:paraId="00F7934C" w14:textId="77777777" w:rsidR="00C112D5" w:rsidRPr="00CB1155" w:rsidRDefault="00C112D5" w:rsidP="00734A9E">
            <w:pPr>
              <w:spacing w:line="480" w:lineRule="auto"/>
              <w:jc w:val="center"/>
              <w:rPr>
                <w:rFonts w:ascii="Calibri" w:eastAsia="Times New Roman" w:hAnsi="Calibri" w:cs="Calibri"/>
                <w:color w:val="000000"/>
                <w:sz w:val="20"/>
                <w:szCs w:val="20"/>
                <w:lang w:eastAsia="en-GB"/>
              </w:rPr>
            </w:pPr>
          </w:p>
        </w:tc>
        <w:tc>
          <w:tcPr>
            <w:tcW w:w="1064" w:type="dxa"/>
            <w:noWrap/>
            <w:vAlign w:val="center"/>
            <w:hideMark/>
          </w:tcPr>
          <w:p w14:paraId="34DA85A7" w14:textId="77777777" w:rsidR="00C112D5" w:rsidRPr="00CB1155" w:rsidRDefault="00C112D5" w:rsidP="00734A9E">
            <w:pPr>
              <w:pStyle w:val="NoSpacing"/>
              <w:spacing w:line="480" w:lineRule="auto"/>
              <w:jc w:val="center"/>
              <w:rPr>
                <w:sz w:val="20"/>
                <w:szCs w:val="20"/>
              </w:rPr>
            </w:pPr>
            <w:r w:rsidRPr="00CB1155">
              <w:rPr>
                <w:sz w:val="20"/>
                <w:szCs w:val="20"/>
              </w:rPr>
              <w:t>0.02%</w:t>
            </w:r>
          </w:p>
        </w:tc>
        <w:tc>
          <w:tcPr>
            <w:tcW w:w="815" w:type="dxa"/>
            <w:noWrap/>
            <w:vAlign w:val="center"/>
            <w:hideMark/>
          </w:tcPr>
          <w:p w14:paraId="3E46369B" w14:textId="77777777" w:rsidR="00C112D5" w:rsidRPr="00CB1155" w:rsidRDefault="00C112D5" w:rsidP="00734A9E">
            <w:pPr>
              <w:pStyle w:val="NoSpacing"/>
              <w:spacing w:line="480" w:lineRule="auto"/>
              <w:jc w:val="center"/>
              <w:rPr>
                <w:sz w:val="20"/>
                <w:szCs w:val="20"/>
              </w:rPr>
            </w:pPr>
            <w:r w:rsidRPr="00CB1155">
              <w:rPr>
                <w:sz w:val="20"/>
                <w:szCs w:val="20"/>
              </w:rPr>
              <w:t>5.74%</w:t>
            </w:r>
          </w:p>
        </w:tc>
        <w:tc>
          <w:tcPr>
            <w:tcW w:w="672" w:type="dxa"/>
            <w:noWrap/>
            <w:vAlign w:val="center"/>
            <w:hideMark/>
          </w:tcPr>
          <w:p w14:paraId="26A99C9C" w14:textId="77777777" w:rsidR="00C112D5" w:rsidRPr="00CB1155" w:rsidRDefault="00C112D5" w:rsidP="00734A9E">
            <w:pPr>
              <w:pStyle w:val="NoSpacing"/>
              <w:spacing w:line="480" w:lineRule="auto"/>
              <w:jc w:val="center"/>
              <w:rPr>
                <w:color w:val="FF0000"/>
                <w:sz w:val="20"/>
                <w:szCs w:val="20"/>
              </w:rPr>
            </w:pPr>
            <w:r w:rsidRPr="00CB1155">
              <w:rPr>
                <w:color w:val="FF0000"/>
                <w:sz w:val="20"/>
                <w:szCs w:val="20"/>
              </w:rPr>
              <w:t>0.996</w:t>
            </w:r>
          </w:p>
        </w:tc>
        <w:tc>
          <w:tcPr>
            <w:tcW w:w="279" w:type="dxa"/>
            <w:vMerge/>
            <w:vAlign w:val="center"/>
            <w:hideMark/>
          </w:tcPr>
          <w:p w14:paraId="53E9C29F" w14:textId="77777777" w:rsidR="00C112D5" w:rsidRPr="00CB1155" w:rsidRDefault="00C112D5" w:rsidP="00734A9E">
            <w:pPr>
              <w:spacing w:line="480" w:lineRule="auto"/>
              <w:jc w:val="center"/>
              <w:rPr>
                <w:rFonts w:ascii="Calibri" w:eastAsia="Times New Roman" w:hAnsi="Calibri" w:cs="Calibri"/>
                <w:color w:val="000000"/>
                <w:sz w:val="20"/>
                <w:szCs w:val="20"/>
                <w:lang w:eastAsia="en-GB"/>
              </w:rPr>
            </w:pPr>
          </w:p>
        </w:tc>
        <w:tc>
          <w:tcPr>
            <w:tcW w:w="997" w:type="dxa"/>
            <w:noWrap/>
            <w:vAlign w:val="center"/>
            <w:hideMark/>
          </w:tcPr>
          <w:p w14:paraId="49DC1F35" w14:textId="77777777" w:rsidR="00C112D5" w:rsidRPr="00CB1155" w:rsidRDefault="00C112D5" w:rsidP="00734A9E">
            <w:pPr>
              <w:pStyle w:val="NoSpacing"/>
              <w:spacing w:line="480" w:lineRule="auto"/>
              <w:jc w:val="center"/>
              <w:rPr>
                <w:sz w:val="20"/>
                <w:szCs w:val="20"/>
              </w:rPr>
            </w:pPr>
            <w:r w:rsidRPr="00CB1155">
              <w:rPr>
                <w:sz w:val="20"/>
                <w:szCs w:val="20"/>
              </w:rPr>
              <w:t>0.03%</w:t>
            </w:r>
          </w:p>
        </w:tc>
        <w:tc>
          <w:tcPr>
            <w:tcW w:w="850" w:type="dxa"/>
            <w:noWrap/>
            <w:vAlign w:val="center"/>
            <w:hideMark/>
          </w:tcPr>
          <w:p w14:paraId="1CA61F1B" w14:textId="77777777" w:rsidR="00C112D5" w:rsidRPr="00CB1155" w:rsidRDefault="00C112D5" w:rsidP="00734A9E">
            <w:pPr>
              <w:pStyle w:val="NoSpacing"/>
              <w:spacing w:line="480" w:lineRule="auto"/>
              <w:jc w:val="center"/>
              <w:rPr>
                <w:sz w:val="20"/>
                <w:szCs w:val="20"/>
              </w:rPr>
            </w:pPr>
            <w:r w:rsidRPr="00CB1155">
              <w:rPr>
                <w:sz w:val="20"/>
                <w:szCs w:val="20"/>
              </w:rPr>
              <w:t>1.72%</w:t>
            </w:r>
          </w:p>
        </w:tc>
        <w:tc>
          <w:tcPr>
            <w:tcW w:w="709" w:type="dxa"/>
            <w:noWrap/>
            <w:vAlign w:val="center"/>
            <w:hideMark/>
          </w:tcPr>
          <w:p w14:paraId="2C040309" w14:textId="77777777" w:rsidR="00C112D5" w:rsidRPr="00CB1155" w:rsidRDefault="00C112D5" w:rsidP="00734A9E">
            <w:pPr>
              <w:pStyle w:val="NoSpacing"/>
              <w:spacing w:line="480" w:lineRule="auto"/>
              <w:jc w:val="center"/>
              <w:rPr>
                <w:color w:val="FF0000"/>
                <w:sz w:val="20"/>
                <w:szCs w:val="20"/>
              </w:rPr>
            </w:pPr>
            <w:r w:rsidRPr="00CB1155">
              <w:rPr>
                <w:color w:val="FF0000"/>
                <w:sz w:val="20"/>
                <w:szCs w:val="20"/>
              </w:rPr>
              <w:t>0.984</w:t>
            </w:r>
          </w:p>
        </w:tc>
      </w:tr>
      <w:tr w:rsidR="00C112D5" w:rsidRPr="002C0BBD" w14:paraId="04C4E043" w14:textId="77777777" w:rsidTr="00734A9E">
        <w:trPr>
          <w:trHeight w:val="288"/>
        </w:trPr>
        <w:tc>
          <w:tcPr>
            <w:tcW w:w="792" w:type="dxa"/>
            <w:vMerge/>
            <w:vAlign w:val="center"/>
            <w:hideMark/>
          </w:tcPr>
          <w:p w14:paraId="4AE16019" w14:textId="77777777" w:rsidR="00C112D5" w:rsidRPr="002C0BBD" w:rsidRDefault="00C112D5" w:rsidP="00734A9E">
            <w:pPr>
              <w:spacing w:line="480" w:lineRule="auto"/>
              <w:rPr>
                <w:rFonts w:ascii="Calibri" w:eastAsia="Times New Roman" w:hAnsi="Calibri" w:cs="Calibri"/>
                <w:color w:val="000000"/>
                <w:sz w:val="20"/>
                <w:szCs w:val="20"/>
                <w:lang w:eastAsia="en-GB"/>
              </w:rPr>
            </w:pPr>
          </w:p>
        </w:tc>
        <w:tc>
          <w:tcPr>
            <w:tcW w:w="3314" w:type="dxa"/>
            <w:noWrap/>
            <w:hideMark/>
          </w:tcPr>
          <w:p w14:paraId="4330710E" w14:textId="77777777" w:rsidR="00C112D5" w:rsidRPr="00CB1155" w:rsidRDefault="00C112D5" w:rsidP="00734A9E">
            <w:pPr>
              <w:spacing w:line="480" w:lineRule="auto"/>
              <w:rPr>
                <w:rFonts w:ascii="Calibri" w:eastAsia="Times New Roman" w:hAnsi="Calibri" w:cs="Calibri"/>
                <w:color w:val="000000"/>
                <w:sz w:val="20"/>
                <w:szCs w:val="20"/>
                <w:lang w:eastAsia="en-GB"/>
              </w:rPr>
            </w:pPr>
            <w:r w:rsidRPr="00CB1155">
              <w:rPr>
                <w:rFonts w:ascii="Calibri" w:eastAsia="Times New Roman" w:hAnsi="Calibri" w:cs="Calibri"/>
                <w:color w:val="000000"/>
                <w:sz w:val="20"/>
                <w:szCs w:val="20"/>
                <w:lang w:eastAsia="en-GB"/>
              </w:rPr>
              <w:t>N-terminus: Other regions</w:t>
            </w:r>
          </w:p>
        </w:tc>
        <w:tc>
          <w:tcPr>
            <w:tcW w:w="2977" w:type="dxa"/>
            <w:vAlign w:val="center"/>
          </w:tcPr>
          <w:p w14:paraId="346DF4FD" w14:textId="77777777" w:rsidR="00C112D5" w:rsidRDefault="00C112D5" w:rsidP="00734A9E">
            <w:pPr>
              <w:pStyle w:val="NoSpacing"/>
              <w:spacing w:line="480" w:lineRule="auto"/>
            </w:pPr>
            <w:r>
              <w:t>131-156, 306-403</w:t>
            </w:r>
          </w:p>
        </w:tc>
        <w:tc>
          <w:tcPr>
            <w:tcW w:w="1100" w:type="dxa"/>
            <w:noWrap/>
            <w:vAlign w:val="center"/>
            <w:hideMark/>
          </w:tcPr>
          <w:p w14:paraId="795C4BA6" w14:textId="77777777" w:rsidR="00C112D5" w:rsidRDefault="00C112D5" w:rsidP="00734A9E">
            <w:pPr>
              <w:pStyle w:val="NoSpacing"/>
              <w:spacing w:line="480" w:lineRule="auto"/>
              <w:jc w:val="center"/>
            </w:pPr>
            <w:r>
              <w:t>0.11%</w:t>
            </w:r>
          </w:p>
        </w:tc>
        <w:tc>
          <w:tcPr>
            <w:tcW w:w="875" w:type="dxa"/>
            <w:noWrap/>
            <w:vAlign w:val="center"/>
            <w:hideMark/>
          </w:tcPr>
          <w:p w14:paraId="64CF12EB" w14:textId="77777777" w:rsidR="00C112D5" w:rsidRDefault="00C112D5" w:rsidP="00734A9E">
            <w:pPr>
              <w:pStyle w:val="NoSpacing"/>
              <w:spacing w:line="480" w:lineRule="auto"/>
              <w:jc w:val="center"/>
            </w:pPr>
            <w:r>
              <w:t>0.93%</w:t>
            </w:r>
          </w:p>
        </w:tc>
        <w:tc>
          <w:tcPr>
            <w:tcW w:w="718" w:type="dxa"/>
            <w:noWrap/>
            <w:vAlign w:val="center"/>
            <w:hideMark/>
          </w:tcPr>
          <w:p w14:paraId="7715A5B2" w14:textId="77777777" w:rsidR="00C112D5" w:rsidRDefault="00C112D5" w:rsidP="00734A9E">
            <w:pPr>
              <w:pStyle w:val="NoSpacing"/>
              <w:spacing w:line="480" w:lineRule="auto"/>
              <w:jc w:val="center"/>
            </w:pPr>
            <w:r w:rsidRPr="00412680">
              <w:rPr>
                <w:color w:val="00B050"/>
              </w:rPr>
              <w:t>0.878</w:t>
            </w:r>
          </w:p>
        </w:tc>
        <w:tc>
          <w:tcPr>
            <w:tcW w:w="284" w:type="dxa"/>
            <w:vMerge/>
            <w:vAlign w:val="center"/>
            <w:hideMark/>
          </w:tcPr>
          <w:p w14:paraId="1482A630" w14:textId="77777777" w:rsidR="00C112D5" w:rsidRPr="00CB1155" w:rsidRDefault="00C112D5" w:rsidP="00734A9E">
            <w:pPr>
              <w:spacing w:line="480" w:lineRule="auto"/>
              <w:jc w:val="center"/>
              <w:rPr>
                <w:rFonts w:ascii="Calibri" w:eastAsia="Times New Roman" w:hAnsi="Calibri" w:cs="Calibri"/>
                <w:color w:val="000000"/>
                <w:sz w:val="20"/>
                <w:szCs w:val="20"/>
                <w:lang w:eastAsia="en-GB"/>
              </w:rPr>
            </w:pPr>
          </w:p>
        </w:tc>
        <w:tc>
          <w:tcPr>
            <w:tcW w:w="1064" w:type="dxa"/>
            <w:noWrap/>
            <w:vAlign w:val="center"/>
            <w:hideMark/>
          </w:tcPr>
          <w:p w14:paraId="732E311D" w14:textId="77777777" w:rsidR="00C112D5" w:rsidRPr="00CB1155" w:rsidRDefault="00C112D5" w:rsidP="00734A9E">
            <w:pPr>
              <w:pStyle w:val="NoSpacing"/>
              <w:spacing w:line="480" w:lineRule="auto"/>
              <w:jc w:val="center"/>
              <w:rPr>
                <w:sz w:val="20"/>
                <w:szCs w:val="20"/>
              </w:rPr>
            </w:pPr>
            <w:r w:rsidRPr="00CB1155">
              <w:rPr>
                <w:sz w:val="20"/>
                <w:szCs w:val="20"/>
              </w:rPr>
              <w:t>0.06%</w:t>
            </w:r>
          </w:p>
        </w:tc>
        <w:tc>
          <w:tcPr>
            <w:tcW w:w="815" w:type="dxa"/>
            <w:noWrap/>
            <w:vAlign w:val="center"/>
            <w:hideMark/>
          </w:tcPr>
          <w:p w14:paraId="4E1F0FC8" w14:textId="77777777" w:rsidR="00C112D5" w:rsidRPr="00CB1155" w:rsidRDefault="00C112D5" w:rsidP="00734A9E">
            <w:pPr>
              <w:pStyle w:val="NoSpacing"/>
              <w:spacing w:line="480" w:lineRule="auto"/>
              <w:jc w:val="center"/>
              <w:rPr>
                <w:sz w:val="20"/>
                <w:szCs w:val="20"/>
              </w:rPr>
            </w:pPr>
            <w:r w:rsidRPr="00CB1155">
              <w:rPr>
                <w:sz w:val="20"/>
                <w:szCs w:val="20"/>
              </w:rPr>
              <w:t>1.10%</w:t>
            </w:r>
          </w:p>
        </w:tc>
        <w:tc>
          <w:tcPr>
            <w:tcW w:w="672" w:type="dxa"/>
            <w:noWrap/>
            <w:vAlign w:val="center"/>
            <w:hideMark/>
          </w:tcPr>
          <w:p w14:paraId="18AD5B61" w14:textId="77777777" w:rsidR="00C112D5" w:rsidRPr="00CB1155" w:rsidRDefault="00C112D5" w:rsidP="00734A9E">
            <w:pPr>
              <w:pStyle w:val="NoSpacing"/>
              <w:spacing w:line="480" w:lineRule="auto"/>
              <w:jc w:val="center"/>
              <w:rPr>
                <w:sz w:val="20"/>
                <w:szCs w:val="20"/>
              </w:rPr>
            </w:pPr>
            <w:r w:rsidRPr="00CB1155">
              <w:rPr>
                <w:color w:val="FFC000"/>
                <w:sz w:val="20"/>
                <w:szCs w:val="20"/>
              </w:rPr>
              <w:t>0.949</w:t>
            </w:r>
          </w:p>
        </w:tc>
        <w:tc>
          <w:tcPr>
            <w:tcW w:w="279" w:type="dxa"/>
            <w:vMerge/>
            <w:vAlign w:val="center"/>
            <w:hideMark/>
          </w:tcPr>
          <w:p w14:paraId="4D97450B" w14:textId="77777777" w:rsidR="00C112D5" w:rsidRPr="00CB1155" w:rsidRDefault="00C112D5" w:rsidP="00734A9E">
            <w:pPr>
              <w:spacing w:line="480" w:lineRule="auto"/>
              <w:jc w:val="center"/>
              <w:rPr>
                <w:rFonts w:ascii="Calibri" w:eastAsia="Times New Roman" w:hAnsi="Calibri" w:cs="Calibri"/>
                <w:color w:val="000000"/>
                <w:sz w:val="20"/>
                <w:szCs w:val="20"/>
                <w:lang w:eastAsia="en-GB"/>
              </w:rPr>
            </w:pPr>
          </w:p>
        </w:tc>
        <w:tc>
          <w:tcPr>
            <w:tcW w:w="997" w:type="dxa"/>
            <w:noWrap/>
            <w:vAlign w:val="center"/>
            <w:hideMark/>
          </w:tcPr>
          <w:p w14:paraId="3F40A8AA" w14:textId="77777777" w:rsidR="00C112D5" w:rsidRPr="00CB1155" w:rsidRDefault="00C112D5" w:rsidP="00734A9E">
            <w:pPr>
              <w:pStyle w:val="NoSpacing"/>
              <w:spacing w:line="480" w:lineRule="auto"/>
              <w:jc w:val="center"/>
              <w:rPr>
                <w:sz w:val="20"/>
                <w:szCs w:val="20"/>
              </w:rPr>
            </w:pPr>
            <w:r w:rsidRPr="00CB1155">
              <w:rPr>
                <w:sz w:val="20"/>
                <w:szCs w:val="20"/>
              </w:rPr>
              <w:t>0.11%</w:t>
            </w:r>
          </w:p>
        </w:tc>
        <w:tc>
          <w:tcPr>
            <w:tcW w:w="850" w:type="dxa"/>
            <w:noWrap/>
            <w:vAlign w:val="center"/>
            <w:hideMark/>
          </w:tcPr>
          <w:p w14:paraId="2E934A4A" w14:textId="77777777" w:rsidR="00C112D5" w:rsidRPr="00CB1155" w:rsidRDefault="00C112D5" w:rsidP="00734A9E">
            <w:pPr>
              <w:pStyle w:val="NoSpacing"/>
              <w:spacing w:line="480" w:lineRule="auto"/>
              <w:jc w:val="center"/>
              <w:rPr>
                <w:sz w:val="20"/>
                <w:szCs w:val="20"/>
              </w:rPr>
            </w:pPr>
            <w:r w:rsidRPr="00CB1155">
              <w:rPr>
                <w:sz w:val="20"/>
                <w:szCs w:val="20"/>
              </w:rPr>
              <w:t>0.48%</w:t>
            </w:r>
          </w:p>
        </w:tc>
        <w:tc>
          <w:tcPr>
            <w:tcW w:w="709" w:type="dxa"/>
            <w:noWrap/>
            <w:vAlign w:val="center"/>
            <w:hideMark/>
          </w:tcPr>
          <w:p w14:paraId="6395CC20" w14:textId="77777777" w:rsidR="00C112D5" w:rsidRPr="00CB1155" w:rsidRDefault="00C112D5" w:rsidP="00734A9E">
            <w:pPr>
              <w:pStyle w:val="NoSpacing"/>
              <w:spacing w:line="480" w:lineRule="auto"/>
              <w:jc w:val="center"/>
              <w:rPr>
                <w:sz w:val="20"/>
                <w:szCs w:val="20"/>
              </w:rPr>
            </w:pPr>
            <w:r w:rsidRPr="00CB1155">
              <w:rPr>
                <w:sz w:val="20"/>
                <w:szCs w:val="20"/>
              </w:rPr>
              <w:t>0.773</w:t>
            </w:r>
          </w:p>
        </w:tc>
      </w:tr>
      <w:tr w:rsidR="00C112D5" w:rsidRPr="002C0BBD" w14:paraId="4C04AE8E" w14:textId="77777777" w:rsidTr="00734A9E">
        <w:trPr>
          <w:trHeight w:val="288"/>
        </w:trPr>
        <w:tc>
          <w:tcPr>
            <w:tcW w:w="792" w:type="dxa"/>
            <w:vMerge/>
            <w:vAlign w:val="center"/>
            <w:hideMark/>
          </w:tcPr>
          <w:p w14:paraId="0FDC2EC1" w14:textId="77777777" w:rsidR="00C112D5" w:rsidRPr="002C0BBD" w:rsidRDefault="00C112D5" w:rsidP="00734A9E">
            <w:pPr>
              <w:spacing w:line="480" w:lineRule="auto"/>
              <w:rPr>
                <w:rFonts w:ascii="Calibri" w:eastAsia="Times New Roman" w:hAnsi="Calibri" w:cs="Calibri"/>
                <w:color w:val="000000"/>
                <w:sz w:val="20"/>
                <w:szCs w:val="20"/>
                <w:lang w:eastAsia="en-GB"/>
              </w:rPr>
            </w:pPr>
          </w:p>
        </w:tc>
        <w:tc>
          <w:tcPr>
            <w:tcW w:w="3314" w:type="dxa"/>
            <w:noWrap/>
            <w:hideMark/>
          </w:tcPr>
          <w:p w14:paraId="0CFA4F60" w14:textId="77777777" w:rsidR="00C112D5" w:rsidRPr="00CB1155" w:rsidRDefault="00C112D5" w:rsidP="00734A9E">
            <w:pPr>
              <w:spacing w:line="480" w:lineRule="auto"/>
              <w:rPr>
                <w:rFonts w:ascii="Calibri" w:eastAsia="Times New Roman" w:hAnsi="Calibri" w:cs="Calibri"/>
                <w:color w:val="000000"/>
                <w:sz w:val="20"/>
                <w:szCs w:val="20"/>
                <w:lang w:eastAsia="en-GB"/>
              </w:rPr>
            </w:pPr>
            <w:r w:rsidRPr="00CB1155">
              <w:rPr>
                <w:rFonts w:ascii="Calibri" w:eastAsia="Times New Roman" w:hAnsi="Calibri" w:cs="Calibri"/>
                <w:color w:val="000000"/>
                <w:sz w:val="20"/>
                <w:szCs w:val="20"/>
                <w:lang w:eastAsia="en-GB"/>
              </w:rPr>
              <w:t xml:space="preserve">C-terminus: </w:t>
            </w:r>
            <w:proofErr w:type="spellStart"/>
            <w:r w:rsidRPr="00CB1155">
              <w:rPr>
                <w:rFonts w:ascii="Calibri" w:eastAsia="Times New Roman" w:hAnsi="Calibri" w:cs="Calibri"/>
                <w:color w:val="000000"/>
                <w:sz w:val="20"/>
                <w:szCs w:val="20"/>
                <w:lang w:eastAsia="en-GB"/>
              </w:rPr>
              <w:t>cNBD</w:t>
            </w:r>
            <w:proofErr w:type="spellEnd"/>
          </w:p>
        </w:tc>
        <w:tc>
          <w:tcPr>
            <w:tcW w:w="2977" w:type="dxa"/>
            <w:vAlign w:val="center"/>
          </w:tcPr>
          <w:p w14:paraId="79C3BE42" w14:textId="77777777" w:rsidR="00C112D5" w:rsidRDefault="00C112D5" w:rsidP="00734A9E">
            <w:pPr>
              <w:pStyle w:val="NoSpacing"/>
              <w:spacing w:line="480" w:lineRule="auto"/>
            </w:pPr>
            <w:r>
              <w:t>742-842</w:t>
            </w:r>
          </w:p>
        </w:tc>
        <w:tc>
          <w:tcPr>
            <w:tcW w:w="1100" w:type="dxa"/>
            <w:noWrap/>
            <w:vAlign w:val="center"/>
            <w:hideMark/>
          </w:tcPr>
          <w:p w14:paraId="6566E681" w14:textId="77777777" w:rsidR="00C112D5" w:rsidRDefault="00C112D5" w:rsidP="00734A9E">
            <w:pPr>
              <w:pStyle w:val="NoSpacing"/>
              <w:spacing w:line="480" w:lineRule="auto"/>
              <w:jc w:val="center"/>
            </w:pPr>
            <w:r>
              <w:t>0.04%</w:t>
            </w:r>
          </w:p>
        </w:tc>
        <w:tc>
          <w:tcPr>
            <w:tcW w:w="875" w:type="dxa"/>
            <w:noWrap/>
            <w:vAlign w:val="center"/>
            <w:hideMark/>
          </w:tcPr>
          <w:p w14:paraId="37A5DEDF" w14:textId="77777777" w:rsidR="00C112D5" w:rsidRDefault="00C112D5" w:rsidP="00734A9E">
            <w:pPr>
              <w:pStyle w:val="NoSpacing"/>
              <w:spacing w:line="480" w:lineRule="auto"/>
              <w:jc w:val="center"/>
            </w:pPr>
            <w:r>
              <w:t>2.15%</w:t>
            </w:r>
          </w:p>
        </w:tc>
        <w:tc>
          <w:tcPr>
            <w:tcW w:w="718" w:type="dxa"/>
            <w:noWrap/>
            <w:vAlign w:val="center"/>
            <w:hideMark/>
          </w:tcPr>
          <w:p w14:paraId="7163DC16" w14:textId="77777777" w:rsidR="00C112D5" w:rsidRDefault="00C112D5" w:rsidP="00734A9E">
            <w:pPr>
              <w:pStyle w:val="NoSpacing"/>
              <w:spacing w:line="480" w:lineRule="auto"/>
              <w:jc w:val="center"/>
            </w:pPr>
            <w:r w:rsidRPr="00412680">
              <w:rPr>
                <w:color w:val="FF0000"/>
              </w:rPr>
              <w:t>0.981</w:t>
            </w:r>
          </w:p>
        </w:tc>
        <w:tc>
          <w:tcPr>
            <w:tcW w:w="284" w:type="dxa"/>
            <w:vMerge/>
            <w:vAlign w:val="center"/>
            <w:hideMark/>
          </w:tcPr>
          <w:p w14:paraId="1EFF3859" w14:textId="77777777" w:rsidR="00C112D5" w:rsidRPr="00CB1155" w:rsidRDefault="00C112D5" w:rsidP="00734A9E">
            <w:pPr>
              <w:spacing w:line="480" w:lineRule="auto"/>
              <w:jc w:val="center"/>
              <w:rPr>
                <w:rFonts w:ascii="Calibri" w:eastAsia="Times New Roman" w:hAnsi="Calibri" w:cs="Calibri"/>
                <w:color w:val="000000"/>
                <w:sz w:val="20"/>
                <w:szCs w:val="20"/>
                <w:lang w:eastAsia="en-GB"/>
              </w:rPr>
            </w:pPr>
          </w:p>
        </w:tc>
        <w:tc>
          <w:tcPr>
            <w:tcW w:w="1064" w:type="dxa"/>
            <w:noWrap/>
            <w:vAlign w:val="center"/>
            <w:hideMark/>
          </w:tcPr>
          <w:p w14:paraId="402167A7" w14:textId="77777777" w:rsidR="00C112D5" w:rsidRPr="00CB1155" w:rsidRDefault="00C112D5" w:rsidP="00734A9E">
            <w:pPr>
              <w:pStyle w:val="NoSpacing"/>
              <w:spacing w:line="480" w:lineRule="auto"/>
              <w:jc w:val="center"/>
              <w:rPr>
                <w:sz w:val="20"/>
                <w:szCs w:val="20"/>
              </w:rPr>
            </w:pPr>
            <w:r w:rsidRPr="00CB1155">
              <w:rPr>
                <w:sz w:val="20"/>
                <w:szCs w:val="20"/>
              </w:rPr>
              <w:t>0.02%</w:t>
            </w:r>
          </w:p>
        </w:tc>
        <w:tc>
          <w:tcPr>
            <w:tcW w:w="815" w:type="dxa"/>
            <w:noWrap/>
            <w:vAlign w:val="center"/>
            <w:hideMark/>
          </w:tcPr>
          <w:p w14:paraId="5C9249C8" w14:textId="77777777" w:rsidR="00C112D5" w:rsidRPr="00CB1155" w:rsidRDefault="00C112D5" w:rsidP="00734A9E">
            <w:pPr>
              <w:pStyle w:val="NoSpacing"/>
              <w:spacing w:line="480" w:lineRule="auto"/>
              <w:jc w:val="center"/>
              <w:rPr>
                <w:sz w:val="20"/>
                <w:szCs w:val="20"/>
              </w:rPr>
            </w:pPr>
            <w:r w:rsidRPr="00CB1155">
              <w:rPr>
                <w:sz w:val="20"/>
                <w:szCs w:val="20"/>
              </w:rPr>
              <w:t>2.43%</w:t>
            </w:r>
          </w:p>
        </w:tc>
        <w:tc>
          <w:tcPr>
            <w:tcW w:w="672" w:type="dxa"/>
            <w:noWrap/>
            <w:vAlign w:val="center"/>
            <w:hideMark/>
          </w:tcPr>
          <w:p w14:paraId="73256EDF" w14:textId="77777777" w:rsidR="00C112D5" w:rsidRPr="00CB1155" w:rsidRDefault="00C112D5" w:rsidP="00734A9E">
            <w:pPr>
              <w:pStyle w:val="NoSpacing"/>
              <w:spacing w:line="480" w:lineRule="auto"/>
              <w:jc w:val="center"/>
              <w:rPr>
                <w:color w:val="FF0000"/>
                <w:sz w:val="20"/>
                <w:szCs w:val="20"/>
              </w:rPr>
            </w:pPr>
            <w:r w:rsidRPr="00CB1155">
              <w:rPr>
                <w:color w:val="FF0000"/>
                <w:sz w:val="20"/>
                <w:szCs w:val="20"/>
              </w:rPr>
              <w:t>0.991</w:t>
            </w:r>
          </w:p>
        </w:tc>
        <w:tc>
          <w:tcPr>
            <w:tcW w:w="279" w:type="dxa"/>
            <w:vMerge/>
            <w:vAlign w:val="center"/>
            <w:hideMark/>
          </w:tcPr>
          <w:p w14:paraId="7E1B4C75" w14:textId="77777777" w:rsidR="00C112D5" w:rsidRPr="00CB1155" w:rsidRDefault="00C112D5" w:rsidP="00734A9E">
            <w:pPr>
              <w:spacing w:line="480" w:lineRule="auto"/>
              <w:jc w:val="center"/>
              <w:rPr>
                <w:rFonts w:ascii="Calibri" w:eastAsia="Times New Roman" w:hAnsi="Calibri" w:cs="Calibri"/>
                <w:color w:val="000000"/>
                <w:sz w:val="20"/>
                <w:szCs w:val="20"/>
                <w:lang w:eastAsia="en-GB"/>
              </w:rPr>
            </w:pPr>
          </w:p>
        </w:tc>
        <w:tc>
          <w:tcPr>
            <w:tcW w:w="997" w:type="dxa"/>
            <w:noWrap/>
            <w:vAlign w:val="center"/>
            <w:hideMark/>
          </w:tcPr>
          <w:p w14:paraId="7851109F" w14:textId="77777777" w:rsidR="00C112D5" w:rsidRPr="00CB1155" w:rsidRDefault="00C112D5" w:rsidP="00734A9E">
            <w:pPr>
              <w:pStyle w:val="NoSpacing"/>
              <w:spacing w:line="480" w:lineRule="auto"/>
              <w:jc w:val="center"/>
              <w:rPr>
                <w:sz w:val="20"/>
                <w:szCs w:val="20"/>
              </w:rPr>
            </w:pPr>
            <w:r w:rsidRPr="00CB1155">
              <w:rPr>
                <w:sz w:val="20"/>
                <w:szCs w:val="20"/>
              </w:rPr>
              <w:t>0.03%</w:t>
            </w:r>
          </w:p>
        </w:tc>
        <w:tc>
          <w:tcPr>
            <w:tcW w:w="850" w:type="dxa"/>
            <w:noWrap/>
            <w:vAlign w:val="center"/>
            <w:hideMark/>
          </w:tcPr>
          <w:p w14:paraId="58F7A829" w14:textId="77777777" w:rsidR="00C112D5" w:rsidRPr="00CB1155" w:rsidRDefault="00C112D5" w:rsidP="00734A9E">
            <w:pPr>
              <w:pStyle w:val="NoSpacing"/>
              <w:spacing w:line="480" w:lineRule="auto"/>
              <w:jc w:val="center"/>
              <w:rPr>
                <w:sz w:val="20"/>
                <w:szCs w:val="20"/>
              </w:rPr>
            </w:pPr>
            <w:r w:rsidRPr="00CB1155">
              <w:rPr>
                <w:sz w:val="20"/>
                <w:szCs w:val="20"/>
              </w:rPr>
              <w:t>0.60%</w:t>
            </w:r>
          </w:p>
        </w:tc>
        <w:tc>
          <w:tcPr>
            <w:tcW w:w="709" w:type="dxa"/>
            <w:noWrap/>
            <w:vAlign w:val="center"/>
            <w:hideMark/>
          </w:tcPr>
          <w:p w14:paraId="2FFB053C" w14:textId="77777777" w:rsidR="00C112D5" w:rsidRPr="00CB1155" w:rsidRDefault="00C112D5" w:rsidP="00734A9E">
            <w:pPr>
              <w:pStyle w:val="NoSpacing"/>
              <w:spacing w:line="480" w:lineRule="auto"/>
              <w:jc w:val="center"/>
              <w:rPr>
                <w:sz w:val="20"/>
                <w:szCs w:val="20"/>
              </w:rPr>
            </w:pPr>
            <w:r w:rsidRPr="00CB1155">
              <w:rPr>
                <w:color w:val="FFC000"/>
                <w:sz w:val="20"/>
                <w:szCs w:val="20"/>
              </w:rPr>
              <w:t>0.946</w:t>
            </w:r>
          </w:p>
        </w:tc>
      </w:tr>
      <w:tr w:rsidR="00C112D5" w:rsidRPr="002C0BBD" w14:paraId="40F498B2" w14:textId="77777777" w:rsidTr="00734A9E">
        <w:trPr>
          <w:trHeight w:val="288"/>
        </w:trPr>
        <w:tc>
          <w:tcPr>
            <w:tcW w:w="792" w:type="dxa"/>
            <w:vMerge/>
            <w:vAlign w:val="center"/>
            <w:hideMark/>
          </w:tcPr>
          <w:p w14:paraId="6AA95CAB" w14:textId="77777777" w:rsidR="00C112D5" w:rsidRPr="002C0BBD" w:rsidRDefault="00C112D5" w:rsidP="00734A9E">
            <w:pPr>
              <w:spacing w:line="480" w:lineRule="auto"/>
              <w:rPr>
                <w:rFonts w:ascii="Calibri" w:eastAsia="Times New Roman" w:hAnsi="Calibri" w:cs="Calibri"/>
                <w:color w:val="000000"/>
                <w:sz w:val="20"/>
                <w:szCs w:val="20"/>
                <w:lang w:eastAsia="en-GB"/>
              </w:rPr>
            </w:pPr>
          </w:p>
        </w:tc>
        <w:tc>
          <w:tcPr>
            <w:tcW w:w="3314" w:type="dxa"/>
            <w:noWrap/>
            <w:hideMark/>
          </w:tcPr>
          <w:p w14:paraId="7E54F937" w14:textId="77777777" w:rsidR="00C112D5" w:rsidRPr="00CB1155" w:rsidRDefault="00C112D5" w:rsidP="00734A9E">
            <w:pPr>
              <w:spacing w:line="480" w:lineRule="auto"/>
              <w:rPr>
                <w:rFonts w:ascii="Calibri" w:eastAsia="Times New Roman" w:hAnsi="Calibri" w:cs="Calibri"/>
                <w:color w:val="000000"/>
                <w:sz w:val="20"/>
                <w:szCs w:val="20"/>
                <w:lang w:eastAsia="en-GB"/>
              </w:rPr>
            </w:pPr>
            <w:r w:rsidRPr="00CB1155">
              <w:rPr>
                <w:rFonts w:ascii="Calibri" w:eastAsia="Times New Roman" w:hAnsi="Calibri" w:cs="Calibri"/>
                <w:color w:val="000000"/>
                <w:sz w:val="20"/>
                <w:szCs w:val="20"/>
                <w:lang w:eastAsia="en-GB"/>
              </w:rPr>
              <w:t>C-terminus: Other regions</w:t>
            </w:r>
          </w:p>
        </w:tc>
        <w:tc>
          <w:tcPr>
            <w:tcW w:w="2977" w:type="dxa"/>
            <w:vAlign w:val="center"/>
          </w:tcPr>
          <w:p w14:paraId="1CE99ECE" w14:textId="77777777" w:rsidR="00C112D5" w:rsidRDefault="00C112D5" w:rsidP="00734A9E">
            <w:pPr>
              <w:pStyle w:val="NoSpacing"/>
              <w:spacing w:line="480" w:lineRule="auto"/>
            </w:pPr>
            <w:r>
              <w:t>660-741, 843-1159</w:t>
            </w:r>
          </w:p>
        </w:tc>
        <w:tc>
          <w:tcPr>
            <w:tcW w:w="1100" w:type="dxa"/>
            <w:noWrap/>
            <w:vAlign w:val="center"/>
            <w:hideMark/>
          </w:tcPr>
          <w:p w14:paraId="497E06FF" w14:textId="77777777" w:rsidR="00C112D5" w:rsidRDefault="00C112D5" w:rsidP="00734A9E">
            <w:pPr>
              <w:pStyle w:val="NoSpacing"/>
              <w:spacing w:line="480" w:lineRule="auto"/>
              <w:jc w:val="center"/>
            </w:pPr>
            <w:r>
              <w:t>0.20%</w:t>
            </w:r>
          </w:p>
        </w:tc>
        <w:tc>
          <w:tcPr>
            <w:tcW w:w="875" w:type="dxa"/>
            <w:noWrap/>
            <w:vAlign w:val="center"/>
            <w:hideMark/>
          </w:tcPr>
          <w:p w14:paraId="02DF4D64" w14:textId="77777777" w:rsidR="00C112D5" w:rsidRDefault="00C112D5" w:rsidP="00734A9E">
            <w:pPr>
              <w:pStyle w:val="NoSpacing"/>
              <w:spacing w:line="480" w:lineRule="auto"/>
              <w:jc w:val="center"/>
            </w:pPr>
            <w:r>
              <w:t>2.08%</w:t>
            </w:r>
          </w:p>
        </w:tc>
        <w:tc>
          <w:tcPr>
            <w:tcW w:w="718" w:type="dxa"/>
            <w:noWrap/>
            <w:vAlign w:val="center"/>
            <w:hideMark/>
          </w:tcPr>
          <w:p w14:paraId="4BA8A642" w14:textId="77777777" w:rsidR="00C112D5" w:rsidRDefault="00C112D5" w:rsidP="00734A9E">
            <w:pPr>
              <w:pStyle w:val="NoSpacing"/>
              <w:spacing w:line="480" w:lineRule="auto"/>
              <w:jc w:val="center"/>
            </w:pPr>
            <w:r w:rsidRPr="00412680">
              <w:rPr>
                <w:color w:val="FFC000"/>
              </w:rPr>
              <w:t>0.906</w:t>
            </w:r>
          </w:p>
        </w:tc>
        <w:tc>
          <w:tcPr>
            <w:tcW w:w="284" w:type="dxa"/>
            <w:vMerge/>
            <w:vAlign w:val="center"/>
            <w:hideMark/>
          </w:tcPr>
          <w:p w14:paraId="1FFEFCE9" w14:textId="77777777" w:rsidR="00C112D5" w:rsidRPr="00CB1155" w:rsidRDefault="00C112D5" w:rsidP="00734A9E">
            <w:pPr>
              <w:spacing w:line="480" w:lineRule="auto"/>
              <w:jc w:val="center"/>
              <w:rPr>
                <w:rFonts w:ascii="Calibri" w:eastAsia="Times New Roman" w:hAnsi="Calibri" w:cs="Calibri"/>
                <w:color w:val="000000"/>
                <w:sz w:val="20"/>
                <w:szCs w:val="20"/>
                <w:lang w:eastAsia="en-GB"/>
              </w:rPr>
            </w:pPr>
          </w:p>
        </w:tc>
        <w:tc>
          <w:tcPr>
            <w:tcW w:w="1064" w:type="dxa"/>
            <w:noWrap/>
            <w:vAlign w:val="center"/>
            <w:hideMark/>
          </w:tcPr>
          <w:p w14:paraId="14393357" w14:textId="77777777" w:rsidR="00C112D5" w:rsidRPr="00CB1155" w:rsidRDefault="00C112D5" w:rsidP="00734A9E">
            <w:pPr>
              <w:pStyle w:val="NoSpacing"/>
              <w:spacing w:line="480" w:lineRule="auto"/>
              <w:jc w:val="center"/>
              <w:rPr>
                <w:sz w:val="20"/>
                <w:szCs w:val="20"/>
              </w:rPr>
            </w:pPr>
            <w:r w:rsidRPr="00CB1155">
              <w:rPr>
                <w:sz w:val="20"/>
                <w:szCs w:val="20"/>
              </w:rPr>
              <w:t>0.24%</w:t>
            </w:r>
          </w:p>
        </w:tc>
        <w:tc>
          <w:tcPr>
            <w:tcW w:w="815" w:type="dxa"/>
            <w:noWrap/>
            <w:vAlign w:val="center"/>
            <w:hideMark/>
          </w:tcPr>
          <w:p w14:paraId="71734906" w14:textId="77777777" w:rsidR="00C112D5" w:rsidRPr="00CB1155" w:rsidRDefault="00C112D5" w:rsidP="00734A9E">
            <w:pPr>
              <w:pStyle w:val="NoSpacing"/>
              <w:spacing w:line="480" w:lineRule="auto"/>
              <w:jc w:val="center"/>
              <w:rPr>
                <w:sz w:val="20"/>
                <w:szCs w:val="20"/>
              </w:rPr>
            </w:pPr>
            <w:r w:rsidRPr="00CB1155">
              <w:rPr>
                <w:sz w:val="20"/>
                <w:szCs w:val="20"/>
              </w:rPr>
              <w:t>2.65%</w:t>
            </w:r>
          </w:p>
        </w:tc>
        <w:tc>
          <w:tcPr>
            <w:tcW w:w="672" w:type="dxa"/>
            <w:noWrap/>
            <w:vAlign w:val="center"/>
            <w:hideMark/>
          </w:tcPr>
          <w:p w14:paraId="6EC562C3" w14:textId="77777777" w:rsidR="00C112D5" w:rsidRPr="00CB1155" w:rsidRDefault="00C112D5" w:rsidP="00734A9E">
            <w:pPr>
              <w:pStyle w:val="NoSpacing"/>
              <w:spacing w:line="480" w:lineRule="auto"/>
              <w:jc w:val="center"/>
              <w:rPr>
                <w:sz w:val="20"/>
                <w:szCs w:val="20"/>
              </w:rPr>
            </w:pPr>
            <w:r w:rsidRPr="00CB1155">
              <w:rPr>
                <w:color w:val="FFC000"/>
                <w:sz w:val="20"/>
                <w:szCs w:val="20"/>
              </w:rPr>
              <w:t>0.913</w:t>
            </w:r>
          </w:p>
        </w:tc>
        <w:tc>
          <w:tcPr>
            <w:tcW w:w="279" w:type="dxa"/>
            <w:vMerge/>
            <w:vAlign w:val="center"/>
            <w:hideMark/>
          </w:tcPr>
          <w:p w14:paraId="256ACF26" w14:textId="77777777" w:rsidR="00C112D5" w:rsidRPr="00CB1155" w:rsidRDefault="00C112D5" w:rsidP="00734A9E">
            <w:pPr>
              <w:spacing w:line="480" w:lineRule="auto"/>
              <w:jc w:val="center"/>
              <w:rPr>
                <w:rFonts w:ascii="Calibri" w:eastAsia="Times New Roman" w:hAnsi="Calibri" w:cs="Calibri"/>
                <w:color w:val="000000"/>
                <w:sz w:val="20"/>
                <w:szCs w:val="20"/>
                <w:lang w:eastAsia="en-GB"/>
              </w:rPr>
            </w:pPr>
          </w:p>
        </w:tc>
        <w:tc>
          <w:tcPr>
            <w:tcW w:w="997" w:type="dxa"/>
            <w:noWrap/>
            <w:vAlign w:val="center"/>
            <w:hideMark/>
          </w:tcPr>
          <w:p w14:paraId="0D99A579" w14:textId="77777777" w:rsidR="00C112D5" w:rsidRPr="00CB1155" w:rsidRDefault="00C112D5" w:rsidP="00734A9E">
            <w:pPr>
              <w:pStyle w:val="NoSpacing"/>
              <w:spacing w:line="480" w:lineRule="auto"/>
              <w:jc w:val="center"/>
              <w:rPr>
                <w:sz w:val="20"/>
                <w:szCs w:val="20"/>
              </w:rPr>
            </w:pPr>
            <w:r w:rsidRPr="00CB1155">
              <w:rPr>
                <w:sz w:val="20"/>
                <w:szCs w:val="20"/>
              </w:rPr>
              <w:t>0.20%</w:t>
            </w:r>
          </w:p>
        </w:tc>
        <w:tc>
          <w:tcPr>
            <w:tcW w:w="850" w:type="dxa"/>
            <w:noWrap/>
            <w:vAlign w:val="center"/>
            <w:hideMark/>
          </w:tcPr>
          <w:p w14:paraId="5A6DBD11" w14:textId="77777777" w:rsidR="00C112D5" w:rsidRPr="00CB1155" w:rsidRDefault="00C112D5" w:rsidP="00734A9E">
            <w:pPr>
              <w:pStyle w:val="NoSpacing"/>
              <w:spacing w:line="480" w:lineRule="auto"/>
              <w:jc w:val="center"/>
              <w:rPr>
                <w:sz w:val="20"/>
                <w:szCs w:val="20"/>
              </w:rPr>
            </w:pPr>
            <w:r w:rsidRPr="00CB1155">
              <w:rPr>
                <w:sz w:val="20"/>
                <w:szCs w:val="20"/>
              </w:rPr>
              <w:t>0.80%</w:t>
            </w:r>
          </w:p>
        </w:tc>
        <w:tc>
          <w:tcPr>
            <w:tcW w:w="709" w:type="dxa"/>
            <w:noWrap/>
            <w:vAlign w:val="center"/>
            <w:hideMark/>
          </w:tcPr>
          <w:p w14:paraId="3EFB122A" w14:textId="77777777" w:rsidR="00C112D5" w:rsidRPr="00CB1155" w:rsidRDefault="00C112D5" w:rsidP="00734A9E">
            <w:pPr>
              <w:pStyle w:val="NoSpacing"/>
              <w:spacing w:line="480" w:lineRule="auto"/>
              <w:jc w:val="center"/>
              <w:rPr>
                <w:sz w:val="20"/>
                <w:szCs w:val="20"/>
              </w:rPr>
            </w:pPr>
            <w:r w:rsidRPr="00CB1155">
              <w:rPr>
                <w:sz w:val="20"/>
                <w:szCs w:val="20"/>
              </w:rPr>
              <w:t>0.751</w:t>
            </w:r>
          </w:p>
        </w:tc>
      </w:tr>
      <w:tr w:rsidR="00C112D5" w:rsidRPr="002C0BBD" w14:paraId="4FA0CF32" w14:textId="77777777" w:rsidTr="00734A9E">
        <w:trPr>
          <w:trHeight w:val="288"/>
        </w:trPr>
        <w:tc>
          <w:tcPr>
            <w:tcW w:w="15446" w:type="dxa"/>
            <w:gridSpan w:val="14"/>
            <w:vAlign w:val="center"/>
          </w:tcPr>
          <w:p w14:paraId="0292AA6D" w14:textId="77777777" w:rsidR="00C112D5" w:rsidRPr="00CB1155" w:rsidRDefault="00C112D5" w:rsidP="00734A9E">
            <w:pPr>
              <w:spacing w:line="480" w:lineRule="auto"/>
              <w:rPr>
                <w:rFonts w:ascii="Calibri" w:eastAsia="Times New Roman" w:hAnsi="Calibri" w:cs="Calibri"/>
                <w:color w:val="000000"/>
                <w:sz w:val="20"/>
                <w:szCs w:val="20"/>
                <w:lang w:eastAsia="en-GB"/>
              </w:rPr>
            </w:pPr>
          </w:p>
        </w:tc>
      </w:tr>
      <w:tr w:rsidR="00C112D5" w:rsidRPr="002C0BBD" w14:paraId="7FE5B712" w14:textId="77777777" w:rsidTr="00734A9E">
        <w:trPr>
          <w:trHeight w:val="288"/>
        </w:trPr>
        <w:tc>
          <w:tcPr>
            <w:tcW w:w="792" w:type="dxa"/>
            <w:vMerge w:val="restart"/>
            <w:noWrap/>
            <w:vAlign w:val="center"/>
            <w:hideMark/>
          </w:tcPr>
          <w:p w14:paraId="67398276" w14:textId="77777777" w:rsidR="00C112D5" w:rsidRPr="002C0BBD" w:rsidRDefault="00C112D5" w:rsidP="00734A9E">
            <w:pPr>
              <w:spacing w:line="480" w:lineRule="auto"/>
              <w:rPr>
                <w:rFonts w:ascii="Calibri" w:eastAsia="Times New Roman" w:hAnsi="Calibri" w:cs="Calibri"/>
                <w:color w:val="000000"/>
                <w:sz w:val="20"/>
                <w:szCs w:val="20"/>
                <w:lang w:eastAsia="en-GB"/>
              </w:rPr>
            </w:pPr>
            <w:r w:rsidRPr="0095771E">
              <w:rPr>
                <w:rFonts w:ascii="Calibri" w:eastAsia="Times New Roman" w:hAnsi="Calibri" w:cs="Calibri"/>
                <w:i/>
                <w:color w:val="000000"/>
                <w:sz w:val="20"/>
                <w:szCs w:val="20"/>
                <w:lang w:eastAsia="en-GB"/>
              </w:rPr>
              <w:t>SCN5A</w:t>
            </w:r>
          </w:p>
        </w:tc>
        <w:tc>
          <w:tcPr>
            <w:tcW w:w="3314" w:type="dxa"/>
            <w:noWrap/>
            <w:vAlign w:val="center"/>
            <w:hideMark/>
          </w:tcPr>
          <w:p w14:paraId="244EDCC9" w14:textId="77777777" w:rsidR="00C112D5" w:rsidRPr="00CB1155" w:rsidRDefault="00C112D5" w:rsidP="00734A9E">
            <w:pPr>
              <w:pStyle w:val="NoSpacing"/>
              <w:spacing w:line="480" w:lineRule="auto"/>
              <w:rPr>
                <w:sz w:val="20"/>
                <w:szCs w:val="20"/>
              </w:rPr>
            </w:pPr>
            <w:r w:rsidRPr="00CB1155">
              <w:rPr>
                <w:sz w:val="20"/>
                <w:szCs w:val="20"/>
              </w:rPr>
              <w:t>Transmembrane/Linker/Pore</w:t>
            </w:r>
          </w:p>
        </w:tc>
        <w:tc>
          <w:tcPr>
            <w:tcW w:w="2977" w:type="dxa"/>
            <w:vAlign w:val="center"/>
          </w:tcPr>
          <w:p w14:paraId="0078BE6D" w14:textId="77777777" w:rsidR="00C112D5" w:rsidRPr="00CB1155" w:rsidRDefault="00C112D5" w:rsidP="00734A9E">
            <w:pPr>
              <w:pStyle w:val="NoSpacing"/>
              <w:spacing w:line="480" w:lineRule="auto"/>
              <w:rPr>
                <w:sz w:val="20"/>
                <w:szCs w:val="20"/>
              </w:rPr>
            </w:pPr>
            <w:r>
              <w:rPr>
                <w:rStyle w:val="Emphasis"/>
              </w:rPr>
              <w:t>132-410, 718-938, 1207-1466, 1530-1771</w:t>
            </w:r>
          </w:p>
        </w:tc>
        <w:tc>
          <w:tcPr>
            <w:tcW w:w="1100" w:type="dxa"/>
            <w:noWrap/>
            <w:vAlign w:val="center"/>
            <w:hideMark/>
          </w:tcPr>
          <w:p w14:paraId="332DFFF0" w14:textId="77777777" w:rsidR="00C112D5" w:rsidRPr="00CB1155" w:rsidRDefault="00C112D5" w:rsidP="00734A9E">
            <w:pPr>
              <w:pStyle w:val="NoSpacing"/>
              <w:spacing w:line="480" w:lineRule="auto"/>
              <w:jc w:val="center"/>
              <w:rPr>
                <w:sz w:val="20"/>
                <w:szCs w:val="20"/>
              </w:rPr>
            </w:pPr>
            <w:r w:rsidRPr="00CB1155">
              <w:rPr>
                <w:sz w:val="20"/>
                <w:szCs w:val="20"/>
              </w:rPr>
              <w:t>0.33%</w:t>
            </w:r>
          </w:p>
        </w:tc>
        <w:tc>
          <w:tcPr>
            <w:tcW w:w="875" w:type="dxa"/>
            <w:noWrap/>
            <w:vAlign w:val="center"/>
            <w:hideMark/>
          </w:tcPr>
          <w:p w14:paraId="06C077B4" w14:textId="77777777" w:rsidR="00C112D5" w:rsidRPr="00CB1155" w:rsidRDefault="00C112D5" w:rsidP="00734A9E">
            <w:pPr>
              <w:pStyle w:val="NoSpacing"/>
              <w:spacing w:line="480" w:lineRule="auto"/>
              <w:jc w:val="center"/>
              <w:rPr>
                <w:sz w:val="20"/>
                <w:szCs w:val="20"/>
              </w:rPr>
            </w:pPr>
            <w:r w:rsidRPr="00CB1155">
              <w:rPr>
                <w:sz w:val="20"/>
                <w:szCs w:val="20"/>
              </w:rPr>
              <w:t>1.79%</w:t>
            </w:r>
          </w:p>
        </w:tc>
        <w:tc>
          <w:tcPr>
            <w:tcW w:w="718" w:type="dxa"/>
            <w:noWrap/>
            <w:vAlign w:val="center"/>
            <w:hideMark/>
          </w:tcPr>
          <w:p w14:paraId="20BCE762" w14:textId="77777777" w:rsidR="00C112D5" w:rsidRPr="00CB1155" w:rsidRDefault="00C112D5" w:rsidP="00734A9E">
            <w:pPr>
              <w:pStyle w:val="NoSpacing"/>
              <w:spacing w:line="480" w:lineRule="auto"/>
              <w:jc w:val="center"/>
              <w:rPr>
                <w:sz w:val="20"/>
                <w:szCs w:val="20"/>
              </w:rPr>
            </w:pPr>
            <w:r w:rsidRPr="00CB1155">
              <w:rPr>
                <w:color w:val="00B050"/>
                <w:sz w:val="20"/>
                <w:szCs w:val="20"/>
              </w:rPr>
              <w:t>0.818</w:t>
            </w:r>
          </w:p>
        </w:tc>
        <w:tc>
          <w:tcPr>
            <w:tcW w:w="284" w:type="dxa"/>
            <w:vMerge w:val="restart"/>
            <w:noWrap/>
            <w:vAlign w:val="center"/>
            <w:hideMark/>
          </w:tcPr>
          <w:p w14:paraId="0A05522A" w14:textId="77777777" w:rsidR="00C112D5" w:rsidRPr="00CB1155" w:rsidRDefault="00C112D5" w:rsidP="00734A9E">
            <w:pPr>
              <w:spacing w:line="480" w:lineRule="auto"/>
              <w:jc w:val="center"/>
              <w:rPr>
                <w:rFonts w:ascii="Calibri" w:eastAsia="Times New Roman" w:hAnsi="Calibri" w:cs="Calibri"/>
                <w:color w:val="000000"/>
                <w:sz w:val="20"/>
                <w:szCs w:val="20"/>
                <w:lang w:eastAsia="en-GB"/>
              </w:rPr>
            </w:pPr>
          </w:p>
        </w:tc>
        <w:tc>
          <w:tcPr>
            <w:tcW w:w="1064" w:type="dxa"/>
            <w:noWrap/>
            <w:vAlign w:val="center"/>
            <w:hideMark/>
          </w:tcPr>
          <w:p w14:paraId="092DCFE5" w14:textId="77777777" w:rsidR="00C112D5" w:rsidRPr="00CB1155" w:rsidRDefault="00C112D5" w:rsidP="00734A9E">
            <w:pPr>
              <w:pStyle w:val="NoSpacing"/>
              <w:spacing w:line="480" w:lineRule="auto"/>
              <w:jc w:val="center"/>
              <w:rPr>
                <w:sz w:val="20"/>
                <w:szCs w:val="20"/>
              </w:rPr>
            </w:pPr>
            <w:r w:rsidRPr="00CB1155">
              <w:rPr>
                <w:sz w:val="20"/>
                <w:szCs w:val="20"/>
              </w:rPr>
              <w:t>0.38%</w:t>
            </w:r>
          </w:p>
        </w:tc>
        <w:tc>
          <w:tcPr>
            <w:tcW w:w="815" w:type="dxa"/>
            <w:noWrap/>
            <w:vAlign w:val="center"/>
            <w:hideMark/>
          </w:tcPr>
          <w:p w14:paraId="3D8D299E" w14:textId="77777777" w:rsidR="00C112D5" w:rsidRPr="00CB1155" w:rsidRDefault="00C112D5" w:rsidP="00734A9E">
            <w:pPr>
              <w:pStyle w:val="NoSpacing"/>
              <w:spacing w:line="480" w:lineRule="auto"/>
              <w:jc w:val="center"/>
              <w:rPr>
                <w:sz w:val="20"/>
                <w:szCs w:val="20"/>
              </w:rPr>
            </w:pPr>
            <w:r w:rsidRPr="00CB1155">
              <w:rPr>
                <w:sz w:val="20"/>
                <w:szCs w:val="20"/>
              </w:rPr>
              <w:t>2.43%</w:t>
            </w:r>
          </w:p>
        </w:tc>
        <w:tc>
          <w:tcPr>
            <w:tcW w:w="672" w:type="dxa"/>
            <w:noWrap/>
            <w:vAlign w:val="center"/>
            <w:hideMark/>
          </w:tcPr>
          <w:p w14:paraId="6B82750A" w14:textId="77777777" w:rsidR="00C112D5" w:rsidRPr="00CB1155" w:rsidRDefault="00C112D5" w:rsidP="00734A9E">
            <w:pPr>
              <w:pStyle w:val="NoSpacing"/>
              <w:spacing w:line="480" w:lineRule="auto"/>
              <w:jc w:val="center"/>
              <w:rPr>
                <w:sz w:val="20"/>
                <w:szCs w:val="20"/>
              </w:rPr>
            </w:pPr>
            <w:r w:rsidRPr="00CB1155">
              <w:rPr>
                <w:color w:val="00B050"/>
                <w:sz w:val="20"/>
                <w:szCs w:val="20"/>
              </w:rPr>
              <w:t>0.848</w:t>
            </w:r>
          </w:p>
        </w:tc>
        <w:tc>
          <w:tcPr>
            <w:tcW w:w="279" w:type="dxa"/>
            <w:vMerge w:val="restart"/>
            <w:noWrap/>
            <w:vAlign w:val="center"/>
            <w:hideMark/>
          </w:tcPr>
          <w:p w14:paraId="06D0F2AD" w14:textId="77777777" w:rsidR="00C112D5" w:rsidRPr="00CB1155" w:rsidRDefault="00C112D5" w:rsidP="00734A9E">
            <w:pPr>
              <w:spacing w:line="480" w:lineRule="auto"/>
              <w:jc w:val="center"/>
              <w:rPr>
                <w:rFonts w:ascii="Calibri" w:eastAsia="Times New Roman" w:hAnsi="Calibri" w:cs="Calibri"/>
                <w:color w:val="000000"/>
                <w:sz w:val="20"/>
                <w:szCs w:val="20"/>
                <w:lang w:eastAsia="en-GB"/>
              </w:rPr>
            </w:pPr>
          </w:p>
        </w:tc>
        <w:tc>
          <w:tcPr>
            <w:tcW w:w="997" w:type="dxa"/>
            <w:noWrap/>
            <w:vAlign w:val="center"/>
            <w:hideMark/>
          </w:tcPr>
          <w:p w14:paraId="18FA9C02" w14:textId="77777777" w:rsidR="00C112D5" w:rsidRPr="00CB1155" w:rsidRDefault="00C112D5" w:rsidP="00734A9E">
            <w:pPr>
              <w:pStyle w:val="NoSpacing"/>
              <w:spacing w:line="480" w:lineRule="auto"/>
              <w:jc w:val="center"/>
              <w:rPr>
                <w:sz w:val="20"/>
                <w:szCs w:val="20"/>
              </w:rPr>
            </w:pPr>
            <w:r w:rsidRPr="00CB1155">
              <w:rPr>
                <w:sz w:val="20"/>
                <w:szCs w:val="20"/>
              </w:rPr>
              <w:t>0.34%</w:t>
            </w:r>
          </w:p>
        </w:tc>
        <w:tc>
          <w:tcPr>
            <w:tcW w:w="850" w:type="dxa"/>
            <w:noWrap/>
            <w:vAlign w:val="center"/>
            <w:hideMark/>
          </w:tcPr>
          <w:p w14:paraId="613FC54D" w14:textId="77777777" w:rsidR="00C112D5" w:rsidRPr="00CB1155" w:rsidRDefault="00C112D5" w:rsidP="00734A9E">
            <w:pPr>
              <w:pStyle w:val="NoSpacing"/>
              <w:spacing w:line="480" w:lineRule="auto"/>
              <w:jc w:val="center"/>
              <w:rPr>
                <w:sz w:val="20"/>
                <w:szCs w:val="20"/>
              </w:rPr>
            </w:pPr>
            <w:r w:rsidRPr="00CB1155">
              <w:rPr>
                <w:sz w:val="20"/>
                <w:szCs w:val="20"/>
              </w:rPr>
              <w:t>1.84%</w:t>
            </w:r>
          </w:p>
        </w:tc>
        <w:tc>
          <w:tcPr>
            <w:tcW w:w="709" w:type="dxa"/>
            <w:noWrap/>
            <w:vAlign w:val="center"/>
            <w:hideMark/>
          </w:tcPr>
          <w:p w14:paraId="66810D3C" w14:textId="77777777" w:rsidR="00C112D5" w:rsidRPr="00CB1155" w:rsidRDefault="00C112D5" w:rsidP="00734A9E">
            <w:pPr>
              <w:pStyle w:val="NoSpacing"/>
              <w:spacing w:line="480" w:lineRule="auto"/>
              <w:jc w:val="center"/>
              <w:rPr>
                <w:sz w:val="20"/>
                <w:szCs w:val="20"/>
              </w:rPr>
            </w:pPr>
            <w:r w:rsidRPr="00CB1155">
              <w:rPr>
                <w:color w:val="00B050"/>
                <w:sz w:val="20"/>
                <w:szCs w:val="20"/>
              </w:rPr>
              <w:t>0.820</w:t>
            </w:r>
          </w:p>
        </w:tc>
      </w:tr>
      <w:tr w:rsidR="00C112D5" w:rsidRPr="002C0BBD" w14:paraId="6D2D84AB" w14:textId="77777777" w:rsidTr="00734A9E">
        <w:trPr>
          <w:trHeight w:val="288"/>
        </w:trPr>
        <w:tc>
          <w:tcPr>
            <w:tcW w:w="792" w:type="dxa"/>
            <w:vMerge/>
            <w:hideMark/>
          </w:tcPr>
          <w:p w14:paraId="2AAD2C8B" w14:textId="77777777" w:rsidR="00C112D5" w:rsidRPr="002C0BBD" w:rsidRDefault="00C112D5" w:rsidP="00734A9E">
            <w:pPr>
              <w:spacing w:line="480" w:lineRule="auto"/>
              <w:rPr>
                <w:rFonts w:ascii="Calibri" w:eastAsia="Times New Roman" w:hAnsi="Calibri" w:cs="Calibri"/>
                <w:color w:val="000000"/>
                <w:sz w:val="20"/>
                <w:szCs w:val="20"/>
                <w:lang w:eastAsia="en-GB"/>
              </w:rPr>
            </w:pPr>
          </w:p>
        </w:tc>
        <w:tc>
          <w:tcPr>
            <w:tcW w:w="3314" w:type="dxa"/>
            <w:noWrap/>
            <w:hideMark/>
          </w:tcPr>
          <w:p w14:paraId="5092A5D7" w14:textId="77777777" w:rsidR="00C112D5" w:rsidRPr="00CB1155" w:rsidRDefault="00C112D5" w:rsidP="00734A9E">
            <w:pPr>
              <w:pStyle w:val="NoSpacing"/>
              <w:spacing w:line="480" w:lineRule="auto"/>
              <w:rPr>
                <w:sz w:val="20"/>
                <w:szCs w:val="20"/>
              </w:rPr>
            </w:pPr>
            <w:r w:rsidRPr="00CB1155">
              <w:rPr>
                <w:sz w:val="20"/>
                <w:szCs w:val="20"/>
              </w:rPr>
              <w:t>N-terminus</w:t>
            </w:r>
          </w:p>
        </w:tc>
        <w:tc>
          <w:tcPr>
            <w:tcW w:w="2977" w:type="dxa"/>
            <w:vAlign w:val="center"/>
          </w:tcPr>
          <w:p w14:paraId="24F0FEAD" w14:textId="77777777" w:rsidR="00C112D5" w:rsidRPr="00CB1155" w:rsidRDefault="00C112D5" w:rsidP="00734A9E">
            <w:pPr>
              <w:pStyle w:val="NoSpacing"/>
              <w:spacing w:line="480" w:lineRule="auto"/>
              <w:rPr>
                <w:sz w:val="20"/>
                <w:szCs w:val="20"/>
              </w:rPr>
            </w:pPr>
            <w:r>
              <w:rPr>
                <w:rStyle w:val="Emphasis"/>
              </w:rPr>
              <w:t>1-131</w:t>
            </w:r>
          </w:p>
        </w:tc>
        <w:tc>
          <w:tcPr>
            <w:tcW w:w="1100" w:type="dxa"/>
            <w:noWrap/>
            <w:vAlign w:val="center"/>
            <w:hideMark/>
          </w:tcPr>
          <w:p w14:paraId="4C66F6F5" w14:textId="77777777" w:rsidR="00C112D5" w:rsidRPr="00CB1155" w:rsidRDefault="00C112D5" w:rsidP="00734A9E">
            <w:pPr>
              <w:pStyle w:val="NoSpacing"/>
              <w:spacing w:line="480" w:lineRule="auto"/>
              <w:jc w:val="center"/>
              <w:rPr>
                <w:sz w:val="20"/>
                <w:szCs w:val="20"/>
              </w:rPr>
            </w:pPr>
            <w:r w:rsidRPr="00CB1155">
              <w:rPr>
                <w:sz w:val="20"/>
                <w:szCs w:val="20"/>
              </w:rPr>
              <w:t>0.05%</w:t>
            </w:r>
          </w:p>
        </w:tc>
        <w:tc>
          <w:tcPr>
            <w:tcW w:w="875" w:type="dxa"/>
            <w:noWrap/>
            <w:vAlign w:val="center"/>
            <w:hideMark/>
          </w:tcPr>
          <w:p w14:paraId="251CF31E" w14:textId="77777777" w:rsidR="00C112D5" w:rsidRPr="00CB1155" w:rsidRDefault="00C112D5" w:rsidP="00734A9E">
            <w:pPr>
              <w:pStyle w:val="NoSpacing"/>
              <w:spacing w:line="480" w:lineRule="auto"/>
              <w:jc w:val="center"/>
              <w:rPr>
                <w:sz w:val="20"/>
                <w:szCs w:val="20"/>
              </w:rPr>
            </w:pPr>
            <w:r w:rsidRPr="00CB1155">
              <w:rPr>
                <w:sz w:val="20"/>
                <w:szCs w:val="20"/>
              </w:rPr>
              <w:t>0.07%</w:t>
            </w:r>
          </w:p>
        </w:tc>
        <w:tc>
          <w:tcPr>
            <w:tcW w:w="718" w:type="dxa"/>
            <w:noWrap/>
            <w:vAlign w:val="center"/>
            <w:hideMark/>
          </w:tcPr>
          <w:p w14:paraId="62A77EC4" w14:textId="77777777" w:rsidR="00C112D5" w:rsidRPr="00CB1155" w:rsidRDefault="00C112D5" w:rsidP="00734A9E">
            <w:pPr>
              <w:pStyle w:val="NoSpacing"/>
              <w:spacing w:line="480" w:lineRule="auto"/>
              <w:jc w:val="center"/>
              <w:rPr>
                <w:sz w:val="20"/>
                <w:szCs w:val="20"/>
              </w:rPr>
            </w:pPr>
            <w:r w:rsidRPr="00CB1155">
              <w:rPr>
                <w:sz w:val="20"/>
                <w:szCs w:val="20"/>
              </w:rPr>
              <w:t>0.247</w:t>
            </w:r>
          </w:p>
        </w:tc>
        <w:tc>
          <w:tcPr>
            <w:tcW w:w="284" w:type="dxa"/>
            <w:vMerge/>
            <w:vAlign w:val="center"/>
            <w:hideMark/>
          </w:tcPr>
          <w:p w14:paraId="4EB7203C" w14:textId="77777777" w:rsidR="00C112D5" w:rsidRPr="00CB1155" w:rsidRDefault="00C112D5" w:rsidP="00734A9E">
            <w:pPr>
              <w:spacing w:line="480" w:lineRule="auto"/>
              <w:jc w:val="center"/>
              <w:rPr>
                <w:rFonts w:ascii="Calibri" w:eastAsia="Times New Roman" w:hAnsi="Calibri" w:cs="Calibri"/>
                <w:color w:val="000000"/>
                <w:sz w:val="20"/>
                <w:szCs w:val="20"/>
                <w:lang w:eastAsia="en-GB"/>
              </w:rPr>
            </w:pPr>
          </w:p>
        </w:tc>
        <w:tc>
          <w:tcPr>
            <w:tcW w:w="1064" w:type="dxa"/>
            <w:noWrap/>
            <w:vAlign w:val="center"/>
            <w:hideMark/>
          </w:tcPr>
          <w:p w14:paraId="625C8160" w14:textId="77777777" w:rsidR="00C112D5" w:rsidRPr="00CB1155" w:rsidRDefault="00C112D5" w:rsidP="00734A9E">
            <w:pPr>
              <w:pStyle w:val="NoSpacing"/>
              <w:spacing w:line="480" w:lineRule="auto"/>
              <w:jc w:val="center"/>
              <w:rPr>
                <w:sz w:val="20"/>
                <w:szCs w:val="20"/>
              </w:rPr>
            </w:pPr>
            <w:r w:rsidRPr="00CB1155">
              <w:rPr>
                <w:sz w:val="20"/>
                <w:szCs w:val="20"/>
              </w:rPr>
              <w:t>0.07%</w:t>
            </w:r>
          </w:p>
        </w:tc>
        <w:tc>
          <w:tcPr>
            <w:tcW w:w="815" w:type="dxa"/>
            <w:noWrap/>
            <w:vAlign w:val="center"/>
            <w:hideMark/>
          </w:tcPr>
          <w:p w14:paraId="11DC2914" w14:textId="77777777" w:rsidR="00C112D5" w:rsidRPr="00CB1155" w:rsidRDefault="00C112D5" w:rsidP="00734A9E">
            <w:pPr>
              <w:pStyle w:val="NoSpacing"/>
              <w:spacing w:line="480" w:lineRule="auto"/>
              <w:jc w:val="center"/>
              <w:rPr>
                <w:sz w:val="20"/>
                <w:szCs w:val="20"/>
              </w:rPr>
            </w:pPr>
            <w:r w:rsidRPr="00CB1155">
              <w:rPr>
                <w:sz w:val="20"/>
                <w:szCs w:val="20"/>
              </w:rPr>
              <w:t>0.00%</w:t>
            </w:r>
          </w:p>
        </w:tc>
        <w:tc>
          <w:tcPr>
            <w:tcW w:w="672" w:type="dxa"/>
            <w:noWrap/>
            <w:vAlign w:val="center"/>
            <w:hideMark/>
          </w:tcPr>
          <w:p w14:paraId="462098A4" w14:textId="77777777" w:rsidR="00C112D5" w:rsidRPr="00CB1155" w:rsidRDefault="00C112D5" w:rsidP="00734A9E">
            <w:pPr>
              <w:pStyle w:val="NoSpacing"/>
              <w:spacing w:line="480" w:lineRule="auto"/>
              <w:jc w:val="center"/>
              <w:rPr>
                <w:sz w:val="20"/>
                <w:szCs w:val="20"/>
              </w:rPr>
            </w:pPr>
            <w:r>
              <w:rPr>
                <w:sz w:val="20"/>
                <w:szCs w:val="20"/>
              </w:rPr>
              <w:t>-</w:t>
            </w:r>
          </w:p>
        </w:tc>
        <w:tc>
          <w:tcPr>
            <w:tcW w:w="279" w:type="dxa"/>
            <w:vMerge/>
            <w:vAlign w:val="center"/>
            <w:hideMark/>
          </w:tcPr>
          <w:p w14:paraId="6B8CA424" w14:textId="77777777" w:rsidR="00C112D5" w:rsidRPr="00CB1155" w:rsidRDefault="00C112D5" w:rsidP="00734A9E">
            <w:pPr>
              <w:spacing w:line="480" w:lineRule="auto"/>
              <w:jc w:val="center"/>
              <w:rPr>
                <w:rFonts w:ascii="Calibri" w:eastAsia="Times New Roman" w:hAnsi="Calibri" w:cs="Calibri"/>
                <w:color w:val="000000"/>
                <w:sz w:val="20"/>
                <w:szCs w:val="20"/>
                <w:lang w:eastAsia="en-GB"/>
              </w:rPr>
            </w:pPr>
          </w:p>
        </w:tc>
        <w:tc>
          <w:tcPr>
            <w:tcW w:w="997" w:type="dxa"/>
            <w:noWrap/>
            <w:vAlign w:val="center"/>
            <w:hideMark/>
          </w:tcPr>
          <w:p w14:paraId="0D81EDBF" w14:textId="77777777" w:rsidR="00C112D5" w:rsidRPr="00CB1155" w:rsidRDefault="00C112D5" w:rsidP="00734A9E">
            <w:pPr>
              <w:pStyle w:val="NoSpacing"/>
              <w:spacing w:line="480" w:lineRule="auto"/>
              <w:jc w:val="center"/>
              <w:rPr>
                <w:sz w:val="20"/>
                <w:szCs w:val="20"/>
              </w:rPr>
            </w:pPr>
            <w:r w:rsidRPr="00CB1155">
              <w:rPr>
                <w:sz w:val="20"/>
                <w:szCs w:val="20"/>
              </w:rPr>
              <w:t>0.06%</w:t>
            </w:r>
          </w:p>
        </w:tc>
        <w:tc>
          <w:tcPr>
            <w:tcW w:w="850" w:type="dxa"/>
            <w:noWrap/>
            <w:vAlign w:val="center"/>
            <w:hideMark/>
          </w:tcPr>
          <w:p w14:paraId="4C8A64D2" w14:textId="77777777" w:rsidR="00C112D5" w:rsidRPr="00CB1155" w:rsidRDefault="00C112D5" w:rsidP="00734A9E">
            <w:pPr>
              <w:pStyle w:val="NoSpacing"/>
              <w:spacing w:line="480" w:lineRule="auto"/>
              <w:jc w:val="center"/>
              <w:rPr>
                <w:sz w:val="20"/>
                <w:szCs w:val="20"/>
              </w:rPr>
            </w:pPr>
            <w:r w:rsidRPr="00CB1155">
              <w:rPr>
                <w:sz w:val="20"/>
                <w:szCs w:val="20"/>
              </w:rPr>
              <w:t>0.20%</w:t>
            </w:r>
          </w:p>
        </w:tc>
        <w:tc>
          <w:tcPr>
            <w:tcW w:w="709" w:type="dxa"/>
            <w:noWrap/>
            <w:vAlign w:val="center"/>
            <w:hideMark/>
          </w:tcPr>
          <w:p w14:paraId="744A9B1C" w14:textId="77777777" w:rsidR="00C112D5" w:rsidRPr="00CB1155" w:rsidRDefault="00C112D5" w:rsidP="00734A9E">
            <w:pPr>
              <w:pStyle w:val="NoSpacing"/>
              <w:spacing w:line="480" w:lineRule="auto"/>
              <w:jc w:val="center"/>
              <w:rPr>
                <w:sz w:val="20"/>
                <w:szCs w:val="20"/>
              </w:rPr>
            </w:pPr>
            <w:r w:rsidRPr="00CB1155">
              <w:rPr>
                <w:sz w:val="20"/>
                <w:szCs w:val="20"/>
              </w:rPr>
              <w:t>0.678</w:t>
            </w:r>
          </w:p>
        </w:tc>
      </w:tr>
      <w:tr w:rsidR="00C112D5" w:rsidRPr="002C0BBD" w14:paraId="41CEBA7D" w14:textId="77777777" w:rsidTr="00734A9E">
        <w:trPr>
          <w:trHeight w:val="288"/>
        </w:trPr>
        <w:tc>
          <w:tcPr>
            <w:tcW w:w="792" w:type="dxa"/>
            <w:vMerge/>
            <w:hideMark/>
          </w:tcPr>
          <w:p w14:paraId="06478BEF" w14:textId="77777777" w:rsidR="00C112D5" w:rsidRPr="002C0BBD" w:rsidRDefault="00C112D5" w:rsidP="00734A9E">
            <w:pPr>
              <w:spacing w:line="480" w:lineRule="auto"/>
              <w:rPr>
                <w:rFonts w:ascii="Calibri" w:eastAsia="Times New Roman" w:hAnsi="Calibri" w:cs="Calibri"/>
                <w:color w:val="000000"/>
                <w:sz w:val="20"/>
                <w:szCs w:val="20"/>
                <w:lang w:eastAsia="en-GB"/>
              </w:rPr>
            </w:pPr>
          </w:p>
        </w:tc>
        <w:tc>
          <w:tcPr>
            <w:tcW w:w="3314" w:type="dxa"/>
            <w:noWrap/>
            <w:hideMark/>
          </w:tcPr>
          <w:p w14:paraId="01D01463" w14:textId="77777777" w:rsidR="00C112D5" w:rsidRPr="00CB1155" w:rsidRDefault="00C112D5" w:rsidP="00734A9E">
            <w:pPr>
              <w:pStyle w:val="NoSpacing"/>
              <w:spacing w:line="480" w:lineRule="auto"/>
              <w:rPr>
                <w:sz w:val="20"/>
                <w:szCs w:val="20"/>
              </w:rPr>
            </w:pPr>
            <w:proofErr w:type="spellStart"/>
            <w:r w:rsidRPr="00CB1155">
              <w:rPr>
                <w:sz w:val="20"/>
                <w:szCs w:val="20"/>
              </w:rPr>
              <w:t>Interdomain</w:t>
            </w:r>
            <w:proofErr w:type="spellEnd"/>
            <w:r w:rsidRPr="00CB1155">
              <w:rPr>
                <w:sz w:val="20"/>
                <w:szCs w:val="20"/>
              </w:rPr>
              <w:t xml:space="preserve"> linkers</w:t>
            </w:r>
          </w:p>
        </w:tc>
        <w:tc>
          <w:tcPr>
            <w:tcW w:w="2977" w:type="dxa"/>
            <w:vAlign w:val="center"/>
          </w:tcPr>
          <w:p w14:paraId="26AAD529" w14:textId="77777777" w:rsidR="00C112D5" w:rsidRPr="00CB1155" w:rsidRDefault="00C112D5" w:rsidP="00734A9E">
            <w:pPr>
              <w:pStyle w:val="NoSpacing"/>
              <w:spacing w:line="480" w:lineRule="auto"/>
              <w:rPr>
                <w:sz w:val="20"/>
                <w:szCs w:val="20"/>
              </w:rPr>
            </w:pPr>
            <w:r>
              <w:rPr>
                <w:rStyle w:val="Emphasis"/>
              </w:rPr>
              <w:t>411-717, 939-1206, 1467-1529</w:t>
            </w:r>
          </w:p>
        </w:tc>
        <w:tc>
          <w:tcPr>
            <w:tcW w:w="1100" w:type="dxa"/>
            <w:noWrap/>
            <w:vAlign w:val="center"/>
            <w:hideMark/>
          </w:tcPr>
          <w:p w14:paraId="02C04C69" w14:textId="77777777" w:rsidR="00C112D5" w:rsidRPr="00CB1155" w:rsidRDefault="00C112D5" w:rsidP="00734A9E">
            <w:pPr>
              <w:pStyle w:val="NoSpacing"/>
              <w:spacing w:line="480" w:lineRule="auto"/>
              <w:jc w:val="center"/>
              <w:rPr>
                <w:sz w:val="20"/>
                <w:szCs w:val="20"/>
              </w:rPr>
            </w:pPr>
            <w:r w:rsidRPr="00CB1155">
              <w:rPr>
                <w:sz w:val="20"/>
                <w:szCs w:val="20"/>
              </w:rPr>
              <w:t>0.30%</w:t>
            </w:r>
          </w:p>
        </w:tc>
        <w:tc>
          <w:tcPr>
            <w:tcW w:w="875" w:type="dxa"/>
            <w:noWrap/>
            <w:vAlign w:val="center"/>
            <w:hideMark/>
          </w:tcPr>
          <w:p w14:paraId="263FF957" w14:textId="77777777" w:rsidR="00C112D5" w:rsidRPr="00CB1155" w:rsidRDefault="00C112D5" w:rsidP="00734A9E">
            <w:pPr>
              <w:pStyle w:val="NoSpacing"/>
              <w:spacing w:line="480" w:lineRule="auto"/>
              <w:jc w:val="center"/>
              <w:rPr>
                <w:sz w:val="20"/>
                <w:szCs w:val="20"/>
              </w:rPr>
            </w:pPr>
            <w:r w:rsidRPr="00CB1155">
              <w:rPr>
                <w:sz w:val="20"/>
                <w:szCs w:val="20"/>
              </w:rPr>
              <w:t>0.65%</w:t>
            </w:r>
          </w:p>
        </w:tc>
        <w:tc>
          <w:tcPr>
            <w:tcW w:w="718" w:type="dxa"/>
            <w:noWrap/>
            <w:vAlign w:val="center"/>
            <w:hideMark/>
          </w:tcPr>
          <w:p w14:paraId="7F4D43FD" w14:textId="77777777" w:rsidR="00C112D5" w:rsidRPr="00CB1155" w:rsidRDefault="00C112D5" w:rsidP="00734A9E">
            <w:pPr>
              <w:pStyle w:val="NoSpacing"/>
              <w:spacing w:line="480" w:lineRule="auto"/>
              <w:jc w:val="center"/>
              <w:rPr>
                <w:sz w:val="20"/>
                <w:szCs w:val="20"/>
              </w:rPr>
            </w:pPr>
            <w:r w:rsidRPr="00CB1155">
              <w:rPr>
                <w:sz w:val="20"/>
                <w:szCs w:val="20"/>
              </w:rPr>
              <w:t>0.54</w:t>
            </w:r>
            <w:r>
              <w:rPr>
                <w:sz w:val="20"/>
                <w:szCs w:val="20"/>
              </w:rPr>
              <w:t>0</w:t>
            </w:r>
          </w:p>
        </w:tc>
        <w:tc>
          <w:tcPr>
            <w:tcW w:w="284" w:type="dxa"/>
            <w:vMerge/>
            <w:vAlign w:val="center"/>
            <w:hideMark/>
          </w:tcPr>
          <w:p w14:paraId="52363965" w14:textId="77777777" w:rsidR="00C112D5" w:rsidRPr="00CB1155" w:rsidRDefault="00C112D5" w:rsidP="00734A9E">
            <w:pPr>
              <w:spacing w:line="480" w:lineRule="auto"/>
              <w:jc w:val="center"/>
              <w:rPr>
                <w:rFonts w:ascii="Calibri" w:eastAsia="Times New Roman" w:hAnsi="Calibri" w:cs="Calibri"/>
                <w:color w:val="000000"/>
                <w:sz w:val="20"/>
                <w:szCs w:val="20"/>
                <w:lang w:eastAsia="en-GB"/>
              </w:rPr>
            </w:pPr>
          </w:p>
        </w:tc>
        <w:tc>
          <w:tcPr>
            <w:tcW w:w="1064" w:type="dxa"/>
            <w:noWrap/>
            <w:vAlign w:val="center"/>
            <w:hideMark/>
          </w:tcPr>
          <w:p w14:paraId="0544B488" w14:textId="77777777" w:rsidR="00C112D5" w:rsidRPr="00CB1155" w:rsidRDefault="00C112D5" w:rsidP="00734A9E">
            <w:pPr>
              <w:pStyle w:val="NoSpacing"/>
              <w:spacing w:line="480" w:lineRule="auto"/>
              <w:jc w:val="center"/>
              <w:rPr>
                <w:sz w:val="20"/>
                <w:szCs w:val="20"/>
              </w:rPr>
            </w:pPr>
            <w:r w:rsidRPr="00CB1155">
              <w:rPr>
                <w:sz w:val="20"/>
                <w:szCs w:val="20"/>
              </w:rPr>
              <w:t>0.24%</w:t>
            </w:r>
          </w:p>
        </w:tc>
        <w:tc>
          <w:tcPr>
            <w:tcW w:w="815" w:type="dxa"/>
            <w:noWrap/>
            <w:vAlign w:val="center"/>
            <w:hideMark/>
          </w:tcPr>
          <w:p w14:paraId="37CE7AE8" w14:textId="77777777" w:rsidR="00C112D5" w:rsidRPr="00CB1155" w:rsidRDefault="00C112D5" w:rsidP="00734A9E">
            <w:pPr>
              <w:pStyle w:val="NoSpacing"/>
              <w:spacing w:line="480" w:lineRule="auto"/>
              <w:jc w:val="center"/>
              <w:rPr>
                <w:sz w:val="20"/>
                <w:szCs w:val="20"/>
              </w:rPr>
            </w:pPr>
            <w:r w:rsidRPr="00CB1155">
              <w:rPr>
                <w:sz w:val="20"/>
                <w:szCs w:val="20"/>
              </w:rPr>
              <w:t>0.88%</w:t>
            </w:r>
          </w:p>
        </w:tc>
        <w:tc>
          <w:tcPr>
            <w:tcW w:w="672" w:type="dxa"/>
            <w:noWrap/>
            <w:vAlign w:val="center"/>
            <w:hideMark/>
          </w:tcPr>
          <w:p w14:paraId="074DE449" w14:textId="77777777" w:rsidR="00C112D5" w:rsidRPr="00CB1155" w:rsidRDefault="00C112D5" w:rsidP="00734A9E">
            <w:pPr>
              <w:pStyle w:val="NoSpacing"/>
              <w:spacing w:line="480" w:lineRule="auto"/>
              <w:jc w:val="center"/>
              <w:rPr>
                <w:sz w:val="20"/>
                <w:szCs w:val="20"/>
              </w:rPr>
            </w:pPr>
            <w:r w:rsidRPr="00CB1155">
              <w:rPr>
                <w:sz w:val="20"/>
                <w:szCs w:val="20"/>
              </w:rPr>
              <w:t>0.734</w:t>
            </w:r>
          </w:p>
        </w:tc>
        <w:tc>
          <w:tcPr>
            <w:tcW w:w="279" w:type="dxa"/>
            <w:vMerge/>
            <w:vAlign w:val="center"/>
            <w:hideMark/>
          </w:tcPr>
          <w:p w14:paraId="523B7B5E" w14:textId="77777777" w:rsidR="00C112D5" w:rsidRPr="00CB1155" w:rsidRDefault="00C112D5" w:rsidP="00734A9E">
            <w:pPr>
              <w:spacing w:line="480" w:lineRule="auto"/>
              <w:jc w:val="center"/>
              <w:rPr>
                <w:rFonts w:ascii="Calibri" w:eastAsia="Times New Roman" w:hAnsi="Calibri" w:cs="Calibri"/>
                <w:color w:val="000000"/>
                <w:sz w:val="20"/>
                <w:szCs w:val="20"/>
                <w:lang w:eastAsia="en-GB"/>
              </w:rPr>
            </w:pPr>
          </w:p>
        </w:tc>
        <w:tc>
          <w:tcPr>
            <w:tcW w:w="997" w:type="dxa"/>
            <w:noWrap/>
            <w:vAlign w:val="center"/>
            <w:hideMark/>
          </w:tcPr>
          <w:p w14:paraId="4EF89D7D" w14:textId="77777777" w:rsidR="00C112D5" w:rsidRPr="00CB1155" w:rsidRDefault="00C112D5" w:rsidP="00734A9E">
            <w:pPr>
              <w:pStyle w:val="NoSpacing"/>
              <w:spacing w:line="480" w:lineRule="auto"/>
              <w:jc w:val="center"/>
              <w:rPr>
                <w:sz w:val="20"/>
                <w:szCs w:val="20"/>
              </w:rPr>
            </w:pPr>
            <w:r w:rsidRPr="00CB1155">
              <w:rPr>
                <w:sz w:val="20"/>
                <w:szCs w:val="20"/>
              </w:rPr>
              <w:t>0.28%</w:t>
            </w:r>
          </w:p>
        </w:tc>
        <w:tc>
          <w:tcPr>
            <w:tcW w:w="850" w:type="dxa"/>
            <w:noWrap/>
            <w:vAlign w:val="center"/>
            <w:hideMark/>
          </w:tcPr>
          <w:p w14:paraId="32BEA42B" w14:textId="77777777" w:rsidR="00C112D5" w:rsidRPr="00CB1155" w:rsidRDefault="00C112D5" w:rsidP="00734A9E">
            <w:pPr>
              <w:pStyle w:val="NoSpacing"/>
              <w:spacing w:line="480" w:lineRule="auto"/>
              <w:jc w:val="center"/>
              <w:rPr>
                <w:sz w:val="20"/>
                <w:szCs w:val="20"/>
              </w:rPr>
            </w:pPr>
            <w:r w:rsidRPr="00CB1155">
              <w:rPr>
                <w:sz w:val="20"/>
                <w:szCs w:val="20"/>
              </w:rPr>
              <w:t>1.00%</w:t>
            </w:r>
          </w:p>
        </w:tc>
        <w:tc>
          <w:tcPr>
            <w:tcW w:w="709" w:type="dxa"/>
            <w:noWrap/>
            <w:vAlign w:val="center"/>
            <w:hideMark/>
          </w:tcPr>
          <w:p w14:paraId="56ACE4B4" w14:textId="77777777" w:rsidR="00C112D5" w:rsidRPr="00CB1155" w:rsidRDefault="00C112D5" w:rsidP="00734A9E">
            <w:pPr>
              <w:pStyle w:val="NoSpacing"/>
              <w:spacing w:line="480" w:lineRule="auto"/>
              <w:jc w:val="center"/>
              <w:rPr>
                <w:sz w:val="20"/>
                <w:szCs w:val="20"/>
              </w:rPr>
            </w:pPr>
            <w:r w:rsidRPr="00CB1155">
              <w:rPr>
                <w:sz w:val="20"/>
                <w:szCs w:val="20"/>
              </w:rPr>
              <w:t>0.725</w:t>
            </w:r>
          </w:p>
        </w:tc>
      </w:tr>
      <w:tr w:rsidR="00C112D5" w:rsidRPr="002C0BBD" w14:paraId="5BA1565D" w14:textId="77777777" w:rsidTr="00734A9E">
        <w:trPr>
          <w:trHeight w:val="288"/>
        </w:trPr>
        <w:tc>
          <w:tcPr>
            <w:tcW w:w="792" w:type="dxa"/>
            <w:vMerge/>
            <w:hideMark/>
          </w:tcPr>
          <w:p w14:paraId="32D512DF" w14:textId="77777777" w:rsidR="00C112D5" w:rsidRPr="002C0BBD" w:rsidRDefault="00C112D5" w:rsidP="00734A9E">
            <w:pPr>
              <w:spacing w:line="480" w:lineRule="auto"/>
              <w:rPr>
                <w:rFonts w:ascii="Calibri" w:eastAsia="Times New Roman" w:hAnsi="Calibri" w:cs="Calibri"/>
                <w:color w:val="000000"/>
                <w:sz w:val="20"/>
                <w:szCs w:val="20"/>
                <w:lang w:eastAsia="en-GB"/>
              </w:rPr>
            </w:pPr>
          </w:p>
        </w:tc>
        <w:tc>
          <w:tcPr>
            <w:tcW w:w="3314" w:type="dxa"/>
            <w:noWrap/>
            <w:hideMark/>
          </w:tcPr>
          <w:p w14:paraId="3341B719" w14:textId="77777777" w:rsidR="00C112D5" w:rsidRPr="00CB1155" w:rsidRDefault="00C112D5" w:rsidP="00734A9E">
            <w:pPr>
              <w:pStyle w:val="NoSpacing"/>
              <w:spacing w:line="480" w:lineRule="auto"/>
              <w:rPr>
                <w:sz w:val="20"/>
                <w:szCs w:val="20"/>
              </w:rPr>
            </w:pPr>
            <w:r w:rsidRPr="00CB1155">
              <w:rPr>
                <w:sz w:val="20"/>
                <w:szCs w:val="20"/>
              </w:rPr>
              <w:t>C-terminus</w:t>
            </w:r>
          </w:p>
        </w:tc>
        <w:tc>
          <w:tcPr>
            <w:tcW w:w="2977" w:type="dxa"/>
            <w:vAlign w:val="center"/>
          </w:tcPr>
          <w:p w14:paraId="7B1A1BDC" w14:textId="77777777" w:rsidR="00C112D5" w:rsidRPr="00CB1155" w:rsidRDefault="00C112D5" w:rsidP="00734A9E">
            <w:pPr>
              <w:pStyle w:val="NoSpacing"/>
              <w:spacing w:line="480" w:lineRule="auto"/>
              <w:rPr>
                <w:sz w:val="20"/>
                <w:szCs w:val="20"/>
              </w:rPr>
            </w:pPr>
            <w:r>
              <w:rPr>
                <w:rStyle w:val="Emphasis"/>
              </w:rPr>
              <w:t>1772-2016</w:t>
            </w:r>
          </w:p>
        </w:tc>
        <w:tc>
          <w:tcPr>
            <w:tcW w:w="1100" w:type="dxa"/>
            <w:noWrap/>
            <w:vAlign w:val="center"/>
            <w:hideMark/>
          </w:tcPr>
          <w:p w14:paraId="33ABC8B3" w14:textId="77777777" w:rsidR="00C112D5" w:rsidRPr="00CB1155" w:rsidRDefault="00C112D5" w:rsidP="00734A9E">
            <w:pPr>
              <w:pStyle w:val="NoSpacing"/>
              <w:spacing w:line="480" w:lineRule="auto"/>
              <w:jc w:val="center"/>
              <w:rPr>
                <w:sz w:val="20"/>
                <w:szCs w:val="20"/>
              </w:rPr>
            </w:pPr>
            <w:r w:rsidRPr="00CB1155">
              <w:rPr>
                <w:sz w:val="20"/>
                <w:szCs w:val="20"/>
              </w:rPr>
              <w:t>0.11%</w:t>
            </w:r>
          </w:p>
        </w:tc>
        <w:tc>
          <w:tcPr>
            <w:tcW w:w="875" w:type="dxa"/>
            <w:noWrap/>
            <w:vAlign w:val="center"/>
            <w:hideMark/>
          </w:tcPr>
          <w:p w14:paraId="603F4594" w14:textId="77777777" w:rsidR="00C112D5" w:rsidRPr="00CB1155" w:rsidRDefault="00C112D5" w:rsidP="00734A9E">
            <w:pPr>
              <w:pStyle w:val="NoSpacing"/>
              <w:spacing w:line="480" w:lineRule="auto"/>
              <w:jc w:val="center"/>
              <w:rPr>
                <w:sz w:val="20"/>
                <w:szCs w:val="20"/>
              </w:rPr>
            </w:pPr>
            <w:r w:rsidRPr="00CB1155">
              <w:rPr>
                <w:sz w:val="20"/>
                <w:szCs w:val="20"/>
              </w:rPr>
              <w:t>0.93%</w:t>
            </w:r>
          </w:p>
        </w:tc>
        <w:tc>
          <w:tcPr>
            <w:tcW w:w="718" w:type="dxa"/>
            <w:noWrap/>
            <w:vAlign w:val="center"/>
            <w:hideMark/>
          </w:tcPr>
          <w:p w14:paraId="765D34B3" w14:textId="77777777" w:rsidR="00C112D5" w:rsidRPr="00CB1155" w:rsidRDefault="00C112D5" w:rsidP="00734A9E">
            <w:pPr>
              <w:pStyle w:val="NoSpacing"/>
              <w:spacing w:line="480" w:lineRule="auto"/>
              <w:jc w:val="center"/>
              <w:rPr>
                <w:sz w:val="20"/>
                <w:szCs w:val="20"/>
              </w:rPr>
            </w:pPr>
            <w:r w:rsidRPr="00CB1155">
              <w:rPr>
                <w:color w:val="00B050"/>
                <w:sz w:val="20"/>
                <w:szCs w:val="20"/>
              </w:rPr>
              <w:t>0.879</w:t>
            </w:r>
          </w:p>
        </w:tc>
        <w:tc>
          <w:tcPr>
            <w:tcW w:w="284" w:type="dxa"/>
            <w:vMerge/>
            <w:vAlign w:val="center"/>
            <w:hideMark/>
          </w:tcPr>
          <w:p w14:paraId="70BBB37B" w14:textId="77777777" w:rsidR="00C112D5" w:rsidRPr="00CB1155" w:rsidRDefault="00C112D5" w:rsidP="00734A9E">
            <w:pPr>
              <w:spacing w:line="480" w:lineRule="auto"/>
              <w:jc w:val="center"/>
              <w:rPr>
                <w:rFonts w:ascii="Calibri" w:eastAsia="Times New Roman" w:hAnsi="Calibri" w:cs="Calibri"/>
                <w:color w:val="000000"/>
                <w:sz w:val="20"/>
                <w:szCs w:val="20"/>
                <w:lang w:eastAsia="en-GB"/>
              </w:rPr>
            </w:pPr>
          </w:p>
        </w:tc>
        <w:tc>
          <w:tcPr>
            <w:tcW w:w="1064" w:type="dxa"/>
            <w:noWrap/>
            <w:vAlign w:val="center"/>
            <w:hideMark/>
          </w:tcPr>
          <w:p w14:paraId="6BE16AA5" w14:textId="77777777" w:rsidR="00C112D5" w:rsidRPr="00CB1155" w:rsidRDefault="00C112D5" w:rsidP="00734A9E">
            <w:pPr>
              <w:pStyle w:val="NoSpacing"/>
              <w:spacing w:line="480" w:lineRule="auto"/>
              <w:jc w:val="center"/>
              <w:rPr>
                <w:sz w:val="20"/>
                <w:szCs w:val="20"/>
              </w:rPr>
            </w:pPr>
            <w:r w:rsidRPr="00CB1155">
              <w:rPr>
                <w:sz w:val="20"/>
                <w:szCs w:val="20"/>
              </w:rPr>
              <w:t>0.13%</w:t>
            </w:r>
          </w:p>
        </w:tc>
        <w:tc>
          <w:tcPr>
            <w:tcW w:w="815" w:type="dxa"/>
            <w:noWrap/>
            <w:vAlign w:val="center"/>
            <w:hideMark/>
          </w:tcPr>
          <w:p w14:paraId="41C52A9C" w14:textId="77777777" w:rsidR="00C112D5" w:rsidRPr="00CB1155" w:rsidRDefault="00C112D5" w:rsidP="00734A9E">
            <w:pPr>
              <w:pStyle w:val="NoSpacing"/>
              <w:spacing w:line="480" w:lineRule="auto"/>
              <w:jc w:val="center"/>
              <w:rPr>
                <w:sz w:val="20"/>
                <w:szCs w:val="20"/>
              </w:rPr>
            </w:pPr>
            <w:r w:rsidRPr="00CB1155">
              <w:rPr>
                <w:sz w:val="20"/>
                <w:szCs w:val="20"/>
              </w:rPr>
              <w:t>0.66%</w:t>
            </w:r>
          </w:p>
        </w:tc>
        <w:tc>
          <w:tcPr>
            <w:tcW w:w="672" w:type="dxa"/>
            <w:noWrap/>
            <w:vAlign w:val="center"/>
            <w:hideMark/>
          </w:tcPr>
          <w:p w14:paraId="44008773" w14:textId="77777777" w:rsidR="00C112D5" w:rsidRPr="00CB1155" w:rsidRDefault="00C112D5" w:rsidP="00734A9E">
            <w:pPr>
              <w:pStyle w:val="NoSpacing"/>
              <w:spacing w:line="480" w:lineRule="auto"/>
              <w:jc w:val="center"/>
              <w:rPr>
                <w:sz w:val="20"/>
                <w:szCs w:val="20"/>
              </w:rPr>
            </w:pPr>
            <w:r w:rsidRPr="00CB1155">
              <w:rPr>
                <w:sz w:val="20"/>
                <w:szCs w:val="20"/>
              </w:rPr>
              <w:t>0.798</w:t>
            </w:r>
          </w:p>
        </w:tc>
        <w:tc>
          <w:tcPr>
            <w:tcW w:w="279" w:type="dxa"/>
            <w:vMerge/>
            <w:vAlign w:val="center"/>
            <w:hideMark/>
          </w:tcPr>
          <w:p w14:paraId="63592C61" w14:textId="77777777" w:rsidR="00C112D5" w:rsidRPr="00CB1155" w:rsidRDefault="00C112D5" w:rsidP="00734A9E">
            <w:pPr>
              <w:spacing w:line="480" w:lineRule="auto"/>
              <w:jc w:val="center"/>
              <w:rPr>
                <w:rFonts w:ascii="Calibri" w:eastAsia="Times New Roman" w:hAnsi="Calibri" w:cs="Calibri"/>
                <w:color w:val="000000"/>
                <w:sz w:val="20"/>
                <w:szCs w:val="20"/>
                <w:lang w:eastAsia="en-GB"/>
              </w:rPr>
            </w:pPr>
          </w:p>
        </w:tc>
        <w:tc>
          <w:tcPr>
            <w:tcW w:w="997" w:type="dxa"/>
            <w:noWrap/>
            <w:vAlign w:val="center"/>
            <w:hideMark/>
          </w:tcPr>
          <w:p w14:paraId="6F086AC3" w14:textId="77777777" w:rsidR="00C112D5" w:rsidRPr="00CB1155" w:rsidRDefault="00C112D5" w:rsidP="00734A9E">
            <w:pPr>
              <w:pStyle w:val="NoSpacing"/>
              <w:spacing w:line="480" w:lineRule="auto"/>
              <w:jc w:val="center"/>
              <w:rPr>
                <w:sz w:val="20"/>
                <w:szCs w:val="20"/>
              </w:rPr>
            </w:pPr>
            <w:r w:rsidRPr="00CB1155">
              <w:rPr>
                <w:sz w:val="20"/>
                <w:szCs w:val="20"/>
              </w:rPr>
              <w:t>0.11%</w:t>
            </w:r>
          </w:p>
        </w:tc>
        <w:tc>
          <w:tcPr>
            <w:tcW w:w="850" w:type="dxa"/>
            <w:noWrap/>
            <w:vAlign w:val="center"/>
            <w:hideMark/>
          </w:tcPr>
          <w:p w14:paraId="30F4BFC4" w14:textId="77777777" w:rsidR="00C112D5" w:rsidRPr="00CB1155" w:rsidRDefault="00C112D5" w:rsidP="00734A9E">
            <w:pPr>
              <w:pStyle w:val="NoSpacing"/>
              <w:spacing w:line="480" w:lineRule="auto"/>
              <w:jc w:val="center"/>
              <w:rPr>
                <w:sz w:val="20"/>
                <w:szCs w:val="20"/>
              </w:rPr>
            </w:pPr>
            <w:r w:rsidRPr="00CB1155">
              <w:rPr>
                <w:sz w:val="20"/>
                <w:szCs w:val="20"/>
              </w:rPr>
              <w:t>0.76%</w:t>
            </w:r>
          </w:p>
        </w:tc>
        <w:tc>
          <w:tcPr>
            <w:tcW w:w="709" w:type="dxa"/>
            <w:noWrap/>
            <w:vAlign w:val="center"/>
            <w:hideMark/>
          </w:tcPr>
          <w:p w14:paraId="386D7EAC" w14:textId="77777777" w:rsidR="00C112D5" w:rsidRPr="00CB1155" w:rsidRDefault="00C112D5" w:rsidP="00734A9E">
            <w:pPr>
              <w:pStyle w:val="NoSpacing"/>
              <w:spacing w:line="480" w:lineRule="auto"/>
              <w:jc w:val="center"/>
              <w:rPr>
                <w:sz w:val="20"/>
                <w:szCs w:val="20"/>
              </w:rPr>
            </w:pPr>
            <w:r w:rsidRPr="00CB1155">
              <w:rPr>
                <w:color w:val="00B050"/>
                <w:sz w:val="20"/>
                <w:szCs w:val="20"/>
              </w:rPr>
              <w:t>0.857</w:t>
            </w:r>
          </w:p>
        </w:tc>
      </w:tr>
    </w:tbl>
    <w:p w14:paraId="577B0B5F" w14:textId="77777777" w:rsidR="00C112D5" w:rsidRDefault="00C112D5" w:rsidP="00C112D5">
      <w:pPr>
        <w:spacing w:line="480" w:lineRule="auto"/>
        <w:jc w:val="both"/>
      </w:pPr>
    </w:p>
    <w:p w14:paraId="26701055" w14:textId="77777777" w:rsidR="00C112D5" w:rsidRDefault="00C112D5" w:rsidP="00C112D5">
      <w:pPr>
        <w:spacing w:line="480" w:lineRule="auto"/>
        <w:jc w:val="both"/>
        <w:rPr>
          <w:i/>
        </w:rPr>
      </w:pPr>
      <w:r>
        <w:rPr>
          <w:i/>
        </w:rPr>
        <w:t xml:space="preserve">Table 2: Etiological fraction (EF) values for gene regions/domains in </w:t>
      </w:r>
      <w:r w:rsidRPr="0095771E">
        <w:rPr>
          <w:i/>
        </w:rPr>
        <w:t>KCNQ1</w:t>
      </w:r>
      <w:r>
        <w:rPr>
          <w:i/>
        </w:rPr>
        <w:t xml:space="preserve">, </w:t>
      </w:r>
      <w:r w:rsidRPr="0095771E">
        <w:rPr>
          <w:i/>
        </w:rPr>
        <w:t>KCNH2</w:t>
      </w:r>
      <w:r>
        <w:rPr>
          <w:i/>
        </w:rPr>
        <w:t xml:space="preserve"> and </w:t>
      </w:r>
      <w:r w:rsidRPr="0095771E">
        <w:rPr>
          <w:i/>
        </w:rPr>
        <w:t>SCN5A</w:t>
      </w:r>
      <w:r>
        <w:rPr>
          <w:i/>
        </w:rPr>
        <w:t xml:space="preserve"> based on comparison of rare (FAF&lt;1.1x10</w:t>
      </w:r>
      <w:r w:rsidRPr="007E2506">
        <w:rPr>
          <w:i/>
          <w:vertAlign w:val="superscript"/>
        </w:rPr>
        <w:t>-5</w:t>
      </w:r>
      <w:r>
        <w:rPr>
          <w:i/>
        </w:rPr>
        <w:t>) non-truncating variants in LQTS and gnomAD population cohorts. EF values are coloured according to the PM1 rule activated – strong (red), moderate (orange) and supporting (green). The comparisons shown are European LQTS cases (n=1394) vs gnomAD-NFE, Japanese LQTS cases (n=453) vs gnomAD-EAS and the published LQTS referral cohort (n=2500) vs gnomAD-ALL.</w:t>
      </w:r>
      <w:r w:rsidRPr="00396C27">
        <w:t xml:space="preserve"> </w:t>
      </w:r>
      <w:r w:rsidRPr="00396C27">
        <w:rPr>
          <w:i/>
        </w:rPr>
        <w:t>It is uncertain whether the absence of KCNQ1 N-terminus variants in Japanese cases reflects a genuine difference between populations or is due to technical sequencing issues</w:t>
      </w:r>
      <w:r>
        <w:rPr>
          <w:i/>
        </w:rPr>
        <w:t xml:space="preserve"> for this GC-rich region</w:t>
      </w:r>
      <w:r w:rsidRPr="00362667">
        <w:rPr>
          <w:i/>
        </w:rPr>
        <w:t xml:space="preserve"> </w:t>
      </w:r>
      <w:r>
        <w:rPr>
          <w:i/>
        </w:rPr>
        <w:t>(see Table S8 for full details). This evidence should be used only for non-truncating KCNQ1, KCNH2 or SCN5A variants detected in patients with (or being genetically tested for) LQTS as follows: 1) check the variant is rare (gnomAD FAF&lt;1.1x10</w:t>
      </w:r>
      <w:r w:rsidRPr="000E5189">
        <w:rPr>
          <w:i/>
          <w:vertAlign w:val="superscript"/>
        </w:rPr>
        <w:t>-5</w:t>
      </w:r>
      <w:r>
        <w:rPr>
          <w:i/>
        </w:rPr>
        <w:t>), 2) select the appropriate comparison – patients diagnosed with LQTS of European ancestry, patients diagnosed with LQTS of Japanese ancestry or individuals of any ethnicity referred for LQTS genetic testing, 3) select the PM1 evidence level (based on EF) depending on the gene and region/domain where the variant is located.</w:t>
      </w:r>
    </w:p>
    <w:p w14:paraId="342F5808" w14:textId="77777777" w:rsidR="00C112D5" w:rsidRDefault="00C112D5" w:rsidP="00C112D5">
      <w:pPr>
        <w:jc w:val="both"/>
      </w:pPr>
    </w:p>
    <w:p w14:paraId="17510BDE" w14:textId="77777777" w:rsidR="00C112D5" w:rsidRDefault="00C112D5" w:rsidP="00C112D5"/>
    <w:p w14:paraId="2D92ED6D" w14:textId="77777777" w:rsidR="00C112D5" w:rsidRDefault="00C112D5" w:rsidP="00521E45"/>
    <w:sectPr w:rsidR="00C112D5" w:rsidSect="00C112D5">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0826BC" w14:textId="77777777" w:rsidR="00C52853" w:rsidRDefault="00C52853" w:rsidP="00B775CA">
      <w:pPr>
        <w:spacing w:after="0" w:line="240" w:lineRule="auto"/>
      </w:pPr>
      <w:r>
        <w:separator/>
      </w:r>
    </w:p>
  </w:endnote>
  <w:endnote w:type="continuationSeparator" w:id="0">
    <w:p w14:paraId="252B8A8F" w14:textId="77777777" w:rsidR="00C52853" w:rsidRDefault="00C52853" w:rsidP="00B775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4121156"/>
      <w:docPartObj>
        <w:docPartGallery w:val="Page Numbers (Bottom of Page)"/>
        <w:docPartUnique/>
      </w:docPartObj>
    </w:sdtPr>
    <w:sdtEndPr>
      <w:rPr>
        <w:noProof/>
      </w:rPr>
    </w:sdtEndPr>
    <w:sdtContent>
      <w:p w14:paraId="097688AC" w14:textId="171046BD" w:rsidR="00B775CA" w:rsidRDefault="00B775CA">
        <w:pPr>
          <w:pStyle w:val="Footer"/>
          <w:jc w:val="center"/>
        </w:pPr>
        <w:r>
          <w:fldChar w:fldCharType="begin"/>
        </w:r>
        <w:r>
          <w:instrText xml:space="preserve"> PAGE   \* MERGEFORMAT </w:instrText>
        </w:r>
        <w:r>
          <w:fldChar w:fldCharType="separate"/>
        </w:r>
        <w:r w:rsidR="00C112D5">
          <w:rPr>
            <w:noProof/>
          </w:rPr>
          <w:t>9</w:t>
        </w:r>
        <w:r>
          <w:rPr>
            <w:noProof/>
          </w:rPr>
          <w:fldChar w:fldCharType="end"/>
        </w:r>
      </w:p>
    </w:sdtContent>
  </w:sdt>
  <w:p w14:paraId="2E9D4A7A" w14:textId="77777777" w:rsidR="00B775CA" w:rsidRDefault="00B775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E5604B" w14:textId="77777777" w:rsidR="00C52853" w:rsidRDefault="00C52853" w:rsidP="00B775CA">
      <w:pPr>
        <w:spacing w:after="0" w:line="240" w:lineRule="auto"/>
      </w:pPr>
      <w:r>
        <w:separator/>
      </w:r>
    </w:p>
  </w:footnote>
  <w:footnote w:type="continuationSeparator" w:id="0">
    <w:p w14:paraId="29A013C0" w14:textId="77777777" w:rsidR="00C52853" w:rsidRDefault="00C52853" w:rsidP="00B775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75827"/>
    <w:multiLevelType w:val="hybridMultilevel"/>
    <w:tmpl w:val="1AC0A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99134B"/>
    <w:multiLevelType w:val="hybridMultilevel"/>
    <w:tmpl w:val="93C21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481C10"/>
    <w:multiLevelType w:val="multilevel"/>
    <w:tmpl w:val="ACA84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A01F1F"/>
    <w:multiLevelType w:val="hybridMultilevel"/>
    <w:tmpl w:val="66A09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6E3F3A"/>
    <w:multiLevelType w:val="multilevel"/>
    <w:tmpl w:val="A45A7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BE3886"/>
    <w:multiLevelType w:val="hybridMultilevel"/>
    <w:tmpl w:val="3FB0B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1806E6"/>
    <w:multiLevelType w:val="hybridMultilevel"/>
    <w:tmpl w:val="BB66C1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FE85AE5"/>
    <w:multiLevelType w:val="hybridMultilevel"/>
    <w:tmpl w:val="8A0ED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993C52"/>
    <w:multiLevelType w:val="hybridMultilevel"/>
    <w:tmpl w:val="CA4C3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121EB0"/>
    <w:multiLevelType w:val="hybridMultilevel"/>
    <w:tmpl w:val="F676B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D52197"/>
    <w:multiLevelType w:val="hybridMultilevel"/>
    <w:tmpl w:val="88161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181BB8"/>
    <w:multiLevelType w:val="hybridMultilevel"/>
    <w:tmpl w:val="51AA7F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BD85AC2"/>
    <w:multiLevelType w:val="hybridMultilevel"/>
    <w:tmpl w:val="3C9EE53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561290B"/>
    <w:multiLevelType w:val="hybridMultilevel"/>
    <w:tmpl w:val="AC941EB0"/>
    <w:lvl w:ilvl="0" w:tplc="BC160CE6">
      <w:start w:val="1"/>
      <w:numFmt w:val="decimal"/>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224F03"/>
    <w:multiLevelType w:val="hybridMultilevel"/>
    <w:tmpl w:val="CED67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0F4FA2"/>
    <w:multiLevelType w:val="hybridMultilevel"/>
    <w:tmpl w:val="9764527C"/>
    <w:lvl w:ilvl="0" w:tplc="ADB6B2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6BA3C62"/>
    <w:multiLevelType w:val="multilevel"/>
    <w:tmpl w:val="855CA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6E3B9F"/>
    <w:multiLevelType w:val="hybridMultilevel"/>
    <w:tmpl w:val="CD6676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9FC1142"/>
    <w:multiLevelType w:val="hybridMultilevel"/>
    <w:tmpl w:val="94F4E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F87433D"/>
    <w:multiLevelType w:val="hybridMultilevel"/>
    <w:tmpl w:val="58447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13"/>
  </w:num>
  <w:num w:numId="4">
    <w:abstractNumId w:val="0"/>
  </w:num>
  <w:num w:numId="5">
    <w:abstractNumId w:val="19"/>
  </w:num>
  <w:num w:numId="6">
    <w:abstractNumId w:val="9"/>
  </w:num>
  <w:num w:numId="7">
    <w:abstractNumId w:val="4"/>
  </w:num>
  <w:num w:numId="8">
    <w:abstractNumId w:val="7"/>
  </w:num>
  <w:num w:numId="9">
    <w:abstractNumId w:val="18"/>
  </w:num>
  <w:num w:numId="10">
    <w:abstractNumId w:val="8"/>
  </w:num>
  <w:num w:numId="11">
    <w:abstractNumId w:val="6"/>
  </w:num>
  <w:num w:numId="12">
    <w:abstractNumId w:val="14"/>
  </w:num>
  <w:num w:numId="13">
    <w:abstractNumId w:val="1"/>
  </w:num>
  <w:num w:numId="14">
    <w:abstractNumId w:val="16"/>
  </w:num>
  <w:num w:numId="15">
    <w:abstractNumId w:val="17"/>
  </w:num>
  <w:num w:numId="16">
    <w:abstractNumId w:val="10"/>
  </w:num>
  <w:num w:numId="17">
    <w:abstractNumId w:val="2"/>
  </w:num>
  <w:num w:numId="18">
    <w:abstractNumId w:val="5"/>
  </w:num>
  <w:num w:numId="19">
    <w:abstractNumId w:val="12"/>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049"/>
    <w:rsid w:val="00001307"/>
    <w:rsid w:val="00006EBD"/>
    <w:rsid w:val="00016638"/>
    <w:rsid w:val="000169F1"/>
    <w:rsid w:val="00020024"/>
    <w:rsid w:val="00032F18"/>
    <w:rsid w:val="00037265"/>
    <w:rsid w:val="00037841"/>
    <w:rsid w:val="00037B0F"/>
    <w:rsid w:val="000404E3"/>
    <w:rsid w:val="00041667"/>
    <w:rsid w:val="00042006"/>
    <w:rsid w:val="00043106"/>
    <w:rsid w:val="00043D10"/>
    <w:rsid w:val="00044B2D"/>
    <w:rsid w:val="00046661"/>
    <w:rsid w:val="0005379E"/>
    <w:rsid w:val="0006346F"/>
    <w:rsid w:val="00065084"/>
    <w:rsid w:val="00070FC4"/>
    <w:rsid w:val="00071E6D"/>
    <w:rsid w:val="00073950"/>
    <w:rsid w:val="00075E2C"/>
    <w:rsid w:val="00082CD1"/>
    <w:rsid w:val="0008507D"/>
    <w:rsid w:val="0008587F"/>
    <w:rsid w:val="00085977"/>
    <w:rsid w:val="00086D14"/>
    <w:rsid w:val="00093E31"/>
    <w:rsid w:val="000952E0"/>
    <w:rsid w:val="00096B4D"/>
    <w:rsid w:val="000975C6"/>
    <w:rsid w:val="000A0B4A"/>
    <w:rsid w:val="000A2AD5"/>
    <w:rsid w:val="000B0A16"/>
    <w:rsid w:val="000B23F2"/>
    <w:rsid w:val="000B6982"/>
    <w:rsid w:val="000B76C3"/>
    <w:rsid w:val="000B7C1C"/>
    <w:rsid w:val="000C1DEE"/>
    <w:rsid w:val="000C56FB"/>
    <w:rsid w:val="000D3322"/>
    <w:rsid w:val="000E18A0"/>
    <w:rsid w:val="000E4374"/>
    <w:rsid w:val="000E573B"/>
    <w:rsid w:val="000F6C74"/>
    <w:rsid w:val="00105199"/>
    <w:rsid w:val="00110D0E"/>
    <w:rsid w:val="001128A7"/>
    <w:rsid w:val="00113305"/>
    <w:rsid w:val="00124712"/>
    <w:rsid w:val="001327CE"/>
    <w:rsid w:val="00143525"/>
    <w:rsid w:val="00143563"/>
    <w:rsid w:val="001439EB"/>
    <w:rsid w:val="00146FE1"/>
    <w:rsid w:val="00151860"/>
    <w:rsid w:val="00154726"/>
    <w:rsid w:val="00154C4B"/>
    <w:rsid w:val="00155E82"/>
    <w:rsid w:val="00156BF9"/>
    <w:rsid w:val="00160C60"/>
    <w:rsid w:val="00161CE2"/>
    <w:rsid w:val="00162699"/>
    <w:rsid w:val="00165B82"/>
    <w:rsid w:val="00166D6D"/>
    <w:rsid w:val="00174EF3"/>
    <w:rsid w:val="00176B7F"/>
    <w:rsid w:val="00183B40"/>
    <w:rsid w:val="00187A56"/>
    <w:rsid w:val="00187AD8"/>
    <w:rsid w:val="0019153A"/>
    <w:rsid w:val="001931CD"/>
    <w:rsid w:val="00194BBD"/>
    <w:rsid w:val="001A1984"/>
    <w:rsid w:val="001A44E9"/>
    <w:rsid w:val="001A5C5D"/>
    <w:rsid w:val="001A7491"/>
    <w:rsid w:val="001B1D8A"/>
    <w:rsid w:val="001B54A3"/>
    <w:rsid w:val="001C0821"/>
    <w:rsid w:val="001C5CD1"/>
    <w:rsid w:val="001D73F9"/>
    <w:rsid w:val="001E3A4D"/>
    <w:rsid w:val="001E7191"/>
    <w:rsid w:val="001F0044"/>
    <w:rsid w:val="001F3098"/>
    <w:rsid w:val="00201218"/>
    <w:rsid w:val="0020755C"/>
    <w:rsid w:val="00210C2C"/>
    <w:rsid w:val="00225AEE"/>
    <w:rsid w:val="002319C4"/>
    <w:rsid w:val="00232BC1"/>
    <w:rsid w:val="00234519"/>
    <w:rsid w:val="00236C9F"/>
    <w:rsid w:val="00237474"/>
    <w:rsid w:val="002419E1"/>
    <w:rsid w:val="00243FD8"/>
    <w:rsid w:val="00252AC0"/>
    <w:rsid w:val="00252F01"/>
    <w:rsid w:val="0025351F"/>
    <w:rsid w:val="00253F9D"/>
    <w:rsid w:val="002540A9"/>
    <w:rsid w:val="0025542E"/>
    <w:rsid w:val="0026356A"/>
    <w:rsid w:val="00266E45"/>
    <w:rsid w:val="0027340C"/>
    <w:rsid w:val="00275320"/>
    <w:rsid w:val="002764B9"/>
    <w:rsid w:val="002804A8"/>
    <w:rsid w:val="00281EE4"/>
    <w:rsid w:val="00283774"/>
    <w:rsid w:val="00287D06"/>
    <w:rsid w:val="002942FA"/>
    <w:rsid w:val="00296AC8"/>
    <w:rsid w:val="002A2EE5"/>
    <w:rsid w:val="002A49BF"/>
    <w:rsid w:val="002A5B86"/>
    <w:rsid w:val="002B0636"/>
    <w:rsid w:val="002B1AAE"/>
    <w:rsid w:val="002B574C"/>
    <w:rsid w:val="002C0BBD"/>
    <w:rsid w:val="002C0ED0"/>
    <w:rsid w:val="002C2179"/>
    <w:rsid w:val="002C291F"/>
    <w:rsid w:val="002C4804"/>
    <w:rsid w:val="002C4F6D"/>
    <w:rsid w:val="002C53E9"/>
    <w:rsid w:val="002D6AF3"/>
    <w:rsid w:val="002F0CDB"/>
    <w:rsid w:val="002F2F5B"/>
    <w:rsid w:val="002F7B56"/>
    <w:rsid w:val="00302429"/>
    <w:rsid w:val="00304EA7"/>
    <w:rsid w:val="00312DDE"/>
    <w:rsid w:val="00315785"/>
    <w:rsid w:val="0032594D"/>
    <w:rsid w:val="0032769F"/>
    <w:rsid w:val="003363CD"/>
    <w:rsid w:val="003414A0"/>
    <w:rsid w:val="00342239"/>
    <w:rsid w:val="0034260D"/>
    <w:rsid w:val="00345B12"/>
    <w:rsid w:val="0035509E"/>
    <w:rsid w:val="00356B96"/>
    <w:rsid w:val="003622F6"/>
    <w:rsid w:val="00362667"/>
    <w:rsid w:val="003658C7"/>
    <w:rsid w:val="003708DF"/>
    <w:rsid w:val="00377C81"/>
    <w:rsid w:val="00377D33"/>
    <w:rsid w:val="003807D4"/>
    <w:rsid w:val="003821C2"/>
    <w:rsid w:val="00383634"/>
    <w:rsid w:val="00386C10"/>
    <w:rsid w:val="00390472"/>
    <w:rsid w:val="00390A71"/>
    <w:rsid w:val="00392256"/>
    <w:rsid w:val="00392A2F"/>
    <w:rsid w:val="003932AF"/>
    <w:rsid w:val="00396C27"/>
    <w:rsid w:val="00397145"/>
    <w:rsid w:val="00397F9B"/>
    <w:rsid w:val="003A2102"/>
    <w:rsid w:val="003A35EA"/>
    <w:rsid w:val="003A3E31"/>
    <w:rsid w:val="003B04FD"/>
    <w:rsid w:val="003B4453"/>
    <w:rsid w:val="003B758A"/>
    <w:rsid w:val="003C3711"/>
    <w:rsid w:val="003C4A57"/>
    <w:rsid w:val="003C637F"/>
    <w:rsid w:val="003C7C83"/>
    <w:rsid w:val="003D4463"/>
    <w:rsid w:val="003E225A"/>
    <w:rsid w:val="003E3BE2"/>
    <w:rsid w:val="003E448C"/>
    <w:rsid w:val="003F1027"/>
    <w:rsid w:val="003F18CC"/>
    <w:rsid w:val="003F4966"/>
    <w:rsid w:val="00405041"/>
    <w:rsid w:val="00406081"/>
    <w:rsid w:val="004067FC"/>
    <w:rsid w:val="00406CE1"/>
    <w:rsid w:val="00411413"/>
    <w:rsid w:val="00412680"/>
    <w:rsid w:val="004142D3"/>
    <w:rsid w:val="0042493B"/>
    <w:rsid w:val="004251A8"/>
    <w:rsid w:val="00431567"/>
    <w:rsid w:val="00432C42"/>
    <w:rsid w:val="0043655B"/>
    <w:rsid w:val="0044183A"/>
    <w:rsid w:val="00444BFA"/>
    <w:rsid w:val="00450452"/>
    <w:rsid w:val="00451389"/>
    <w:rsid w:val="00451BA7"/>
    <w:rsid w:val="00460A17"/>
    <w:rsid w:val="00460ADC"/>
    <w:rsid w:val="00467772"/>
    <w:rsid w:val="00472E71"/>
    <w:rsid w:val="00477B0C"/>
    <w:rsid w:val="00480DBB"/>
    <w:rsid w:val="00485BD2"/>
    <w:rsid w:val="0048799D"/>
    <w:rsid w:val="004879E4"/>
    <w:rsid w:val="004932D4"/>
    <w:rsid w:val="004933A6"/>
    <w:rsid w:val="00495552"/>
    <w:rsid w:val="004976FF"/>
    <w:rsid w:val="004A2774"/>
    <w:rsid w:val="004B2F51"/>
    <w:rsid w:val="004B64E8"/>
    <w:rsid w:val="004B6A53"/>
    <w:rsid w:val="004B6A5B"/>
    <w:rsid w:val="004C6DFF"/>
    <w:rsid w:val="004C7FFD"/>
    <w:rsid w:val="004D0AD2"/>
    <w:rsid w:val="004D2B77"/>
    <w:rsid w:val="004D2D9C"/>
    <w:rsid w:val="004D3305"/>
    <w:rsid w:val="004D6ED0"/>
    <w:rsid w:val="004E350C"/>
    <w:rsid w:val="004F1146"/>
    <w:rsid w:val="004F6A8D"/>
    <w:rsid w:val="00502E34"/>
    <w:rsid w:val="00504F2E"/>
    <w:rsid w:val="00506A44"/>
    <w:rsid w:val="00513AE8"/>
    <w:rsid w:val="00513FD1"/>
    <w:rsid w:val="00517144"/>
    <w:rsid w:val="00520219"/>
    <w:rsid w:val="00520EA0"/>
    <w:rsid w:val="00521E45"/>
    <w:rsid w:val="00524494"/>
    <w:rsid w:val="00524C41"/>
    <w:rsid w:val="00526088"/>
    <w:rsid w:val="00527308"/>
    <w:rsid w:val="00531B67"/>
    <w:rsid w:val="0053269D"/>
    <w:rsid w:val="00540183"/>
    <w:rsid w:val="00541C0E"/>
    <w:rsid w:val="005466A3"/>
    <w:rsid w:val="00546C79"/>
    <w:rsid w:val="005530A0"/>
    <w:rsid w:val="00555047"/>
    <w:rsid w:val="005606E8"/>
    <w:rsid w:val="00560DB6"/>
    <w:rsid w:val="005611DA"/>
    <w:rsid w:val="0056572E"/>
    <w:rsid w:val="00565BF8"/>
    <w:rsid w:val="00566334"/>
    <w:rsid w:val="005671AC"/>
    <w:rsid w:val="00567317"/>
    <w:rsid w:val="005729C8"/>
    <w:rsid w:val="005759D9"/>
    <w:rsid w:val="005766C0"/>
    <w:rsid w:val="00577789"/>
    <w:rsid w:val="00584CAC"/>
    <w:rsid w:val="00587B6E"/>
    <w:rsid w:val="005909B3"/>
    <w:rsid w:val="00596A9C"/>
    <w:rsid w:val="005A29F3"/>
    <w:rsid w:val="005A3DEE"/>
    <w:rsid w:val="005A6525"/>
    <w:rsid w:val="005A7565"/>
    <w:rsid w:val="005B5368"/>
    <w:rsid w:val="005C0DF9"/>
    <w:rsid w:val="005C1E2A"/>
    <w:rsid w:val="005C2357"/>
    <w:rsid w:val="005C5278"/>
    <w:rsid w:val="005C6031"/>
    <w:rsid w:val="005D33E6"/>
    <w:rsid w:val="005D4566"/>
    <w:rsid w:val="005E176C"/>
    <w:rsid w:val="005E2720"/>
    <w:rsid w:val="005E4319"/>
    <w:rsid w:val="005E45D0"/>
    <w:rsid w:val="005E752E"/>
    <w:rsid w:val="005F120B"/>
    <w:rsid w:val="00603293"/>
    <w:rsid w:val="0060523C"/>
    <w:rsid w:val="00611BCD"/>
    <w:rsid w:val="00613D65"/>
    <w:rsid w:val="00615DA3"/>
    <w:rsid w:val="00622B57"/>
    <w:rsid w:val="00623DA2"/>
    <w:rsid w:val="00624523"/>
    <w:rsid w:val="00627DD7"/>
    <w:rsid w:val="0063193B"/>
    <w:rsid w:val="0063448E"/>
    <w:rsid w:val="006351AE"/>
    <w:rsid w:val="0064382B"/>
    <w:rsid w:val="00644649"/>
    <w:rsid w:val="00644925"/>
    <w:rsid w:val="00645433"/>
    <w:rsid w:val="006518E0"/>
    <w:rsid w:val="0065622E"/>
    <w:rsid w:val="00656A10"/>
    <w:rsid w:val="0066105F"/>
    <w:rsid w:val="00662909"/>
    <w:rsid w:val="00663D95"/>
    <w:rsid w:val="00676580"/>
    <w:rsid w:val="00676657"/>
    <w:rsid w:val="00680B1F"/>
    <w:rsid w:val="0068377E"/>
    <w:rsid w:val="006841F1"/>
    <w:rsid w:val="00691346"/>
    <w:rsid w:val="00692E34"/>
    <w:rsid w:val="00696487"/>
    <w:rsid w:val="006971CC"/>
    <w:rsid w:val="00697566"/>
    <w:rsid w:val="006A2129"/>
    <w:rsid w:val="006A5049"/>
    <w:rsid w:val="006A50A9"/>
    <w:rsid w:val="006B02B3"/>
    <w:rsid w:val="006B2F4E"/>
    <w:rsid w:val="006B3C5C"/>
    <w:rsid w:val="006B7E47"/>
    <w:rsid w:val="006C30C3"/>
    <w:rsid w:val="006D032C"/>
    <w:rsid w:val="006F39BB"/>
    <w:rsid w:val="006F4773"/>
    <w:rsid w:val="006F4AB7"/>
    <w:rsid w:val="00700C02"/>
    <w:rsid w:val="00703D64"/>
    <w:rsid w:val="00704DAE"/>
    <w:rsid w:val="00711855"/>
    <w:rsid w:val="00712A85"/>
    <w:rsid w:val="007228FE"/>
    <w:rsid w:val="00724DE8"/>
    <w:rsid w:val="00727607"/>
    <w:rsid w:val="00744538"/>
    <w:rsid w:val="00753543"/>
    <w:rsid w:val="00762020"/>
    <w:rsid w:val="007765AF"/>
    <w:rsid w:val="00777CA4"/>
    <w:rsid w:val="007818E5"/>
    <w:rsid w:val="00784807"/>
    <w:rsid w:val="00785548"/>
    <w:rsid w:val="00796E12"/>
    <w:rsid w:val="00797511"/>
    <w:rsid w:val="007A1408"/>
    <w:rsid w:val="007A381A"/>
    <w:rsid w:val="007A4414"/>
    <w:rsid w:val="007A4BB1"/>
    <w:rsid w:val="007A66C8"/>
    <w:rsid w:val="007B2961"/>
    <w:rsid w:val="007B5CDF"/>
    <w:rsid w:val="007B7A97"/>
    <w:rsid w:val="007C69A7"/>
    <w:rsid w:val="007C7A75"/>
    <w:rsid w:val="007D0108"/>
    <w:rsid w:val="007D13C2"/>
    <w:rsid w:val="007D1DDB"/>
    <w:rsid w:val="007D2725"/>
    <w:rsid w:val="007D35D1"/>
    <w:rsid w:val="007D6E6E"/>
    <w:rsid w:val="007E0170"/>
    <w:rsid w:val="007E11EF"/>
    <w:rsid w:val="007E2506"/>
    <w:rsid w:val="007E4758"/>
    <w:rsid w:val="007E5E94"/>
    <w:rsid w:val="007E5F2A"/>
    <w:rsid w:val="007E6295"/>
    <w:rsid w:val="007E640E"/>
    <w:rsid w:val="007F1885"/>
    <w:rsid w:val="007F3FA0"/>
    <w:rsid w:val="007F5A00"/>
    <w:rsid w:val="007F6EFD"/>
    <w:rsid w:val="008001F5"/>
    <w:rsid w:val="00801FEC"/>
    <w:rsid w:val="008030E2"/>
    <w:rsid w:val="00806DEB"/>
    <w:rsid w:val="00810435"/>
    <w:rsid w:val="00811E27"/>
    <w:rsid w:val="008225F0"/>
    <w:rsid w:val="008226D3"/>
    <w:rsid w:val="00823734"/>
    <w:rsid w:val="008336CB"/>
    <w:rsid w:val="00833E2D"/>
    <w:rsid w:val="00834281"/>
    <w:rsid w:val="00835981"/>
    <w:rsid w:val="00843796"/>
    <w:rsid w:val="00846548"/>
    <w:rsid w:val="00847CF1"/>
    <w:rsid w:val="008534BF"/>
    <w:rsid w:val="00854BC8"/>
    <w:rsid w:val="00860137"/>
    <w:rsid w:val="00865EAC"/>
    <w:rsid w:val="00866AC9"/>
    <w:rsid w:val="00872A40"/>
    <w:rsid w:val="00876B76"/>
    <w:rsid w:val="00887541"/>
    <w:rsid w:val="00893C71"/>
    <w:rsid w:val="008A3345"/>
    <w:rsid w:val="008A3970"/>
    <w:rsid w:val="008B0DB2"/>
    <w:rsid w:val="008B37BD"/>
    <w:rsid w:val="008B4B78"/>
    <w:rsid w:val="008C2AB4"/>
    <w:rsid w:val="008C3269"/>
    <w:rsid w:val="008D010C"/>
    <w:rsid w:val="008D3AAA"/>
    <w:rsid w:val="008D600B"/>
    <w:rsid w:val="008E187A"/>
    <w:rsid w:val="008E1F98"/>
    <w:rsid w:val="008E52EA"/>
    <w:rsid w:val="008F3098"/>
    <w:rsid w:val="008F5787"/>
    <w:rsid w:val="008F5F47"/>
    <w:rsid w:val="0090265D"/>
    <w:rsid w:val="0090394B"/>
    <w:rsid w:val="009042AD"/>
    <w:rsid w:val="009066B9"/>
    <w:rsid w:val="00907344"/>
    <w:rsid w:val="00907917"/>
    <w:rsid w:val="009133F0"/>
    <w:rsid w:val="00917973"/>
    <w:rsid w:val="00920453"/>
    <w:rsid w:val="009207D6"/>
    <w:rsid w:val="00920AA0"/>
    <w:rsid w:val="009252A3"/>
    <w:rsid w:val="00926CFA"/>
    <w:rsid w:val="00934A4D"/>
    <w:rsid w:val="009405CF"/>
    <w:rsid w:val="00940FBD"/>
    <w:rsid w:val="00943210"/>
    <w:rsid w:val="0094588F"/>
    <w:rsid w:val="00956809"/>
    <w:rsid w:val="0095725A"/>
    <w:rsid w:val="0095771E"/>
    <w:rsid w:val="0096178C"/>
    <w:rsid w:val="00963ACE"/>
    <w:rsid w:val="009643A1"/>
    <w:rsid w:val="009653C3"/>
    <w:rsid w:val="009665B9"/>
    <w:rsid w:val="009670D4"/>
    <w:rsid w:val="009718EB"/>
    <w:rsid w:val="0098700A"/>
    <w:rsid w:val="009A1D07"/>
    <w:rsid w:val="009A36F2"/>
    <w:rsid w:val="009A5673"/>
    <w:rsid w:val="009A5833"/>
    <w:rsid w:val="009B021C"/>
    <w:rsid w:val="009B04F2"/>
    <w:rsid w:val="009B051C"/>
    <w:rsid w:val="009B0600"/>
    <w:rsid w:val="009B22BE"/>
    <w:rsid w:val="009B3277"/>
    <w:rsid w:val="009B419F"/>
    <w:rsid w:val="009B42E3"/>
    <w:rsid w:val="009C03A4"/>
    <w:rsid w:val="009C2BC5"/>
    <w:rsid w:val="009C5890"/>
    <w:rsid w:val="009D33CA"/>
    <w:rsid w:val="009E2A57"/>
    <w:rsid w:val="009E516D"/>
    <w:rsid w:val="009E5D87"/>
    <w:rsid w:val="009E5FB2"/>
    <w:rsid w:val="009F2FBA"/>
    <w:rsid w:val="009F4D23"/>
    <w:rsid w:val="009F500F"/>
    <w:rsid w:val="009F6D1C"/>
    <w:rsid w:val="009F7EBB"/>
    <w:rsid w:val="00A00970"/>
    <w:rsid w:val="00A029FA"/>
    <w:rsid w:val="00A039CF"/>
    <w:rsid w:val="00A1349A"/>
    <w:rsid w:val="00A232AC"/>
    <w:rsid w:val="00A242C8"/>
    <w:rsid w:val="00A248A5"/>
    <w:rsid w:val="00A3119E"/>
    <w:rsid w:val="00A3559E"/>
    <w:rsid w:val="00A36038"/>
    <w:rsid w:val="00A36CDC"/>
    <w:rsid w:val="00A41FAF"/>
    <w:rsid w:val="00A467D8"/>
    <w:rsid w:val="00A51A56"/>
    <w:rsid w:val="00A52FA0"/>
    <w:rsid w:val="00A53B1B"/>
    <w:rsid w:val="00A5512A"/>
    <w:rsid w:val="00A62DCF"/>
    <w:rsid w:val="00A66E6A"/>
    <w:rsid w:val="00A700A0"/>
    <w:rsid w:val="00A716D4"/>
    <w:rsid w:val="00A74582"/>
    <w:rsid w:val="00A7744A"/>
    <w:rsid w:val="00A77959"/>
    <w:rsid w:val="00A77AF1"/>
    <w:rsid w:val="00A81E47"/>
    <w:rsid w:val="00A84246"/>
    <w:rsid w:val="00A842A2"/>
    <w:rsid w:val="00A85337"/>
    <w:rsid w:val="00A85DB9"/>
    <w:rsid w:val="00A86583"/>
    <w:rsid w:val="00A87BE7"/>
    <w:rsid w:val="00A90674"/>
    <w:rsid w:val="00A94400"/>
    <w:rsid w:val="00A960BF"/>
    <w:rsid w:val="00AA0008"/>
    <w:rsid w:val="00AA2B2A"/>
    <w:rsid w:val="00AA6131"/>
    <w:rsid w:val="00AA64A2"/>
    <w:rsid w:val="00AA7F3C"/>
    <w:rsid w:val="00AB1E3D"/>
    <w:rsid w:val="00AB5AC3"/>
    <w:rsid w:val="00AB5F78"/>
    <w:rsid w:val="00AB6952"/>
    <w:rsid w:val="00AB7177"/>
    <w:rsid w:val="00AC1BC5"/>
    <w:rsid w:val="00AC4C77"/>
    <w:rsid w:val="00AD19B4"/>
    <w:rsid w:val="00AD7423"/>
    <w:rsid w:val="00AE351E"/>
    <w:rsid w:val="00AF1B3C"/>
    <w:rsid w:val="00AF2809"/>
    <w:rsid w:val="00AF2B94"/>
    <w:rsid w:val="00AF3616"/>
    <w:rsid w:val="00AF3930"/>
    <w:rsid w:val="00AF552D"/>
    <w:rsid w:val="00B060F2"/>
    <w:rsid w:val="00B06FDE"/>
    <w:rsid w:val="00B107EB"/>
    <w:rsid w:val="00B10D62"/>
    <w:rsid w:val="00B12C55"/>
    <w:rsid w:val="00B14D3C"/>
    <w:rsid w:val="00B1550E"/>
    <w:rsid w:val="00B23E6D"/>
    <w:rsid w:val="00B245D1"/>
    <w:rsid w:val="00B31075"/>
    <w:rsid w:val="00B35C67"/>
    <w:rsid w:val="00B36629"/>
    <w:rsid w:val="00B444BC"/>
    <w:rsid w:val="00B458C7"/>
    <w:rsid w:val="00B53CAC"/>
    <w:rsid w:val="00B649B6"/>
    <w:rsid w:val="00B66A90"/>
    <w:rsid w:val="00B66C16"/>
    <w:rsid w:val="00B67CE3"/>
    <w:rsid w:val="00B71FAE"/>
    <w:rsid w:val="00B73820"/>
    <w:rsid w:val="00B73FAF"/>
    <w:rsid w:val="00B775CA"/>
    <w:rsid w:val="00B8146E"/>
    <w:rsid w:val="00B8429E"/>
    <w:rsid w:val="00B86A53"/>
    <w:rsid w:val="00B902F4"/>
    <w:rsid w:val="00B90771"/>
    <w:rsid w:val="00B90B58"/>
    <w:rsid w:val="00BA494D"/>
    <w:rsid w:val="00BA6EFE"/>
    <w:rsid w:val="00BB162F"/>
    <w:rsid w:val="00BB2CB6"/>
    <w:rsid w:val="00BB43F9"/>
    <w:rsid w:val="00BB4974"/>
    <w:rsid w:val="00BB6068"/>
    <w:rsid w:val="00BB7F52"/>
    <w:rsid w:val="00BC3666"/>
    <w:rsid w:val="00BC7663"/>
    <w:rsid w:val="00BD5404"/>
    <w:rsid w:val="00BD6037"/>
    <w:rsid w:val="00BE07F7"/>
    <w:rsid w:val="00BE3337"/>
    <w:rsid w:val="00BE60A1"/>
    <w:rsid w:val="00BE666A"/>
    <w:rsid w:val="00BF30D6"/>
    <w:rsid w:val="00BF4404"/>
    <w:rsid w:val="00BF66FB"/>
    <w:rsid w:val="00C00F09"/>
    <w:rsid w:val="00C02FC6"/>
    <w:rsid w:val="00C112D5"/>
    <w:rsid w:val="00C17949"/>
    <w:rsid w:val="00C303D9"/>
    <w:rsid w:val="00C30A0D"/>
    <w:rsid w:val="00C31C5B"/>
    <w:rsid w:val="00C343C0"/>
    <w:rsid w:val="00C34A12"/>
    <w:rsid w:val="00C36AA9"/>
    <w:rsid w:val="00C36C6B"/>
    <w:rsid w:val="00C41399"/>
    <w:rsid w:val="00C46B40"/>
    <w:rsid w:val="00C52853"/>
    <w:rsid w:val="00C52CC1"/>
    <w:rsid w:val="00C55354"/>
    <w:rsid w:val="00C562A8"/>
    <w:rsid w:val="00C6424E"/>
    <w:rsid w:val="00C712DC"/>
    <w:rsid w:val="00C71492"/>
    <w:rsid w:val="00C82F0D"/>
    <w:rsid w:val="00C8423B"/>
    <w:rsid w:val="00C92ECD"/>
    <w:rsid w:val="00C96F0E"/>
    <w:rsid w:val="00CA09E9"/>
    <w:rsid w:val="00CA0DD7"/>
    <w:rsid w:val="00CA2AF7"/>
    <w:rsid w:val="00CA5703"/>
    <w:rsid w:val="00CA73C7"/>
    <w:rsid w:val="00CB1155"/>
    <w:rsid w:val="00CB1811"/>
    <w:rsid w:val="00CB1940"/>
    <w:rsid w:val="00CC0942"/>
    <w:rsid w:val="00CD4DF0"/>
    <w:rsid w:val="00CD5F28"/>
    <w:rsid w:val="00CE4338"/>
    <w:rsid w:val="00CF1BF3"/>
    <w:rsid w:val="00CF1E19"/>
    <w:rsid w:val="00CF22EF"/>
    <w:rsid w:val="00CF2400"/>
    <w:rsid w:val="00CF3DB9"/>
    <w:rsid w:val="00CF4F48"/>
    <w:rsid w:val="00CF56C2"/>
    <w:rsid w:val="00D0228A"/>
    <w:rsid w:val="00D069E9"/>
    <w:rsid w:val="00D126C1"/>
    <w:rsid w:val="00D14BD5"/>
    <w:rsid w:val="00D15166"/>
    <w:rsid w:val="00D1560E"/>
    <w:rsid w:val="00D17B79"/>
    <w:rsid w:val="00D20F97"/>
    <w:rsid w:val="00D2259F"/>
    <w:rsid w:val="00D31585"/>
    <w:rsid w:val="00D31C4F"/>
    <w:rsid w:val="00D36DA4"/>
    <w:rsid w:val="00D44C73"/>
    <w:rsid w:val="00D55BDE"/>
    <w:rsid w:val="00D636B0"/>
    <w:rsid w:val="00D7258B"/>
    <w:rsid w:val="00D75B9A"/>
    <w:rsid w:val="00D76383"/>
    <w:rsid w:val="00D84329"/>
    <w:rsid w:val="00D85CD9"/>
    <w:rsid w:val="00D85FDA"/>
    <w:rsid w:val="00D910DF"/>
    <w:rsid w:val="00D923D0"/>
    <w:rsid w:val="00D9514B"/>
    <w:rsid w:val="00D9681B"/>
    <w:rsid w:val="00DA2A54"/>
    <w:rsid w:val="00DA6D21"/>
    <w:rsid w:val="00DB0DF0"/>
    <w:rsid w:val="00DB39CA"/>
    <w:rsid w:val="00DB3CA5"/>
    <w:rsid w:val="00DB42A9"/>
    <w:rsid w:val="00DB60C8"/>
    <w:rsid w:val="00DC14E0"/>
    <w:rsid w:val="00DC6B7F"/>
    <w:rsid w:val="00DD34F4"/>
    <w:rsid w:val="00DE732A"/>
    <w:rsid w:val="00DF31F4"/>
    <w:rsid w:val="00DF3F5D"/>
    <w:rsid w:val="00E00F9B"/>
    <w:rsid w:val="00E02CD5"/>
    <w:rsid w:val="00E10290"/>
    <w:rsid w:val="00E110D2"/>
    <w:rsid w:val="00E12F5E"/>
    <w:rsid w:val="00E13982"/>
    <w:rsid w:val="00E201C8"/>
    <w:rsid w:val="00E21218"/>
    <w:rsid w:val="00E215CF"/>
    <w:rsid w:val="00E22F7B"/>
    <w:rsid w:val="00E244FF"/>
    <w:rsid w:val="00E27CC0"/>
    <w:rsid w:val="00E3128A"/>
    <w:rsid w:val="00E333FA"/>
    <w:rsid w:val="00E34ECC"/>
    <w:rsid w:val="00E35008"/>
    <w:rsid w:val="00E3562D"/>
    <w:rsid w:val="00E36586"/>
    <w:rsid w:val="00E36CAD"/>
    <w:rsid w:val="00E44C9C"/>
    <w:rsid w:val="00E456CA"/>
    <w:rsid w:val="00E463E8"/>
    <w:rsid w:val="00E474E3"/>
    <w:rsid w:val="00E50D51"/>
    <w:rsid w:val="00E51047"/>
    <w:rsid w:val="00E636A3"/>
    <w:rsid w:val="00E706D1"/>
    <w:rsid w:val="00E70E1E"/>
    <w:rsid w:val="00E70EB6"/>
    <w:rsid w:val="00E71608"/>
    <w:rsid w:val="00E7575B"/>
    <w:rsid w:val="00E76028"/>
    <w:rsid w:val="00E8010E"/>
    <w:rsid w:val="00E8228C"/>
    <w:rsid w:val="00E83C80"/>
    <w:rsid w:val="00E86E16"/>
    <w:rsid w:val="00E90A95"/>
    <w:rsid w:val="00E91052"/>
    <w:rsid w:val="00E9292F"/>
    <w:rsid w:val="00E97244"/>
    <w:rsid w:val="00E977F8"/>
    <w:rsid w:val="00EA0C2B"/>
    <w:rsid w:val="00EA4220"/>
    <w:rsid w:val="00EA47A7"/>
    <w:rsid w:val="00EA6027"/>
    <w:rsid w:val="00EA7A20"/>
    <w:rsid w:val="00EB5C72"/>
    <w:rsid w:val="00EC15A2"/>
    <w:rsid w:val="00EC33C7"/>
    <w:rsid w:val="00EC3E2A"/>
    <w:rsid w:val="00EC3FF7"/>
    <w:rsid w:val="00EC52BF"/>
    <w:rsid w:val="00ED1B22"/>
    <w:rsid w:val="00ED6E38"/>
    <w:rsid w:val="00EE07A4"/>
    <w:rsid w:val="00EE3A84"/>
    <w:rsid w:val="00EE58FC"/>
    <w:rsid w:val="00EE6F7A"/>
    <w:rsid w:val="00EF4CDF"/>
    <w:rsid w:val="00EF674F"/>
    <w:rsid w:val="00F20254"/>
    <w:rsid w:val="00F20B62"/>
    <w:rsid w:val="00F2161B"/>
    <w:rsid w:val="00F216F9"/>
    <w:rsid w:val="00F21A28"/>
    <w:rsid w:val="00F22092"/>
    <w:rsid w:val="00F26875"/>
    <w:rsid w:val="00F27EDE"/>
    <w:rsid w:val="00F31F4A"/>
    <w:rsid w:val="00F348B4"/>
    <w:rsid w:val="00F34AAF"/>
    <w:rsid w:val="00F37F40"/>
    <w:rsid w:val="00F41C81"/>
    <w:rsid w:val="00F41CF8"/>
    <w:rsid w:val="00F4298F"/>
    <w:rsid w:val="00F42FE2"/>
    <w:rsid w:val="00F43800"/>
    <w:rsid w:val="00F45553"/>
    <w:rsid w:val="00F475E3"/>
    <w:rsid w:val="00F52C40"/>
    <w:rsid w:val="00F62062"/>
    <w:rsid w:val="00F625E5"/>
    <w:rsid w:val="00F6340A"/>
    <w:rsid w:val="00F65539"/>
    <w:rsid w:val="00F7033E"/>
    <w:rsid w:val="00F70574"/>
    <w:rsid w:val="00F721C0"/>
    <w:rsid w:val="00F727AB"/>
    <w:rsid w:val="00F7366E"/>
    <w:rsid w:val="00F755A4"/>
    <w:rsid w:val="00F76501"/>
    <w:rsid w:val="00F77222"/>
    <w:rsid w:val="00F82617"/>
    <w:rsid w:val="00F83F86"/>
    <w:rsid w:val="00F85D40"/>
    <w:rsid w:val="00F91587"/>
    <w:rsid w:val="00F93460"/>
    <w:rsid w:val="00F935CE"/>
    <w:rsid w:val="00F97C08"/>
    <w:rsid w:val="00FA2569"/>
    <w:rsid w:val="00FA312B"/>
    <w:rsid w:val="00FA5E6D"/>
    <w:rsid w:val="00FB2C09"/>
    <w:rsid w:val="00FB56B0"/>
    <w:rsid w:val="00FB5DCB"/>
    <w:rsid w:val="00FC377C"/>
    <w:rsid w:val="00FC603B"/>
    <w:rsid w:val="00FD5EFD"/>
    <w:rsid w:val="00FD6505"/>
    <w:rsid w:val="00FE2E7B"/>
    <w:rsid w:val="00FF5C8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DE87A5"/>
  <w15:chartTrackingRefBased/>
  <w15:docId w15:val="{67A28111-BBA3-48B2-B7DB-2A5B5513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95725A"/>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5049"/>
    <w:pPr>
      <w:ind w:left="720"/>
      <w:contextualSpacing/>
    </w:pPr>
  </w:style>
  <w:style w:type="character" w:styleId="PlaceholderText">
    <w:name w:val="Placeholder Text"/>
    <w:basedOn w:val="DefaultParagraphFont"/>
    <w:uiPriority w:val="99"/>
    <w:semiHidden/>
    <w:rsid w:val="0020755C"/>
    <w:rPr>
      <w:color w:val="808080"/>
    </w:rPr>
  </w:style>
  <w:style w:type="character" w:styleId="Emphasis">
    <w:name w:val="Emphasis"/>
    <w:basedOn w:val="DefaultParagraphFont"/>
    <w:uiPriority w:val="20"/>
    <w:qFormat/>
    <w:rsid w:val="002A2EE5"/>
    <w:rPr>
      <w:i/>
      <w:iCs/>
    </w:rPr>
  </w:style>
  <w:style w:type="character" w:customStyle="1" w:styleId="Heading3Char">
    <w:name w:val="Heading 3 Char"/>
    <w:basedOn w:val="DefaultParagraphFont"/>
    <w:link w:val="Heading3"/>
    <w:uiPriority w:val="9"/>
    <w:rsid w:val="0095725A"/>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9572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label">
    <w:name w:val="list-label"/>
    <w:basedOn w:val="DefaultParagraphFont"/>
    <w:rsid w:val="0095725A"/>
  </w:style>
  <w:style w:type="character" w:styleId="Strong">
    <w:name w:val="Strong"/>
    <w:basedOn w:val="DefaultParagraphFont"/>
    <w:uiPriority w:val="22"/>
    <w:qFormat/>
    <w:rsid w:val="00517144"/>
    <w:rPr>
      <w:b/>
      <w:bCs/>
    </w:rPr>
  </w:style>
  <w:style w:type="table" w:styleId="TableGrid">
    <w:name w:val="Table Grid"/>
    <w:basedOn w:val="TableNormal"/>
    <w:uiPriority w:val="39"/>
    <w:rsid w:val="00432C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F0044"/>
    <w:pPr>
      <w:spacing w:after="0" w:line="240" w:lineRule="auto"/>
    </w:pPr>
  </w:style>
  <w:style w:type="character" w:customStyle="1" w:styleId="st">
    <w:name w:val="st"/>
    <w:basedOn w:val="DefaultParagraphFont"/>
    <w:rsid w:val="00DC14E0"/>
  </w:style>
  <w:style w:type="character" w:styleId="CommentReference">
    <w:name w:val="annotation reference"/>
    <w:basedOn w:val="DefaultParagraphFont"/>
    <w:uiPriority w:val="99"/>
    <w:semiHidden/>
    <w:unhideWhenUsed/>
    <w:rsid w:val="00596A9C"/>
    <w:rPr>
      <w:sz w:val="16"/>
      <w:szCs w:val="16"/>
    </w:rPr>
  </w:style>
  <w:style w:type="paragraph" w:styleId="CommentText">
    <w:name w:val="annotation text"/>
    <w:basedOn w:val="Normal"/>
    <w:link w:val="CommentTextChar"/>
    <w:uiPriority w:val="99"/>
    <w:unhideWhenUsed/>
    <w:rsid w:val="00596A9C"/>
    <w:pPr>
      <w:spacing w:line="240" w:lineRule="auto"/>
    </w:pPr>
    <w:rPr>
      <w:sz w:val="20"/>
      <w:szCs w:val="20"/>
    </w:rPr>
  </w:style>
  <w:style w:type="character" w:customStyle="1" w:styleId="CommentTextChar">
    <w:name w:val="Comment Text Char"/>
    <w:basedOn w:val="DefaultParagraphFont"/>
    <w:link w:val="CommentText"/>
    <w:uiPriority w:val="99"/>
    <w:rsid w:val="00596A9C"/>
    <w:rPr>
      <w:sz w:val="20"/>
      <w:szCs w:val="20"/>
    </w:rPr>
  </w:style>
  <w:style w:type="paragraph" w:styleId="CommentSubject">
    <w:name w:val="annotation subject"/>
    <w:basedOn w:val="CommentText"/>
    <w:next w:val="CommentText"/>
    <w:link w:val="CommentSubjectChar"/>
    <w:uiPriority w:val="99"/>
    <w:semiHidden/>
    <w:unhideWhenUsed/>
    <w:rsid w:val="00596A9C"/>
    <w:rPr>
      <w:b/>
      <w:bCs/>
    </w:rPr>
  </w:style>
  <w:style w:type="character" w:customStyle="1" w:styleId="CommentSubjectChar">
    <w:name w:val="Comment Subject Char"/>
    <w:basedOn w:val="CommentTextChar"/>
    <w:link w:val="CommentSubject"/>
    <w:uiPriority w:val="99"/>
    <w:semiHidden/>
    <w:rsid w:val="00596A9C"/>
    <w:rPr>
      <w:b/>
      <w:bCs/>
      <w:sz w:val="20"/>
      <w:szCs w:val="20"/>
    </w:rPr>
  </w:style>
  <w:style w:type="paragraph" w:styleId="BalloonText">
    <w:name w:val="Balloon Text"/>
    <w:basedOn w:val="Normal"/>
    <w:link w:val="BalloonTextChar"/>
    <w:uiPriority w:val="99"/>
    <w:semiHidden/>
    <w:unhideWhenUsed/>
    <w:rsid w:val="00596A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6A9C"/>
    <w:rPr>
      <w:rFonts w:ascii="Segoe UI" w:hAnsi="Segoe UI" w:cs="Segoe UI"/>
      <w:sz w:val="18"/>
      <w:szCs w:val="18"/>
    </w:rPr>
  </w:style>
  <w:style w:type="character" w:styleId="Hyperlink">
    <w:name w:val="Hyperlink"/>
    <w:basedOn w:val="DefaultParagraphFont"/>
    <w:uiPriority w:val="99"/>
    <w:unhideWhenUsed/>
    <w:rsid w:val="002A5B86"/>
    <w:rPr>
      <w:color w:val="0563C1" w:themeColor="hyperlink"/>
      <w:u w:val="single"/>
    </w:rPr>
  </w:style>
  <w:style w:type="paragraph" w:styleId="Revision">
    <w:name w:val="Revision"/>
    <w:hidden/>
    <w:uiPriority w:val="99"/>
    <w:semiHidden/>
    <w:rsid w:val="00FD5EFD"/>
    <w:pPr>
      <w:spacing w:after="0" w:line="240" w:lineRule="auto"/>
    </w:pPr>
  </w:style>
  <w:style w:type="character" w:customStyle="1" w:styleId="lrzxr">
    <w:name w:val="lrzxr"/>
    <w:basedOn w:val="DefaultParagraphFont"/>
    <w:rsid w:val="00EC15A2"/>
  </w:style>
  <w:style w:type="paragraph" w:styleId="Header">
    <w:name w:val="header"/>
    <w:basedOn w:val="Normal"/>
    <w:link w:val="HeaderChar"/>
    <w:uiPriority w:val="99"/>
    <w:unhideWhenUsed/>
    <w:rsid w:val="00B775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75CA"/>
  </w:style>
  <w:style w:type="paragraph" w:styleId="Footer">
    <w:name w:val="footer"/>
    <w:basedOn w:val="Normal"/>
    <w:link w:val="FooterChar"/>
    <w:uiPriority w:val="99"/>
    <w:unhideWhenUsed/>
    <w:rsid w:val="00B775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75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67390">
      <w:bodyDiv w:val="1"/>
      <w:marLeft w:val="0"/>
      <w:marRight w:val="0"/>
      <w:marTop w:val="0"/>
      <w:marBottom w:val="0"/>
      <w:divBdr>
        <w:top w:val="none" w:sz="0" w:space="0" w:color="auto"/>
        <w:left w:val="none" w:sz="0" w:space="0" w:color="auto"/>
        <w:bottom w:val="none" w:sz="0" w:space="0" w:color="auto"/>
        <w:right w:val="none" w:sz="0" w:space="0" w:color="auto"/>
      </w:divBdr>
    </w:div>
    <w:div w:id="33234678">
      <w:bodyDiv w:val="1"/>
      <w:marLeft w:val="0"/>
      <w:marRight w:val="0"/>
      <w:marTop w:val="0"/>
      <w:marBottom w:val="0"/>
      <w:divBdr>
        <w:top w:val="none" w:sz="0" w:space="0" w:color="auto"/>
        <w:left w:val="none" w:sz="0" w:space="0" w:color="auto"/>
        <w:bottom w:val="none" w:sz="0" w:space="0" w:color="auto"/>
        <w:right w:val="none" w:sz="0" w:space="0" w:color="auto"/>
      </w:divBdr>
    </w:div>
    <w:div w:id="36128363">
      <w:bodyDiv w:val="1"/>
      <w:marLeft w:val="0"/>
      <w:marRight w:val="0"/>
      <w:marTop w:val="0"/>
      <w:marBottom w:val="0"/>
      <w:divBdr>
        <w:top w:val="none" w:sz="0" w:space="0" w:color="auto"/>
        <w:left w:val="none" w:sz="0" w:space="0" w:color="auto"/>
        <w:bottom w:val="none" w:sz="0" w:space="0" w:color="auto"/>
        <w:right w:val="none" w:sz="0" w:space="0" w:color="auto"/>
      </w:divBdr>
    </w:div>
    <w:div w:id="336856763">
      <w:bodyDiv w:val="1"/>
      <w:marLeft w:val="0"/>
      <w:marRight w:val="0"/>
      <w:marTop w:val="0"/>
      <w:marBottom w:val="0"/>
      <w:divBdr>
        <w:top w:val="none" w:sz="0" w:space="0" w:color="auto"/>
        <w:left w:val="none" w:sz="0" w:space="0" w:color="auto"/>
        <w:bottom w:val="none" w:sz="0" w:space="0" w:color="auto"/>
        <w:right w:val="none" w:sz="0" w:space="0" w:color="auto"/>
      </w:divBdr>
    </w:div>
    <w:div w:id="383915879">
      <w:bodyDiv w:val="1"/>
      <w:marLeft w:val="0"/>
      <w:marRight w:val="0"/>
      <w:marTop w:val="0"/>
      <w:marBottom w:val="0"/>
      <w:divBdr>
        <w:top w:val="none" w:sz="0" w:space="0" w:color="auto"/>
        <w:left w:val="none" w:sz="0" w:space="0" w:color="auto"/>
        <w:bottom w:val="none" w:sz="0" w:space="0" w:color="auto"/>
        <w:right w:val="none" w:sz="0" w:space="0" w:color="auto"/>
      </w:divBdr>
    </w:div>
    <w:div w:id="658657412">
      <w:bodyDiv w:val="1"/>
      <w:marLeft w:val="0"/>
      <w:marRight w:val="0"/>
      <w:marTop w:val="0"/>
      <w:marBottom w:val="0"/>
      <w:divBdr>
        <w:top w:val="none" w:sz="0" w:space="0" w:color="auto"/>
        <w:left w:val="none" w:sz="0" w:space="0" w:color="auto"/>
        <w:bottom w:val="none" w:sz="0" w:space="0" w:color="auto"/>
        <w:right w:val="none" w:sz="0" w:space="0" w:color="auto"/>
      </w:divBdr>
    </w:div>
    <w:div w:id="707949976">
      <w:bodyDiv w:val="1"/>
      <w:marLeft w:val="0"/>
      <w:marRight w:val="0"/>
      <w:marTop w:val="0"/>
      <w:marBottom w:val="0"/>
      <w:divBdr>
        <w:top w:val="none" w:sz="0" w:space="0" w:color="auto"/>
        <w:left w:val="none" w:sz="0" w:space="0" w:color="auto"/>
        <w:bottom w:val="none" w:sz="0" w:space="0" w:color="auto"/>
        <w:right w:val="none" w:sz="0" w:space="0" w:color="auto"/>
      </w:divBdr>
    </w:div>
    <w:div w:id="756513452">
      <w:bodyDiv w:val="1"/>
      <w:marLeft w:val="0"/>
      <w:marRight w:val="0"/>
      <w:marTop w:val="0"/>
      <w:marBottom w:val="0"/>
      <w:divBdr>
        <w:top w:val="none" w:sz="0" w:space="0" w:color="auto"/>
        <w:left w:val="none" w:sz="0" w:space="0" w:color="auto"/>
        <w:bottom w:val="none" w:sz="0" w:space="0" w:color="auto"/>
        <w:right w:val="none" w:sz="0" w:space="0" w:color="auto"/>
      </w:divBdr>
    </w:div>
    <w:div w:id="777457165">
      <w:bodyDiv w:val="1"/>
      <w:marLeft w:val="0"/>
      <w:marRight w:val="0"/>
      <w:marTop w:val="0"/>
      <w:marBottom w:val="0"/>
      <w:divBdr>
        <w:top w:val="none" w:sz="0" w:space="0" w:color="auto"/>
        <w:left w:val="none" w:sz="0" w:space="0" w:color="auto"/>
        <w:bottom w:val="none" w:sz="0" w:space="0" w:color="auto"/>
        <w:right w:val="none" w:sz="0" w:space="0" w:color="auto"/>
      </w:divBdr>
    </w:div>
    <w:div w:id="887689474">
      <w:bodyDiv w:val="1"/>
      <w:marLeft w:val="0"/>
      <w:marRight w:val="0"/>
      <w:marTop w:val="0"/>
      <w:marBottom w:val="0"/>
      <w:divBdr>
        <w:top w:val="none" w:sz="0" w:space="0" w:color="auto"/>
        <w:left w:val="none" w:sz="0" w:space="0" w:color="auto"/>
        <w:bottom w:val="none" w:sz="0" w:space="0" w:color="auto"/>
        <w:right w:val="none" w:sz="0" w:space="0" w:color="auto"/>
      </w:divBdr>
    </w:div>
    <w:div w:id="1046562774">
      <w:bodyDiv w:val="1"/>
      <w:marLeft w:val="0"/>
      <w:marRight w:val="0"/>
      <w:marTop w:val="0"/>
      <w:marBottom w:val="0"/>
      <w:divBdr>
        <w:top w:val="none" w:sz="0" w:space="0" w:color="auto"/>
        <w:left w:val="none" w:sz="0" w:space="0" w:color="auto"/>
        <w:bottom w:val="none" w:sz="0" w:space="0" w:color="auto"/>
        <w:right w:val="none" w:sz="0" w:space="0" w:color="auto"/>
      </w:divBdr>
      <w:divsChild>
        <w:div w:id="603659104">
          <w:marLeft w:val="0"/>
          <w:marRight w:val="0"/>
          <w:marTop w:val="0"/>
          <w:marBottom w:val="0"/>
          <w:divBdr>
            <w:top w:val="none" w:sz="0" w:space="0" w:color="auto"/>
            <w:left w:val="none" w:sz="0" w:space="0" w:color="auto"/>
            <w:bottom w:val="none" w:sz="0" w:space="0" w:color="auto"/>
            <w:right w:val="none" w:sz="0" w:space="0" w:color="auto"/>
          </w:divBdr>
        </w:div>
      </w:divsChild>
    </w:div>
    <w:div w:id="1085422321">
      <w:bodyDiv w:val="1"/>
      <w:marLeft w:val="0"/>
      <w:marRight w:val="0"/>
      <w:marTop w:val="0"/>
      <w:marBottom w:val="0"/>
      <w:divBdr>
        <w:top w:val="none" w:sz="0" w:space="0" w:color="auto"/>
        <w:left w:val="none" w:sz="0" w:space="0" w:color="auto"/>
        <w:bottom w:val="none" w:sz="0" w:space="0" w:color="auto"/>
        <w:right w:val="none" w:sz="0" w:space="0" w:color="auto"/>
      </w:divBdr>
    </w:div>
    <w:div w:id="1170021171">
      <w:bodyDiv w:val="1"/>
      <w:marLeft w:val="0"/>
      <w:marRight w:val="0"/>
      <w:marTop w:val="0"/>
      <w:marBottom w:val="0"/>
      <w:divBdr>
        <w:top w:val="none" w:sz="0" w:space="0" w:color="auto"/>
        <w:left w:val="none" w:sz="0" w:space="0" w:color="auto"/>
        <w:bottom w:val="none" w:sz="0" w:space="0" w:color="auto"/>
        <w:right w:val="none" w:sz="0" w:space="0" w:color="auto"/>
      </w:divBdr>
    </w:div>
    <w:div w:id="1214804825">
      <w:bodyDiv w:val="1"/>
      <w:marLeft w:val="0"/>
      <w:marRight w:val="0"/>
      <w:marTop w:val="0"/>
      <w:marBottom w:val="0"/>
      <w:divBdr>
        <w:top w:val="none" w:sz="0" w:space="0" w:color="auto"/>
        <w:left w:val="none" w:sz="0" w:space="0" w:color="auto"/>
        <w:bottom w:val="none" w:sz="0" w:space="0" w:color="auto"/>
        <w:right w:val="none" w:sz="0" w:space="0" w:color="auto"/>
      </w:divBdr>
    </w:div>
    <w:div w:id="1241258398">
      <w:bodyDiv w:val="1"/>
      <w:marLeft w:val="0"/>
      <w:marRight w:val="0"/>
      <w:marTop w:val="0"/>
      <w:marBottom w:val="0"/>
      <w:divBdr>
        <w:top w:val="none" w:sz="0" w:space="0" w:color="auto"/>
        <w:left w:val="none" w:sz="0" w:space="0" w:color="auto"/>
        <w:bottom w:val="none" w:sz="0" w:space="0" w:color="auto"/>
        <w:right w:val="none" w:sz="0" w:space="0" w:color="auto"/>
      </w:divBdr>
    </w:div>
    <w:div w:id="1289820631">
      <w:bodyDiv w:val="1"/>
      <w:marLeft w:val="0"/>
      <w:marRight w:val="0"/>
      <w:marTop w:val="0"/>
      <w:marBottom w:val="0"/>
      <w:divBdr>
        <w:top w:val="none" w:sz="0" w:space="0" w:color="auto"/>
        <w:left w:val="none" w:sz="0" w:space="0" w:color="auto"/>
        <w:bottom w:val="none" w:sz="0" w:space="0" w:color="auto"/>
        <w:right w:val="none" w:sz="0" w:space="0" w:color="auto"/>
      </w:divBdr>
    </w:div>
    <w:div w:id="1353071289">
      <w:bodyDiv w:val="1"/>
      <w:marLeft w:val="0"/>
      <w:marRight w:val="0"/>
      <w:marTop w:val="0"/>
      <w:marBottom w:val="0"/>
      <w:divBdr>
        <w:top w:val="none" w:sz="0" w:space="0" w:color="auto"/>
        <w:left w:val="none" w:sz="0" w:space="0" w:color="auto"/>
        <w:bottom w:val="none" w:sz="0" w:space="0" w:color="auto"/>
        <w:right w:val="none" w:sz="0" w:space="0" w:color="auto"/>
      </w:divBdr>
      <w:divsChild>
        <w:div w:id="1433738958">
          <w:marLeft w:val="0"/>
          <w:marRight w:val="0"/>
          <w:marTop w:val="0"/>
          <w:marBottom w:val="0"/>
          <w:divBdr>
            <w:top w:val="none" w:sz="0" w:space="0" w:color="auto"/>
            <w:left w:val="none" w:sz="0" w:space="0" w:color="auto"/>
            <w:bottom w:val="none" w:sz="0" w:space="0" w:color="auto"/>
            <w:right w:val="none" w:sz="0" w:space="0" w:color="auto"/>
          </w:divBdr>
        </w:div>
      </w:divsChild>
    </w:div>
    <w:div w:id="1447695277">
      <w:bodyDiv w:val="1"/>
      <w:marLeft w:val="0"/>
      <w:marRight w:val="0"/>
      <w:marTop w:val="0"/>
      <w:marBottom w:val="0"/>
      <w:divBdr>
        <w:top w:val="none" w:sz="0" w:space="0" w:color="auto"/>
        <w:left w:val="none" w:sz="0" w:space="0" w:color="auto"/>
        <w:bottom w:val="none" w:sz="0" w:space="0" w:color="auto"/>
        <w:right w:val="none" w:sz="0" w:space="0" w:color="auto"/>
      </w:divBdr>
    </w:div>
    <w:div w:id="1698312693">
      <w:bodyDiv w:val="1"/>
      <w:marLeft w:val="0"/>
      <w:marRight w:val="0"/>
      <w:marTop w:val="0"/>
      <w:marBottom w:val="0"/>
      <w:divBdr>
        <w:top w:val="none" w:sz="0" w:space="0" w:color="auto"/>
        <w:left w:val="none" w:sz="0" w:space="0" w:color="auto"/>
        <w:bottom w:val="none" w:sz="0" w:space="0" w:color="auto"/>
        <w:right w:val="none" w:sz="0" w:space="0" w:color="auto"/>
      </w:divBdr>
    </w:div>
    <w:div w:id="2095275158">
      <w:bodyDiv w:val="1"/>
      <w:marLeft w:val="0"/>
      <w:marRight w:val="0"/>
      <w:marTop w:val="0"/>
      <w:marBottom w:val="0"/>
      <w:divBdr>
        <w:top w:val="none" w:sz="0" w:space="0" w:color="auto"/>
        <w:left w:val="none" w:sz="0" w:space="0" w:color="auto"/>
        <w:bottom w:val="none" w:sz="0" w:space="0" w:color="auto"/>
        <w:right w:val="none" w:sz="0" w:space="0" w:color="auto"/>
      </w:divBdr>
    </w:div>
    <w:div w:id="2118061419">
      <w:bodyDiv w:val="1"/>
      <w:marLeft w:val="0"/>
      <w:marRight w:val="0"/>
      <w:marTop w:val="0"/>
      <w:marBottom w:val="0"/>
      <w:divBdr>
        <w:top w:val="none" w:sz="0" w:space="0" w:color="auto"/>
        <w:left w:val="none" w:sz="0" w:space="0" w:color="auto"/>
        <w:bottom w:val="none" w:sz="0" w:space="0" w:color="auto"/>
        <w:right w:val="none" w:sz="0" w:space="0" w:color="auto"/>
      </w:divBdr>
    </w:div>
    <w:div w:id="2138378665">
      <w:bodyDiv w:val="1"/>
      <w:marLeft w:val="0"/>
      <w:marRight w:val="0"/>
      <w:marTop w:val="0"/>
      <w:marBottom w:val="0"/>
      <w:divBdr>
        <w:top w:val="none" w:sz="0" w:space="0" w:color="auto"/>
        <w:left w:val="none" w:sz="0" w:space="0" w:color="auto"/>
        <w:bottom w:val="none" w:sz="0" w:space="0" w:color="auto"/>
        <w:right w:val="none" w:sz="0" w:space="0" w:color="auto"/>
      </w:divBdr>
    </w:div>
    <w:div w:id="2143189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t.walsh@amsterdamumc.n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563BD-6335-4C47-A019-D96ED32C5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33</Pages>
  <Words>31591</Words>
  <Characters>180069</Characters>
  <Application>Microsoft Office Word</Application>
  <DocSecurity>0</DocSecurity>
  <Lines>1500</Lines>
  <Paragraphs>422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211238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rwalsh</dc:creator>
  <cp:keywords/>
  <dc:description/>
  <cp:lastModifiedBy>rwalsh</cp:lastModifiedBy>
  <cp:revision>3</cp:revision>
  <dcterms:created xsi:type="dcterms:W3CDTF">2020-07-24T10:27:00Z</dcterms:created>
  <dcterms:modified xsi:type="dcterms:W3CDTF">2020-07-24T10:36:00Z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51c05b8e-3c18-31ae-bab9-0462ec7b5267</vt:lpwstr>
  </property>
  <property fmtid="{D5CDD505-2E9C-101B-9397-08002B2CF9AE}" pid="4" name="Mendeley Citation Style_1">
    <vt:lpwstr>http://www.zotero.org/styles/american-medical-association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http://www.zotero.org/styles/circulation</vt:lpwstr>
  </property>
  <property fmtid="{D5CDD505-2E9C-101B-9397-08002B2CF9AE}" pid="12" name="Mendeley Recent Style Name 3_1">
    <vt:lpwstr>Circulation</vt:lpwstr>
  </property>
  <property fmtid="{D5CDD505-2E9C-101B-9397-08002B2CF9AE}" pid="13" name="Mendeley Recent Style Id 4_1">
    <vt:lpwstr>https://csl.mendeley.com/styles/369955521/european-society-of-cardiology</vt:lpwstr>
  </property>
  <property fmtid="{D5CDD505-2E9C-101B-9397-08002B2CF9AE}" pid="14" name="Mendeley Recent Style Name 4_1">
    <vt:lpwstr>European Society of Cardiology - Roddy Walsh</vt:lpwstr>
  </property>
  <property fmtid="{D5CDD505-2E9C-101B-9397-08002B2CF9AE}" pid="15" name="Mendeley Recent Style Id 5_1">
    <vt:lpwstr>http://www.zotero.org/styles/genetics-in-medicine</vt:lpwstr>
  </property>
  <property fmtid="{D5CDD505-2E9C-101B-9397-08002B2CF9AE}" pid="16" name="Mendeley Recent Style Name 5_1">
    <vt:lpwstr>Genetics in Medicine</vt:lpwstr>
  </property>
  <property fmtid="{D5CDD505-2E9C-101B-9397-08002B2CF9AE}" pid="17" name="Mendeley Recent Style Id 6_1">
    <vt:lpwstr>http://www.zotero.org/styles/jacc-cardiovascular-interventions</vt:lpwstr>
  </property>
  <property fmtid="{D5CDD505-2E9C-101B-9397-08002B2CF9AE}" pid="18" name="Mendeley Recent Style Name 6_1">
    <vt:lpwstr>JACC: Cardiovascular Interventions</vt:lpwstr>
  </property>
  <property fmtid="{D5CDD505-2E9C-101B-9397-08002B2CF9AE}" pid="19" name="Mendeley Recent Style Id 7_1">
    <vt:lpwstr>http://www.zotero.org/styles/journal-of-the-american-college-of-cardiology</vt:lpwstr>
  </property>
  <property fmtid="{D5CDD505-2E9C-101B-9397-08002B2CF9AE}" pid="20" name="Mendeley Recent Style Name 7_1">
    <vt:lpwstr>Journal of the American College of Cardiology</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