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0F77" w14:textId="6774C9B5" w:rsidR="00A02931" w:rsidRPr="00A02931" w:rsidRDefault="00A02931" w:rsidP="00A02931">
      <w:pPr>
        <w:pStyle w:val="AuthorList"/>
        <w:jc w:val="center"/>
        <w:rPr>
          <w:bCs/>
          <w:sz w:val="32"/>
          <w:szCs w:val="32"/>
          <w:lang w:val="en-AU"/>
        </w:rPr>
      </w:pPr>
      <w:r w:rsidRPr="00A02931">
        <w:rPr>
          <w:bCs/>
          <w:sz w:val="32"/>
          <w:szCs w:val="32"/>
          <w:lang w:val="en-AU"/>
        </w:rPr>
        <w:t xml:space="preserve">Accounting for underreporting in mathematical </w:t>
      </w:r>
      <w:proofErr w:type="spellStart"/>
      <w:r w:rsidRPr="00A02931">
        <w:rPr>
          <w:bCs/>
          <w:sz w:val="32"/>
          <w:szCs w:val="32"/>
          <w:lang w:val="en-AU"/>
        </w:rPr>
        <w:t>modeling</w:t>
      </w:r>
      <w:proofErr w:type="spellEnd"/>
      <w:r w:rsidRPr="00A02931">
        <w:rPr>
          <w:bCs/>
          <w:sz w:val="32"/>
          <w:szCs w:val="32"/>
          <w:lang w:val="en-AU"/>
        </w:rPr>
        <w:t xml:space="preserve"> of transmission and control of COVID-19 in Iran</w:t>
      </w:r>
    </w:p>
    <w:p w14:paraId="337586F1" w14:textId="064F74EB" w:rsidR="002868E2" w:rsidRPr="00376CC5" w:rsidRDefault="00A02931" w:rsidP="00651CA2">
      <w:pPr>
        <w:pStyle w:val="AuthorList"/>
      </w:pPr>
      <w:r>
        <w:t>Meead Saberi</w:t>
      </w:r>
      <w:r w:rsidR="00A75F87" w:rsidRPr="00A545C6">
        <w:rPr>
          <w:vertAlign w:val="superscript"/>
        </w:rPr>
        <w:t>1</w:t>
      </w:r>
      <w:r w:rsidRPr="00A545C6">
        <w:rPr>
          <w:vertAlign w:val="superscript"/>
        </w:rPr>
        <w:t>*</w:t>
      </w:r>
      <w:r w:rsidR="002868E2" w:rsidRPr="00376CC5">
        <w:t xml:space="preserve">, </w:t>
      </w:r>
      <w:r>
        <w:t>Homayoun Hamedmoghadam</w:t>
      </w:r>
      <w:r w:rsidR="002868E2" w:rsidRPr="00A545C6">
        <w:rPr>
          <w:vertAlign w:val="superscript"/>
        </w:rPr>
        <w:t>2</w:t>
      </w:r>
      <w:r w:rsidR="002868E2" w:rsidRPr="00376CC5">
        <w:t xml:space="preserve">, </w:t>
      </w:r>
      <w:r>
        <w:t>Kaveh Madani</w:t>
      </w:r>
      <w:r>
        <w:rPr>
          <w:vertAlign w:val="superscript"/>
        </w:rPr>
        <w:t>3</w:t>
      </w:r>
      <w:r w:rsidRPr="00376CC5">
        <w:t xml:space="preserve">, </w:t>
      </w:r>
      <w:r>
        <w:t>Helen M. Dolk</w:t>
      </w:r>
      <w:r>
        <w:rPr>
          <w:vertAlign w:val="superscript"/>
        </w:rPr>
        <w:t>4</w:t>
      </w:r>
      <w:r w:rsidRPr="00376CC5">
        <w:t xml:space="preserve">, </w:t>
      </w:r>
      <w:r>
        <w:t>Andrei S. Morgan</w:t>
      </w:r>
      <w:r>
        <w:rPr>
          <w:vertAlign w:val="superscript"/>
        </w:rPr>
        <w:t>5</w:t>
      </w:r>
      <w:r w:rsidRPr="00A545C6">
        <w:rPr>
          <w:vertAlign w:val="superscript"/>
        </w:rPr>
        <w:t>,</w:t>
      </w:r>
      <w:r>
        <w:rPr>
          <w:vertAlign w:val="superscript"/>
        </w:rPr>
        <w:t>6</w:t>
      </w:r>
      <w:r w:rsidRPr="00376CC5">
        <w:t xml:space="preserve">, </w:t>
      </w:r>
      <w:r>
        <w:t>Joan K. Morris</w:t>
      </w:r>
      <w:r>
        <w:rPr>
          <w:vertAlign w:val="superscript"/>
        </w:rPr>
        <w:t>7</w:t>
      </w:r>
      <w:r w:rsidRPr="00376CC5">
        <w:t xml:space="preserve">, </w:t>
      </w:r>
      <w:r>
        <w:t>Kaveh Khoshnood</w:t>
      </w:r>
      <w:r>
        <w:rPr>
          <w:vertAlign w:val="superscript"/>
        </w:rPr>
        <w:t>8</w:t>
      </w:r>
      <w:r w:rsidRPr="00376CC5">
        <w:t xml:space="preserve">, </w:t>
      </w:r>
      <w:r>
        <w:t>Babak Khoshnood</w:t>
      </w:r>
      <w:r>
        <w:rPr>
          <w:vertAlign w:val="superscript"/>
        </w:rPr>
        <w:t>5</w:t>
      </w:r>
    </w:p>
    <w:p w14:paraId="626845AB" w14:textId="7B7C8543" w:rsidR="002868E2" w:rsidRDefault="002868E2" w:rsidP="00A02931">
      <w:pPr>
        <w:spacing w:before="0" w:after="0"/>
        <w:rPr>
          <w:rFonts w:cs="Times New Roman"/>
          <w:szCs w:val="24"/>
          <w:lang w:val="en-AU"/>
        </w:rPr>
      </w:pPr>
      <w:r w:rsidRPr="00376CC5">
        <w:rPr>
          <w:rFonts w:cs="Times New Roman"/>
          <w:szCs w:val="24"/>
          <w:vertAlign w:val="superscript"/>
        </w:rPr>
        <w:t>1</w:t>
      </w:r>
      <w:r w:rsidR="00A02931" w:rsidRPr="00A02931">
        <w:rPr>
          <w:i/>
          <w:iCs/>
          <w:sz w:val="18"/>
          <w:szCs w:val="18"/>
        </w:rPr>
        <w:t xml:space="preserve"> </w:t>
      </w:r>
      <w:r w:rsidR="00A02931" w:rsidRPr="00A02931">
        <w:rPr>
          <w:rFonts w:cs="Times New Roman"/>
          <w:szCs w:val="24"/>
        </w:rPr>
        <w:t>Research Centre for Integrated Transport Innovation, School of Civil and Environmental Engineering, University of New South Wales, Sydney, Australia</w:t>
      </w:r>
      <w:r w:rsidR="00A02931" w:rsidRPr="00376CC5">
        <w:rPr>
          <w:rFonts w:cs="Times New Roman"/>
          <w:szCs w:val="24"/>
          <w:vertAlign w:val="superscript"/>
        </w:rPr>
        <w:t xml:space="preserve"> </w:t>
      </w:r>
      <w:r w:rsidR="00A02931">
        <w:rPr>
          <w:rFonts w:cs="Times New Roman"/>
          <w:szCs w:val="24"/>
          <w:vertAlign w:val="superscript"/>
        </w:rPr>
        <w:br/>
      </w:r>
      <w:r w:rsidRPr="00376CC5">
        <w:rPr>
          <w:rFonts w:cs="Times New Roman"/>
          <w:szCs w:val="24"/>
          <w:vertAlign w:val="superscript"/>
        </w:rPr>
        <w:t>2</w:t>
      </w:r>
      <w:r w:rsidR="00A02931" w:rsidRPr="00A02931">
        <w:rPr>
          <w:rFonts w:eastAsia="Times New Roman" w:cs="Times New Roman"/>
          <w:i/>
          <w:iCs/>
          <w:sz w:val="18"/>
          <w:szCs w:val="18"/>
          <w:lang w:val="en-AU" w:eastAsia="en-GB"/>
        </w:rPr>
        <w:t xml:space="preserve"> </w:t>
      </w:r>
      <w:r w:rsidR="00A02931" w:rsidRPr="00A02931">
        <w:rPr>
          <w:rFonts w:cs="Times New Roman"/>
          <w:szCs w:val="24"/>
          <w:lang w:val="en-AU"/>
        </w:rPr>
        <w:t>Department of Civil Engineering, Monash University, Melbourne, Australia</w:t>
      </w:r>
    </w:p>
    <w:p w14:paraId="2A6F38E2" w14:textId="7B5905F1" w:rsidR="00A02931" w:rsidRDefault="00A02931" w:rsidP="00A02931">
      <w:pPr>
        <w:spacing w:before="0" w:after="0"/>
        <w:rPr>
          <w:rFonts w:cs="Times New Roman"/>
          <w:szCs w:val="24"/>
          <w:lang w:val="en-AU"/>
        </w:rPr>
      </w:pPr>
      <w:r>
        <w:rPr>
          <w:rFonts w:cs="Times New Roman"/>
          <w:szCs w:val="24"/>
          <w:vertAlign w:val="superscript"/>
        </w:rPr>
        <w:t>3</w:t>
      </w:r>
      <w:r w:rsidRPr="00A02931">
        <w:rPr>
          <w:rFonts w:eastAsia="Times New Roman" w:cs="Times New Roman"/>
          <w:i/>
          <w:iCs/>
          <w:sz w:val="18"/>
          <w:szCs w:val="18"/>
          <w:lang w:val="en-AU" w:eastAsia="en-GB"/>
        </w:rPr>
        <w:t xml:space="preserve"> </w:t>
      </w:r>
      <w:r w:rsidRPr="00A02931">
        <w:rPr>
          <w:rFonts w:cs="Times New Roman"/>
          <w:szCs w:val="24"/>
          <w:lang w:val="en-AU"/>
        </w:rPr>
        <w:t xml:space="preserve">Council on Middle East Studies, The Macmillan </w:t>
      </w:r>
      <w:proofErr w:type="spellStart"/>
      <w:r w:rsidRPr="00A02931">
        <w:rPr>
          <w:rFonts w:cs="Times New Roman"/>
          <w:szCs w:val="24"/>
          <w:lang w:val="en-AU"/>
        </w:rPr>
        <w:t>Center</w:t>
      </w:r>
      <w:proofErr w:type="spellEnd"/>
      <w:r w:rsidRPr="00A02931">
        <w:rPr>
          <w:rFonts w:cs="Times New Roman"/>
          <w:szCs w:val="24"/>
          <w:lang w:val="en-AU"/>
        </w:rPr>
        <w:t xml:space="preserve"> for International and Area Studies, Yale University, USA </w:t>
      </w:r>
      <w:r>
        <w:rPr>
          <w:rFonts w:cs="Times New Roman"/>
          <w:szCs w:val="24"/>
          <w:lang w:val="en-AU"/>
        </w:rPr>
        <w:br/>
      </w:r>
      <w:r>
        <w:rPr>
          <w:rFonts w:cs="Times New Roman"/>
          <w:szCs w:val="24"/>
          <w:vertAlign w:val="superscript"/>
        </w:rPr>
        <w:t>4</w:t>
      </w:r>
      <w:r w:rsidRPr="00A02931">
        <w:rPr>
          <w:rFonts w:eastAsia="Times New Roman" w:cs="Times New Roman"/>
          <w:i/>
          <w:iCs/>
          <w:sz w:val="18"/>
          <w:szCs w:val="18"/>
          <w:lang w:val="en-AU" w:eastAsia="en-GB"/>
        </w:rPr>
        <w:t xml:space="preserve"> </w:t>
      </w:r>
      <w:r w:rsidRPr="00A02931">
        <w:rPr>
          <w:rFonts w:cs="Times New Roman"/>
          <w:szCs w:val="24"/>
          <w:lang w:val="en-AU"/>
        </w:rPr>
        <w:t>University of Ulster, UK</w:t>
      </w:r>
    </w:p>
    <w:p w14:paraId="156F57E8" w14:textId="04C9954D" w:rsidR="00A02931" w:rsidRDefault="00A02931" w:rsidP="00A02931">
      <w:pPr>
        <w:spacing w:before="0" w:after="0"/>
        <w:rPr>
          <w:rFonts w:cs="Times New Roman"/>
          <w:szCs w:val="24"/>
          <w:lang w:val="en-AU"/>
        </w:rPr>
      </w:pPr>
      <w:r>
        <w:rPr>
          <w:rFonts w:cs="Times New Roman"/>
          <w:szCs w:val="24"/>
          <w:vertAlign w:val="superscript"/>
        </w:rPr>
        <w:t>5</w:t>
      </w:r>
      <w:r w:rsidRPr="00A02931">
        <w:rPr>
          <w:rFonts w:eastAsia="Times New Roman" w:cs="Times New Roman"/>
          <w:i/>
          <w:iCs/>
          <w:sz w:val="18"/>
          <w:szCs w:val="18"/>
          <w:lang w:val="en-AU" w:eastAsia="en-GB"/>
        </w:rPr>
        <w:t xml:space="preserve"> </w:t>
      </w:r>
      <w:r w:rsidRPr="00A02931">
        <w:rPr>
          <w:rFonts w:cs="Times New Roman"/>
          <w:szCs w:val="24"/>
          <w:lang w:val="en-AU"/>
        </w:rPr>
        <w:t xml:space="preserve">Epidemiology and Biostatistics Sorbonne Paris </w:t>
      </w:r>
      <w:proofErr w:type="spellStart"/>
      <w:r w:rsidRPr="00A02931">
        <w:rPr>
          <w:rFonts w:cs="Times New Roman"/>
          <w:szCs w:val="24"/>
          <w:lang w:val="en-AU"/>
        </w:rPr>
        <w:t>Cité</w:t>
      </w:r>
      <w:proofErr w:type="spellEnd"/>
      <w:r w:rsidRPr="00A02931">
        <w:rPr>
          <w:rFonts w:cs="Times New Roman"/>
          <w:szCs w:val="24"/>
          <w:lang w:val="en-AU"/>
        </w:rPr>
        <w:t xml:space="preserve"> Research </w:t>
      </w:r>
      <w:proofErr w:type="spellStart"/>
      <w:r w:rsidRPr="00A02931">
        <w:rPr>
          <w:rFonts w:cs="Times New Roman"/>
          <w:szCs w:val="24"/>
          <w:lang w:val="en-AU"/>
        </w:rPr>
        <w:t>Center</w:t>
      </w:r>
      <w:proofErr w:type="spellEnd"/>
      <w:r w:rsidRPr="00A02931">
        <w:rPr>
          <w:rFonts w:cs="Times New Roman"/>
          <w:szCs w:val="24"/>
          <w:lang w:val="en-AU"/>
        </w:rPr>
        <w:t xml:space="preserve"> (U1153), INSERM, Paris, France</w:t>
      </w:r>
    </w:p>
    <w:p w14:paraId="71687531" w14:textId="5B5A7C9B" w:rsidR="00A02931" w:rsidRDefault="00A02931" w:rsidP="00A02931">
      <w:pPr>
        <w:spacing w:before="0" w:after="0"/>
        <w:rPr>
          <w:rFonts w:cs="Times New Roman"/>
          <w:szCs w:val="24"/>
          <w:lang w:val="en-AU"/>
        </w:rPr>
      </w:pPr>
      <w:r>
        <w:rPr>
          <w:rFonts w:cs="Times New Roman"/>
          <w:szCs w:val="24"/>
          <w:vertAlign w:val="superscript"/>
        </w:rPr>
        <w:t>6</w:t>
      </w:r>
      <w:r w:rsidRPr="00A02931">
        <w:rPr>
          <w:rFonts w:eastAsia="Times New Roman" w:cs="Times New Roman"/>
          <w:i/>
          <w:iCs/>
          <w:sz w:val="18"/>
          <w:szCs w:val="18"/>
          <w:lang w:val="en-AU" w:eastAsia="en-GB"/>
        </w:rPr>
        <w:t xml:space="preserve"> </w:t>
      </w:r>
      <w:r w:rsidRPr="00A02931">
        <w:rPr>
          <w:rFonts w:cs="Times New Roman"/>
          <w:szCs w:val="24"/>
          <w:lang w:val="en-AU"/>
        </w:rPr>
        <w:t xml:space="preserve">Institute for </w:t>
      </w:r>
      <w:proofErr w:type="spellStart"/>
      <w:r w:rsidRPr="00A02931">
        <w:rPr>
          <w:rFonts w:cs="Times New Roman"/>
          <w:szCs w:val="24"/>
          <w:lang w:val="en-AU"/>
        </w:rPr>
        <w:t>Womens</w:t>
      </w:r>
      <w:proofErr w:type="spellEnd"/>
      <w:r w:rsidRPr="00A02931">
        <w:rPr>
          <w:rFonts w:cs="Times New Roman"/>
          <w:szCs w:val="24"/>
          <w:lang w:val="en-AU"/>
        </w:rPr>
        <w:t>’ Health, University College of London, UK</w:t>
      </w:r>
      <w:r>
        <w:rPr>
          <w:rFonts w:cs="Times New Roman"/>
          <w:szCs w:val="24"/>
          <w:vertAlign w:val="superscript"/>
        </w:rPr>
        <w:t xml:space="preserve"> </w:t>
      </w:r>
      <w:r>
        <w:rPr>
          <w:rFonts w:cs="Times New Roman"/>
          <w:szCs w:val="24"/>
          <w:vertAlign w:val="superscript"/>
        </w:rPr>
        <w:br/>
        <w:t>7</w:t>
      </w:r>
      <w:r w:rsidRPr="00A02931">
        <w:rPr>
          <w:rFonts w:eastAsia="Times New Roman" w:cs="Times New Roman"/>
          <w:i/>
          <w:iCs/>
          <w:sz w:val="18"/>
          <w:szCs w:val="18"/>
          <w:lang w:val="en-AU" w:eastAsia="en-GB"/>
        </w:rPr>
        <w:t xml:space="preserve"> </w:t>
      </w:r>
      <w:r w:rsidRPr="00A02931">
        <w:rPr>
          <w:rFonts w:cs="Times New Roman"/>
          <w:szCs w:val="24"/>
          <w:lang w:val="en-AU"/>
        </w:rPr>
        <w:t>Population Health Research Institute, St George’s, University of London, London, UK</w:t>
      </w:r>
    </w:p>
    <w:p w14:paraId="1C18AC36" w14:textId="65DC89ED" w:rsidR="00A02931" w:rsidRPr="00A02931" w:rsidRDefault="00A02931" w:rsidP="00A02931">
      <w:pPr>
        <w:spacing w:before="0" w:after="0"/>
        <w:rPr>
          <w:rFonts w:cs="Times New Roman"/>
          <w:szCs w:val="24"/>
          <w:lang w:val="en-AU"/>
        </w:rPr>
      </w:pPr>
      <w:r>
        <w:rPr>
          <w:rFonts w:cs="Times New Roman"/>
          <w:szCs w:val="24"/>
          <w:vertAlign w:val="superscript"/>
        </w:rPr>
        <w:t>8</w:t>
      </w:r>
      <w:r w:rsidRPr="00A02931">
        <w:rPr>
          <w:rFonts w:eastAsia="Times New Roman" w:cs="Times New Roman"/>
          <w:i/>
          <w:iCs/>
          <w:sz w:val="18"/>
          <w:szCs w:val="18"/>
          <w:lang w:val="en-AU" w:eastAsia="en-GB"/>
        </w:rPr>
        <w:t xml:space="preserve"> </w:t>
      </w:r>
      <w:r w:rsidRPr="00A02931">
        <w:rPr>
          <w:rFonts w:cs="Times New Roman"/>
          <w:szCs w:val="24"/>
          <w:lang w:val="en-AU"/>
        </w:rPr>
        <w:t>Yale School of Public Health, New Haven, Connecticut, USA</w:t>
      </w:r>
    </w:p>
    <w:p w14:paraId="55458F15" w14:textId="09ED5B36"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Pr="00376CC5">
        <w:rPr>
          <w:rFonts w:cs="Times New Roman"/>
          <w:szCs w:val="24"/>
        </w:rPr>
        <w:t>Corresponding Author</w:t>
      </w:r>
      <w:r w:rsidR="00671D9A" w:rsidRPr="00376CC5">
        <w:rPr>
          <w:rFonts w:cs="Times New Roman"/>
          <w:szCs w:val="24"/>
        </w:rPr>
        <w:br/>
      </w:r>
      <w:hyperlink r:id="rId8" w:history="1">
        <w:r w:rsidR="00A02931" w:rsidRPr="00C85013">
          <w:rPr>
            <w:rStyle w:val="Hyperlink"/>
            <w:rFonts w:cs="Times New Roman"/>
            <w:szCs w:val="24"/>
          </w:rPr>
          <w:t>meead.saberi@unsw.edu.au</w:t>
        </w:r>
      </w:hyperlink>
      <w:r w:rsidR="00A02931">
        <w:rPr>
          <w:rFonts w:cs="Times New Roman"/>
          <w:szCs w:val="24"/>
        </w:rPr>
        <w:t xml:space="preserve"> </w:t>
      </w:r>
    </w:p>
    <w:p w14:paraId="688EE9ED" w14:textId="7DDD3E5D" w:rsidR="00EA3D3C" w:rsidRPr="00376CC5" w:rsidRDefault="00817DD6" w:rsidP="00651CA2">
      <w:pPr>
        <w:pStyle w:val="AuthorList"/>
      </w:pPr>
      <w:r w:rsidRPr="00376CC5">
        <w:t xml:space="preserve">Keywords: </w:t>
      </w:r>
      <w:r w:rsidR="00A02931">
        <w:t>COVID-19, Iran, Mathematical Modeling, Underreporting, Effective Reproduction Number</w:t>
      </w:r>
      <w:r w:rsidRPr="00376CC5">
        <w:t>.</w:t>
      </w:r>
    </w:p>
    <w:p w14:paraId="4DB10602" w14:textId="77777777" w:rsidR="008E2B54" w:rsidRPr="00376CC5" w:rsidRDefault="00EA3D3C" w:rsidP="00147395">
      <w:pPr>
        <w:pStyle w:val="AuthorList"/>
      </w:pPr>
      <w:r w:rsidRPr="00376CC5">
        <w:t>Abstract</w:t>
      </w:r>
    </w:p>
    <w:p w14:paraId="0F5200D5" w14:textId="1D798735" w:rsidR="00EA3D3C" w:rsidRDefault="00A02931" w:rsidP="00147395">
      <w:pPr>
        <w:rPr>
          <w:szCs w:val="24"/>
        </w:rPr>
      </w:pPr>
      <w:r w:rsidRPr="00A02931">
        <w:rPr>
          <w:szCs w:val="24"/>
        </w:rPr>
        <w:t xml:space="preserve">Iran has been the hardest hit country by the outbreak of SARS-CoV-2 in the Middle East. With a relatively high case fatality ratio and limited testing capacity, the number of confirmed cases reported is suspected to suffer from significant underreporting. Therefore, understanding the transmission dynamics of COVID-19 and assessing the effectiveness of the interventions that have taken place in Iran while accounting for the uncertain level of underreporting is of critical importance. </w:t>
      </w:r>
      <w:r>
        <w:rPr>
          <w:szCs w:val="24"/>
        </w:rPr>
        <w:t>In this paper, w</w:t>
      </w:r>
      <w:r w:rsidRPr="00A02931">
        <w:rPr>
          <w:szCs w:val="24"/>
        </w:rPr>
        <w:t>e develop</w:t>
      </w:r>
      <w:r>
        <w:rPr>
          <w:szCs w:val="24"/>
        </w:rPr>
        <w:t>ed</w:t>
      </w:r>
      <w:r w:rsidRPr="00A02931">
        <w:rPr>
          <w:szCs w:val="24"/>
        </w:rPr>
        <w:t xml:space="preserve"> a compartmental transmission model to estimate the </w:t>
      </w:r>
      <w:r>
        <w:rPr>
          <w:szCs w:val="24"/>
        </w:rPr>
        <w:t xml:space="preserve">time-dependent </w:t>
      </w:r>
      <w:r w:rsidRPr="00A02931">
        <w:rPr>
          <w:szCs w:val="24"/>
        </w:rPr>
        <w:t xml:space="preserve">effective reproduction number since the </w:t>
      </w:r>
      <w:r w:rsidRPr="004A698A">
        <w:rPr>
          <w:szCs w:val="24"/>
        </w:rPr>
        <w:t>beginning of the outbreak in Iran. We associate the variations in the effective reproduction number with a timeline of interventions and national events. The estimation method accounts for the underreporting due to low case ascertainment. Our estimates of the effective reproduction number ranged from 0.66 to 1.73 between February and April 2020, with a median of 1.16. We estimate a reduction in the effective reproduction number during this period, from 1.73 (95% CI 1.60 – 1.87) on 1 March 2020 to 0.69 (95% CI 0.68-0.70) on 15 April 2020, due to various non-pharmaceutical interventions. The series of non-pharmaceutical interventions and</w:t>
      </w:r>
      <w:r w:rsidRPr="00A02931">
        <w:rPr>
          <w:szCs w:val="24"/>
        </w:rPr>
        <w:t xml:space="preserve"> the public compliance that took place in Iran are found to be effective in slowing down the speed of the spread of COVID-19. However, we argue that if the impact of underreporting is overlooked, the estimated transmission and control dynamics could mislead the public health decisions, policy makers, and general public</w:t>
      </w:r>
      <w:r w:rsidR="004A698A">
        <w:rPr>
          <w:szCs w:val="24"/>
        </w:rPr>
        <w:t>.</w:t>
      </w:r>
    </w:p>
    <w:p w14:paraId="40E1521E" w14:textId="77777777" w:rsidR="004A698A" w:rsidRPr="00376CC5" w:rsidRDefault="004A698A" w:rsidP="00147395">
      <w:pPr>
        <w:rPr>
          <w:b/>
          <w:szCs w:val="24"/>
        </w:rPr>
      </w:pPr>
    </w:p>
    <w:p w14:paraId="57F6A29A" w14:textId="4FF66FC1" w:rsidR="00EA3D3C" w:rsidRPr="00376CC5" w:rsidRDefault="00BE307B" w:rsidP="00D9503C">
      <w:pPr>
        <w:pStyle w:val="Heading1"/>
      </w:pPr>
      <w:r>
        <w:lastRenderedPageBreak/>
        <w:t>INTRODUCTION</w:t>
      </w:r>
    </w:p>
    <w:p w14:paraId="6515944C" w14:textId="77777777" w:rsidR="00990A7C" w:rsidRDefault="004A698A" w:rsidP="00BE307B">
      <w:pPr>
        <w:rPr>
          <w:szCs w:val="24"/>
        </w:rPr>
      </w:pPr>
      <w:r w:rsidRPr="004A698A">
        <w:rPr>
          <w:szCs w:val="24"/>
        </w:rPr>
        <w:t>The outbreak of SARS-CoV-2 in Iran was first officially announced in February 2020, two months after the initial outbreak in Wuhan, China</w:t>
      </w:r>
      <w:r>
        <w:rPr>
          <w:szCs w:val="24"/>
        </w:rPr>
        <w:t xml:space="preserve"> [1]</w:t>
      </w:r>
      <w:r w:rsidRPr="004A698A">
        <w:rPr>
          <w:szCs w:val="24"/>
        </w:rPr>
        <w:t>. Iran’s patient zero is believed to have been a merchant from Qom who had travel history to China</w:t>
      </w:r>
      <w:r>
        <w:rPr>
          <w:szCs w:val="24"/>
        </w:rPr>
        <w:t xml:space="preserve"> [2]</w:t>
      </w:r>
      <w:r w:rsidRPr="004A698A">
        <w:rPr>
          <w:szCs w:val="24"/>
        </w:rPr>
        <w:t>. Despite the initial signs of a spread in Qom, the government declined to place the city under quarantine to contain the epidemic at an early stage for various technical, socio-economic, religious, and security reasons</w:t>
      </w:r>
      <w:r>
        <w:rPr>
          <w:szCs w:val="24"/>
        </w:rPr>
        <w:t xml:space="preserve"> [3]</w:t>
      </w:r>
      <w:r w:rsidRPr="004A698A">
        <w:rPr>
          <w:szCs w:val="24"/>
        </w:rPr>
        <w:t>. The first local non-pharmaceutical interventions such as schools and universities closure were put in place a few days after the official acknowledgement of the first cases in Qom and Tehran</w:t>
      </w:r>
      <w:r>
        <w:rPr>
          <w:szCs w:val="24"/>
        </w:rPr>
        <w:t xml:space="preserve"> [4]</w:t>
      </w:r>
      <w:r w:rsidRPr="004A698A">
        <w:rPr>
          <w:szCs w:val="24"/>
        </w:rPr>
        <w:t>. Since then, various public health control measures at the local and national levels were taken that are believed to have altered the course of the outbreak. See Figure 1 for a spatial illustration of the spread throughout the country by province in the first week since the official announcement of the first case (</w:t>
      </w:r>
      <w:r w:rsidR="00BE307B" w:rsidRPr="00BE307B">
        <w:rPr>
          <w:b/>
          <w:bCs/>
          <w:szCs w:val="24"/>
        </w:rPr>
        <w:t>Supplementary Material</w:t>
      </w:r>
      <w:r w:rsidRPr="004A698A">
        <w:rPr>
          <w:szCs w:val="24"/>
        </w:rPr>
        <w:t xml:space="preserve">). </w:t>
      </w:r>
    </w:p>
    <w:p w14:paraId="2B9B1D2B" w14:textId="3A07B2F6" w:rsidR="00BE307B" w:rsidRPr="00BE307B" w:rsidRDefault="004A698A" w:rsidP="00BE307B">
      <w:pPr>
        <w:rPr>
          <w:szCs w:val="24"/>
        </w:rPr>
      </w:pPr>
      <w:r w:rsidRPr="004A698A">
        <w:rPr>
          <w:szCs w:val="24"/>
        </w:rPr>
        <w:t>The relatively high case fatality ratio (CFR), defined as the total number of deaths over the total number of infected cases, in Iran’s official reports after the first week since the official declaration of the first case (16.8%) has raised questions on the true number of cases in the country</w:t>
      </w:r>
      <w:r>
        <w:rPr>
          <w:szCs w:val="24"/>
        </w:rPr>
        <w:t xml:space="preserve"> [5-6]. </w:t>
      </w:r>
      <w:r w:rsidRPr="004A698A">
        <w:rPr>
          <w:szCs w:val="24"/>
        </w:rPr>
        <w:t xml:space="preserve">The testing protocol in Iran at the early stages of the outbreak was limited to hospital admissions of the patients with severe symptoms. While Iran has extended the COVID-19 diagnostic testing capacity later on to patients with </w:t>
      </w:r>
      <w:r w:rsidRPr="00CB2B71">
        <w:rPr>
          <w:szCs w:val="24"/>
        </w:rPr>
        <w:t>milder symptoms, it is believed that under-ascertainment of cases still remains high.</w:t>
      </w:r>
      <w:r w:rsidR="00990A7C" w:rsidRPr="00CB2B71">
        <w:rPr>
          <w:szCs w:val="24"/>
        </w:rPr>
        <w:t xml:space="preserve"> While a number of studies have already explored the dynamics of the spread of COVID-19 in different countries with </w:t>
      </w:r>
      <w:r w:rsidR="00193F0E" w:rsidRPr="00CB2B71">
        <w:rPr>
          <w:szCs w:val="24"/>
        </w:rPr>
        <w:t>various</w:t>
      </w:r>
      <w:r w:rsidR="00990A7C" w:rsidRPr="00CB2B71">
        <w:rPr>
          <w:szCs w:val="24"/>
        </w:rPr>
        <w:t xml:space="preserve"> methodologies</w:t>
      </w:r>
      <w:r w:rsidR="0049428D" w:rsidRPr="00CB2B71">
        <w:rPr>
          <w:szCs w:val="24"/>
        </w:rPr>
        <w:t xml:space="preserve"> [7-10]</w:t>
      </w:r>
      <w:r w:rsidR="00193F0E" w:rsidRPr="00CB2B71">
        <w:rPr>
          <w:szCs w:val="24"/>
        </w:rPr>
        <w:t xml:space="preserve"> and its association with travel restrictions and </w:t>
      </w:r>
      <w:r w:rsidR="007D4D10" w:rsidRPr="00CB2B71">
        <w:rPr>
          <w:szCs w:val="24"/>
        </w:rPr>
        <w:t xml:space="preserve">other </w:t>
      </w:r>
      <w:r w:rsidR="00193F0E" w:rsidRPr="00CB2B71">
        <w:rPr>
          <w:szCs w:val="24"/>
        </w:rPr>
        <w:t>public health interventions</w:t>
      </w:r>
      <w:r w:rsidR="00990A7C" w:rsidRPr="00CB2B71">
        <w:rPr>
          <w:szCs w:val="24"/>
        </w:rPr>
        <w:t xml:space="preserve"> [</w:t>
      </w:r>
      <w:r w:rsidR="0049428D" w:rsidRPr="00CB2B71">
        <w:rPr>
          <w:szCs w:val="24"/>
        </w:rPr>
        <w:t>11</w:t>
      </w:r>
      <w:r w:rsidR="00990A7C" w:rsidRPr="00CB2B71">
        <w:rPr>
          <w:szCs w:val="24"/>
        </w:rPr>
        <w:t>,</w:t>
      </w:r>
      <w:r w:rsidR="0049428D" w:rsidRPr="00CB2B71">
        <w:rPr>
          <w:szCs w:val="24"/>
        </w:rPr>
        <w:t>12]</w:t>
      </w:r>
      <w:r w:rsidR="00990A7C" w:rsidRPr="00CB2B71">
        <w:rPr>
          <w:szCs w:val="24"/>
        </w:rPr>
        <w:t xml:space="preserve">, undocumented infections and how it </w:t>
      </w:r>
      <w:r w:rsidR="00193F0E" w:rsidRPr="00CB2B71">
        <w:rPr>
          <w:szCs w:val="24"/>
        </w:rPr>
        <w:t xml:space="preserve">could </w:t>
      </w:r>
      <w:r w:rsidR="00990A7C" w:rsidRPr="00CB2B71">
        <w:rPr>
          <w:szCs w:val="24"/>
        </w:rPr>
        <w:t>affect the spread of SARS-CoV-2 in a population has been a less explored area in the rapidly growing COVID-19 literature [</w:t>
      </w:r>
      <w:r w:rsidR="0049428D" w:rsidRPr="00CB2B71">
        <w:rPr>
          <w:szCs w:val="24"/>
        </w:rPr>
        <w:t>13</w:t>
      </w:r>
      <w:r w:rsidR="00990A7C" w:rsidRPr="00CB2B71">
        <w:rPr>
          <w:szCs w:val="24"/>
        </w:rPr>
        <w:t>]</w:t>
      </w:r>
      <w:r w:rsidR="0049428D" w:rsidRPr="00CB2B71">
        <w:rPr>
          <w:szCs w:val="24"/>
        </w:rPr>
        <w:t>.</w:t>
      </w:r>
    </w:p>
    <w:p w14:paraId="4598EB82" w14:textId="77777777" w:rsidR="00BE307B" w:rsidRPr="00BE307B" w:rsidRDefault="00BE307B" w:rsidP="00BE307B">
      <w:pPr>
        <w:rPr>
          <w:szCs w:val="24"/>
        </w:rPr>
      </w:pPr>
      <w:r w:rsidRPr="00BE307B">
        <w:rPr>
          <w:szCs w:val="24"/>
        </w:rPr>
        <w:t xml:space="preserve">This study aims to understand the transmission dynamics of COVID-19 in Iran and to assess the effectiveness of the control measures that were put in place over time through estimation of the effective reproduction number </w:t>
      </w:r>
      <m:oMath>
        <m:r>
          <w:rPr>
            <w:rFonts w:ascii="Cambria Math" w:hAnsi="Cambria Math"/>
            <w:szCs w:val="24"/>
          </w:rPr>
          <m:t>R(t)</m:t>
        </m:r>
      </m:oMath>
      <w:r w:rsidRPr="00BE307B">
        <w:rPr>
          <w:szCs w:val="24"/>
        </w:rPr>
        <w:t xml:space="preserve"> defined as the average number of susceptible persons infected by an infected person during its infectious period at a given time in the course of the epidemic. We assessed </w:t>
      </w:r>
      <m:oMath>
        <m:r>
          <w:rPr>
            <w:rFonts w:ascii="Cambria Math" w:hAnsi="Cambria Math"/>
            <w:szCs w:val="24"/>
          </w:rPr>
          <m:t>R(t)</m:t>
        </m:r>
      </m:oMath>
      <w:r w:rsidRPr="00BE307B">
        <w:rPr>
          <w:szCs w:val="24"/>
        </w:rPr>
        <w:t xml:space="preserve"> in relation to a timeline of national events and non-pharmaceutical interventions. In the absence of timely and reliable data, modelling can provide helpful answers, including the degree of plausible uncertainty in different estimates and the effectiveness of </w:t>
      </w:r>
      <w:r w:rsidRPr="00BE307B">
        <w:rPr>
          <w:bCs/>
          <w:szCs w:val="24"/>
        </w:rPr>
        <w:t>non-pharmaceutical</w:t>
      </w:r>
      <w:r w:rsidRPr="00BE307B">
        <w:rPr>
          <w:szCs w:val="24"/>
        </w:rPr>
        <w:t xml:space="preserve"> interventions. By providing explicit and clear information about model assumptions and parameters, modelling can also foster scientific discussion of data gaps and what can be done to improve outbreak-related estimates by borrowing information available elsewhere. Finally, models can be developed and presented using both average estimates and measures of their uncertainty or, alternatively, as scenarios that can illustrate possible developments of the epidemic under various conditions. </w:t>
      </w:r>
    </w:p>
    <w:p w14:paraId="4FE4A45B" w14:textId="5877C2AF" w:rsidR="00DE23E8" w:rsidRPr="00376CC5" w:rsidRDefault="00BE307B" w:rsidP="00AC0270">
      <w:pPr>
        <w:pStyle w:val="Heading1"/>
      </w:pPr>
      <w:r>
        <w:t>METHODS</w:t>
      </w:r>
    </w:p>
    <w:p w14:paraId="7C407520" w14:textId="6F84E8ED" w:rsidR="00BE307B" w:rsidRDefault="00BE307B" w:rsidP="00BE307B">
      <w:pPr>
        <w:pStyle w:val="Heading2"/>
      </w:pPr>
      <w:r>
        <w:t>Data Sources</w:t>
      </w:r>
    </w:p>
    <w:p w14:paraId="0823144A" w14:textId="1F1C4CCC" w:rsidR="00BE307B" w:rsidRDefault="00BE307B" w:rsidP="00BE307B">
      <w:pPr>
        <w:rPr>
          <w:szCs w:val="24"/>
        </w:rPr>
      </w:pPr>
      <w:r w:rsidRPr="00BE307B">
        <w:rPr>
          <w:szCs w:val="24"/>
        </w:rPr>
        <w:t>We use official time-series reports of the number of confirmed cases, recovered, and deaths from the World Health Organization (WHO</w:t>
      </w:r>
      <w:r>
        <w:rPr>
          <w:szCs w:val="24"/>
        </w:rPr>
        <w:t>) [1]</w:t>
      </w:r>
      <w:r w:rsidRPr="00BE307B">
        <w:rPr>
          <w:szCs w:val="24"/>
        </w:rPr>
        <w:t xml:space="preserve"> and Iran’s Ministry of Health and Medical Education [</w:t>
      </w:r>
      <w:r w:rsidR="0049428D">
        <w:rPr>
          <w:szCs w:val="24"/>
        </w:rPr>
        <w:t>14</w:t>
      </w:r>
      <w:r w:rsidRPr="00BE307B">
        <w:rPr>
          <w:szCs w:val="24"/>
        </w:rPr>
        <w:t>]. The first confirmed case was reported on 19 February 2020 which is assumed as the beginning of the outbreak of COVID-19 in Iran.</w:t>
      </w:r>
    </w:p>
    <w:p w14:paraId="63E2D1BC" w14:textId="5100918A" w:rsidR="00BE307B" w:rsidRDefault="00BE307B" w:rsidP="00BE307B">
      <w:pPr>
        <w:pStyle w:val="Heading2"/>
      </w:pPr>
      <w:r>
        <w:t>Mathematical Model</w:t>
      </w:r>
    </w:p>
    <w:p w14:paraId="6C316B47" w14:textId="631D6106" w:rsidR="00BE307B" w:rsidRDefault="00BE307B" w:rsidP="00BE307B">
      <w:pPr>
        <w:rPr>
          <w:szCs w:val="24"/>
        </w:rPr>
      </w:pPr>
      <w:r w:rsidRPr="00BE307B">
        <w:rPr>
          <w:szCs w:val="24"/>
        </w:rPr>
        <w:lastRenderedPageBreak/>
        <w:t xml:space="preserve">We describe the dynamics of spread using a variation of the susceptible-exposed-infected-recovered (SEIR) model, distinguishing between fatality and recovered cases combined with an estimate of </w:t>
      </w:r>
      <w:r w:rsidRPr="00BE307B">
        <w:rPr>
          <w:rFonts w:cs="Arial"/>
          <w:color w:val="000000"/>
          <w:szCs w:val="24"/>
        </w:rPr>
        <w:t>the percentage of symptomatic cases using delay-adjusted CFR</w:t>
      </w:r>
      <w:r w:rsidRPr="00BE307B">
        <w:rPr>
          <w:szCs w:val="24"/>
        </w:rPr>
        <w:t xml:space="preserve"> (</w:t>
      </w:r>
      <w:r w:rsidRPr="00BE307B">
        <w:rPr>
          <w:b/>
          <w:bCs/>
          <w:szCs w:val="24"/>
        </w:rPr>
        <w:t>Supplementary Material</w:t>
      </w:r>
      <w:r w:rsidRPr="00BE307B">
        <w:rPr>
          <w:szCs w:val="24"/>
        </w:rPr>
        <w:t xml:space="preserve">). See </w:t>
      </w:r>
      <w:r>
        <w:rPr>
          <w:szCs w:val="24"/>
        </w:rPr>
        <w:t>F</w:t>
      </w:r>
      <w:r w:rsidRPr="00BE307B">
        <w:rPr>
          <w:szCs w:val="24"/>
        </w:rPr>
        <w:t>igure 2. The model accounts for the time between exposure-to-onset of symptoms (or confirmation), also known as incubation period, assuming a gamma distribution with an average of 5.5 days and a standard deviation of 2.3 days</w:t>
      </w:r>
      <w:r>
        <w:rPr>
          <w:szCs w:val="24"/>
        </w:rPr>
        <w:t xml:space="preserve"> [</w:t>
      </w:r>
      <w:r w:rsidR="0049428D">
        <w:rPr>
          <w:szCs w:val="24"/>
        </w:rPr>
        <w:t>15</w:t>
      </w:r>
      <w:r>
        <w:rPr>
          <w:szCs w:val="24"/>
        </w:rPr>
        <w:t>]</w:t>
      </w:r>
      <w:r w:rsidRPr="00BE307B">
        <w:rPr>
          <w:szCs w:val="24"/>
        </w:rPr>
        <w:t>. We also assume the time from symptoms onset-to-death and -to-recovery both follow a gamma distribution with an average of 22.3 days and a standard deviation of 9.4 days and an average of 22.2 days and a standard deviation of 10 days, respectively</w:t>
      </w:r>
      <w:r>
        <w:rPr>
          <w:szCs w:val="24"/>
        </w:rPr>
        <w:t xml:space="preserve"> [</w:t>
      </w:r>
      <w:r w:rsidR="0049428D">
        <w:rPr>
          <w:szCs w:val="24"/>
        </w:rPr>
        <w:t>16</w:t>
      </w:r>
      <w:r>
        <w:rPr>
          <w:szCs w:val="24"/>
        </w:rPr>
        <w:t>]</w:t>
      </w:r>
      <w:r w:rsidRPr="00BE307B">
        <w:rPr>
          <w:szCs w:val="24"/>
        </w:rPr>
        <w:t>. The size of the initial susceptible population is assumed to be 80 million.</w:t>
      </w:r>
    </w:p>
    <w:p w14:paraId="0BB825E5" w14:textId="585B6034" w:rsidR="00BE307B" w:rsidRDefault="00BE307B" w:rsidP="00BE307B">
      <w:pPr>
        <w:pStyle w:val="Heading2"/>
      </w:pPr>
      <w:r>
        <w:t>Time-Dependent Effective Reproduction Number</w:t>
      </w:r>
    </w:p>
    <w:p w14:paraId="7E1DB117" w14:textId="68A5D0DD" w:rsidR="00BE307B" w:rsidRPr="00CB2B71" w:rsidRDefault="00BE307B" w:rsidP="00BE307B">
      <w:pPr>
        <w:rPr>
          <w:rFonts w:eastAsiaTheme="minorEastAsia"/>
          <w:color w:val="000000" w:themeColor="text1"/>
          <w:szCs w:val="24"/>
        </w:rPr>
      </w:pPr>
      <w:r w:rsidRPr="00BE307B">
        <w:rPr>
          <w:rFonts w:eastAsiaTheme="minorEastAsia"/>
          <w:color w:val="000000" w:themeColor="text1"/>
          <w:szCs w:val="24"/>
        </w:rPr>
        <w:t xml:space="preserve">The basic reproduction number, </w:t>
      </w:r>
      <m:oMath>
        <m:sSub>
          <m:sSubPr>
            <m:ctrlPr>
              <w:rPr>
                <w:rFonts w:ascii="Cambria Math" w:hAnsi="Cambria Math"/>
                <w:i/>
                <w:color w:val="000000" w:themeColor="text1"/>
                <w:szCs w:val="24"/>
              </w:rPr>
            </m:ctrlPr>
          </m:sSubPr>
          <m:e>
            <m:r>
              <w:rPr>
                <w:rFonts w:ascii="Cambria Math" w:hAnsi="Cambria Math"/>
                <w:color w:val="000000" w:themeColor="text1"/>
                <w:szCs w:val="24"/>
              </w:rPr>
              <m:t>R</m:t>
            </m:r>
          </m:e>
          <m:sub>
            <m:r>
              <w:rPr>
                <w:rFonts w:ascii="Cambria Math" w:hAnsi="Cambria Math"/>
                <w:color w:val="000000" w:themeColor="text1"/>
                <w:szCs w:val="24"/>
              </w:rPr>
              <m:t>0</m:t>
            </m:r>
          </m:sub>
        </m:sSub>
      </m:oMath>
      <w:r w:rsidRPr="00BE307B">
        <w:rPr>
          <w:rFonts w:eastAsiaTheme="minorEastAsia"/>
          <w:color w:val="000000" w:themeColor="text1"/>
          <w:szCs w:val="24"/>
        </w:rPr>
        <w:t xml:space="preserve">, a fundamental measure in infectious disease epidemiology and public health, is defined as the average number of susceptible persons infected by an infected person during its infectious period in a fully susceptible population. </w:t>
      </w:r>
      <m:oMath>
        <m:sSub>
          <m:sSubPr>
            <m:ctrlPr>
              <w:rPr>
                <w:rFonts w:ascii="Cambria Math" w:hAnsi="Cambria Math"/>
                <w:i/>
                <w:color w:val="000000" w:themeColor="text1"/>
                <w:szCs w:val="24"/>
              </w:rPr>
            </m:ctrlPr>
          </m:sSubPr>
          <m:e>
            <m:r>
              <w:rPr>
                <w:rFonts w:ascii="Cambria Math" w:hAnsi="Cambria Math"/>
                <w:color w:val="000000" w:themeColor="text1"/>
                <w:szCs w:val="24"/>
              </w:rPr>
              <m:t>R</m:t>
            </m:r>
          </m:e>
          <m:sub>
            <m:r>
              <w:rPr>
                <w:rFonts w:ascii="Cambria Math" w:hAnsi="Cambria Math"/>
                <w:color w:val="000000" w:themeColor="text1"/>
                <w:szCs w:val="24"/>
              </w:rPr>
              <m:t>0</m:t>
            </m:r>
          </m:sub>
        </m:sSub>
      </m:oMath>
      <w:r w:rsidRPr="00BE307B">
        <w:rPr>
          <w:rFonts w:eastAsiaTheme="minorEastAsia"/>
          <w:color w:val="000000" w:themeColor="text1"/>
          <w:szCs w:val="24"/>
        </w:rPr>
        <w:t xml:space="preserve"> is known to fluctuate if the social contact </w:t>
      </w:r>
      <w:r w:rsidRPr="00CB2B71">
        <w:rPr>
          <w:rFonts w:eastAsiaTheme="minorEastAsia"/>
          <w:color w:val="000000" w:themeColor="text1"/>
          <w:szCs w:val="24"/>
        </w:rPr>
        <w:t xml:space="preserve">rate in the population changes over time or space. Since </w:t>
      </w:r>
      <m:oMath>
        <m:sSub>
          <m:sSubPr>
            <m:ctrlPr>
              <w:rPr>
                <w:rFonts w:ascii="Cambria Math" w:hAnsi="Cambria Math"/>
                <w:i/>
                <w:color w:val="000000" w:themeColor="text1"/>
                <w:szCs w:val="24"/>
              </w:rPr>
            </m:ctrlPr>
          </m:sSubPr>
          <m:e>
            <m:r>
              <w:rPr>
                <w:rFonts w:ascii="Cambria Math" w:hAnsi="Cambria Math"/>
                <w:color w:val="000000" w:themeColor="text1"/>
                <w:szCs w:val="24"/>
              </w:rPr>
              <m:t>R</m:t>
            </m:r>
          </m:e>
          <m:sub>
            <m:r>
              <w:rPr>
                <w:rFonts w:ascii="Cambria Math" w:hAnsi="Cambria Math"/>
                <w:color w:val="000000" w:themeColor="text1"/>
                <w:szCs w:val="24"/>
              </w:rPr>
              <m:t>0</m:t>
            </m:r>
          </m:sub>
        </m:sSub>
      </m:oMath>
      <w:r w:rsidRPr="00CB2B71">
        <w:rPr>
          <w:rFonts w:eastAsiaTheme="minorEastAsia"/>
          <w:color w:val="000000" w:themeColor="text1"/>
          <w:szCs w:val="24"/>
        </w:rPr>
        <w:t xml:space="preserve"> assumes an entirely susceptible population, several studies in the literature [1</w:t>
      </w:r>
      <w:r w:rsidR="00CB2B71" w:rsidRPr="00CB2B71">
        <w:rPr>
          <w:rFonts w:eastAsiaTheme="minorEastAsia"/>
          <w:color w:val="000000" w:themeColor="text1"/>
          <w:szCs w:val="24"/>
        </w:rPr>
        <w:t>7</w:t>
      </w:r>
      <w:r w:rsidRPr="00CB2B71">
        <w:rPr>
          <w:rFonts w:eastAsiaTheme="minorEastAsia"/>
          <w:color w:val="000000" w:themeColor="text1"/>
          <w:szCs w:val="24"/>
        </w:rPr>
        <w:t>-</w:t>
      </w:r>
      <w:r w:rsidR="00CB2B71" w:rsidRPr="00CB2B71">
        <w:rPr>
          <w:rFonts w:eastAsiaTheme="minorEastAsia"/>
          <w:color w:val="000000" w:themeColor="text1"/>
          <w:szCs w:val="24"/>
        </w:rPr>
        <w:t>18</w:t>
      </w:r>
      <w:r w:rsidRPr="00CB2B71">
        <w:rPr>
          <w:rFonts w:eastAsiaTheme="minorEastAsia"/>
          <w:color w:val="000000" w:themeColor="text1"/>
          <w:szCs w:val="24"/>
        </w:rPr>
        <w:t xml:space="preserve">] suggest using the </w:t>
      </w:r>
      <w:r w:rsidR="00EF5861" w:rsidRPr="00CB2B71">
        <w:rPr>
          <w:rFonts w:eastAsiaTheme="minorEastAsia"/>
          <w:color w:val="000000" w:themeColor="text1"/>
          <w:szCs w:val="24"/>
        </w:rPr>
        <w:t xml:space="preserve">time-dependent </w:t>
      </w:r>
      <w:r w:rsidRPr="00CB2B71">
        <w:rPr>
          <w:rFonts w:eastAsiaTheme="minorEastAsia"/>
          <w:color w:val="000000" w:themeColor="text1"/>
          <w:szCs w:val="24"/>
        </w:rPr>
        <w:t xml:space="preserve">effective reproduction number </w:t>
      </w:r>
      <m:oMath>
        <m:r>
          <w:rPr>
            <w:rFonts w:ascii="Cambria Math" w:hAnsi="Cambria Math"/>
            <w:szCs w:val="24"/>
          </w:rPr>
          <m:t>R(t)</m:t>
        </m:r>
      </m:oMath>
      <w:r w:rsidRPr="00CB2B71">
        <w:rPr>
          <w:rFonts w:eastAsiaTheme="minorEastAsia"/>
          <w:color w:val="000000" w:themeColor="text1"/>
          <w:szCs w:val="24"/>
        </w:rPr>
        <w:t xml:space="preserve">when examining the effect of various interventions including vaccination, social distancing, and quarantine. </w:t>
      </w:r>
      <m:oMath>
        <m:r>
          <w:rPr>
            <w:rFonts w:ascii="Cambria Math" w:hAnsi="Cambria Math"/>
            <w:szCs w:val="24"/>
          </w:rPr>
          <m:t>R(t)</m:t>
        </m:r>
      </m:oMath>
      <w:r w:rsidRPr="00CB2B71">
        <w:rPr>
          <w:rFonts w:eastAsiaTheme="minorEastAsia"/>
          <w:color w:val="000000" w:themeColor="text1"/>
          <w:szCs w:val="24"/>
        </w:rPr>
        <w:t xml:space="preserve"> is defined similarly to </w:t>
      </w:r>
      <m:oMath>
        <m:sSub>
          <m:sSubPr>
            <m:ctrlPr>
              <w:rPr>
                <w:rFonts w:ascii="Cambria Math" w:hAnsi="Cambria Math"/>
                <w:i/>
                <w:color w:val="000000" w:themeColor="text1"/>
                <w:szCs w:val="24"/>
              </w:rPr>
            </m:ctrlPr>
          </m:sSubPr>
          <m:e>
            <m:r>
              <w:rPr>
                <w:rFonts w:ascii="Cambria Math" w:hAnsi="Cambria Math"/>
                <w:color w:val="000000" w:themeColor="text1"/>
                <w:szCs w:val="24"/>
              </w:rPr>
              <m:t>R</m:t>
            </m:r>
          </m:e>
          <m:sub>
            <m:r>
              <w:rPr>
                <w:rFonts w:ascii="Cambria Math" w:hAnsi="Cambria Math"/>
                <w:color w:val="000000" w:themeColor="text1"/>
                <w:szCs w:val="24"/>
              </w:rPr>
              <m:t>0</m:t>
            </m:r>
          </m:sub>
        </m:sSub>
      </m:oMath>
      <w:r w:rsidRPr="00CB2B71">
        <w:rPr>
          <w:rFonts w:eastAsiaTheme="minorEastAsia"/>
          <w:color w:val="000000" w:themeColor="text1"/>
          <w:szCs w:val="24"/>
        </w:rPr>
        <w:t xml:space="preserve"> but is not limited to the assumption of a completely susceptible population. Here, we use empirical data from Iran to trace changes in </w:t>
      </w:r>
      <m:oMath>
        <m:r>
          <w:rPr>
            <w:rFonts w:ascii="Cambria Math" w:hAnsi="Cambria Math"/>
            <w:szCs w:val="24"/>
          </w:rPr>
          <m:t>R(t)</m:t>
        </m:r>
      </m:oMath>
      <w:r w:rsidRPr="00CB2B71">
        <w:rPr>
          <w:rFonts w:eastAsiaTheme="minorEastAsia"/>
          <w:color w:val="000000" w:themeColor="text1"/>
          <w:szCs w:val="24"/>
        </w:rPr>
        <w:t xml:space="preserve"> over a rolling 7-day period since the beginning of the COVID-19 outbreak and describe its association with various interventions (e.g. school closures, social distancing, and bans on public gatherings) that took place by the public and government.</w:t>
      </w:r>
    </w:p>
    <w:p w14:paraId="541FB990" w14:textId="467BFECA" w:rsidR="00BE307B" w:rsidRDefault="00BE307B" w:rsidP="0049428D">
      <w:pPr>
        <w:rPr>
          <w:rFonts w:eastAsiaTheme="minorEastAsia"/>
          <w:color w:val="000000" w:themeColor="text1"/>
          <w:szCs w:val="24"/>
        </w:rPr>
      </w:pPr>
      <w:r w:rsidRPr="00CB2B71">
        <w:rPr>
          <w:rFonts w:eastAsiaTheme="minorEastAsia"/>
          <w:color w:val="000000" w:themeColor="text1"/>
          <w:szCs w:val="24"/>
        </w:rPr>
        <w:t xml:space="preserve">Various methods exist to estimate </w:t>
      </w:r>
      <m:oMath>
        <m:sSub>
          <m:sSubPr>
            <m:ctrlPr>
              <w:rPr>
                <w:rFonts w:ascii="Cambria Math" w:hAnsi="Cambria Math"/>
                <w:i/>
                <w:color w:val="000000" w:themeColor="text1"/>
                <w:szCs w:val="24"/>
              </w:rPr>
            </m:ctrlPr>
          </m:sSubPr>
          <m:e>
            <m:r>
              <w:rPr>
                <w:rFonts w:ascii="Cambria Math" w:hAnsi="Cambria Math"/>
                <w:color w:val="000000" w:themeColor="text1"/>
                <w:szCs w:val="24"/>
              </w:rPr>
              <m:t>R</m:t>
            </m:r>
          </m:e>
          <m:sub>
            <m:r>
              <w:rPr>
                <w:rFonts w:ascii="Cambria Math" w:hAnsi="Cambria Math"/>
                <w:color w:val="000000" w:themeColor="text1"/>
                <w:szCs w:val="24"/>
              </w:rPr>
              <m:t>0</m:t>
            </m:r>
          </m:sub>
        </m:sSub>
      </m:oMath>
      <w:r w:rsidRPr="00CB2B71">
        <w:rPr>
          <w:rFonts w:eastAsiaTheme="minorEastAsia"/>
          <w:color w:val="000000" w:themeColor="text1"/>
          <w:szCs w:val="24"/>
        </w:rPr>
        <w:t xml:space="preserve"> (and </w:t>
      </w:r>
      <m:oMath>
        <m:r>
          <w:rPr>
            <w:rFonts w:ascii="Cambria Math" w:hAnsi="Cambria Math"/>
            <w:szCs w:val="24"/>
          </w:rPr>
          <m:t>R(t)</m:t>
        </m:r>
      </m:oMath>
      <w:r w:rsidRPr="00CB2B71">
        <w:rPr>
          <w:rFonts w:eastAsiaTheme="minorEastAsia"/>
          <w:color w:val="000000" w:themeColor="text1"/>
          <w:szCs w:val="24"/>
        </w:rPr>
        <w:t>) [1</w:t>
      </w:r>
      <w:r w:rsidR="00CB2B71" w:rsidRPr="00CB2B71">
        <w:rPr>
          <w:rFonts w:eastAsiaTheme="minorEastAsia"/>
          <w:color w:val="000000" w:themeColor="text1"/>
          <w:szCs w:val="24"/>
        </w:rPr>
        <w:t>9</w:t>
      </w:r>
      <w:r w:rsidRPr="00CB2B71">
        <w:rPr>
          <w:rFonts w:eastAsiaTheme="minorEastAsia"/>
          <w:color w:val="000000" w:themeColor="text1"/>
          <w:szCs w:val="24"/>
        </w:rPr>
        <w:t>-</w:t>
      </w:r>
      <w:r w:rsidR="00CB2B71" w:rsidRPr="00CB2B71">
        <w:rPr>
          <w:rFonts w:eastAsiaTheme="minorEastAsia"/>
          <w:color w:val="000000" w:themeColor="text1"/>
          <w:szCs w:val="24"/>
        </w:rPr>
        <w:t>20</w:t>
      </w:r>
      <w:r w:rsidRPr="00CB2B71">
        <w:rPr>
          <w:rFonts w:eastAsiaTheme="minorEastAsia"/>
          <w:color w:val="000000" w:themeColor="text1"/>
          <w:szCs w:val="24"/>
        </w:rPr>
        <w:t>]. Here, we use the same framework described in Figure 2 in which the parameters of the formulated SEIR model are inferred through an optimization problem.</w:t>
      </w:r>
      <w:r w:rsidR="0017358F" w:rsidRPr="00CB2B71">
        <w:rPr>
          <w:rFonts w:eastAsiaTheme="minorEastAsia"/>
          <w:color w:val="000000" w:themeColor="text1"/>
          <w:szCs w:val="24"/>
        </w:rPr>
        <w:t xml:space="preserve"> </w:t>
      </w:r>
      <w:r w:rsidR="0049428D" w:rsidRPr="00CB2B71">
        <w:rPr>
          <w:szCs w:val="24"/>
        </w:rPr>
        <w:t xml:space="preserve">To estimate the parameters of the developed SEIR model, </w:t>
      </w:r>
      <w:r w:rsidR="0049428D" w:rsidRPr="00CB2B71">
        <w:rPr>
          <w:rFonts w:eastAsiaTheme="minorEastAsia"/>
          <w:color w:val="000000" w:themeColor="text1"/>
          <w:szCs w:val="24"/>
        </w:rPr>
        <w:t>we formulate an ordinary least squares (OLS) minimization [</w:t>
      </w:r>
      <w:r w:rsidR="00CB2B71" w:rsidRPr="00CB2B71">
        <w:rPr>
          <w:rFonts w:eastAsiaTheme="minorEastAsia"/>
          <w:color w:val="000000" w:themeColor="text1"/>
          <w:szCs w:val="24"/>
        </w:rPr>
        <w:t>21</w:t>
      </w:r>
      <w:r w:rsidR="0049428D" w:rsidRPr="00CB2B71">
        <w:rPr>
          <w:rFonts w:eastAsiaTheme="minorEastAsia"/>
          <w:color w:val="000000" w:themeColor="text1"/>
          <w:szCs w:val="24"/>
        </w:rPr>
        <w:t>]. We use pattern search as a derivative-free global optimization algorithm [</w:t>
      </w:r>
      <w:r w:rsidR="00CB2B71" w:rsidRPr="00CB2B71">
        <w:rPr>
          <w:rFonts w:eastAsiaTheme="minorEastAsia"/>
          <w:color w:val="000000" w:themeColor="text1"/>
          <w:szCs w:val="24"/>
        </w:rPr>
        <w:t>22</w:t>
      </w:r>
      <w:r w:rsidR="0049428D" w:rsidRPr="00CB2B71">
        <w:rPr>
          <w:rFonts w:eastAsiaTheme="minorEastAsia"/>
          <w:color w:val="000000" w:themeColor="text1"/>
          <w:szCs w:val="24"/>
        </w:rPr>
        <w:t xml:space="preserve">] to find the model parameters that minimizes the sum of the normalized root mean squared error (RMSE) of the number of infected </w:t>
      </w:r>
      <m:oMath>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ε</m:t>
            </m:r>
          </m:e>
          <m:sub>
            <m:r>
              <w:rPr>
                <w:rFonts w:ascii="Cambria Math" w:eastAsiaTheme="minorEastAsia" w:hAnsi="Cambria Math"/>
                <w:color w:val="000000" w:themeColor="text1"/>
                <w:szCs w:val="24"/>
              </w:rPr>
              <m:t>i</m:t>
            </m:r>
          </m:sub>
        </m:sSub>
      </m:oMath>
      <w:r w:rsidR="0049428D" w:rsidRPr="00CB2B71">
        <w:rPr>
          <w:rFonts w:eastAsiaTheme="minorEastAsia"/>
          <w:color w:val="000000" w:themeColor="text1"/>
          <w:szCs w:val="24"/>
        </w:rPr>
        <w:t xml:space="preserve">, recovered </w:t>
      </w:r>
      <m:oMath>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ε</m:t>
            </m:r>
          </m:e>
          <m:sub>
            <m:r>
              <w:rPr>
                <w:rFonts w:ascii="Cambria Math" w:eastAsiaTheme="minorEastAsia" w:hAnsi="Cambria Math"/>
                <w:color w:val="000000" w:themeColor="text1"/>
                <w:szCs w:val="24"/>
              </w:rPr>
              <m:t>r</m:t>
            </m:r>
          </m:sub>
        </m:sSub>
      </m:oMath>
      <w:r w:rsidR="0049428D" w:rsidRPr="00CB2B71">
        <w:rPr>
          <w:rFonts w:eastAsiaTheme="minorEastAsia"/>
          <w:color w:val="000000" w:themeColor="text1"/>
          <w:szCs w:val="24"/>
        </w:rPr>
        <w:t xml:space="preserve"> and removed cases </w:t>
      </w:r>
      <m:oMath>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ε</m:t>
            </m:r>
          </m:e>
          <m:sub>
            <m:r>
              <w:rPr>
                <w:rFonts w:ascii="Cambria Math" w:eastAsiaTheme="minorEastAsia" w:hAnsi="Cambria Math"/>
                <w:color w:val="000000" w:themeColor="text1"/>
                <w:szCs w:val="24"/>
              </w:rPr>
              <m:t>f</m:t>
            </m:r>
          </m:sub>
        </m:sSub>
      </m:oMath>
      <w:r w:rsidR="0049428D" w:rsidRPr="00CB2B71">
        <w:rPr>
          <w:rFonts w:eastAsiaTheme="minorEastAsia"/>
          <w:color w:val="000000" w:themeColor="text1"/>
          <w:szCs w:val="24"/>
        </w:rPr>
        <w:t xml:space="preserve">. </w:t>
      </w:r>
      <m:oMath>
        <m:r>
          <w:rPr>
            <w:rFonts w:ascii="Cambria Math" w:hAnsi="Cambria Math"/>
            <w:szCs w:val="24"/>
          </w:rPr>
          <m:t>R(t)</m:t>
        </m:r>
      </m:oMath>
      <w:r w:rsidRPr="00CB2B71">
        <w:rPr>
          <w:rFonts w:eastAsiaTheme="minorEastAsia"/>
          <w:color w:val="000000" w:themeColor="text1"/>
          <w:szCs w:val="24"/>
        </w:rPr>
        <w:t xml:space="preserve"> </w:t>
      </w:r>
      <w:r w:rsidR="0049428D" w:rsidRPr="00CB2B71">
        <w:rPr>
          <w:rFonts w:eastAsiaTheme="minorEastAsia"/>
          <w:color w:val="000000" w:themeColor="text1"/>
          <w:szCs w:val="24"/>
        </w:rPr>
        <w:t xml:space="preserve">then </w:t>
      </w:r>
      <w:r w:rsidRPr="00CB2B71">
        <w:rPr>
          <w:rFonts w:eastAsiaTheme="minorEastAsia"/>
          <w:color w:val="000000" w:themeColor="text1"/>
          <w:szCs w:val="24"/>
        </w:rPr>
        <w:t xml:space="preserve">is calculated using a rolling time window of 7 days to capture the evolving trend of the spread over time due to various changes in the social network contact rate. The calculated </w:t>
      </w:r>
      <m:oMath>
        <m:r>
          <w:rPr>
            <w:rFonts w:ascii="Cambria Math" w:hAnsi="Cambria Math"/>
            <w:szCs w:val="24"/>
          </w:rPr>
          <m:t>R(t)</m:t>
        </m:r>
      </m:oMath>
      <w:r w:rsidRPr="00CB2B71">
        <w:rPr>
          <w:rFonts w:eastAsiaTheme="minorEastAsia"/>
          <w:color w:val="000000" w:themeColor="text1"/>
          <w:szCs w:val="24"/>
        </w:rPr>
        <w:t xml:space="preserve"> may be overestimated during the early stage of an outbreak [</w:t>
      </w:r>
      <w:r w:rsidR="00CB2B71" w:rsidRPr="00CB2B71">
        <w:rPr>
          <w:rFonts w:eastAsiaTheme="minorEastAsia"/>
          <w:color w:val="000000" w:themeColor="text1"/>
          <w:szCs w:val="24"/>
        </w:rPr>
        <w:t>21</w:t>
      </w:r>
      <w:r w:rsidRPr="00CB2B71">
        <w:rPr>
          <w:rFonts w:eastAsiaTheme="minorEastAsia"/>
          <w:color w:val="000000" w:themeColor="text1"/>
          <w:szCs w:val="24"/>
        </w:rPr>
        <w:t>] due to different reasons including the impact of imported cases and heterogeneity in subpopulations (e.g. older than 60 years old) with higher transmission rates.</w:t>
      </w:r>
    </w:p>
    <w:p w14:paraId="15DDC89E" w14:textId="36073C89" w:rsidR="00BE307B" w:rsidRDefault="00BE307B" w:rsidP="00BE307B">
      <w:pPr>
        <w:pStyle w:val="Heading2"/>
      </w:pPr>
      <w:r>
        <w:t>Accounting for Underreporting</w:t>
      </w:r>
    </w:p>
    <w:p w14:paraId="413CF53D" w14:textId="627B4177" w:rsidR="00BE307B" w:rsidRPr="00BE307B" w:rsidRDefault="00BE307B" w:rsidP="00BE307B">
      <w:pPr>
        <w:rPr>
          <w:rFonts w:eastAsiaTheme="minorEastAsia"/>
          <w:color w:val="000000" w:themeColor="text1"/>
          <w:szCs w:val="24"/>
        </w:rPr>
      </w:pPr>
      <w:r w:rsidRPr="00BE307B">
        <w:rPr>
          <w:rFonts w:eastAsiaTheme="minorEastAsia"/>
          <w:color w:val="000000" w:themeColor="text1"/>
          <w:szCs w:val="24"/>
        </w:rPr>
        <w:t>We account for the under-reporting of the number of infected cases in the official confirmed data using delay-adjusted case fatality ratio (CFR) approach</w:t>
      </w:r>
      <w:r>
        <w:rPr>
          <w:rFonts w:eastAsiaTheme="minorEastAsia"/>
          <w:color w:val="000000" w:themeColor="text1"/>
          <w:szCs w:val="24"/>
        </w:rPr>
        <w:t xml:space="preserve"> [</w:t>
      </w:r>
      <w:r w:rsidR="00CB2B71">
        <w:rPr>
          <w:rFonts w:eastAsiaTheme="minorEastAsia"/>
          <w:color w:val="000000" w:themeColor="text1"/>
          <w:szCs w:val="24"/>
        </w:rPr>
        <w:t>25</w:t>
      </w:r>
      <w:r>
        <w:rPr>
          <w:rFonts w:eastAsiaTheme="minorEastAsia"/>
          <w:color w:val="000000" w:themeColor="text1"/>
          <w:szCs w:val="24"/>
        </w:rPr>
        <w:t>]</w:t>
      </w:r>
      <w:r w:rsidRPr="00BE307B">
        <w:rPr>
          <w:rFonts w:eastAsiaTheme="minorEastAsia"/>
          <w:color w:val="000000" w:themeColor="text1"/>
          <w:szCs w:val="24"/>
        </w:rPr>
        <w:t>. This approach assumes that the time from hospitalization-to-death has a known statistical distribution and uses this distribution to estimate when the people who died from COVID-19 would have been reported as being infected</w:t>
      </w:r>
      <w:r w:rsidR="0017358F">
        <w:rPr>
          <w:rFonts w:eastAsiaTheme="minorEastAsia"/>
          <w:color w:val="000000" w:themeColor="text1"/>
          <w:szCs w:val="24"/>
        </w:rPr>
        <w:t xml:space="preserve"> </w:t>
      </w:r>
      <w:r w:rsidR="0017358F" w:rsidRPr="004A698A">
        <w:rPr>
          <w:szCs w:val="24"/>
        </w:rPr>
        <w:t>(</w:t>
      </w:r>
      <w:r w:rsidR="0017358F" w:rsidRPr="00BE307B">
        <w:rPr>
          <w:b/>
          <w:bCs/>
          <w:szCs w:val="24"/>
        </w:rPr>
        <w:t>Supplementary Material</w:t>
      </w:r>
      <w:r w:rsidR="0017358F" w:rsidRPr="004A698A">
        <w:rPr>
          <w:szCs w:val="24"/>
        </w:rPr>
        <w:t>)</w:t>
      </w:r>
      <w:r w:rsidRPr="00BE307B">
        <w:rPr>
          <w:rFonts w:eastAsiaTheme="minorEastAsia"/>
          <w:color w:val="000000" w:themeColor="text1"/>
          <w:szCs w:val="24"/>
        </w:rPr>
        <w:t>. The case fatality ratio is the ratio of the numbers of deaths over the numbers of reported infections calculated at the time of reporting not the time of death. This is extremely important for rapidly evolving epidemics. The method, however, does not account for underreporting in fatality cases. The distribution of the time from confirmation-to-death is assumed to follow the same distribution as of the time from hospitalization-to-death, following a lognormal distribution with a mean of 13 days and a standard deviation of 12.7 days</w:t>
      </w:r>
      <w:r>
        <w:rPr>
          <w:rFonts w:eastAsiaTheme="minorEastAsia"/>
          <w:color w:val="000000" w:themeColor="text1"/>
          <w:szCs w:val="24"/>
        </w:rPr>
        <w:t xml:space="preserve"> [</w:t>
      </w:r>
      <w:r w:rsidR="00CB2B71">
        <w:rPr>
          <w:rFonts w:eastAsiaTheme="minorEastAsia"/>
          <w:color w:val="000000" w:themeColor="text1"/>
          <w:szCs w:val="24"/>
        </w:rPr>
        <w:t>26</w:t>
      </w:r>
      <w:r>
        <w:rPr>
          <w:rFonts w:eastAsiaTheme="minorEastAsia"/>
          <w:color w:val="000000" w:themeColor="text1"/>
          <w:szCs w:val="24"/>
        </w:rPr>
        <w:t>]</w:t>
      </w:r>
      <w:r w:rsidRPr="00BE307B">
        <w:rPr>
          <w:rFonts w:eastAsiaTheme="minorEastAsia"/>
          <w:color w:val="000000" w:themeColor="text1"/>
          <w:szCs w:val="24"/>
        </w:rPr>
        <w:t xml:space="preserve">. Here, we assume that the estimate for percentage of symptomatic COVID-19 cases reported for Iran follows a lognormal </w:t>
      </w:r>
      <w:r w:rsidRPr="00BE307B">
        <w:rPr>
          <w:rFonts w:eastAsiaTheme="minorEastAsia"/>
          <w:color w:val="000000" w:themeColor="text1"/>
          <w:szCs w:val="24"/>
        </w:rPr>
        <w:lastRenderedPageBreak/>
        <w:t>distribution (same distribution type as of the time from hospitalization-to-death) with a mean of 9.9% and a standard deviation of 4% based on the latest estimates in the literature</w:t>
      </w:r>
      <w:r>
        <w:rPr>
          <w:rFonts w:eastAsiaTheme="minorEastAsia"/>
          <w:color w:val="000000" w:themeColor="text1"/>
          <w:szCs w:val="24"/>
        </w:rPr>
        <w:t xml:space="preserve"> [</w:t>
      </w:r>
      <w:r w:rsidR="00CB2B71">
        <w:rPr>
          <w:rFonts w:eastAsiaTheme="minorEastAsia"/>
          <w:color w:val="000000" w:themeColor="text1"/>
          <w:szCs w:val="24"/>
        </w:rPr>
        <w:t>25</w:t>
      </w:r>
      <w:r>
        <w:rPr>
          <w:rFonts w:eastAsiaTheme="minorEastAsia"/>
          <w:color w:val="000000" w:themeColor="text1"/>
          <w:szCs w:val="24"/>
        </w:rPr>
        <w:t>]</w:t>
      </w:r>
      <w:r w:rsidRPr="00BE307B">
        <w:rPr>
          <w:rFonts w:eastAsiaTheme="minorEastAsia"/>
          <w:color w:val="000000" w:themeColor="text1"/>
          <w:szCs w:val="24"/>
        </w:rPr>
        <w:t>. This is based on the assumption of a baseline CFR of 1.4%. We assume the underreporting level remains constant over time.</w:t>
      </w:r>
    </w:p>
    <w:p w14:paraId="46E02CF1" w14:textId="7E575EED" w:rsidR="001D5C23" w:rsidRPr="00376CC5" w:rsidRDefault="00851786" w:rsidP="001D5C23">
      <w:pPr>
        <w:pStyle w:val="Heading1"/>
      </w:pPr>
      <w:r>
        <w:t>RESULTS</w:t>
      </w:r>
    </w:p>
    <w:p w14:paraId="53FBEBE0" w14:textId="42FDD66C" w:rsidR="00851786" w:rsidRPr="00851786" w:rsidRDefault="00851786" w:rsidP="00851786">
      <w:pPr>
        <w:rPr>
          <w:color w:val="000000" w:themeColor="text1"/>
          <w:szCs w:val="24"/>
        </w:rPr>
      </w:pPr>
      <w:r w:rsidRPr="00851786">
        <w:rPr>
          <w:szCs w:val="24"/>
        </w:rPr>
        <w:t xml:space="preserve">We estimated that </w:t>
      </w:r>
      <m:oMath>
        <m:r>
          <w:rPr>
            <w:rFonts w:ascii="Cambria Math" w:hAnsi="Cambria Math"/>
            <w:color w:val="000000" w:themeColor="text1"/>
            <w:szCs w:val="24"/>
          </w:rPr>
          <m:t>R(t)</m:t>
        </m:r>
      </m:oMath>
      <w:r w:rsidRPr="00851786">
        <w:rPr>
          <w:color w:val="000000" w:themeColor="text1"/>
          <w:szCs w:val="24"/>
        </w:rPr>
        <w:t xml:space="preserve"> varied between </w:t>
      </w:r>
      <w:r w:rsidRPr="00851786">
        <w:rPr>
          <w:szCs w:val="24"/>
        </w:rPr>
        <w:t>1.73 and</w:t>
      </w:r>
      <w:r w:rsidRPr="00851786">
        <w:rPr>
          <w:bCs/>
          <w:szCs w:val="24"/>
        </w:rPr>
        <w:t xml:space="preserve"> </w:t>
      </w:r>
      <w:r w:rsidRPr="00851786">
        <w:rPr>
          <w:szCs w:val="24"/>
        </w:rPr>
        <w:t xml:space="preserve">0.69 </w:t>
      </w:r>
      <w:r w:rsidRPr="00851786">
        <w:rPr>
          <w:color w:val="000000" w:themeColor="text1"/>
          <w:szCs w:val="24"/>
        </w:rPr>
        <w:t xml:space="preserve">during March to April 2020 in Iran, </w:t>
      </w:r>
      <w:r w:rsidRPr="00851786">
        <w:rPr>
          <w:bCs/>
          <w:szCs w:val="24"/>
        </w:rPr>
        <w:t xml:space="preserve">with a median of 1.16. We estimated a reduction in </w:t>
      </w:r>
      <m:oMath>
        <m:r>
          <w:rPr>
            <w:rFonts w:ascii="Cambria Math" w:hAnsi="Cambria Math"/>
            <w:color w:val="000000" w:themeColor="text1"/>
            <w:szCs w:val="24"/>
          </w:rPr>
          <m:t>R(t)</m:t>
        </m:r>
      </m:oMath>
      <w:r w:rsidRPr="00851786">
        <w:rPr>
          <w:color w:val="000000" w:themeColor="text1"/>
          <w:szCs w:val="24"/>
        </w:rPr>
        <w:t xml:space="preserve"> from early-March to mid-April, from 1.35 (95% CI 1.31-1.39) on 8 March 2020 to 0.69 (95% 0.68-0.70) on 15 April 2020 due to control measures that took place. See </w:t>
      </w:r>
      <w:r>
        <w:rPr>
          <w:color w:val="000000" w:themeColor="text1"/>
          <w:szCs w:val="24"/>
        </w:rPr>
        <w:t>Figure</w:t>
      </w:r>
      <w:r w:rsidRPr="00851786">
        <w:rPr>
          <w:color w:val="000000" w:themeColor="text1"/>
          <w:szCs w:val="24"/>
        </w:rPr>
        <w:t xml:space="preserve"> 3(a) for a timeline of interventions and events and </w:t>
      </w:r>
      <w:r>
        <w:rPr>
          <w:color w:val="000000" w:themeColor="text1"/>
          <w:szCs w:val="24"/>
        </w:rPr>
        <w:t xml:space="preserve">Figure </w:t>
      </w:r>
      <w:r w:rsidRPr="00851786">
        <w:rPr>
          <w:color w:val="000000" w:themeColor="text1"/>
          <w:szCs w:val="24"/>
        </w:rPr>
        <w:t xml:space="preserve">3(b) for temporal variations of estimated </w:t>
      </w:r>
      <m:oMath>
        <m:r>
          <w:rPr>
            <w:rFonts w:ascii="Cambria Math" w:hAnsi="Cambria Math"/>
            <w:szCs w:val="24"/>
          </w:rPr>
          <m:t>R(t)</m:t>
        </m:r>
      </m:oMath>
      <w:r w:rsidRPr="00851786">
        <w:rPr>
          <w:color w:val="000000" w:themeColor="text1"/>
          <w:szCs w:val="24"/>
        </w:rPr>
        <w:t>.</w:t>
      </w:r>
    </w:p>
    <w:p w14:paraId="20131DAF" w14:textId="6C605B9D" w:rsidR="00851786" w:rsidRPr="00851786" w:rsidRDefault="00851786" w:rsidP="00851786">
      <w:pPr>
        <w:rPr>
          <w:szCs w:val="24"/>
        </w:rPr>
      </w:pPr>
      <w:r w:rsidRPr="00851786">
        <w:rPr>
          <w:szCs w:val="24"/>
        </w:rPr>
        <w:t>The CFR on 25 February 2020, before adjusting for the time from diagnosis-to-death, was 16.84%. With more data emerging after the second week, the CFR dropped to 4.4% on the 14</w:t>
      </w:r>
      <w:r w:rsidRPr="00851786">
        <w:rPr>
          <w:szCs w:val="24"/>
          <w:vertAlign w:val="superscript"/>
        </w:rPr>
        <w:t>th</w:t>
      </w:r>
      <w:r w:rsidRPr="00851786">
        <w:rPr>
          <w:szCs w:val="24"/>
        </w:rPr>
        <w:t xml:space="preserve"> day since the declared beginning of the outbreak on February 19, 2020. Later, between 15 March 2020 and 12 April 2020, the CFR stabilized between 5.2% and 7.8% with a mean of 6.7%. See </w:t>
      </w:r>
      <w:r>
        <w:rPr>
          <w:szCs w:val="24"/>
        </w:rPr>
        <w:t>Figure</w:t>
      </w:r>
      <w:r w:rsidRPr="00851786">
        <w:rPr>
          <w:szCs w:val="24"/>
        </w:rPr>
        <w:t xml:space="preserve"> 3(c). With the wider spread of COVID-19 across the country, the CFR increased to 7.86% on 23 March 2020. However, the CFR declined and plateaued around 6.2% between 1 and 15 April 2020. The relatively high CFR could correspond to a significant level of under-reporting of the infected cases and an overwhelmed health system. Given the wide distribution of the time from confirmation-to-death of COVID-19, we also explore the delay-adjusted CFR with 5- and 10-day delay period, as examples. The dynamics of the delay-adjusted CFR with 10-day delay suggests that the CFR has been gradually reducing in Iran from 17.97% on 16 March 2020 to 8.20% on 12 April 2020.</w:t>
      </w:r>
    </w:p>
    <w:p w14:paraId="2DAC1AD2" w14:textId="34212FE5" w:rsidR="00851786" w:rsidRPr="00851786" w:rsidRDefault="00851786" w:rsidP="00851786">
      <w:pPr>
        <w:rPr>
          <w:color w:val="000000" w:themeColor="text1"/>
          <w:szCs w:val="24"/>
        </w:rPr>
      </w:pPr>
      <w:r w:rsidRPr="00851786">
        <w:rPr>
          <w:szCs w:val="24"/>
        </w:rPr>
        <w:t xml:space="preserve">When underreporting of infected cases is overlooked, the estimated effective reproduction number began from 5.67 </w:t>
      </w:r>
      <w:r w:rsidRPr="00851786">
        <w:rPr>
          <w:color w:val="000000" w:themeColor="text1"/>
          <w:szCs w:val="24"/>
        </w:rPr>
        <w:t xml:space="preserve">(95% CI 5.48-4.86) </w:t>
      </w:r>
      <w:r w:rsidRPr="00851786">
        <w:rPr>
          <w:szCs w:val="24"/>
        </w:rPr>
        <w:t xml:space="preserve">on 1 March 2020 and reduced to 0.70 </w:t>
      </w:r>
      <w:r w:rsidRPr="00851786">
        <w:rPr>
          <w:color w:val="000000" w:themeColor="text1"/>
          <w:szCs w:val="24"/>
        </w:rPr>
        <w:t xml:space="preserve">(95% CI 0.69-0.71) </w:t>
      </w:r>
      <w:r w:rsidRPr="00851786">
        <w:rPr>
          <w:szCs w:val="24"/>
        </w:rPr>
        <w:t xml:space="preserve">on 15 April 2020 suggesting the outbreak peak has already occurred on 8 April 2020 when </w:t>
      </w:r>
      <m:oMath>
        <m:r>
          <w:rPr>
            <w:rFonts w:ascii="Cambria Math" w:hAnsi="Cambria Math"/>
            <w:szCs w:val="24"/>
          </w:rPr>
          <m:t>R(t)</m:t>
        </m:r>
      </m:oMath>
      <w:r w:rsidRPr="00851786">
        <w:rPr>
          <w:color w:val="000000" w:themeColor="text1"/>
          <w:szCs w:val="24"/>
        </w:rPr>
        <w:t xml:space="preserve"> goes below 1, about </w:t>
      </w:r>
      <w:r w:rsidRPr="00851786">
        <w:rPr>
          <w:szCs w:val="24"/>
        </w:rPr>
        <w:t xml:space="preserve">50 days from the confirmation of the first case. The outbreak is also likely to continue until the end of 2020. See </w:t>
      </w:r>
      <w:r>
        <w:rPr>
          <w:szCs w:val="24"/>
        </w:rPr>
        <w:t>Figure</w:t>
      </w:r>
      <w:r w:rsidRPr="00851786">
        <w:rPr>
          <w:szCs w:val="24"/>
        </w:rPr>
        <w:t xml:space="preserve"> 4. The estimates of the effective reproduction number were consistently larger during the early stage of the outbreak when underreporting is overlooked compared to when underreporting is taken into account. However, the estimated effective reproduction numbers</w:t>
      </w:r>
      <w:r w:rsidRPr="00851786">
        <w:rPr>
          <w:color w:val="000000" w:themeColor="text1"/>
          <w:szCs w:val="24"/>
        </w:rPr>
        <w:t xml:space="preserve"> converged as the number of infected cases approached the peak. The convergence of the estimates can be partly explained by the fact that the effective reproduction number is more dependent on the rate of change in the infected and recovered cases rather than their absolute numbers. Results also suggest that the impact of control measures on the effective reproduction number is significantly overestimated when under-reporting is taken into account.</w:t>
      </w:r>
    </w:p>
    <w:p w14:paraId="3E8DC195" w14:textId="5DB0397A" w:rsidR="00851786" w:rsidRPr="00851786" w:rsidRDefault="00851786" w:rsidP="00851786">
      <w:pPr>
        <w:rPr>
          <w:szCs w:val="24"/>
        </w:rPr>
      </w:pPr>
      <w:r w:rsidRPr="00851786">
        <w:rPr>
          <w:szCs w:val="24"/>
        </w:rPr>
        <w:t xml:space="preserve">With the gradual reduction of the effective reproduction number to below one and the increasing pressure on an already fragile economy because of the implemented control measures, the government is seeking an exit strategy and is considering easing some of the restrictions. Here, we conduct a scenario analysis to understand how three different scenarios could change the projected outlook of the outbreak in Iran: </w:t>
      </w:r>
      <w:proofErr w:type="spellStart"/>
      <w:r w:rsidRPr="00851786">
        <w:rPr>
          <w:szCs w:val="24"/>
        </w:rPr>
        <w:t>i</w:t>
      </w:r>
      <w:proofErr w:type="spellEnd"/>
      <w:r w:rsidRPr="00851786">
        <w:rPr>
          <w:szCs w:val="24"/>
        </w:rPr>
        <w:t xml:space="preserve">) maintaining the same level of control measures as of 12 April 2020, ii) intensifying the measures to increase physical distancing represented by a 20% reduction in the reproduction number, and iii) partially lifting the restrictions to ease physical distancing represented by a 20% increase in the reproduction number. </w:t>
      </w:r>
      <w:r>
        <w:rPr>
          <w:szCs w:val="24"/>
        </w:rPr>
        <w:t xml:space="preserve">See Figure 5. </w:t>
      </w:r>
      <w:r w:rsidRPr="00851786">
        <w:rPr>
          <w:szCs w:val="24"/>
        </w:rPr>
        <w:t>To estimate the number of ICU beds needed, we assume 5% of the confirmed cases require intensive care</w:t>
      </w:r>
      <w:r>
        <w:rPr>
          <w:szCs w:val="24"/>
        </w:rPr>
        <w:t xml:space="preserve"> [</w:t>
      </w:r>
      <w:r w:rsidR="00CB2B71">
        <w:rPr>
          <w:szCs w:val="24"/>
        </w:rPr>
        <w:t>27</w:t>
      </w:r>
      <w:r>
        <w:rPr>
          <w:szCs w:val="24"/>
        </w:rPr>
        <w:t>]</w:t>
      </w:r>
      <w:r w:rsidRPr="00851786">
        <w:rPr>
          <w:szCs w:val="24"/>
        </w:rPr>
        <w:t xml:space="preserve">. We found that in all scenarios the projection of patients requiring ICU admission exceeds the original ICU capacity. Note that no official information is available on the expanded ICU capacity. As of 12 April 2020, </w:t>
      </w:r>
      <w:r w:rsidRPr="00851786">
        <w:rPr>
          <w:szCs w:val="24"/>
        </w:rPr>
        <w:lastRenderedPageBreak/>
        <w:t xml:space="preserve">both projected curves start above the ICU capacity. Easing the restrictions can quickly push the peak to a level that is five times higher than the scenario where the current level of control measures is maintained and puts additional pressure on the health system. Results clearly suggest that with further restrictions (scenario ii), the projected curve quickly goes back under the ICU capacity while it takes more than 100 days for the curve to go back under the ICU capacity in scenario </w:t>
      </w:r>
      <w:proofErr w:type="spellStart"/>
      <w:r w:rsidRPr="00851786">
        <w:rPr>
          <w:szCs w:val="24"/>
        </w:rPr>
        <w:t>i</w:t>
      </w:r>
      <w:proofErr w:type="spellEnd"/>
      <w:r w:rsidRPr="00851786">
        <w:rPr>
          <w:szCs w:val="24"/>
        </w:rPr>
        <w:t xml:space="preserve"> and iii.</w:t>
      </w:r>
    </w:p>
    <w:p w14:paraId="46DD4CB1" w14:textId="1E3B029D" w:rsidR="00851786" w:rsidRPr="00376CC5" w:rsidRDefault="00844237" w:rsidP="00851786">
      <w:pPr>
        <w:pStyle w:val="Heading1"/>
      </w:pPr>
      <w:r>
        <w:t xml:space="preserve">CONCLUSIONS AND </w:t>
      </w:r>
      <w:r w:rsidR="00851786">
        <w:t>DISCUSSION</w:t>
      </w:r>
    </w:p>
    <w:p w14:paraId="40A45A5F" w14:textId="45FCF834" w:rsidR="00851786" w:rsidRPr="00851786" w:rsidRDefault="00851786" w:rsidP="00851786">
      <w:pPr>
        <w:rPr>
          <w:rFonts w:cs="Arial"/>
          <w:color w:val="000000"/>
          <w:szCs w:val="24"/>
        </w:rPr>
      </w:pPr>
      <w:r w:rsidRPr="00851786">
        <w:rPr>
          <w:rFonts w:cs="Arial"/>
          <w:color w:val="000000"/>
          <w:szCs w:val="24"/>
        </w:rPr>
        <w:t xml:space="preserve">In this study, we used a mathematical epidemic model to provide the first estimates of the changing transmission of SARS-CoV-2 infection in Iran when underreporting of cases are considered. We used official data and adjusted our estimates for underreporting based on delay-adjusted CFR.  </w:t>
      </w:r>
    </w:p>
    <w:p w14:paraId="369DD746" w14:textId="37B3F61D" w:rsidR="00851786" w:rsidRDefault="00851786" w:rsidP="00851786">
      <w:pPr>
        <w:rPr>
          <w:rFonts w:cs="Arial"/>
          <w:color w:val="000000"/>
          <w:szCs w:val="24"/>
        </w:rPr>
      </w:pPr>
      <w:r w:rsidRPr="00851786">
        <w:rPr>
          <w:rFonts w:cs="Arial"/>
          <w:color w:val="000000"/>
          <w:szCs w:val="24"/>
        </w:rPr>
        <w:t>We used a variation of the SEIR model combined with an estimate of the percentage of symptomatic cases using delay-adjusted CFR based on the distribution of the time from confirmation-to-death</w:t>
      </w:r>
      <w:r>
        <w:rPr>
          <w:rFonts w:cs="Arial"/>
          <w:color w:val="000000"/>
          <w:szCs w:val="24"/>
        </w:rPr>
        <w:t xml:space="preserve"> [19]</w:t>
      </w:r>
      <w:r w:rsidRPr="00851786">
        <w:rPr>
          <w:rFonts w:cs="Arial"/>
          <w:color w:val="000000"/>
          <w:szCs w:val="24"/>
        </w:rPr>
        <w:t>. In contrast to previous models of the epidemic</w:t>
      </w:r>
      <w:r>
        <w:rPr>
          <w:rFonts w:cs="Arial"/>
          <w:color w:val="000000"/>
          <w:szCs w:val="24"/>
        </w:rPr>
        <w:t xml:space="preserve"> [</w:t>
      </w:r>
      <w:r w:rsidR="00CB2B71">
        <w:rPr>
          <w:rFonts w:cs="Arial"/>
          <w:color w:val="000000"/>
          <w:szCs w:val="24"/>
        </w:rPr>
        <w:t>28</w:t>
      </w:r>
      <w:r>
        <w:rPr>
          <w:rFonts w:cs="Arial"/>
          <w:color w:val="000000"/>
          <w:szCs w:val="24"/>
        </w:rPr>
        <w:t>]</w:t>
      </w:r>
      <w:r w:rsidRPr="00851786">
        <w:rPr>
          <w:rFonts w:cs="Arial"/>
          <w:color w:val="000000"/>
          <w:szCs w:val="24"/>
        </w:rPr>
        <w:t>, we did not assume any prior information on the distribution of the effective reproduction number. This combined with the use of a series of distributions allowed us to take into account more appropriately the uncertainty and the random variation in both input data and model outcomes.</w:t>
      </w:r>
    </w:p>
    <w:p w14:paraId="0DF59600" w14:textId="4C3D1E6B" w:rsidR="00844237" w:rsidRPr="00844237" w:rsidRDefault="00844237" w:rsidP="00844237">
      <w:pPr>
        <w:pStyle w:val="Heading2"/>
      </w:pPr>
      <w:r>
        <w:t xml:space="preserve">Association of </w:t>
      </w:r>
      <m:oMath>
        <m:r>
          <m:rPr>
            <m:sty m:val="bi"/>
          </m:rPr>
          <w:rPr>
            <w:rFonts w:ascii="Cambria Math" w:hAnsi="Cambria Math"/>
            <w:color w:val="000000" w:themeColor="text1"/>
          </w:rPr>
          <m:t>R(t)</m:t>
        </m:r>
      </m:oMath>
      <w:r>
        <w:t xml:space="preserve"> and public health interventions</w:t>
      </w:r>
    </w:p>
    <w:p w14:paraId="3AA923CF" w14:textId="0522CCE3" w:rsidR="00851786" w:rsidRPr="00851786" w:rsidRDefault="00851786" w:rsidP="00851786">
      <w:pPr>
        <w:rPr>
          <w:szCs w:val="24"/>
        </w:rPr>
      </w:pPr>
      <w:r w:rsidRPr="00851786">
        <w:rPr>
          <w:szCs w:val="24"/>
        </w:rPr>
        <w:t xml:space="preserve">The outbreak of COVID-19 in Iran is claimed to have been started in Qom province with the first case officially reported on 19 February 2020. As shown earlier in </w:t>
      </w:r>
      <w:r>
        <w:rPr>
          <w:szCs w:val="24"/>
        </w:rPr>
        <w:t>Figure</w:t>
      </w:r>
      <w:r w:rsidRPr="00851786">
        <w:rPr>
          <w:szCs w:val="24"/>
        </w:rPr>
        <w:t xml:space="preserve"> 1(a), according to the official data, it only took two days, for four more provinces, including Tehran, </w:t>
      </w:r>
      <w:proofErr w:type="spellStart"/>
      <w:r w:rsidRPr="00851786">
        <w:rPr>
          <w:szCs w:val="24"/>
        </w:rPr>
        <w:t>Markazi</w:t>
      </w:r>
      <w:proofErr w:type="spellEnd"/>
      <w:r w:rsidRPr="00851786">
        <w:rPr>
          <w:szCs w:val="24"/>
        </w:rPr>
        <w:t xml:space="preserve">, Mazandaran, and </w:t>
      </w:r>
      <w:proofErr w:type="spellStart"/>
      <w:r w:rsidRPr="00851786">
        <w:rPr>
          <w:szCs w:val="24"/>
        </w:rPr>
        <w:t>Gilan</w:t>
      </w:r>
      <w:proofErr w:type="spellEnd"/>
      <w:r w:rsidRPr="00851786">
        <w:rPr>
          <w:szCs w:val="24"/>
        </w:rPr>
        <w:t xml:space="preserve"> (</w:t>
      </w:r>
      <w:proofErr w:type="spellStart"/>
      <w:r w:rsidRPr="00851786">
        <w:rPr>
          <w:szCs w:val="24"/>
        </w:rPr>
        <w:t>Guilan</w:t>
      </w:r>
      <w:proofErr w:type="spellEnd"/>
      <w:r w:rsidRPr="00851786">
        <w:rPr>
          <w:szCs w:val="24"/>
        </w:rPr>
        <w:t xml:space="preserve">) to report their first cases. The first non-pharmaceutical intervention took place on 22 February 2020 with the closure of schools and universities in Qom followed by the capital city of Tehran after a day. With the school closures in the capital and yet low level of social awareness about the potential risks of COVID-19, a surge in the number of holiday trips from Tehran to northern provinces of Mazandaran and </w:t>
      </w:r>
      <w:proofErr w:type="spellStart"/>
      <w:r w:rsidRPr="00851786">
        <w:rPr>
          <w:szCs w:val="24"/>
        </w:rPr>
        <w:t>Gilan</w:t>
      </w:r>
      <w:proofErr w:type="spellEnd"/>
      <w:r w:rsidRPr="00851786">
        <w:rPr>
          <w:szCs w:val="24"/>
        </w:rPr>
        <w:t xml:space="preserve"> was observed. Soon after, with no restriction on the inter-city travels the number of identified cases in </w:t>
      </w:r>
      <w:proofErr w:type="spellStart"/>
      <w:r w:rsidRPr="00851786">
        <w:rPr>
          <w:szCs w:val="24"/>
        </w:rPr>
        <w:t>Gilan</w:t>
      </w:r>
      <w:proofErr w:type="spellEnd"/>
      <w:r w:rsidRPr="00851786">
        <w:rPr>
          <w:szCs w:val="24"/>
        </w:rPr>
        <w:t xml:space="preserve"> and Mazandaran grew rapidly, and the infection spread throughout the rest of the country. </w:t>
      </w:r>
    </w:p>
    <w:p w14:paraId="08B30430" w14:textId="6F87B32F" w:rsidR="00851786" w:rsidRPr="00851786" w:rsidRDefault="00851786" w:rsidP="00851786">
      <w:pPr>
        <w:rPr>
          <w:szCs w:val="24"/>
        </w:rPr>
      </w:pPr>
      <w:r w:rsidRPr="00851786">
        <w:rPr>
          <w:szCs w:val="24"/>
        </w:rPr>
        <w:t xml:space="preserve">The second major non-pharmaceutical intervention occurred on 28 February 2020 with a wide campaign to disinfect public spaces and closure of all schools and universities across all provinces. On 5 March 2020, the government announced an increase in the COVID-19 testing capacity. On 7 March 2020, sporadic closure or reduction of working hours in government offices and banks across the country was reported. On 14 March 2020, two often crowded religious shrines in Qom and Mashhad were closed to visitors. The increased physical distancing as the result of interventions and increase in public awareness of the crisis through major official and unofficial information campaigns, especially on social media, gradually showed its impact by slowing down the speed of the spread as shown earlier in </w:t>
      </w:r>
      <w:r>
        <w:rPr>
          <w:szCs w:val="24"/>
        </w:rPr>
        <w:t>Figure</w:t>
      </w:r>
      <w:r w:rsidRPr="00851786">
        <w:rPr>
          <w:szCs w:val="24"/>
        </w:rPr>
        <w:t xml:space="preserve"> 1(b). The estimated effective reproduction number increased from 1.14 on 4 March 2020 to 1.35 on 8 March 2020, perhaps due to the increase in case ascertainment and delay in early interventions to show their impact. The effective reproduction number decreased consistently to 1.04 on 20 March 2020. </w:t>
      </w:r>
    </w:p>
    <w:p w14:paraId="5E53EB3B" w14:textId="37999668" w:rsidR="00851786" w:rsidRPr="00851786" w:rsidRDefault="00851786" w:rsidP="00851786">
      <w:pPr>
        <w:rPr>
          <w:szCs w:val="24"/>
        </w:rPr>
      </w:pPr>
      <w:r w:rsidRPr="00851786">
        <w:rPr>
          <w:szCs w:val="24"/>
        </w:rPr>
        <w:t xml:space="preserve">On 17 March 2020, only a few days before the Persian new year (Nowruz, 20 March 2020), in the absence of strict travel restrictions, millions of Iranians began making road trips to various destinations across the country despite the warnings from the government and many hotels, restaurants and the general hospitality industry’s refrainment to provide services to any traveler. This </w:t>
      </w:r>
      <w:r w:rsidRPr="00851786">
        <w:rPr>
          <w:szCs w:val="24"/>
        </w:rPr>
        <w:lastRenderedPageBreak/>
        <w:t>is believed to have increased the speed of the spread of COVID-19 in Iran, increasing the effective reproduction number to 1.52 on 30 March 2020.</w:t>
      </w:r>
    </w:p>
    <w:p w14:paraId="07DFAE38" w14:textId="0854DA73" w:rsidR="00851786" w:rsidRDefault="00851786" w:rsidP="00851786">
      <w:pPr>
        <w:rPr>
          <w:szCs w:val="24"/>
        </w:rPr>
      </w:pPr>
      <w:r w:rsidRPr="00851786">
        <w:rPr>
          <w:szCs w:val="24"/>
        </w:rPr>
        <w:t>On 22 March 2020, government announced more restrictive non-pharmaceutical interventions leading to closure of all non-essential businesses for at least two weeks, followed by further intensified interventions on March 28, 2020 including restrictions on entry and exit to affected provinces and cities, closure of parks, pools and all recreational places, and a ban on public gatherings including sport, cultural, and religious events. These restrictions pushed the effective reproduction number further down to 1.0 on 9 April 2020 and 0.69 on 15 April 2020.</w:t>
      </w:r>
    </w:p>
    <w:p w14:paraId="3A4D303D" w14:textId="74D26054" w:rsidR="00844237" w:rsidRPr="00844237" w:rsidRDefault="00844237" w:rsidP="00844237">
      <w:pPr>
        <w:pStyle w:val="Heading2"/>
      </w:pPr>
      <w:r>
        <w:t>Case Fatality Ratio</w:t>
      </w:r>
    </w:p>
    <w:p w14:paraId="3988A99D" w14:textId="51C37D9E" w:rsidR="00851786" w:rsidRPr="00851786" w:rsidRDefault="00851786" w:rsidP="00851786">
      <w:pPr>
        <w:rPr>
          <w:szCs w:val="24"/>
        </w:rPr>
      </w:pPr>
      <w:r w:rsidRPr="00851786">
        <w:rPr>
          <w:szCs w:val="24"/>
        </w:rPr>
        <w:t>Iran has had one of the highest CFR</w:t>
      </w:r>
      <w:r w:rsidR="00EF5861">
        <w:rPr>
          <w:szCs w:val="24"/>
        </w:rPr>
        <w:t>s</w:t>
      </w:r>
      <w:r w:rsidRPr="00851786">
        <w:rPr>
          <w:szCs w:val="24"/>
        </w:rPr>
        <w:t xml:space="preserve"> among the affected countries in the world. While the CFR is known to vary significantly between countries due to various reasons including testing frequency and population age distribution</w:t>
      </w:r>
      <w:r>
        <w:rPr>
          <w:szCs w:val="24"/>
        </w:rPr>
        <w:t xml:space="preserve"> [</w:t>
      </w:r>
      <w:r w:rsidR="00CB2B71">
        <w:rPr>
          <w:szCs w:val="24"/>
        </w:rPr>
        <w:t>26</w:t>
      </w:r>
      <w:r>
        <w:rPr>
          <w:szCs w:val="24"/>
        </w:rPr>
        <w:t>]</w:t>
      </w:r>
      <w:r w:rsidRPr="00851786">
        <w:rPr>
          <w:szCs w:val="24"/>
        </w:rPr>
        <w:t>, the CFR is still higher in Iran despite having a younger population with the median age of 30.8 years old compared to China with 4% CFR and the median population age of 37.4 and South Korea with 2% CFR and the median population age of 41.8</w:t>
      </w:r>
      <w:r>
        <w:rPr>
          <w:szCs w:val="24"/>
        </w:rPr>
        <w:t xml:space="preserve"> [</w:t>
      </w:r>
      <w:r w:rsidR="00CB2B71">
        <w:rPr>
          <w:szCs w:val="24"/>
        </w:rPr>
        <w:t>26</w:t>
      </w:r>
      <w:r>
        <w:rPr>
          <w:szCs w:val="24"/>
        </w:rPr>
        <w:t>]</w:t>
      </w:r>
      <w:r w:rsidRPr="00851786">
        <w:rPr>
          <w:szCs w:val="24"/>
        </w:rPr>
        <w:t>. Perhaps a comparable country in the Middle East region with similar population characteristics (median age of 30.9) is Turkey. The CFR in Turkey as of 6 April 2020 was 2%, three times lower than that of Iran</w:t>
      </w:r>
      <w:r>
        <w:rPr>
          <w:szCs w:val="24"/>
        </w:rPr>
        <w:t xml:space="preserve"> [</w:t>
      </w:r>
      <w:r w:rsidR="00CB2B71">
        <w:rPr>
          <w:szCs w:val="24"/>
        </w:rPr>
        <w:t>26</w:t>
      </w:r>
      <w:r>
        <w:rPr>
          <w:szCs w:val="24"/>
        </w:rPr>
        <w:t>]</w:t>
      </w:r>
      <w:r w:rsidRPr="00851786">
        <w:rPr>
          <w:szCs w:val="24"/>
        </w:rPr>
        <w:t>. While the evidence is indirect, it suggests that the official number of cases reported by Iran may has been significantly under-reported, possibly due to relatively low case-ascertainment and under-reporting of identified cases</w:t>
      </w:r>
      <w:r>
        <w:rPr>
          <w:szCs w:val="24"/>
        </w:rPr>
        <w:t xml:space="preserve"> [</w:t>
      </w:r>
      <w:r w:rsidR="00CB2B71">
        <w:rPr>
          <w:szCs w:val="24"/>
        </w:rPr>
        <w:t>26</w:t>
      </w:r>
      <w:r>
        <w:rPr>
          <w:szCs w:val="24"/>
        </w:rPr>
        <w:t>]</w:t>
      </w:r>
      <w:r w:rsidRPr="00851786">
        <w:rPr>
          <w:szCs w:val="24"/>
        </w:rPr>
        <w:t>.</w:t>
      </w:r>
    </w:p>
    <w:p w14:paraId="05553873" w14:textId="06C60804" w:rsidR="00851786" w:rsidRPr="00851786" w:rsidRDefault="00851786" w:rsidP="00851786">
      <w:pPr>
        <w:rPr>
          <w:szCs w:val="24"/>
        </w:rPr>
      </w:pPr>
      <w:r w:rsidRPr="00851786">
        <w:rPr>
          <w:szCs w:val="24"/>
        </w:rPr>
        <w:t>The continuous reduction in the delay-adjusted CFR shows a different trend compared to the CFR with no consideration of the time from confirmation-to-death. The continuous reduction could be explained by the improving case identification practice in Iran over time with various initiatives including a National Coronavirus Helpline (</w:t>
      </w:r>
      <w:proofErr w:type="spellStart"/>
      <w:r w:rsidR="00CB2B71">
        <w:rPr>
          <w:szCs w:val="24"/>
        </w:rPr>
        <w:t>a.k.a</w:t>
      </w:r>
      <w:proofErr w:type="spellEnd"/>
      <w:r w:rsidR="00CB2B71">
        <w:rPr>
          <w:szCs w:val="24"/>
        </w:rPr>
        <w:t xml:space="preserve"> </w:t>
      </w:r>
      <w:r w:rsidRPr="00851786">
        <w:rPr>
          <w:szCs w:val="24"/>
        </w:rPr>
        <w:t>the “4030” service), established in late February 2020 to self-report symptoms and identify suspected cases.</w:t>
      </w:r>
    </w:p>
    <w:p w14:paraId="46A07215" w14:textId="2B1530D7" w:rsidR="00851786" w:rsidRDefault="00851786" w:rsidP="00851786">
      <w:pPr>
        <w:rPr>
          <w:rFonts w:cs="Arial"/>
          <w:color w:val="000000"/>
          <w:szCs w:val="24"/>
        </w:rPr>
      </w:pPr>
      <w:r w:rsidRPr="00851786">
        <w:rPr>
          <w:rFonts w:cs="Arial"/>
          <w:color w:val="000000"/>
          <w:szCs w:val="24"/>
        </w:rPr>
        <w:t xml:space="preserve">Our results confirmed the significant impact of underreporting in describing the story of the COVID-19 outbreak in Iran, especially in the early stages. We showed how overlooking underreporting can drastically affect estimation of </w:t>
      </w:r>
      <m:oMath>
        <m:r>
          <w:rPr>
            <w:rFonts w:ascii="Cambria Math" w:hAnsi="Cambria Math"/>
            <w:szCs w:val="24"/>
          </w:rPr>
          <m:t>R(t)</m:t>
        </m:r>
      </m:oMath>
      <w:r w:rsidRPr="00851786">
        <w:rPr>
          <w:rFonts w:cs="Arial"/>
          <w:color w:val="000000"/>
          <w:szCs w:val="24"/>
        </w:rPr>
        <w:t xml:space="preserve"> and overestimate the impact of control measures.</w:t>
      </w:r>
    </w:p>
    <w:p w14:paraId="66FF780D" w14:textId="50AEE30C" w:rsidR="00844237" w:rsidRPr="00844237" w:rsidRDefault="00844237" w:rsidP="00844237">
      <w:pPr>
        <w:pStyle w:val="Heading2"/>
      </w:pPr>
      <w:r>
        <w:t>Final remarks</w:t>
      </w:r>
    </w:p>
    <w:p w14:paraId="4481C290" w14:textId="23CBCE5E" w:rsidR="00851786" w:rsidRPr="00851786" w:rsidRDefault="00851786" w:rsidP="00851786">
      <w:pPr>
        <w:rPr>
          <w:rFonts w:cs="Arial"/>
          <w:color w:val="000000"/>
          <w:szCs w:val="24"/>
        </w:rPr>
      </w:pPr>
      <w:r w:rsidRPr="00851786">
        <w:rPr>
          <w:rFonts w:cs="Arial"/>
          <w:color w:val="000000"/>
          <w:szCs w:val="24"/>
        </w:rPr>
        <w:t>Our results also showed the reduction in effective reproduction number, a measure of infection transmission, during this period. This decrease was most likely due to the increased physical distancing as the result of multiple non-pharmaceutical public health interventions, including school closures, ban on public gatherings, travel restrictions, full/partial closure of non-essential businesses, as well as major awareness campaigns over social media. Based on the latest trends, while the first peak of COVID-19 in Iran occurred on 5 April 2020, the post-peak period may continue to the end of 2020. However, these projections assume the continuation of the current level of control measures and the absence of effective therapeutic treatment or vaccination programs. Hence, they can be subject to important shifts depending, in particular, on the public’s willingness to continue and the government’s success in implementing social distancing measures or easing the restrictions.</w:t>
      </w:r>
    </w:p>
    <w:p w14:paraId="64469165" w14:textId="787CA208" w:rsidR="00851786" w:rsidRPr="00851786" w:rsidRDefault="00851786" w:rsidP="00851786">
      <w:pPr>
        <w:shd w:val="clear" w:color="auto" w:fill="FFFFFF"/>
        <w:rPr>
          <w:rFonts w:cs="Arial"/>
          <w:color w:val="000000"/>
          <w:szCs w:val="24"/>
        </w:rPr>
      </w:pPr>
      <w:r w:rsidRPr="00851786">
        <w:rPr>
          <w:rFonts w:cs="Arial"/>
          <w:color w:val="000000"/>
          <w:szCs w:val="24"/>
        </w:rPr>
        <w:t xml:space="preserve">Our model provides tangible evidence of the association between the different non-pharmaceutical interventions and their impact on the course of the outbreak.  The results showed how the acceptance and hence effectiveness of the interventions endorsed by the Iranian government aimed at “flattening the curve” depended in part on the public’s level of awareness of the principles behind governmental </w:t>
      </w:r>
      <w:r w:rsidRPr="00851786">
        <w:rPr>
          <w:rFonts w:cs="Arial"/>
          <w:color w:val="000000"/>
          <w:szCs w:val="24"/>
        </w:rPr>
        <w:lastRenderedPageBreak/>
        <w:t xml:space="preserve">policies and their trust in the government and its control measures.  For example, closure of schools and businesses in the capital city of Tehran near the time of the Persian new year was followed by a surge of holiday trips to </w:t>
      </w:r>
      <w:proofErr w:type="spellStart"/>
      <w:r w:rsidRPr="00851786">
        <w:rPr>
          <w:rFonts w:cs="Arial"/>
          <w:color w:val="000000"/>
          <w:szCs w:val="24"/>
        </w:rPr>
        <w:t>Gilan</w:t>
      </w:r>
      <w:proofErr w:type="spellEnd"/>
      <w:r w:rsidRPr="00851786">
        <w:rPr>
          <w:rFonts w:cs="Arial"/>
          <w:color w:val="000000"/>
          <w:szCs w:val="24"/>
        </w:rPr>
        <w:t xml:space="preserve"> and Mazandaran and a subsequent increase in the number of cases in these provinces and in other parts of the country.  This observation shows how interventions may be associated with unintended and at times counterproductive consequences. These negative consequences can be prevented when there </w:t>
      </w:r>
      <w:proofErr w:type="gramStart"/>
      <w:r w:rsidRPr="00851786">
        <w:rPr>
          <w:rFonts w:cs="Arial"/>
          <w:color w:val="000000"/>
          <w:szCs w:val="24"/>
        </w:rPr>
        <w:t>is</w:t>
      </w:r>
      <w:proofErr w:type="gramEnd"/>
      <w:r w:rsidRPr="00851786">
        <w:rPr>
          <w:rFonts w:cs="Arial"/>
          <w:color w:val="000000"/>
          <w:szCs w:val="24"/>
        </w:rPr>
        <w:t xml:space="preserve"> open and credible communications by competent officials and mutual trust between public and government. Moreover, intervention measures need to be developed, implemented and enforced as a whole, for example by strict reinforcement of travel restrictions in conjunction with school and workplace closings.</w:t>
      </w:r>
    </w:p>
    <w:p w14:paraId="204DCAE4" w14:textId="0746FB7F" w:rsidR="00851786" w:rsidRPr="00851786" w:rsidRDefault="00851786" w:rsidP="00851786">
      <w:pPr>
        <w:shd w:val="clear" w:color="auto" w:fill="FFFFFF"/>
        <w:rPr>
          <w:rFonts w:cs="Arial"/>
          <w:color w:val="000000"/>
          <w:szCs w:val="24"/>
        </w:rPr>
      </w:pPr>
      <w:r w:rsidRPr="00851786">
        <w:rPr>
          <w:rFonts w:cs="Arial"/>
          <w:color w:val="000000"/>
          <w:szCs w:val="24"/>
        </w:rPr>
        <w:t>There is no substitute for high quality data – complete, accurate, and timely – as a basis for public policy. However, in the absence of such data, modeling of the type presented here can help provide reasonable estimates as well as realistic bounds of their uncertainty. The range of uncertainty can be viewed as the margin of error in the model’s predictions of the number of cases, ICU admissions or deaths. Modeling can also illustrate different scenarios -- pessimistic vs. optimistic vs. realistic -- of how the epidemic may evolve in relation to current and future public health measures and the possible compliance of the public over time.</w:t>
      </w:r>
    </w:p>
    <w:p w14:paraId="636D4181" w14:textId="346F64FA" w:rsidR="00851786" w:rsidRDefault="00851786" w:rsidP="00851786">
      <w:pPr>
        <w:rPr>
          <w:color w:val="222222"/>
          <w:szCs w:val="24"/>
        </w:rPr>
      </w:pPr>
      <w:r w:rsidRPr="00851786">
        <w:rPr>
          <w:color w:val="222222"/>
          <w:szCs w:val="24"/>
        </w:rPr>
        <w:t xml:space="preserve">In conclusion, using a </w:t>
      </w:r>
      <w:r>
        <w:rPr>
          <w:color w:val="222222"/>
          <w:szCs w:val="24"/>
        </w:rPr>
        <w:t>compartmental</w:t>
      </w:r>
      <w:r w:rsidRPr="00851786">
        <w:rPr>
          <w:color w:val="222222"/>
          <w:szCs w:val="24"/>
        </w:rPr>
        <w:t xml:space="preserve"> model of the SARS-CoV-2 epidemic in Iran, we assessed the dynamic of the epidemic in relation to public health measures to increase social distancing. We took into account both the inherent uncertainty in the data and the possible impact of under-reporting of true cases due to low case ascertainment and reporting. In the absence of consistently reliable data, the modelling approach as presented here can help generated reasonable estimates of key public health metrics such as the number of cases and case fatality ratio. In turn, these metrics and scenarios can help serve the dual purpose of informing public policy and the public and fostering discussions and improvements of epidemic modelling. </w:t>
      </w:r>
    </w:p>
    <w:p w14:paraId="0D54CEBF" w14:textId="281A464E" w:rsidR="0038434D" w:rsidRPr="0038434D" w:rsidRDefault="0038434D" w:rsidP="0038434D">
      <w:pPr>
        <w:pStyle w:val="Heading1"/>
        <w:numPr>
          <w:ilvl w:val="0"/>
          <w:numId w:val="0"/>
        </w:numPr>
        <w:ind w:left="567" w:hanging="567"/>
        <w:rPr>
          <w:lang w:val="en-AU"/>
        </w:rPr>
      </w:pPr>
      <w:r>
        <w:rPr>
          <w:lang w:val="en-AU"/>
        </w:rPr>
        <w:t xml:space="preserve">ACKNOWLEDGMENTS </w:t>
      </w:r>
    </w:p>
    <w:p w14:paraId="41575BE1" w14:textId="539E9FB5" w:rsidR="0038434D" w:rsidRDefault="0038434D" w:rsidP="0038434D">
      <w:pPr>
        <w:rPr>
          <w:color w:val="222222"/>
          <w:szCs w:val="24"/>
        </w:rPr>
      </w:pPr>
      <w:r w:rsidRPr="0038434D">
        <w:rPr>
          <w:rFonts w:eastAsia="Times New Roman" w:cs="Times New Roman"/>
          <w:szCs w:val="24"/>
          <w:lang w:val="en-AU" w:eastAsia="en-GB"/>
        </w:rPr>
        <w:t xml:space="preserve">This manuscript has been released as a pre-print at </w:t>
      </w:r>
      <w:hyperlink r:id="rId9" w:history="1">
        <w:r w:rsidRPr="00C85013">
          <w:rPr>
            <w:rStyle w:val="Hyperlink"/>
            <w:rFonts w:eastAsia="Times New Roman" w:cs="Times New Roman"/>
            <w:szCs w:val="24"/>
            <w:lang w:val="en-AU" w:eastAsia="en-GB"/>
          </w:rPr>
          <w:t>https://www.medrxiv.org/content/10.1101/2020.05.02.20087270v1</w:t>
        </w:r>
      </w:hyperlink>
      <w:r>
        <w:rPr>
          <w:rFonts w:eastAsia="Times New Roman" w:cs="Times New Roman"/>
          <w:szCs w:val="24"/>
          <w:lang w:val="en-AU" w:eastAsia="en-GB"/>
        </w:rPr>
        <w:t xml:space="preserve"> [</w:t>
      </w:r>
      <w:r w:rsidR="00CB2B71">
        <w:rPr>
          <w:rFonts w:eastAsia="Times New Roman" w:cs="Times New Roman"/>
          <w:szCs w:val="24"/>
          <w:lang w:val="en-AU" w:eastAsia="en-GB"/>
        </w:rPr>
        <w:t>29</w:t>
      </w:r>
      <w:r>
        <w:rPr>
          <w:rFonts w:eastAsia="Times New Roman" w:cs="Times New Roman"/>
          <w:szCs w:val="24"/>
          <w:lang w:val="en-AU" w:eastAsia="en-GB"/>
        </w:rPr>
        <w:t>].</w:t>
      </w:r>
    </w:p>
    <w:p w14:paraId="25CF0933" w14:textId="77777777" w:rsidR="00BE7B65" w:rsidRPr="00BE7B65" w:rsidRDefault="00BE7B65" w:rsidP="00BE7B65">
      <w:pPr>
        <w:pStyle w:val="Heading1"/>
        <w:numPr>
          <w:ilvl w:val="0"/>
          <w:numId w:val="0"/>
        </w:numPr>
        <w:ind w:left="567" w:hanging="567"/>
      </w:pPr>
      <w:r w:rsidRPr="00BE7B65">
        <w:t>DATA AVAILABILITY STATEMENT</w:t>
      </w:r>
    </w:p>
    <w:p w14:paraId="4F8D9F02" w14:textId="0F13C315" w:rsidR="00BE7B65" w:rsidRPr="00BE7B65" w:rsidRDefault="00BE7B65" w:rsidP="00BE7B65">
      <w:pPr>
        <w:spacing w:before="0" w:after="0"/>
        <w:rPr>
          <w:color w:val="222222"/>
          <w:szCs w:val="24"/>
        </w:rPr>
      </w:pPr>
      <w:r>
        <w:rPr>
          <w:rFonts w:eastAsia="Times New Roman" w:cs="Times New Roman"/>
          <w:szCs w:val="24"/>
          <w:lang w:val="en-AU" w:eastAsia="en-GB"/>
        </w:rPr>
        <w:t xml:space="preserve">All data sets used in this study are available in the public domain and can be accessed from the </w:t>
      </w:r>
      <w:r w:rsidRPr="00BE307B">
        <w:rPr>
          <w:szCs w:val="24"/>
        </w:rPr>
        <w:t>WH</w:t>
      </w:r>
      <w:r w:rsidR="0085154E">
        <w:rPr>
          <w:szCs w:val="24"/>
        </w:rPr>
        <w:t>O</w:t>
      </w:r>
      <w:r>
        <w:rPr>
          <w:szCs w:val="24"/>
        </w:rPr>
        <w:t xml:space="preserve"> [1]</w:t>
      </w:r>
      <w:r w:rsidRPr="00BE307B">
        <w:rPr>
          <w:szCs w:val="24"/>
        </w:rPr>
        <w:t xml:space="preserve"> and Iran’s Ministry of Health and Medical Education</w:t>
      </w:r>
      <w:r>
        <w:rPr>
          <w:szCs w:val="24"/>
        </w:rPr>
        <w:t>’s</w:t>
      </w:r>
      <w:r w:rsidRPr="00BE307B">
        <w:rPr>
          <w:szCs w:val="24"/>
        </w:rPr>
        <w:t xml:space="preserve"> [7]</w:t>
      </w:r>
      <w:r>
        <w:rPr>
          <w:szCs w:val="24"/>
        </w:rPr>
        <w:t xml:space="preserve"> websites.</w:t>
      </w:r>
    </w:p>
    <w:p w14:paraId="4D7649F0" w14:textId="1A9863FA" w:rsidR="00CB43D5" w:rsidRDefault="00BE7B65" w:rsidP="00BE7B65">
      <w:pPr>
        <w:pStyle w:val="Heading1"/>
        <w:numPr>
          <w:ilvl w:val="0"/>
          <w:numId w:val="0"/>
        </w:numPr>
        <w:ind w:left="567" w:hanging="567"/>
      </w:pPr>
      <w:r>
        <w:t>CONFLICT OF INTTEREST</w:t>
      </w:r>
    </w:p>
    <w:p w14:paraId="57F5D7D1" w14:textId="77777777" w:rsidR="00CB43D5" w:rsidRPr="00BE7B65" w:rsidRDefault="00CB43D5" w:rsidP="00CB43D5">
      <w:pPr>
        <w:rPr>
          <w:rFonts w:eastAsia="Times New Roman" w:cs="Times New Roman"/>
          <w:szCs w:val="24"/>
          <w:lang w:val="en-AU" w:eastAsia="en-GB"/>
        </w:rPr>
      </w:pPr>
      <w:r w:rsidRPr="00BE7B65">
        <w:rPr>
          <w:rFonts w:eastAsia="Times New Roman" w:cs="Times New Roman"/>
          <w:szCs w:val="24"/>
          <w:lang w:val="en-AU" w:eastAsia="en-GB"/>
        </w:rPr>
        <w:t>The authors declare that the research was conducted in the absence of any commercial or financial relationships that could be construed as a potential conflict of interest.</w:t>
      </w:r>
    </w:p>
    <w:p w14:paraId="0D6553A8" w14:textId="0A7BC69E" w:rsidR="00045678" w:rsidRDefault="00BE7B65" w:rsidP="00BE7B65">
      <w:pPr>
        <w:pStyle w:val="Heading1"/>
        <w:numPr>
          <w:ilvl w:val="0"/>
          <w:numId w:val="0"/>
        </w:numPr>
        <w:ind w:left="567" w:hanging="567"/>
      </w:pPr>
      <w:r>
        <w:t>AUTHOR</w:t>
      </w:r>
      <w:r w:rsidR="00045678">
        <w:t xml:space="preserve"> </w:t>
      </w:r>
      <w:r>
        <w:t>CONTRIBUTIONS</w:t>
      </w:r>
    </w:p>
    <w:p w14:paraId="4288621C" w14:textId="77777777" w:rsidR="00BE7B65" w:rsidRDefault="00BE7B65" w:rsidP="00BE7B65">
      <w:pPr>
        <w:pStyle w:val="Heading1"/>
        <w:numPr>
          <w:ilvl w:val="0"/>
          <w:numId w:val="0"/>
        </w:numPr>
        <w:rPr>
          <w:rFonts w:eastAsiaTheme="minorHAnsi" w:cstheme="minorBidi"/>
          <w:b w:val="0"/>
          <w:szCs w:val="22"/>
          <w:lang w:val="en-GB"/>
        </w:rPr>
      </w:pPr>
      <w:r w:rsidRPr="00BE7B65">
        <w:rPr>
          <w:rFonts w:eastAsiaTheme="minorHAnsi" w:cstheme="minorBidi"/>
          <w:b w:val="0"/>
          <w:szCs w:val="22"/>
          <w:lang w:val="en-GB"/>
        </w:rPr>
        <w:t>M.S., H.H., K.M., and B.K. designed the study. M.S. and H.H. developed the mathematical model and produced the figures. M.S., H.H., K.M., H.M.D., A.S.M., J.K.M., K.K., and B.K. contributed to literature search, data analysis, data interpretation, and writing.</w:t>
      </w:r>
    </w:p>
    <w:p w14:paraId="5722F5F5" w14:textId="2C14CD11" w:rsidR="00AC3EA3" w:rsidRPr="00376CC5" w:rsidRDefault="00BE7B65" w:rsidP="00BE7B65">
      <w:pPr>
        <w:pStyle w:val="Heading1"/>
        <w:numPr>
          <w:ilvl w:val="0"/>
          <w:numId w:val="0"/>
        </w:numPr>
        <w:ind w:left="567" w:hanging="567"/>
      </w:pPr>
      <w:r>
        <w:t>FUNDING</w:t>
      </w:r>
    </w:p>
    <w:p w14:paraId="7342A04E" w14:textId="21C0634F" w:rsidR="00AC3EA3" w:rsidRPr="00376CC5" w:rsidRDefault="00BE7B65" w:rsidP="00AC3EA3">
      <w:pPr>
        <w:rPr>
          <w:szCs w:val="24"/>
        </w:rPr>
      </w:pPr>
      <w:r>
        <w:rPr>
          <w:szCs w:val="24"/>
        </w:rPr>
        <w:lastRenderedPageBreak/>
        <w:t>This research was not supported by any external funding.</w:t>
      </w:r>
    </w:p>
    <w:p w14:paraId="43CB807F" w14:textId="0939DB1F" w:rsidR="00BE7B65" w:rsidRPr="00376CC5" w:rsidRDefault="00BE7B65" w:rsidP="00BE7B65">
      <w:pPr>
        <w:pStyle w:val="Heading1"/>
        <w:numPr>
          <w:ilvl w:val="0"/>
          <w:numId w:val="0"/>
        </w:numPr>
        <w:ind w:left="567" w:hanging="567"/>
      </w:pPr>
      <w:r>
        <w:t>REFERENCES</w:t>
      </w:r>
    </w:p>
    <w:p w14:paraId="5E6677A1" w14:textId="77777777"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proofErr w:type="gramStart"/>
      <w:r w:rsidRPr="00735380">
        <w:rPr>
          <w:rFonts w:eastAsiaTheme="minorEastAsia"/>
          <w:color w:val="000000" w:themeColor="text1"/>
          <w:sz w:val="22"/>
          <w:szCs w:val="22"/>
        </w:rPr>
        <w:t>WHO.</w:t>
      </w:r>
      <w:proofErr w:type="gramEnd"/>
      <w:r w:rsidRPr="00735380">
        <w:rPr>
          <w:rFonts w:eastAsiaTheme="minorEastAsia"/>
          <w:color w:val="000000" w:themeColor="text1"/>
          <w:sz w:val="22"/>
          <w:szCs w:val="22"/>
        </w:rPr>
        <w:t xml:space="preserve"> Coronavirus disease 2019 (COVID-19). Situation report 31. February 20, 2020. Geneva: World Health Organization, 2020.</w:t>
      </w:r>
    </w:p>
    <w:p w14:paraId="1C083495" w14:textId="77777777"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rFonts w:eastAsiaTheme="minorEastAsia"/>
          <w:color w:val="000000" w:themeColor="text1"/>
          <w:sz w:val="22"/>
          <w:szCs w:val="22"/>
        </w:rPr>
        <w:t xml:space="preserve">World Economic Forum. Finding 'patient zero': the challenges of tracing the origins of coronavirus. March 4, 2020. </w:t>
      </w:r>
      <w:hyperlink r:id="rId10" w:history="1">
        <w:r w:rsidRPr="00735380">
          <w:rPr>
            <w:rStyle w:val="Hyperlink"/>
            <w:sz w:val="22"/>
            <w:szCs w:val="22"/>
          </w:rPr>
          <w:t>https://www.weforum.org/agenda/2020/03/coronavirus-covid-19-patient-zero/</w:t>
        </w:r>
      </w:hyperlink>
      <w:r w:rsidRPr="00735380">
        <w:rPr>
          <w:sz w:val="22"/>
          <w:szCs w:val="22"/>
        </w:rPr>
        <w:t xml:space="preserve"> (accessed April 13, 2020).</w:t>
      </w:r>
    </w:p>
    <w:p w14:paraId="01D5EA7C" w14:textId="77777777"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rFonts w:eastAsiaTheme="minorEastAsia"/>
          <w:color w:val="000000" w:themeColor="text1"/>
          <w:sz w:val="22"/>
          <w:szCs w:val="22"/>
        </w:rPr>
        <w:t xml:space="preserve">The Atlantic. Coronavirus Could Break Iranian Society. February 27, 2020. </w:t>
      </w:r>
      <w:hyperlink r:id="rId11" w:history="1">
        <w:r w:rsidRPr="00735380">
          <w:rPr>
            <w:rStyle w:val="Hyperlink"/>
            <w:sz w:val="22"/>
            <w:szCs w:val="22"/>
          </w:rPr>
          <w:t>https://www.theatlantic.com/ideas/archive/2020/02/iran-cannot-handle-coronavirus/607150/</w:t>
        </w:r>
      </w:hyperlink>
      <w:r w:rsidRPr="00735380">
        <w:rPr>
          <w:sz w:val="22"/>
          <w:szCs w:val="22"/>
        </w:rPr>
        <w:t xml:space="preserve"> (accessed April 13, 2020).</w:t>
      </w:r>
    </w:p>
    <w:p w14:paraId="06914CED" w14:textId="77777777"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sz w:val="22"/>
          <w:szCs w:val="22"/>
        </w:rPr>
        <w:t xml:space="preserve">WSJ. Iran Takes Emergency Measures After Two Coronavirus Deaths in Qom. February 20, 2020. </w:t>
      </w:r>
      <w:hyperlink r:id="rId12" w:history="1">
        <w:r w:rsidRPr="00735380">
          <w:rPr>
            <w:rStyle w:val="Hyperlink"/>
            <w:sz w:val="22"/>
            <w:szCs w:val="22"/>
          </w:rPr>
          <w:t>https://www.wsj.com/articles/iran-takes-emergency-measures-after-two-coronavirus-deaths-in-qom-11582202084</w:t>
        </w:r>
      </w:hyperlink>
      <w:r w:rsidRPr="00735380">
        <w:rPr>
          <w:color w:val="0000FF"/>
          <w:sz w:val="22"/>
          <w:szCs w:val="22"/>
          <w:u w:val="single"/>
        </w:rPr>
        <w:t xml:space="preserve"> </w:t>
      </w:r>
      <w:r w:rsidRPr="00735380">
        <w:rPr>
          <w:sz w:val="22"/>
          <w:szCs w:val="22"/>
        </w:rPr>
        <w:t>(accessed April 13, 2020).</w:t>
      </w:r>
    </w:p>
    <w:p w14:paraId="0F40C438" w14:textId="18FEC6A7" w:rsidR="00B12B8F" w:rsidRPr="00B12B8F" w:rsidRDefault="00B12B8F" w:rsidP="00B12B8F">
      <w:pPr>
        <w:pStyle w:val="ListParagraph"/>
        <w:numPr>
          <w:ilvl w:val="0"/>
          <w:numId w:val="25"/>
        </w:numPr>
        <w:spacing w:before="0" w:after="0"/>
        <w:ind w:left="567" w:hanging="567"/>
        <w:rPr>
          <w:rFonts w:eastAsiaTheme="minorEastAsia"/>
          <w:color w:val="000000" w:themeColor="text1"/>
          <w:sz w:val="22"/>
          <w:szCs w:val="22"/>
        </w:rPr>
      </w:pPr>
      <w:proofErr w:type="spellStart"/>
      <w:r w:rsidRPr="00B12B8F">
        <w:rPr>
          <w:rFonts w:eastAsiaTheme="minorEastAsia"/>
          <w:color w:val="000000" w:themeColor="text1"/>
          <w:sz w:val="22"/>
          <w:szCs w:val="22"/>
        </w:rPr>
        <w:t>Khafaiea</w:t>
      </w:r>
      <w:proofErr w:type="spellEnd"/>
      <w:r w:rsidRPr="00B12B8F">
        <w:rPr>
          <w:rFonts w:eastAsiaTheme="minorEastAsia"/>
          <w:color w:val="000000" w:themeColor="text1"/>
          <w:sz w:val="22"/>
          <w:szCs w:val="22"/>
        </w:rPr>
        <w:t xml:space="preserve"> MA, Rahim F. Cross-Country Comparison of Case Fatality Rates of COVID-19/SARS-COV-2. </w:t>
      </w:r>
      <w:proofErr w:type="spellStart"/>
      <w:r w:rsidRPr="00B12B8F">
        <w:rPr>
          <w:rFonts w:eastAsiaTheme="minorEastAsia"/>
          <w:color w:val="000000" w:themeColor="text1"/>
          <w:sz w:val="22"/>
          <w:szCs w:val="22"/>
        </w:rPr>
        <w:t>Osong</w:t>
      </w:r>
      <w:proofErr w:type="spellEnd"/>
      <w:r w:rsidRPr="00B12B8F">
        <w:rPr>
          <w:rFonts w:eastAsiaTheme="minorEastAsia"/>
          <w:color w:val="000000" w:themeColor="text1"/>
          <w:sz w:val="22"/>
          <w:szCs w:val="22"/>
        </w:rPr>
        <w:t xml:space="preserve"> Public Health Res </w:t>
      </w:r>
      <w:proofErr w:type="spellStart"/>
      <w:r w:rsidRPr="00B12B8F">
        <w:rPr>
          <w:rFonts w:eastAsiaTheme="minorEastAsia"/>
          <w:color w:val="000000" w:themeColor="text1"/>
          <w:sz w:val="22"/>
          <w:szCs w:val="22"/>
        </w:rPr>
        <w:t>Perspect</w:t>
      </w:r>
      <w:proofErr w:type="spellEnd"/>
      <w:r w:rsidRPr="00B12B8F">
        <w:rPr>
          <w:rFonts w:eastAsiaTheme="minorEastAsia"/>
          <w:color w:val="000000" w:themeColor="text1"/>
          <w:sz w:val="22"/>
          <w:szCs w:val="22"/>
        </w:rPr>
        <w:t xml:space="preserve"> (2020) 11(2): 74–80.</w:t>
      </w:r>
      <w:r w:rsidRPr="00B12B8F">
        <w:t xml:space="preserve"> </w:t>
      </w:r>
      <w:proofErr w:type="gramStart"/>
      <w:r w:rsidRPr="00B12B8F">
        <w:t>doi:</w:t>
      </w:r>
      <w:r w:rsidRPr="00B12B8F">
        <w:rPr>
          <w:rFonts w:eastAsiaTheme="minorEastAsia"/>
          <w:color w:val="000000" w:themeColor="text1"/>
          <w:sz w:val="22"/>
          <w:szCs w:val="22"/>
        </w:rPr>
        <w:t>10.24171/j.phrp</w:t>
      </w:r>
      <w:proofErr w:type="gramEnd"/>
      <w:r w:rsidRPr="00B12B8F">
        <w:rPr>
          <w:rFonts w:eastAsiaTheme="minorEastAsia"/>
          <w:color w:val="000000" w:themeColor="text1"/>
          <w:sz w:val="22"/>
          <w:szCs w:val="22"/>
        </w:rPr>
        <w:t>.2020.11.2.03.</w:t>
      </w:r>
    </w:p>
    <w:p w14:paraId="305261F7" w14:textId="77777777" w:rsidR="0049428D" w:rsidRPr="0049428D" w:rsidRDefault="00B12B8F" w:rsidP="0049428D">
      <w:pPr>
        <w:pStyle w:val="ListParagraph"/>
        <w:numPr>
          <w:ilvl w:val="0"/>
          <w:numId w:val="25"/>
        </w:numPr>
        <w:spacing w:before="0" w:after="0"/>
        <w:ind w:left="567" w:hanging="567"/>
        <w:rPr>
          <w:rFonts w:eastAsiaTheme="minorEastAsia"/>
          <w:color w:val="000000" w:themeColor="text1"/>
          <w:sz w:val="22"/>
          <w:szCs w:val="22"/>
        </w:rPr>
      </w:pPr>
      <w:r w:rsidRPr="00735380">
        <w:rPr>
          <w:sz w:val="22"/>
          <w:szCs w:val="22"/>
        </w:rPr>
        <w:t xml:space="preserve">NBC News. Why is Iran's reported mortality rate for coronavirus higher than in other countries? February 26, 2020. </w:t>
      </w:r>
      <w:hyperlink r:id="rId13" w:history="1">
        <w:r w:rsidRPr="00735380">
          <w:rPr>
            <w:rStyle w:val="Hyperlink"/>
            <w:sz w:val="22"/>
            <w:szCs w:val="22"/>
          </w:rPr>
          <w:t>https://www.nbcnews.com/health/health-news/why-iran-s-reported-mortality-rate-coronavirus-higher-other-countries-n1142646</w:t>
        </w:r>
      </w:hyperlink>
      <w:r w:rsidRPr="00735380">
        <w:rPr>
          <w:color w:val="0000FF"/>
          <w:sz w:val="22"/>
          <w:szCs w:val="22"/>
          <w:u w:val="single"/>
        </w:rPr>
        <w:t xml:space="preserve"> </w:t>
      </w:r>
      <w:r w:rsidRPr="00735380">
        <w:rPr>
          <w:sz w:val="22"/>
          <w:szCs w:val="22"/>
        </w:rPr>
        <w:t>(accessed April 13, 2020).</w:t>
      </w:r>
    </w:p>
    <w:p w14:paraId="2A174D2D"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r w:rsidRPr="0049428D">
        <w:rPr>
          <w:rFonts w:eastAsiaTheme="minorEastAsia"/>
          <w:color w:val="000000" w:themeColor="text1"/>
          <w:sz w:val="22"/>
        </w:rPr>
        <w:t xml:space="preserve">Maier BF, </w:t>
      </w:r>
      <w:proofErr w:type="spellStart"/>
      <w:r w:rsidRPr="0049428D">
        <w:rPr>
          <w:rFonts w:eastAsiaTheme="minorEastAsia"/>
          <w:color w:val="000000" w:themeColor="text1"/>
          <w:sz w:val="22"/>
        </w:rPr>
        <w:t>Brockmann</w:t>
      </w:r>
      <w:proofErr w:type="spellEnd"/>
      <w:r w:rsidRPr="0049428D">
        <w:rPr>
          <w:rFonts w:eastAsiaTheme="minorEastAsia"/>
          <w:color w:val="000000" w:themeColor="text1"/>
          <w:sz w:val="22"/>
        </w:rPr>
        <w:t xml:space="preserve"> D. Effective containment explains </w:t>
      </w:r>
      <w:proofErr w:type="spellStart"/>
      <w:r w:rsidRPr="0049428D">
        <w:rPr>
          <w:rFonts w:eastAsiaTheme="minorEastAsia"/>
          <w:color w:val="000000" w:themeColor="text1"/>
          <w:sz w:val="22"/>
        </w:rPr>
        <w:t>subexponential</w:t>
      </w:r>
      <w:proofErr w:type="spellEnd"/>
      <w:r w:rsidRPr="0049428D">
        <w:rPr>
          <w:rFonts w:eastAsiaTheme="minorEastAsia"/>
          <w:color w:val="000000" w:themeColor="text1"/>
          <w:sz w:val="22"/>
        </w:rPr>
        <w:t xml:space="preserve"> growth in recent confirmed COVID-19 cases in China. Science (2020) 368: 742-746. doi:10.1126/</w:t>
      </w:r>
      <w:proofErr w:type="gramStart"/>
      <w:r w:rsidRPr="0049428D">
        <w:rPr>
          <w:rFonts w:eastAsiaTheme="minorEastAsia"/>
          <w:color w:val="000000" w:themeColor="text1"/>
          <w:sz w:val="22"/>
        </w:rPr>
        <w:t>science.abb</w:t>
      </w:r>
      <w:proofErr w:type="gramEnd"/>
      <w:r w:rsidRPr="0049428D">
        <w:rPr>
          <w:rFonts w:eastAsiaTheme="minorEastAsia"/>
          <w:color w:val="000000" w:themeColor="text1"/>
          <w:sz w:val="22"/>
        </w:rPr>
        <w:t>4218.</w:t>
      </w:r>
    </w:p>
    <w:p w14:paraId="0B118F85"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r w:rsidRPr="0049428D">
        <w:rPr>
          <w:rFonts w:eastAsiaTheme="minorEastAsia"/>
          <w:color w:val="000000" w:themeColor="text1"/>
          <w:sz w:val="22"/>
        </w:rPr>
        <w:t>Kraemer MUG, Yang CH, Gutierrez B, et al. The effect of human mobility and control measures on the COVID-19 epidemic in China. Science (2020) 368: 493-497.</w:t>
      </w:r>
    </w:p>
    <w:p w14:paraId="08D75CB4"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proofErr w:type="spellStart"/>
      <w:r w:rsidRPr="0049428D">
        <w:rPr>
          <w:rFonts w:eastAsiaTheme="minorEastAsia"/>
          <w:color w:val="000000" w:themeColor="text1"/>
          <w:sz w:val="22"/>
        </w:rPr>
        <w:t>Vespignani</w:t>
      </w:r>
      <w:proofErr w:type="spellEnd"/>
      <w:r w:rsidRPr="0049428D">
        <w:rPr>
          <w:rFonts w:eastAsiaTheme="minorEastAsia"/>
          <w:color w:val="000000" w:themeColor="text1"/>
          <w:sz w:val="22"/>
        </w:rPr>
        <w:t xml:space="preserve"> A, Tian H, Dye C, et al. Modelling COVID-19. Nature Reviews Physics (2020) 2: 279-281.doi:</w:t>
      </w:r>
      <w:r w:rsidRPr="0049428D">
        <w:t xml:space="preserve"> </w:t>
      </w:r>
      <w:r w:rsidRPr="0049428D">
        <w:rPr>
          <w:rFonts w:eastAsiaTheme="minorEastAsia"/>
          <w:color w:val="000000" w:themeColor="text1"/>
          <w:sz w:val="22"/>
        </w:rPr>
        <w:t>10.1038/s42254-020-0178-4.</w:t>
      </w:r>
    </w:p>
    <w:p w14:paraId="16657E80"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r w:rsidRPr="0049428D">
        <w:rPr>
          <w:rFonts w:eastAsiaTheme="minorEastAsia"/>
          <w:color w:val="000000" w:themeColor="text1"/>
          <w:sz w:val="22"/>
        </w:rPr>
        <w:t xml:space="preserve">Xia X, Wang Z, Zheng C, et al. A new coupled disease-awareness spreading model with mass media on multiplex networks. Information Sciences (2019) 471: 185-200. </w:t>
      </w:r>
      <w:proofErr w:type="gramStart"/>
      <w:r w:rsidRPr="0049428D">
        <w:rPr>
          <w:rFonts w:eastAsiaTheme="minorEastAsia"/>
          <w:color w:val="000000" w:themeColor="text1"/>
          <w:sz w:val="22"/>
        </w:rPr>
        <w:t>doi:10.1016/j.ins</w:t>
      </w:r>
      <w:proofErr w:type="gramEnd"/>
      <w:r w:rsidRPr="0049428D">
        <w:rPr>
          <w:rFonts w:eastAsiaTheme="minorEastAsia"/>
          <w:color w:val="000000" w:themeColor="text1"/>
          <w:sz w:val="22"/>
        </w:rPr>
        <w:t>.2018.08.050.</w:t>
      </w:r>
    </w:p>
    <w:p w14:paraId="406FAE3F"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proofErr w:type="spellStart"/>
      <w:r w:rsidRPr="0049428D">
        <w:rPr>
          <w:rFonts w:eastAsiaTheme="minorEastAsia"/>
          <w:color w:val="000000" w:themeColor="text1"/>
          <w:sz w:val="22"/>
        </w:rPr>
        <w:t>Chinazzi</w:t>
      </w:r>
      <w:proofErr w:type="spellEnd"/>
      <w:r w:rsidRPr="0049428D">
        <w:rPr>
          <w:rFonts w:eastAsiaTheme="minorEastAsia"/>
          <w:color w:val="000000" w:themeColor="text1"/>
          <w:sz w:val="22"/>
        </w:rPr>
        <w:t xml:space="preserve"> M, David JT, </w:t>
      </w:r>
      <w:proofErr w:type="spellStart"/>
      <w:r w:rsidRPr="0049428D">
        <w:rPr>
          <w:rFonts w:eastAsiaTheme="minorEastAsia"/>
          <w:color w:val="000000" w:themeColor="text1"/>
          <w:sz w:val="22"/>
        </w:rPr>
        <w:t>Ajelli</w:t>
      </w:r>
      <w:proofErr w:type="spellEnd"/>
      <w:r w:rsidRPr="0049428D">
        <w:rPr>
          <w:rFonts w:eastAsiaTheme="minorEastAsia"/>
          <w:color w:val="000000" w:themeColor="text1"/>
          <w:sz w:val="22"/>
        </w:rPr>
        <w:t xml:space="preserve"> M, et al. The effect of travel restrictions on the spread of the 2019 novel coronavirus (COVID-19) outbreak. Science (2020) 368: 395-400. doi:10.1126/</w:t>
      </w:r>
      <w:proofErr w:type="gramStart"/>
      <w:r w:rsidRPr="0049428D">
        <w:rPr>
          <w:rFonts w:eastAsiaTheme="minorEastAsia"/>
          <w:color w:val="000000" w:themeColor="text1"/>
          <w:sz w:val="22"/>
        </w:rPr>
        <w:t>science.aba</w:t>
      </w:r>
      <w:proofErr w:type="gramEnd"/>
      <w:r w:rsidRPr="0049428D">
        <w:rPr>
          <w:rFonts w:eastAsiaTheme="minorEastAsia"/>
          <w:color w:val="000000" w:themeColor="text1"/>
          <w:sz w:val="22"/>
        </w:rPr>
        <w:t>9757.</w:t>
      </w:r>
    </w:p>
    <w:p w14:paraId="5DC166FB" w14:textId="77777777"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r w:rsidRPr="0049428D">
        <w:rPr>
          <w:rFonts w:eastAsiaTheme="minorEastAsia"/>
          <w:color w:val="000000" w:themeColor="text1"/>
          <w:sz w:val="22"/>
        </w:rPr>
        <w:t xml:space="preserve">Yang Z, Zeng Z, Wang K, et al. Modified SEIR and AI prediction of the epidemics trend of COVID-10 in China under public health interventions. J. </w:t>
      </w:r>
      <w:proofErr w:type="spellStart"/>
      <w:r w:rsidRPr="0049428D">
        <w:rPr>
          <w:rFonts w:eastAsiaTheme="minorEastAsia"/>
          <w:color w:val="000000" w:themeColor="text1"/>
          <w:sz w:val="22"/>
        </w:rPr>
        <w:t>Thorac</w:t>
      </w:r>
      <w:proofErr w:type="spellEnd"/>
      <w:r w:rsidRPr="0049428D">
        <w:rPr>
          <w:rFonts w:eastAsiaTheme="minorEastAsia"/>
          <w:color w:val="000000" w:themeColor="text1"/>
          <w:sz w:val="22"/>
        </w:rPr>
        <w:t>. Dis. (2020) 12(3): 165-174. doi:10.21037/jtd.2020.02.64.</w:t>
      </w:r>
    </w:p>
    <w:p w14:paraId="0592BCDB" w14:textId="694F8F8B" w:rsidR="0049428D" w:rsidRPr="0049428D" w:rsidRDefault="0049428D" w:rsidP="0049428D">
      <w:pPr>
        <w:pStyle w:val="ListParagraph"/>
        <w:numPr>
          <w:ilvl w:val="0"/>
          <w:numId w:val="25"/>
        </w:numPr>
        <w:spacing w:before="0" w:after="0"/>
        <w:ind w:left="567" w:hanging="567"/>
        <w:rPr>
          <w:rFonts w:eastAsiaTheme="minorEastAsia"/>
          <w:color w:val="000000" w:themeColor="text1"/>
          <w:sz w:val="22"/>
          <w:szCs w:val="22"/>
        </w:rPr>
      </w:pPr>
      <w:r w:rsidRPr="0049428D">
        <w:rPr>
          <w:rFonts w:eastAsiaTheme="minorEastAsia"/>
          <w:color w:val="000000" w:themeColor="text1"/>
          <w:sz w:val="22"/>
        </w:rPr>
        <w:t>Li R, Pei S, Chen B, Song Y, Zhang T, Yang W, Shaman J. Substantial undocumented infection facilitates the rapid dissemination of novel coronavirus (SARS-CoV-2). Science (2020) 368: 489-493. doi:10.1126/</w:t>
      </w:r>
      <w:proofErr w:type="gramStart"/>
      <w:r w:rsidRPr="0049428D">
        <w:rPr>
          <w:rFonts w:eastAsiaTheme="minorEastAsia"/>
          <w:color w:val="000000" w:themeColor="text1"/>
          <w:sz w:val="22"/>
        </w:rPr>
        <w:t>science.abb</w:t>
      </w:r>
      <w:proofErr w:type="gramEnd"/>
      <w:r w:rsidRPr="0049428D">
        <w:rPr>
          <w:rFonts w:eastAsiaTheme="minorEastAsia"/>
          <w:color w:val="000000" w:themeColor="text1"/>
          <w:sz w:val="22"/>
        </w:rPr>
        <w:t>3221.</w:t>
      </w:r>
    </w:p>
    <w:p w14:paraId="1AAA8308" w14:textId="77777777" w:rsidR="00B12B8F" w:rsidRPr="00BC00F1" w:rsidRDefault="00B12B8F" w:rsidP="00B12B8F">
      <w:pPr>
        <w:pStyle w:val="ListParagraph"/>
        <w:numPr>
          <w:ilvl w:val="0"/>
          <w:numId w:val="25"/>
        </w:numPr>
        <w:spacing w:before="0" w:after="0"/>
        <w:ind w:left="567" w:hanging="567"/>
        <w:rPr>
          <w:rFonts w:eastAsiaTheme="minorEastAsia"/>
          <w:color w:val="000000" w:themeColor="text1"/>
          <w:sz w:val="22"/>
          <w:szCs w:val="22"/>
        </w:rPr>
      </w:pPr>
      <w:r>
        <w:rPr>
          <w:sz w:val="22"/>
          <w:szCs w:val="22"/>
        </w:rPr>
        <w:t xml:space="preserve">Iran’s Ministry of Health and Medical Education. Daily COVID-10 Epidemic Reports. </w:t>
      </w:r>
      <w:hyperlink r:id="rId14" w:history="1">
        <w:r>
          <w:rPr>
            <w:rStyle w:val="Hyperlink"/>
          </w:rPr>
          <w:t>http://corona.behdasht.gov.ir/</w:t>
        </w:r>
      </w:hyperlink>
      <w:r>
        <w:t xml:space="preserve"> </w:t>
      </w:r>
      <w:r w:rsidRPr="00735380">
        <w:rPr>
          <w:sz w:val="22"/>
          <w:szCs w:val="22"/>
        </w:rPr>
        <w:t>(accessed April 13, 2020).</w:t>
      </w:r>
    </w:p>
    <w:p w14:paraId="1A71870D" w14:textId="60D6207D"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8C741F">
        <w:rPr>
          <w:rFonts w:eastAsiaTheme="minorEastAsia"/>
          <w:color w:val="000000" w:themeColor="text1"/>
          <w:sz w:val="22"/>
          <w:szCs w:val="22"/>
          <w:lang w:val="fr-FR"/>
        </w:rPr>
        <w:t xml:space="preserve">Lauer SA, </w:t>
      </w:r>
      <w:proofErr w:type="spellStart"/>
      <w:r w:rsidRPr="008C741F">
        <w:rPr>
          <w:rFonts w:eastAsiaTheme="minorEastAsia"/>
          <w:color w:val="000000" w:themeColor="text1"/>
          <w:sz w:val="22"/>
          <w:szCs w:val="22"/>
          <w:lang w:val="fr-FR"/>
        </w:rPr>
        <w:t>Grantz</w:t>
      </w:r>
      <w:proofErr w:type="spellEnd"/>
      <w:r w:rsidRPr="008C741F">
        <w:rPr>
          <w:rFonts w:eastAsiaTheme="minorEastAsia"/>
          <w:color w:val="000000" w:themeColor="text1"/>
          <w:sz w:val="22"/>
          <w:szCs w:val="22"/>
          <w:lang w:val="fr-FR"/>
        </w:rPr>
        <w:t xml:space="preserve"> KH, Bi Q, et al. </w:t>
      </w:r>
      <w:r w:rsidRPr="00735380">
        <w:rPr>
          <w:rFonts w:eastAsiaTheme="minorEastAsia"/>
          <w:color w:val="000000" w:themeColor="text1"/>
          <w:sz w:val="22"/>
          <w:szCs w:val="22"/>
        </w:rPr>
        <w:t xml:space="preserve">The Incubation Period of Coronavirus Disease 2019 (COVID-19) From Publicly Reported Confirmed Cases: Estimation and Application. Ann Intern Med. </w:t>
      </w:r>
      <w:r>
        <w:rPr>
          <w:rFonts w:eastAsiaTheme="minorEastAsia"/>
          <w:color w:val="000000" w:themeColor="text1"/>
          <w:sz w:val="22"/>
          <w:szCs w:val="22"/>
        </w:rPr>
        <w:t>(</w:t>
      </w:r>
      <w:r w:rsidRPr="00735380">
        <w:rPr>
          <w:rFonts w:eastAsiaTheme="minorEastAsia"/>
          <w:color w:val="000000" w:themeColor="text1"/>
          <w:sz w:val="22"/>
          <w:szCs w:val="22"/>
        </w:rPr>
        <w:t>2020</w:t>
      </w:r>
      <w:r>
        <w:rPr>
          <w:rFonts w:eastAsiaTheme="minorEastAsia"/>
          <w:color w:val="000000" w:themeColor="text1"/>
          <w:sz w:val="22"/>
          <w:szCs w:val="22"/>
        </w:rPr>
        <w:t>)</w:t>
      </w:r>
      <w:r w:rsidRPr="00735380">
        <w:rPr>
          <w:rFonts w:eastAsiaTheme="minorEastAsia"/>
          <w:color w:val="000000" w:themeColor="text1"/>
          <w:sz w:val="22"/>
          <w:szCs w:val="22"/>
        </w:rPr>
        <w:t xml:space="preserve"> [</w:t>
      </w:r>
      <w:proofErr w:type="spellStart"/>
      <w:r w:rsidRPr="00735380">
        <w:rPr>
          <w:rFonts w:eastAsiaTheme="minorEastAsia"/>
          <w:color w:val="000000" w:themeColor="text1"/>
          <w:sz w:val="22"/>
          <w:szCs w:val="22"/>
        </w:rPr>
        <w:t>Epub</w:t>
      </w:r>
      <w:proofErr w:type="spellEnd"/>
      <w:r w:rsidRPr="00735380">
        <w:rPr>
          <w:rFonts w:eastAsiaTheme="minorEastAsia"/>
          <w:color w:val="000000" w:themeColor="text1"/>
          <w:sz w:val="22"/>
          <w:szCs w:val="22"/>
        </w:rPr>
        <w:t xml:space="preserve"> ahead of print 10 March 2020]. doi:</w:t>
      </w:r>
      <w:r w:rsidR="0085154E" w:rsidRPr="0085154E">
        <w:rPr>
          <w:rFonts w:eastAsiaTheme="minorEastAsia"/>
          <w:color w:val="000000" w:themeColor="text1"/>
          <w:sz w:val="22"/>
          <w:szCs w:val="22"/>
        </w:rPr>
        <w:t>10.7326/M20-0504</w:t>
      </w:r>
      <w:r w:rsidR="0085154E">
        <w:rPr>
          <w:rFonts w:eastAsiaTheme="minorEastAsia"/>
          <w:color w:val="000000" w:themeColor="text1"/>
          <w:sz w:val="22"/>
          <w:szCs w:val="22"/>
        </w:rPr>
        <w:t>.</w:t>
      </w:r>
    </w:p>
    <w:p w14:paraId="1056B998" w14:textId="287BFD5B" w:rsidR="00B12B8F" w:rsidRPr="00CB2B71"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rFonts w:eastAsiaTheme="minorEastAsia"/>
          <w:color w:val="000000" w:themeColor="text1"/>
          <w:sz w:val="22"/>
          <w:szCs w:val="22"/>
        </w:rPr>
        <w:t>Imperial College London COVID-19 Response Team. Report 4: Severity of 2019-novel coronavirus (</w:t>
      </w:r>
      <w:proofErr w:type="spellStart"/>
      <w:r w:rsidRPr="00735380">
        <w:rPr>
          <w:rFonts w:eastAsiaTheme="minorEastAsia"/>
          <w:color w:val="000000" w:themeColor="text1"/>
          <w:sz w:val="22"/>
          <w:szCs w:val="22"/>
        </w:rPr>
        <w:t>nCoV</w:t>
      </w:r>
      <w:proofErr w:type="spellEnd"/>
      <w:r w:rsidRPr="00735380">
        <w:rPr>
          <w:rFonts w:eastAsiaTheme="minorEastAsia"/>
          <w:color w:val="000000" w:themeColor="text1"/>
          <w:sz w:val="22"/>
          <w:szCs w:val="22"/>
        </w:rPr>
        <w:t xml:space="preserve">). February 10, 2020. </w:t>
      </w:r>
      <w:hyperlink r:id="rId15" w:history="1">
        <w:r w:rsidRPr="00735380">
          <w:rPr>
            <w:rStyle w:val="Hyperlink"/>
            <w:sz w:val="22"/>
            <w:szCs w:val="22"/>
          </w:rPr>
          <w:t>https://www.imperial.ac.uk/media/imperial-college/medicine/sph/ide/gida-fellowships/Imperial-College-COVID19-severity-10-02-2020.pdf</w:t>
        </w:r>
      </w:hyperlink>
      <w:r w:rsidRPr="00735380">
        <w:rPr>
          <w:sz w:val="22"/>
          <w:szCs w:val="22"/>
        </w:rPr>
        <w:t xml:space="preserve"> (accessed April 13, 2020).</w:t>
      </w:r>
    </w:p>
    <w:p w14:paraId="2982D9D2" w14:textId="77777777" w:rsidR="00CB2B71" w:rsidRPr="00B12B8F" w:rsidRDefault="00CB2B71" w:rsidP="00CB2B71">
      <w:pPr>
        <w:pStyle w:val="ListParagraph"/>
        <w:numPr>
          <w:ilvl w:val="0"/>
          <w:numId w:val="25"/>
        </w:numPr>
        <w:spacing w:before="0" w:after="0"/>
        <w:ind w:left="567" w:hanging="567"/>
        <w:rPr>
          <w:rFonts w:eastAsiaTheme="minorEastAsia"/>
          <w:color w:val="000000" w:themeColor="text1"/>
          <w:sz w:val="22"/>
          <w:szCs w:val="22"/>
        </w:rPr>
      </w:pPr>
      <w:r w:rsidRPr="00B12B8F">
        <w:rPr>
          <w:sz w:val="22"/>
          <w:szCs w:val="22"/>
        </w:rPr>
        <w:t>Delamater PL, Street EJ, Leslie TF, Yang Y, Jacobsen KH. Complexity of the Basic Reproduction Number (R0). Emerging Infectious Diseases (2019) 25(1): 1-4.</w:t>
      </w:r>
      <w:r w:rsidRPr="00B12B8F">
        <w:t xml:space="preserve"> </w:t>
      </w:r>
      <w:r w:rsidRPr="00B12B8F">
        <w:rPr>
          <w:sz w:val="22"/>
          <w:szCs w:val="22"/>
        </w:rPr>
        <w:t>doi:10.3201/eid2501.171901.</w:t>
      </w:r>
    </w:p>
    <w:p w14:paraId="37B3466E" w14:textId="25AD8C24" w:rsidR="00CB2B71" w:rsidRPr="00CB2B71" w:rsidRDefault="00CB2B71" w:rsidP="00CB2B71">
      <w:pPr>
        <w:pStyle w:val="ListParagraph"/>
        <w:numPr>
          <w:ilvl w:val="0"/>
          <w:numId w:val="25"/>
        </w:numPr>
        <w:spacing w:before="0" w:after="0"/>
        <w:ind w:left="567" w:hanging="567"/>
        <w:rPr>
          <w:rFonts w:eastAsiaTheme="minorEastAsia"/>
          <w:color w:val="000000" w:themeColor="text1"/>
          <w:sz w:val="22"/>
          <w:szCs w:val="22"/>
        </w:rPr>
      </w:pPr>
      <w:r w:rsidRPr="0085154E">
        <w:rPr>
          <w:sz w:val="22"/>
          <w:szCs w:val="22"/>
        </w:rPr>
        <w:t>Mercer GN, Glass K, Becker NG. Effective reproduction numbers are commonly overestimated early in a disease outbreak. Stat Med. (2011) 30: 984–94. doi:10.1002/sim.4174.</w:t>
      </w:r>
    </w:p>
    <w:p w14:paraId="534D34FE" w14:textId="77777777" w:rsidR="00CB2B71" w:rsidRPr="0085154E" w:rsidRDefault="00CB2B71" w:rsidP="00CB2B71">
      <w:pPr>
        <w:pStyle w:val="ListParagraph"/>
        <w:numPr>
          <w:ilvl w:val="0"/>
          <w:numId w:val="25"/>
        </w:numPr>
        <w:spacing w:before="0" w:after="0"/>
        <w:ind w:left="567" w:hanging="567"/>
        <w:rPr>
          <w:rFonts w:eastAsiaTheme="minorEastAsia"/>
          <w:color w:val="000000" w:themeColor="text1"/>
          <w:sz w:val="22"/>
          <w:szCs w:val="22"/>
        </w:rPr>
      </w:pPr>
      <w:r w:rsidRPr="0085154E">
        <w:rPr>
          <w:sz w:val="22"/>
          <w:szCs w:val="22"/>
        </w:rPr>
        <w:t xml:space="preserve">Nishiura H, </w:t>
      </w:r>
      <w:proofErr w:type="spellStart"/>
      <w:r w:rsidRPr="0085154E">
        <w:rPr>
          <w:sz w:val="22"/>
          <w:szCs w:val="22"/>
        </w:rPr>
        <w:t>Chowell</w:t>
      </w:r>
      <w:proofErr w:type="spellEnd"/>
      <w:r w:rsidRPr="0085154E">
        <w:rPr>
          <w:sz w:val="22"/>
          <w:szCs w:val="22"/>
        </w:rPr>
        <w:t xml:space="preserve"> G. The effective reproduction number as a prelude to statistical estimation of time-dependent epidemic trends. In: </w:t>
      </w:r>
      <w:proofErr w:type="spellStart"/>
      <w:r w:rsidRPr="0085154E">
        <w:rPr>
          <w:sz w:val="22"/>
          <w:szCs w:val="22"/>
        </w:rPr>
        <w:t>Chowell</w:t>
      </w:r>
      <w:proofErr w:type="spellEnd"/>
      <w:r w:rsidRPr="0085154E">
        <w:rPr>
          <w:sz w:val="22"/>
          <w:szCs w:val="22"/>
        </w:rPr>
        <w:t xml:space="preserve"> G, Hyman JM, Bettencourt LMA, Castillo-Chavez C, editors. Mathematical and statistical estimation approaches in epidemiology. Dordrecht (the Netherlands): Springer Netherlands (2009) 103–21. doi:10.1007/978-90-481-2313-1_5.</w:t>
      </w:r>
    </w:p>
    <w:p w14:paraId="0DE6063E" w14:textId="1B5CD196" w:rsidR="00CB2B71" w:rsidRPr="00CB2B71" w:rsidRDefault="00CB2B71" w:rsidP="00CB2B71">
      <w:pPr>
        <w:pStyle w:val="ListParagraph"/>
        <w:numPr>
          <w:ilvl w:val="0"/>
          <w:numId w:val="25"/>
        </w:numPr>
        <w:spacing w:before="0" w:after="0"/>
        <w:ind w:left="567" w:hanging="567"/>
        <w:rPr>
          <w:sz w:val="22"/>
          <w:szCs w:val="22"/>
        </w:rPr>
      </w:pPr>
      <w:r w:rsidRPr="0085154E">
        <w:rPr>
          <w:sz w:val="22"/>
          <w:szCs w:val="22"/>
        </w:rPr>
        <w:lastRenderedPageBreak/>
        <w:t xml:space="preserve">Dietz K. The estimation of the basic reproduction number for infectious diseases. Stat. Methods. Med. Res. (1993) 2: 23–41. </w:t>
      </w:r>
      <w:r>
        <w:rPr>
          <w:sz w:val="22"/>
          <w:szCs w:val="22"/>
        </w:rPr>
        <w:t>d</w:t>
      </w:r>
      <w:r w:rsidRPr="0085154E">
        <w:rPr>
          <w:sz w:val="22"/>
          <w:szCs w:val="22"/>
        </w:rPr>
        <w:t>oi:10.1177/096228029300200103</w:t>
      </w:r>
    </w:p>
    <w:p w14:paraId="6A1AB4B6" w14:textId="57BD4D11" w:rsidR="00B12B8F" w:rsidRPr="00B12B8F" w:rsidRDefault="00B12B8F" w:rsidP="00B12B8F">
      <w:pPr>
        <w:pStyle w:val="ListParagraph"/>
        <w:numPr>
          <w:ilvl w:val="0"/>
          <w:numId w:val="25"/>
        </w:numPr>
        <w:spacing w:before="0" w:after="0"/>
        <w:ind w:left="567" w:hanging="567"/>
        <w:rPr>
          <w:rFonts w:eastAsiaTheme="minorEastAsia"/>
          <w:color w:val="000000" w:themeColor="text1"/>
          <w:sz w:val="22"/>
          <w:szCs w:val="22"/>
        </w:rPr>
      </w:pPr>
      <w:proofErr w:type="spellStart"/>
      <w:r w:rsidRPr="00B12B8F">
        <w:rPr>
          <w:rFonts w:eastAsiaTheme="minorEastAsia"/>
          <w:color w:val="000000" w:themeColor="text1"/>
          <w:sz w:val="22"/>
          <w:szCs w:val="22"/>
        </w:rPr>
        <w:t>Marinov</w:t>
      </w:r>
      <w:proofErr w:type="spellEnd"/>
      <w:r w:rsidRPr="00B12B8F">
        <w:rPr>
          <w:rFonts w:eastAsiaTheme="minorEastAsia"/>
          <w:color w:val="000000" w:themeColor="text1"/>
          <w:sz w:val="22"/>
          <w:szCs w:val="22"/>
        </w:rPr>
        <w:t xml:space="preserve"> RR, </w:t>
      </w:r>
      <w:proofErr w:type="spellStart"/>
      <w:r w:rsidRPr="00B12B8F">
        <w:rPr>
          <w:rFonts w:eastAsiaTheme="minorEastAsia"/>
          <w:color w:val="000000" w:themeColor="text1"/>
          <w:sz w:val="22"/>
          <w:szCs w:val="22"/>
        </w:rPr>
        <w:t>Mariova</w:t>
      </w:r>
      <w:proofErr w:type="spellEnd"/>
      <w:r w:rsidRPr="00B12B8F">
        <w:rPr>
          <w:rFonts w:eastAsiaTheme="minorEastAsia"/>
          <w:color w:val="000000" w:themeColor="text1"/>
          <w:sz w:val="22"/>
          <w:szCs w:val="22"/>
        </w:rPr>
        <w:t xml:space="preserve"> RS, </w:t>
      </w:r>
      <w:proofErr w:type="spellStart"/>
      <w:r w:rsidRPr="00B12B8F">
        <w:rPr>
          <w:rFonts w:eastAsiaTheme="minorEastAsia"/>
          <w:color w:val="000000" w:themeColor="text1"/>
          <w:sz w:val="22"/>
          <w:szCs w:val="22"/>
        </w:rPr>
        <w:t>Omojola</w:t>
      </w:r>
      <w:proofErr w:type="spellEnd"/>
      <w:r w:rsidRPr="00B12B8F">
        <w:rPr>
          <w:rFonts w:eastAsiaTheme="minorEastAsia"/>
          <w:color w:val="000000" w:themeColor="text1"/>
          <w:sz w:val="22"/>
          <w:szCs w:val="22"/>
        </w:rPr>
        <w:t xml:space="preserve"> J, Jackson M. </w:t>
      </w:r>
      <w:r w:rsidRPr="00B12B8F">
        <w:rPr>
          <w:sz w:val="22"/>
          <w:szCs w:val="22"/>
        </w:rPr>
        <w:t xml:space="preserve">Inverse problem for coefficient identification in SIR epidemic models. </w:t>
      </w:r>
      <w:proofErr w:type="spellStart"/>
      <w:r w:rsidRPr="00B12B8F">
        <w:rPr>
          <w:sz w:val="22"/>
          <w:szCs w:val="22"/>
        </w:rPr>
        <w:t>Comput</w:t>
      </w:r>
      <w:proofErr w:type="spellEnd"/>
      <w:r w:rsidRPr="00B12B8F">
        <w:rPr>
          <w:sz w:val="22"/>
          <w:szCs w:val="22"/>
        </w:rPr>
        <w:t>. Math. with Appl. (2014) 67: 2218-2227. doi: 10.1016/j.camwa.2014.02.002.</w:t>
      </w:r>
    </w:p>
    <w:p w14:paraId="1D93A8AC" w14:textId="3BA5C44E" w:rsidR="00B12B8F" w:rsidRPr="00B12B8F" w:rsidRDefault="00B12B8F" w:rsidP="00B12B8F">
      <w:pPr>
        <w:pStyle w:val="ListParagraph"/>
        <w:numPr>
          <w:ilvl w:val="0"/>
          <w:numId w:val="25"/>
        </w:numPr>
        <w:spacing w:before="0" w:after="0"/>
        <w:ind w:left="567" w:hanging="567"/>
        <w:rPr>
          <w:rFonts w:eastAsiaTheme="minorEastAsia"/>
          <w:color w:val="000000" w:themeColor="text1"/>
          <w:sz w:val="22"/>
          <w:szCs w:val="22"/>
        </w:rPr>
      </w:pPr>
      <w:proofErr w:type="spellStart"/>
      <w:r w:rsidRPr="00B12B8F">
        <w:rPr>
          <w:sz w:val="22"/>
          <w:szCs w:val="22"/>
        </w:rPr>
        <w:t>Audet</w:t>
      </w:r>
      <w:proofErr w:type="spellEnd"/>
      <w:r w:rsidRPr="00B12B8F">
        <w:rPr>
          <w:sz w:val="22"/>
          <w:szCs w:val="22"/>
        </w:rPr>
        <w:t xml:space="preserve"> C, Dennis JE. Analysis of generalized pattern searches. SIAM J. </w:t>
      </w:r>
      <w:proofErr w:type="spellStart"/>
      <w:r w:rsidRPr="00B12B8F">
        <w:rPr>
          <w:sz w:val="22"/>
          <w:szCs w:val="22"/>
        </w:rPr>
        <w:t>Optim</w:t>
      </w:r>
      <w:proofErr w:type="spellEnd"/>
      <w:r w:rsidRPr="00B12B8F">
        <w:rPr>
          <w:sz w:val="22"/>
          <w:szCs w:val="22"/>
        </w:rPr>
        <w:t>. 2003; 13, 889-903. doi:10.1137/S1052623400378742.</w:t>
      </w:r>
    </w:p>
    <w:p w14:paraId="0D171AFB" w14:textId="24EE7408" w:rsidR="00B12B8F" w:rsidRPr="0085154E" w:rsidRDefault="00B12B8F" w:rsidP="00B12B8F">
      <w:pPr>
        <w:pStyle w:val="ListParagraph"/>
        <w:numPr>
          <w:ilvl w:val="0"/>
          <w:numId w:val="25"/>
        </w:numPr>
        <w:spacing w:before="0" w:after="0"/>
        <w:ind w:left="567" w:hanging="567"/>
        <w:rPr>
          <w:sz w:val="22"/>
          <w:szCs w:val="22"/>
        </w:rPr>
      </w:pPr>
      <w:proofErr w:type="spellStart"/>
      <w:r w:rsidRPr="0085154E">
        <w:rPr>
          <w:sz w:val="22"/>
          <w:szCs w:val="22"/>
        </w:rPr>
        <w:t>Artalejo</w:t>
      </w:r>
      <w:proofErr w:type="spellEnd"/>
      <w:r w:rsidRPr="0085154E">
        <w:rPr>
          <w:sz w:val="22"/>
          <w:szCs w:val="22"/>
        </w:rPr>
        <w:t xml:space="preserve"> JR, Lopez-Herrero MJ. On the exact measure of disease spread in stochastic epidemic models. Bull Math Biol. (2013) 75: 1031–50.</w:t>
      </w:r>
      <w:r w:rsidR="0085154E" w:rsidRPr="0085154E">
        <w:t xml:space="preserve"> </w:t>
      </w:r>
      <w:r w:rsidR="0085154E" w:rsidRPr="0085154E">
        <w:rPr>
          <w:sz w:val="22"/>
          <w:szCs w:val="22"/>
        </w:rPr>
        <w:t>doi:10.1007/s11538-013-9836-3.</w:t>
      </w:r>
    </w:p>
    <w:p w14:paraId="4A72C6DB" w14:textId="087595C8" w:rsidR="00B12B8F" w:rsidRPr="0085154E" w:rsidRDefault="00B12B8F" w:rsidP="00B12B8F">
      <w:pPr>
        <w:pStyle w:val="ListParagraph"/>
        <w:numPr>
          <w:ilvl w:val="0"/>
          <w:numId w:val="25"/>
        </w:numPr>
        <w:spacing w:before="0" w:after="0"/>
        <w:ind w:left="567" w:hanging="567"/>
        <w:rPr>
          <w:sz w:val="22"/>
          <w:szCs w:val="22"/>
        </w:rPr>
      </w:pPr>
      <w:r w:rsidRPr="0085154E">
        <w:rPr>
          <w:sz w:val="22"/>
          <w:szCs w:val="22"/>
          <w:lang w:val="fr-FR"/>
        </w:rPr>
        <w:t xml:space="preserve">Linton NM, Kobayashi T, Yang Y et al. </w:t>
      </w:r>
      <w:r w:rsidRPr="0085154E">
        <w:rPr>
          <w:sz w:val="22"/>
          <w:szCs w:val="22"/>
        </w:rPr>
        <w:t>Incubation period and other epidemiological characteristics of 2019 novel coronavirus infections with right truncation: A statistical analysis of publicly available case data. J. Clin. Med. (2020) 9: 538.</w:t>
      </w:r>
      <w:r w:rsidR="0085154E" w:rsidRPr="0085154E">
        <w:rPr>
          <w:sz w:val="22"/>
          <w:szCs w:val="22"/>
        </w:rPr>
        <w:t xml:space="preserve"> doi:10.3390/jcm9020538.</w:t>
      </w:r>
    </w:p>
    <w:p w14:paraId="304397D3" w14:textId="77777777" w:rsidR="00B12B8F" w:rsidRPr="00735380"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rFonts w:eastAsiaTheme="minorEastAsia"/>
          <w:color w:val="000000" w:themeColor="text1"/>
          <w:sz w:val="22"/>
          <w:szCs w:val="22"/>
        </w:rPr>
        <w:t xml:space="preserve">CMMID. Using a delay-adjusted case fatality ratio to estimate under-reporting. April 4, 2020. Centre for Mathematical Modelling of Infectious Disease, London School of Hygiene &amp; Tropical Medicine. </w:t>
      </w:r>
      <w:hyperlink r:id="rId16" w:history="1">
        <w:r w:rsidRPr="00794022">
          <w:rPr>
            <w:rStyle w:val="Hyperlink"/>
            <w:rFonts w:eastAsiaTheme="minorEastAsia"/>
            <w:sz w:val="22"/>
            <w:szCs w:val="22"/>
          </w:rPr>
          <w:t>https://cmmid.github.io/topics/covid19/global_cfr_estimates.html</w:t>
        </w:r>
      </w:hyperlink>
      <w:r>
        <w:rPr>
          <w:rFonts w:eastAsiaTheme="minorEastAsia"/>
          <w:color w:val="000000" w:themeColor="text1"/>
          <w:sz w:val="22"/>
          <w:szCs w:val="22"/>
        </w:rPr>
        <w:t xml:space="preserve"> </w:t>
      </w:r>
      <w:r w:rsidRPr="00735380">
        <w:rPr>
          <w:sz w:val="22"/>
          <w:szCs w:val="22"/>
        </w:rPr>
        <w:t xml:space="preserve">(accessed April </w:t>
      </w:r>
      <w:r>
        <w:rPr>
          <w:sz w:val="22"/>
          <w:szCs w:val="22"/>
        </w:rPr>
        <w:t>28</w:t>
      </w:r>
      <w:r w:rsidRPr="00735380">
        <w:rPr>
          <w:sz w:val="22"/>
          <w:szCs w:val="22"/>
        </w:rPr>
        <w:t>, 2020).</w:t>
      </w:r>
    </w:p>
    <w:p w14:paraId="2C245272" w14:textId="77777777" w:rsidR="00B12B8F" w:rsidRPr="001F02C9"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735380">
        <w:rPr>
          <w:rFonts w:eastAsiaTheme="minorEastAsia"/>
          <w:color w:val="000000" w:themeColor="text1"/>
          <w:sz w:val="22"/>
          <w:szCs w:val="22"/>
        </w:rPr>
        <w:t xml:space="preserve">CEBM. Global Covid-19 Case Fatality Rates. March 17, 2020. The Centre for Evidence-Based Medicine, University of Oxford. </w:t>
      </w:r>
      <w:hyperlink r:id="rId17" w:history="1">
        <w:r w:rsidRPr="00735380">
          <w:rPr>
            <w:rStyle w:val="Hyperlink"/>
            <w:sz w:val="22"/>
            <w:szCs w:val="22"/>
          </w:rPr>
          <w:t>https://www.cebm.net/covid-19/global-covid-19-case-fatality-rates/</w:t>
        </w:r>
      </w:hyperlink>
      <w:r w:rsidRPr="00735380">
        <w:rPr>
          <w:sz w:val="22"/>
          <w:szCs w:val="22"/>
        </w:rPr>
        <w:t xml:space="preserve"> (accessed April 13, 2020).</w:t>
      </w:r>
    </w:p>
    <w:p w14:paraId="087B9C42" w14:textId="26326F1D" w:rsidR="00B12B8F" w:rsidRPr="00571551"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571551">
        <w:rPr>
          <w:rFonts w:eastAsiaTheme="minorEastAsia"/>
          <w:color w:val="000000" w:themeColor="text1"/>
          <w:sz w:val="22"/>
          <w:szCs w:val="22"/>
        </w:rPr>
        <w:t>Wu Z, McGoogan JM. Characteristics of and Important Lessons from the Coronavirus Disease 2019 (COVID-19) Outbreak in China: Summary of a Report of 72 314 Cases from the Chinese Center for Disease Control and Prevention. JAMA. (2020) 323(13):1239–1242.</w:t>
      </w:r>
      <w:r w:rsidR="0085154E" w:rsidRPr="00571551">
        <w:t xml:space="preserve"> </w:t>
      </w:r>
      <w:r w:rsidR="0085154E" w:rsidRPr="00571551">
        <w:rPr>
          <w:rFonts w:eastAsiaTheme="minorEastAsia"/>
          <w:color w:val="000000" w:themeColor="text1"/>
          <w:sz w:val="22"/>
          <w:szCs w:val="22"/>
        </w:rPr>
        <w:t>doi:10.1001/jama.2020.2648.</w:t>
      </w:r>
    </w:p>
    <w:p w14:paraId="33DE3510" w14:textId="10B170A1" w:rsidR="0088513A" w:rsidRPr="00571551" w:rsidRDefault="00B12B8F" w:rsidP="00B12B8F">
      <w:pPr>
        <w:pStyle w:val="ListParagraph"/>
        <w:numPr>
          <w:ilvl w:val="0"/>
          <w:numId w:val="25"/>
        </w:numPr>
        <w:spacing w:before="0" w:after="0"/>
        <w:ind w:left="567" w:hanging="567"/>
        <w:rPr>
          <w:rFonts w:eastAsiaTheme="minorEastAsia"/>
          <w:color w:val="000000" w:themeColor="text1"/>
          <w:sz w:val="22"/>
          <w:szCs w:val="22"/>
        </w:rPr>
      </w:pPr>
      <w:r w:rsidRPr="00571551">
        <w:rPr>
          <w:rFonts w:eastAsiaTheme="minorEastAsia"/>
          <w:color w:val="000000" w:themeColor="text1"/>
          <w:sz w:val="22"/>
          <w:szCs w:val="22"/>
        </w:rPr>
        <w:t xml:space="preserve">CMMID. Temporal variation in transmission during the COVID-19 outbreak. April 9. 2020. Centre for Mathematical Modelling of Infectious Disease, London School of Hygiene &amp; Tropical Medicine. </w:t>
      </w:r>
      <w:hyperlink r:id="rId18" w:history="1">
        <w:r w:rsidRPr="00571551">
          <w:rPr>
            <w:rStyle w:val="Hyperlink"/>
            <w:sz w:val="22"/>
            <w:szCs w:val="22"/>
          </w:rPr>
          <w:t>https://epiforecasts.io/covid/</w:t>
        </w:r>
      </w:hyperlink>
      <w:r w:rsidRPr="00571551">
        <w:rPr>
          <w:sz w:val="22"/>
          <w:szCs w:val="22"/>
        </w:rPr>
        <w:t xml:space="preserve"> (accessed April 13, 2020).</w:t>
      </w:r>
    </w:p>
    <w:p w14:paraId="56A59C42" w14:textId="53F184CF" w:rsidR="0038434D" w:rsidRDefault="0038434D" w:rsidP="00A22D50">
      <w:pPr>
        <w:pStyle w:val="ListParagraph"/>
        <w:numPr>
          <w:ilvl w:val="0"/>
          <w:numId w:val="25"/>
        </w:numPr>
        <w:spacing w:before="0" w:after="0"/>
        <w:ind w:left="567" w:hanging="567"/>
        <w:rPr>
          <w:rFonts w:eastAsiaTheme="minorEastAsia"/>
          <w:color w:val="000000" w:themeColor="text1"/>
          <w:sz w:val="22"/>
          <w:szCs w:val="22"/>
        </w:rPr>
      </w:pPr>
      <w:r w:rsidRPr="00571551">
        <w:rPr>
          <w:rFonts w:eastAsiaTheme="minorEastAsia"/>
          <w:color w:val="000000" w:themeColor="text1"/>
          <w:sz w:val="22"/>
          <w:szCs w:val="22"/>
        </w:rPr>
        <w:t xml:space="preserve">Saberi M, </w:t>
      </w:r>
      <w:proofErr w:type="spellStart"/>
      <w:r w:rsidRPr="00571551">
        <w:rPr>
          <w:rFonts w:eastAsiaTheme="minorEastAsia"/>
          <w:color w:val="000000" w:themeColor="text1"/>
          <w:sz w:val="22"/>
          <w:szCs w:val="22"/>
        </w:rPr>
        <w:t>Hamedmoghadam</w:t>
      </w:r>
      <w:proofErr w:type="spellEnd"/>
      <w:r w:rsidRPr="00571551">
        <w:rPr>
          <w:rFonts w:eastAsiaTheme="minorEastAsia"/>
          <w:color w:val="000000" w:themeColor="text1"/>
          <w:sz w:val="22"/>
          <w:szCs w:val="22"/>
        </w:rPr>
        <w:t xml:space="preserve"> H, </w:t>
      </w:r>
      <w:proofErr w:type="spellStart"/>
      <w:r w:rsidRPr="00571551">
        <w:rPr>
          <w:rFonts w:eastAsiaTheme="minorEastAsia"/>
          <w:color w:val="000000" w:themeColor="text1"/>
          <w:sz w:val="22"/>
          <w:szCs w:val="22"/>
        </w:rPr>
        <w:t>Madani</w:t>
      </w:r>
      <w:proofErr w:type="spellEnd"/>
      <w:r w:rsidRPr="00571551">
        <w:rPr>
          <w:rFonts w:eastAsiaTheme="minorEastAsia"/>
          <w:color w:val="000000" w:themeColor="text1"/>
          <w:sz w:val="22"/>
          <w:szCs w:val="22"/>
        </w:rPr>
        <w:t xml:space="preserve"> K, </w:t>
      </w:r>
      <w:proofErr w:type="spellStart"/>
      <w:r w:rsidRPr="00571551">
        <w:rPr>
          <w:rFonts w:eastAsiaTheme="minorEastAsia"/>
          <w:color w:val="000000" w:themeColor="text1"/>
          <w:sz w:val="22"/>
          <w:szCs w:val="22"/>
        </w:rPr>
        <w:t>Dolk</w:t>
      </w:r>
      <w:proofErr w:type="spellEnd"/>
      <w:r w:rsidR="00A22D50" w:rsidRPr="00571551">
        <w:rPr>
          <w:rFonts w:eastAsiaTheme="minorEastAsia"/>
          <w:color w:val="000000" w:themeColor="text1"/>
          <w:sz w:val="22"/>
          <w:szCs w:val="22"/>
        </w:rPr>
        <w:t xml:space="preserve"> HD, Morgan</w:t>
      </w:r>
      <w:r w:rsidR="00A22D50">
        <w:rPr>
          <w:rFonts w:eastAsiaTheme="minorEastAsia"/>
          <w:color w:val="000000" w:themeColor="text1"/>
          <w:sz w:val="22"/>
          <w:szCs w:val="22"/>
        </w:rPr>
        <w:t xml:space="preserve"> A, Morris JK, </w:t>
      </w:r>
      <w:proofErr w:type="spellStart"/>
      <w:r w:rsidR="00A22D50">
        <w:rPr>
          <w:rFonts w:eastAsiaTheme="minorEastAsia"/>
          <w:color w:val="000000" w:themeColor="text1"/>
          <w:sz w:val="22"/>
          <w:szCs w:val="22"/>
        </w:rPr>
        <w:t>Khoshnood</w:t>
      </w:r>
      <w:proofErr w:type="spellEnd"/>
      <w:r w:rsidR="00A22D50">
        <w:rPr>
          <w:rFonts w:eastAsiaTheme="minorEastAsia"/>
          <w:color w:val="000000" w:themeColor="text1"/>
          <w:sz w:val="22"/>
          <w:szCs w:val="22"/>
        </w:rPr>
        <w:t xml:space="preserve"> K, </w:t>
      </w:r>
      <w:proofErr w:type="spellStart"/>
      <w:r w:rsidR="00A22D50">
        <w:rPr>
          <w:rFonts w:eastAsiaTheme="minorEastAsia"/>
          <w:color w:val="000000" w:themeColor="text1"/>
          <w:sz w:val="22"/>
          <w:szCs w:val="22"/>
        </w:rPr>
        <w:t>Khoshnood</w:t>
      </w:r>
      <w:proofErr w:type="spellEnd"/>
      <w:r w:rsidR="00A22D50">
        <w:rPr>
          <w:rFonts w:eastAsiaTheme="minorEastAsia"/>
          <w:color w:val="000000" w:themeColor="text1"/>
          <w:sz w:val="22"/>
          <w:szCs w:val="22"/>
        </w:rPr>
        <w:t xml:space="preserve"> B. </w:t>
      </w:r>
      <w:r w:rsidR="00A22D50" w:rsidRPr="00A22D50">
        <w:rPr>
          <w:rFonts w:eastAsiaTheme="minorEastAsia"/>
          <w:color w:val="000000" w:themeColor="text1"/>
          <w:sz w:val="22"/>
          <w:szCs w:val="22"/>
        </w:rPr>
        <w:t>Accounting for underreporting in mathematical modelling of transmission and control of COVID-19 in Iran</w:t>
      </w:r>
      <w:r w:rsidR="00A22D50">
        <w:rPr>
          <w:rFonts w:eastAsiaTheme="minorEastAsia"/>
          <w:color w:val="000000" w:themeColor="text1"/>
          <w:sz w:val="22"/>
          <w:szCs w:val="22"/>
        </w:rPr>
        <w:t xml:space="preserve">. </w:t>
      </w:r>
      <w:proofErr w:type="spellStart"/>
      <w:r w:rsidR="00A22D50" w:rsidRPr="00A22D50">
        <w:rPr>
          <w:rFonts w:eastAsiaTheme="minorEastAsia"/>
          <w:color w:val="000000" w:themeColor="text1"/>
          <w:sz w:val="22"/>
          <w:szCs w:val="22"/>
        </w:rPr>
        <w:t>medRxiv</w:t>
      </w:r>
      <w:proofErr w:type="spellEnd"/>
      <w:r w:rsidR="00A22D50" w:rsidRPr="00A22D50">
        <w:rPr>
          <w:rFonts w:eastAsiaTheme="minorEastAsia"/>
          <w:color w:val="000000" w:themeColor="text1"/>
          <w:sz w:val="22"/>
          <w:szCs w:val="22"/>
        </w:rPr>
        <w:t xml:space="preserve"> </w:t>
      </w:r>
      <w:r w:rsidR="00A22D50">
        <w:rPr>
          <w:rFonts w:eastAsiaTheme="minorEastAsia"/>
          <w:color w:val="000000" w:themeColor="text1"/>
          <w:sz w:val="22"/>
          <w:szCs w:val="22"/>
        </w:rPr>
        <w:t>(</w:t>
      </w:r>
      <w:r w:rsidR="00A22D50" w:rsidRPr="00A22D50">
        <w:rPr>
          <w:rFonts w:eastAsiaTheme="minorEastAsia"/>
          <w:color w:val="000000" w:themeColor="text1"/>
          <w:sz w:val="22"/>
          <w:szCs w:val="22"/>
        </w:rPr>
        <w:t>2020</w:t>
      </w:r>
      <w:r w:rsidR="00A22D50">
        <w:rPr>
          <w:rFonts w:eastAsiaTheme="minorEastAsia"/>
          <w:color w:val="000000" w:themeColor="text1"/>
          <w:sz w:val="22"/>
          <w:szCs w:val="22"/>
        </w:rPr>
        <w:t>)</w:t>
      </w:r>
      <w:r w:rsidR="00A22D50" w:rsidRPr="00A22D50">
        <w:rPr>
          <w:rFonts w:eastAsiaTheme="minorEastAsia"/>
          <w:color w:val="000000" w:themeColor="text1"/>
          <w:sz w:val="22"/>
          <w:szCs w:val="22"/>
        </w:rPr>
        <w:t xml:space="preserve"> doi:</w:t>
      </w:r>
      <w:r w:rsidR="007D4D10" w:rsidRPr="007D4D10">
        <w:rPr>
          <w:rFonts w:eastAsiaTheme="minorEastAsia"/>
          <w:color w:val="000000" w:themeColor="text1"/>
          <w:sz w:val="22"/>
          <w:szCs w:val="22"/>
        </w:rPr>
        <w:t>10.1101/2020.05.02.20087270</w:t>
      </w:r>
      <w:r w:rsidR="00A22D50">
        <w:rPr>
          <w:rFonts w:eastAsiaTheme="minorEastAsia"/>
          <w:color w:val="000000" w:themeColor="text1"/>
          <w:sz w:val="22"/>
          <w:szCs w:val="22"/>
        </w:rPr>
        <w:t xml:space="preserve">. </w:t>
      </w:r>
    </w:p>
    <w:p w14:paraId="69AB29A2" w14:textId="316591C1" w:rsidR="00990A7C" w:rsidRDefault="00990A7C" w:rsidP="00990A7C">
      <w:pPr>
        <w:spacing w:before="0" w:after="0"/>
        <w:rPr>
          <w:rFonts w:eastAsiaTheme="minorEastAsia"/>
          <w:color w:val="000000" w:themeColor="text1"/>
          <w:sz w:val="22"/>
        </w:rPr>
      </w:pPr>
    </w:p>
    <w:p w14:paraId="2095597B" w14:textId="294017C8" w:rsidR="00D2345B" w:rsidRDefault="00D2345B">
      <w:pPr>
        <w:spacing w:before="0" w:after="200" w:line="276" w:lineRule="auto"/>
        <w:rPr>
          <w:rFonts w:eastAsiaTheme="minorEastAsia"/>
          <w:color w:val="000000" w:themeColor="text1"/>
          <w:sz w:val="22"/>
        </w:rPr>
      </w:pPr>
      <w:r>
        <w:rPr>
          <w:rFonts w:eastAsiaTheme="minorEastAsia"/>
          <w:color w:val="000000" w:themeColor="text1"/>
          <w:sz w:val="22"/>
        </w:rPr>
        <w:br w:type="page"/>
      </w:r>
    </w:p>
    <w:p w14:paraId="66E52648" w14:textId="0309E490" w:rsidR="00D2345B" w:rsidRDefault="00D2345B" w:rsidP="00D2345B">
      <w:pPr>
        <w:pStyle w:val="Heading1"/>
        <w:numPr>
          <w:ilvl w:val="0"/>
          <w:numId w:val="0"/>
        </w:numPr>
        <w:ind w:left="567" w:hanging="567"/>
      </w:pPr>
      <w:r>
        <w:lastRenderedPageBreak/>
        <w:t>FIGURE CAPTIONS</w:t>
      </w:r>
    </w:p>
    <w:p w14:paraId="2EBAC824" w14:textId="33004DAC" w:rsidR="00781D2E" w:rsidRPr="00781D2E" w:rsidRDefault="00781D2E" w:rsidP="00781D2E">
      <w:pPr>
        <w:rPr>
          <w:b/>
          <w:bCs/>
          <w:sz w:val="22"/>
        </w:rPr>
      </w:pPr>
      <w:r w:rsidRPr="00781D2E">
        <w:rPr>
          <w:b/>
          <w:bCs/>
          <w:sz w:val="22"/>
        </w:rPr>
        <w:t>Figure 1</w:t>
      </w:r>
      <w:r w:rsidRPr="00781D2E">
        <w:rPr>
          <w:b/>
          <w:bCs/>
          <w:sz w:val="22"/>
        </w:rPr>
        <w:t>.</w:t>
      </w:r>
      <w:r w:rsidRPr="00781D2E">
        <w:rPr>
          <w:b/>
          <w:bCs/>
          <w:sz w:val="22"/>
        </w:rPr>
        <w:t xml:space="preserve"> Spatial illustration of the spread of COVID-19 in Iran by province in the first week of the official outbreak announcement from 19 February to 25 February 2020</w:t>
      </w:r>
      <w:r w:rsidRPr="00781D2E">
        <w:rPr>
          <w:b/>
          <w:bCs/>
          <w:sz w:val="22"/>
        </w:rPr>
        <w:t xml:space="preserve"> (a-d)</w:t>
      </w:r>
      <w:r w:rsidRPr="00781D2E">
        <w:rPr>
          <w:b/>
          <w:bCs/>
          <w:sz w:val="22"/>
        </w:rPr>
        <w:t>.</w:t>
      </w:r>
    </w:p>
    <w:p w14:paraId="5282B7FE" w14:textId="434AA097" w:rsidR="00781D2E" w:rsidRPr="00781D2E" w:rsidRDefault="00781D2E" w:rsidP="00781D2E">
      <w:pPr>
        <w:rPr>
          <w:b/>
          <w:bCs/>
          <w:sz w:val="22"/>
        </w:rPr>
      </w:pPr>
      <w:r w:rsidRPr="00781D2E">
        <w:rPr>
          <w:b/>
          <w:bCs/>
          <w:sz w:val="22"/>
        </w:rPr>
        <w:t>Figure 2</w:t>
      </w:r>
      <w:r w:rsidRPr="00781D2E">
        <w:rPr>
          <w:b/>
          <w:bCs/>
          <w:sz w:val="22"/>
        </w:rPr>
        <w:t>.</w:t>
      </w:r>
      <w:r w:rsidRPr="00781D2E">
        <w:rPr>
          <w:b/>
          <w:bCs/>
          <w:sz w:val="22"/>
        </w:rPr>
        <w:t xml:space="preserve"> Schematic illustration of the formulated mathematical epidemic model.</w:t>
      </w:r>
    </w:p>
    <w:p w14:paraId="0869CCC3" w14:textId="54956A5F" w:rsidR="00781D2E" w:rsidRPr="00781D2E" w:rsidRDefault="00781D2E" w:rsidP="00781D2E">
      <w:pPr>
        <w:rPr>
          <w:b/>
          <w:bCs/>
          <w:sz w:val="22"/>
        </w:rPr>
      </w:pPr>
      <w:r w:rsidRPr="00735380">
        <w:rPr>
          <w:b/>
          <w:bCs/>
          <w:sz w:val="22"/>
        </w:rPr>
        <w:t xml:space="preserve">Figure </w:t>
      </w:r>
      <w:r>
        <w:rPr>
          <w:b/>
          <w:bCs/>
          <w:sz w:val="22"/>
        </w:rPr>
        <w:t>3</w:t>
      </w:r>
      <w:r>
        <w:rPr>
          <w:b/>
          <w:bCs/>
          <w:sz w:val="22"/>
        </w:rPr>
        <w:t>.</w:t>
      </w:r>
      <w:r w:rsidRPr="00735380">
        <w:rPr>
          <w:b/>
          <w:bCs/>
          <w:sz w:val="22"/>
        </w:rPr>
        <w:t xml:space="preserve"> Temporal evolution of SARS-CoV-2 transmission characteristics in Iran. </w:t>
      </w:r>
      <w:r w:rsidRPr="00735380">
        <w:rPr>
          <w:sz w:val="22"/>
        </w:rPr>
        <w:t xml:space="preserve">(a) Timeline of events and interventions that took place since the first case was reported on 19 February 2020. (b) Estimated effective reproduction number </w:t>
      </w:r>
      <m:oMath>
        <m:r>
          <w:rPr>
            <w:rFonts w:ascii="Cambria Math" w:hAnsi="Cambria Math"/>
            <w:sz w:val="22"/>
          </w:rPr>
          <m:t>R(t)</m:t>
        </m:r>
      </m:oMath>
      <w:r w:rsidRPr="00735380">
        <w:rPr>
          <w:sz w:val="22"/>
        </w:rPr>
        <w:t xml:space="preserve"> with 95% CI over a </w:t>
      </w:r>
      <w:r>
        <w:rPr>
          <w:sz w:val="22"/>
        </w:rPr>
        <w:t>7</w:t>
      </w:r>
      <w:r w:rsidRPr="00735380">
        <w:rPr>
          <w:sz w:val="22"/>
        </w:rPr>
        <w:t>-day rolling window</w:t>
      </w:r>
      <w:r>
        <w:rPr>
          <w:sz w:val="22"/>
        </w:rPr>
        <w:t xml:space="preserve"> when underreporting is taken into account</w:t>
      </w:r>
      <w:r w:rsidRPr="00735380">
        <w:rPr>
          <w:sz w:val="22"/>
        </w:rPr>
        <w:t>. (c) Estimated CFR with and without delay adjustment over the same time period</w:t>
      </w:r>
      <w:r>
        <w:rPr>
          <w:sz w:val="22"/>
        </w:rPr>
        <w:t xml:space="preserve"> in a semi-log scale.</w:t>
      </w:r>
    </w:p>
    <w:p w14:paraId="7F6D1185" w14:textId="165EE0E5" w:rsidR="00781D2E" w:rsidRDefault="00781D2E" w:rsidP="00781D2E">
      <w:pPr>
        <w:rPr>
          <w:sz w:val="22"/>
        </w:rPr>
      </w:pPr>
      <w:r w:rsidRPr="00735380">
        <w:rPr>
          <w:b/>
          <w:bCs/>
          <w:sz w:val="22"/>
        </w:rPr>
        <w:t xml:space="preserve">Figure </w:t>
      </w:r>
      <w:r>
        <w:rPr>
          <w:b/>
          <w:bCs/>
          <w:sz w:val="22"/>
        </w:rPr>
        <w:t>4</w:t>
      </w:r>
      <w:r>
        <w:rPr>
          <w:b/>
          <w:bCs/>
          <w:sz w:val="22"/>
        </w:rPr>
        <w:t>.</w:t>
      </w:r>
      <w:r w:rsidRPr="00735380">
        <w:rPr>
          <w:b/>
          <w:bCs/>
          <w:sz w:val="22"/>
        </w:rPr>
        <w:t xml:space="preserve"> The impact of under-reporting on </w:t>
      </w:r>
      <w:r>
        <w:rPr>
          <w:b/>
          <w:bCs/>
          <w:sz w:val="22"/>
        </w:rPr>
        <w:t xml:space="preserve">the </w:t>
      </w:r>
      <w:r w:rsidRPr="00735380">
        <w:rPr>
          <w:b/>
          <w:bCs/>
          <w:sz w:val="22"/>
        </w:rPr>
        <w:t xml:space="preserve">estimated dynamics of transmission. </w:t>
      </w:r>
      <w:r w:rsidRPr="00735380">
        <w:rPr>
          <w:sz w:val="22"/>
        </w:rPr>
        <w:t>(a) and (b) The projected curve</w:t>
      </w:r>
      <w:r>
        <w:rPr>
          <w:sz w:val="22"/>
        </w:rPr>
        <w:t xml:space="preserve">s </w:t>
      </w:r>
      <w:r w:rsidRPr="00735380">
        <w:rPr>
          <w:sz w:val="22"/>
        </w:rPr>
        <w:t>for the number of infected cases when underreporting is not considered</w:t>
      </w:r>
      <w:r>
        <w:rPr>
          <w:sz w:val="22"/>
        </w:rPr>
        <w:t xml:space="preserve"> and when it is taken into account, respectively. (c) Temporal variations of </w:t>
      </w:r>
      <m:oMath>
        <m:r>
          <w:rPr>
            <w:rFonts w:ascii="Cambria Math" w:hAnsi="Cambria Math"/>
            <w:sz w:val="22"/>
          </w:rPr>
          <m:t>R(t)</m:t>
        </m:r>
      </m:oMath>
      <w:r>
        <w:rPr>
          <w:sz w:val="22"/>
        </w:rPr>
        <w:t xml:space="preserve"> when underreporting is overlooked (purple curve) and when it is taken into account (green curve).</w:t>
      </w:r>
    </w:p>
    <w:p w14:paraId="1ADD178B" w14:textId="3CF411EA" w:rsidR="0049428D" w:rsidRPr="00781D2E" w:rsidRDefault="00781D2E" w:rsidP="00781D2E">
      <w:pPr>
        <w:rPr>
          <w:b/>
          <w:bCs/>
          <w:sz w:val="22"/>
        </w:rPr>
      </w:pPr>
      <w:r w:rsidRPr="00735380">
        <w:rPr>
          <w:b/>
          <w:bCs/>
          <w:sz w:val="22"/>
        </w:rPr>
        <w:t xml:space="preserve">Figure </w:t>
      </w:r>
      <w:r>
        <w:rPr>
          <w:b/>
          <w:bCs/>
          <w:sz w:val="22"/>
        </w:rPr>
        <w:t>5</w:t>
      </w:r>
      <w:r>
        <w:rPr>
          <w:b/>
          <w:bCs/>
          <w:sz w:val="22"/>
        </w:rPr>
        <w:t>.</w:t>
      </w:r>
      <w:r w:rsidRPr="00735380">
        <w:rPr>
          <w:b/>
          <w:bCs/>
          <w:sz w:val="22"/>
        </w:rPr>
        <w:t xml:space="preserve"> Scenario analysis for maintaining, reinforcing or easing the restrictions. </w:t>
      </w:r>
      <w:r w:rsidRPr="00735380">
        <w:rPr>
          <w:sz w:val="22"/>
        </w:rPr>
        <w:t>(a) The projected curves for the total number of confirmed and suspected cases under three different scenarios: maintain</w:t>
      </w:r>
      <w:r>
        <w:rPr>
          <w:sz w:val="22"/>
        </w:rPr>
        <w:t>ing</w:t>
      </w:r>
      <w:r w:rsidRPr="00735380">
        <w:rPr>
          <w:sz w:val="22"/>
        </w:rPr>
        <w:t xml:space="preserve"> the same level of control measures as of 12 April 2020, reinforcing the control measures to increase physical distancing by </w:t>
      </w:r>
      <w:r>
        <w:rPr>
          <w:sz w:val="22"/>
        </w:rPr>
        <w:t>a</w:t>
      </w:r>
      <w:r w:rsidRPr="00735380">
        <w:rPr>
          <w:sz w:val="22"/>
        </w:rPr>
        <w:t xml:space="preserve"> 20%</w:t>
      </w:r>
      <w:r>
        <w:rPr>
          <w:sz w:val="22"/>
        </w:rPr>
        <w:t xml:space="preserve"> increase in the reproduction number</w:t>
      </w:r>
      <w:r w:rsidRPr="00735380">
        <w:rPr>
          <w:sz w:val="22"/>
        </w:rPr>
        <w:t>, and partial lifting the restrictions to ease physical distancing by</w:t>
      </w:r>
      <w:r>
        <w:rPr>
          <w:sz w:val="22"/>
        </w:rPr>
        <w:t xml:space="preserve"> a</w:t>
      </w:r>
      <w:r w:rsidRPr="00735380">
        <w:rPr>
          <w:sz w:val="22"/>
        </w:rPr>
        <w:t xml:space="preserve"> 20%</w:t>
      </w:r>
      <w:r>
        <w:rPr>
          <w:sz w:val="22"/>
        </w:rPr>
        <w:t xml:space="preserve"> decrease in the reproduction number.</w:t>
      </w:r>
      <w:r w:rsidRPr="00735380">
        <w:rPr>
          <w:sz w:val="22"/>
        </w:rPr>
        <w:t xml:space="preserve"> (b) The projected number of ICU beds needed under the </w:t>
      </w:r>
      <w:r>
        <w:rPr>
          <w:sz w:val="22"/>
        </w:rPr>
        <w:t>three</w:t>
      </w:r>
      <w:r w:rsidRPr="00735380">
        <w:rPr>
          <w:sz w:val="22"/>
        </w:rPr>
        <w:t xml:space="preserve"> scenarios. The </w:t>
      </w:r>
      <w:r>
        <w:rPr>
          <w:sz w:val="22"/>
        </w:rPr>
        <w:t xml:space="preserve">original </w:t>
      </w:r>
      <w:r w:rsidRPr="00735380">
        <w:rPr>
          <w:sz w:val="22"/>
        </w:rPr>
        <w:t>ICU capacity is assumed between 3500 to 7000 beds.</w:t>
      </w:r>
      <w:r w:rsidRPr="00BC00F1">
        <w:rPr>
          <w:sz w:val="22"/>
          <w:vertAlign w:val="superscript"/>
        </w:rPr>
        <w:t>7</w:t>
      </w:r>
    </w:p>
    <w:sectPr w:rsidR="0049428D" w:rsidRPr="00781D2E" w:rsidSect="00D537FA">
      <w:headerReference w:type="even" r:id="rId19"/>
      <w:headerReference w:type="default" r:id="rId20"/>
      <w:footerReference w:type="even" r:id="rId21"/>
      <w:footerReference w:type="default" r:id="rId22"/>
      <w:headerReference w:type="first" r:id="rId23"/>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8954" w14:textId="77777777" w:rsidR="007A3AB0" w:rsidRDefault="007A3AB0" w:rsidP="00117666">
      <w:pPr>
        <w:spacing w:after="0"/>
      </w:pPr>
      <w:r>
        <w:separator/>
      </w:r>
    </w:p>
  </w:endnote>
  <w:endnote w:type="continuationSeparator" w:id="0">
    <w:p w14:paraId="3A15EADA" w14:textId="77777777" w:rsidR="007A3AB0" w:rsidRDefault="007A3AB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77777777" w:rsidR="0017358F" w:rsidRPr="00577C4C" w:rsidRDefault="0017358F">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17358F" w:rsidRPr="00E9561B" w:rsidRDefault="0017358F">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" stroked="f">
              <v:textbox style="mso-fit-shape-to-text:t">
                <w:txbxContent>
                  <w:p w14:paraId="462EE841" w14:textId="77777777" w:rsidR="00BE307B" w:rsidRPr="00E9561B" w:rsidRDefault="00BE30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17358F" w:rsidRPr="00577C4C" w:rsidRDefault="0017358F">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" filled="f" stroked="f" strokeweight=".5pt">
              <v:textbox style="mso-fit-shape-to-text:t">
                <w:txbxContent>
                  <w:p w14:paraId="214951C5" w14:textId="77777777" w:rsidR="00BE307B" w:rsidRPr="00577C4C" w:rsidRDefault="00BE30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17358F" w:rsidRPr="00577C4C" w:rsidRDefault="0017358F">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17358F" w:rsidRPr="00577C4C" w:rsidRDefault="0017358F">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" filled="f" stroked="f" strokeweight=".5pt">
              <v:textbox style="mso-fit-shape-to-text:t">
                <w:txbxContent>
                  <w:p w14:paraId="74D070C5" w14:textId="77777777" w:rsidR="00BE307B" w:rsidRPr="00577C4C" w:rsidRDefault="00BE30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01BD" w14:textId="77777777" w:rsidR="007A3AB0" w:rsidRDefault="007A3AB0" w:rsidP="00117666">
      <w:pPr>
        <w:spacing w:after="0"/>
      </w:pPr>
      <w:r>
        <w:separator/>
      </w:r>
    </w:p>
  </w:footnote>
  <w:footnote w:type="continuationSeparator" w:id="0">
    <w:p w14:paraId="5F52B06C" w14:textId="77777777" w:rsidR="007A3AB0" w:rsidRDefault="007A3AB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3D6B0177" w:rsidR="0017358F" w:rsidRPr="0075352E" w:rsidRDefault="0017358F" w:rsidP="0075352E">
    <w:pPr>
      <w:pStyle w:val="Header"/>
      <w:jc w:val="right"/>
    </w:pPr>
    <w:r w:rsidRPr="0075352E">
      <w:t>Underreporting in modeling of transmission of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1BA2A22F" w:rsidR="0017358F" w:rsidRPr="0075352E" w:rsidRDefault="0017358F" w:rsidP="0075352E">
    <w:pPr>
      <w:pStyle w:val="Header"/>
      <w:jc w:val="right"/>
    </w:pPr>
    <w:r w:rsidRPr="0075352E">
      <w:t>Underreporting in modeling of transmission of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27F1" w14:textId="77777777" w:rsidR="0017358F" w:rsidRDefault="0017358F"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3CC4A07"/>
    <w:multiLevelType w:val="hybridMultilevel"/>
    <w:tmpl w:val="3BACC63A"/>
    <w:lvl w:ilvl="0" w:tplc="1FC4FB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2"/>
  </w:num>
  <w:num w:numId="12">
    <w:abstractNumId w:val="18"/>
  </w:num>
  <w:num w:numId="13">
    <w:abstractNumId w:val="13"/>
  </w:num>
  <w:num w:numId="14">
    <w:abstractNumId w:val="4"/>
  </w:num>
  <w:num w:numId="15">
    <w:abstractNumId w:val="12"/>
  </w:num>
  <w:num w:numId="16">
    <w:abstractNumId w:val="15"/>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34304"/>
    <w:rsid w:val="00035434"/>
    <w:rsid w:val="00045678"/>
    <w:rsid w:val="000458E4"/>
    <w:rsid w:val="00063D84"/>
    <w:rsid w:val="0006636D"/>
    <w:rsid w:val="00077D53"/>
    <w:rsid w:val="00081394"/>
    <w:rsid w:val="000B34BD"/>
    <w:rsid w:val="000C7E2A"/>
    <w:rsid w:val="000D07F1"/>
    <w:rsid w:val="000D6CE2"/>
    <w:rsid w:val="000F4CFB"/>
    <w:rsid w:val="00117666"/>
    <w:rsid w:val="001223A7"/>
    <w:rsid w:val="00134256"/>
    <w:rsid w:val="00147395"/>
    <w:rsid w:val="001552C9"/>
    <w:rsid w:val="0017358F"/>
    <w:rsid w:val="00177D84"/>
    <w:rsid w:val="00193F0E"/>
    <w:rsid w:val="001964EF"/>
    <w:rsid w:val="001B1A2C"/>
    <w:rsid w:val="001D5C23"/>
    <w:rsid w:val="001F4C07"/>
    <w:rsid w:val="00220AEA"/>
    <w:rsid w:val="00226954"/>
    <w:rsid w:val="002629A3"/>
    <w:rsid w:val="00265660"/>
    <w:rsid w:val="00267D18"/>
    <w:rsid w:val="002868E2"/>
    <w:rsid w:val="002869C3"/>
    <w:rsid w:val="002936E4"/>
    <w:rsid w:val="00296B88"/>
    <w:rsid w:val="002C74CA"/>
    <w:rsid w:val="002F56E2"/>
    <w:rsid w:val="002F744D"/>
    <w:rsid w:val="00303DE6"/>
    <w:rsid w:val="00310124"/>
    <w:rsid w:val="003544FB"/>
    <w:rsid w:val="00365D63"/>
    <w:rsid w:val="0036793B"/>
    <w:rsid w:val="00372682"/>
    <w:rsid w:val="00376CC5"/>
    <w:rsid w:val="0038434D"/>
    <w:rsid w:val="0039693B"/>
    <w:rsid w:val="003D2F2D"/>
    <w:rsid w:val="00401590"/>
    <w:rsid w:val="00422C94"/>
    <w:rsid w:val="00463E3D"/>
    <w:rsid w:val="004645AE"/>
    <w:rsid w:val="0049428D"/>
    <w:rsid w:val="004A3C25"/>
    <w:rsid w:val="004A698A"/>
    <w:rsid w:val="004D3E33"/>
    <w:rsid w:val="005250F2"/>
    <w:rsid w:val="00564066"/>
    <w:rsid w:val="00571551"/>
    <w:rsid w:val="005A1D84"/>
    <w:rsid w:val="005A70EA"/>
    <w:rsid w:val="005C3963"/>
    <w:rsid w:val="005D1840"/>
    <w:rsid w:val="005D35E4"/>
    <w:rsid w:val="005D7910"/>
    <w:rsid w:val="0062154F"/>
    <w:rsid w:val="006276E5"/>
    <w:rsid w:val="00631A8C"/>
    <w:rsid w:val="00651CA2"/>
    <w:rsid w:val="00653D60"/>
    <w:rsid w:val="00660D05"/>
    <w:rsid w:val="00671D9A"/>
    <w:rsid w:val="00673952"/>
    <w:rsid w:val="00681821"/>
    <w:rsid w:val="00686C9D"/>
    <w:rsid w:val="006B2D5B"/>
    <w:rsid w:val="006B7D14"/>
    <w:rsid w:val="006D5B93"/>
    <w:rsid w:val="00725A7D"/>
    <w:rsid w:val="0073085C"/>
    <w:rsid w:val="00733784"/>
    <w:rsid w:val="00746505"/>
    <w:rsid w:val="0075352E"/>
    <w:rsid w:val="00781D2E"/>
    <w:rsid w:val="00790BB3"/>
    <w:rsid w:val="00792043"/>
    <w:rsid w:val="00797EDD"/>
    <w:rsid w:val="007A3AB0"/>
    <w:rsid w:val="007B0322"/>
    <w:rsid w:val="007C0E3F"/>
    <w:rsid w:val="007C206C"/>
    <w:rsid w:val="007C5729"/>
    <w:rsid w:val="007D4D10"/>
    <w:rsid w:val="00804FE7"/>
    <w:rsid w:val="008111E4"/>
    <w:rsid w:val="0081301C"/>
    <w:rsid w:val="00817DD6"/>
    <w:rsid w:val="00844237"/>
    <w:rsid w:val="0085154E"/>
    <w:rsid w:val="00851786"/>
    <w:rsid w:val="008629A9"/>
    <w:rsid w:val="0088513A"/>
    <w:rsid w:val="00893C19"/>
    <w:rsid w:val="008D6C8D"/>
    <w:rsid w:val="008E2B54"/>
    <w:rsid w:val="008E4404"/>
    <w:rsid w:val="008E58C7"/>
    <w:rsid w:val="008F5021"/>
    <w:rsid w:val="00943573"/>
    <w:rsid w:val="00971B61"/>
    <w:rsid w:val="00980C31"/>
    <w:rsid w:val="00990A7C"/>
    <w:rsid w:val="009955FF"/>
    <w:rsid w:val="009D259D"/>
    <w:rsid w:val="00A02931"/>
    <w:rsid w:val="00A22D50"/>
    <w:rsid w:val="00A50D9D"/>
    <w:rsid w:val="00A53000"/>
    <w:rsid w:val="00A545C6"/>
    <w:rsid w:val="00A652D0"/>
    <w:rsid w:val="00A75F87"/>
    <w:rsid w:val="00A95D8B"/>
    <w:rsid w:val="00AC0270"/>
    <w:rsid w:val="00AC3EA3"/>
    <w:rsid w:val="00AC792D"/>
    <w:rsid w:val="00B12B8F"/>
    <w:rsid w:val="00B657B8"/>
    <w:rsid w:val="00B84920"/>
    <w:rsid w:val="00B8556A"/>
    <w:rsid w:val="00BE307B"/>
    <w:rsid w:val="00BE7B65"/>
    <w:rsid w:val="00C012A3"/>
    <w:rsid w:val="00C16F19"/>
    <w:rsid w:val="00C52A7B"/>
    <w:rsid w:val="00C6324C"/>
    <w:rsid w:val="00C679AA"/>
    <w:rsid w:val="00C724CF"/>
    <w:rsid w:val="00C75972"/>
    <w:rsid w:val="00C82792"/>
    <w:rsid w:val="00C948FD"/>
    <w:rsid w:val="00CB2B71"/>
    <w:rsid w:val="00CB43D5"/>
    <w:rsid w:val="00CB57A5"/>
    <w:rsid w:val="00CC76F9"/>
    <w:rsid w:val="00CD066B"/>
    <w:rsid w:val="00CD46E2"/>
    <w:rsid w:val="00D00D0B"/>
    <w:rsid w:val="00D04B69"/>
    <w:rsid w:val="00D2345B"/>
    <w:rsid w:val="00D537FA"/>
    <w:rsid w:val="00D5547D"/>
    <w:rsid w:val="00D80D99"/>
    <w:rsid w:val="00D9503C"/>
    <w:rsid w:val="00DD73EF"/>
    <w:rsid w:val="00DE23E8"/>
    <w:rsid w:val="00E0128B"/>
    <w:rsid w:val="00E64E17"/>
    <w:rsid w:val="00EA3D3C"/>
    <w:rsid w:val="00EC7CC3"/>
    <w:rsid w:val="00EF5861"/>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02931"/>
    <w:rPr>
      <w:color w:val="605E5C"/>
      <w:shd w:val="clear" w:color="auto" w:fill="E1DFDD"/>
    </w:rPr>
  </w:style>
  <w:style w:type="character" w:customStyle="1" w:styleId="highwire-citation-author">
    <w:name w:val="highwire-citation-author"/>
    <w:basedOn w:val="DefaultParagraphFont"/>
    <w:rsid w:val="0038434D"/>
  </w:style>
  <w:style w:type="character" w:customStyle="1" w:styleId="nlm-given-names">
    <w:name w:val="nlm-given-names"/>
    <w:basedOn w:val="DefaultParagraphFont"/>
    <w:rsid w:val="0038434D"/>
  </w:style>
  <w:style w:type="character" w:customStyle="1" w:styleId="nlm-surname">
    <w:name w:val="nlm-surname"/>
    <w:basedOn w:val="DefaultParagraphFont"/>
    <w:rsid w:val="0038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18450486">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40067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55899538">
      <w:bodyDiv w:val="1"/>
      <w:marLeft w:val="0"/>
      <w:marRight w:val="0"/>
      <w:marTop w:val="0"/>
      <w:marBottom w:val="0"/>
      <w:divBdr>
        <w:top w:val="none" w:sz="0" w:space="0" w:color="auto"/>
        <w:left w:val="none" w:sz="0" w:space="0" w:color="auto"/>
        <w:bottom w:val="none" w:sz="0" w:space="0" w:color="auto"/>
        <w:right w:val="none" w:sz="0" w:space="0" w:color="auto"/>
      </w:divBdr>
    </w:div>
    <w:div w:id="87249497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290673435">
      <w:bodyDiv w:val="1"/>
      <w:marLeft w:val="0"/>
      <w:marRight w:val="0"/>
      <w:marTop w:val="0"/>
      <w:marBottom w:val="0"/>
      <w:divBdr>
        <w:top w:val="none" w:sz="0" w:space="0" w:color="auto"/>
        <w:left w:val="none" w:sz="0" w:space="0" w:color="auto"/>
        <w:bottom w:val="none" w:sz="0" w:space="0" w:color="auto"/>
        <w:right w:val="none" w:sz="0" w:space="0" w:color="auto"/>
      </w:divBdr>
    </w:div>
    <w:div w:id="1403336868">
      <w:bodyDiv w:val="1"/>
      <w:marLeft w:val="0"/>
      <w:marRight w:val="0"/>
      <w:marTop w:val="0"/>
      <w:marBottom w:val="0"/>
      <w:divBdr>
        <w:top w:val="none" w:sz="0" w:space="0" w:color="auto"/>
        <w:left w:val="none" w:sz="0" w:space="0" w:color="auto"/>
        <w:bottom w:val="none" w:sz="0" w:space="0" w:color="auto"/>
        <w:right w:val="none" w:sz="0" w:space="0" w:color="auto"/>
      </w:divBdr>
    </w:div>
    <w:div w:id="1409961704">
      <w:bodyDiv w:val="1"/>
      <w:marLeft w:val="0"/>
      <w:marRight w:val="0"/>
      <w:marTop w:val="0"/>
      <w:marBottom w:val="0"/>
      <w:divBdr>
        <w:top w:val="none" w:sz="0" w:space="0" w:color="auto"/>
        <w:left w:val="none" w:sz="0" w:space="0" w:color="auto"/>
        <w:bottom w:val="none" w:sz="0" w:space="0" w:color="auto"/>
        <w:right w:val="none" w:sz="0" w:space="0" w:color="auto"/>
      </w:divBdr>
    </w:div>
    <w:div w:id="1633250394">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ad.saberi@unsw.edu.au" TargetMode="External"/><Relationship Id="rId13" Type="http://schemas.openxmlformats.org/officeDocument/2006/relationships/hyperlink" Target="https://www.nbcnews.com/health/health-news/why-iran-s-reported-mortality-rate-coronavirus-higher-other-countries-n1142646" TargetMode="External"/><Relationship Id="rId18" Type="http://schemas.openxmlformats.org/officeDocument/2006/relationships/hyperlink" Target="https://epiforecasts.io/cov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sj.com/articles/iran-takes-emergency-measures-after-two-coronavirus-deaths-in-qom-11582202084" TargetMode="External"/><Relationship Id="rId17" Type="http://schemas.openxmlformats.org/officeDocument/2006/relationships/hyperlink" Target="https://www.cebm.net/covid-19/global-covid-19-case-fatality-r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mid.github.io/topics/covid19/global_cfr_estimat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ideas/archive/2020/02/iran-cannot-handle-coronavirus/6071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perial.ac.uk/media/imperial-college/medicine/sph/ide/gida-fellowships/Imperial-College-COVID19-severity-10-02-2020.pdf" TargetMode="External"/><Relationship Id="rId23" Type="http://schemas.openxmlformats.org/officeDocument/2006/relationships/header" Target="header3.xml"/><Relationship Id="rId10" Type="http://schemas.openxmlformats.org/officeDocument/2006/relationships/hyperlink" Target="https://www.weforum.org/agenda/2020/03/coronavirus-covid-19-patient-ze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rxiv.org/content/10.1101/2020.05.02.20087270v1" TargetMode="External"/><Relationship Id="rId14" Type="http://schemas.openxmlformats.org/officeDocument/2006/relationships/hyperlink" Target="http://corona.behdasht.gov.ir/"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7A0B1E-8CD5-0047-A174-8814132D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C:\Users\joshua.stocco\Documents\Templates\Frontiers_Word_Templates\Frontiers_template.dotx</Template>
  <TotalTime>29</TotalTime>
  <Pages>10</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Meead Saberi Kalaee</dc:creator>
  <cp:keywords/>
  <dc:description/>
  <cp:lastModifiedBy>Meead Saberi Kalaee</cp:lastModifiedBy>
  <cp:revision>6</cp:revision>
  <cp:lastPrinted>2013-10-03T12:51:00Z</cp:lastPrinted>
  <dcterms:created xsi:type="dcterms:W3CDTF">2020-06-11T13:34:00Z</dcterms:created>
  <dcterms:modified xsi:type="dcterms:W3CDTF">2020-06-17T04:48:00Z</dcterms:modified>
</cp:coreProperties>
</file>