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82994" w14:textId="12B04682" w:rsidR="001019E1" w:rsidRDefault="001019E1" w:rsidP="0045212E">
      <w:pPr>
        <w:spacing w:line="480" w:lineRule="auto"/>
        <w:rPr>
          <w:b/>
          <w:color w:val="000000" w:themeColor="text1"/>
          <w:szCs w:val="22"/>
        </w:rPr>
      </w:pPr>
      <w:r>
        <w:rPr>
          <w:b/>
          <w:color w:val="000000" w:themeColor="text1"/>
          <w:szCs w:val="22"/>
        </w:rPr>
        <w:t>Asses</w:t>
      </w:r>
      <w:r w:rsidR="00F32D11">
        <w:rPr>
          <w:b/>
          <w:color w:val="000000" w:themeColor="text1"/>
          <w:szCs w:val="22"/>
        </w:rPr>
        <w:t>sment of</w:t>
      </w:r>
      <w:r>
        <w:rPr>
          <w:b/>
          <w:color w:val="000000" w:themeColor="text1"/>
          <w:szCs w:val="22"/>
        </w:rPr>
        <w:t xml:space="preserve"> WHO </w:t>
      </w:r>
      <w:r w:rsidR="00AE6818">
        <w:rPr>
          <w:b/>
          <w:color w:val="000000" w:themeColor="text1"/>
          <w:szCs w:val="22"/>
        </w:rPr>
        <w:t>a</w:t>
      </w:r>
      <w:r>
        <w:rPr>
          <w:b/>
          <w:color w:val="000000" w:themeColor="text1"/>
          <w:szCs w:val="22"/>
        </w:rPr>
        <w:t xml:space="preserve">ntibiotic </w:t>
      </w:r>
      <w:r w:rsidR="00AE6818">
        <w:rPr>
          <w:b/>
          <w:color w:val="000000" w:themeColor="text1"/>
          <w:szCs w:val="22"/>
        </w:rPr>
        <w:t>c</w:t>
      </w:r>
      <w:r>
        <w:rPr>
          <w:b/>
          <w:color w:val="000000" w:themeColor="text1"/>
          <w:szCs w:val="22"/>
        </w:rPr>
        <w:t xml:space="preserve">onsumption </w:t>
      </w:r>
      <w:r w:rsidR="00F32D11">
        <w:rPr>
          <w:b/>
          <w:color w:val="000000" w:themeColor="text1"/>
          <w:szCs w:val="22"/>
        </w:rPr>
        <w:t xml:space="preserve">and </w:t>
      </w:r>
      <w:r w:rsidR="00AE6818">
        <w:rPr>
          <w:b/>
          <w:color w:val="000000" w:themeColor="text1"/>
          <w:szCs w:val="22"/>
        </w:rPr>
        <w:t>a</w:t>
      </w:r>
      <w:r>
        <w:rPr>
          <w:b/>
          <w:color w:val="000000" w:themeColor="text1"/>
          <w:szCs w:val="22"/>
        </w:rPr>
        <w:t xml:space="preserve">ccess </w:t>
      </w:r>
      <w:r w:rsidR="00AE6818">
        <w:rPr>
          <w:b/>
          <w:color w:val="000000" w:themeColor="text1"/>
          <w:szCs w:val="22"/>
        </w:rPr>
        <w:t>t</w:t>
      </w:r>
      <w:r>
        <w:rPr>
          <w:b/>
          <w:color w:val="000000" w:themeColor="text1"/>
          <w:szCs w:val="22"/>
        </w:rPr>
        <w:t>argets</w:t>
      </w:r>
      <w:r w:rsidR="00AE6818">
        <w:rPr>
          <w:b/>
          <w:color w:val="000000" w:themeColor="text1"/>
          <w:szCs w:val="22"/>
        </w:rPr>
        <w:t>,</w:t>
      </w:r>
      <w:r>
        <w:rPr>
          <w:b/>
          <w:color w:val="000000" w:themeColor="text1"/>
          <w:szCs w:val="22"/>
        </w:rPr>
        <w:t xml:space="preserve"> 2000-2015</w:t>
      </w:r>
      <w:r w:rsidR="00F9270F">
        <w:rPr>
          <w:b/>
          <w:color w:val="000000" w:themeColor="text1"/>
          <w:szCs w:val="22"/>
        </w:rPr>
        <w:t>: an analysis of pharmaceutical sales data from 76 countries</w:t>
      </w:r>
    </w:p>
    <w:p w14:paraId="3BE6E9B0" w14:textId="77777777" w:rsidR="00310FEF" w:rsidRDefault="00310FEF" w:rsidP="0045212E">
      <w:pPr>
        <w:spacing w:line="480" w:lineRule="auto"/>
        <w:rPr>
          <w:b/>
          <w:color w:val="000000" w:themeColor="text1"/>
          <w:szCs w:val="22"/>
        </w:rPr>
      </w:pPr>
    </w:p>
    <w:p w14:paraId="550C59D5" w14:textId="6BBFBF10" w:rsidR="0045212E" w:rsidRPr="0045212E" w:rsidRDefault="0045212E" w:rsidP="0045212E">
      <w:pPr>
        <w:pStyle w:val="u-mb-2"/>
        <w:spacing w:before="0" w:beforeAutospacing="0" w:line="480" w:lineRule="auto"/>
        <w:textAlignment w:val="center"/>
        <w:rPr>
          <w:bCs/>
          <w:vertAlign w:val="superscript"/>
        </w:rPr>
      </w:pPr>
      <w:r w:rsidRPr="009267C9">
        <w:rPr>
          <w:bCs/>
        </w:rPr>
        <w:t>Eili Y. Klein,</w:t>
      </w:r>
      <w:r w:rsidR="00A45A07">
        <w:rPr>
          <w:bCs/>
        </w:rPr>
        <w:t xml:space="preserve"> </w:t>
      </w:r>
      <w:r w:rsidR="00031DF5">
        <w:rPr>
          <w:bCs/>
        </w:rPr>
        <w:t>PhD,</w:t>
      </w:r>
      <w:r>
        <w:rPr>
          <w:bCs/>
          <w:vertAlign w:val="superscript"/>
        </w:rPr>
        <w:t>a</w:t>
      </w:r>
      <w:r w:rsidRPr="009267C9">
        <w:rPr>
          <w:bCs/>
          <w:vertAlign w:val="superscript"/>
        </w:rPr>
        <w:t>,</w:t>
      </w:r>
      <w:r>
        <w:rPr>
          <w:bCs/>
          <w:vertAlign w:val="superscript"/>
        </w:rPr>
        <w:t>b, c*</w:t>
      </w:r>
      <w:r w:rsidRPr="009267C9">
        <w:rPr>
          <w:bCs/>
          <w:vertAlign w:val="superscript"/>
        </w:rPr>
        <w:t xml:space="preserve"> </w:t>
      </w:r>
      <w:r w:rsidRPr="009267C9">
        <w:rPr>
          <w:bCs/>
        </w:rPr>
        <w:t>Maja Milkowska-Shibata,</w:t>
      </w:r>
      <w:r w:rsidR="00A45A07">
        <w:rPr>
          <w:bCs/>
        </w:rPr>
        <w:t xml:space="preserve"> </w:t>
      </w:r>
      <w:r w:rsidR="00031DF5">
        <w:rPr>
          <w:bCs/>
        </w:rPr>
        <w:t xml:space="preserve">MA, </w:t>
      </w:r>
      <w:r>
        <w:rPr>
          <w:bCs/>
          <w:vertAlign w:val="superscript"/>
        </w:rPr>
        <w:t>a</w:t>
      </w:r>
      <w:r w:rsidRPr="009267C9">
        <w:rPr>
          <w:bCs/>
          <w:vertAlign w:val="superscript"/>
        </w:rPr>
        <w:t xml:space="preserve"> </w:t>
      </w:r>
      <w:r w:rsidRPr="009267C9">
        <w:rPr>
          <w:bCs/>
        </w:rPr>
        <w:t xml:space="preserve">Katie </w:t>
      </w:r>
      <w:r w:rsidR="0015748D">
        <w:rPr>
          <w:bCs/>
        </w:rPr>
        <w:t xml:space="preserve">K. </w:t>
      </w:r>
      <w:r w:rsidRPr="009267C9">
        <w:rPr>
          <w:bCs/>
        </w:rPr>
        <w:t>Tseng,</w:t>
      </w:r>
      <w:r w:rsidR="00A45A07">
        <w:rPr>
          <w:bCs/>
        </w:rPr>
        <w:t xml:space="preserve"> </w:t>
      </w:r>
      <w:bookmarkStart w:id="0" w:name="_GoBack"/>
      <w:bookmarkEnd w:id="0"/>
      <w:r w:rsidR="00031DF5">
        <w:rPr>
          <w:bCs/>
        </w:rPr>
        <w:t xml:space="preserve">MS, </w:t>
      </w:r>
      <w:r>
        <w:rPr>
          <w:bCs/>
          <w:vertAlign w:val="superscript"/>
        </w:rPr>
        <w:t>a</w:t>
      </w:r>
      <w:r w:rsidRPr="009267C9">
        <w:rPr>
          <w:bCs/>
        </w:rPr>
        <w:t xml:space="preserve"> Mike Sharland,</w:t>
      </w:r>
      <w:r w:rsidR="00031DF5">
        <w:rPr>
          <w:bCs/>
        </w:rPr>
        <w:t xml:space="preserve"> MD,</w:t>
      </w:r>
      <w:r w:rsidRPr="000E3F25">
        <w:rPr>
          <w:bCs/>
          <w:vertAlign w:val="superscript"/>
        </w:rPr>
        <w:t>d</w:t>
      </w:r>
      <w:r>
        <w:rPr>
          <w:bCs/>
          <w:vertAlign w:val="superscript"/>
        </w:rPr>
        <w:t xml:space="preserve"> </w:t>
      </w:r>
      <w:r w:rsidRPr="000E3F25">
        <w:rPr>
          <w:bCs/>
        </w:rPr>
        <w:t>Sumanth Gandra,</w:t>
      </w:r>
      <w:r w:rsidR="00031DF5">
        <w:rPr>
          <w:bCs/>
        </w:rPr>
        <w:t xml:space="preserve"> MD,</w:t>
      </w:r>
      <w:r w:rsidRPr="000E3F25">
        <w:rPr>
          <w:bCs/>
          <w:vertAlign w:val="superscript"/>
        </w:rPr>
        <w:t>a</w:t>
      </w:r>
      <w:r>
        <w:rPr>
          <w:bCs/>
          <w:vertAlign w:val="superscript"/>
        </w:rPr>
        <w:t xml:space="preserve"> </w:t>
      </w:r>
      <w:r w:rsidRPr="000E3F25">
        <w:rPr>
          <w:bCs/>
        </w:rPr>
        <w:t>C</w:t>
      </w:r>
      <w:r w:rsidRPr="000E3F25">
        <w:rPr>
          <w:rStyle w:val="authorsname"/>
          <w:color w:val="333333"/>
        </w:rPr>
        <w:t>é</w:t>
      </w:r>
      <w:r w:rsidRPr="000E3F25">
        <w:rPr>
          <w:bCs/>
        </w:rPr>
        <w:t>line Pulcini,</w:t>
      </w:r>
      <w:r w:rsidR="00031DF5">
        <w:rPr>
          <w:bCs/>
        </w:rPr>
        <w:t xml:space="preserve"> MD,</w:t>
      </w:r>
      <w:r w:rsidRPr="000E3F25">
        <w:rPr>
          <w:bCs/>
          <w:vertAlign w:val="superscript"/>
        </w:rPr>
        <w:t>e</w:t>
      </w:r>
      <w:r>
        <w:rPr>
          <w:bCs/>
          <w:vertAlign w:val="superscript"/>
        </w:rPr>
        <w:t>,f</w:t>
      </w:r>
      <w:r w:rsidRPr="000E3F25">
        <w:rPr>
          <w:bCs/>
          <w:vertAlign w:val="superscript"/>
        </w:rPr>
        <w:t xml:space="preserve"> </w:t>
      </w:r>
      <w:r w:rsidRPr="000E3F25">
        <w:rPr>
          <w:shd w:val="clear" w:color="auto" w:fill="FFFFFF"/>
        </w:rPr>
        <w:t>and Ramanan Laxminarayan</w:t>
      </w:r>
      <w:r w:rsidR="00031DF5">
        <w:rPr>
          <w:shd w:val="clear" w:color="auto" w:fill="FFFFFF"/>
        </w:rPr>
        <w:t>, PhD,</w:t>
      </w:r>
      <w:r w:rsidRPr="000E3F25">
        <w:rPr>
          <w:shd w:val="clear" w:color="auto" w:fill="FFFFFF"/>
          <w:vertAlign w:val="superscript"/>
        </w:rPr>
        <w:t>a,</w:t>
      </w:r>
      <w:r>
        <w:rPr>
          <w:shd w:val="clear" w:color="auto" w:fill="FFFFFF"/>
          <w:vertAlign w:val="superscript"/>
        </w:rPr>
        <w:t>g</w:t>
      </w:r>
      <w:r w:rsidRPr="000E3F25">
        <w:rPr>
          <w:shd w:val="clear" w:color="auto" w:fill="FFFFFF"/>
          <w:vertAlign w:val="superscript"/>
        </w:rPr>
        <w:t>,</w:t>
      </w:r>
      <w:r>
        <w:rPr>
          <w:shd w:val="clear" w:color="auto" w:fill="FFFFFF"/>
          <w:vertAlign w:val="superscript"/>
        </w:rPr>
        <w:t>h</w:t>
      </w:r>
    </w:p>
    <w:p w14:paraId="55DF1BCA" w14:textId="4DC483C6" w:rsidR="0045212E" w:rsidRDefault="0045212E" w:rsidP="0045212E">
      <w:pPr>
        <w:spacing w:line="480" w:lineRule="auto"/>
        <w:rPr>
          <w:bCs/>
        </w:rPr>
      </w:pPr>
      <w:r>
        <w:rPr>
          <w:bCs/>
          <w:vertAlign w:val="superscript"/>
        </w:rPr>
        <w:t>a</w:t>
      </w:r>
      <w:r>
        <w:rPr>
          <w:bCs/>
        </w:rPr>
        <w:t xml:space="preserve"> Center for Disease Dynamics, Economics &amp; Policy, Washington, DC, USA</w:t>
      </w:r>
    </w:p>
    <w:p w14:paraId="6B3A054C" w14:textId="77777777" w:rsidR="0045212E" w:rsidRDefault="0045212E" w:rsidP="0045212E">
      <w:pPr>
        <w:spacing w:line="480" w:lineRule="auto"/>
        <w:rPr>
          <w:bCs/>
        </w:rPr>
      </w:pPr>
      <w:r>
        <w:rPr>
          <w:bCs/>
          <w:vertAlign w:val="superscript"/>
        </w:rPr>
        <w:t>b</w:t>
      </w:r>
      <w:r w:rsidRPr="009C07D5">
        <w:rPr>
          <w:bCs/>
        </w:rPr>
        <w:t xml:space="preserve"> </w:t>
      </w:r>
      <w:r>
        <w:rPr>
          <w:bCs/>
        </w:rPr>
        <w:t xml:space="preserve">Department of Emergency Medicine, </w:t>
      </w:r>
      <w:r w:rsidRPr="009C07D5">
        <w:rPr>
          <w:bCs/>
        </w:rPr>
        <w:t>Johns Hopkins</w:t>
      </w:r>
      <w:r>
        <w:rPr>
          <w:bCs/>
        </w:rPr>
        <w:t xml:space="preserve"> School of Medicine</w:t>
      </w:r>
      <w:r w:rsidRPr="009C07D5">
        <w:rPr>
          <w:bCs/>
        </w:rPr>
        <w:t>, Baltimore, MD</w:t>
      </w:r>
      <w:r>
        <w:rPr>
          <w:bCs/>
        </w:rPr>
        <w:t>, USA</w:t>
      </w:r>
    </w:p>
    <w:p w14:paraId="2BEA2A8C" w14:textId="77777777" w:rsidR="0045212E" w:rsidRPr="009C2839" w:rsidRDefault="0045212E" w:rsidP="0045212E">
      <w:pPr>
        <w:spacing w:line="480" w:lineRule="auto"/>
        <w:rPr>
          <w:bCs/>
        </w:rPr>
      </w:pPr>
      <w:r>
        <w:rPr>
          <w:bCs/>
          <w:vertAlign w:val="superscript"/>
        </w:rPr>
        <w:t xml:space="preserve">c </w:t>
      </w:r>
      <w:r>
        <w:rPr>
          <w:bCs/>
        </w:rPr>
        <w:t>Department of Epidemiology, Johns Hopkins Bloomberg School of Public Health, Baltimore, MD, USA</w:t>
      </w:r>
    </w:p>
    <w:p w14:paraId="516F131A" w14:textId="77777777" w:rsidR="0045212E" w:rsidRPr="009C07D5" w:rsidRDefault="0045212E" w:rsidP="0045212E">
      <w:pPr>
        <w:spacing w:line="480" w:lineRule="auto"/>
        <w:rPr>
          <w:bCs/>
          <w:color w:val="000000" w:themeColor="text1"/>
        </w:rPr>
      </w:pPr>
      <w:r>
        <w:rPr>
          <w:bCs/>
          <w:vertAlign w:val="superscript"/>
        </w:rPr>
        <w:t>d</w:t>
      </w:r>
      <w:r w:rsidRPr="009C07D5">
        <w:rPr>
          <w:bCs/>
        </w:rPr>
        <w:t xml:space="preserve"> </w:t>
      </w:r>
      <w:r>
        <w:rPr>
          <w:bCs/>
        </w:rPr>
        <w:t xml:space="preserve">Paediatric Infectious Diseases Research Group, Institute for Infection and Immunity, </w:t>
      </w:r>
      <w:r w:rsidRPr="009C07D5">
        <w:rPr>
          <w:bCs/>
        </w:rPr>
        <w:t xml:space="preserve">St </w:t>
      </w:r>
      <w:r w:rsidRPr="009C07D5">
        <w:rPr>
          <w:bCs/>
          <w:color w:val="000000" w:themeColor="text1"/>
        </w:rPr>
        <w:t>George’s University of London, London, UK</w:t>
      </w:r>
    </w:p>
    <w:p w14:paraId="2D3CA8E9" w14:textId="107BCD59" w:rsidR="0045212E" w:rsidRPr="00125F3E" w:rsidRDefault="0045212E" w:rsidP="0045212E">
      <w:pPr>
        <w:spacing w:line="480" w:lineRule="auto"/>
        <w:rPr>
          <w:color w:val="000000" w:themeColor="text1"/>
          <w:lang w:val="fr-FR"/>
        </w:rPr>
      </w:pPr>
      <w:r w:rsidRPr="00125F3E">
        <w:rPr>
          <w:bCs/>
          <w:color w:val="000000" w:themeColor="text1"/>
          <w:vertAlign w:val="superscript"/>
          <w:lang w:val="fr-FR"/>
        </w:rPr>
        <w:t>e</w:t>
      </w:r>
      <w:r w:rsidRPr="00125F3E">
        <w:rPr>
          <w:bCs/>
          <w:color w:val="000000" w:themeColor="text1"/>
          <w:lang w:val="fr-FR"/>
        </w:rPr>
        <w:t xml:space="preserve"> </w:t>
      </w:r>
      <w:r w:rsidR="00C6110D" w:rsidRPr="00125F3E">
        <w:rPr>
          <w:color w:val="000000" w:themeColor="text1"/>
          <w:lang w:val="fr-FR"/>
        </w:rPr>
        <w:t xml:space="preserve">APEMAC, </w:t>
      </w:r>
      <w:r w:rsidRPr="00125F3E">
        <w:rPr>
          <w:color w:val="000000" w:themeColor="text1"/>
          <w:lang w:val="fr-FR"/>
        </w:rPr>
        <w:t>Université de Lorraine, Nancy, France</w:t>
      </w:r>
    </w:p>
    <w:p w14:paraId="0B28ABAB" w14:textId="78819948" w:rsidR="0045212E" w:rsidRPr="00125F3E" w:rsidRDefault="0045212E" w:rsidP="0045212E">
      <w:pPr>
        <w:spacing w:line="480" w:lineRule="auto"/>
        <w:rPr>
          <w:rFonts w:eastAsiaTheme="minorHAnsi"/>
          <w:color w:val="000000" w:themeColor="text1"/>
          <w:lang w:val="fr-FR"/>
        </w:rPr>
      </w:pPr>
      <w:r w:rsidRPr="00125F3E">
        <w:rPr>
          <w:rFonts w:eastAsiaTheme="minorHAnsi"/>
          <w:color w:val="000000" w:themeColor="text1"/>
          <w:vertAlign w:val="superscript"/>
          <w:lang w:val="fr-FR"/>
        </w:rPr>
        <w:t xml:space="preserve">f  </w:t>
      </w:r>
      <w:r w:rsidR="0015748D" w:rsidRPr="00125F3E">
        <w:rPr>
          <w:rFonts w:eastAsiaTheme="minorHAnsi"/>
          <w:color w:val="000000" w:themeColor="text1"/>
          <w:lang w:val="fr-FR"/>
        </w:rPr>
        <w:t xml:space="preserve">Infectious Diseases Department, </w:t>
      </w:r>
      <w:r w:rsidRPr="00125F3E">
        <w:rPr>
          <w:color w:val="000000" w:themeColor="text1"/>
          <w:lang w:val="fr-FR"/>
        </w:rPr>
        <w:t xml:space="preserve">Université de Lorraine, </w:t>
      </w:r>
      <w:r w:rsidRPr="00125F3E">
        <w:rPr>
          <w:rFonts w:eastAsiaTheme="minorHAnsi"/>
          <w:color w:val="000000" w:themeColor="text1"/>
          <w:lang w:val="fr-FR"/>
        </w:rPr>
        <w:t xml:space="preserve">CHRU-Nancy, Nancy, France </w:t>
      </w:r>
    </w:p>
    <w:p w14:paraId="324E7B5D" w14:textId="77777777" w:rsidR="0045212E" w:rsidRPr="00D266AE" w:rsidRDefault="0045212E" w:rsidP="0045212E">
      <w:pPr>
        <w:spacing w:line="480" w:lineRule="auto"/>
        <w:rPr>
          <w:color w:val="000000" w:themeColor="text1"/>
        </w:rPr>
      </w:pPr>
      <w:r w:rsidRPr="00D266AE">
        <w:rPr>
          <w:color w:val="000000" w:themeColor="text1"/>
          <w:vertAlign w:val="superscript"/>
        </w:rPr>
        <w:t xml:space="preserve">g </w:t>
      </w:r>
      <w:r w:rsidRPr="00D266AE">
        <w:rPr>
          <w:color w:val="000000" w:themeColor="text1"/>
        </w:rPr>
        <w:t>Princeton Environmental Institute, Princeton University, Princeton, NJ, USA</w:t>
      </w:r>
    </w:p>
    <w:p w14:paraId="07DF7A20" w14:textId="77777777" w:rsidR="0045212E" w:rsidRPr="00CC5A8D" w:rsidRDefault="0045212E" w:rsidP="0045212E">
      <w:pPr>
        <w:spacing w:line="480" w:lineRule="auto"/>
        <w:rPr>
          <w:color w:val="000000" w:themeColor="text1"/>
        </w:rPr>
      </w:pPr>
      <w:r>
        <w:rPr>
          <w:color w:val="000000" w:themeColor="text1"/>
          <w:vertAlign w:val="superscript"/>
        </w:rPr>
        <w:t xml:space="preserve">h </w:t>
      </w:r>
      <w:r>
        <w:rPr>
          <w:color w:val="000000" w:themeColor="text1"/>
        </w:rPr>
        <w:t>Department of Global Health, University of Washington, Seattle, WA, USA</w:t>
      </w:r>
    </w:p>
    <w:p w14:paraId="235CE136" w14:textId="77777777" w:rsidR="0045212E" w:rsidRDefault="0045212E" w:rsidP="0045212E">
      <w:pPr>
        <w:spacing w:line="480" w:lineRule="auto"/>
        <w:rPr>
          <w:rFonts w:eastAsiaTheme="minorHAnsi"/>
        </w:rPr>
      </w:pPr>
    </w:p>
    <w:p w14:paraId="3D38A850" w14:textId="77777777" w:rsidR="0045212E" w:rsidRDefault="0045212E" w:rsidP="0045212E">
      <w:pPr>
        <w:spacing w:line="480" w:lineRule="auto"/>
        <w:rPr>
          <w:rFonts w:eastAsiaTheme="minorHAnsi"/>
        </w:rPr>
      </w:pPr>
      <w:r>
        <w:rPr>
          <w:rFonts w:eastAsiaTheme="minorHAnsi"/>
        </w:rPr>
        <w:t>* Corresponding Author</w:t>
      </w:r>
    </w:p>
    <w:p w14:paraId="419DDAC8" w14:textId="77777777" w:rsidR="0045212E" w:rsidRDefault="0045212E" w:rsidP="0045212E">
      <w:pPr>
        <w:spacing w:line="480" w:lineRule="auto"/>
        <w:rPr>
          <w:rFonts w:eastAsiaTheme="minorHAnsi"/>
        </w:rPr>
      </w:pPr>
      <w:r>
        <w:rPr>
          <w:rFonts w:eastAsiaTheme="minorHAnsi"/>
        </w:rPr>
        <w:t>Eili Y. Klein</w:t>
      </w:r>
    </w:p>
    <w:p w14:paraId="5FDEFCB3" w14:textId="36C6DC97" w:rsidR="0045212E" w:rsidRDefault="00031DF5" w:rsidP="0045212E">
      <w:pPr>
        <w:spacing w:line="480" w:lineRule="auto"/>
        <w:rPr>
          <w:bCs/>
        </w:rPr>
      </w:pPr>
      <w:r>
        <w:rPr>
          <w:rFonts w:eastAsiaTheme="minorHAnsi"/>
        </w:rPr>
        <w:t xml:space="preserve">Senior </w:t>
      </w:r>
      <w:r w:rsidR="0045212E">
        <w:rPr>
          <w:rFonts w:eastAsiaTheme="minorHAnsi"/>
        </w:rPr>
        <w:t xml:space="preserve">Fellow | </w:t>
      </w:r>
      <w:r w:rsidR="0045212E">
        <w:rPr>
          <w:bCs/>
        </w:rPr>
        <w:t>Center for Disease Dynamics, Economics &amp; Policy, Washington, DC</w:t>
      </w:r>
    </w:p>
    <w:p w14:paraId="397A8225" w14:textId="77777777" w:rsidR="00031DF5" w:rsidRDefault="00031DF5" w:rsidP="0045212E">
      <w:pPr>
        <w:spacing w:line="480" w:lineRule="auto"/>
        <w:rPr>
          <w:bCs/>
        </w:rPr>
      </w:pPr>
      <w:r w:rsidRPr="00031DF5">
        <w:rPr>
          <w:bCs/>
        </w:rPr>
        <w:t>962 Wayne Ave, Suite 530, Silver Spring, MD 20910</w:t>
      </w:r>
    </w:p>
    <w:p w14:paraId="4B66D2F6" w14:textId="21F88B64" w:rsidR="0045212E" w:rsidRPr="00CC5A8D" w:rsidRDefault="0045212E" w:rsidP="0045212E">
      <w:pPr>
        <w:spacing w:line="480" w:lineRule="auto"/>
        <w:rPr>
          <w:rFonts w:eastAsiaTheme="minorHAnsi"/>
        </w:rPr>
      </w:pPr>
      <w:r>
        <w:rPr>
          <w:rFonts w:eastAsiaTheme="minorHAnsi"/>
        </w:rPr>
        <w:t>klein@cddep.org | p: (202) 328-5197</w:t>
      </w:r>
    </w:p>
    <w:p w14:paraId="4018EFB4" w14:textId="77777777" w:rsidR="0045212E" w:rsidRDefault="0045212E" w:rsidP="00E34631">
      <w:pPr>
        <w:spacing w:line="480" w:lineRule="auto"/>
        <w:rPr>
          <w:b/>
          <w:color w:val="000000" w:themeColor="text1"/>
        </w:rPr>
      </w:pPr>
    </w:p>
    <w:p w14:paraId="705BA64A" w14:textId="77777777" w:rsidR="0045212E" w:rsidRDefault="0045212E" w:rsidP="00E34631">
      <w:pPr>
        <w:spacing w:line="480" w:lineRule="auto"/>
        <w:rPr>
          <w:b/>
          <w:color w:val="000000" w:themeColor="text1"/>
        </w:rPr>
      </w:pPr>
    </w:p>
    <w:p w14:paraId="1F41D10F" w14:textId="77777777" w:rsidR="000B5737" w:rsidRDefault="000B5737" w:rsidP="000B5737">
      <w:pPr>
        <w:spacing w:line="480" w:lineRule="auto"/>
        <w:rPr>
          <w:bCs/>
        </w:rPr>
      </w:pPr>
      <w:r>
        <w:rPr>
          <w:b/>
        </w:rPr>
        <w:lastRenderedPageBreak/>
        <w:t xml:space="preserve">Keywords: </w:t>
      </w:r>
      <w:r>
        <w:rPr>
          <w:bCs/>
        </w:rPr>
        <w:t>antimicrobial resistance | low-income countries | defined daily doses | antibiotic stewardship | antibiotics</w:t>
      </w:r>
    </w:p>
    <w:p w14:paraId="3AFDEA6A" w14:textId="77777777" w:rsidR="000B5737" w:rsidRPr="007D0127" w:rsidRDefault="000B5737" w:rsidP="000B5737">
      <w:pPr>
        <w:spacing w:line="480" w:lineRule="auto"/>
        <w:rPr>
          <w:bCs/>
        </w:rPr>
      </w:pPr>
    </w:p>
    <w:p w14:paraId="41E04D30" w14:textId="248F4C80" w:rsidR="0017106B" w:rsidRDefault="000B5737" w:rsidP="00D83608">
      <w:pPr>
        <w:spacing w:line="480" w:lineRule="auto"/>
        <w:rPr>
          <w:bCs/>
          <w:color w:val="FF0000"/>
        </w:rPr>
      </w:pPr>
      <w:r>
        <w:rPr>
          <w:b/>
        </w:rPr>
        <w:t>Word count:</w:t>
      </w:r>
      <w:r w:rsidRPr="00553C30">
        <w:rPr>
          <w:b/>
          <w:color w:val="000000" w:themeColor="text1"/>
        </w:rPr>
        <w:t xml:space="preserve"> </w:t>
      </w:r>
      <w:r w:rsidR="00CC5F18">
        <w:rPr>
          <w:bCs/>
          <w:color w:val="000000" w:themeColor="text1"/>
        </w:rPr>
        <w:t>3</w:t>
      </w:r>
      <w:r w:rsidR="003D747F">
        <w:rPr>
          <w:bCs/>
          <w:color w:val="000000" w:themeColor="text1"/>
        </w:rPr>
        <w:t>188</w:t>
      </w:r>
      <w:r w:rsidR="00CC5F18" w:rsidRPr="00524ECD">
        <w:rPr>
          <w:bCs/>
          <w:color w:val="000000" w:themeColor="text1"/>
        </w:rPr>
        <w:t xml:space="preserve"> </w:t>
      </w:r>
      <w:r w:rsidR="0017106B">
        <w:rPr>
          <w:bCs/>
          <w:color w:val="FF0000"/>
        </w:rPr>
        <w:br w:type="page"/>
      </w:r>
    </w:p>
    <w:p w14:paraId="7B6F88FA" w14:textId="77777777" w:rsidR="00D83608" w:rsidRPr="00104FFD" w:rsidRDefault="00D83608" w:rsidP="00D83608">
      <w:pPr>
        <w:spacing w:line="480" w:lineRule="auto"/>
        <w:rPr>
          <w:b/>
        </w:rPr>
      </w:pPr>
      <w:r w:rsidRPr="00104FFD">
        <w:rPr>
          <w:b/>
        </w:rPr>
        <w:lastRenderedPageBreak/>
        <w:t>Abstract</w:t>
      </w:r>
    </w:p>
    <w:p w14:paraId="00E6D0CA" w14:textId="77777777" w:rsidR="00D83608" w:rsidRPr="00104FFD" w:rsidRDefault="00D83608" w:rsidP="00D83608">
      <w:pPr>
        <w:spacing w:line="480" w:lineRule="auto"/>
        <w:rPr>
          <w:b/>
        </w:rPr>
      </w:pPr>
      <w:r w:rsidRPr="00104FFD">
        <w:rPr>
          <w:b/>
        </w:rPr>
        <w:t>Background</w:t>
      </w:r>
    </w:p>
    <w:p w14:paraId="31E49380" w14:textId="06889CD8" w:rsidR="00D83608" w:rsidRDefault="00D83608" w:rsidP="00D83608">
      <w:pPr>
        <w:spacing w:line="480" w:lineRule="auto"/>
        <w:rPr>
          <w:color w:val="000000" w:themeColor="text1"/>
        </w:rPr>
      </w:pPr>
      <w:r w:rsidRPr="00104FFD">
        <w:t xml:space="preserve">The </w:t>
      </w:r>
      <w:r w:rsidR="0030708B" w:rsidRPr="00104FFD">
        <w:t>World Health Organization’s (</w:t>
      </w:r>
      <w:r w:rsidRPr="00104FFD">
        <w:t>WHO</w:t>
      </w:r>
      <w:r w:rsidR="0030708B" w:rsidRPr="00104FFD">
        <w:t>)</w:t>
      </w:r>
      <w:r w:rsidRPr="00104FFD">
        <w:t xml:space="preserve"> </w:t>
      </w:r>
      <w:r w:rsidR="000C33B6" w:rsidRPr="00104FFD">
        <w:t xml:space="preserve">antibiotic </w:t>
      </w:r>
      <w:r w:rsidRPr="00104FFD">
        <w:rPr>
          <w:color w:val="000000" w:themeColor="text1"/>
        </w:rPr>
        <w:t xml:space="preserve">classification </w:t>
      </w:r>
      <w:r w:rsidR="000C33B6" w:rsidRPr="00104FFD">
        <w:rPr>
          <w:color w:val="000000" w:themeColor="text1"/>
        </w:rPr>
        <w:t>framework</w:t>
      </w:r>
      <w:r w:rsidR="00F52B94">
        <w:rPr>
          <w:color w:val="000000" w:themeColor="text1"/>
        </w:rPr>
        <w:t xml:space="preserve"> </w:t>
      </w:r>
      <w:r w:rsidR="000C33B6" w:rsidRPr="00104FFD">
        <w:rPr>
          <w:color w:val="000000" w:themeColor="text1"/>
        </w:rPr>
        <w:t>(</w:t>
      </w:r>
      <w:r w:rsidR="00D275BF" w:rsidRPr="00104FFD">
        <w:rPr>
          <w:color w:val="000000" w:themeColor="text1"/>
        </w:rPr>
        <w:t>AW</w:t>
      </w:r>
      <w:r w:rsidR="00F723AB">
        <w:rPr>
          <w:color w:val="000000" w:themeColor="text1"/>
        </w:rPr>
        <w:t>a</w:t>
      </w:r>
      <w:r w:rsidR="00D275BF" w:rsidRPr="00104FFD">
        <w:rPr>
          <w:color w:val="000000" w:themeColor="text1"/>
        </w:rPr>
        <w:t>R</w:t>
      </w:r>
      <w:r w:rsidR="00F723AB">
        <w:rPr>
          <w:color w:val="000000" w:themeColor="text1"/>
        </w:rPr>
        <w:t>e</w:t>
      </w:r>
      <w:r w:rsidR="000C33B6" w:rsidRPr="00104FFD">
        <w:rPr>
          <w:color w:val="000000" w:themeColor="text1"/>
        </w:rPr>
        <w:t xml:space="preserve">), aims to </w:t>
      </w:r>
      <w:r w:rsidR="005F1E81">
        <w:t>balance</w:t>
      </w:r>
      <w:r w:rsidR="005F1E81" w:rsidRPr="00104FFD">
        <w:t xml:space="preserve"> </w:t>
      </w:r>
      <w:r w:rsidR="000C33B6" w:rsidRPr="00104FFD">
        <w:t xml:space="preserve">appropriate access to antibiotics and </w:t>
      </w:r>
      <w:r w:rsidR="005F1E81">
        <w:t>stewardship</w:t>
      </w:r>
      <w:r w:rsidR="000C33B6" w:rsidRPr="00104FFD">
        <w:t>.</w:t>
      </w:r>
      <w:r w:rsidR="000C33B6" w:rsidRPr="00104FFD">
        <w:rPr>
          <w:color w:val="000000" w:themeColor="text1"/>
        </w:rPr>
        <w:t xml:space="preserve"> </w:t>
      </w:r>
      <w:r w:rsidR="006202AE">
        <w:rPr>
          <w:color w:val="000000" w:themeColor="text1"/>
        </w:rPr>
        <w:t xml:space="preserve">We studied how </w:t>
      </w:r>
      <w:r w:rsidR="00664D83" w:rsidRPr="00104FFD">
        <w:rPr>
          <w:color w:val="000000" w:themeColor="text1"/>
        </w:rPr>
        <w:t>pattern</w:t>
      </w:r>
      <w:r w:rsidR="0018253C">
        <w:rPr>
          <w:color w:val="000000" w:themeColor="text1"/>
        </w:rPr>
        <w:t>s</w:t>
      </w:r>
      <w:r w:rsidR="00664D83" w:rsidRPr="00104FFD">
        <w:rPr>
          <w:color w:val="000000" w:themeColor="text1"/>
        </w:rPr>
        <w:t xml:space="preserve"> of </w:t>
      </w:r>
      <w:r w:rsidRPr="00104FFD">
        <w:rPr>
          <w:color w:val="000000" w:themeColor="text1"/>
        </w:rPr>
        <w:t>antibiotic consumption</w:t>
      </w:r>
      <w:r w:rsidR="006202AE">
        <w:rPr>
          <w:color w:val="000000" w:themeColor="text1"/>
        </w:rPr>
        <w:t xml:space="preserve"> in each of the </w:t>
      </w:r>
      <w:r w:rsidR="006202AE" w:rsidRPr="00104FFD">
        <w:rPr>
          <w:color w:val="000000" w:themeColor="text1"/>
        </w:rPr>
        <w:t>AW</w:t>
      </w:r>
      <w:r w:rsidR="006202AE">
        <w:rPr>
          <w:color w:val="000000" w:themeColor="text1"/>
        </w:rPr>
        <w:t>a</w:t>
      </w:r>
      <w:r w:rsidR="006202AE" w:rsidRPr="00104FFD">
        <w:rPr>
          <w:color w:val="000000" w:themeColor="text1"/>
        </w:rPr>
        <w:t>R</w:t>
      </w:r>
      <w:r w:rsidR="006202AE">
        <w:rPr>
          <w:color w:val="000000" w:themeColor="text1"/>
        </w:rPr>
        <w:t>e categories chang</w:t>
      </w:r>
      <w:r w:rsidR="00F52B94">
        <w:rPr>
          <w:color w:val="000000" w:themeColor="text1"/>
        </w:rPr>
        <w:t>ed</w:t>
      </w:r>
      <w:r w:rsidR="006202AE">
        <w:rPr>
          <w:color w:val="000000" w:themeColor="text1"/>
        </w:rPr>
        <w:t xml:space="preserve"> over time and</w:t>
      </w:r>
      <w:r w:rsidRPr="00104FFD">
        <w:rPr>
          <w:color w:val="000000" w:themeColor="text1"/>
        </w:rPr>
        <w:t xml:space="preserve"> </w:t>
      </w:r>
      <w:r w:rsidR="0018253C">
        <w:rPr>
          <w:color w:val="000000" w:themeColor="text1"/>
        </w:rPr>
        <w:t>across countries</w:t>
      </w:r>
      <w:r w:rsidRPr="00104FFD">
        <w:rPr>
          <w:color w:val="000000" w:themeColor="text1"/>
        </w:rPr>
        <w:t xml:space="preserve">. </w:t>
      </w:r>
    </w:p>
    <w:p w14:paraId="28FB5F3B" w14:textId="77777777" w:rsidR="00D83608" w:rsidRPr="00104FFD" w:rsidRDefault="00D83608" w:rsidP="00D83608">
      <w:pPr>
        <w:spacing w:line="480" w:lineRule="auto"/>
        <w:rPr>
          <w:color w:val="000000" w:themeColor="text1"/>
        </w:rPr>
      </w:pPr>
    </w:p>
    <w:p w14:paraId="4E813595" w14:textId="77777777" w:rsidR="00D83608" w:rsidRPr="00104FFD" w:rsidRDefault="00D83608" w:rsidP="00D83608">
      <w:pPr>
        <w:spacing w:line="480" w:lineRule="auto"/>
        <w:rPr>
          <w:b/>
          <w:color w:val="000000" w:themeColor="text1"/>
        </w:rPr>
      </w:pPr>
      <w:r w:rsidRPr="00104FFD">
        <w:rPr>
          <w:b/>
          <w:color w:val="000000" w:themeColor="text1"/>
        </w:rPr>
        <w:t>Methods</w:t>
      </w:r>
    </w:p>
    <w:p w14:paraId="4DF180D6" w14:textId="5AAF1F98" w:rsidR="00D83608" w:rsidRPr="00104FFD" w:rsidRDefault="00B7008D" w:rsidP="00D83608">
      <w:pPr>
        <w:spacing w:line="480" w:lineRule="auto"/>
        <w:rPr>
          <w:color w:val="000000" w:themeColor="text1"/>
        </w:rPr>
      </w:pPr>
      <w:r w:rsidRPr="00104FFD">
        <w:rPr>
          <w:color w:val="000000" w:themeColor="text1"/>
        </w:rPr>
        <w:t>A</w:t>
      </w:r>
      <w:r w:rsidR="008B664E" w:rsidRPr="00104FFD">
        <w:rPr>
          <w:color w:val="000000" w:themeColor="text1"/>
        </w:rPr>
        <w:t xml:space="preserve">ntibiotic </w:t>
      </w:r>
      <w:r w:rsidR="00D83608" w:rsidRPr="00104FFD">
        <w:rPr>
          <w:color w:val="000000" w:themeColor="text1"/>
        </w:rPr>
        <w:t xml:space="preserve">consumption </w:t>
      </w:r>
      <w:r w:rsidRPr="00104FFD">
        <w:rPr>
          <w:color w:val="000000" w:themeColor="text1"/>
        </w:rPr>
        <w:t>w</w:t>
      </w:r>
      <w:r w:rsidR="00664D83" w:rsidRPr="00104FFD">
        <w:rPr>
          <w:color w:val="000000" w:themeColor="text1"/>
        </w:rPr>
        <w:t>as</w:t>
      </w:r>
      <w:r w:rsidRPr="00104FFD">
        <w:rPr>
          <w:color w:val="000000" w:themeColor="text1"/>
        </w:rPr>
        <w:t xml:space="preserve"> classified into </w:t>
      </w:r>
      <w:r w:rsidR="00F52B94">
        <w:rPr>
          <w:color w:val="000000" w:themeColor="text1"/>
        </w:rPr>
        <w:t>Access, Watch, and Reserve</w:t>
      </w:r>
      <w:r w:rsidR="00F52B94" w:rsidRPr="00104FFD">
        <w:rPr>
          <w:color w:val="000000" w:themeColor="text1"/>
        </w:rPr>
        <w:t xml:space="preserve"> </w:t>
      </w:r>
      <w:r w:rsidR="00D83608" w:rsidRPr="00104FFD">
        <w:rPr>
          <w:color w:val="000000" w:themeColor="text1"/>
        </w:rPr>
        <w:t>c</w:t>
      </w:r>
      <w:r w:rsidRPr="00104FFD">
        <w:rPr>
          <w:color w:val="000000" w:themeColor="text1"/>
        </w:rPr>
        <w:t xml:space="preserve">ategories </w:t>
      </w:r>
      <w:r w:rsidR="00D83608" w:rsidRPr="00104FFD">
        <w:rPr>
          <w:color w:val="000000" w:themeColor="text1"/>
        </w:rPr>
        <w:t>for 76 countries between 2000 and 2015</w:t>
      </w:r>
      <w:r w:rsidRPr="00104FFD">
        <w:rPr>
          <w:color w:val="000000" w:themeColor="text1"/>
        </w:rPr>
        <w:t xml:space="preserve"> using data from IQVIA. </w:t>
      </w:r>
      <w:r w:rsidR="005E77AE">
        <w:rPr>
          <w:color w:val="000000" w:themeColor="text1"/>
        </w:rPr>
        <w:t>T</w:t>
      </w:r>
      <w:r w:rsidR="008D0738" w:rsidRPr="00104FFD">
        <w:rPr>
          <w:color w:val="000000" w:themeColor="text1"/>
        </w:rPr>
        <w:t xml:space="preserve">he WHO target of </w:t>
      </w:r>
      <w:r w:rsidR="008C5132">
        <w:rPr>
          <w:color w:val="000000" w:themeColor="text1"/>
        </w:rPr>
        <w:t xml:space="preserve">at least </w:t>
      </w:r>
      <w:r w:rsidR="008D0738" w:rsidRPr="00104FFD">
        <w:rPr>
          <w:color w:val="000000" w:themeColor="text1"/>
        </w:rPr>
        <w:t xml:space="preserve">60% Access antibiotics at </w:t>
      </w:r>
      <w:r w:rsidR="002868D9">
        <w:rPr>
          <w:color w:val="000000" w:themeColor="text1"/>
        </w:rPr>
        <w:t xml:space="preserve">the </w:t>
      </w:r>
      <w:r w:rsidR="008D0738" w:rsidRPr="00104FFD">
        <w:rPr>
          <w:color w:val="000000" w:themeColor="text1"/>
        </w:rPr>
        <w:t>national level was measured</w:t>
      </w:r>
      <w:r w:rsidR="005E77AE">
        <w:rPr>
          <w:color w:val="000000" w:themeColor="text1"/>
        </w:rPr>
        <w:t xml:space="preserve"> for each country</w:t>
      </w:r>
      <w:r w:rsidR="00F52B94">
        <w:rPr>
          <w:color w:val="000000" w:themeColor="text1"/>
        </w:rPr>
        <w:t xml:space="preserve"> as was </w:t>
      </w:r>
      <w:r w:rsidRPr="00104FFD">
        <w:rPr>
          <w:color w:val="000000" w:themeColor="text1"/>
        </w:rPr>
        <w:t>the ratio of</w:t>
      </w:r>
      <w:r w:rsidR="00D83608" w:rsidRPr="00104FFD">
        <w:rPr>
          <w:color w:val="000000" w:themeColor="text1"/>
        </w:rPr>
        <w:t xml:space="preserve"> </w:t>
      </w:r>
      <w:r w:rsidR="00D83608" w:rsidRPr="00104FFD">
        <w:t>Access to Watch antibiotics</w:t>
      </w:r>
      <w:r w:rsidR="006B2AF3">
        <w:t xml:space="preserve"> (Access-to-Watch Index)</w:t>
      </w:r>
      <w:r w:rsidR="00D83608" w:rsidRPr="00104FFD">
        <w:t>.</w:t>
      </w:r>
    </w:p>
    <w:p w14:paraId="44E882E2" w14:textId="77777777" w:rsidR="00D83608" w:rsidRPr="00104FFD" w:rsidRDefault="00D83608" w:rsidP="00D83608">
      <w:pPr>
        <w:spacing w:line="480" w:lineRule="auto"/>
      </w:pPr>
    </w:p>
    <w:p w14:paraId="26F1FC95" w14:textId="5DC5A4E3" w:rsidR="00D83608" w:rsidRPr="00104FFD" w:rsidRDefault="00F52B94" w:rsidP="00D83608">
      <w:pPr>
        <w:spacing w:line="480" w:lineRule="auto"/>
        <w:rPr>
          <w:b/>
        </w:rPr>
      </w:pPr>
      <w:r>
        <w:rPr>
          <w:b/>
        </w:rPr>
        <w:t>Findings</w:t>
      </w:r>
    </w:p>
    <w:p w14:paraId="4989CE78" w14:textId="287682FF" w:rsidR="00A35B1F" w:rsidRPr="00C5602B" w:rsidRDefault="000F6ED6" w:rsidP="00D83608">
      <w:pPr>
        <w:spacing w:line="480" w:lineRule="auto"/>
        <w:rPr>
          <w:rFonts w:eastAsiaTheme="minorHAnsi"/>
          <w:b/>
        </w:rPr>
      </w:pPr>
      <w:r>
        <w:rPr>
          <w:color w:val="000000" w:themeColor="text1"/>
        </w:rPr>
        <w:t xml:space="preserve">Between 2000 and 2015, </w:t>
      </w:r>
      <w:r w:rsidR="005E77AE">
        <w:rPr>
          <w:color w:val="000000" w:themeColor="text1"/>
        </w:rPr>
        <w:t xml:space="preserve">per capita </w:t>
      </w:r>
      <w:r w:rsidRPr="00E0053F">
        <w:rPr>
          <w:color w:val="000000" w:themeColor="text1"/>
        </w:rPr>
        <w:t>consumption of Watch antibiotics</w:t>
      </w:r>
      <w:r>
        <w:rPr>
          <w:color w:val="000000" w:themeColor="text1"/>
        </w:rPr>
        <w:t xml:space="preserve"> rose by</w:t>
      </w:r>
      <w:r w:rsidRPr="00E0053F">
        <w:rPr>
          <w:color w:val="000000" w:themeColor="text1"/>
        </w:rPr>
        <w:t xml:space="preserve"> 90</w:t>
      </w:r>
      <w:r w:rsidR="003125FF">
        <w:rPr>
          <w:color w:val="000000" w:themeColor="text1"/>
        </w:rPr>
        <w:t>·</w:t>
      </w:r>
      <w:r w:rsidRPr="00E0053F">
        <w:rPr>
          <w:color w:val="000000" w:themeColor="text1"/>
        </w:rPr>
        <w:t xml:space="preserve">9% </w:t>
      </w:r>
      <w:r w:rsidR="001D0024">
        <w:rPr>
          <w:color w:val="000000" w:themeColor="text1"/>
        </w:rPr>
        <w:t>(</w:t>
      </w:r>
      <w:r w:rsidR="00F44E5B">
        <w:rPr>
          <w:color w:val="000000" w:themeColor="text1"/>
        </w:rPr>
        <w:t xml:space="preserve">from </w:t>
      </w:r>
      <w:r w:rsidR="00F44E5B" w:rsidRPr="00837639">
        <w:rPr>
          <w:color w:val="000000" w:themeColor="text1"/>
        </w:rPr>
        <w:t>3</w:t>
      </w:r>
      <w:r w:rsidR="00F44E5B">
        <w:rPr>
          <w:color w:val="000000" w:themeColor="text1"/>
        </w:rPr>
        <w:t>·</w:t>
      </w:r>
      <w:r w:rsidR="00F44E5B" w:rsidRPr="00837639">
        <w:rPr>
          <w:color w:val="000000" w:themeColor="text1"/>
        </w:rPr>
        <w:t>3 to 6</w:t>
      </w:r>
      <w:r w:rsidR="00F44E5B">
        <w:rPr>
          <w:color w:val="000000" w:themeColor="text1"/>
        </w:rPr>
        <w:t>·</w:t>
      </w:r>
      <w:r w:rsidR="00F44E5B" w:rsidRPr="00837639">
        <w:rPr>
          <w:color w:val="000000" w:themeColor="text1"/>
        </w:rPr>
        <w:t>3</w:t>
      </w:r>
      <w:r w:rsidR="00EB6A7C">
        <w:rPr>
          <w:color w:val="000000" w:themeColor="text1"/>
        </w:rPr>
        <w:t xml:space="preserve"> </w:t>
      </w:r>
      <w:r w:rsidR="00E46775">
        <w:rPr>
          <w:color w:val="000000" w:themeColor="text1"/>
        </w:rPr>
        <w:t>defined daily doses</w:t>
      </w:r>
      <w:r w:rsidR="00CF6F93" w:rsidRPr="00A70D0B">
        <w:rPr>
          <w:color w:val="000000"/>
        </w:rPr>
        <w:t xml:space="preserve"> per 1,000 inhabitants per day</w:t>
      </w:r>
      <w:r w:rsidR="00E46775">
        <w:rPr>
          <w:color w:val="000000" w:themeColor="text1"/>
        </w:rPr>
        <w:t xml:space="preserve"> </w:t>
      </w:r>
      <w:r w:rsidR="00CF6F93">
        <w:rPr>
          <w:color w:val="000000" w:themeColor="text1"/>
        </w:rPr>
        <w:t>[</w:t>
      </w:r>
      <w:r w:rsidR="007A3C70">
        <w:rPr>
          <w:color w:val="000000" w:themeColor="text1"/>
        </w:rPr>
        <w:t>DID</w:t>
      </w:r>
      <w:r w:rsidR="00CF6F93">
        <w:rPr>
          <w:color w:val="000000" w:themeColor="text1"/>
        </w:rPr>
        <w:t>s]</w:t>
      </w:r>
      <w:r w:rsidR="001D0024">
        <w:rPr>
          <w:color w:val="000000" w:themeColor="text1"/>
        </w:rPr>
        <w:t xml:space="preserve">) </w:t>
      </w:r>
      <w:r w:rsidRPr="00E0053F">
        <w:rPr>
          <w:color w:val="000000" w:themeColor="text1"/>
        </w:rPr>
        <w:t>compared to 26</w:t>
      </w:r>
      <w:r w:rsidR="003125FF">
        <w:rPr>
          <w:color w:val="000000" w:themeColor="text1"/>
        </w:rPr>
        <w:t>·</w:t>
      </w:r>
      <w:r w:rsidRPr="00E0053F">
        <w:rPr>
          <w:color w:val="000000" w:themeColor="text1"/>
        </w:rPr>
        <w:t>2%</w:t>
      </w:r>
      <w:r w:rsidR="00EB6A7C">
        <w:rPr>
          <w:color w:val="000000" w:themeColor="text1"/>
        </w:rPr>
        <w:t xml:space="preserve"> (</w:t>
      </w:r>
      <w:r w:rsidR="00AB6D60" w:rsidRPr="00837639">
        <w:rPr>
          <w:color w:val="000000" w:themeColor="text1"/>
        </w:rPr>
        <w:t>from 8</w:t>
      </w:r>
      <w:r w:rsidR="00AB6D60">
        <w:rPr>
          <w:color w:val="000000" w:themeColor="text1"/>
        </w:rPr>
        <w:t>·</w:t>
      </w:r>
      <w:r w:rsidR="00AB6D60" w:rsidRPr="00837639">
        <w:rPr>
          <w:color w:val="000000" w:themeColor="text1"/>
        </w:rPr>
        <w:t>4 to 10</w:t>
      </w:r>
      <w:r w:rsidR="00AB6D60">
        <w:rPr>
          <w:color w:val="000000" w:themeColor="text1"/>
        </w:rPr>
        <w:t>·</w:t>
      </w:r>
      <w:r w:rsidR="00AB6D60" w:rsidRPr="00837639">
        <w:rPr>
          <w:color w:val="000000" w:themeColor="text1"/>
        </w:rPr>
        <w:t>6 D</w:t>
      </w:r>
      <w:r w:rsidR="00AB6D60">
        <w:rPr>
          <w:color w:val="000000" w:themeColor="text1"/>
        </w:rPr>
        <w:t>I</w:t>
      </w:r>
      <w:r w:rsidR="00AB6D60" w:rsidRPr="00837639">
        <w:rPr>
          <w:color w:val="000000" w:themeColor="text1"/>
        </w:rPr>
        <w:t>Ds</w:t>
      </w:r>
      <w:r w:rsidR="00EB6A7C">
        <w:rPr>
          <w:color w:val="000000" w:themeColor="text1"/>
        </w:rPr>
        <w:t>)</w:t>
      </w:r>
      <w:r w:rsidRPr="00E0053F">
        <w:rPr>
          <w:color w:val="000000" w:themeColor="text1"/>
        </w:rPr>
        <w:t xml:space="preserve"> </w:t>
      </w:r>
      <w:r w:rsidR="00F52B94">
        <w:rPr>
          <w:color w:val="000000" w:themeColor="text1"/>
        </w:rPr>
        <w:t>for</w:t>
      </w:r>
      <w:r>
        <w:rPr>
          <w:color w:val="000000" w:themeColor="text1"/>
        </w:rPr>
        <w:t xml:space="preserve"> Access antibiotics. </w:t>
      </w:r>
      <w:r w:rsidR="00771FDC">
        <w:rPr>
          <w:color w:val="000000" w:themeColor="text1"/>
        </w:rPr>
        <w:t xml:space="preserve">The increase in Watch antibiotic consumption </w:t>
      </w:r>
      <w:r w:rsidR="00573F3C">
        <w:rPr>
          <w:color w:val="000000" w:themeColor="text1"/>
        </w:rPr>
        <w:t xml:space="preserve">was greater in </w:t>
      </w:r>
      <w:r w:rsidR="00771FDC">
        <w:rPr>
          <w:color w:val="000000" w:themeColor="text1"/>
        </w:rPr>
        <w:t>low- and middle-income countries (</w:t>
      </w:r>
      <w:r w:rsidR="00F52B94">
        <w:rPr>
          <w:color w:val="000000" w:themeColor="text1"/>
        </w:rPr>
        <w:t xml:space="preserve">LMICs; </w:t>
      </w:r>
      <w:r w:rsidR="00771FDC">
        <w:rPr>
          <w:color w:val="000000" w:themeColor="text1"/>
        </w:rPr>
        <w:t>165</w:t>
      </w:r>
      <w:r w:rsidR="003125FF">
        <w:rPr>
          <w:color w:val="000000" w:themeColor="text1"/>
        </w:rPr>
        <w:t>·</w:t>
      </w:r>
      <w:r w:rsidR="00771FDC">
        <w:rPr>
          <w:color w:val="000000" w:themeColor="text1"/>
        </w:rPr>
        <w:t>0%</w:t>
      </w:r>
      <w:r w:rsidR="00EB6A7C">
        <w:rPr>
          <w:color w:val="000000" w:themeColor="text1"/>
        </w:rPr>
        <w:t xml:space="preserve">; </w:t>
      </w:r>
      <w:r w:rsidR="00601B65" w:rsidRPr="00837639">
        <w:rPr>
          <w:color w:val="000000" w:themeColor="text1"/>
        </w:rPr>
        <w:t>from 2</w:t>
      </w:r>
      <w:r w:rsidR="00601B65">
        <w:rPr>
          <w:color w:val="000000" w:themeColor="text1"/>
        </w:rPr>
        <w:t>·</w:t>
      </w:r>
      <w:r w:rsidR="00601B65" w:rsidRPr="00837639">
        <w:rPr>
          <w:color w:val="000000" w:themeColor="text1"/>
        </w:rPr>
        <w:t>0 to 5</w:t>
      </w:r>
      <w:r w:rsidR="00601B65">
        <w:rPr>
          <w:color w:val="000000" w:themeColor="text1"/>
        </w:rPr>
        <w:t>·</w:t>
      </w:r>
      <w:r w:rsidR="00601B65" w:rsidRPr="00837639">
        <w:rPr>
          <w:color w:val="000000" w:themeColor="text1"/>
        </w:rPr>
        <w:t>3 D</w:t>
      </w:r>
      <w:r w:rsidR="00601B65">
        <w:rPr>
          <w:color w:val="000000" w:themeColor="text1"/>
        </w:rPr>
        <w:t>I</w:t>
      </w:r>
      <w:r w:rsidR="00601B65" w:rsidRPr="00837639">
        <w:rPr>
          <w:color w:val="000000" w:themeColor="text1"/>
        </w:rPr>
        <w:t>D</w:t>
      </w:r>
      <w:r w:rsidR="00601B65">
        <w:rPr>
          <w:color w:val="000000" w:themeColor="text1"/>
        </w:rPr>
        <w:t>s</w:t>
      </w:r>
      <w:r w:rsidR="00771FDC">
        <w:rPr>
          <w:color w:val="000000" w:themeColor="text1"/>
        </w:rPr>
        <w:t>),</w:t>
      </w:r>
      <w:r w:rsidR="00573F3C">
        <w:rPr>
          <w:color w:val="000000" w:themeColor="text1"/>
        </w:rPr>
        <w:t xml:space="preserve"> </w:t>
      </w:r>
      <w:r w:rsidR="00771FDC">
        <w:rPr>
          <w:color w:val="000000" w:themeColor="text1"/>
        </w:rPr>
        <w:t>than</w:t>
      </w:r>
      <w:r w:rsidR="00573F3C">
        <w:rPr>
          <w:color w:val="000000" w:themeColor="text1"/>
        </w:rPr>
        <w:t xml:space="preserve"> </w:t>
      </w:r>
      <w:r w:rsidR="00771FDC">
        <w:rPr>
          <w:color w:val="000000" w:themeColor="text1"/>
        </w:rPr>
        <w:t>in high-income countries (HICs; 27</w:t>
      </w:r>
      <w:r w:rsidR="003125FF">
        <w:rPr>
          <w:color w:val="000000" w:themeColor="text1"/>
        </w:rPr>
        <w:t>·</w:t>
      </w:r>
      <w:r w:rsidR="00771FDC">
        <w:rPr>
          <w:color w:val="000000" w:themeColor="text1"/>
        </w:rPr>
        <w:t>9%</w:t>
      </w:r>
      <w:r w:rsidR="00EB6A7C">
        <w:rPr>
          <w:color w:val="000000" w:themeColor="text1"/>
        </w:rPr>
        <w:t xml:space="preserve">; </w:t>
      </w:r>
      <w:r w:rsidR="00842F4B" w:rsidRPr="00837639">
        <w:rPr>
          <w:color w:val="000000" w:themeColor="text1"/>
        </w:rPr>
        <w:t>from 6</w:t>
      </w:r>
      <w:r w:rsidR="00842F4B">
        <w:rPr>
          <w:color w:val="000000" w:themeColor="text1"/>
        </w:rPr>
        <w:t>·</w:t>
      </w:r>
      <w:r w:rsidR="00842F4B" w:rsidRPr="00837639">
        <w:rPr>
          <w:color w:val="000000" w:themeColor="text1"/>
        </w:rPr>
        <w:t>1 to 7</w:t>
      </w:r>
      <w:r w:rsidR="00842F4B">
        <w:rPr>
          <w:color w:val="000000" w:themeColor="text1"/>
        </w:rPr>
        <w:t>·</w:t>
      </w:r>
      <w:r w:rsidR="00842F4B" w:rsidRPr="00837639">
        <w:rPr>
          <w:color w:val="000000" w:themeColor="text1"/>
        </w:rPr>
        <w:t>8 D</w:t>
      </w:r>
      <w:r w:rsidR="00842F4B">
        <w:rPr>
          <w:color w:val="000000" w:themeColor="text1"/>
        </w:rPr>
        <w:t>I</w:t>
      </w:r>
      <w:r w:rsidR="00842F4B" w:rsidRPr="00837639">
        <w:rPr>
          <w:color w:val="000000" w:themeColor="text1"/>
        </w:rPr>
        <w:t>Ds</w:t>
      </w:r>
      <w:r w:rsidR="00771FDC">
        <w:rPr>
          <w:color w:val="000000" w:themeColor="text1"/>
        </w:rPr>
        <w:t>)</w:t>
      </w:r>
      <w:r w:rsidR="00573F3C">
        <w:rPr>
          <w:color w:val="000000" w:themeColor="text1"/>
        </w:rPr>
        <w:t>.</w:t>
      </w:r>
      <w:r w:rsidR="00726EBD">
        <w:rPr>
          <w:color w:val="000000" w:themeColor="text1"/>
        </w:rPr>
        <w:t xml:space="preserve"> </w:t>
      </w:r>
      <w:r w:rsidR="005B63A2">
        <w:rPr>
          <w:color w:val="000000" w:themeColor="text1"/>
        </w:rPr>
        <w:t>T</w:t>
      </w:r>
      <w:r w:rsidR="000C33B6" w:rsidRPr="00104FFD">
        <w:rPr>
          <w:color w:val="000000" w:themeColor="text1"/>
        </w:rPr>
        <w:t xml:space="preserve">he </w:t>
      </w:r>
      <w:r w:rsidR="00D83608" w:rsidRPr="00104FFD">
        <w:rPr>
          <w:color w:val="000000" w:themeColor="text1"/>
        </w:rPr>
        <w:t>Access-to-Watch Index</w:t>
      </w:r>
      <w:r w:rsidR="000C33B6" w:rsidRPr="00104FFD">
        <w:rPr>
          <w:color w:val="000000" w:themeColor="text1"/>
        </w:rPr>
        <w:t xml:space="preserve"> fell </w:t>
      </w:r>
      <w:r w:rsidR="000E6F07" w:rsidRPr="00104FFD">
        <w:rPr>
          <w:color w:val="000000" w:themeColor="text1"/>
        </w:rPr>
        <w:t>34</w:t>
      </w:r>
      <w:r w:rsidR="003125FF">
        <w:rPr>
          <w:color w:val="000000" w:themeColor="text1"/>
        </w:rPr>
        <w:t>·</w:t>
      </w:r>
      <w:r w:rsidR="000E6F07" w:rsidRPr="00104FFD">
        <w:rPr>
          <w:color w:val="000000" w:themeColor="text1"/>
        </w:rPr>
        <w:t>6</w:t>
      </w:r>
      <w:r w:rsidR="000C33B6" w:rsidRPr="00104FFD">
        <w:rPr>
          <w:color w:val="000000" w:themeColor="text1"/>
        </w:rPr>
        <w:t>% over the study period</w:t>
      </w:r>
      <w:r w:rsidR="00D6475D" w:rsidRPr="00104FFD">
        <w:rPr>
          <w:color w:val="000000" w:themeColor="text1"/>
        </w:rPr>
        <w:t xml:space="preserve"> globally</w:t>
      </w:r>
      <w:r w:rsidR="007938C8">
        <w:rPr>
          <w:color w:val="000000" w:themeColor="text1"/>
        </w:rPr>
        <w:t xml:space="preserve"> (</w:t>
      </w:r>
      <w:r w:rsidR="00FF0284">
        <w:rPr>
          <w:color w:val="000000" w:themeColor="text1"/>
        </w:rPr>
        <w:t xml:space="preserve">from </w:t>
      </w:r>
      <w:r w:rsidR="00367B2F" w:rsidRPr="00837639">
        <w:rPr>
          <w:color w:val="000000" w:themeColor="text1"/>
        </w:rPr>
        <w:t>2</w:t>
      </w:r>
      <w:r w:rsidR="00367B2F">
        <w:rPr>
          <w:color w:val="000000" w:themeColor="text1"/>
        </w:rPr>
        <w:t>·</w:t>
      </w:r>
      <w:r w:rsidR="00367B2F" w:rsidRPr="00837639">
        <w:rPr>
          <w:color w:val="000000" w:themeColor="text1"/>
        </w:rPr>
        <w:t>6 to 1</w:t>
      </w:r>
      <w:r w:rsidR="00367B2F">
        <w:rPr>
          <w:color w:val="000000" w:themeColor="text1"/>
        </w:rPr>
        <w:t>·</w:t>
      </w:r>
      <w:r w:rsidR="00367B2F" w:rsidRPr="00837639">
        <w:rPr>
          <w:color w:val="000000" w:themeColor="text1"/>
        </w:rPr>
        <w:t>5</w:t>
      </w:r>
      <w:r w:rsidR="007938C8">
        <w:rPr>
          <w:color w:val="000000" w:themeColor="text1"/>
        </w:rPr>
        <w:t>)</w:t>
      </w:r>
      <w:r w:rsidR="00771FDC">
        <w:rPr>
          <w:color w:val="000000" w:themeColor="text1"/>
        </w:rPr>
        <w:t xml:space="preserve">; </w:t>
      </w:r>
      <w:r w:rsidR="00D83608" w:rsidRPr="00104FFD">
        <w:rPr>
          <w:color w:val="000000" w:themeColor="text1"/>
        </w:rPr>
        <w:t>4</w:t>
      </w:r>
      <w:r w:rsidR="000E6F07" w:rsidRPr="00104FFD">
        <w:rPr>
          <w:color w:val="000000" w:themeColor="text1"/>
        </w:rPr>
        <w:t>6</w:t>
      </w:r>
      <w:r w:rsidR="003125FF">
        <w:rPr>
          <w:color w:val="000000" w:themeColor="text1"/>
        </w:rPr>
        <w:t>·</w:t>
      </w:r>
      <w:r w:rsidR="000E6F07" w:rsidRPr="00104FFD">
        <w:rPr>
          <w:color w:val="000000" w:themeColor="text1"/>
        </w:rPr>
        <w:t>7</w:t>
      </w:r>
      <w:r w:rsidR="00D83608" w:rsidRPr="00104FFD">
        <w:rPr>
          <w:color w:val="000000" w:themeColor="text1"/>
        </w:rPr>
        <w:t xml:space="preserve">% </w:t>
      </w:r>
      <w:r w:rsidR="004617BA" w:rsidRPr="00104FFD">
        <w:rPr>
          <w:color w:val="000000" w:themeColor="text1"/>
        </w:rPr>
        <w:t xml:space="preserve">in </w:t>
      </w:r>
      <w:r w:rsidR="00D83608" w:rsidRPr="00104FFD">
        <w:rPr>
          <w:color w:val="000000" w:themeColor="text1"/>
        </w:rPr>
        <w:t>LMICs</w:t>
      </w:r>
      <w:r w:rsidR="007938C8">
        <w:rPr>
          <w:color w:val="000000" w:themeColor="text1"/>
        </w:rPr>
        <w:t xml:space="preserve"> (</w:t>
      </w:r>
      <w:r w:rsidR="00367B2F" w:rsidRPr="00837639">
        <w:rPr>
          <w:color w:val="000000" w:themeColor="text1"/>
        </w:rPr>
        <w:t>from 3</w:t>
      </w:r>
      <w:r w:rsidR="00367B2F">
        <w:rPr>
          <w:color w:val="000000" w:themeColor="text1"/>
        </w:rPr>
        <w:t>·</w:t>
      </w:r>
      <w:r w:rsidR="00367B2F" w:rsidRPr="00837639">
        <w:rPr>
          <w:color w:val="000000" w:themeColor="text1"/>
        </w:rPr>
        <w:t>0 to 1</w:t>
      </w:r>
      <w:r w:rsidR="00367B2F">
        <w:rPr>
          <w:color w:val="000000" w:themeColor="text1"/>
        </w:rPr>
        <w:t>·</w:t>
      </w:r>
      <w:r w:rsidR="00367B2F" w:rsidRPr="00837639">
        <w:rPr>
          <w:color w:val="000000" w:themeColor="text1"/>
        </w:rPr>
        <w:t>6</w:t>
      </w:r>
      <w:r w:rsidR="007938C8">
        <w:rPr>
          <w:color w:val="000000" w:themeColor="text1"/>
        </w:rPr>
        <w:t xml:space="preserve">) </w:t>
      </w:r>
      <w:r w:rsidR="00771FDC">
        <w:rPr>
          <w:color w:val="000000" w:themeColor="text1"/>
        </w:rPr>
        <w:t xml:space="preserve">and </w:t>
      </w:r>
      <w:r w:rsidR="0021057F">
        <w:rPr>
          <w:color w:val="000000" w:themeColor="text1"/>
        </w:rPr>
        <w:t>16</w:t>
      </w:r>
      <w:r w:rsidR="003125FF">
        <w:rPr>
          <w:color w:val="000000" w:themeColor="text1"/>
        </w:rPr>
        <w:t>·</w:t>
      </w:r>
      <w:r w:rsidR="0021057F">
        <w:rPr>
          <w:color w:val="000000" w:themeColor="text1"/>
        </w:rPr>
        <w:t>7% in HICs</w:t>
      </w:r>
      <w:r w:rsidR="007938C8">
        <w:rPr>
          <w:color w:val="000000" w:themeColor="text1"/>
        </w:rPr>
        <w:t xml:space="preserve"> (</w:t>
      </w:r>
      <w:r w:rsidR="00082C2F" w:rsidRPr="00837639">
        <w:rPr>
          <w:color w:val="000000" w:themeColor="text1"/>
        </w:rPr>
        <w:t>from 1</w:t>
      </w:r>
      <w:r w:rsidR="00082C2F">
        <w:rPr>
          <w:color w:val="000000" w:themeColor="text1"/>
        </w:rPr>
        <w:t>·</w:t>
      </w:r>
      <w:r w:rsidR="00082C2F" w:rsidRPr="00837639">
        <w:rPr>
          <w:color w:val="000000" w:themeColor="text1"/>
        </w:rPr>
        <w:t>8 to 1</w:t>
      </w:r>
      <w:r w:rsidR="00082C2F">
        <w:rPr>
          <w:color w:val="000000" w:themeColor="text1"/>
        </w:rPr>
        <w:t>·</w:t>
      </w:r>
      <w:r w:rsidR="00082C2F" w:rsidRPr="00837639">
        <w:rPr>
          <w:color w:val="000000" w:themeColor="text1"/>
        </w:rPr>
        <w:t>5</w:t>
      </w:r>
      <w:r w:rsidR="007938C8">
        <w:rPr>
          <w:color w:val="000000" w:themeColor="text1"/>
        </w:rPr>
        <w:t>)</w:t>
      </w:r>
      <w:r w:rsidR="00F52B94">
        <w:rPr>
          <w:color w:val="000000" w:themeColor="text1"/>
        </w:rPr>
        <w:t>, and nearly a</w:t>
      </w:r>
      <w:r w:rsidR="004C4230">
        <w:rPr>
          <w:color w:val="000000" w:themeColor="text1"/>
        </w:rPr>
        <w:t>ll LMIC</w:t>
      </w:r>
      <w:r w:rsidR="00F52B94">
        <w:rPr>
          <w:color w:val="000000" w:themeColor="text1"/>
        </w:rPr>
        <w:t>s</w:t>
      </w:r>
      <w:r w:rsidR="004C4230">
        <w:rPr>
          <w:color w:val="000000" w:themeColor="text1"/>
        </w:rPr>
        <w:t xml:space="preserve"> had a decrease in their relative Access-to-Watch consumption</w:t>
      </w:r>
      <w:r w:rsidR="00F52B94">
        <w:rPr>
          <w:color w:val="000000" w:themeColor="text1"/>
        </w:rPr>
        <w:t xml:space="preserve">. </w:t>
      </w:r>
      <w:r w:rsidR="0058118A" w:rsidRPr="00104FFD">
        <w:rPr>
          <w:color w:val="000000" w:themeColor="text1"/>
        </w:rPr>
        <w:t xml:space="preserve">The proportion of countries in which Access antibiotics represented </w:t>
      </w:r>
      <w:r w:rsidR="002877F8">
        <w:rPr>
          <w:color w:val="000000" w:themeColor="text1"/>
        </w:rPr>
        <w:t xml:space="preserve">at least </w:t>
      </w:r>
      <w:r w:rsidR="0058118A" w:rsidRPr="00104FFD">
        <w:rPr>
          <w:color w:val="000000" w:themeColor="text1"/>
        </w:rPr>
        <w:t xml:space="preserve">60% of their total antibiotic </w:t>
      </w:r>
      <w:r w:rsidR="004E3F60">
        <w:rPr>
          <w:color w:val="000000" w:themeColor="text1"/>
        </w:rPr>
        <w:t>consumption</w:t>
      </w:r>
      <w:r w:rsidR="0058118A" w:rsidRPr="00104FFD">
        <w:rPr>
          <w:color w:val="000000" w:themeColor="text1"/>
        </w:rPr>
        <w:t xml:space="preserve"> declined from 76% </w:t>
      </w:r>
      <w:r w:rsidR="00771FDC" w:rsidRPr="00771FDC">
        <w:rPr>
          <w:color w:val="000000" w:themeColor="text1"/>
        </w:rPr>
        <w:t xml:space="preserve">(50 of 66 countries) </w:t>
      </w:r>
      <w:r w:rsidR="00771FDC">
        <w:rPr>
          <w:color w:val="000000" w:themeColor="text1"/>
        </w:rPr>
        <w:t xml:space="preserve">in 2000 </w:t>
      </w:r>
      <w:r w:rsidR="00771FDC" w:rsidRPr="00771FDC">
        <w:rPr>
          <w:color w:val="000000" w:themeColor="text1"/>
        </w:rPr>
        <w:t>to 55% in 2015 (42 of 76 countries)</w:t>
      </w:r>
      <w:r w:rsidR="0058118A" w:rsidRPr="00104FFD">
        <w:rPr>
          <w:color w:val="000000" w:themeColor="text1"/>
        </w:rPr>
        <w:t xml:space="preserve">.  </w:t>
      </w:r>
    </w:p>
    <w:p w14:paraId="6C482C91" w14:textId="77777777" w:rsidR="00D83608" w:rsidRPr="0064134B" w:rsidRDefault="00D83608" w:rsidP="00D83608">
      <w:pPr>
        <w:spacing w:line="480" w:lineRule="auto"/>
        <w:rPr>
          <w:color w:val="000000" w:themeColor="text1"/>
          <w:highlight w:val="yellow"/>
        </w:rPr>
      </w:pPr>
    </w:p>
    <w:p w14:paraId="27E2BA1A" w14:textId="4C644C20" w:rsidR="00D83608" w:rsidRPr="00C5602B" w:rsidRDefault="00F52B94" w:rsidP="00D83608">
      <w:pPr>
        <w:spacing w:line="480" w:lineRule="auto"/>
        <w:rPr>
          <w:b/>
          <w:color w:val="000000" w:themeColor="text1"/>
        </w:rPr>
      </w:pPr>
      <w:r>
        <w:rPr>
          <w:b/>
          <w:color w:val="000000" w:themeColor="text1"/>
        </w:rPr>
        <w:t>Interpretation</w:t>
      </w:r>
    </w:p>
    <w:p w14:paraId="5686B8C3" w14:textId="658C48D3" w:rsidR="00F52B94" w:rsidRDefault="00911B7F" w:rsidP="001C1ADD">
      <w:pPr>
        <w:spacing w:line="480" w:lineRule="auto"/>
        <w:rPr>
          <w:color w:val="000000" w:themeColor="text1"/>
        </w:rPr>
      </w:pPr>
      <w:r>
        <w:rPr>
          <w:color w:val="000000" w:themeColor="text1"/>
        </w:rPr>
        <w:t>Rapid increases in Watch antibiotic consumption, particularly in LMICs, reflect challenges in antibiotic stewardship. Without policy changes</w:t>
      </w:r>
      <w:r w:rsidR="00963C2E">
        <w:rPr>
          <w:color w:val="000000" w:themeColor="text1"/>
        </w:rPr>
        <w:t>,</w:t>
      </w:r>
      <w:r>
        <w:rPr>
          <w:color w:val="000000" w:themeColor="text1"/>
        </w:rPr>
        <w:t xml:space="preserve"> </w:t>
      </w:r>
      <w:r w:rsidR="00A07157">
        <w:rPr>
          <w:rFonts w:eastAsiaTheme="minorHAnsi"/>
          <w:color w:val="000000" w:themeColor="text1"/>
        </w:rPr>
        <w:t>t</w:t>
      </w:r>
      <w:r w:rsidR="00BB5909" w:rsidRPr="00C5602B">
        <w:rPr>
          <w:color w:val="000000" w:themeColor="text1"/>
        </w:rPr>
        <w:t>he WHO</w:t>
      </w:r>
      <w:r w:rsidR="00505FD6">
        <w:rPr>
          <w:color w:val="000000" w:themeColor="text1"/>
        </w:rPr>
        <w:t xml:space="preserve"> country-level</w:t>
      </w:r>
      <w:r w:rsidR="00BB5909" w:rsidRPr="00C5602B">
        <w:rPr>
          <w:color w:val="000000" w:themeColor="text1"/>
        </w:rPr>
        <w:t xml:space="preserve"> target of </w:t>
      </w:r>
      <w:r w:rsidR="001B0C57">
        <w:rPr>
          <w:color w:val="000000" w:themeColor="text1"/>
        </w:rPr>
        <w:t xml:space="preserve">at least </w:t>
      </w:r>
      <w:r w:rsidR="00BB5909">
        <w:rPr>
          <w:color w:val="000000" w:themeColor="text1"/>
        </w:rPr>
        <w:t xml:space="preserve">60% of </w:t>
      </w:r>
      <w:r w:rsidR="00963C2E">
        <w:rPr>
          <w:color w:val="000000" w:themeColor="text1"/>
        </w:rPr>
        <w:t>total an</w:t>
      </w:r>
      <w:r w:rsidR="00D86C54">
        <w:rPr>
          <w:color w:val="000000" w:themeColor="text1"/>
        </w:rPr>
        <w:t>ti</w:t>
      </w:r>
      <w:r w:rsidR="00963C2E">
        <w:rPr>
          <w:color w:val="000000" w:themeColor="text1"/>
        </w:rPr>
        <w:t xml:space="preserve">biotic </w:t>
      </w:r>
      <w:r w:rsidR="00BB5909" w:rsidRPr="00C5602B">
        <w:rPr>
          <w:color w:val="000000" w:themeColor="text1"/>
        </w:rPr>
        <w:t xml:space="preserve">consumption </w:t>
      </w:r>
      <w:r w:rsidR="00BB5909">
        <w:rPr>
          <w:color w:val="000000" w:themeColor="text1"/>
        </w:rPr>
        <w:t xml:space="preserve">being </w:t>
      </w:r>
      <w:r w:rsidR="00963C2E">
        <w:rPr>
          <w:color w:val="000000" w:themeColor="text1"/>
        </w:rPr>
        <w:t xml:space="preserve">in the </w:t>
      </w:r>
      <w:r w:rsidR="00BB5909">
        <w:rPr>
          <w:color w:val="000000" w:themeColor="text1"/>
        </w:rPr>
        <w:t xml:space="preserve">Access </w:t>
      </w:r>
      <w:r w:rsidR="00963C2E">
        <w:rPr>
          <w:color w:val="000000" w:themeColor="text1"/>
        </w:rPr>
        <w:t xml:space="preserve">category </w:t>
      </w:r>
      <w:r w:rsidR="00BB5909" w:rsidRPr="00C5602B">
        <w:rPr>
          <w:color w:val="000000" w:themeColor="text1"/>
        </w:rPr>
        <w:t>by 2023 will likely be difficult to achieve.</w:t>
      </w:r>
      <w:r w:rsidR="00BB5909">
        <w:rPr>
          <w:color w:val="000000" w:themeColor="text1"/>
        </w:rPr>
        <w:t xml:space="preserve"> </w:t>
      </w:r>
      <w:r w:rsidR="001C1ADD">
        <w:rPr>
          <w:color w:val="000000" w:themeColor="text1"/>
        </w:rPr>
        <w:t xml:space="preserve">The AWaRe framework is an important indicator of effectiveness to combat </w:t>
      </w:r>
      <w:r w:rsidR="00E97DD0">
        <w:rPr>
          <w:color w:val="000000" w:themeColor="text1"/>
        </w:rPr>
        <w:t xml:space="preserve">antimicrobial resistance </w:t>
      </w:r>
      <w:r w:rsidR="001C1ADD">
        <w:rPr>
          <w:color w:val="000000" w:themeColor="text1"/>
        </w:rPr>
        <w:t xml:space="preserve">and to </w:t>
      </w:r>
      <w:r w:rsidR="00D83608" w:rsidRPr="00C5602B">
        <w:rPr>
          <w:color w:val="000000" w:themeColor="text1"/>
        </w:rPr>
        <w:t>ensure equal access to effective antibiotics</w:t>
      </w:r>
      <w:r w:rsidR="00CD5F88" w:rsidRPr="00C5602B">
        <w:rPr>
          <w:color w:val="000000" w:themeColor="text1"/>
        </w:rPr>
        <w:t xml:space="preserve">. </w:t>
      </w:r>
      <w:r w:rsidR="00D6475D" w:rsidRPr="00C5602B">
        <w:rPr>
          <w:color w:val="000000" w:themeColor="text1"/>
        </w:rPr>
        <w:t xml:space="preserve">  </w:t>
      </w:r>
    </w:p>
    <w:p w14:paraId="6466B624" w14:textId="77777777" w:rsidR="00F52B94" w:rsidRDefault="00F52B94" w:rsidP="001C1ADD">
      <w:pPr>
        <w:spacing w:line="480" w:lineRule="auto"/>
        <w:rPr>
          <w:color w:val="000000" w:themeColor="text1"/>
        </w:rPr>
      </w:pPr>
    </w:p>
    <w:p w14:paraId="6131FFC1" w14:textId="77777777" w:rsidR="00F52B94" w:rsidRDefault="00F52B94" w:rsidP="001C1ADD">
      <w:pPr>
        <w:spacing w:line="480" w:lineRule="auto"/>
        <w:rPr>
          <w:b/>
          <w:color w:val="000000" w:themeColor="text1"/>
        </w:rPr>
      </w:pPr>
      <w:r w:rsidRPr="008B3B14">
        <w:rPr>
          <w:b/>
          <w:color w:val="000000" w:themeColor="text1"/>
        </w:rPr>
        <w:t>Funding</w:t>
      </w:r>
    </w:p>
    <w:p w14:paraId="323D2567" w14:textId="6A889FFF" w:rsidR="004477DA" w:rsidRPr="004477DA" w:rsidRDefault="004477DA" w:rsidP="004477DA">
      <w:r w:rsidRPr="004477DA">
        <w:rPr>
          <w:color w:val="201F1E"/>
          <w:shd w:val="clear" w:color="auto" w:fill="FFFFFF"/>
        </w:rPr>
        <w:t>US Centers for Disease Control and Prevention</w:t>
      </w:r>
      <w:r w:rsidR="00793F89">
        <w:rPr>
          <w:color w:val="201F1E"/>
          <w:shd w:val="clear" w:color="auto" w:fill="FFFFFF"/>
        </w:rPr>
        <w:t xml:space="preserve"> (</w:t>
      </w:r>
      <w:r w:rsidR="00793F89" w:rsidRPr="008A0DCB">
        <w:rPr>
          <w:color w:val="201F1E"/>
          <w:shd w:val="clear" w:color="auto" w:fill="FFFFFF"/>
        </w:rPr>
        <w:t>IPA 16IPA1609427</w:t>
      </w:r>
      <w:r w:rsidR="00793F89">
        <w:rPr>
          <w:color w:val="201F1E"/>
          <w:shd w:val="clear" w:color="auto" w:fill="FFFFFF"/>
        </w:rPr>
        <w:t>)</w:t>
      </w:r>
      <w:r w:rsidRPr="004477DA">
        <w:rPr>
          <w:color w:val="201F1E"/>
          <w:shd w:val="clear" w:color="auto" w:fill="FFFFFF"/>
        </w:rPr>
        <w:t>.</w:t>
      </w:r>
    </w:p>
    <w:p w14:paraId="60C17861" w14:textId="1A6B9839" w:rsidR="00E7184E" w:rsidRPr="00F52B94" w:rsidRDefault="00E7184E" w:rsidP="001C1ADD">
      <w:pPr>
        <w:spacing w:line="480" w:lineRule="auto"/>
        <w:rPr>
          <w:color w:val="FF0000"/>
        </w:rPr>
      </w:pPr>
      <w:r w:rsidRPr="008B3B14">
        <w:br w:type="page"/>
      </w:r>
    </w:p>
    <w:p w14:paraId="57C9EE41" w14:textId="77777777" w:rsidR="002F59DB" w:rsidRPr="009E2856" w:rsidRDefault="002F59DB" w:rsidP="002F59DB">
      <w:pPr>
        <w:spacing w:line="480" w:lineRule="auto"/>
        <w:rPr>
          <w:b/>
          <w:bCs/>
        </w:rPr>
      </w:pPr>
      <w:r w:rsidRPr="009E2856">
        <w:rPr>
          <w:b/>
          <w:bCs/>
        </w:rPr>
        <w:lastRenderedPageBreak/>
        <w:t xml:space="preserve">Research in context </w:t>
      </w:r>
    </w:p>
    <w:p w14:paraId="78C60D73" w14:textId="77777777" w:rsidR="002F59DB" w:rsidRPr="009E2856" w:rsidRDefault="002F59DB" w:rsidP="002F59DB">
      <w:pPr>
        <w:spacing w:line="480" w:lineRule="auto"/>
        <w:rPr>
          <w:b/>
          <w:bCs/>
        </w:rPr>
      </w:pPr>
    </w:p>
    <w:p w14:paraId="60FEECD0" w14:textId="77777777" w:rsidR="002F59DB" w:rsidRDefault="002F59DB" w:rsidP="002F59DB">
      <w:pPr>
        <w:spacing w:line="480" w:lineRule="auto"/>
      </w:pPr>
      <w:r w:rsidRPr="009E2856">
        <w:rPr>
          <w:b/>
          <w:bCs/>
        </w:rPr>
        <w:t>Evidence before this study</w:t>
      </w:r>
      <w:r>
        <w:rPr>
          <w:b/>
          <w:bCs/>
        </w:rPr>
        <w:t xml:space="preserve"> </w:t>
      </w:r>
    </w:p>
    <w:p w14:paraId="732FDE9B" w14:textId="11815BC3" w:rsidR="002F59DB" w:rsidRDefault="002F59DB" w:rsidP="002F59DB">
      <w:pPr>
        <w:spacing w:line="480" w:lineRule="auto"/>
      </w:pPr>
      <w:r>
        <w:t xml:space="preserve">Given steadily increasing antibiotic consumption and the threat posed by emerging antimicrobial resistance, monitoring global antibiotic consumption is an important </w:t>
      </w:r>
      <w:r w:rsidRPr="00920B59">
        <w:t xml:space="preserve">prerequisite </w:t>
      </w:r>
      <w:r>
        <w:t xml:space="preserve">for informing strategies geared towards optimizing antibiotic use. </w:t>
      </w:r>
      <w:r w:rsidRPr="00920B59">
        <w:t>The World Health</w:t>
      </w:r>
      <w:r>
        <w:t xml:space="preserve"> Organization’s (WHO) AWaRe classification of antibiotics, introduced as part of the updated 2017 Model List of Essential Medicines, was developed to measure and drive improvement in stewardship efforts on global, regional, and national levels. We searched PubMed for studies published up </w:t>
      </w:r>
      <w:r w:rsidRPr="00AC74FD">
        <w:rPr>
          <w:color w:val="000000" w:themeColor="text1"/>
        </w:rPr>
        <w:t xml:space="preserve">to November 2019 that </w:t>
      </w:r>
      <w:r>
        <w:rPr>
          <w:color w:val="000000" w:themeColor="text1"/>
        </w:rPr>
        <w:t xml:space="preserve">documented antibiotic consumption based on AWaRe classification, using the following search strategy: “(“antibiotic”) AND (“consumption” OR “use”) AND (“AWaRe classification”). Relevant publications included four global (covering 56-75 countries) and three local studies (India, Pakistan, Germany), focusing on the years 2011-2016 and 2019. </w:t>
      </w:r>
      <w:r>
        <w:t xml:space="preserve">To our knowledge, no other study has attempted to assess global antibiotic consumption trends based on the AWaRe classification for an extended research timeframe, discussing both pediatric as well as adult antibiotic consumption. </w:t>
      </w:r>
    </w:p>
    <w:p w14:paraId="0E7BCA30" w14:textId="77777777" w:rsidR="002F59DB" w:rsidRDefault="002F59DB" w:rsidP="002F59DB">
      <w:pPr>
        <w:spacing w:line="480" w:lineRule="auto"/>
        <w:rPr>
          <w:b/>
          <w:bCs/>
        </w:rPr>
      </w:pPr>
    </w:p>
    <w:p w14:paraId="3E0839E0" w14:textId="77777777" w:rsidR="002F59DB" w:rsidRDefault="002F59DB" w:rsidP="002F59DB">
      <w:pPr>
        <w:spacing w:line="480" w:lineRule="auto"/>
      </w:pPr>
      <w:r>
        <w:rPr>
          <w:b/>
          <w:bCs/>
        </w:rPr>
        <w:t xml:space="preserve">Added value of this study </w:t>
      </w:r>
    </w:p>
    <w:p w14:paraId="5CA1272E" w14:textId="6A1A4BD0" w:rsidR="002F59DB" w:rsidRDefault="002F59DB" w:rsidP="002F59DB">
      <w:pPr>
        <w:spacing w:line="480" w:lineRule="auto"/>
      </w:pPr>
      <w:r>
        <w:t xml:space="preserve">Here we report patterns of antibiotic consumption based on the AWaRe classification for 76 countries between 2000 and 2015 using data from a global database of antibiotic sales. We provide results in defined daily doses, as used by </w:t>
      </w:r>
      <w:r w:rsidR="00FC270C">
        <w:t xml:space="preserve">the </w:t>
      </w:r>
      <w:r>
        <w:t>WHO, to facilitate the assessment of antibiotic consumption over time and across countries. Focusing on Access and Watch antibiotics, we further describe</w:t>
      </w:r>
      <w:r w:rsidR="000D1F6B">
        <w:t xml:space="preserve"> country</w:t>
      </w:r>
      <w:r>
        <w:t xml:space="preserve"> variability in use using two additional indices, </w:t>
      </w:r>
      <w:r w:rsidR="000D1F6B">
        <w:t xml:space="preserve">the </w:t>
      </w:r>
      <w:r>
        <w:lastRenderedPageBreak/>
        <w:t xml:space="preserve">Access-to-Watch Index and </w:t>
      </w:r>
      <w:r w:rsidR="000D1F6B">
        <w:t xml:space="preserve">the </w:t>
      </w:r>
      <w:r>
        <w:t xml:space="preserve">Amoxicillin Index, which were highly </w:t>
      </w:r>
      <w:r w:rsidR="000D1F6B">
        <w:t xml:space="preserve">variable </w:t>
      </w:r>
      <w:r>
        <w:t>across the income spectrum. The analysis identified considerable differences regarding the desirable dynamic of Access</w:t>
      </w:r>
      <w:r w:rsidR="00FC270C">
        <w:t>-</w:t>
      </w:r>
      <w:r>
        <w:t>to</w:t>
      </w:r>
      <w:r w:rsidR="00FC270C">
        <w:t>-</w:t>
      </w:r>
      <w:r>
        <w:t xml:space="preserve">Watch antibiotic consumption over the study period: the growth in consumption of Watch antibiotics was nearly four times greater in comparison with Access antibiotics. </w:t>
      </w:r>
    </w:p>
    <w:p w14:paraId="2D6903A0" w14:textId="77777777" w:rsidR="002F59DB" w:rsidRDefault="002F59DB" w:rsidP="002F59DB">
      <w:pPr>
        <w:spacing w:line="480" w:lineRule="auto"/>
      </w:pPr>
    </w:p>
    <w:p w14:paraId="30BCEAE4" w14:textId="77777777" w:rsidR="002F59DB" w:rsidRDefault="002F59DB" w:rsidP="002F59DB">
      <w:pPr>
        <w:spacing w:line="480" w:lineRule="auto"/>
      </w:pPr>
      <w:r>
        <w:rPr>
          <w:b/>
          <w:bCs/>
        </w:rPr>
        <w:t xml:space="preserve">Implications of all the available evidence </w:t>
      </w:r>
    </w:p>
    <w:p w14:paraId="61FD1380" w14:textId="3DE5FEBE" w:rsidR="002F59DB" w:rsidRDefault="002F59DB" w:rsidP="002F59DB">
      <w:pPr>
        <w:spacing w:line="480" w:lineRule="auto"/>
        <w:rPr>
          <w:b/>
        </w:rPr>
      </w:pPr>
      <w:r>
        <w:t xml:space="preserve">Evaluating long-term changes in the consumption of Access and Watch antibiotics allows for a better understanding of local patterns of antibiotic use when establishing global consumption goals. The study findings highlight that the WHO target of 60% Access antibiotics being consumed at the country level will be challenging to achieve by 2023, especially in low- and middle-income countries, given the rapid increase in the consumption of Watch antibiotics in contrast with a more modest rise in Access antibiotics. The increasing consumption of Watch antibiotics compared to Access antibiotics is a challenge to global goals of improving appropriate antibiotic use. However the cause of rising consumption likely differs by country, and requires further investigation to ascertain the cause and potential solutions to meet Access-to-Watch targets. </w:t>
      </w:r>
      <w:r>
        <w:rPr>
          <w:b/>
        </w:rPr>
        <w:br w:type="page"/>
      </w:r>
    </w:p>
    <w:p w14:paraId="3F8D6ABB" w14:textId="77570F91" w:rsidR="00EE7EE8" w:rsidRDefault="000726FD" w:rsidP="000726FD">
      <w:pPr>
        <w:spacing w:line="480" w:lineRule="auto"/>
        <w:rPr>
          <w:b/>
        </w:rPr>
      </w:pPr>
      <w:r>
        <w:rPr>
          <w:b/>
        </w:rPr>
        <w:lastRenderedPageBreak/>
        <w:t>INTRODUCTION</w:t>
      </w:r>
    </w:p>
    <w:p w14:paraId="3277ACE3" w14:textId="31A7E066" w:rsidR="00E6218B" w:rsidRDefault="006217D5" w:rsidP="006217D5">
      <w:pPr>
        <w:spacing w:line="480" w:lineRule="auto"/>
        <w:rPr>
          <w:color w:val="000000" w:themeColor="text1"/>
        </w:rPr>
      </w:pPr>
      <w:r>
        <w:t>G</w:t>
      </w:r>
      <w:r w:rsidR="00916CCE">
        <w:t xml:space="preserve">lobal </w:t>
      </w:r>
      <w:r>
        <w:t xml:space="preserve">per capita </w:t>
      </w:r>
      <w:r w:rsidR="00916CCE">
        <w:t xml:space="preserve">antibiotic consumption increased by </w:t>
      </w:r>
      <w:r>
        <w:t>39</w:t>
      </w:r>
      <w:r w:rsidR="00916CCE">
        <w:t>% between 2000 and 2015</w:t>
      </w:r>
      <w:r>
        <w:t xml:space="preserve">, primarily driven by </w:t>
      </w:r>
      <w:r w:rsidR="00012B6B">
        <w:t xml:space="preserve">increases in </w:t>
      </w:r>
      <w:r>
        <w:t>low- and middle-income countries (LMICs).</w:t>
      </w:r>
      <w:r w:rsidR="00007FF8">
        <w:fldChar w:fldCharType="begin"/>
      </w:r>
      <w:r w:rsidR="00224DF9">
        <w:instrText xml:space="preserve"> ADDIN ZOTERO_ITEM CSL_CITATION {"citationID":"a13a0dhsp61","properties":{"formattedCitation":"\\super 1\\nosupersub{}","plainCitation":"1","noteIndex":0},"citationItems":[{"id":3160,"uris":["http://zotero.org/users/local/UM34EoPV/items/96SYUTGJ"],"uri":["http://zotero.org/users/local/UM34EoPV/items/96SYUTGJ"],"itemData":{"id":3160,"type":"article-journal","container-title":"Proceedings of the National Academy of Sciences","DOI":"10.1073/pnas.1717295115","ISSN":"0027-8424, 1091-6490","issue":"15","language":"en","page":"E3463-E3470","source":"Crossref","title":"Global increase and geographic convergence in antibiotic consumption between 2000 and 2015","URL":"http://www.pnas.org/lookup/doi/10.1073/pnas.1717295115","volume":"115","author":[{"family":"Klein","given":"Eili Y."},{"family":"Van Boeckel","given":"Thomas P."},{"family":"Martinez","given":"Elena M."},{"family":"Pant","given":"Suraj"},{"family":"Gandra","given":"Sumanth"},{"family":"Levin","given":"Simon A."},{"family":"Goossens","given":"Herman"},{"family":"Laxminarayan","given":"Ramanan"}],"accessed":{"date-parts":[["2018",7,11]]},"issued":{"date-parts":[["2018",4,10]]}}}],"schema":"https://github.com/citation-style-language/schema/raw/master/csl-citation.json"} </w:instrText>
      </w:r>
      <w:r w:rsidR="00007FF8">
        <w:fldChar w:fldCharType="separate"/>
      </w:r>
      <w:r w:rsidR="00224DF9" w:rsidRPr="005B280F">
        <w:rPr>
          <w:vertAlign w:val="superscript"/>
        </w:rPr>
        <w:t>1</w:t>
      </w:r>
      <w:r w:rsidR="00007FF8">
        <w:fldChar w:fldCharType="end"/>
      </w:r>
      <w:r>
        <w:t xml:space="preserve"> Despite rapid increases in antibiotic consumption, in the majority of LMICs per capita consumption</w:t>
      </w:r>
      <w:r w:rsidR="00DD4B84">
        <w:t xml:space="preserve"> is still considerably lower than</w:t>
      </w:r>
      <w:r>
        <w:t xml:space="preserve"> rates in high-income countries</w:t>
      </w:r>
      <w:r w:rsidR="005602C0">
        <w:t xml:space="preserve"> (HICs)</w:t>
      </w:r>
      <w:r>
        <w:t xml:space="preserve">, and there </w:t>
      </w:r>
      <w:r w:rsidR="008B2C2D">
        <w:t xml:space="preserve">remains </w:t>
      </w:r>
      <w:r>
        <w:t>a significant unmet need for</w:t>
      </w:r>
      <w:r w:rsidR="008B2C2D">
        <w:t xml:space="preserve"> </w:t>
      </w:r>
      <w:r>
        <w:t>antibiotics.</w:t>
      </w:r>
      <w:r w:rsidR="008B2C2D">
        <w:t xml:space="preserve"> Thus, b</w:t>
      </w:r>
      <w:r w:rsidR="00EE7EE8" w:rsidRPr="00BB395B">
        <w:rPr>
          <w:color w:val="000000" w:themeColor="text1"/>
        </w:rPr>
        <w:t>alancing access</w:t>
      </w:r>
      <w:r w:rsidR="00EE7EE8">
        <w:rPr>
          <w:color w:val="000000" w:themeColor="text1"/>
        </w:rPr>
        <w:t xml:space="preserve"> to antibiotics with appropriate use </w:t>
      </w:r>
      <w:r w:rsidR="008371C8">
        <w:rPr>
          <w:color w:val="000000" w:themeColor="text1"/>
        </w:rPr>
        <w:t>is a global challenge</w:t>
      </w:r>
      <w:r w:rsidR="00EE7EE8">
        <w:rPr>
          <w:color w:val="000000" w:themeColor="text1"/>
        </w:rPr>
        <w:t xml:space="preserve">. </w:t>
      </w:r>
      <w:r w:rsidR="008371C8">
        <w:rPr>
          <w:color w:val="000000" w:themeColor="text1"/>
        </w:rPr>
        <w:t xml:space="preserve">In response, the World Health Organization (WHO) introduced the </w:t>
      </w:r>
      <w:r w:rsidR="00EE7EE8" w:rsidRPr="00BB395B">
        <w:rPr>
          <w:color w:val="000000" w:themeColor="text1"/>
        </w:rPr>
        <w:t>AWaRe classification of antibiotics</w:t>
      </w:r>
      <w:r w:rsidR="00D011B8">
        <w:rPr>
          <w:color w:val="000000" w:themeColor="text1"/>
        </w:rPr>
        <w:t xml:space="preserve"> as</w:t>
      </w:r>
      <w:r w:rsidR="008371C8">
        <w:rPr>
          <w:color w:val="000000" w:themeColor="text1"/>
        </w:rPr>
        <w:t xml:space="preserve"> part of </w:t>
      </w:r>
      <w:r w:rsidR="00EE7EE8" w:rsidRPr="00BB395B">
        <w:rPr>
          <w:color w:val="000000"/>
          <w:shd w:val="clear" w:color="auto" w:fill="FFFFFF"/>
        </w:rPr>
        <w:t xml:space="preserve">the 2017 Essential Medicines </w:t>
      </w:r>
      <w:r w:rsidR="00EE7EE8" w:rsidRPr="00BB395B">
        <w:rPr>
          <w:color w:val="000000" w:themeColor="text1"/>
          <w:shd w:val="clear" w:color="auto" w:fill="FFFFFF"/>
        </w:rPr>
        <w:t xml:space="preserve">List </w:t>
      </w:r>
      <w:r w:rsidR="00EE7EE8" w:rsidRPr="00BB395B">
        <w:rPr>
          <w:color w:val="000000"/>
          <w:shd w:val="clear" w:color="auto" w:fill="FFFFFF"/>
        </w:rPr>
        <w:t>(</w:t>
      </w:r>
      <w:r w:rsidR="00EE7EE8" w:rsidRPr="00D3174E">
        <w:rPr>
          <w:color w:val="000000"/>
          <w:shd w:val="clear" w:color="auto" w:fill="FFFFFF"/>
        </w:rPr>
        <w:t>EML</w:t>
      </w:r>
      <w:r w:rsidR="00E3322B">
        <w:rPr>
          <w:color w:val="000000"/>
          <w:shd w:val="clear" w:color="auto" w:fill="FFFFFF"/>
        </w:rPr>
        <w:t>)</w:t>
      </w:r>
      <w:r w:rsidR="000726FD" w:rsidRPr="000C0321">
        <w:rPr>
          <w:color w:val="000000" w:themeColor="text1"/>
        </w:rPr>
        <w:t>.</w:t>
      </w:r>
      <w:r w:rsidR="00007FF8">
        <w:rPr>
          <w:color w:val="000000" w:themeColor="text1"/>
          <w:vertAlign w:val="superscript"/>
        </w:rPr>
        <w:fldChar w:fldCharType="begin"/>
      </w:r>
      <w:r w:rsidR="00224DF9">
        <w:rPr>
          <w:color w:val="000000" w:themeColor="text1"/>
          <w:vertAlign w:val="superscript"/>
        </w:rPr>
        <w:instrText xml:space="preserve"> ADDIN ZOTERO_ITEM CSL_CITATION {"citationID":"amterhbes5","properties":{"formattedCitation":"\\super 2\\nosupersub{}","plainCitation":"2","noteIndex":0},"citationItems":[{"id":3495,"uris":["http://zotero.org/users/local/UM34EoPV/items/L3689B34"],"uri":["http://zotero.org/users/local/UM34EoPV/items/L3689B34"],"itemData":{"id":3495,"type":"report","publisher":"World Health Organization","title":"World Health Organization model list of essential medicines: 21st list 2019","author":[{"family":"Organization","given":"World Health"}],"issued":{"date-parts":[["2019"]]}}}],"schema":"https://github.com/citation-style-language/schema/raw/master/csl-citation.json"} </w:instrText>
      </w:r>
      <w:r w:rsidR="00007FF8">
        <w:rPr>
          <w:color w:val="000000" w:themeColor="text1"/>
          <w:vertAlign w:val="superscript"/>
        </w:rPr>
        <w:fldChar w:fldCharType="separate"/>
      </w:r>
      <w:r w:rsidR="00224DF9" w:rsidRPr="005B280F">
        <w:rPr>
          <w:vertAlign w:val="superscript"/>
        </w:rPr>
        <w:t>2</w:t>
      </w:r>
      <w:r w:rsidR="00007FF8">
        <w:rPr>
          <w:color w:val="000000" w:themeColor="text1"/>
          <w:vertAlign w:val="superscript"/>
        </w:rPr>
        <w:fldChar w:fldCharType="end"/>
      </w:r>
      <w:r w:rsidR="008371C8">
        <w:rPr>
          <w:color w:val="000000" w:themeColor="text1"/>
        </w:rPr>
        <w:t xml:space="preserve"> </w:t>
      </w:r>
      <w:r w:rsidR="00175C81" w:rsidRPr="00D3174E">
        <w:rPr>
          <w:color w:val="000000" w:themeColor="text1"/>
        </w:rPr>
        <w:t>AWaRe categorizes</w:t>
      </w:r>
      <w:r w:rsidR="00175C81" w:rsidRPr="00D3174E">
        <w:rPr>
          <w:color w:val="000000" w:themeColor="text1"/>
          <w:shd w:val="clear" w:color="auto" w:fill="FFFFFF"/>
        </w:rPr>
        <w:t xml:space="preserve"> antibiotics </w:t>
      </w:r>
      <w:r w:rsidR="00175C81" w:rsidRPr="00D3174E">
        <w:rPr>
          <w:color w:val="000000" w:themeColor="text1"/>
        </w:rPr>
        <w:t xml:space="preserve">used </w:t>
      </w:r>
      <w:r w:rsidR="008371C8">
        <w:rPr>
          <w:color w:val="000000" w:themeColor="text1"/>
        </w:rPr>
        <w:t>to treat</w:t>
      </w:r>
      <w:r w:rsidR="00175C81" w:rsidRPr="00D3174E">
        <w:rPr>
          <w:color w:val="000000" w:themeColor="text1"/>
        </w:rPr>
        <w:t xml:space="preserve"> commonly occurring infections</w:t>
      </w:r>
      <w:r w:rsidR="00175C81" w:rsidRPr="00D3174E">
        <w:rPr>
          <w:color w:val="000000" w:themeColor="text1"/>
          <w:shd w:val="clear" w:color="auto" w:fill="FFFFFF"/>
        </w:rPr>
        <w:t xml:space="preserve"> into three groups</w:t>
      </w:r>
      <w:r w:rsidR="00175C81" w:rsidRPr="00BB395B">
        <w:rPr>
          <w:color w:val="000000" w:themeColor="text1"/>
          <w:shd w:val="clear" w:color="auto" w:fill="FFFFFF"/>
        </w:rPr>
        <w:t xml:space="preserve">: Access, Watch, and Reserve. </w:t>
      </w:r>
      <w:r w:rsidR="00175C81" w:rsidRPr="00BB395B">
        <w:rPr>
          <w:color w:val="000000" w:themeColor="text1"/>
        </w:rPr>
        <w:t xml:space="preserve">Access group antibiotics </w:t>
      </w:r>
      <w:r w:rsidR="00CE5578">
        <w:rPr>
          <w:color w:val="000000" w:themeColor="text1"/>
        </w:rPr>
        <w:t xml:space="preserve">are </w:t>
      </w:r>
      <w:r w:rsidR="00963C2E">
        <w:rPr>
          <w:color w:val="000000" w:themeColor="text1"/>
        </w:rPr>
        <w:t>typically</w:t>
      </w:r>
      <w:r w:rsidR="00963C2E" w:rsidRPr="00BB395B">
        <w:rPr>
          <w:color w:val="000000" w:themeColor="text1"/>
        </w:rPr>
        <w:t xml:space="preserve"> </w:t>
      </w:r>
      <w:r w:rsidR="00175C81" w:rsidRPr="00BB395B">
        <w:rPr>
          <w:color w:val="000000" w:themeColor="text1"/>
        </w:rPr>
        <w:t xml:space="preserve">used as </w:t>
      </w:r>
      <w:r w:rsidR="003C57EF" w:rsidRPr="00BB395B">
        <w:rPr>
          <w:color w:val="000000" w:themeColor="text1"/>
        </w:rPr>
        <w:t>first- or second-line</w:t>
      </w:r>
      <w:r w:rsidR="00911B7F">
        <w:rPr>
          <w:color w:val="000000" w:themeColor="text1"/>
        </w:rPr>
        <w:t xml:space="preserve"> therapies</w:t>
      </w:r>
      <w:r w:rsidR="00175C81" w:rsidRPr="00BB395B">
        <w:rPr>
          <w:color w:val="000000" w:themeColor="text1"/>
        </w:rPr>
        <w:t xml:space="preserve"> </w:t>
      </w:r>
      <w:r w:rsidR="00963C2E">
        <w:rPr>
          <w:color w:val="000000" w:themeColor="text1"/>
        </w:rPr>
        <w:t>and</w:t>
      </w:r>
      <w:r w:rsidR="00963C2E" w:rsidRPr="00BB395B">
        <w:rPr>
          <w:color w:val="000000" w:themeColor="text1"/>
        </w:rPr>
        <w:t xml:space="preserve"> </w:t>
      </w:r>
      <w:r w:rsidR="00175C81" w:rsidRPr="00BB395B">
        <w:rPr>
          <w:color w:val="000000" w:themeColor="text1"/>
        </w:rPr>
        <w:t>should be widely available at an affordable cost and of high quality. Watch group antibiotics are recommended only for specific indications</w:t>
      </w:r>
      <w:r w:rsidR="00175C81">
        <w:rPr>
          <w:color w:val="000000" w:themeColor="text1"/>
        </w:rPr>
        <w:t xml:space="preserve"> due to</w:t>
      </w:r>
      <w:r w:rsidR="00175C81" w:rsidRPr="00BB395B">
        <w:rPr>
          <w:color w:val="000000" w:themeColor="text1"/>
        </w:rPr>
        <w:t xml:space="preserve"> </w:t>
      </w:r>
      <w:r w:rsidR="00175C81">
        <w:rPr>
          <w:color w:val="000000" w:themeColor="text1"/>
        </w:rPr>
        <w:t xml:space="preserve">their </w:t>
      </w:r>
      <w:r w:rsidR="00CE5578" w:rsidRPr="00BB395B">
        <w:rPr>
          <w:color w:val="000000" w:themeColor="text1"/>
        </w:rPr>
        <w:t>higher</w:t>
      </w:r>
      <w:r w:rsidR="00175C81" w:rsidRPr="00BB395B">
        <w:rPr>
          <w:color w:val="000000" w:themeColor="text1"/>
        </w:rPr>
        <w:t xml:space="preserve"> resistance potential. Reserve group antibiotics include antibiotics of last resort, the use of which needs to be highly tailored and monitored. With the </w:t>
      </w:r>
      <w:r w:rsidR="00E6218B">
        <w:rPr>
          <w:color w:val="000000" w:themeColor="text1"/>
        </w:rPr>
        <w:t>revision</w:t>
      </w:r>
      <w:r w:rsidR="00175C81" w:rsidRPr="00BB395B">
        <w:rPr>
          <w:color w:val="000000" w:themeColor="text1"/>
        </w:rPr>
        <w:t xml:space="preserve"> of the EML</w:t>
      </w:r>
      <w:r w:rsidR="00E6218B">
        <w:rPr>
          <w:color w:val="000000" w:themeColor="text1"/>
        </w:rPr>
        <w:t xml:space="preserve"> in 2019</w:t>
      </w:r>
      <w:r w:rsidR="008817B0">
        <w:rPr>
          <w:color w:val="000000" w:themeColor="text1"/>
        </w:rPr>
        <w:t>,</w:t>
      </w:r>
      <w:r w:rsidR="00967237">
        <w:rPr>
          <w:color w:val="000000" w:themeColor="text1"/>
          <w:vertAlign w:val="superscript"/>
        </w:rPr>
        <w:fldChar w:fldCharType="begin"/>
      </w:r>
      <w:r w:rsidR="00224DF9">
        <w:rPr>
          <w:color w:val="000000" w:themeColor="text1"/>
          <w:vertAlign w:val="superscript"/>
        </w:rPr>
        <w:instrText xml:space="preserve"> ADDIN ZOTERO_ITEM CSL_CITATION {"citationID":"bS8O0TsT","properties":{"formattedCitation":"\\super 2\\nosupersub{}","plainCitation":"2","noteIndex":0},"citationItems":[{"id":3495,"uris":["http://zotero.org/users/local/UM34EoPV/items/L3689B34"],"uri":["http://zotero.org/users/local/UM34EoPV/items/L3689B34"],"itemData":{"id":3495,"type":"report","publisher":"World Health Organization","title":"World Health Organization model list of essential medicines: 21st list 2019","author":[{"family":"Organization","given":"World Health"}],"issued":{"date-parts":[["2019"]]}}}],"schema":"https://github.com/citation-style-language/schema/raw/master/csl-citation.json"} </w:instrText>
      </w:r>
      <w:r w:rsidR="00967237">
        <w:rPr>
          <w:color w:val="000000" w:themeColor="text1"/>
          <w:vertAlign w:val="superscript"/>
        </w:rPr>
        <w:fldChar w:fldCharType="separate"/>
      </w:r>
      <w:r w:rsidR="00224DF9" w:rsidRPr="005B280F">
        <w:rPr>
          <w:vertAlign w:val="superscript"/>
        </w:rPr>
        <w:t>2</w:t>
      </w:r>
      <w:r w:rsidR="00967237">
        <w:rPr>
          <w:color w:val="000000" w:themeColor="text1"/>
          <w:vertAlign w:val="superscript"/>
        </w:rPr>
        <w:fldChar w:fldCharType="end"/>
      </w:r>
      <w:r w:rsidR="00175C81" w:rsidRPr="00BB395B">
        <w:rPr>
          <w:color w:val="000000" w:themeColor="text1"/>
        </w:rPr>
        <w:t xml:space="preserve"> </w:t>
      </w:r>
      <w:r w:rsidR="00175C81">
        <w:rPr>
          <w:color w:val="000000" w:themeColor="text1"/>
        </w:rPr>
        <w:t>the</w:t>
      </w:r>
      <w:r w:rsidR="00175C81" w:rsidRPr="00BB395B">
        <w:rPr>
          <w:color w:val="000000" w:themeColor="text1"/>
        </w:rPr>
        <w:t xml:space="preserve"> category</w:t>
      </w:r>
      <w:r w:rsidR="00175C81">
        <w:rPr>
          <w:color w:val="000000" w:themeColor="text1"/>
        </w:rPr>
        <w:t xml:space="preserve"> of </w:t>
      </w:r>
      <w:r w:rsidR="00175C81" w:rsidRPr="00BB395B">
        <w:rPr>
          <w:color w:val="000000" w:themeColor="text1"/>
        </w:rPr>
        <w:t xml:space="preserve">Not </w:t>
      </w:r>
      <w:r w:rsidR="00D011B8">
        <w:rPr>
          <w:color w:val="000000" w:themeColor="text1"/>
        </w:rPr>
        <w:t>R</w:t>
      </w:r>
      <w:r w:rsidR="00175C81" w:rsidRPr="00BB395B">
        <w:rPr>
          <w:color w:val="000000" w:themeColor="text1"/>
        </w:rPr>
        <w:t>ecommended antibiotics</w:t>
      </w:r>
      <w:r w:rsidR="00175C81">
        <w:rPr>
          <w:color w:val="000000" w:themeColor="text1"/>
        </w:rPr>
        <w:t xml:space="preserve"> </w:t>
      </w:r>
      <w:r w:rsidR="00175C81" w:rsidRPr="00BB395B">
        <w:rPr>
          <w:color w:val="000000" w:themeColor="text1"/>
        </w:rPr>
        <w:t>was added to the framework</w:t>
      </w:r>
      <w:r w:rsidR="00175C81">
        <w:rPr>
          <w:color w:val="000000" w:themeColor="text1"/>
        </w:rPr>
        <w:t xml:space="preserve">, </w:t>
      </w:r>
      <w:r w:rsidR="00175C81" w:rsidRPr="00BB395B">
        <w:rPr>
          <w:color w:val="000000" w:themeColor="text1"/>
        </w:rPr>
        <w:t>encompass</w:t>
      </w:r>
      <w:r w:rsidR="00175C81">
        <w:rPr>
          <w:color w:val="000000" w:themeColor="text1"/>
        </w:rPr>
        <w:t>ing</w:t>
      </w:r>
      <w:r w:rsidR="00175C81" w:rsidRPr="00BB395B">
        <w:rPr>
          <w:color w:val="000000" w:themeColor="text1"/>
        </w:rPr>
        <w:t xml:space="preserve"> </w:t>
      </w:r>
      <w:r w:rsidR="007B1D3C">
        <w:rPr>
          <w:color w:val="000000" w:themeColor="text1"/>
        </w:rPr>
        <w:t xml:space="preserve">inappropriate </w:t>
      </w:r>
      <w:r w:rsidR="00175C81" w:rsidRPr="00BB395B">
        <w:rPr>
          <w:color w:val="000000" w:themeColor="text1"/>
        </w:rPr>
        <w:t xml:space="preserve">fixed dose combinations of antibiotics that may exacerbate </w:t>
      </w:r>
      <w:r w:rsidR="00E97DD0">
        <w:rPr>
          <w:color w:val="000000" w:themeColor="text1"/>
        </w:rPr>
        <w:t>antimicrobial resistance (AMR)</w:t>
      </w:r>
      <w:r w:rsidR="00175C81" w:rsidRPr="00BB395B">
        <w:rPr>
          <w:color w:val="000000" w:themeColor="text1"/>
        </w:rPr>
        <w:t xml:space="preserve"> and raise concerns about enhanced toxicity.</w:t>
      </w:r>
    </w:p>
    <w:p w14:paraId="2BA49935" w14:textId="77777777" w:rsidR="00E6218B" w:rsidRDefault="00E6218B" w:rsidP="00175C81">
      <w:pPr>
        <w:spacing w:line="480" w:lineRule="auto"/>
        <w:rPr>
          <w:color w:val="000000" w:themeColor="text1"/>
        </w:rPr>
      </w:pPr>
    </w:p>
    <w:p w14:paraId="3DB2B5D1" w14:textId="1168E9E4" w:rsidR="003249CD" w:rsidRDefault="00E6218B" w:rsidP="00D83608">
      <w:pPr>
        <w:spacing w:line="480" w:lineRule="auto"/>
        <w:rPr>
          <w:color w:val="000000" w:themeColor="text1"/>
        </w:rPr>
      </w:pPr>
      <w:r>
        <w:rPr>
          <w:color w:val="000000" w:themeColor="text1"/>
        </w:rPr>
        <w:t>T</w:t>
      </w:r>
      <w:r w:rsidR="00175C81" w:rsidRPr="00BB395B">
        <w:rPr>
          <w:color w:val="000000" w:themeColor="text1"/>
        </w:rPr>
        <w:t xml:space="preserve">he AWaRe classification framework </w:t>
      </w:r>
      <w:r w:rsidR="008371C8">
        <w:rPr>
          <w:color w:val="000000" w:themeColor="text1"/>
        </w:rPr>
        <w:t xml:space="preserve">is designed to </w:t>
      </w:r>
      <w:r w:rsidR="002B6E9C">
        <w:rPr>
          <w:color w:val="000000" w:themeColor="text1"/>
        </w:rPr>
        <w:t>give an indirect indication of the</w:t>
      </w:r>
      <w:r w:rsidR="00175C81" w:rsidRPr="00BB395B">
        <w:rPr>
          <w:color w:val="000000" w:themeColor="text1"/>
        </w:rPr>
        <w:t xml:space="preserve"> appropriateness of antibiotic consumption at national and global levels.</w:t>
      </w:r>
      <w:r w:rsidR="00175C81">
        <w:rPr>
          <w:color w:val="000000" w:themeColor="text1"/>
        </w:rPr>
        <w:t xml:space="preserve"> </w:t>
      </w:r>
      <w:r>
        <w:rPr>
          <w:color w:val="000000" w:themeColor="text1"/>
        </w:rPr>
        <w:t>AWaRe</w:t>
      </w:r>
      <w:r>
        <w:rPr>
          <w:shd w:val="clear" w:color="auto" w:fill="FFFFFF"/>
        </w:rPr>
        <w:t xml:space="preserve"> categories have been used </w:t>
      </w:r>
      <w:r w:rsidR="00EE755A">
        <w:rPr>
          <w:shd w:val="clear" w:color="auto" w:fill="FFFFFF"/>
        </w:rPr>
        <w:t xml:space="preserve">in previous studies </w:t>
      </w:r>
      <w:r>
        <w:rPr>
          <w:shd w:val="clear" w:color="auto" w:fill="FFFFFF"/>
        </w:rPr>
        <w:t xml:space="preserve">to classify </w:t>
      </w:r>
      <w:r w:rsidR="000726FD" w:rsidRPr="00AF3776">
        <w:rPr>
          <w:color w:val="000000" w:themeColor="text1"/>
        </w:rPr>
        <w:t>antibiotic consumption</w:t>
      </w:r>
      <w:r w:rsidR="0043325A">
        <w:rPr>
          <w:color w:val="000000"/>
          <w:kern w:val="36"/>
        </w:rPr>
        <w:t>.</w:t>
      </w:r>
      <w:r w:rsidR="00967237">
        <w:rPr>
          <w:color w:val="000000"/>
          <w:kern w:val="36"/>
        </w:rPr>
        <w:fldChar w:fldCharType="begin"/>
      </w:r>
      <w:r w:rsidR="00224DF9">
        <w:rPr>
          <w:color w:val="000000"/>
          <w:kern w:val="36"/>
        </w:rPr>
        <w:instrText xml:space="preserve"> ADDIN ZOTERO_ITEM CSL_CITATION {"citationID":"a1308oembgs","properties":{"formattedCitation":"\\super 3\\uc0\\u8211{}7\\nosupersub{}","plainCitation":"3–7","noteIndex":0},"citationItems":[{"id":3496,"uris":["http://zotero.org/users/local/UM34EoPV/items/VS5X4QFC"],"uri":["http://zotero.org/users/local/UM34EoPV/items/VS5X4QFC"],"itemData":{"id":3496,"type":"article-journal","container-title":"The Lancet Global Health","DOI":"10.1016/S2214-109X(17)30365-0","ISSN":"2214109X","issue":"11","journalAbbreviation":"The Lancet Global Health","language":"en","page":"e1075-e1076","source":"DOI.org (Crossref)","title":"Access, Watch, and Reserve antibiotics in India: challenges for WHO stewardship","title-short":"Access, Watch, and Reserve antibiotics in India","URL":"https://linkinghub.elsevier.com/retrieve/pii/S2214109X17303650","volume":"5","author":[{"family":"McGettigan","given":"Patricia"},{"family":"Roderick","given":"Peter"},{"family":"Kadam","given":"Abhay"},{"family":"Pollock","given":"Allyson M"}],"accessed":{"date-parts":[["2020",2,26]]},"issued":{"date-parts":[["2017",11]]}}},{"id":3498,"uris":["http://zotero.org/users/local/UM34EoPV/items/SPDSXQTM"],"uri":["http://zotero.org/users/local/UM34EoPV/items/SPDSXQTM"],"itemData":{"id":3498,"type":"article-journal","container-title":"The Lancet Infectious Diseases","DOI":"10.1016/S1473-3099(18)30547-4","ISSN":"14733099","issue":"1","journalAbbreviation":"The Lancet Infectious Diseases","language":"en","page":"67-75","source":"DOI.org (Crossref)","title":"Consumption of oral antibiotic formulations for young children according to the WHO Access, Watch, Reserve (AWaRe) antibiotic groups: an analysis of sales data from 70 middle-income and high-income countries","title-short":"Consumption of oral antibiotic formulations for young children according to the WHO Access, Watch, Reserve (AWaRe) antibiotic groups","URL":"https://linkinghub.elsevier.com/retrieve/pii/S1473309918305474","volume":"19","author":[{"family":"Hsia","given":"Yingfen"},{"family":"Sharland","given":"Mike"},{"family":"Jackson","given":"Charlotte"},{"family":"Wong","given":"Ian C K"},{"family":"Magrini","given":"Nicola"},{"family":"Bielicki","given":"Julia A"}],"accessed":{"date-parts":[["2020",2,26]]},"issued":{"date-parts":[["2019",1]]}}},{"id":3506,"uris":["http://zotero.org/users/local/UM34EoPV/items/UP5AV3KH"],"uri":["http://zotero.org/users/local/UM34EoPV/items/UP5AV3KH"],"itemData":{"id":3506,"type":"article-journal","abstract":"Understanding antimicrobials (AM) on offer in a pharmaceutical market, with a particular reference to drugs categorized as “Watch” active ingredients, is one of the important first steps to prevent their potentially inappropriate use. The March 2019 data of all AM containing registered brands and presentations currently being sold in the country for the J01 Anatomical Therapeutic Chemical (ATC) subgroup from IQVIA Pakistan was used. Each AM was categorized as “Access,” “Watch,” or “Reserve,” according to the WHO AWaRe classification. There were 59 single chemical entities and 14 combinations with 1869 brands and 4648 presentations. The WHO Essential Medicines List included 35 J01 AM while an additional 38 single and combination AM with 425 brands and 977 presentations were present in the country. Looking at the whole list of marketed AM, 8 of the 10 AM with more than 60 brands were classified as “Watch”, offering 962 brands and 2418 presentations. Most AM marketed in Pakistan, of which there are an excessive number of brands, belong to the “Watch” AWaRe category. The higher the number of brands, the higher the marketing pressure on prescribers and pharmacists will be which implies more potential confusion. One vital step to rationalize the use of AM lies in reviewing their market offer.","container-title":"Antibiotics","DOI":"10.3390/antibiotics8040189","ISSN":"2079-6382","issue":"4","journalAbbreviation":"Antibiotics","language":"en","page":"189","source":"DOI.org (Crossref)","title":"Analysis of the Antimicrobial Market in Pakistan: Is It Really Necessary Such a Vast Offering of “Watch” Antimicrobials?","title-short":"Analysis of the Antimicrobial Market in Pakistan","URL":"https://www.mdpi.com/2079-6382/8/4/189","volume":"8","author":[{"family":"Malik","given":"Farrukh"},{"family":"Figueras","given":"Albert"}],"accessed":{"date-parts":[["2020",2,26]]},"issued":{"date-parts":[["2019",10,17]]}}},{"id":3521,"uris":["http://zotero.org/users/local/UM34EoPV/items/QW7QAGSR"],"uri":["http://zotero.org/users/local/UM34EoPV/items/QW7QAGSR"],"itemData":{"id":3521,"type":"article-journal","container-title":"Journal of Antimicrobial Chemotherapy","DOI":"10.1093/jac/dky345","ISSN":"0305-7453, 1460-2091","language":"en","source":"DOI.org (Crossref)","title":"Antibiotic consumption in Germany: first data of a newly implemented web-based tool for local and national surveillance","title-short":"Antibiotic consumption in Germany","URL":"https://academic.oup.com/jac/advance-article/doi/10.1093/jac/dky345/5094533","author":[{"family":"Schweickert","given":"Birgitta"},{"family":"Feig","given":"Marcel"},{"family":"Schneider","given":"Marc"},{"family":"Willrich","given":"Niklas"},{"family":"Behnke","given":"Michael"},{"family":"Peña Diaz","given":"Luis Alberto"},{"family":"Gastmeier","given":"Petra"},{"family":"Richter","given":"Doreen"},{"family":"Blank","given":"Hans-Peter"},{"family":"Eckmanns","given":"Tim"},{"family":"Abu Sin","given":"Muna"}],"accessed":{"date-parts":[["2020",2,26]]},"issued":{"date-parts":[["2018",9,17]]}}},{"id":3537,"uris":["http://zotero.org/users/local/UM34EoPV/items/CMKZP3TZ"],"uri":["http://zotero.org/users/local/UM34EoPV/items/CMKZP3TZ"],"itemData":{"id":3537,"type":"article-journal","container-title":"The Lancet Global Health","DOI":"10.1016/S2214-109X(19)30071-3","ISSN":"2214109X","issue":"7","journalAbbreviation":"The Lancet Global Health","language":"en","page":"e861-e871","source":"DOI.org (Crossref)","title":"Use of the WHO Access, Watch, and Reserve classification to define patterns of hospital antibiotic use (AWaRe): an analysis of paediatric survey data from 56 countries","title-short":"Use of the WHO Access, Watch, and Reserve classification to define patterns of hospital antibiotic use (AWaRe)","URL":"https://linkinghub.elsevier.com/retrieve/pii/S2214109X19300713","volume":"7","author":[{"family":"Hsia","given":"Yingfen"},{"family":"Lee","given":"Brian R"},{"family":"Versporten","given":"Ann"},{"family":"Yang","given":"Yonghong"},{"family":"Bielicki","given":"Julia"},{"family":"Jackson","given":"Charlotte"},{"family":"Newland","given":"Jason"},{"family":"Goossens","given":"Herman"},{"family":"Magrini","given":"Nicola"},{"family":"Sharland","given":"Mike"}],"accessed":{"date-parts":[["2020",2,26]]},"issued":{"date-parts":[["2019",7]]}}}],"schema":"https://github.com/citation-style-language/schema/raw/master/csl-citation.json"} </w:instrText>
      </w:r>
      <w:r w:rsidR="00967237">
        <w:rPr>
          <w:color w:val="000000"/>
          <w:kern w:val="36"/>
        </w:rPr>
        <w:fldChar w:fldCharType="separate"/>
      </w:r>
      <w:r w:rsidR="00224DF9" w:rsidRPr="005B280F">
        <w:rPr>
          <w:vertAlign w:val="superscript"/>
        </w:rPr>
        <w:t>3–7</w:t>
      </w:r>
      <w:r w:rsidR="00967237">
        <w:rPr>
          <w:color w:val="000000"/>
          <w:kern w:val="36"/>
        </w:rPr>
        <w:fldChar w:fldCharType="end"/>
      </w:r>
      <w:r w:rsidR="008371C8">
        <w:rPr>
          <w:color w:val="000000"/>
          <w:kern w:val="36"/>
        </w:rPr>
        <w:t xml:space="preserve"> </w:t>
      </w:r>
      <w:r w:rsidR="0043325A">
        <w:rPr>
          <w:color w:val="000000"/>
          <w:kern w:val="36"/>
        </w:rPr>
        <w:t>H</w:t>
      </w:r>
      <w:r w:rsidR="00EE755A">
        <w:rPr>
          <w:color w:val="000000"/>
          <w:kern w:val="36"/>
        </w:rPr>
        <w:t xml:space="preserve">owever, </w:t>
      </w:r>
      <w:r w:rsidR="00911B7F">
        <w:rPr>
          <w:color w:val="000000"/>
          <w:kern w:val="36"/>
        </w:rPr>
        <w:t>these have been geographically limited or focused</w:t>
      </w:r>
      <w:r w:rsidR="003E2A8C">
        <w:rPr>
          <w:color w:val="000000"/>
          <w:kern w:val="36"/>
        </w:rPr>
        <w:t xml:space="preserve"> mainly</w:t>
      </w:r>
      <w:r w:rsidR="00911B7F">
        <w:rPr>
          <w:color w:val="000000"/>
          <w:kern w:val="36"/>
        </w:rPr>
        <w:t xml:space="preserve"> on pediatric age groups. Thus, </w:t>
      </w:r>
      <w:r w:rsidR="00911B7F">
        <w:rPr>
          <w:color w:val="000000" w:themeColor="text1"/>
        </w:rPr>
        <w:t xml:space="preserve">gaps remain in understanding global patterns of </w:t>
      </w:r>
      <w:r w:rsidR="005C0C5C">
        <w:rPr>
          <w:color w:val="000000" w:themeColor="text1"/>
        </w:rPr>
        <w:t>consumption</w:t>
      </w:r>
      <w:r w:rsidR="00911B7F">
        <w:rPr>
          <w:color w:val="000000" w:themeColor="text1"/>
        </w:rPr>
        <w:t xml:space="preserve"> of essential medicines, particularly with respect to the </w:t>
      </w:r>
      <w:r w:rsidR="008817B0">
        <w:rPr>
          <w:color w:val="000000" w:themeColor="text1"/>
        </w:rPr>
        <w:t xml:space="preserve">changes in the </w:t>
      </w:r>
      <w:r w:rsidR="008817B0">
        <w:rPr>
          <w:shd w:val="clear" w:color="auto" w:fill="FFFFFF"/>
        </w:rPr>
        <w:t xml:space="preserve">relative consumption of Access antibiotics as antibiotic consumption has </w:t>
      </w:r>
      <w:r w:rsidR="008817B0">
        <w:rPr>
          <w:shd w:val="clear" w:color="auto" w:fill="FFFFFF"/>
        </w:rPr>
        <w:lastRenderedPageBreak/>
        <w:t>increased globally,</w:t>
      </w:r>
      <w:r w:rsidR="00967237">
        <w:rPr>
          <w:shd w:val="clear" w:color="auto" w:fill="FFFFFF"/>
        </w:rPr>
        <w:fldChar w:fldCharType="begin"/>
      </w:r>
      <w:r w:rsidR="00224DF9">
        <w:rPr>
          <w:shd w:val="clear" w:color="auto" w:fill="FFFFFF"/>
        </w:rPr>
        <w:instrText xml:space="preserve"> ADDIN ZOTERO_ITEM CSL_CITATION {"citationID":"a1rp5l1j8dl","properties":{"formattedCitation":"\\super 1\\nosupersub{}","plainCitation":"1","noteIndex":0},"citationItems":[{"id":3160,"uris":["http://zotero.org/users/local/UM34EoPV/items/96SYUTGJ"],"uri":["http://zotero.org/users/local/UM34EoPV/items/96SYUTGJ"],"itemData":{"id":3160,"type":"article-journal","container-title":"Proceedings of the National Academy of Sciences","DOI":"10.1073/pnas.1717295115","ISSN":"0027-8424, 1091-6490","issue":"15","language":"en","page":"E3463-E3470","source":"Crossref","title":"Global increase and geographic convergence in antibiotic consumption between 2000 and 2015","URL":"http://www.pnas.org/lookup/doi/10.1073/pnas.1717295115","volume":"115","author":[{"family":"Klein","given":"Eili Y."},{"family":"Van Boeckel","given":"Thomas P."},{"family":"Martinez","given":"Elena M."},{"family":"Pant","given":"Suraj"},{"family":"Gandra","given":"Sumanth"},{"family":"Levin","given":"Simon A."},{"family":"Goossens","given":"Herman"},{"family":"Laxminarayan","given":"Ramanan"}],"accessed":{"date-parts":[["2018",7,11]]},"issued":{"date-parts":[["2018",4,10]]}}}],"schema":"https://github.com/citation-style-language/schema/raw/master/csl-citation.json"} </w:instrText>
      </w:r>
      <w:r w:rsidR="00967237">
        <w:rPr>
          <w:shd w:val="clear" w:color="auto" w:fill="FFFFFF"/>
        </w:rPr>
        <w:fldChar w:fldCharType="separate"/>
      </w:r>
      <w:r w:rsidR="00224DF9" w:rsidRPr="005B280F">
        <w:rPr>
          <w:vertAlign w:val="superscript"/>
        </w:rPr>
        <w:t>1</w:t>
      </w:r>
      <w:r w:rsidR="00967237">
        <w:rPr>
          <w:shd w:val="clear" w:color="auto" w:fill="FFFFFF"/>
        </w:rPr>
        <w:fldChar w:fldCharType="end"/>
      </w:r>
      <w:r w:rsidR="008817B0">
        <w:rPr>
          <w:color w:val="000000" w:themeColor="text1"/>
        </w:rPr>
        <w:t xml:space="preserve"> and how this impacts the W</w:t>
      </w:r>
      <w:r w:rsidR="00911B7F">
        <w:rPr>
          <w:color w:val="000000" w:themeColor="text1"/>
        </w:rPr>
        <w:t xml:space="preserve">HO’s target </w:t>
      </w:r>
      <w:r w:rsidR="00421C04">
        <w:rPr>
          <w:color w:val="000000" w:themeColor="text1"/>
        </w:rPr>
        <w:t xml:space="preserve">that Access antibiotics account </w:t>
      </w:r>
      <w:r w:rsidR="00911B7F">
        <w:rPr>
          <w:color w:val="000000" w:themeColor="text1"/>
        </w:rPr>
        <w:t xml:space="preserve">for </w:t>
      </w:r>
      <w:r w:rsidR="00421C04">
        <w:rPr>
          <w:color w:val="000000" w:themeColor="text1"/>
        </w:rPr>
        <w:t>at least 60% of</w:t>
      </w:r>
      <w:r w:rsidR="00911B7F">
        <w:rPr>
          <w:color w:val="000000" w:themeColor="text1"/>
        </w:rPr>
        <w:t xml:space="preserve"> </w:t>
      </w:r>
      <w:r w:rsidR="00421C04">
        <w:rPr>
          <w:color w:val="000000" w:themeColor="text1"/>
        </w:rPr>
        <w:t>overall antibiotic consumption within a country</w:t>
      </w:r>
      <w:r w:rsidR="005602C0">
        <w:rPr>
          <w:color w:val="000000" w:themeColor="text1"/>
        </w:rPr>
        <w:t xml:space="preserve"> by 2023</w:t>
      </w:r>
      <w:r w:rsidR="00226D7A">
        <w:rPr>
          <w:color w:val="000000" w:themeColor="text1"/>
        </w:rPr>
        <w:t>.</w:t>
      </w:r>
      <w:r w:rsidR="00421C04">
        <w:rPr>
          <w:shd w:val="clear" w:color="auto" w:fill="FFFFFF"/>
        </w:rPr>
        <w:t xml:space="preserve"> </w:t>
      </w:r>
      <w:r w:rsidR="000726FD">
        <w:rPr>
          <w:color w:val="000000" w:themeColor="text1"/>
        </w:rPr>
        <w:t>Here we report on</w:t>
      </w:r>
      <w:r w:rsidR="000726FD" w:rsidRPr="007579B7">
        <w:rPr>
          <w:color w:val="000000" w:themeColor="text1"/>
        </w:rPr>
        <w:t xml:space="preserve"> the current </w:t>
      </w:r>
      <w:r w:rsidR="00310170">
        <w:rPr>
          <w:color w:val="000000" w:themeColor="text1"/>
        </w:rPr>
        <w:t xml:space="preserve">patterns of </w:t>
      </w:r>
      <w:r w:rsidR="000726FD" w:rsidRPr="00F11903">
        <w:rPr>
          <w:color w:val="000000" w:themeColor="text1"/>
        </w:rPr>
        <w:t xml:space="preserve">antibiotic </w:t>
      </w:r>
      <w:r w:rsidR="00171166">
        <w:rPr>
          <w:color w:val="000000" w:themeColor="text1"/>
        </w:rPr>
        <w:t>consumption</w:t>
      </w:r>
      <w:r w:rsidR="000726FD" w:rsidRPr="00F11903">
        <w:rPr>
          <w:color w:val="000000" w:themeColor="text1"/>
        </w:rPr>
        <w:t xml:space="preserve"> </w:t>
      </w:r>
      <w:r w:rsidR="0031510F">
        <w:rPr>
          <w:color w:val="000000" w:themeColor="text1"/>
        </w:rPr>
        <w:t xml:space="preserve">and </w:t>
      </w:r>
      <w:r w:rsidR="000726FD" w:rsidRPr="00FF0866">
        <w:rPr>
          <w:color w:val="000000" w:themeColor="text1"/>
        </w:rPr>
        <w:t xml:space="preserve">evaluate </w:t>
      </w:r>
      <w:r w:rsidR="00310170">
        <w:rPr>
          <w:color w:val="000000" w:themeColor="text1"/>
        </w:rPr>
        <w:t xml:space="preserve">changes in global consumption of antibiotics </w:t>
      </w:r>
      <w:r w:rsidR="00EC7F12" w:rsidRPr="00F11903">
        <w:rPr>
          <w:color w:val="000000" w:themeColor="text1"/>
        </w:rPr>
        <w:t xml:space="preserve">by </w:t>
      </w:r>
      <w:r w:rsidR="00EC7F12">
        <w:rPr>
          <w:color w:val="000000" w:themeColor="text1"/>
        </w:rPr>
        <w:t>AWaRe</w:t>
      </w:r>
      <w:r w:rsidR="00EC7F12" w:rsidRPr="00F11903">
        <w:rPr>
          <w:color w:val="000000" w:themeColor="text1"/>
        </w:rPr>
        <w:t xml:space="preserve"> categories</w:t>
      </w:r>
      <w:r w:rsidR="006D5D3C">
        <w:rPr>
          <w:color w:val="000000" w:themeColor="text1"/>
        </w:rPr>
        <w:t xml:space="preserve"> in the years 2000-2015</w:t>
      </w:r>
      <w:r w:rsidR="004012C2">
        <w:rPr>
          <w:color w:val="000000" w:themeColor="text1"/>
        </w:rPr>
        <w:t>,</w:t>
      </w:r>
      <w:r w:rsidR="00440261">
        <w:rPr>
          <w:color w:val="000000" w:themeColor="text1"/>
        </w:rPr>
        <w:t xml:space="preserve"> based on the most recent revision</w:t>
      </w:r>
      <w:r w:rsidR="00911B7F">
        <w:rPr>
          <w:color w:val="000000" w:themeColor="text1"/>
        </w:rPr>
        <w:t xml:space="preserve"> of the EML</w:t>
      </w:r>
      <w:r w:rsidR="000726FD">
        <w:rPr>
          <w:color w:val="000000" w:themeColor="text1"/>
        </w:rPr>
        <w:t xml:space="preserve">. </w:t>
      </w:r>
      <w:r w:rsidRPr="00BB395B">
        <w:rPr>
          <w:shd w:val="clear" w:color="auto" w:fill="FFFFFF"/>
        </w:rPr>
        <w:t xml:space="preserve"> </w:t>
      </w:r>
    </w:p>
    <w:p w14:paraId="4525DAAE" w14:textId="77777777" w:rsidR="003B48F3" w:rsidRDefault="003B48F3" w:rsidP="003249CD">
      <w:pPr>
        <w:spacing w:line="480" w:lineRule="auto"/>
        <w:rPr>
          <w:b/>
          <w:color w:val="000000" w:themeColor="text1"/>
        </w:rPr>
      </w:pPr>
    </w:p>
    <w:p w14:paraId="7CCF941C" w14:textId="36F3E1AF" w:rsidR="003249CD" w:rsidRPr="00A70D0B" w:rsidRDefault="003249CD" w:rsidP="003249CD">
      <w:pPr>
        <w:spacing w:line="480" w:lineRule="auto"/>
        <w:rPr>
          <w:b/>
          <w:color w:val="000000" w:themeColor="text1"/>
        </w:rPr>
      </w:pPr>
      <w:r w:rsidRPr="00A70D0B">
        <w:rPr>
          <w:b/>
          <w:color w:val="000000" w:themeColor="text1"/>
        </w:rPr>
        <w:t>METHODS</w:t>
      </w:r>
    </w:p>
    <w:p w14:paraId="4271F6AD" w14:textId="384B7F05" w:rsidR="003249CD" w:rsidRPr="00442E68" w:rsidRDefault="003249CD" w:rsidP="003249CD">
      <w:pPr>
        <w:spacing w:line="480" w:lineRule="auto"/>
        <w:rPr>
          <w:lang w:eastAsia="en-GB"/>
        </w:rPr>
      </w:pPr>
      <w:r w:rsidRPr="00A70D0B">
        <w:t>Antibiotic sales data for the years 2000-2015</w:t>
      </w:r>
      <w:r>
        <w:t xml:space="preserve"> </w:t>
      </w:r>
      <w:r w:rsidRPr="00A70D0B">
        <w:t>were obtained from the IQVIA MIDAS database</w:t>
      </w:r>
      <w:r w:rsidR="00A25A93">
        <w:t xml:space="preserve"> (IQVIA, Danbury, Connecticut, USA)</w:t>
      </w:r>
      <w:r w:rsidR="008600A2">
        <w:t>.</w:t>
      </w:r>
      <w:r w:rsidRPr="00A70D0B">
        <w:t xml:space="preserve"> </w:t>
      </w:r>
      <w:r w:rsidR="00F4246E">
        <w:t xml:space="preserve">IQVIA </w:t>
      </w:r>
      <w:r w:rsidR="00095D15">
        <w:t>uses</w:t>
      </w:r>
      <w:r w:rsidR="0007365E">
        <w:t xml:space="preserve"> </w:t>
      </w:r>
      <w:r w:rsidR="00533CBD">
        <w:t xml:space="preserve">national sample surveys </w:t>
      </w:r>
      <w:r w:rsidR="0007365E">
        <w:t>conducted periodically</w:t>
      </w:r>
      <w:r w:rsidR="003E6E4A">
        <w:t xml:space="preserve"> that are</w:t>
      </w:r>
      <w:r w:rsidR="00095D15">
        <w:t xml:space="preserve"> employed with the use of specifically developed algorithms to estimate total volumes of antibiotic sales</w:t>
      </w:r>
      <w:r w:rsidR="003E0144">
        <w:t>.</w:t>
      </w:r>
      <w:r w:rsidR="00095D15">
        <w:t xml:space="preserve"> </w:t>
      </w:r>
      <w:r w:rsidRPr="00A70D0B">
        <w:t xml:space="preserve">The data consisted of quarterly sales for all systemic antibiotic molecules, including combinations, sold in retail and hospital settings for 76 countries, including two regions with aggregated sales data: Central America (Costa Rica, El Salvador, Guatemala, Honduras, Nicaragua, and Panama) and French West Africa (Benin, Burkina Faso, Cameroon, Chad, Côte d’Ivoire, Republic of </w:t>
      </w:r>
      <w:r w:rsidR="000F3522">
        <w:t xml:space="preserve">the </w:t>
      </w:r>
      <w:r w:rsidRPr="00A70D0B">
        <w:t xml:space="preserve">Congo, Guinea, Mali, Niger, Senegal, and Togo). </w:t>
      </w:r>
      <w:r w:rsidRPr="00A70D0B">
        <w:rPr>
          <w:color w:val="000000"/>
        </w:rPr>
        <w:t xml:space="preserve">Data in kilograms were converted into </w:t>
      </w:r>
      <w:r w:rsidR="00C7492B">
        <w:rPr>
          <w:color w:val="000000"/>
        </w:rPr>
        <w:t>defined daily doses (</w:t>
      </w:r>
      <w:r w:rsidRPr="00A70D0B">
        <w:rPr>
          <w:color w:val="000000"/>
        </w:rPr>
        <w:t>DDDs</w:t>
      </w:r>
      <w:r w:rsidR="00C7492B">
        <w:rPr>
          <w:color w:val="000000"/>
        </w:rPr>
        <w:t>)</w:t>
      </w:r>
      <w:r w:rsidRPr="00A70D0B">
        <w:rPr>
          <w:color w:val="000000"/>
        </w:rPr>
        <w:t xml:space="preserve"> using </w:t>
      </w:r>
      <w:r w:rsidRPr="00A70D0B">
        <w:rPr>
          <w:color w:val="000000" w:themeColor="text1"/>
        </w:rPr>
        <w:t xml:space="preserve">the </w:t>
      </w:r>
      <w:r w:rsidR="001E47A0">
        <w:rPr>
          <w:color w:val="000000" w:themeColor="text1"/>
        </w:rPr>
        <w:t xml:space="preserve">2019 </w:t>
      </w:r>
      <w:r w:rsidRPr="00A70D0B">
        <w:rPr>
          <w:color w:val="000000" w:themeColor="text1"/>
        </w:rPr>
        <w:t>WHO Anatomical Therapeutic Chemical Classification System</w:t>
      </w:r>
      <w:r w:rsidR="001E47A0">
        <w:rPr>
          <w:color w:val="000000" w:themeColor="text1"/>
        </w:rPr>
        <w:t xml:space="preserve"> (ATC/DDD)</w:t>
      </w:r>
      <w:r w:rsidRPr="00A70D0B">
        <w:rPr>
          <w:color w:val="000000" w:themeColor="text1"/>
        </w:rPr>
        <w:t xml:space="preserve"> as previously described in Klein et al.</w:t>
      </w:r>
      <w:r w:rsidR="00967237">
        <w:rPr>
          <w:color w:val="000000" w:themeColor="text1"/>
        </w:rPr>
        <w:fldChar w:fldCharType="begin"/>
      </w:r>
      <w:r w:rsidR="00224DF9">
        <w:rPr>
          <w:color w:val="000000" w:themeColor="text1"/>
        </w:rPr>
        <w:instrText xml:space="preserve"> ADDIN ZOTERO_ITEM CSL_CITATION {"citationID":"a1l8oollda4","properties":{"formattedCitation":"\\super 1\\nosupersub{}","plainCitation":"1","noteIndex":0},"citationItems":[{"id":3160,"uris":["http://zotero.org/users/local/UM34EoPV/items/96SYUTGJ"],"uri":["http://zotero.org/users/local/UM34EoPV/items/96SYUTGJ"],"itemData":{"id":3160,"type":"article-journal","container-title":"Proceedings of the National Academy of Sciences","DOI":"10.1073/pnas.1717295115","ISSN":"0027-8424, 1091-6490","issue":"15","language":"en","page":"E3463-E3470","source":"Crossref","title":"Global increase and geographic convergence in antibiotic consumption between 2000 and 2015","URL":"http://www.pnas.org/lookup/doi/10.1073/pnas.1717295115","volume":"115","author":[{"family":"Klein","given":"Eili Y."},{"family":"Van Boeckel","given":"Thomas P."},{"family":"Martinez","given":"Elena M."},{"family":"Pant","given":"Suraj"},{"family":"Gandra","given":"Sumanth"},{"family":"Levin","given":"Simon A."},{"family":"Goossens","given":"Herman"},{"family":"Laxminarayan","given":"Ramanan"}],"accessed":{"date-parts":[["2018",7,11]]},"issued":{"date-parts":[["2018",4,10]]}}}],"schema":"https://github.com/citation-style-language/schema/raw/master/csl-citation.json"} </w:instrText>
      </w:r>
      <w:r w:rsidR="00967237">
        <w:rPr>
          <w:color w:val="000000" w:themeColor="text1"/>
        </w:rPr>
        <w:fldChar w:fldCharType="separate"/>
      </w:r>
      <w:r w:rsidR="00224DF9" w:rsidRPr="005B280F">
        <w:rPr>
          <w:vertAlign w:val="superscript"/>
        </w:rPr>
        <w:t>1</w:t>
      </w:r>
      <w:r w:rsidR="00967237">
        <w:rPr>
          <w:color w:val="000000" w:themeColor="text1"/>
        </w:rPr>
        <w:fldChar w:fldCharType="end"/>
      </w:r>
      <w:r w:rsidR="001E47A0">
        <w:rPr>
          <w:color w:val="000000" w:themeColor="text1"/>
        </w:rPr>
        <w:t xml:space="preserve"> </w:t>
      </w:r>
      <w:r w:rsidR="00D17994">
        <w:rPr>
          <w:color w:val="000000" w:themeColor="text1"/>
        </w:rPr>
        <w:t>Though not all antibiotics sold are consumed, we calculate</w:t>
      </w:r>
      <w:r w:rsidR="009703AD">
        <w:rPr>
          <w:color w:val="000000" w:themeColor="text1"/>
        </w:rPr>
        <w:t>d</w:t>
      </w:r>
      <w:r w:rsidR="00D17994">
        <w:rPr>
          <w:color w:val="000000" w:themeColor="text1"/>
        </w:rPr>
        <w:t xml:space="preserve"> </w:t>
      </w:r>
      <w:r w:rsidR="00D17994">
        <w:rPr>
          <w:color w:val="000000"/>
        </w:rPr>
        <w:t>a</w:t>
      </w:r>
      <w:r w:rsidRPr="00A70D0B">
        <w:rPr>
          <w:color w:val="000000"/>
        </w:rPr>
        <w:t>ntibiotic consumption</w:t>
      </w:r>
      <w:r w:rsidR="000D1F6B">
        <w:rPr>
          <w:color w:val="000000"/>
        </w:rPr>
        <w:t xml:space="preserve"> as the total of sales and </w:t>
      </w:r>
      <w:r w:rsidRPr="00A70D0B">
        <w:rPr>
          <w:color w:val="000000"/>
        </w:rPr>
        <w:t xml:space="preserve">expressed </w:t>
      </w:r>
      <w:r w:rsidR="000D1F6B">
        <w:rPr>
          <w:color w:val="000000"/>
        </w:rPr>
        <w:t xml:space="preserve">this </w:t>
      </w:r>
      <w:r w:rsidRPr="00A70D0B">
        <w:rPr>
          <w:color w:val="000000"/>
        </w:rPr>
        <w:t>as the number of DDDs per 1,000 inhabitants per day</w:t>
      </w:r>
      <w:r w:rsidR="00847BB1">
        <w:rPr>
          <w:color w:val="000000"/>
        </w:rPr>
        <w:t xml:space="preserve"> (DID</w:t>
      </w:r>
      <w:r w:rsidR="00463933">
        <w:rPr>
          <w:color w:val="000000"/>
        </w:rPr>
        <w:t>s</w:t>
      </w:r>
      <w:r w:rsidR="00847BB1">
        <w:rPr>
          <w:color w:val="000000"/>
        </w:rPr>
        <w:t>)</w:t>
      </w:r>
      <w:r>
        <w:rPr>
          <w:color w:val="000000"/>
        </w:rPr>
        <w:t>,</w:t>
      </w:r>
      <w:r w:rsidRPr="00A70D0B">
        <w:rPr>
          <w:color w:val="000000"/>
        </w:rPr>
        <w:t xml:space="preserve"> </w:t>
      </w:r>
      <w:r w:rsidR="00D17994">
        <w:rPr>
          <w:color w:val="000000"/>
        </w:rPr>
        <w:t xml:space="preserve">based </w:t>
      </w:r>
      <w:r w:rsidR="000D1F6B">
        <w:rPr>
          <w:color w:val="000000"/>
        </w:rPr>
        <w:t>on</w:t>
      </w:r>
      <w:r w:rsidR="00D17994">
        <w:rPr>
          <w:color w:val="000000"/>
        </w:rPr>
        <w:t xml:space="preserve"> population estimates from the </w:t>
      </w:r>
      <w:r w:rsidRPr="00A70D0B">
        <w:rPr>
          <w:color w:val="000000"/>
        </w:rPr>
        <w:t>World Bank</w:t>
      </w:r>
      <w:r w:rsidR="00967237">
        <w:rPr>
          <w:color w:val="000000"/>
        </w:rPr>
        <w:t xml:space="preserve"> (data.worldbank.org)</w:t>
      </w:r>
      <w:r w:rsidRPr="00A70D0B">
        <w:rPr>
          <w:color w:val="000000"/>
        </w:rPr>
        <w:t xml:space="preserve">. For inter-country comparisons, countries were grouped </w:t>
      </w:r>
      <w:r w:rsidR="00C5311E">
        <w:rPr>
          <w:color w:val="000000"/>
        </w:rPr>
        <w:t xml:space="preserve">into HICs, lower-middle-income countries (LMIC-LMs, and upper-middle-income countries (LMIC-UMs) </w:t>
      </w:r>
      <w:r w:rsidRPr="00A70D0B">
        <w:rPr>
          <w:color w:val="000000"/>
        </w:rPr>
        <w:t xml:space="preserve">according to the World Bank income classification for the year 2007. </w:t>
      </w:r>
    </w:p>
    <w:p w14:paraId="2911121B" w14:textId="77777777" w:rsidR="003249CD" w:rsidRPr="00A70D0B" w:rsidRDefault="003249CD" w:rsidP="003249CD">
      <w:pPr>
        <w:spacing w:line="480" w:lineRule="auto"/>
        <w:rPr>
          <w:color w:val="000000"/>
        </w:rPr>
      </w:pPr>
    </w:p>
    <w:p w14:paraId="0EF065AF" w14:textId="4B8DB841" w:rsidR="003249CD" w:rsidRPr="00A70D0B" w:rsidRDefault="004C1400" w:rsidP="003249CD">
      <w:pPr>
        <w:spacing w:line="480" w:lineRule="auto"/>
      </w:pPr>
      <w:r w:rsidRPr="00A70D0B">
        <w:t xml:space="preserve">Antibiotics were classified into </w:t>
      </w:r>
      <w:r>
        <w:t xml:space="preserve">the </w:t>
      </w:r>
      <w:r w:rsidRPr="00A70D0B">
        <w:t xml:space="preserve">four </w:t>
      </w:r>
      <w:r>
        <w:t>current AWaRe</w:t>
      </w:r>
      <w:r w:rsidRPr="00A70D0B">
        <w:t xml:space="preserve"> categories: Access, Watch, Reserve,</w:t>
      </w:r>
      <w:r>
        <w:t xml:space="preserve"> and Not Recommended</w:t>
      </w:r>
      <w:r w:rsidRPr="00A70D0B">
        <w:t xml:space="preserve"> </w:t>
      </w:r>
      <w:r>
        <w:t>(</w:t>
      </w:r>
      <w:hyperlink r:id="rId6" w:history="1">
        <w:r w:rsidRPr="001D3E53">
          <w:rPr>
            <w:rStyle w:val="Hyperlink"/>
          </w:rPr>
          <w:t>www.adoptaware.org</w:t>
        </w:r>
      </w:hyperlink>
      <w:r>
        <w:t xml:space="preserve">). </w:t>
      </w:r>
      <w:r w:rsidR="0060078E">
        <w:t xml:space="preserve">Antibiotics not noted in the </w:t>
      </w:r>
      <w:r w:rsidR="00F84747">
        <w:t>AWaRe</w:t>
      </w:r>
      <w:r w:rsidR="0060078E">
        <w:t xml:space="preserve"> classification were </w:t>
      </w:r>
      <w:r w:rsidR="003329CA">
        <w:t xml:space="preserve">categorized </w:t>
      </w:r>
      <w:r w:rsidR="000F3522">
        <w:t xml:space="preserve">into </w:t>
      </w:r>
      <w:r w:rsidR="00E6218B">
        <w:t xml:space="preserve">one of </w:t>
      </w:r>
      <w:r w:rsidR="00596AF3">
        <w:t xml:space="preserve">the four groups </w:t>
      </w:r>
      <w:r w:rsidR="003329CA">
        <w:t>based on expert opinion</w:t>
      </w:r>
      <w:r w:rsidR="00CD691E">
        <w:t xml:space="preserve">. Antibiotics that could not be assigned to the AWaRe categories, were </w:t>
      </w:r>
      <w:r w:rsidR="00284C0B">
        <w:t>left unclassified</w:t>
      </w:r>
      <w:r w:rsidR="00011CCB">
        <w:t xml:space="preserve"> (Supplementary Table 1)</w:t>
      </w:r>
      <w:r w:rsidR="00011CCB" w:rsidRPr="00A70D0B">
        <w:t xml:space="preserve">. </w:t>
      </w:r>
      <w:r w:rsidR="003249CD" w:rsidRPr="00A70D0B">
        <w:t>Following Hsia et al</w:t>
      </w:r>
      <w:r w:rsidR="0060078E">
        <w:t>.</w:t>
      </w:r>
      <w:r w:rsidR="003249CD" w:rsidRPr="00A70D0B">
        <w:t>,</w:t>
      </w:r>
      <w:r w:rsidR="00982702">
        <w:fldChar w:fldCharType="begin"/>
      </w:r>
      <w:r w:rsidR="00982702">
        <w:instrText xml:space="preserve"> ADDIN ZOTERO_ITEM CSL_CITATION {"citationID":"a1fgd660khq","properties":{"formattedCitation":"\\super 4\\nosupersub{}","plainCitation":"4","noteIndex":0},"citationItems":[{"id":3498,"uris":["http://zotero.org/users/local/UM34EoPV/items/SPDSXQTM"],"uri":["http://zotero.org/users/local/UM34EoPV/items/SPDSXQTM"],"itemData":{"id":3498,"type":"article-journal","container-title":"The Lancet Infectious Diseases","DOI":"10.1016/S1473-3099(18)30547-4","ISSN":"14733099","issue":"1","journalAbbreviation":"The Lancet Infectious Diseases","language":"en","page":"67-75","source":"DOI.org (Crossref)","title":"Consumption of oral antibiotic formulations for young children according to the WHO Access, Watch, Reserve (AWaRe) antibiotic groups: an analysis of sales data from 70 middle-income and high-income countries","title-short":"Consumption of oral antibiotic formulations for young children according to the WHO Access, Watch, Reserve (AWaRe) antibiotic groups","URL":"https://linkinghub.elsevier.com/retrieve/pii/S1473309918305474","volume":"19","author":[{"family":"Hsia","given":"Yingfen"},{"family":"Sharland","given":"Mike"},{"family":"Jackson","given":"Charlotte"},{"family":"Wong","given":"Ian C K"},{"family":"Magrini","given":"Nicola"},{"family":"Bielicki","given":"Julia A"}],"accessed":{"date-parts":[["2020",2,26]]},"issued":{"date-parts":[["2019",1]]}}}],"schema":"https://github.com/citation-style-language/schema/raw/master/csl-citation.json"} </w:instrText>
      </w:r>
      <w:r w:rsidR="00982702">
        <w:fldChar w:fldCharType="separate"/>
      </w:r>
      <w:r w:rsidR="00982702" w:rsidRPr="005B280F">
        <w:rPr>
          <w:vertAlign w:val="superscript"/>
        </w:rPr>
        <w:t>4</w:t>
      </w:r>
      <w:r w:rsidR="00982702">
        <w:fldChar w:fldCharType="end"/>
      </w:r>
      <w:r w:rsidR="003249CD" w:rsidRPr="00A70D0B">
        <w:t xml:space="preserve"> we </w:t>
      </w:r>
      <w:r w:rsidR="0060078E">
        <w:t xml:space="preserve">calculated three metrics of </w:t>
      </w:r>
      <w:r w:rsidR="003249CD" w:rsidRPr="00A70D0B">
        <w:t xml:space="preserve">antibiotic consumption </w:t>
      </w:r>
      <w:r w:rsidR="0060078E">
        <w:t>at the country level</w:t>
      </w:r>
      <w:r w:rsidR="003249CD" w:rsidRPr="00A70D0B">
        <w:t>:</w:t>
      </w:r>
    </w:p>
    <w:p w14:paraId="3779B62D" w14:textId="6224751D" w:rsidR="003249CD" w:rsidRPr="00A70D0B" w:rsidRDefault="00FE61C7" w:rsidP="003249CD">
      <w:pPr>
        <w:pStyle w:val="ListParagraph"/>
        <w:numPr>
          <w:ilvl w:val="0"/>
          <w:numId w:val="2"/>
        </w:numPr>
        <w:spacing w:line="480" w:lineRule="auto"/>
      </w:pPr>
      <w:r>
        <w:t>T</w:t>
      </w:r>
      <w:r w:rsidR="003249CD" w:rsidRPr="00A70D0B">
        <w:t xml:space="preserve">he percentage of Access, Watch, Reserve, </w:t>
      </w:r>
      <w:r>
        <w:t xml:space="preserve">and </w:t>
      </w:r>
      <w:r w:rsidR="00601D4E">
        <w:t xml:space="preserve">Not </w:t>
      </w:r>
      <w:r w:rsidR="001A62F4">
        <w:t>R</w:t>
      </w:r>
      <w:r w:rsidR="00601D4E">
        <w:t>ecommended</w:t>
      </w:r>
      <w:r w:rsidR="003249CD" w:rsidRPr="00A70D0B">
        <w:t xml:space="preserve"> antibiotics</w:t>
      </w:r>
      <w:r>
        <w:t>:</w:t>
      </w:r>
      <w:r w:rsidR="003249CD" w:rsidRPr="00A70D0B">
        <w:t xml:space="preserve"> the DDDs of antibiotics in each group divided by the total DDDs</w:t>
      </w:r>
      <w:r>
        <w:t>, by country</w:t>
      </w:r>
      <w:r w:rsidR="000F3522">
        <w:t>;</w:t>
      </w:r>
    </w:p>
    <w:p w14:paraId="534EC0C0" w14:textId="646CBDB9" w:rsidR="003249CD" w:rsidRPr="00A70D0B" w:rsidRDefault="00FE61C7" w:rsidP="003249CD">
      <w:pPr>
        <w:pStyle w:val="ListParagraph"/>
        <w:numPr>
          <w:ilvl w:val="0"/>
          <w:numId w:val="2"/>
        </w:numPr>
        <w:spacing w:line="480" w:lineRule="auto"/>
      </w:pPr>
      <w:r>
        <w:t>T</w:t>
      </w:r>
      <w:r w:rsidR="003249CD" w:rsidRPr="00A70D0B">
        <w:t>he Access-to-Watch Index</w:t>
      </w:r>
      <w:r>
        <w:t xml:space="preserve">: </w:t>
      </w:r>
      <w:r w:rsidR="003249CD" w:rsidRPr="00A70D0B">
        <w:t>the ratio of</w:t>
      </w:r>
      <w:r>
        <w:t xml:space="preserve"> D</w:t>
      </w:r>
      <w:r w:rsidR="0031334A">
        <w:t>I</w:t>
      </w:r>
      <w:r>
        <w:t>Ds of</w:t>
      </w:r>
      <w:r w:rsidR="003249CD" w:rsidRPr="00A70D0B">
        <w:t xml:space="preserve"> Access to Watch antibiotics</w:t>
      </w:r>
      <w:r>
        <w:t>, by country</w:t>
      </w:r>
      <w:r w:rsidR="000F3522">
        <w:t>;</w:t>
      </w:r>
      <w:r w:rsidR="003249CD" w:rsidRPr="00A70D0B">
        <w:t xml:space="preserve"> </w:t>
      </w:r>
    </w:p>
    <w:p w14:paraId="0F456EE1" w14:textId="275B726C" w:rsidR="003249CD" w:rsidRPr="00A70D0B" w:rsidRDefault="00FE61C7" w:rsidP="003249CD">
      <w:pPr>
        <w:pStyle w:val="ListParagraph"/>
        <w:numPr>
          <w:ilvl w:val="0"/>
          <w:numId w:val="2"/>
        </w:numPr>
        <w:spacing w:line="480" w:lineRule="auto"/>
      </w:pPr>
      <w:r>
        <w:t>T</w:t>
      </w:r>
      <w:r w:rsidR="003249CD" w:rsidRPr="00A70D0B">
        <w:t>he Amoxicillin Index</w:t>
      </w:r>
      <w:r>
        <w:t xml:space="preserve">: </w:t>
      </w:r>
      <w:r w:rsidR="003249CD" w:rsidRPr="00A70D0B">
        <w:t>the D</w:t>
      </w:r>
      <w:r w:rsidR="0031334A">
        <w:t>I</w:t>
      </w:r>
      <w:r w:rsidR="003249CD" w:rsidRPr="00A70D0B">
        <w:t>Ds of amoxicillin</w:t>
      </w:r>
      <w:r w:rsidR="003249CD">
        <w:t xml:space="preserve"> </w:t>
      </w:r>
      <w:r w:rsidR="00C8685A">
        <w:t>and penicillin</w:t>
      </w:r>
      <w:r w:rsidR="003249CD" w:rsidRPr="009646B0">
        <w:t xml:space="preserve"> </w:t>
      </w:r>
      <w:r>
        <w:t xml:space="preserve">V </w:t>
      </w:r>
      <w:r w:rsidR="003249CD" w:rsidRPr="00A70D0B">
        <w:t>divided by the total D</w:t>
      </w:r>
      <w:r w:rsidR="0031334A">
        <w:t>I</w:t>
      </w:r>
      <w:r w:rsidR="003249CD" w:rsidRPr="00A70D0B">
        <w:t>Ds</w:t>
      </w:r>
      <w:r>
        <w:t>, by country</w:t>
      </w:r>
      <w:r w:rsidR="003249CD" w:rsidRPr="00A70D0B">
        <w:t xml:space="preserve">. </w:t>
      </w:r>
    </w:p>
    <w:p w14:paraId="0184356E" w14:textId="065C3804" w:rsidR="0019308C" w:rsidRDefault="003249CD" w:rsidP="00D83608">
      <w:pPr>
        <w:spacing w:line="480" w:lineRule="auto"/>
        <w:rPr>
          <w:color w:val="000000" w:themeColor="text1"/>
        </w:rPr>
      </w:pPr>
      <w:r w:rsidRPr="00A70D0B">
        <w:t>We included the Amoxicillin Index because amoxicillin</w:t>
      </w:r>
      <w:r w:rsidR="005021D3">
        <w:t xml:space="preserve"> and penicillin</w:t>
      </w:r>
      <w:r w:rsidRPr="00A70D0B">
        <w:t xml:space="preserve"> </w:t>
      </w:r>
      <w:r w:rsidR="00FE61C7">
        <w:t xml:space="preserve">V are narrow-spectrum drugs that are </w:t>
      </w:r>
      <w:r w:rsidRPr="00A70D0B">
        <w:t xml:space="preserve">common </w:t>
      </w:r>
      <w:r w:rsidR="00FE61C7">
        <w:t xml:space="preserve">effective </w:t>
      </w:r>
      <w:r w:rsidRPr="00A70D0B">
        <w:t>treatment</w:t>
      </w:r>
      <w:r w:rsidR="005021D3">
        <w:t>s</w:t>
      </w:r>
      <w:r w:rsidRPr="00A70D0B">
        <w:t xml:space="preserve"> for respiratory tract infections,</w:t>
      </w:r>
      <w:r w:rsidR="00967237">
        <w:fldChar w:fldCharType="begin"/>
      </w:r>
      <w:r w:rsidR="00224DF9">
        <w:instrText xml:space="preserve"> ADDIN ZOTERO_ITEM CSL_CITATION {"citationID":"a2nvgik0gqc","properties":{"formattedCitation":"\\super 8\\nosupersub{}","plainCitation":"8","noteIndex":0},"citationItems":[{"id":3499,"uris":["http://zotero.org/users/local/UM34EoPV/items/CBCTXVMZ"],"uri":["http://zotero.org/users/local/UM34EoPV/items/CBCTXVMZ"],"itemData":{"id":3499,"type":"article-journal","abstract":"Most antibiotics are prescribed in primary care, and commonly for respiratory tract infections (RTIs). Narrow-spectrum phenoxymethylpenicillin is the antibiotic of choice for RTIs in the Scandinavian countries, while broader spectrum amoxicillin is used in most other European countries. This review summarizes the knowledge of the effect of phenoxymethylpenicillin versus amoxicillin for infections treated in ambulatory care. We searched PubMed/Medline and Embase for trials comparing the clinical effect of phenoxymethylpenicillin and amoxicillin. The Norwegian Knowledge Centre for the Health Services’ checklist was used to assess risk of bias. In total, 1687 studies were identified, and 18 of these fulfilled the inclusion criteria. One additional study was found as a reference. The randomized controlled trials revealed no significant differences in clinical effect in acute sinusitis (three RCTs), GAS tonsillitis (11 RCTs) and Lyme borreliosis (two RCTs). One RCT on community-acquired pneumonia found amoxicillin to be superior, while the results were conflicting in the two RCTs on acute otitis. The results suggest that non-Scandinavian countries should consider phenoxymethylpenicillin as the treatment of choice for RTIs because of its narrower spectrum. More studies should be conducted on the clinical effect of phenoxymethylpenicillin versus amoxicillin for acute otitis and lower RTIs.","container-title":"Antibiotics","DOI":"10.3390/antibiotics7030081","ISSN":"2079-6382","issue":"3","journalAbbreviation":"Antibiotics","language":"en","page":"81","source":"DOI.org (Crossref)","title":"Phenoxymethylpenicillin Versus Amoxicillin for Infections in Ambulatory Care: A Systematic Review","title-short":"Phenoxymethylpenicillin Versus Amoxicillin for Infections in Ambulatory Care","URL":"http://www.mdpi.com/2079-6382/7/3/81","volume":"7","author":[{"family":"Skarpeid","given":"Philip"},{"family":"Høye","given":"Sigurd"}],"accessed":{"date-parts":[["2020",2,26]]},"issued":{"date-parts":[["2018",9,4]]}}}],"schema":"https://github.com/citation-style-language/schema/raw/master/csl-citation.json"} </w:instrText>
      </w:r>
      <w:r w:rsidR="00967237">
        <w:fldChar w:fldCharType="separate"/>
      </w:r>
      <w:r w:rsidR="00224DF9" w:rsidRPr="005B280F">
        <w:rPr>
          <w:vertAlign w:val="superscript"/>
        </w:rPr>
        <w:t>8</w:t>
      </w:r>
      <w:r w:rsidR="00967237">
        <w:fldChar w:fldCharType="end"/>
      </w:r>
      <w:r w:rsidRPr="00A70D0B">
        <w:t xml:space="preserve"> which are, in turn, the primary indication for antibiotic prescriptions </w:t>
      </w:r>
      <w:r w:rsidRPr="00BB240E">
        <w:rPr>
          <w:color w:val="000000" w:themeColor="text1"/>
        </w:rPr>
        <w:t>globall</w:t>
      </w:r>
      <w:r w:rsidR="003A6A5E">
        <w:rPr>
          <w:color w:val="000000" w:themeColor="text1"/>
        </w:rPr>
        <w:t>y</w:t>
      </w:r>
      <w:r w:rsidRPr="00BB240E">
        <w:rPr>
          <w:color w:val="000000" w:themeColor="text1"/>
        </w:rPr>
        <w:t>.</w:t>
      </w:r>
      <w:r w:rsidR="00967237">
        <w:rPr>
          <w:color w:val="000000" w:themeColor="text1"/>
        </w:rPr>
        <w:fldChar w:fldCharType="begin"/>
      </w:r>
      <w:r w:rsidR="00224DF9">
        <w:rPr>
          <w:color w:val="000000" w:themeColor="text1"/>
        </w:rPr>
        <w:instrText xml:space="preserve"> ADDIN ZOTERO_ITEM CSL_CITATION {"citationID":"asot09eed0","properties":{"formattedCitation":"\\super 9,10\\nosupersub{}","plainCitation":"9,10","noteIndex":0},"citationItems":[{"id":3501,"uris":["http://zotero.org/users/local/UM34EoPV/items/U27WXT9X"],"uri":["http://zotero.org/users/local/UM34EoPV/items/U27WXT9X"],"itemData":{"id":3501,"type":"article-journal","container-title":"Journal of Antimicrobial Chemotherapy","DOI":"10.1093/jac/dkt301","ISSN":"1460-2091, 0305-7453","issue":"1","language":"en","page":"234-240","source":"DOI.org (Crossref)","title":"Antibiotic prescribing for adults in ambulatory care in the USA, 2007–09","URL":"https://academic.oup.com/jac/article-lookup/doi/10.1093/jac/dkt301","volume":"69","author":[{"family":"Shapiro","given":"Daniel J."},{"family":"Hicks","given":"Lauri A."},{"family":"Pavia","given":"Andrew T."},{"family":"Hersh","given":"Adam L."}],"accessed":{"date-parts":[["2020",2,26]]},"issued":{"date-parts":[["2014",1]]}}},{"id":3503,"uris":["http://zotero.org/users/local/UM34EoPV/items/F3REDHDB"],"uri":["http://zotero.org/users/local/UM34EoPV/items/F3REDHDB"],"itemData":{"id":3503,"type":"article-journal","abstract":"Upper respiratory tract infections account for millions of visits to family physicians each year in the United States. Although warranted in some cases, antibiotics are greatly overused. This article outlines the guidelines and indications for appropriate antibiotic use for common upper respiratory infections. Early antibiotic treatment may be indicated in patients with acute otitis media, group A beta-hemolytic streptococcal pharyngitis, epiglottitis, or bronchitis caused by pertussis. Persistent cases of rhinosinusitis may necessitate the use of antibiotics if symptoms persist beyond a period of observation. Antibiotics should not be considered in patients with the common cold or laryngitis. Judicious, evidence-based use of antibiotics will help contain costs and prevent adverse effects and drug resistance.","container-title":"American Family Physician","ISSN":"1532-0650","issue":"9","journalAbbreviation":"Am Fam Physician","language":"eng","note":"PMID: 23113461","page":"817-822","source":"PubMed","title":"Antibiotic use in acute upper respiratory tract infections","volume":"86","author":[{"family":"Zoorob","given":"Roger"},{"family":"Sidani","given":"Mohamad A."},{"family":"Fremont","given":"Richard D."},{"family":"Kihlberg","given":"Courtney"}],"issued":{"date-parts":[["2012",11,1]]}}}],"schema":"https://github.com/citation-style-language/schema/raw/master/csl-citation.json"} </w:instrText>
      </w:r>
      <w:r w:rsidR="00967237">
        <w:rPr>
          <w:color w:val="000000" w:themeColor="text1"/>
        </w:rPr>
        <w:fldChar w:fldCharType="separate"/>
      </w:r>
      <w:r w:rsidR="00224DF9" w:rsidRPr="005B280F">
        <w:rPr>
          <w:vertAlign w:val="superscript"/>
        </w:rPr>
        <w:t>9,10</w:t>
      </w:r>
      <w:r w:rsidR="00967237">
        <w:rPr>
          <w:color w:val="000000" w:themeColor="text1"/>
        </w:rPr>
        <w:fldChar w:fldCharType="end"/>
      </w:r>
      <w:r w:rsidRPr="00BB240E">
        <w:rPr>
          <w:color w:val="000000" w:themeColor="text1"/>
        </w:rPr>
        <w:t xml:space="preserve"> </w:t>
      </w:r>
    </w:p>
    <w:p w14:paraId="1FDFC0DC" w14:textId="65F68DCA" w:rsidR="0019308C" w:rsidRPr="000D1F6B" w:rsidRDefault="0019308C" w:rsidP="00D83608">
      <w:pPr>
        <w:spacing w:line="480" w:lineRule="auto"/>
        <w:rPr>
          <w:i/>
          <w:color w:val="000000" w:themeColor="text1"/>
        </w:rPr>
      </w:pPr>
    </w:p>
    <w:p w14:paraId="3EAA5E5E" w14:textId="33F09208" w:rsidR="0019308C" w:rsidRPr="000D1F6B" w:rsidRDefault="0019308C" w:rsidP="00D83608">
      <w:pPr>
        <w:spacing w:line="480" w:lineRule="auto"/>
        <w:rPr>
          <w:b/>
          <w:i/>
          <w:color w:val="000000" w:themeColor="text1"/>
        </w:rPr>
      </w:pPr>
      <w:r w:rsidRPr="000D1F6B">
        <w:rPr>
          <w:b/>
          <w:i/>
          <w:color w:val="000000" w:themeColor="text1"/>
        </w:rPr>
        <w:t>Statistical Analysis</w:t>
      </w:r>
    </w:p>
    <w:p w14:paraId="760A1B8B" w14:textId="55E5EC89" w:rsidR="003249CD" w:rsidRDefault="000170DC" w:rsidP="000170DC">
      <w:pPr>
        <w:spacing w:line="480" w:lineRule="auto"/>
      </w:pPr>
      <w:r>
        <w:rPr>
          <w:color w:val="000000" w:themeColor="text1"/>
        </w:rPr>
        <w:t xml:space="preserve">All data and derived consumption values were calculated using </w:t>
      </w:r>
      <w:r w:rsidRPr="008758EA">
        <w:t>STATA version 14.1 (StataCorp, College Station, TX)</w:t>
      </w:r>
      <w:r>
        <w:t xml:space="preserve">. </w:t>
      </w:r>
      <w:r w:rsidR="0019308C">
        <w:rPr>
          <w:color w:val="000000" w:themeColor="text1"/>
        </w:rPr>
        <w:t>Population consumption rates were calculated as the total DDDs divided by the population total</w:t>
      </w:r>
      <w:r>
        <w:rPr>
          <w:color w:val="000000" w:themeColor="text1"/>
        </w:rPr>
        <w:t xml:space="preserve"> multiplied by 1,000. </w:t>
      </w:r>
      <w:r w:rsidR="00C63CDA">
        <w:t xml:space="preserve"> </w:t>
      </w:r>
      <w:r>
        <w:t>P</w:t>
      </w:r>
      <w:r w:rsidR="00AA5E2E">
        <w:t xml:space="preserve">ercentages </w:t>
      </w:r>
      <w:r>
        <w:t>and</w:t>
      </w:r>
      <w:r w:rsidR="00AA5E2E">
        <w:t xml:space="preserve"> </w:t>
      </w:r>
      <w:r w:rsidR="000457FD">
        <w:t>ratios</w:t>
      </w:r>
      <w:r w:rsidR="00A12E5B">
        <w:t xml:space="preserve"> </w:t>
      </w:r>
      <w:r w:rsidR="000457FD">
        <w:t xml:space="preserve">of AWaRe antibiotics </w:t>
      </w:r>
      <w:r>
        <w:t xml:space="preserve">were calculated as the consumption per category divided by the total, or divided by the other category, respectively. </w:t>
      </w:r>
      <w:r w:rsidR="00227D90">
        <w:t xml:space="preserve">Country level values were summed to generate aggregated values and compared in charts and tables. </w:t>
      </w:r>
      <w:r w:rsidR="001C17DB">
        <w:t xml:space="preserve">Means, standard deviations, medians, and interquartile ranges were calculated </w:t>
      </w:r>
      <w:r w:rsidR="001C17DB">
        <w:lastRenderedPageBreak/>
        <w:t xml:space="preserve">as appropriate. </w:t>
      </w:r>
      <w:r>
        <w:t xml:space="preserve">Confidence intervals </w:t>
      </w:r>
      <w:r w:rsidR="00227D90">
        <w:t xml:space="preserve">for aggregated </w:t>
      </w:r>
      <w:r w:rsidR="00B33794">
        <w:t xml:space="preserve">consumption </w:t>
      </w:r>
      <w:r w:rsidR="00227D90">
        <w:t xml:space="preserve">values </w:t>
      </w:r>
      <w:r>
        <w:t xml:space="preserve">were calculated by applying </w:t>
      </w:r>
      <w:r w:rsidR="00227D90">
        <w:t xml:space="preserve">a fixed </w:t>
      </w:r>
      <w:r>
        <w:t>percentage</w:t>
      </w:r>
      <w:r w:rsidR="002A1774">
        <w:t xml:space="preserve"> of</w:t>
      </w:r>
      <w:r w:rsidR="000263F1">
        <w:t xml:space="preserve"> 5</w:t>
      </w:r>
      <w:r w:rsidR="002A1774">
        <w:t>%</w:t>
      </w:r>
      <w:r>
        <w:t xml:space="preserve"> </w:t>
      </w:r>
      <w:r w:rsidR="000263F1">
        <w:t xml:space="preserve">total </w:t>
      </w:r>
      <w:r>
        <w:t xml:space="preserve">variation. </w:t>
      </w:r>
      <w:r w:rsidR="001C17DB">
        <w:t xml:space="preserve">Where appropriate, the three countries with the highest or lowest values were noted in the text for context on the distribution around the mean or median value presented. </w:t>
      </w:r>
      <w:r w:rsidR="0019308C">
        <w:rPr>
          <w:color w:val="000000" w:themeColor="text1"/>
        </w:rPr>
        <w:t xml:space="preserve"> </w:t>
      </w:r>
    </w:p>
    <w:p w14:paraId="59863D2A" w14:textId="0DE5682D" w:rsidR="000664E3" w:rsidRDefault="000664E3" w:rsidP="00D83608">
      <w:pPr>
        <w:spacing w:line="480" w:lineRule="auto"/>
      </w:pPr>
    </w:p>
    <w:p w14:paraId="43C35C81" w14:textId="2D1CF18B" w:rsidR="000664E3" w:rsidRPr="0017147F" w:rsidRDefault="000664E3" w:rsidP="0017147F">
      <w:pPr>
        <w:autoSpaceDE w:val="0"/>
        <w:autoSpaceDN w:val="0"/>
        <w:adjustRightInd w:val="0"/>
        <w:spacing w:line="480" w:lineRule="auto"/>
        <w:rPr>
          <w:rFonts w:eastAsiaTheme="minorHAnsi"/>
          <w:b/>
          <w:bCs/>
        </w:rPr>
      </w:pPr>
      <w:r w:rsidRPr="0017147F">
        <w:rPr>
          <w:rFonts w:eastAsiaTheme="minorHAnsi"/>
          <w:b/>
          <w:bCs/>
        </w:rPr>
        <w:t>Role of the funding source</w:t>
      </w:r>
    </w:p>
    <w:p w14:paraId="470350A7" w14:textId="30834427" w:rsidR="000664E3" w:rsidRPr="008C48DC" w:rsidRDefault="000664E3" w:rsidP="0017147F">
      <w:pPr>
        <w:spacing w:line="480" w:lineRule="auto"/>
      </w:pPr>
      <w:r w:rsidRPr="005F5954">
        <w:rPr>
          <w:rFonts w:eastAsiaTheme="minorHAnsi"/>
        </w:rPr>
        <w:t>The funders of the study had no role in study design,</w:t>
      </w:r>
      <w:r w:rsidRPr="0017147F">
        <w:rPr>
          <w:rFonts w:eastAsiaTheme="minorHAnsi"/>
        </w:rPr>
        <w:t xml:space="preserve"> data collection, data analysis, data interpretation, or writing of the</w:t>
      </w:r>
      <w:r w:rsidR="005F5954" w:rsidRPr="0017147F">
        <w:rPr>
          <w:rFonts w:eastAsiaTheme="minorHAnsi"/>
        </w:rPr>
        <w:t xml:space="preserve"> study report</w:t>
      </w:r>
      <w:r w:rsidRPr="0017147F">
        <w:rPr>
          <w:rFonts w:eastAsiaTheme="minorHAnsi"/>
        </w:rPr>
        <w:t xml:space="preserve">. The corresponding author had </w:t>
      </w:r>
      <w:r w:rsidRPr="003F5729">
        <w:rPr>
          <w:rFonts w:eastAsiaTheme="minorHAnsi"/>
        </w:rPr>
        <w:t>full access to all the data in the study and had</w:t>
      </w:r>
      <w:r w:rsidRPr="00BE0B70">
        <w:rPr>
          <w:rFonts w:eastAsiaTheme="minorHAnsi"/>
        </w:rPr>
        <w:t xml:space="preserve"> </w:t>
      </w:r>
      <w:r w:rsidRPr="006D52CE">
        <w:rPr>
          <w:rFonts w:eastAsiaTheme="minorHAnsi"/>
        </w:rPr>
        <w:t xml:space="preserve">final responsibility for the decision to submit for </w:t>
      </w:r>
      <w:r w:rsidRPr="00767427">
        <w:rPr>
          <w:rFonts w:eastAsiaTheme="minorHAnsi"/>
        </w:rPr>
        <w:t>publication.</w:t>
      </w:r>
    </w:p>
    <w:p w14:paraId="3A15B801" w14:textId="76F52354" w:rsidR="00CB797B" w:rsidRDefault="00CB797B">
      <w:pPr>
        <w:rPr>
          <w:b/>
          <w:color w:val="000000" w:themeColor="text1"/>
        </w:rPr>
      </w:pPr>
    </w:p>
    <w:p w14:paraId="355943FA" w14:textId="77777777" w:rsidR="00CB797B" w:rsidRDefault="00CB797B">
      <w:pPr>
        <w:rPr>
          <w:b/>
          <w:color w:val="000000" w:themeColor="text1"/>
        </w:rPr>
      </w:pPr>
    </w:p>
    <w:p w14:paraId="013CB4EE" w14:textId="60871AA3" w:rsidR="00E34631" w:rsidRPr="0029648D" w:rsidRDefault="00E34631" w:rsidP="00E34631">
      <w:pPr>
        <w:spacing w:line="480" w:lineRule="auto"/>
        <w:rPr>
          <w:b/>
          <w:color w:val="000000" w:themeColor="text1"/>
        </w:rPr>
      </w:pPr>
      <w:r>
        <w:rPr>
          <w:b/>
          <w:color w:val="000000" w:themeColor="text1"/>
        </w:rPr>
        <w:t>RESULTS</w:t>
      </w:r>
    </w:p>
    <w:p w14:paraId="10F5C8AF" w14:textId="52E1FF3A" w:rsidR="00E34631" w:rsidRPr="003F5729" w:rsidRDefault="00E34631" w:rsidP="00E34631">
      <w:pPr>
        <w:spacing w:line="480" w:lineRule="auto"/>
        <w:rPr>
          <w:b/>
          <w:color w:val="000000" w:themeColor="text1"/>
        </w:rPr>
      </w:pPr>
      <w:r w:rsidRPr="003F5729">
        <w:rPr>
          <w:b/>
          <w:color w:val="000000" w:themeColor="text1"/>
        </w:rPr>
        <w:t xml:space="preserve">Distribution of </w:t>
      </w:r>
      <w:r w:rsidR="00F84747" w:rsidRPr="003F5729">
        <w:rPr>
          <w:b/>
          <w:color w:val="000000" w:themeColor="text1"/>
        </w:rPr>
        <w:t>AWaRe</w:t>
      </w:r>
      <w:r w:rsidRPr="003F5729">
        <w:rPr>
          <w:b/>
          <w:color w:val="000000" w:themeColor="text1"/>
        </w:rPr>
        <w:t xml:space="preserve"> categories</w:t>
      </w:r>
    </w:p>
    <w:p w14:paraId="315E0E7F" w14:textId="47F4E531" w:rsidR="0036108E" w:rsidRPr="00837639" w:rsidRDefault="004C3075" w:rsidP="00E34631">
      <w:pPr>
        <w:spacing w:line="480" w:lineRule="auto"/>
        <w:rPr>
          <w:color w:val="000000" w:themeColor="text1"/>
        </w:rPr>
      </w:pPr>
      <w:r w:rsidRPr="00837639">
        <w:rPr>
          <w:color w:val="000000" w:themeColor="text1"/>
        </w:rPr>
        <w:t>T</w:t>
      </w:r>
      <w:r w:rsidR="00E34631" w:rsidRPr="00837639">
        <w:rPr>
          <w:color w:val="000000" w:themeColor="text1"/>
        </w:rPr>
        <w:t xml:space="preserve">he median antibiotic consumption </w:t>
      </w:r>
      <w:r w:rsidR="00226D7A">
        <w:rPr>
          <w:color w:val="000000" w:themeColor="text1"/>
        </w:rPr>
        <w:t xml:space="preserve">rate </w:t>
      </w:r>
      <w:r w:rsidR="00284C0B">
        <w:rPr>
          <w:color w:val="000000" w:themeColor="text1"/>
        </w:rPr>
        <w:t xml:space="preserve">across countries </w:t>
      </w:r>
      <w:r w:rsidR="00E34631" w:rsidRPr="00837639">
        <w:rPr>
          <w:color w:val="000000" w:themeColor="text1"/>
        </w:rPr>
        <w:t>in 2015 was 17</w:t>
      </w:r>
      <w:r w:rsidR="000262E2">
        <w:rPr>
          <w:color w:val="000000" w:themeColor="text1"/>
        </w:rPr>
        <w:t>·</w:t>
      </w:r>
      <w:r w:rsidR="00E34631" w:rsidRPr="00837639">
        <w:rPr>
          <w:color w:val="000000" w:themeColor="text1"/>
        </w:rPr>
        <w:t xml:space="preserve">2 </w:t>
      </w:r>
      <w:r w:rsidR="00BD72C4" w:rsidRPr="00837639">
        <w:rPr>
          <w:color w:val="000000" w:themeColor="text1"/>
        </w:rPr>
        <w:t>D</w:t>
      </w:r>
      <w:r w:rsidR="00BD72C4">
        <w:rPr>
          <w:color w:val="000000" w:themeColor="text1"/>
        </w:rPr>
        <w:t>I</w:t>
      </w:r>
      <w:r w:rsidR="00BD72C4" w:rsidRPr="00837639">
        <w:rPr>
          <w:color w:val="000000" w:themeColor="text1"/>
        </w:rPr>
        <w:t xml:space="preserve">Ds </w:t>
      </w:r>
      <w:r w:rsidR="00E34631" w:rsidRPr="00837639">
        <w:rPr>
          <w:color w:val="000000" w:themeColor="text1"/>
        </w:rPr>
        <w:t>(IQR 12</w:t>
      </w:r>
      <w:r w:rsidR="00B1337B">
        <w:rPr>
          <w:color w:val="000000" w:themeColor="text1"/>
        </w:rPr>
        <w:t>·</w:t>
      </w:r>
      <w:r w:rsidR="00E34631" w:rsidRPr="00837639">
        <w:rPr>
          <w:color w:val="000000" w:themeColor="text1"/>
        </w:rPr>
        <w:t>3-24</w:t>
      </w:r>
      <w:r w:rsidR="00B1337B">
        <w:rPr>
          <w:color w:val="000000" w:themeColor="text1"/>
        </w:rPr>
        <w:t>·</w:t>
      </w:r>
      <w:r w:rsidR="00E34631" w:rsidRPr="00837639">
        <w:rPr>
          <w:color w:val="000000" w:themeColor="text1"/>
        </w:rPr>
        <w:t>3)</w:t>
      </w:r>
      <w:r w:rsidR="005B280F">
        <w:rPr>
          <w:color w:val="000000" w:themeColor="text1"/>
        </w:rPr>
        <w:t xml:space="preserve">. </w:t>
      </w:r>
      <w:r w:rsidR="00E34631" w:rsidRPr="00837639">
        <w:rPr>
          <w:color w:val="000000" w:themeColor="text1"/>
        </w:rPr>
        <w:t xml:space="preserve">Access group antibiotic </w:t>
      </w:r>
      <w:r w:rsidR="00D17994">
        <w:rPr>
          <w:color w:val="000000" w:themeColor="text1"/>
        </w:rPr>
        <w:t>consumption</w:t>
      </w:r>
      <w:r w:rsidR="00D17994" w:rsidRPr="00837639">
        <w:rPr>
          <w:color w:val="000000" w:themeColor="text1"/>
        </w:rPr>
        <w:t xml:space="preserve"> </w:t>
      </w:r>
      <w:r w:rsidR="00E34631" w:rsidRPr="00837639">
        <w:rPr>
          <w:color w:val="000000" w:themeColor="text1"/>
        </w:rPr>
        <w:t>accounted for 6</w:t>
      </w:r>
      <w:r w:rsidR="00FF5FB2" w:rsidRPr="00837639">
        <w:rPr>
          <w:color w:val="000000" w:themeColor="text1"/>
        </w:rPr>
        <w:t>0</w:t>
      </w:r>
      <w:r w:rsidR="00B1337B">
        <w:rPr>
          <w:color w:val="000000" w:themeColor="text1"/>
        </w:rPr>
        <w:t>·</w:t>
      </w:r>
      <w:r w:rsidR="00FF5FB2" w:rsidRPr="00837639">
        <w:rPr>
          <w:color w:val="000000" w:themeColor="text1"/>
        </w:rPr>
        <w:t>6</w:t>
      </w:r>
      <w:r w:rsidR="00E34631" w:rsidRPr="00837639">
        <w:rPr>
          <w:color w:val="000000" w:themeColor="text1"/>
        </w:rPr>
        <w:t xml:space="preserve">% </w:t>
      </w:r>
      <w:r w:rsidR="00CF22CC">
        <w:rPr>
          <w:color w:val="000000" w:themeColor="text1"/>
        </w:rPr>
        <w:t xml:space="preserve">of total </w:t>
      </w:r>
      <w:r w:rsidR="00DC64F5">
        <w:rPr>
          <w:color w:val="000000" w:themeColor="text1"/>
        </w:rPr>
        <w:t xml:space="preserve">antibiotic </w:t>
      </w:r>
      <w:r w:rsidR="00D17994">
        <w:rPr>
          <w:color w:val="000000" w:themeColor="text1"/>
        </w:rPr>
        <w:t>consumption</w:t>
      </w:r>
      <w:r w:rsidR="00CF22CC">
        <w:rPr>
          <w:color w:val="000000" w:themeColor="text1"/>
        </w:rPr>
        <w:t xml:space="preserve"> </w:t>
      </w:r>
      <w:r w:rsidR="00E34631" w:rsidRPr="00837639">
        <w:rPr>
          <w:color w:val="000000" w:themeColor="text1"/>
        </w:rPr>
        <w:t>(IQR 54</w:t>
      </w:r>
      <w:r w:rsidR="00B1337B">
        <w:rPr>
          <w:color w:val="000000" w:themeColor="text1"/>
        </w:rPr>
        <w:t>·</w:t>
      </w:r>
      <w:r w:rsidR="00E34631" w:rsidRPr="00837639">
        <w:rPr>
          <w:color w:val="000000" w:themeColor="text1"/>
        </w:rPr>
        <w:t>3-68</w:t>
      </w:r>
      <w:r w:rsidR="00B1337B">
        <w:rPr>
          <w:color w:val="000000" w:themeColor="text1"/>
        </w:rPr>
        <w:t>·</w:t>
      </w:r>
      <w:r w:rsidR="00FF5FB2" w:rsidRPr="00837639">
        <w:rPr>
          <w:color w:val="000000" w:themeColor="text1"/>
        </w:rPr>
        <w:t>5</w:t>
      </w:r>
      <w:r w:rsidR="00E34631" w:rsidRPr="00837639">
        <w:rPr>
          <w:color w:val="000000" w:themeColor="text1"/>
        </w:rPr>
        <w:t>), ranging from 83</w:t>
      </w:r>
      <w:r w:rsidR="00B1337B">
        <w:rPr>
          <w:color w:val="000000" w:themeColor="text1"/>
        </w:rPr>
        <w:t>·</w:t>
      </w:r>
      <w:r w:rsidR="00E34631" w:rsidRPr="00837639">
        <w:rPr>
          <w:color w:val="000000" w:themeColor="text1"/>
        </w:rPr>
        <w:t>7% (358</w:t>
      </w:r>
      <w:r w:rsidR="00B1337B">
        <w:rPr>
          <w:color w:val="000000" w:themeColor="text1"/>
        </w:rPr>
        <w:t>·</w:t>
      </w:r>
      <w:r w:rsidR="00E34631" w:rsidRPr="00837639">
        <w:rPr>
          <w:color w:val="000000" w:themeColor="text1"/>
        </w:rPr>
        <w:t>8 of 428</w:t>
      </w:r>
      <w:r w:rsidR="00B1337B">
        <w:rPr>
          <w:color w:val="000000" w:themeColor="text1"/>
        </w:rPr>
        <w:t>·</w:t>
      </w:r>
      <w:r w:rsidR="002B3164" w:rsidRPr="00837639">
        <w:rPr>
          <w:color w:val="000000" w:themeColor="text1"/>
        </w:rPr>
        <w:t>6</w:t>
      </w:r>
      <w:r w:rsidR="00E34631" w:rsidRPr="00837639">
        <w:rPr>
          <w:color w:val="000000" w:themeColor="text1"/>
        </w:rPr>
        <w:t xml:space="preserve"> million DDDs) in Algeria to 13</w:t>
      </w:r>
      <w:r w:rsidR="0062189F">
        <w:rPr>
          <w:color w:val="000000" w:themeColor="text1"/>
        </w:rPr>
        <w:t>·</w:t>
      </w:r>
      <w:r w:rsidR="00E34631" w:rsidRPr="00837639">
        <w:rPr>
          <w:color w:val="000000" w:themeColor="text1"/>
        </w:rPr>
        <w:t>9% (92</w:t>
      </w:r>
      <w:r w:rsidR="0062189F">
        <w:rPr>
          <w:color w:val="000000" w:themeColor="text1"/>
        </w:rPr>
        <w:t>·</w:t>
      </w:r>
      <w:r w:rsidR="002D2749" w:rsidRPr="00837639">
        <w:rPr>
          <w:color w:val="000000" w:themeColor="text1"/>
        </w:rPr>
        <w:t>3</w:t>
      </w:r>
      <w:r w:rsidR="00E34631" w:rsidRPr="00837639">
        <w:rPr>
          <w:color w:val="000000" w:themeColor="text1"/>
        </w:rPr>
        <w:t xml:space="preserve"> of 665</w:t>
      </w:r>
      <w:r w:rsidR="0062189F">
        <w:rPr>
          <w:color w:val="000000" w:themeColor="text1"/>
        </w:rPr>
        <w:t>·</w:t>
      </w:r>
      <w:r w:rsidR="00E34631" w:rsidRPr="00837639">
        <w:rPr>
          <w:color w:val="000000" w:themeColor="text1"/>
        </w:rPr>
        <w:t xml:space="preserve">1 million DDDs) in Japan (Figure 1). In 2015, </w:t>
      </w:r>
      <w:r w:rsidR="00E34631" w:rsidRPr="00837639">
        <w:rPr>
          <w:color w:val="000000" w:themeColor="text1"/>
          <w:shd w:val="clear" w:color="auto" w:fill="FFFFFF"/>
        </w:rPr>
        <w:t>4</w:t>
      </w:r>
      <w:r w:rsidR="00C87525" w:rsidRPr="00837639">
        <w:rPr>
          <w:color w:val="000000" w:themeColor="text1"/>
          <w:shd w:val="clear" w:color="auto" w:fill="FFFFFF"/>
        </w:rPr>
        <w:t>2</w:t>
      </w:r>
      <w:r w:rsidR="00E34631" w:rsidRPr="00837639">
        <w:rPr>
          <w:color w:val="000000" w:themeColor="text1"/>
          <w:shd w:val="clear" w:color="auto" w:fill="FFFFFF"/>
        </w:rPr>
        <w:t xml:space="preserve"> out of 76 countries</w:t>
      </w:r>
      <w:r w:rsidRPr="00837639">
        <w:rPr>
          <w:color w:val="000000" w:themeColor="text1"/>
          <w:shd w:val="clear" w:color="auto" w:fill="FFFFFF"/>
        </w:rPr>
        <w:t xml:space="preserve"> </w:t>
      </w:r>
      <w:r w:rsidR="00986068" w:rsidRPr="00837639">
        <w:rPr>
          <w:color w:val="000000" w:themeColor="text1"/>
          <w:shd w:val="clear" w:color="auto" w:fill="FFFFFF"/>
        </w:rPr>
        <w:t>(55</w:t>
      </w:r>
      <w:r w:rsidR="0062189F">
        <w:rPr>
          <w:color w:val="000000" w:themeColor="text1"/>
          <w:shd w:val="clear" w:color="auto" w:fill="FFFFFF"/>
        </w:rPr>
        <w:t>·</w:t>
      </w:r>
      <w:r w:rsidR="00986068" w:rsidRPr="00837639">
        <w:rPr>
          <w:color w:val="000000" w:themeColor="text1"/>
          <w:shd w:val="clear" w:color="auto" w:fill="FFFFFF"/>
        </w:rPr>
        <w:t>3%)</w:t>
      </w:r>
      <w:r w:rsidR="00E34631" w:rsidRPr="00837639">
        <w:rPr>
          <w:color w:val="000000" w:themeColor="text1"/>
          <w:shd w:val="clear" w:color="auto" w:fill="FFFFFF"/>
        </w:rPr>
        <w:t xml:space="preserve"> met the WHO target of </w:t>
      </w:r>
      <w:r w:rsidR="006164A4">
        <w:rPr>
          <w:color w:val="000000" w:themeColor="text1"/>
          <w:shd w:val="clear" w:color="auto" w:fill="FFFFFF"/>
        </w:rPr>
        <w:t xml:space="preserve">at least </w:t>
      </w:r>
      <w:r w:rsidR="00E34631" w:rsidRPr="00837639">
        <w:rPr>
          <w:color w:val="000000" w:themeColor="text1"/>
          <w:shd w:val="clear" w:color="auto" w:fill="FFFFFF"/>
        </w:rPr>
        <w:t xml:space="preserve">60% </w:t>
      </w:r>
      <w:r w:rsidR="005B0058" w:rsidRPr="00837639">
        <w:rPr>
          <w:color w:val="000000" w:themeColor="text1"/>
          <w:shd w:val="clear" w:color="auto" w:fill="FFFFFF"/>
        </w:rPr>
        <w:t xml:space="preserve">Access </w:t>
      </w:r>
      <w:r w:rsidR="00E34631" w:rsidRPr="00837639">
        <w:rPr>
          <w:color w:val="000000" w:themeColor="text1"/>
          <w:shd w:val="clear" w:color="auto" w:fill="FFFFFF"/>
        </w:rPr>
        <w:t xml:space="preserve">antibiotics to reduce AMR. </w:t>
      </w:r>
      <w:r w:rsidR="00284C0B">
        <w:rPr>
          <w:color w:val="000000" w:themeColor="text1"/>
          <w:shd w:val="clear" w:color="auto" w:fill="FFFFFF"/>
        </w:rPr>
        <w:t xml:space="preserve">The majority of non-Access antibiotic </w:t>
      </w:r>
      <w:r w:rsidR="00D17994">
        <w:rPr>
          <w:color w:val="000000" w:themeColor="text1"/>
          <w:shd w:val="clear" w:color="auto" w:fill="FFFFFF"/>
        </w:rPr>
        <w:t xml:space="preserve">consumption </w:t>
      </w:r>
      <w:r w:rsidR="00284C0B">
        <w:rPr>
          <w:color w:val="000000" w:themeColor="text1"/>
          <w:shd w:val="clear" w:color="auto" w:fill="FFFFFF"/>
        </w:rPr>
        <w:t xml:space="preserve">was from </w:t>
      </w:r>
      <w:r w:rsidR="00E34631" w:rsidRPr="00837639">
        <w:rPr>
          <w:color w:val="000000" w:themeColor="text1"/>
        </w:rPr>
        <w:t>Watch antibiotic</w:t>
      </w:r>
      <w:r w:rsidR="00284C0B">
        <w:rPr>
          <w:color w:val="000000" w:themeColor="text1"/>
        </w:rPr>
        <w:t>s, which accounted for</w:t>
      </w:r>
      <w:r w:rsidRPr="00837639">
        <w:rPr>
          <w:color w:val="000000" w:themeColor="text1"/>
        </w:rPr>
        <w:t xml:space="preserve"> </w:t>
      </w:r>
      <w:r w:rsidR="00E34631" w:rsidRPr="00837639">
        <w:rPr>
          <w:color w:val="000000" w:themeColor="text1"/>
        </w:rPr>
        <w:t>3</w:t>
      </w:r>
      <w:r w:rsidR="00325776" w:rsidRPr="00837639">
        <w:rPr>
          <w:color w:val="000000" w:themeColor="text1"/>
        </w:rPr>
        <w:t>8</w:t>
      </w:r>
      <w:r w:rsidR="0062189F">
        <w:rPr>
          <w:color w:val="000000" w:themeColor="text1"/>
        </w:rPr>
        <w:t>·</w:t>
      </w:r>
      <w:r w:rsidR="0021794B" w:rsidRPr="00837639">
        <w:rPr>
          <w:color w:val="000000" w:themeColor="text1"/>
        </w:rPr>
        <w:t>6</w:t>
      </w:r>
      <w:r w:rsidR="00E34631" w:rsidRPr="00837639">
        <w:rPr>
          <w:color w:val="000000" w:themeColor="text1"/>
        </w:rPr>
        <w:t>% (IQR 3</w:t>
      </w:r>
      <w:r w:rsidR="00820143" w:rsidRPr="00837639">
        <w:rPr>
          <w:color w:val="000000" w:themeColor="text1"/>
        </w:rPr>
        <w:t>1</w:t>
      </w:r>
      <w:r w:rsidR="0062189F">
        <w:rPr>
          <w:color w:val="000000" w:themeColor="text1"/>
        </w:rPr>
        <w:t>·</w:t>
      </w:r>
      <w:r w:rsidR="00820143" w:rsidRPr="00837639">
        <w:rPr>
          <w:color w:val="000000" w:themeColor="text1"/>
        </w:rPr>
        <w:t>1</w:t>
      </w:r>
      <w:r w:rsidR="00E34631" w:rsidRPr="00837639">
        <w:rPr>
          <w:color w:val="000000" w:themeColor="text1"/>
        </w:rPr>
        <w:t>-45</w:t>
      </w:r>
      <w:r w:rsidR="0062189F">
        <w:rPr>
          <w:color w:val="000000" w:themeColor="text1"/>
        </w:rPr>
        <w:t>·</w:t>
      </w:r>
      <w:r w:rsidR="00820143" w:rsidRPr="00837639">
        <w:rPr>
          <w:color w:val="000000" w:themeColor="text1"/>
        </w:rPr>
        <w:t>6</w:t>
      </w:r>
      <w:r w:rsidR="00E34631" w:rsidRPr="00837639">
        <w:rPr>
          <w:color w:val="000000" w:themeColor="text1"/>
        </w:rPr>
        <w:t>)</w:t>
      </w:r>
      <w:r w:rsidR="00284C0B">
        <w:rPr>
          <w:color w:val="000000" w:themeColor="text1"/>
        </w:rPr>
        <w:t xml:space="preserve"> of consumption</w:t>
      </w:r>
      <w:r w:rsidR="004B5B34">
        <w:rPr>
          <w:color w:val="000000" w:themeColor="text1"/>
        </w:rPr>
        <w:t xml:space="preserve">. </w:t>
      </w:r>
      <w:r w:rsidR="00284C0B">
        <w:rPr>
          <w:color w:val="000000" w:themeColor="text1"/>
        </w:rPr>
        <w:t xml:space="preserve">Relative </w:t>
      </w:r>
      <w:r w:rsidR="00D17994">
        <w:rPr>
          <w:color w:val="000000" w:themeColor="text1"/>
          <w:shd w:val="clear" w:color="auto" w:fill="FFFFFF"/>
        </w:rPr>
        <w:t xml:space="preserve">consumption </w:t>
      </w:r>
      <w:r w:rsidR="00284C0B">
        <w:rPr>
          <w:color w:val="000000" w:themeColor="text1"/>
        </w:rPr>
        <w:t xml:space="preserve">of Watch drugs </w:t>
      </w:r>
      <w:r w:rsidR="004B5B34">
        <w:rPr>
          <w:color w:val="000000" w:themeColor="text1"/>
        </w:rPr>
        <w:t>was highest in Japan</w:t>
      </w:r>
      <w:r w:rsidR="00284C0B">
        <w:rPr>
          <w:color w:val="000000" w:themeColor="text1"/>
        </w:rPr>
        <w:t xml:space="preserve"> (</w:t>
      </w:r>
      <w:r w:rsidR="004B5B34">
        <w:rPr>
          <w:color w:val="000000" w:themeColor="text1"/>
        </w:rPr>
        <w:t>84</w:t>
      </w:r>
      <w:r w:rsidR="0062189F">
        <w:rPr>
          <w:color w:val="000000" w:themeColor="text1"/>
        </w:rPr>
        <w:t>·</w:t>
      </w:r>
      <w:r w:rsidR="004B5B34">
        <w:rPr>
          <w:color w:val="000000" w:themeColor="text1"/>
        </w:rPr>
        <w:t>0%</w:t>
      </w:r>
      <w:r w:rsidR="00111A17">
        <w:rPr>
          <w:color w:val="000000" w:themeColor="text1"/>
        </w:rPr>
        <w:t xml:space="preserve"> </w:t>
      </w:r>
      <w:r w:rsidR="00284C0B">
        <w:rPr>
          <w:color w:val="000000" w:themeColor="text1"/>
        </w:rPr>
        <w:t>[</w:t>
      </w:r>
      <w:r w:rsidR="004B5B34">
        <w:rPr>
          <w:color w:val="000000" w:themeColor="text1"/>
        </w:rPr>
        <w:t>558</w:t>
      </w:r>
      <w:r w:rsidR="0062189F">
        <w:rPr>
          <w:color w:val="000000" w:themeColor="text1"/>
        </w:rPr>
        <w:t>·</w:t>
      </w:r>
      <w:r w:rsidR="004B5B34">
        <w:rPr>
          <w:color w:val="000000" w:themeColor="text1"/>
        </w:rPr>
        <w:t>3 of 665</w:t>
      </w:r>
      <w:r w:rsidR="0062189F">
        <w:rPr>
          <w:color w:val="000000" w:themeColor="text1"/>
        </w:rPr>
        <w:t>·</w:t>
      </w:r>
      <w:r w:rsidR="004B5B34">
        <w:rPr>
          <w:color w:val="000000" w:themeColor="text1"/>
        </w:rPr>
        <w:t>1 million DDDs</w:t>
      </w:r>
      <w:r w:rsidR="00284C0B">
        <w:rPr>
          <w:color w:val="000000" w:themeColor="text1"/>
        </w:rPr>
        <w:t>])</w:t>
      </w:r>
      <w:r w:rsidR="004B5B34">
        <w:rPr>
          <w:color w:val="000000" w:themeColor="text1"/>
        </w:rPr>
        <w:t xml:space="preserve"> and lowest in Algeria</w:t>
      </w:r>
      <w:r w:rsidR="00111A17">
        <w:rPr>
          <w:color w:val="000000" w:themeColor="text1"/>
        </w:rPr>
        <w:t xml:space="preserve"> </w:t>
      </w:r>
      <w:r w:rsidR="00284C0B">
        <w:rPr>
          <w:color w:val="000000" w:themeColor="text1"/>
        </w:rPr>
        <w:t>(</w:t>
      </w:r>
      <w:r w:rsidR="00111A17">
        <w:rPr>
          <w:color w:val="000000" w:themeColor="text1"/>
        </w:rPr>
        <w:t>16</w:t>
      </w:r>
      <w:r w:rsidR="0062189F">
        <w:rPr>
          <w:color w:val="000000" w:themeColor="text1"/>
        </w:rPr>
        <w:t>·</w:t>
      </w:r>
      <w:r w:rsidR="00111A17">
        <w:rPr>
          <w:color w:val="000000" w:themeColor="text1"/>
        </w:rPr>
        <w:t>3%</w:t>
      </w:r>
      <w:r w:rsidR="004B5B34">
        <w:rPr>
          <w:color w:val="000000" w:themeColor="text1"/>
        </w:rPr>
        <w:t xml:space="preserve"> </w:t>
      </w:r>
      <w:r w:rsidR="00284C0B">
        <w:rPr>
          <w:color w:val="000000" w:themeColor="text1"/>
        </w:rPr>
        <w:t>[</w:t>
      </w:r>
      <w:r w:rsidR="00975CD3">
        <w:rPr>
          <w:color w:val="000000" w:themeColor="text1"/>
        </w:rPr>
        <w:t>69</w:t>
      </w:r>
      <w:r w:rsidR="0062189F">
        <w:rPr>
          <w:color w:val="000000" w:themeColor="text1"/>
        </w:rPr>
        <w:t>·</w:t>
      </w:r>
      <w:r w:rsidR="00975CD3">
        <w:rPr>
          <w:color w:val="000000" w:themeColor="text1"/>
        </w:rPr>
        <w:t>8 of 428</w:t>
      </w:r>
      <w:r w:rsidR="0062189F">
        <w:rPr>
          <w:color w:val="000000" w:themeColor="text1"/>
        </w:rPr>
        <w:t>·</w:t>
      </w:r>
      <w:r w:rsidR="00975CD3">
        <w:rPr>
          <w:color w:val="000000" w:themeColor="text1"/>
        </w:rPr>
        <w:t>5 million DDDs</w:t>
      </w:r>
      <w:r w:rsidR="00284C0B">
        <w:rPr>
          <w:color w:val="000000" w:themeColor="text1"/>
        </w:rPr>
        <w:t>])</w:t>
      </w:r>
      <w:r w:rsidR="004B5B34">
        <w:rPr>
          <w:color w:val="000000" w:themeColor="text1"/>
        </w:rPr>
        <w:t>.</w:t>
      </w:r>
      <w:r w:rsidR="006B316E">
        <w:rPr>
          <w:color w:val="000000" w:themeColor="text1"/>
        </w:rPr>
        <w:t xml:space="preserve"> </w:t>
      </w:r>
      <w:r w:rsidR="00E34631" w:rsidRPr="00837639">
        <w:rPr>
          <w:color w:val="000000" w:themeColor="text1"/>
        </w:rPr>
        <w:t xml:space="preserve">Reserve group </w:t>
      </w:r>
      <w:r w:rsidR="00D17994">
        <w:rPr>
          <w:color w:val="000000" w:themeColor="text1"/>
        </w:rPr>
        <w:t xml:space="preserve">consumption </w:t>
      </w:r>
      <w:r w:rsidRPr="00837639">
        <w:rPr>
          <w:color w:val="000000" w:themeColor="text1"/>
        </w:rPr>
        <w:t xml:space="preserve">was </w:t>
      </w:r>
      <w:r w:rsidR="00E34631" w:rsidRPr="00837639">
        <w:rPr>
          <w:color w:val="000000" w:themeColor="text1"/>
        </w:rPr>
        <w:t xml:space="preserve">under </w:t>
      </w:r>
      <w:r w:rsidR="003625B5">
        <w:rPr>
          <w:color w:val="000000" w:themeColor="text1"/>
        </w:rPr>
        <w:t>one percent</w:t>
      </w:r>
      <w:r w:rsidR="00E34631" w:rsidRPr="00837639">
        <w:rPr>
          <w:color w:val="000000" w:themeColor="text1"/>
        </w:rPr>
        <w:t xml:space="preserve"> of total antibiotic </w:t>
      </w:r>
      <w:r w:rsidR="00D17994">
        <w:rPr>
          <w:color w:val="000000" w:themeColor="text1"/>
        </w:rPr>
        <w:t>consumption</w:t>
      </w:r>
      <w:r w:rsidR="00D17994" w:rsidRPr="00837639">
        <w:rPr>
          <w:color w:val="000000" w:themeColor="text1"/>
        </w:rPr>
        <w:t xml:space="preserve"> </w:t>
      </w:r>
      <w:r w:rsidRPr="00837639">
        <w:rPr>
          <w:color w:val="000000" w:themeColor="text1"/>
        </w:rPr>
        <w:t>for all countries</w:t>
      </w:r>
      <w:r w:rsidR="00E34631" w:rsidRPr="00837639">
        <w:rPr>
          <w:color w:val="000000" w:themeColor="text1"/>
        </w:rPr>
        <w:t xml:space="preserve"> </w:t>
      </w:r>
      <w:r w:rsidRPr="00837639">
        <w:rPr>
          <w:color w:val="000000" w:themeColor="text1"/>
        </w:rPr>
        <w:t xml:space="preserve">except </w:t>
      </w:r>
      <w:r w:rsidR="00097D4E" w:rsidRPr="00837639">
        <w:rPr>
          <w:color w:val="000000" w:themeColor="text1"/>
        </w:rPr>
        <w:t>Japan</w:t>
      </w:r>
      <w:r w:rsidR="00284C0B">
        <w:rPr>
          <w:color w:val="000000" w:themeColor="text1"/>
        </w:rPr>
        <w:t xml:space="preserve">, </w:t>
      </w:r>
      <w:r w:rsidR="00011CCB">
        <w:rPr>
          <w:color w:val="000000" w:themeColor="text1"/>
        </w:rPr>
        <w:t xml:space="preserve">where </w:t>
      </w:r>
      <w:r w:rsidR="00284C0B">
        <w:rPr>
          <w:color w:val="000000" w:themeColor="text1"/>
        </w:rPr>
        <w:t xml:space="preserve">Reserve </w:t>
      </w:r>
      <w:r w:rsidR="00D17994">
        <w:rPr>
          <w:color w:val="000000" w:themeColor="text1"/>
        </w:rPr>
        <w:t xml:space="preserve">consumption </w:t>
      </w:r>
      <w:r w:rsidR="00284C0B">
        <w:rPr>
          <w:color w:val="000000" w:themeColor="text1"/>
        </w:rPr>
        <w:t xml:space="preserve">accounted for </w:t>
      </w:r>
      <w:r w:rsidR="00097D4E" w:rsidRPr="00837639">
        <w:rPr>
          <w:color w:val="000000" w:themeColor="text1"/>
        </w:rPr>
        <w:t>2</w:t>
      </w:r>
      <w:r w:rsidR="0062189F">
        <w:rPr>
          <w:color w:val="000000" w:themeColor="text1"/>
        </w:rPr>
        <w:t>·</w:t>
      </w:r>
      <w:r w:rsidR="00507361" w:rsidRPr="00837639">
        <w:rPr>
          <w:color w:val="000000" w:themeColor="text1"/>
        </w:rPr>
        <w:t>2</w:t>
      </w:r>
      <w:r w:rsidR="00097D4E" w:rsidRPr="00837639">
        <w:rPr>
          <w:color w:val="000000" w:themeColor="text1"/>
        </w:rPr>
        <w:t>%</w:t>
      </w:r>
      <w:r w:rsidR="006B316E">
        <w:rPr>
          <w:color w:val="000000" w:themeColor="text1"/>
        </w:rPr>
        <w:t xml:space="preserve"> (</w:t>
      </w:r>
      <w:r w:rsidR="00097D4E" w:rsidRPr="00837639">
        <w:rPr>
          <w:color w:val="000000" w:themeColor="text1"/>
        </w:rPr>
        <w:t>14</w:t>
      </w:r>
      <w:r w:rsidR="0062189F">
        <w:rPr>
          <w:color w:val="000000" w:themeColor="text1"/>
        </w:rPr>
        <w:t>·</w:t>
      </w:r>
      <w:r w:rsidR="00507361" w:rsidRPr="00837639">
        <w:rPr>
          <w:color w:val="000000" w:themeColor="text1"/>
        </w:rPr>
        <w:t>3</w:t>
      </w:r>
      <w:r w:rsidR="00097D4E" w:rsidRPr="00837639">
        <w:rPr>
          <w:color w:val="000000" w:themeColor="text1"/>
        </w:rPr>
        <w:t xml:space="preserve"> of 665</w:t>
      </w:r>
      <w:r w:rsidR="0062189F">
        <w:rPr>
          <w:color w:val="000000" w:themeColor="text1"/>
        </w:rPr>
        <w:t>·</w:t>
      </w:r>
      <w:r w:rsidR="00097D4E" w:rsidRPr="00837639">
        <w:rPr>
          <w:color w:val="000000" w:themeColor="text1"/>
        </w:rPr>
        <w:t>1 million DDDs)</w:t>
      </w:r>
      <w:r w:rsidR="00284C0B">
        <w:rPr>
          <w:color w:val="000000" w:themeColor="text1"/>
        </w:rPr>
        <w:t xml:space="preserve"> of consumption</w:t>
      </w:r>
      <w:r w:rsidR="004778F9" w:rsidRPr="00837639">
        <w:rPr>
          <w:color w:val="000000" w:themeColor="text1"/>
        </w:rPr>
        <w:t xml:space="preserve">. </w:t>
      </w:r>
      <w:r w:rsidR="00B132F8">
        <w:rPr>
          <w:color w:val="000000" w:themeColor="text1"/>
        </w:rPr>
        <w:t>Twenty</w:t>
      </w:r>
      <w:r w:rsidR="006D5D3C">
        <w:rPr>
          <w:color w:val="000000" w:themeColor="text1"/>
        </w:rPr>
        <w:t xml:space="preserve"> out of 76 countries (26</w:t>
      </w:r>
      <w:r w:rsidR="0062189F">
        <w:rPr>
          <w:color w:val="000000" w:themeColor="text1"/>
        </w:rPr>
        <w:t>·</w:t>
      </w:r>
      <w:r w:rsidR="006D5D3C">
        <w:rPr>
          <w:color w:val="000000" w:themeColor="text1"/>
        </w:rPr>
        <w:t xml:space="preserve">3%) reported consumption of Not Recommended </w:t>
      </w:r>
      <w:r w:rsidR="006D5D3C">
        <w:rPr>
          <w:color w:val="000000" w:themeColor="text1"/>
        </w:rPr>
        <w:lastRenderedPageBreak/>
        <w:t>antibiotics</w:t>
      </w:r>
      <w:r w:rsidR="00D17994">
        <w:rPr>
          <w:color w:val="000000" w:themeColor="text1"/>
        </w:rPr>
        <w:t>, though c</w:t>
      </w:r>
      <w:r w:rsidR="00A11C2E" w:rsidRPr="00837639">
        <w:rPr>
          <w:color w:val="000000" w:themeColor="text1"/>
        </w:rPr>
        <w:t xml:space="preserve">onsumption </w:t>
      </w:r>
      <w:r w:rsidR="001A62F4">
        <w:rPr>
          <w:color w:val="000000" w:themeColor="text1"/>
        </w:rPr>
        <w:t>was</w:t>
      </w:r>
      <w:r w:rsidR="00190371" w:rsidRPr="00837639">
        <w:rPr>
          <w:color w:val="000000" w:themeColor="text1"/>
        </w:rPr>
        <w:t xml:space="preserve"> </w:t>
      </w:r>
      <w:r w:rsidR="00A0465A">
        <w:rPr>
          <w:color w:val="000000" w:themeColor="text1"/>
        </w:rPr>
        <w:t>less than</w:t>
      </w:r>
      <w:r w:rsidR="00A0465A" w:rsidRPr="00837639">
        <w:rPr>
          <w:color w:val="000000" w:themeColor="text1"/>
        </w:rPr>
        <w:t xml:space="preserve"> </w:t>
      </w:r>
      <w:r w:rsidRPr="00837639">
        <w:rPr>
          <w:color w:val="000000" w:themeColor="text1"/>
        </w:rPr>
        <w:t>3</w:t>
      </w:r>
      <w:r w:rsidR="0062189F">
        <w:rPr>
          <w:color w:val="000000" w:themeColor="text1"/>
        </w:rPr>
        <w:t>·</w:t>
      </w:r>
      <w:r w:rsidR="006477CF" w:rsidRPr="00837639">
        <w:rPr>
          <w:color w:val="000000" w:themeColor="text1"/>
        </w:rPr>
        <w:t>0%</w:t>
      </w:r>
      <w:r w:rsidRPr="00837639">
        <w:rPr>
          <w:color w:val="000000" w:themeColor="text1"/>
        </w:rPr>
        <w:t xml:space="preserve"> of total </w:t>
      </w:r>
      <w:r w:rsidR="00D17994">
        <w:rPr>
          <w:color w:val="000000" w:themeColor="text1"/>
        </w:rPr>
        <w:t xml:space="preserve">antibiotic consumption except </w:t>
      </w:r>
      <w:r w:rsidR="001A62F4">
        <w:rPr>
          <w:color w:val="000000" w:themeColor="text1"/>
        </w:rPr>
        <w:t>in</w:t>
      </w:r>
      <w:r w:rsidRPr="00837639">
        <w:rPr>
          <w:color w:val="000000" w:themeColor="text1"/>
        </w:rPr>
        <w:t xml:space="preserve"> </w:t>
      </w:r>
      <w:r w:rsidR="003F7F44" w:rsidRPr="00837639">
        <w:rPr>
          <w:color w:val="000000" w:themeColor="text1"/>
        </w:rPr>
        <w:t xml:space="preserve">Egypt, India, </w:t>
      </w:r>
      <w:r w:rsidRPr="00837639">
        <w:rPr>
          <w:color w:val="000000" w:themeColor="text1"/>
        </w:rPr>
        <w:t xml:space="preserve">and </w:t>
      </w:r>
      <w:r w:rsidR="003F7F44" w:rsidRPr="00837639">
        <w:rPr>
          <w:color w:val="000000" w:themeColor="text1"/>
        </w:rPr>
        <w:t>Pakistan</w:t>
      </w:r>
      <w:r w:rsidRPr="00837639">
        <w:rPr>
          <w:color w:val="000000" w:themeColor="text1"/>
        </w:rPr>
        <w:t xml:space="preserve"> </w:t>
      </w:r>
      <w:r w:rsidR="007B0FD1" w:rsidRPr="00837639">
        <w:rPr>
          <w:color w:val="000000" w:themeColor="text1"/>
        </w:rPr>
        <w:t>(</w:t>
      </w:r>
      <w:r w:rsidR="0036108E" w:rsidRPr="00837639">
        <w:rPr>
          <w:color w:val="000000" w:themeColor="text1"/>
        </w:rPr>
        <w:t>9</w:t>
      </w:r>
      <w:r w:rsidR="0062189F">
        <w:rPr>
          <w:color w:val="000000" w:themeColor="text1"/>
        </w:rPr>
        <w:t>·</w:t>
      </w:r>
      <w:r w:rsidR="0036108E" w:rsidRPr="00837639">
        <w:rPr>
          <w:color w:val="000000" w:themeColor="text1"/>
        </w:rPr>
        <w:t>6%, 7</w:t>
      </w:r>
      <w:r w:rsidR="0062189F">
        <w:rPr>
          <w:color w:val="000000" w:themeColor="text1"/>
        </w:rPr>
        <w:t>·</w:t>
      </w:r>
      <w:r w:rsidR="0036108E" w:rsidRPr="00837639">
        <w:rPr>
          <w:color w:val="000000" w:themeColor="text1"/>
        </w:rPr>
        <w:t xml:space="preserve">5%, </w:t>
      </w:r>
      <w:r w:rsidRPr="00837639">
        <w:rPr>
          <w:color w:val="000000" w:themeColor="text1"/>
        </w:rPr>
        <w:t xml:space="preserve">and </w:t>
      </w:r>
      <w:r w:rsidR="0036108E" w:rsidRPr="00837639">
        <w:rPr>
          <w:color w:val="000000" w:themeColor="text1"/>
        </w:rPr>
        <w:t>4</w:t>
      </w:r>
      <w:r w:rsidR="0062189F">
        <w:rPr>
          <w:color w:val="000000" w:themeColor="text1"/>
        </w:rPr>
        <w:t>·</w:t>
      </w:r>
      <w:r w:rsidR="0036108E" w:rsidRPr="00837639">
        <w:rPr>
          <w:color w:val="000000" w:themeColor="text1"/>
        </w:rPr>
        <w:t>0%, respectively</w:t>
      </w:r>
      <w:r w:rsidR="007B0FD1" w:rsidRPr="00837639">
        <w:rPr>
          <w:color w:val="000000" w:themeColor="text1"/>
        </w:rPr>
        <w:t>)</w:t>
      </w:r>
      <w:r w:rsidR="0036108E" w:rsidRPr="00837639">
        <w:rPr>
          <w:color w:val="000000" w:themeColor="text1"/>
        </w:rPr>
        <w:t xml:space="preserve">. </w:t>
      </w:r>
    </w:p>
    <w:p w14:paraId="0D865001" w14:textId="77777777" w:rsidR="00FF5D2C" w:rsidRDefault="00FF5D2C" w:rsidP="00E21BDC">
      <w:pPr>
        <w:spacing w:line="480" w:lineRule="auto"/>
        <w:rPr>
          <w:color w:val="000000" w:themeColor="text1"/>
        </w:rPr>
      </w:pPr>
    </w:p>
    <w:p w14:paraId="5BB3DCFF" w14:textId="56799679" w:rsidR="006C4D54" w:rsidRPr="003F5729" w:rsidRDefault="00A928A7" w:rsidP="00E21BDC">
      <w:pPr>
        <w:spacing w:line="480" w:lineRule="auto"/>
        <w:rPr>
          <w:b/>
          <w:bCs/>
          <w:color w:val="000000" w:themeColor="text1"/>
        </w:rPr>
      </w:pPr>
      <w:r w:rsidRPr="003F5729">
        <w:rPr>
          <w:b/>
          <w:bCs/>
          <w:color w:val="000000" w:themeColor="text1"/>
        </w:rPr>
        <w:t>Per capita c</w:t>
      </w:r>
      <w:r w:rsidR="003F2568" w:rsidRPr="003F5729">
        <w:rPr>
          <w:b/>
          <w:bCs/>
          <w:color w:val="000000" w:themeColor="text1"/>
        </w:rPr>
        <w:t>onsumption of Access and Watch antibiotics</w:t>
      </w:r>
    </w:p>
    <w:p w14:paraId="0CA7C24C" w14:textId="1373ECB8" w:rsidR="00FD0CA5" w:rsidRPr="00837639" w:rsidRDefault="004C3075" w:rsidP="009B68F6">
      <w:pPr>
        <w:spacing w:line="480" w:lineRule="auto"/>
        <w:rPr>
          <w:color w:val="000000" w:themeColor="text1"/>
        </w:rPr>
      </w:pPr>
      <w:r w:rsidRPr="00837639">
        <w:rPr>
          <w:color w:val="000000" w:themeColor="text1"/>
        </w:rPr>
        <w:t>Between 2000 and 2015 t</w:t>
      </w:r>
      <w:r w:rsidR="003F2568" w:rsidRPr="00837639">
        <w:rPr>
          <w:color w:val="000000" w:themeColor="text1"/>
        </w:rPr>
        <w:t xml:space="preserve">he median </w:t>
      </w:r>
      <w:r w:rsidR="00A81B78">
        <w:rPr>
          <w:color w:val="000000" w:themeColor="text1"/>
        </w:rPr>
        <w:t xml:space="preserve">per capita </w:t>
      </w:r>
      <w:r w:rsidR="003F2568" w:rsidRPr="00837639">
        <w:rPr>
          <w:color w:val="000000" w:themeColor="text1"/>
        </w:rPr>
        <w:t>consumption of Access antibiotics</w:t>
      </w:r>
      <w:r w:rsidR="00FD0CA5" w:rsidRPr="00837639">
        <w:rPr>
          <w:color w:val="000000" w:themeColor="text1"/>
        </w:rPr>
        <w:t xml:space="preserve"> increased </w:t>
      </w:r>
      <w:r w:rsidR="00EA4741" w:rsidRPr="00837639">
        <w:rPr>
          <w:color w:val="000000" w:themeColor="text1"/>
        </w:rPr>
        <w:t>26</w:t>
      </w:r>
      <w:r w:rsidR="0062189F">
        <w:rPr>
          <w:color w:val="000000" w:themeColor="text1"/>
        </w:rPr>
        <w:t>·</w:t>
      </w:r>
      <w:r w:rsidR="00EA4741" w:rsidRPr="00837639">
        <w:rPr>
          <w:color w:val="000000" w:themeColor="text1"/>
        </w:rPr>
        <w:t>2</w:t>
      </w:r>
      <w:r w:rsidR="00FD0CA5" w:rsidRPr="00837639">
        <w:rPr>
          <w:color w:val="000000" w:themeColor="text1"/>
        </w:rPr>
        <w:t>%</w:t>
      </w:r>
      <w:r w:rsidR="003F2568" w:rsidRPr="00837639">
        <w:rPr>
          <w:color w:val="000000" w:themeColor="text1"/>
        </w:rPr>
        <w:t xml:space="preserve"> </w:t>
      </w:r>
      <w:r w:rsidR="00FD0CA5" w:rsidRPr="00837639">
        <w:rPr>
          <w:color w:val="000000" w:themeColor="text1"/>
        </w:rPr>
        <w:t>(</w:t>
      </w:r>
      <w:r w:rsidRPr="00837639">
        <w:rPr>
          <w:color w:val="000000" w:themeColor="text1"/>
        </w:rPr>
        <w:t xml:space="preserve">from </w:t>
      </w:r>
      <w:r w:rsidR="00BD4DBD" w:rsidRPr="00837639">
        <w:rPr>
          <w:color w:val="000000" w:themeColor="text1"/>
        </w:rPr>
        <w:t>8</w:t>
      </w:r>
      <w:r w:rsidR="0062189F">
        <w:rPr>
          <w:color w:val="000000" w:themeColor="text1"/>
        </w:rPr>
        <w:t>·</w:t>
      </w:r>
      <w:r w:rsidR="00BD4DBD" w:rsidRPr="00837639">
        <w:rPr>
          <w:color w:val="000000" w:themeColor="text1"/>
        </w:rPr>
        <w:t>4</w:t>
      </w:r>
      <w:r w:rsidR="00FD0CA5" w:rsidRPr="00837639">
        <w:rPr>
          <w:color w:val="000000" w:themeColor="text1"/>
        </w:rPr>
        <w:t xml:space="preserve"> to </w:t>
      </w:r>
      <w:r w:rsidR="00E16133" w:rsidRPr="00837639">
        <w:rPr>
          <w:color w:val="000000" w:themeColor="text1"/>
        </w:rPr>
        <w:t>10</w:t>
      </w:r>
      <w:r w:rsidR="0062189F">
        <w:rPr>
          <w:color w:val="000000" w:themeColor="text1"/>
        </w:rPr>
        <w:t>·</w:t>
      </w:r>
      <w:r w:rsidR="00E16133" w:rsidRPr="00837639">
        <w:rPr>
          <w:color w:val="000000" w:themeColor="text1"/>
        </w:rPr>
        <w:t>6</w:t>
      </w:r>
      <w:r w:rsidR="00FD0CA5" w:rsidRPr="00837639">
        <w:rPr>
          <w:color w:val="000000" w:themeColor="text1"/>
        </w:rPr>
        <w:t xml:space="preserve"> D</w:t>
      </w:r>
      <w:r w:rsidR="00DE4C6B">
        <w:rPr>
          <w:color w:val="000000" w:themeColor="text1"/>
        </w:rPr>
        <w:t>I</w:t>
      </w:r>
      <w:r w:rsidR="00FD0CA5" w:rsidRPr="00837639">
        <w:rPr>
          <w:color w:val="000000" w:themeColor="text1"/>
        </w:rPr>
        <w:t>Ds)</w:t>
      </w:r>
      <w:r w:rsidR="001A62F4">
        <w:rPr>
          <w:color w:val="000000" w:themeColor="text1"/>
        </w:rPr>
        <w:t>.</w:t>
      </w:r>
      <w:r w:rsidR="00A8230A">
        <w:rPr>
          <w:color w:val="000000" w:themeColor="text1"/>
        </w:rPr>
        <w:t xml:space="preserve"> </w:t>
      </w:r>
      <w:r w:rsidR="001A62F4">
        <w:rPr>
          <w:color w:val="000000" w:themeColor="text1"/>
        </w:rPr>
        <w:t>C</w:t>
      </w:r>
      <w:r w:rsidR="00A8230A" w:rsidRPr="00837639">
        <w:rPr>
          <w:color w:val="000000" w:themeColor="text1"/>
        </w:rPr>
        <w:t>onsumption of Watch antibiotics increased 90</w:t>
      </w:r>
      <w:r w:rsidR="0062189F">
        <w:rPr>
          <w:color w:val="000000" w:themeColor="text1"/>
        </w:rPr>
        <w:t>·</w:t>
      </w:r>
      <w:r w:rsidR="00A8230A" w:rsidRPr="00837639">
        <w:rPr>
          <w:color w:val="000000" w:themeColor="text1"/>
        </w:rPr>
        <w:t>9% (from 3</w:t>
      </w:r>
      <w:r w:rsidR="0062189F">
        <w:rPr>
          <w:color w:val="000000" w:themeColor="text1"/>
        </w:rPr>
        <w:t>·</w:t>
      </w:r>
      <w:r w:rsidR="00A8230A" w:rsidRPr="00837639">
        <w:rPr>
          <w:color w:val="000000" w:themeColor="text1"/>
        </w:rPr>
        <w:t>3 to 6</w:t>
      </w:r>
      <w:r w:rsidR="0062189F">
        <w:rPr>
          <w:color w:val="000000" w:themeColor="text1"/>
        </w:rPr>
        <w:t>·</w:t>
      </w:r>
      <w:r w:rsidR="00A8230A" w:rsidRPr="00837639">
        <w:rPr>
          <w:color w:val="000000" w:themeColor="text1"/>
        </w:rPr>
        <w:t>3 D</w:t>
      </w:r>
      <w:r w:rsidR="00A8230A">
        <w:rPr>
          <w:color w:val="000000" w:themeColor="text1"/>
        </w:rPr>
        <w:t>I</w:t>
      </w:r>
      <w:r w:rsidR="00A8230A" w:rsidRPr="00837639">
        <w:rPr>
          <w:color w:val="000000" w:themeColor="text1"/>
        </w:rPr>
        <w:t>Ds)</w:t>
      </w:r>
      <w:r w:rsidR="00A8230A">
        <w:rPr>
          <w:color w:val="000000" w:themeColor="text1"/>
        </w:rPr>
        <w:t xml:space="preserve">. Overall, growth in the </w:t>
      </w:r>
      <w:r w:rsidR="00171166">
        <w:rPr>
          <w:color w:val="000000" w:themeColor="text1"/>
        </w:rPr>
        <w:t>consumption</w:t>
      </w:r>
      <w:r w:rsidR="003F2568" w:rsidRPr="00837639">
        <w:rPr>
          <w:color w:val="000000" w:themeColor="text1"/>
        </w:rPr>
        <w:t xml:space="preserve"> </w:t>
      </w:r>
      <w:r w:rsidR="00284C0B">
        <w:rPr>
          <w:color w:val="000000" w:themeColor="text1"/>
        </w:rPr>
        <w:t xml:space="preserve">of </w:t>
      </w:r>
      <w:r w:rsidR="00A8230A">
        <w:rPr>
          <w:color w:val="000000" w:themeColor="text1"/>
        </w:rPr>
        <w:t xml:space="preserve">Access </w:t>
      </w:r>
      <w:r w:rsidR="00284C0B">
        <w:rPr>
          <w:color w:val="000000" w:themeColor="text1"/>
        </w:rPr>
        <w:t xml:space="preserve">antibiotics </w:t>
      </w:r>
      <w:r w:rsidR="00A8230A">
        <w:rPr>
          <w:color w:val="000000" w:themeColor="text1"/>
        </w:rPr>
        <w:t xml:space="preserve">was higher </w:t>
      </w:r>
      <w:r w:rsidR="002C5559">
        <w:rPr>
          <w:color w:val="000000" w:themeColor="text1"/>
        </w:rPr>
        <w:t>in low- and middle-income countries (</w:t>
      </w:r>
      <w:r w:rsidR="002C5559" w:rsidRPr="00837639">
        <w:rPr>
          <w:color w:val="000000" w:themeColor="text1"/>
        </w:rPr>
        <w:t>LMICs</w:t>
      </w:r>
      <w:r w:rsidR="00A8230A">
        <w:rPr>
          <w:color w:val="000000" w:themeColor="text1"/>
        </w:rPr>
        <w:t>; 45</w:t>
      </w:r>
      <w:r w:rsidR="0062189F">
        <w:rPr>
          <w:color w:val="000000" w:themeColor="text1"/>
        </w:rPr>
        <w:t>·</w:t>
      </w:r>
      <w:r w:rsidR="00A8230A">
        <w:rPr>
          <w:color w:val="000000" w:themeColor="text1"/>
        </w:rPr>
        <w:t>3% [</w:t>
      </w:r>
      <w:r w:rsidR="00A8230A" w:rsidRPr="00837639">
        <w:rPr>
          <w:color w:val="000000" w:themeColor="text1"/>
        </w:rPr>
        <w:t>from 6</w:t>
      </w:r>
      <w:r w:rsidR="0062189F">
        <w:rPr>
          <w:color w:val="000000" w:themeColor="text1"/>
        </w:rPr>
        <w:t>·</w:t>
      </w:r>
      <w:r w:rsidR="00A8230A" w:rsidRPr="00837639">
        <w:rPr>
          <w:color w:val="000000" w:themeColor="text1"/>
        </w:rPr>
        <w:t>4 to 9</w:t>
      </w:r>
      <w:r w:rsidR="0062189F">
        <w:rPr>
          <w:color w:val="000000" w:themeColor="text1"/>
        </w:rPr>
        <w:t>·</w:t>
      </w:r>
      <w:r w:rsidR="00A8230A" w:rsidRPr="00837639">
        <w:rPr>
          <w:color w:val="000000" w:themeColor="text1"/>
        </w:rPr>
        <w:t>3 D</w:t>
      </w:r>
      <w:r w:rsidR="00A8230A">
        <w:rPr>
          <w:color w:val="000000" w:themeColor="text1"/>
        </w:rPr>
        <w:t>I</w:t>
      </w:r>
      <w:r w:rsidR="00A8230A" w:rsidRPr="00837639">
        <w:rPr>
          <w:color w:val="000000" w:themeColor="text1"/>
        </w:rPr>
        <w:t>Ds</w:t>
      </w:r>
      <w:r w:rsidR="00A8230A">
        <w:rPr>
          <w:color w:val="000000" w:themeColor="text1"/>
        </w:rPr>
        <w:t>]</w:t>
      </w:r>
      <w:r w:rsidR="002C5559">
        <w:rPr>
          <w:color w:val="000000" w:themeColor="text1"/>
        </w:rPr>
        <w:t>)</w:t>
      </w:r>
      <w:r w:rsidR="00A8230A">
        <w:rPr>
          <w:color w:val="000000" w:themeColor="text1"/>
        </w:rPr>
        <w:t xml:space="preserve"> compared to </w:t>
      </w:r>
      <w:r w:rsidR="005602C0">
        <w:rPr>
          <w:color w:val="000000" w:themeColor="text1"/>
        </w:rPr>
        <w:t>HICs</w:t>
      </w:r>
      <w:r w:rsidR="00B5661D" w:rsidRPr="00837639">
        <w:rPr>
          <w:color w:val="000000" w:themeColor="text1"/>
        </w:rPr>
        <w:t xml:space="preserve"> (</w:t>
      </w:r>
      <w:r w:rsidR="00CE6AF0" w:rsidRPr="00837639">
        <w:rPr>
          <w:color w:val="000000" w:themeColor="text1"/>
        </w:rPr>
        <w:t>14</w:t>
      </w:r>
      <w:r w:rsidR="0062189F">
        <w:rPr>
          <w:color w:val="000000" w:themeColor="text1"/>
        </w:rPr>
        <w:t>·</w:t>
      </w:r>
      <w:r w:rsidR="00CE6AF0" w:rsidRPr="00837639">
        <w:rPr>
          <w:color w:val="000000" w:themeColor="text1"/>
        </w:rPr>
        <w:t>8</w:t>
      </w:r>
      <w:r w:rsidR="003F2568" w:rsidRPr="00837639">
        <w:rPr>
          <w:color w:val="000000" w:themeColor="text1"/>
        </w:rPr>
        <w:t xml:space="preserve">% </w:t>
      </w:r>
      <w:r w:rsidR="00A8230A">
        <w:rPr>
          <w:color w:val="000000" w:themeColor="text1"/>
        </w:rPr>
        <w:t>[</w:t>
      </w:r>
      <w:r w:rsidR="003F2568" w:rsidRPr="00837639">
        <w:rPr>
          <w:color w:val="000000" w:themeColor="text1"/>
        </w:rPr>
        <w:t>from 10</w:t>
      </w:r>
      <w:r w:rsidR="0062189F">
        <w:rPr>
          <w:color w:val="000000" w:themeColor="text1"/>
        </w:rPr>
        <w:t>·</w:t>
      </w:r>
      <w:r w:rsidR="001C6F9F" w:rsidRPr="00837639">
        <w:rPr>
          <w:color w:val="000000" w:themeColor="text1"/>
        </w:rPr>
        <w:t>8</w:t>
      </w:r>
      <w:r w:rsidR="003F2568" w:rsidRPr="00837639">
        <w:rPr>
          <w:color w:val="000000" w:themeColor="text1"/>
        </w:rPr>
        <w:t xml:space="preserve"> to 12</w:t>
      </w:r>
      <w:r w:rsidR="0062189F">
        <w:rPr>
          <w:color w:val="000000" w:themeColor="text1"/>
        </w:rPr>
        <w:t>·</w:t>
      </w:r>
      <w:r w:rsidR="0062220B" w:rsidRPr="00837639">
        <w:rPr>
          <w:color w:val="000000" w:themeColor="text1"/>
        </w:rPr>
        <w:t>4</w:t>
      </w:r>
      <w:r w:rsidR="003F2568" w:rsidRPr="00837639">
        <w:rPr>
          <w:color w:val="000000" w:themeColor="text1"/>
        </w:rPr>
        <w:t xml:space="preserve"> D</w:t>
      </w:r>
      <w:r w:rsidR="00646A8C">
        <w:rPr>
          <w:color w:val="000000" w:themeColor="text1"/>
        </w:rPr>
        <w:t>I</w:t>
      </w:r>
      <w:r w:rsidR="003F2568" w:rsidRPr="00837639">
        <w:rPr>
          <w:color w:val="000000" w:themeColor="text1"/>
        </w:rPr>
        <w:t>Ds</w:t>
      </w:r>
      <w:r w:rsidR="00A8230A">
        <w:rPr>
          <w:color w:val="000000" w:themeColor="text1"/>
        </w:rPr>
        <w:t>]</w:t>
      </w:r>
      <w:r w:rsidR="003F2568" w:rsidRPr="00837639">
        <w:rPr>
          <w:color w:val="000000" w:themeColor="text1"/>
        </w:rPr>
        <w:t>)</w:t>
      </w:r>
      <w:r w:rsidR="00FD0CA5" w:rsidRPr="00837639">
        <w:rPr>
          <w:color w:val="000000" w:themeColor="text1"/>
        </w:rPr>
        <w:t xml:space="preserve"> (Figure 2A</w:t>
      </w:r>
      <w:r w:rsidR="00227D90">
        <w:rPr>
          <w:color w:val="000000" w:themeColor="text1"/>
        </w:rPr>
        <w:t xml:space="preserve"> and Table 1</w:t>
      </w:r>
      <w:r w:rsidR="00FD0CA5" w:rsidRPr="00837639">
        <w:rPr>
          <w:color w:val="000000" w:themeColor="text1"/>
        </w:rPr>
        <w:t>)</w:t>
      </w:r>
      <w:r w:rsidR="003F2568" w:rsidRPr="00837639">
        <w:rPr>
          <w:color w:val="000000" w:themeColor="text1"/>
        </w:rPr>
        <w:t xml:space="preserve">. </w:t>
      </w:r>
      <w:r w:rsidR="00A8230A">
        <w:rPr>
          <w:color w:val="000000" w:themeColor="text1"/>
        </w:rPr>
        <w:t xml:space="preserve">However, the increase in </w:t>
      </w:r>
      <w:r w:rsidR="00F12A77">
        <w:rPr>
          <w:color w:val="000000" w:themeColor="text1"/>
        </w:rPr>
        <w:t>consumption</w:t>
      </w:r>
      <w:r w:rsidR="00A8230A">
        <w:rPr>
          <w:color w:val="000000" w:themeColor="text1"/>
        </w:rPr>
        <w:t xml:space="preserve"> of Watch antibiotics was </w:t>
      </w:r>
      <w:r w:rsidR="00C12530">
        <w:rPr>
          <w:color w:val="000000" w:themeColor="text1"/>
        </w:rPr>
        <w:t>greater in both settings</w:t>
      </w:r>
      <w:r w:rsidR="00A8230A">
        <w:rPr>
          <w:color w:val="000000" w:themeColor="text1"/>
        </w:rPr>
        <w:t>, increasing</w:t>
      </w:r>
      <w:r w:rsidR="00A8230A" w:rsidRPr="00837639">
        <w:rPr>
          <w:color w:val="000000" w:themeColor="text1"/>
        </w:rPr>
        <w:t xml:space="preserve"> in LMICs by 165</w:t>
      </w:r>
      <w:r w:rsidR="0062189F">
        <w:rPr>
          <w:color w:val="000000" w:themeColor="text1"/>
        </w:rPr>
        <w:t>·</w:t>
      </w:r>
      <w:r w:rsidR="00A8230A" w:rsidRPr="00837639">
        <w:rPr>
          <w:color w:val="000000" w:themeColor="text1"/>
        </w:rPr>
        <w:t>0% (from 2</w:t>
      </w:r>
      <w:r w:rsidR="00D121A7">
        <w:rPr>
          <w:color w:val="000000" w:themeColor="text1"/>
        </w:rPr>
        <w:t>·</w:t>
      </w:r>
      <w:r w:rsidR="00A8230A" w:rsidRPr="00837639">
        <w:rPr>
          <w:color w:val="000000" w:themeColor="text1"/>
        </w:rPr>
        <w:t>0 to 5</w:t>
      </w:r>
      <w:r w:rsidR="00D121A7">
        <w:rPr>
          <w:color w:val="000000" w:themeColor="text1"/>
        </w:rPr>
        <w:t>·</w:t>
      </w:r>
      <w:r w:rsidR="00A8230A" w:rsidRPr="00837639">
        <w:rPr>
          <w:color w:val="000000" w:themeColor="text1"/>
        </w:rPr>
        <w:t>3 D</w:t>
      </w:r>
      <w:r w:rsidR="00A8230A">
        <w:rPr>
          <w:color w:val="000000" w:themeColor="text1"/>
        </w:rPr>
        <w:t>I</w:t>
      </w:r>
      <w:r w:rsidR="00A8230A" w:rsidRPr="00837639">
        <w:rPr>
          <w:color w:val="000000" w:themeColor="text1"/>
        </w:rPr>
        <w:t>D</w:t>
      </w:r>
      <w:r w:rsidR="00A8230A">
        <w:rPr>
          <w:color w:val="000000" w:themeColor="text1"/>
        </w:rPr>
        <w:t>s</w:t>
      </w:r>
      <w:r w:rsidR="00A8230A" w:rsidRPr="00837639">
        <w:rPr>
          <w:color w:val="000000" w:themeColor="text1"/>
        </w:rPr>
        <w:t xml:space="preserve">) </w:t>
      </w:r>
      <w:r w:rsidR="00C12530">
        <w:rPr>
          <w:color w:val="000000" w:themeColor="text1"/>
        </w:rPr>
        <w:t>and by</w:t>
      </w:r>
      <w:r w:rsidR="00A8230A" w:rsidRPr="00837639">
        <w:rPr>
          <w:color w:val="000000" w:themeColor="text1"/>
        </w:rPr>
        <w:t xml:space="preserve"> 27</w:t>
      </w:r>
      <w:r w:rsidR="00D121A7">
        <w:rPr>
          <w:color w:val="000000" w:themeColor="text1"/>
        </w:rPr>
        <w:t>·</w:t>
      </w:r>
      <w:r w:rsidR="00A8230A" w:rsidRPr="00837639">
        <w:rPr>
          <w:color w:val="000000" w:themeColor="text1"/>
        </w:rPr>
        <w:t>9% in HICs (from 6</w:t>
      </w:r>
      <w:r w:rsidR="00D121A7">
        <w:rPr>
          <w:color w:val="000000" w:themeColor="text1"/>
        </w:rPr>
        <w:t>·</w:t>
      </w:r>
      <w:r w:rsidR="00A8230A" w:rsidRPr="00837639">
        <w:rPr>
          <w:color w:val="000000" w:themeColor="text1"/>
        </w:rPr>
        <w:t>1 to 7</w:t>
      </w:r>
      <w:r w:rsidR="00D121A7">
        <w:rPr>
          <w:color w:val="000000" w:themeColor="text1"/>
        </w:rPr>
        <w:t>·</w:t>
      </w:r>
      <w:r w:rsidR="00A8230A" w:rsidRPr="00837639">
        <w:rPr>
          <w:color w:val="000000" w:themeColor="text1"/>
        </w:rPr>
        <w:t>8 D</w:t>
      </w:r>
      <w:r w:rsidR="00A8230A">
        <w:rPr>
          <w:color w:val="000000" w:themeColor="text1"/>
        </w:rPr>
        <w:t>I</w:t>
      </w:r>
      <w:r w:rsidR="00A8230A" w:rsidRPr="00837639">
        <w:rPr>
          <w:color w:val="000000" w:themeColor="text1"/>
        </w:rPr>
        <w:t xml:space="preserve">Ds) (Figure 2B). </w:t>
      </w:r>
      <w:r w:rsidR="002C5559">
        <w:rPr>
          <w:color w:val="000000" w:themeColor="text1"/>
        </w:rPr>
        <w:t xml:space="preserve">Countries </w:t>
      </w:r>
      <w:r w:rsidR="00284C0B">
        <w:rPr>
          <w:color w:val="000000" w:themeColor="text1"/>
        </w:rPr>
        <w:t xml:space="preserve">with </w:t>
      </w:r>
      <w:r w:rsidR="00E2065D">
        <w:rPr>
          <w:color w:val="000000" w:themeColor="text1"/>
        </w:rPr>
        <w:t xml:space="preserve">the greatest </w:t>
      </w:r>
      <w:r w:rsidR="00796F02">
        <w:rPr>
          <w:color w:val="000000" w:themeColor="text1"/>
        </w:rPr>
        <w:t xml:space="preserve">absolute </w:t>
      </w:r>
      <w:r w:rsidR="00D17994">
        <w:rPr>
          <w:color w:val="000000" w:themeColor="text1"/>
        </w:rPr>
        <w:t>increase</w:t>
      </w:r>
      <w:r w:rsidR="00796F02">
        <w:rPr>
          <w:color w:val="000000" w:themeColor="text1"/>
        </w:rPr>
        <w:t xml:space="preserve"> between 2000 and 2015</w:t>
      </w:r>
      <w:r w:rsidR="00D17994">
        <w:rPr>
          <w:color w:val="000000" w:themeColor="text1"/>
        </w:rPr>
        <w:t xml:space="preserve"> </w:t>
      </w:r>
      <w:r w:rsidR="00E2065D">
        <w:rPr>
          <w:color w:val="000000" w:themeColor="text1"/>
        </w:rPr>
        <w:t xml:space="preserve">in </w:t>
      </w:r>
      <w:r w:rsidR="002C5559">
        <w:rPr>
          <w:color w:val="000000" w:themeColor="text1"/>
        </w:rPr>
        <w:t xml:space="preserve">Access antibiotic </w:t>
      </w:r>
      <w:r w:rsidR="00F12A77">
        <w:rPr>
          <w:color w:val="000000" w:themeColor="text1"/>
        </w:rPr>
        <w:t>consumption</w:t>
      </w:r>
      <w:r w:rsidR="002C5559">
        <w:rPr>
          <w:color w:val="000000" w:themeColor="text1"/>
        </w:rPr>
        <w:t xml:space="preserve"> </w:t>
      </w:r>
      <w:r w:rsidR="00E2065D">
        <w:rPr>
          <w:color w:val="000000" w:themeColor="text1"/>
        </w:rPr>
        <w:t>include</w:t>
      </w:r>
      <w:r w:rsidR="00284C0B">
        <w:rPr>
          <w:color w:val="000000" w:themeColor="text1"/>
        </w:rPr>
        <w:t>d</w:t>
      </w:r>
      <w:r w:rsidR="00E21BDC" w:rsidRPr="00837639">
        <w:rPr>
          <w:color w:val="000000" w:themeColor="text1"/>
        </w:rPr>
        <w:t xml:space="preserve"> Tunisia</w:t>
      </w:r>
      <w:r w:rsidR="00B128F8">
        <w:rPr>
          <w:color w:val="000000" w:themeColor="text1"/>
        </w:rPr>
        <w:t xml:space="preserve"> (20</w:t>
      </w:r>
      <w:r w:rsidR="00D121A7">
        <w:rPr>
          <w:color w:val="000000" w:themeColor="text1"/>
        </w:rPr>
        <w:t>·</w:t>
      </w:r>
      <w:r w:rsidR="00B128F8">
        <w:rPr>
          <w:color w:val="000000" w:themeColor="text1"/>
        </w:rPr>
        <w:t>1 DIDs)</w:t>
      </w:r>
      <w:r w:rsidR="00E21BDC" w:rsidRPr="00837639">
        <w:rPr>
          <w:color w:val="000000" w:themeColor="text1"/>
        </w:rPr>
        <w:t>, Algeria</w:t>
      </w:r>
      <w:r w:rsidR="00B128F8">
        <w:rPr>
          <w:color w:val="000000" w:themeColor="text1"/>
        </w:rPr>
        <w:t xml:space="preserve"> (14</w:t>
      </w:r>
      <w:r w:rsidR="00D121A7">
        <w:rPr>
          <w:color w:val="000000" w:themeColor="text1"/>
        </w:rPr>
        <w:t>·</w:t>
      </w:r>
      <w:r w:rsidR="00B128F8">
        <w:rPr>
          <w:color w:val="000000" w:themeColor="text1"/>
        </w:rPr>
        <w:t>2 DIDs)</w:t>
      </w:r>
      <w:r w:rsidR="00E21BDC" w:rsidRPr="00837639">
        <w:rPr>
          <w:color w:val="000000" w:themeColor="text1"/>
        </w:rPr>
        <w:t xml:space="preserve">, </w:t>
      </w:r>
      <w:r w:rsidR="00012B6B">
        <w:rPr>
          <w:color w:val="000000" w:themeColor="text1"/>
        </w:rPr>
        <w:t xml:space="preserve">and </w:t>
      </w:r>
      <w:r w:rsidR="00E21BDC" w:rsidRPr="00837639">
        <w:rPr>
          <w:color w:val="000000" w:themeColor="text1"/>
        </w:rPr>
        <w:t>Taiwan</w:t>
      </w:r>
      <w:r w:rsidR="00B128F8">
        <w:rPr>
          <w:color w:val="000000" w:themeColor="text1"/>
        </w:rPr>
        <w:t xml:space="preserve"> (11</w:t>
      </w:r>
      <w:r w:rsidR="00D121A7">
        <w:rPr>
          <w:color w:val="000000" w:themeColor="text1"/>
        </w:rPr>
        <w:t>·</w:t>
      </w:r>
      <w:r w:rsidR="00B128F8">
        <w:rPr>
          <w:color w:val="000000" w:themeColor="text1"/>
        </w:rPr>
        <w:t xml:space="preserve">5 DIDs), while the </w:t>
      </w:r>
      <w:r w:rsidR="00E2065D">
        <w:rPr>
          <w:color w:val="000000" w:themeColor="text1"/>
        </w:rPr>
        <w:t>respective declines</w:t>
      </w:r>
      <w:r w:rsidR="000842CC">
        <w:rPr>
          <w:color w:val="000000" w:themeColor="text1"/>
        </w:rPr>
        <w:t xml:space="preserve"> were </w:t>
      </w:r>
      <w:r w:rsidR="00011CCB">
        <w:rPr>
          <w:color w:val="000000" w:themeColor="text1"/>
        </w:rPr>
        <w:t>greatest</w:t>
      </w:r>
      <w:r w:rsidR="00B128F8">
        <w:rPr>
          <w:color w:val="000000" w:themeColor="text1"/>
        </w:rPr>
        <w:t xml:space="preserve"> in</w:t>
      </w:r>
      <w:r w:rsidR="000842CC">
        <w:rPr>
          <w:color w:val="000000" w:themeColor="text1"/>
        </w:rPr>
        <w:t xml:space="preserve"> Slovakia (7</w:t>
      </w:r>
      <w:r w:rsidR="00D121A7">
        <w:rPr>
          <w:color w:val="000000" w:themeColor="text1"/>
        </w:rPr>
        <w:t>·</w:t>
      </w:r>
      <w:r w:rsidR="000842CC">
        <w:rPr>
          <w:color w:val="000000" w:themeColor="text1"/>
        </w:rPr>
        <w:t>7 DIDs), Lithuania (7</w:t>
      </w:r>
      <w:r w:rsidR="00D121A7">
        <w:rPr>
          <w:color w:val="000000" w:themeColor="text1"/>
        </w:rPr>
        <w:t>·</w:t>
      </w:r>
      <w:r w:rsidR="000842CC">
        <w:rPr>
          <w:color w:val="000000" w:themeColor="text1"/>
        </w:rPr>
        <w:t xml:space="preserve">0 DIDs), </w:t>
      </w:r>
      <w:r w:rsidR="00012B6B">
        <w:rPr>
          <w:color w:val="000000" w:themeColor="text1"/>
        </w:rPr>
        <w:t xml:space="preserve">and </w:t>
      </w:r>
      <w:r w:rsidR="000842CC">
        <w:rPr>
          <w:color w:val="000000" w:themeColor="text1"/>
        </w:rPr>
        <w:t>Hungary (6</w:t>
      </w:r>
      <w:r w:rsidR="00D121A7">
        <w:rPr>
          <w:color w:val="000000" w:themeColor="text1"/>
        </w:rPr>
        <w:t>·</w:t>
      </w:r>
      <w:r w:rsidR="000842CC">
        <w:rPr>
          <w:color w:val="000000" w:themeColor="text1"/>
        </w:rPr>
        <w:t xml:space="preserve">3 DIDs) </w:t>
      </w:r>
      <w:r w:rsidR="00E21BDC" w:rsidRPr="00837639">
        <w:rPr>
          <w:color w:val="000000" w:themeColor="text1"/>
        </w:rPr>
        <w:t>(</w:t>
      </w:r>
      <w:r w:rsidR="00E21BDC" w:rsidRPr="005B280F">
        <w:rPr>
          <w:color w:val="000000" w:themeColor="text1"/>
        </w:rPr>
        <w:t>Figure 3A</w:t>
      </w:r>
      <w:r w:rsidR="00E21BDC" w:rsidRPr="00837639">
        <w:rPr>
          <w:color w:val="000000" w:themeColor="text1"/>
        </w:rPr>
        <w:t xml:space="preserve">). </w:t>
      </w:r>
      <w:r w:rsidR="00B875A8">
        <w:rPr>
          <w:color w:val="000000" w:themeColor="text1"/>
        </w:rPr>
        <w:t xml:space="preserve">The highest growth </w:t>
      </w:r>
      <w:r w:rsidR="00FD0CA5" w:rsidRPr="00837639">
        <w:rPr>
          <w:color w:val="000000" w:themeColor="text1"/>
        </w:rPr>
        <w:t xml:space="preserve">in Watch antibiotic </w:t>
      </w:r>
      <w:r w:rsidR="00F12A77">
        <w:rPr>
          <w:color w:val="000000" w:themeColor="text1"/>
        </w:rPr>
        <w:t>consumption</w:t>
      </w:r>
      <w:r w:rsidR="006D5D3C">
        <w:rPr>
          <w:color w:val="000000" w:themeColor="text1"/>
        </w:rPr>
        <w:t xml:space="preserve"> </w:t>
      </w:r>
      <w:r w:rsidR="00FD0CA5" w:rsidRPr="00837639">
        <w:rPr>
          <w:color w:val="000000" w:themeColor="text1"/>
        </w:rPr>
        <w:t>occurred in Turkey</w:t>
      </w:r>
      <w:r w:rsidR="0081140C">
        <w:rPr>
          <w:color w:val="000000" w:themeColor="text1"/>
        </w:rPr>
        <w:t xml:space="preserve"> (16</w:t>
      </w:r>
      <w:r w:rsidR="00D121A7">
        <w:rPr>
          <w:color w:val="000000" w:themeColor="text1"/>
        </w:rPr>
        <w:t>·</w:t>
      </w:r>
      <w:r w:rsidR="0081140C">
        <w:rPr>
          <w:color w:val="000000" w:themeColor="text1"/>
        </w:rPr>
        <w:t>2 DIDs)</w:t>
      </w:r>
      <w:r w:rsidR="00FD0CA5" w:rsidRPr="00837639">
        <w:rPr>
          <w:color w:val="000000" w:themeColor="text1"/>
        </w:rPr>
        <w:t>, Vietnam</w:t>
      </w:r>
      <w:r w:rsidR="0081140C">
        <w:rPr>
          <w:color w:val="000000" w:themeColor="text1"/>
        </w:rPr>
        <w:t xml:space="preserve"> (10</w:t>
      </w:r>
      <w:r w:rsidR="00D121A7">
        <w:rPr>
          <w:color w:val="000000" w:themeColor="text1"/>
        </w:rPr>
        <w:t>·</w:t>
      </w:r>
      <w:r w:rsidR="0081140C">
        <w:rPr>
          <w:color w:val="000000" w:themeColor="text1"/>
        </w:rPr>
        <w:t>6 DIDs)</w:t>
      </w:r>
      <w:r w:rsidR="00FD0CA5" w:rsidRPr="00837639">
        <w:rPr>
          <w:color w:val="000000" w:themeColor="text1"/>
        </w:rPr>
        <w:t>,</w:t>
      </w:r>
      <w:r w:rsidR="00012B6B">
        <w:rPr>
          <w:color w:val="000000" w:themeColor="text1"/>
        </w:rPr>
        <w:t xml:space="preserve"> and</w:t>
      </w:r>
      <w:r w:rsidR="00FD0CA5" w:rsidRPr="00837639">
        <w:rPr>
          <w:color w:val="000000" w:themeColor="text1"/>
        </w:rPr>
        <w:t xml:space="preserve"> </w:t>
      </w:r>
      <w:r w:rsidR="007B0FD1" w:rsidRPr="00837639">
        <w:rPr>
          <w:color w:val="000000" w:themeColor="text1"/>
        </w:rPr>
        <w:t xml:space="preserve">the </w:t>
      </w:r>
      <w:r w:rsidR="00FD0CA5" w:rsidRPr="00837639">
        <w:rPr>
          <w:color w:val="000000" w:themeColor="text1"/>
        </w:rPr>
        <w:t>United Arab Emirates</w:t>
      </w:r>
      <w:r w:rsidR="0081140C">
        <w:rPr>
          <w:color w:val="000000" w:themeColor="text1"/>
        </w:rPr>
        <w:t xml:space="preserve"> (9</w:t>
      </w:r>
      <w:r w:rsidR="00D121A7">
        <w:rPr>
          <w:color w:val="000000" w:themeColor="text1"/>
        </w:rPr>
        <w:t>·</w:t>
      </w:r>
      <w:r w:rsidR="0081140C">
        <w:rPr>
          <w:color w:val="000000" w:themeColor="text1"/>
        </w:rPr>
        <w:t>9 DIDs)</w:t>
      </w:r>
      <w:r w:rsidR="0068312C" w:rsidRPr="00837639">
        <w:rPr>
          <w:color w:val="000000" w:themeColor="text1"/>
        </w:rPr>
        <w:t xml:space="preserve"> (</w:t>
      </w:r>
      <w:r w:rsidR="0068312C" w:rsidRPr="005B280F">
        <w:rPr>
          <w:color w:val="000000" w:themeColor="text1"/>
        </w:rPr>
        <w:t>Figure 3B</w:t>
      </w:r>
      <w:r w:rsidR="0068312C" w:rsidRPr="00837639">
        <w:rPr>
          <w:color w:val="000000" w:themeColor="text1"/>
        </w:rPr>
        <w:t>)</w:t>
      </w:r>
      <w:r w:rsidR="00FD0CA5" w:rsidRPr="00837639">
        <w:rPr>
          <w:color w:val="000000" w:themeColor="text1"/>
        </w:rPr>
        <w:t xml:space="preserve">. </w:t>
      </w:r>
      <w:r w:rsidR="00C12530">
        <w:rPr>
          <w:color w:val="000000" w:themeColor="text1"/>
        </w:rPr>
        <w:t xml:space="preserve">Despite an overall increase in </w:t>
      </w:r>
      <w:r w:rsidR="00011CCB">
        <w:rPr>
          <w:color w:val="000000" w:themeColor="text1"/>
        </w:rPr>
        <w:t xml:space="preserve">Watch antibiotic </w:t>
      </w:r>
      <w:r w:rsidR="006D5D3C">
        <w:rPr>
          <w:color w:val="000000" w:themeColor="text1"/>
        </w:rPr>
        <w:t xml:space="preserve">consumption </w:t>
      </w:r>
      <w:r w:rsidR="00011CCB">
        <w:rPr>
          <w:color w:val="000000" w:themeColor="text1"/>
        </w:rPr>
        <w:t xml:space="preserve">in </w:t>
      </w:r>
      <w:r w:rsidR="00C12530">
        <w:rPr>
          <w:color w:val="000000" w:themeColor="text1"/>
        </w:rPr>
        <w:t>HICs, a</w:t>
      </w:r>
      <w:r w:rsidR="00FD0CA5" w:rsidRPr="00837639">
        <w:rPr>
          <w:color w:val="000000" w:themeColor="text1"/>
        </w:rPr>
        <w:t xml:space="preserve">bsolute reductions in Watch antibiotic </w:t>
      </w:r>
      <w:r w:rsidR="00D17994">
        <w:rPr>
          <w:color w:val="000000" w:themeColor="text1"/>
        </w:rPr>
        <w:t>consumption</w:t>
      </w:r>
      <w:r w:rsidR="00D17994" w:rsidRPr="00837639">
        <w:rPr>
          <w:color w:val="000000" w:themeColor="text1"/>
        </w:rPr>
        <w:t xml:space="preserve"> </w:t>
      </w:r>
      <w:r w:rsidR="00FD0CA5" w:rsidRPr="00837639">
        <w:rPr>
          <w:color w:val="000000" w:themeColor="text1"/>
        </w:rPr>
        <w:t>were observed in several countries, with Japan, France,</w:t>
      </w:r>
      <w:r w:rsidR="00BD66D1" w:rsidRPr="00837639">
        <w:rPr>
          <w:color w:val="000000" w:themeColor="text1"/>
        </w:rPr>
        <w:t xml:space="preserve"> </w:t>
      </w:r>
      <w:r w:rsidR="00012B6B">
        <w:rPr>
          <w:color w:val="000000" w:themeColor="text1"/>
        </w:rPr>
        <w:t xml:space="preserve">and </w:t>
      </w:r>
      <w:r w:rsidR="00BD66D1" w:rsidRPr="00837639">
        <w:rPr>
          <w:color w:val="000000" w:themeColor="text1"/>
        </w:rPr>
        <w:t>the United States</w:t>
      </w:r>
      <w:r w:rsidR="004B692B">
        <w:rPr>
          <w:color w:val="000000" w:themeColor="text1"/>
        </w:rPr>
        <w:t xml:space="preserve"> </w:t>
      </w:r>
      <w:r w:rsidR="00C12530">
        <w:rPr>
          <w:color w:val="000000" w:themeColor="text1"/>
        </w:rPr>
        <w:t xml:space="preserve">having the largest </w:t>
      </w:r>
      <w:r w:rsidR="00FD0CA5" w:rsidRPr="00837639">
        <w:rPr>
          <w:color w:val="000000" w:themeColor="text1"/>
        </w:rPr>
        <w:t>decrease</w:t>
      </w:r>
      <w:r w:rsidR="00C12530">
        <w:rPr>
          <w:color w:val="000000" w:themeColor="text1"/>
        </w:rPr>
        <w:t xml:space="preserve">s at </w:t>
      </w:r>
      <w:r w:rsidR="000D536B">
        <w:rPr>
          <w:color w:val="000000" w:themeColor="text1"/>
        </w:rPr>
        <w:t>10</w:t>
      </w:r>
      <w:r w:rsidR="00D121A7">
        <w:rPr>
          <w:color w:val="000000" w:themeColor="text1"/>
        </w:rPr>
        <w:t>·</w:t>
      </w:r>
      <w:r w:rsidR="000D536B">
        <w:rPr>
          <w:color w:val="000000" w:themeColor="text1"/>
        </w:rPr>
        <w:t>0, 6</w:t>
      </w:r>
      <w:r w:rsidR="00D121A7">
        <w:rPr>
          <w:color w:val="000000" w:themeColor="text1"/>
        </w:rPr>
        <w:t>·</w:t>
      </w:r>
      <w:r w:rsidR="000D536B">
        <w:rPr>
          <w:color w:val="000000" w:themeColor="text1"/>
        </w:rPr>
        <w:t>8, and 2</w:t>
      </w:r>
      <w:r w:rsidR="00D121A7">
        <w:rPr>
          <w:color w:val="000000" w:themeColor="text1"/>
        </w:rPr>
        <w:t>·</w:t>
      </w:r>
      <w:r w:rsidR="00012B6B">
        <w:rPr>
          <w:color w:val="000000" w:themeColor="text1"/>
        </w:rPr>
        <w:t>4</w:t>
      </w:r>
      <w:r w:rsidR="000D536B">
        <w:rPr>
          <w:color w:val="000000" w:themeColor="text1"/>
        </w:rPr>
        <w:t xml:space="preserve"> DIDs,</w:t>
      </w:r>
      <w:r w:rsidR="00CE34CF">
        <w:rPr>
          <w:color w:val="000000" w:themeColor="text1"/>
        </w:rPr>
        <w:t xml:space="preserve"> </w:t>
      </w:r>
      <w:r w:rsidR="000D536B">
        <w:rPr>
          <w:color w:val="000000" w:themeColor="text1"/>
        </w:rPr>
        <w:t>respectively</w:t>
      </w:r>
      <w:r w:rsidR="00FD0CA5" w:rsidRPr="00837639">
        <w:rPr>
          <w:color w:val="000000" w:themeColor="text1"/>
        </w:rPr>
        <w:t>.</w:t>
      </w:r>
    </w:p>
    <w:p w14:paraId="05204DEA" w14:textId="77777777" w:rsidR="0068312C" w:rsidRPr="00837639" w:rsidRDefault="0068312C" w:rsidP="009B68F6">
      <w:pPr>
        <w:spacing w:line="480" w:lineRule="auto"/>
        <w:rPr>
          <w:color w:val="000000" w:themeColor="text1"/>
        </w:rPr>
      </w:pPr>
    </w:p>
    <w:p w14:paraId="4A4FAB6D" w14:textId="501F9541" w:rsidR="004B692B" w:rsidRDefault="001D34A5" w:rsidP="00080C34">
      <w:pPr>
        <w:spacing w:line="480" w:lineRule="auto"/>
        <w:rPr>
          <w:color w:val="000000" w:themeColor="text1"/>
        </w:rPr>
      </w:pPr>
      <w:r w:rsidRPr="00837639">
        <w:rPr>
          <w:color w:val="000000" w:themeColor="text1"/>
        </w:rPr>
        <w:t>T</w:t>
      </w:r>
      <w:r w:rsidR="00B5661D" w:rsidRPr="00837639">
        <w:rPr>
          <w:color w:val="000000" w:themeColor="text1"/>
        </w:rPr>
        <w:t xml:space="preserve">he </w:t>
      </w:r>
      <w:r w:rsidR="002F485F" w:rsidRPr="00837639">
        <w:rPr>
          <w:color w:val="000000" w:themeColor="text1"/>
        </w:rPr>
        <w:t>proportion of</w:t>
      </w:r>
      <w:r w:rsidR="00B5661D" w:rsidRPr="00837639">
        <w:rPr>
          <w:color w:val="000000" w:themeColor="text1"/>
        </w:rPr>
        <w:t xml:space="preserve"> countries in which </w:t>
      </w:r>
      <w:r w:rsidR="002F485F" w:rsidRPr="00837639">
        <w:rPr>
          <w:color w:val="000000" w:themeColor="text1"/>
        </w:rPr>
        <w:t xml:space="preserve">Access antibiotics </w:t>
      </w:r>
      <w:r w:rsidR="00B5661D" w:rsidRPr="00837639">
        <w:rPr>
          <w:color w:val="000000" w:themeColor="text1"/>
        </w:rPr>
        <w:t>constituted</w:t>
      </w:r>
      <w:r w:rsidR="00F67127">
        <w:rPr>
          <w:color w:val="000000" w:themeColor="text1"/>
        </w:rPr>
        <w:t xml:space="preserve"> at least</w:t>
      </w:r>
      <w:r w:rsidR="00B5661D" w:rsidRPr="00837639">
        <w:rPr>
          <w:color w:val="000000" w:themeColor="text1"/>
        </w:rPr>
        <w:t xml:space="preserve"> 60% of their </w:t>
      </w:r>
      <w:r w:rsidR="002F485F" w:rsidRPr="00837639">
        <w:rPr>
          <w:color w:val="000000" w:themeColor="text1"/>
        </w:rPr>
        <w:t>total antibiotic</w:t>
      </w:r>
      <w:r w:rsidR="00B5661D" w:rsidRPr="00837639">
        <w:rPr>
          <w:color w:val="000000" w:themeColor="text1"/>
        </w:rPr>
        <w:t xml:space="preserve"> </w:t>
      </w:r>
      <w:r w:rsidR="00D17994">
        <w:rPr>
          <w:color w:val="000000" w:themeColor="text1"/>
        </w:rPr>
        <w:t>consumption</w:t>
      </w:r>
      <w:r w:rsidR="00D17994" w:rsidRPr="00837639">
        <w:rPr>
          <w:color w:val="000000" w:themeColor="text1"/>
        </w:rPr>
        <w:t xml:space="preserve"> </w:t>
      </w:r>
      <w:r w:rsidR="008178B4" w:rsidRPr="00837639">
        <w:rPr>
          <w:color w:val="000000" w:themeColor="text1"/>
        </w:rPr>
        <w:t xml:space="preserve">declined </w:t>
      </w:r>
      <w:r w:rsidR="002F485F" w:rsidRPr="00837639">
        <w:rPr>
          <w:color w:val="000000" w:themeColor="text1"/>
        </w:rPr>
        <w:t>over the study period</w:t>
      </w:r>
      <w:r w:rsidR="008178B4" w:rsidRPr="00837639">
        <w:rPr>
          <w:color w:val="000000" w:themeColor="text1"/>
        </w:rPr>
        <w:t xml:space="preserve"> from a high of 76%</w:t>
      </w:r>
      <w:r w:rsidR="004B692B">
        <w:rPr>
          <w:color w:val="000000" w:themeColor="text1"/>
        </w:rPr>
        <w:t xml:space="preserve"> </w:t>
      </w:r>
      <w:r w:rsidR="004B692B" w:rsidRPr="00837639">
        <w:rPr>
          <w:color w:val="000000" w:themeColor="text1"/>
        </w:rPr>
        <w:t>in 2000</w:t>
      </w:r>
      <w:r w:rsidR="008178B4" w:rsidRPr="00837639">
        <w:rPr>
          <w:color w:val="000000" w:themeColor="text1"/>
        </w:rPr>
        <w:t xml:space="preserve"> (50 of 66 countries) to 55% in 2015 (42 of 76 countries)</w:t>
      </w:r>
      <w:r w:rsidR="00752364" w:rsidRPr="00837639">
        <w:rPr>
          <w:color w:val="000000" w:themeColor="text1"/>
        </w:rPr>
        <w:t xml:space="preserve"> </w:t>
      </w:r>
      <w:r w:rsidR="006369A1">
        <w:rPr>
          <w:color w:val="000000" w:themeColor="text1"/>
        </w:rPr>
        <w:t>(</w:t>
      </w:r>
      <w:r w:rsidR="007727A8">
        <w:rPr>
          <w:color w:val="000000" w:themeColor="text1"/>
        </w:rPr>
        <w:t xml:space="preserve">Figure </w:t>
      </w:r>
      <w:r w:rsidR="005B280F">
        <w:rPr>
          <w:color w:val="000000" w:themeColor="text1"/>
        </w:rPr>
        <w:t>4</w:t>
      </w:r>
      <w:r w:rsidR="006369A1" w:rsidRPr="0057159B">
        <w:rPr>
          <w:color w:val="000000" w:themeColor="text1"/>
        </w:rPr>
        <w:t>,</w:t>
      </w:r>
      <w:r w:rsidR="006369A1">
        <w:rPr>
          <w:color w:val="000000" w:themeColor="text1"/>
        </w:rPr>
        <w:t xml:space="preserve"> </w:t>
      </w:r>
      <w:r w:rsidR="00752364" w:rsidRPr="00837639">
        <w:rPr>
          <w:color w:val="000000" w:themeColor="text1"/>
        </w:rPr>
        <w:t>S</w:t>
      </w:r>
      <w:r w:rsidR="00B5661D" w:rsidRPr="00837639">
        <w:rPr>
          <w:color w:val="000000" w:themeColor="text1"/>
        </w:rPr>
        <w:t xml:space="preserve">upplementary Table </w:t>
      </w:r>
      <w:r w:rsidR="005B280F">
        <w:rPr>
          <w:color w:val="000000" w:themeColor="text1"/>
        </w:rPr>
        <w:t>2</w:t>
      </w:r>
      <w:r w:rsidR="00752364" w:rsidRPr="00837639">
        <w:rPr>
          <w:color w:val="000000" w:themeColor="text1"/>
        </w:rPr>
        <w:t>)</w:t>
      </w:r>
      <w:r w:rsidR="002F485F" w:rsidRPr="00837639">
        <w:rPr>
          <w:color w:val="000000" w:themeColor="text1"/>
        </w:rPr>
        <w:t xml:space="preserve">. </w:t>
      </w:r>
      <w:r w:rsidR="000D4C62">
        <w:rPr>
          <w:color w:val="000000" w:themeColor="text1"/>
        </w:rPr>
        <w:t>A</w:t>
      </w:r>
      <w:r w:rsidR="00FD0CA5" w:rsidRPr="00837639">
        <w:rPr>
          <w:color w:val="000000" w:themeColor="text1"/>
        </w:rPr>
        <w:t>ll LMIC</w:t>
      </w:r>
      <w:r w:rsidR="00390F8E">
        <w:rPr>
          <w:color w:val="000000" w:themeColor="text1"/>
        </w:rPr>
        <w:t>s</w:t>
      </w:r>
      <w:r w:rsidR="00221013">
        <w:rPr>
          <w:color w:val="000000" w:themeColor="text1"/>
        </w:rPr>
        <w:t xml:space="preserve"> </w:t>
      </w:r>
      <w:r w:rsidR="000D4C62">
        <w:rPr>
          <w:color w:val="000000" w:themeColor="text1"/>
        </w:rPr>
        <w:lastRenderedPageBreak/>
        <w:t xml:space="preserve">had declines in the relative </w:t>
      </w:r>
      <w:r w:rsidR="00D17994">
        <w:rPr>
          <w:color w:val="000000" w:themeColor="text1"/>
        </w:rPr>
        <w:t xml:space="preserve">consumption </w:t>
      </w:r>
      <w:r w:rsidR="000D4C62">
        <w:rPr>
          <w:color w:val="000000" w:themeColor="text1"/>
        </w:rPr>
        <w:t>of Access antibiotics compared to Watch antibiotics</w:t>
      </w:r>
      <w:r w:rsidR="00221013">
        <w:rPr>
          <w:color w:val="000000" w:themeColor="text1"/>
        </w:rPr>
        <w:t xml:space="preserve">, except in South Africa where relative </w:t>
      </w:r>
      <w:r w:rsidR="00D17994">
        <w:rPr>
          <w:color w:val="000000" w:themeColor="text1"/>
        </w:rPr>
        <w:t xml:space="preserve">consumption </w:t>
      </w:r>
      <w:r w:rsidR="00221013">
        <w:rPr>
          <w:color w:val="000000" w:themeColor="text1"/>
        </w:rPr>
        <w:t xml:space="preserve">increased from </w:t>
      </w:r>
      <w:r w:rsidR="00221013" w:rsidRPr="00837639">
        <w:rPr>
          <w:color w:val="000000" w:themeColor="text1"/>
        </w:rPr>
        <w:t>75</w:t>
      </w:r>
      <w:r w:rsidR="00E17DBB">
        <w:rPr>
          <w:color w:val="000000" w:themeColor="text1"/>
        </w:rPr>
        <w:t>·</w:t>
      </w:r>
      <w:r w:rsidR="00221013" w:rsidRPr="00837639">
        <w:rPr>
          <w:color w:val="000000" w:themeColor="text1"/>
        </w:rPr>
        <w:t>0% to 81</w:t>
      </w:r>
      <w:r w:rsidR="00E17DBB">
        <w:rPr>
          <w:color w:val="000000" w:themeColor="text1"/>
        </w:rPr>
        <w:t>·</w:t>
      </w:r>
      <w:r w:rsidR="00221013" w:rsidRPr="00837639">
        <w:rPr>
          <w:color w:val="000000" w:themeColor="text1"/>
        </w:rPr>
        <w:t>5%</w:t>
      </w:r>
      <w:r w:rsidR="000D4C62">
        <w:rPr>
          <w:color w:val="000000" w:themeColor="text1"/>
        </w:rPr>
        <w:t xml:space="preserve">. The largest declines were in </w:t>
      </w:r>
      <w:r w:rsidR="000D4C62" w:rsidRPr="00837639">
        <w:rPr>
          <w:color w:val="000000" w:themeColor="text1"/>
        </w:rPr>
        <w:t>Slovakia (72</w:t>
      </w:r>
      <w:r w:rsidR="00E17DBB">
        <w:rPr>
          <w:color w:val="000000" w:themeColor="text1"/>
        </w:rPr>
        <w:t>·</w:t>
      </w:r>
      <w:r w:rsidR="000D4C62" w:rsidRPr="00837639">
        <w:rPr>
          <w:color w:val="000000" w:themeColor="text1"/>
        </w:rPr>
        <w:t>7% in 2000 to 41</w:t>
      </w:r>
      <w:r w:rsidR="00E17DBB">
        <w:rPr>
          <w:color w:val="000000" w:themeColor="text1"/>
        </w:rPr>
        <w:t>·</w:t>
      </w:r>
      <w:r w:rsidR="000D4C62" w:rsidRPr="00837639">
        <w:rPr>
          <w:color w:val="000000" w:themeColor="text1"/>
        </w:rPr>
        <w:t>4% in 2015), India (56</w:t>
      </w:r>
      <w:r w:rsidR="00E17DBB">
        <w:rPr>
          <w:color w:val="000000" w:themeColor="text1"/>
        </w:rPr>
        <w:t>·</w:t>
      </w:r>
      <w:r w:rsidR="000D4C62" w:rsidRPr="00837639">
        <w:rPr>
          <w:color w:val="000000" w:themeColor="text1"/>
        </w:rPr>
        <w:t>8% to 27</w:t>
      </w:r>
      <w:r w:rsidR="00E17DBB">
        <w:rPr>
          <w:color w:val="000000" w:themeColor="text1"/>
        </w:rPr>
        <w:t>·</w:t>
      </w:r>
      <w:r w:rsidR="000D4C62" w:rsidRPr="00837639">
        <w:rPr>
          <w:color w:val="000000" w:themeColor="text1"/>
        </w:rPr>
        <w:t xml:space="preserve">2%), </w:t>
      </w:r>
      <w:r w:rsidR="00012B6B">
        <w:rPr>
          <w:color w:val="000000" w:themeColor="text1"/>
        </w:rPr>
        <w:t xml:space="preserve">and </w:t>
      </w:r>
      <w:r w:rsidR="000D4C62" w:rsidRPr="00837639">
        <w:rPr>
          <w:color w:val="000000" w:themeColor="text1"/>
        </w:rPr>
        <w:t>Russia (76</w:t>
      </w:r>
      <w:r w:rsidR="00E17DBB">
        <w:rPr>
          <w:color w:val="000000" w:themeColor="text1"/>
        </w:rPr>
        <w:t>·</w:t>
      </w:r>
      <w:r w:rsidR="000D4C62" w:rsidRPr="00837639">
        <w:rPr>
          <w:color w:val="000000" w:themeColor="text1"/>
        </w:rPr>
        <w:t>0% to 48</w:t>
      </w:r>
      <w:r w:rsidR="00E17DBB">
        <w:rPr>
          <w:color w:val="000000" w:themeColor="text1"/>
        </w:rPr>
        <w:t>·</w:t>
      </w:r>
      <w:r w:rsidR="000D4C62" w:rsidRPr="00837639">
        <w:rPr>
          <w:color w:val="000000" w:themeColor="text1"/>
        </w:rPr>
        <w:t>1%)</w:t>
      </w:r>
      <w:r w:rsidR="000D4C62">
        <w:rPr>
          <w:color w:val="000000" w:themeColor="text1"/>
        </w:rPr>
        <w:t xml:space="preserve">. </w:t>
      </w:r>
      <w:r w:rsidR="00221013">
        <w:rPr>
          <w:color w:val="000000" w:themeColor="text1"/>
        </w:rPr>
        <w:t xml:space="preserve">Relative </w:t>
      </w:r>
      <w:r w:rsidR="00D17994">
        <w:rPr>
          <w:color w:val="000000" w:themeColor="text1"/>
        </w:rPr>
        <w:t xml:space="preserve">consumption </w:t>
      </w:r>
      <w:r w:rsidR="00221013">
        <w:rPr>
          <w:color w:val="000000" w:themeColor="text1"/>
        </w:rPr>
        <w:t xml:space="preserve">of Access antibiotics in </w:t>
      </w:r>
      <w:r w:rsidR="00080C34">
        <w:rPr>
          <w:color w:val="000000" w:themeColor="text1"/>
        </w:rPr>
        <w:t xml:space="preserve">HICs were characterized by a flat U-shaped curve, in which there were small declines between 2000 and 2006, followed by </w:t>
      </w:r>
      <w:r w:rsidR="00011CCB">
        <w:rPr>
          <w:color w:val="000000" w:themeColor="text1"/>
        </w:rPr>
        <w:t xml:space="preserve">an </w:t>
      </w:r>
      <w:r w:rsidR="00080C34">
        <w:rPr>
          <w:color w:val="000000" w:themeColor="text1"/>
        </w:rPr>
        <w:t>increase</w:t>
      </w:r>
      <w:r w:rsidR="00011CCB">
        <w:rPr>
          <w:color w:val="000000" w:themeColor="text1"/>
        </w:rPr>
        <w:t xml:space="preserve"> </w:t>
      </w:r>
      <w:r w:rsidR="00080C34">
        <w:rPr>
          <w:color w:val="000000" w:themeColor="text1"/>
        </w:rPr>
        <w:t xml:space="preserve">between 2011 and 2015. The largest increases were in </w:t>
      </w:r>
      <w:r w:rsidR="00080C34" w:rsidRPr="00080C34">
        <w:rPr>
          <w:color w:val="000000" w:themeColor="text1"/>
        </w:rPr>
        <w:t>France</w:t>
      </w:r>
      <w:r w:rsidR="00080C34">
        <w:rPr>
          <w:color w:val="000000" w:themeColor="text1"/>
        </w:rPr>
        <w:t xml:space="preserve"> </w:t>
      </w:r>
      <w:r w:rsidR="00080C34" w:rsidRPr="00080C34">
        <w:rPr>
          <w:color w:val="000000" w:themeColor="text1"/>
        </w:rPr>
        <w:t>(51</w:t>
      </w:r>
      <w:r w:rsidR="00E17DBB">
        <w:rPr>
          <w:color w:val="000000" w:themeColor="text1"/>
        </w:rPr>
        <w:t>·</w:t>
      </w:r>
      <w:r w:rsidR="00080C34" w:rsidRPr="00080C34">
        <w:rPr>
          <w:color w:val="000000" w:themeColor="text1"/>
        </w:rPr>
        <w:t>1% to 67</w:t>
      </w:r>
      <w:r w:rsidR="00E17DBB">
        <w:rPr>
          <w:color w:val="000000" w:themeColor="text1"/>
        </w:rPr>
        <w:t>·</w:t>
      </w:r>
      <w:r w:rsidR="00080C34" w:rsidRPr="00080C34">
        <w:rPr>
          <w:color w:val="000000" w:themeColor="text1"/>
        </w:rPr>
        <w:t>7%)</w:t>
      </w:r>
      <w:r w:rsidR="00080C34">
        <w:rPr>
          <w:color w:val="000000" w:themeColor="text1"/>
        </w:rPr>
        <w:t xml:space="preserve">, Kuwait </w:t>
      </w:r>
      <w:r w:rsidR="00080C34" w:rsidRPr="00080C34">
        <w:rPr>
          <w:color w:val="000000" w:themeColor="text1"/>
        </w:rPr>
        <w:t>(48</w:t>
      </w:r>
      <w:r w:rsidR="00E17DBB">
        <w:rPr>
          <w:color w:val="000000" w:themeColor="text1"/>
        </w:rPr>
        <w:t>·</w:t>
      </w:r>
      <w:r w:rsidR="00080C34" w:rsidRPr="00080C34">
        <w:rPr>
          <w:color w:val="000000" w:themeColor="text1"/>
        </w:rPr>
        <w:t>6% to 64</w:t>
      </w:r>
      <w:r w:rsidR="00E17DBB">
        <w:rPr>
          <w:color w:val="000000" w:themeColor="text1"/>
        </w:rPr>
        <w:t>·</w:t>
      </w:r>
      <w:r w:rsidR="00080C34" w:rsidRPr="00080C34">
        <w:rPr>
          <w:color w:val="000000" w:themeColor="text1"/>
        </w:rPr>
        <w:t>4%)</w:t>
      </w:r>
      <w:r w:rsidR="00080C34">
        <w:rPr>
          <w:color w:val="000000" w:themeColor="text1"/>
        </w:rPr>
        <w:t xml:space="preserve">, </w:t>
      </w:r>
      <w:r w:rsidR="00012B6B">
        <w:rPr>
          <w:color w:val="000000" w:themeColor="text1"/>
        </w:rPr>
        <w:t xml:space="preserve">and </w:t>
      </w:r>
      <w:r w:rsidR="00080C34">
        <w:rPr>
          <w:color w:val="000000" w:themeColor="text1"/>
        </w:rPr>
        <w:t xml:space="preserve">Spain </w:t>
      </w:r>
      <w:r w:rsidR="00080C34" w:rsidRPr="00080C34">
        <w:rPr>
          <w:color w:val="000000" w:themeColor="text1"/>
        </w:rPr>
        <w:t>(56</w:t>
      </w:r>
      <w:r w:rsidR="00E17DBB">
        <w:rPr>
          <w:color w:val="000000" w:themeColor="text1"/>
        </w:rPr>
        <w:t>·</w:t>
      </w:r>
      <w:r w:rsidR="00080C34" w:rsidRPr="00080C34">
        <w:rPr>
          <w:color w:val="000000" w:themeColor="text1"/>
        </w:rPr>
        <w:t>6% to 68</w:t>
      </w:r>
      <w:r w:rsidR="00E17DBB">
        <w:rPr>
          <w:color w:val="000000" w:themeColor="text1"/>
        </w:rPr>
        <w:t>·</w:t>
      </w:r>
      <w:r w:rsidR="00080C34" w:rsidRPr="00080C34">
        <w:rPr>
          <w:color w:val="000000" w:themeColor="text1"/>
        </w:rPr>
        <w:t>5%)</w:t>
      </w:r>
      <w:r w:rsidR="008178B4" w:rsidRPr="00837639">
        <w:rPr>
          <w:color w:val="000000" w:themeColor="text1"/>
        </w:rPr>
        <w:t>.</w:t>
      </w:r>
      <w:r w:rsidR="00080C34">
        <w:rPr>
          <w:color w:val="000000" w:themeColor="text1"/>
        </w:rPr>
        <w:t xml:space="preserve"> </w:t>
      </w:r>
    </w:p>
    <w:p w14:paraId="4BA618EF" w14:textId="77777777" w:rsidR="00080C34" w:rsidRDefault="00080C34" w:rsidP="003F2568">
      <w:pPr>
        <w:spacing w:line="480" w:lineRule="auto"/>
        <w:rPr>
          <w:color w:val="000000" w:themeColor="text1"/>
        </w:rPr>
      </w:pPr>
    </w:p>
    <w:p w14:paraId="710B5EE9" w14:textId="1FEB6085" w:rsidR="003F2568" w:rsidRPr="00837639" w:rsidRDefault="00080C34" w:rsidP="003F2568">
      <w:pPr>
        <w:spacing w:line="480" w:lineRule="auto"/>
        <w:rPr>
          <w:color w:val="000000" w:themeColor="text1"/>
        </w:rPr>
      </w:pPr>
      <w:r>
        <w:rPr>
          <w:color w:val="000000" w:themeColor="text1"/>
        </w:rPr>
        <w:t xml:space="preserve">The declines in </w:t>
      </w:r>
      <w:r w:rsidR="00011CCB">
        <w:rPr>
          <w:color w:val="000000" w:themeColor="text1"/>
        </w:rPr>
        <w:t xml:space="preserve">the </w:t>
      </w:r>
      <w:r>
        <w:rPr>
          <w:color w:val="000000" w:themeColor="text1"/>
        </w:rPr>
        <w:t xml:space="preserve">relative </w:t>
      </w:r>
      <w:r w:rsidR="004F5908">
        <w:rPr>
          <w:color w:val="000000" w:themeColor="text1"/>
        </w:rPr>
        <w:t xml:space="preserve">consumption </w:t>
      </w:r>
      <w:r>
        <w:rPr>
          <w:color w:val="000000" w:themeColor="text1"/>
        </w:rPr>
        <w:t xml:space="preserve">of Access antibiotics </w:t>
      </w:r>
      <w:r w:rsidR="00496E6F" w:rsidRPr="00837639">
        <w:rPr>
          <w:color w:val="000000" w:themeColor="text1"/>
        </w:rPr>
        <w:t>b</w:t>
      </w:r>
      <w:r w:rsidR="003F2568" w:rsidRPr="00837639">
        <w:rPr>
          <w:color w:val="000000" w:themeColor="text1"/>
        </w:rPr>
        <w:t>etween 2000 and 2015</w:t>
      </w:r>
      <w:r>
        <w:rPr>
          <w:color w:val="000000" w:themeColor="text1"/>
        </w:rPr>
        <w:t xml:space="preserve"> are reflected in the </w:t>
      </w:r>
      <w:r w:rsidR="00982702">
        <w:rPr>
          <w:color w:val="000000" w:themeColor="text1"/>
        </w:rPr>
        <w:t>g</w:t>
      </w:r>
      <w:r>
        <w:rPr>
          <w:color w:val="000000" w:themeColor="text1"/>
        </w:rPr>
        <w:t>lobal</w:t>
      </w:r>
      <w:r w:rsidR="003F2568" w:rsidRPr="00837639">
        <w:rPr>
          <w:color w:val="000000" w:themeColor="text1"/>
        </w:rPr>
        <w:t xml:space="preserve"> Access-to-Watch Index</w:t>
      </w:r>
      <w:r w:rsidR="00496E6F" w:rsidRPr="00837639">
        <w:rPr>
          <w:color w:val="000000" w:themeColor="text1"/>
        </w:rPr>
        <w:t xml:space="preserve"> (</w:t>
      </w:r>
      <w:r w:rsidR="00221013">
        <w:rPr>
          <w:color w:val="000000" w:themeColor="text1"/>
        </w:rPr>
        <w:t>ratio</w:t>
      </w:r>
      <w:r w:rsidR="00221013" w:rsidRPr="00837639">
        <w:rPr>
          <w:color w:val="000000" w:themeColor="text1"/>
        </w:rPr>
        <w:t xml:space="preserve"> </w:t>
      </w:r>
      <w:r w:rsidR="00496E6F" w:rsidRPr="00837639">
        <w:rPr>
          <w:color w:val="000000" w:themeColor="text1"/>
        </w:rPr>
        <w:t>of D</w:t>
      </w:r>
      <w:r w:rsidR="00DC64F5">
        <w:rPr>
          <w:color w:val="000000" w:themeColor="text1"/>
        </w:rPr>
        <w:t>I</w:t>
      </w:r>
      <w:r w:rsidR="00496E6F" w:rsidRPr="00837639">
        <w:rPr>
          <w:color w:val="000000" w:themeColor="text1"/>
        </w:rPr>
        <w:t>Ds of Access to Watch antibiotics)</w:t>
      </w:r>
      <w:r>
        <w:rPr>
          <w:color w:val="000000" w:themeColor="text1"/>
        </w:rPr>
        <w:t>, which</w:t>
      </w:r>
      <w:r w:rsidR="00496E6F" w:rsidRPr="00837639">
        <w:rPr>
          <w:color w:val="000000" w:themeColor="text1"/>
        </w:rPr>
        <w:t xml:space="preserve"> </w:t>
      </w:r>
      <w:r w:rsidR="003F2568" w:rsidRPr="00837639">
        <w:rPr>
          <w:color w:val="000000" w:themeColor="text1"/>
        </w:rPr>
        <w:t>fell by 3</w:t>
      </w:r>
      <w:r w:rsidR="00177C69" w:rsidRPr="00837639">
        <w:rPr>
          <w:color w:val="000000" w:themeColor="text1"/>
        </w:rPr>
        <w:t>4</w:t>
      </w:r>
      <w:r w:rsidR="005D6C83">
        <w:rPr>
          <w:color w:val="000000" w:themeColor="text1"/>
        </w:rPr>
        <w:t>·</w:t>
      </w:r>
      <w:r w:rsidR="00177C69" w:rsidRPr="00837639">
        <w:rPr>
          <w:color w:val="000000" w:themeColor="text1"/>
        </w:rPr>
        <w:t>6</w:t>
      </w:r>
      <w:r w:rsidR="003F2568" w:rsidRPr="00837639">
        <w:rPr>
          <w:color w:val="000000" w:themeColor="text1"/>
        </w:rPr>
        <w:t>%, from 2</w:t>
      </w:r>
      <w:r w:rsidR="005D6C83">
        <w:rPr>
          <w:color w:val="000000" w:themeColor="text1"/>
        </w:rPr>
        <w:t>·</w:t>
      </w:r>
      <w:r w:rsidR="00F8064E" w:rsidRPr="00837639">
        <w:rPr>
          <w:color w:val="000000" w:themeColor="text1"/>
        </w:rPr>
        <w:t>6</w:t>
      </w:r>
      <w:r w:rsidR="003F2568" w:rsidRPr="00837639">
        <w:rPr>
          <w:color w:val="000000" w:themeColor="text1"/>
        </w:rPr>
        <w:t xml:space="preserve"> to 1</w:t>
      </w:r>
      <w:r w:rsidR="005D6C83">
        <w:rPr>
          <w:color w:val="000000" w:themeColor="text1"/>
        </w:rPr>
        <w:t>·</w:t>
      </w:r>
      <w:r w:rsidR="00451979" w:rsidRPr="00837639">
        <w:rPr>
          <w:color w:val="000000" w:themeColor="text1"/>
        </w:rPr>
        <w:t>5</w:t>
      </w:r>
      <w:r w:rsidR="003F2568" w:rsidRPr="00837639">
        <w:rPr>
          <w:color w:val="000000" w:themeColor="text1"/>
        </w:rPr>
        <w:t xml:space="preserve"> (Figure 2C). The rate of decrease was considerably higher in LMICs, </w:t>
      </w:r>
      <w:r w:rsidR="00011CCB">
        <w:rPr>
          <w:color w:val="000000" w:themeColor="text1"/>
        </w:rPr>
        <w:t>in which</w:t>
      </w:r>
      <w:r w:rsidR="00011CCB" w:rsidRPr="00837639">
        <w:rPr>
          <w:color w:val="000000" w:themeColor="text1"/>
        </w:rPr>
        <w:t xml:space="preserve"> </w:t>
      </w:r>
      <w:r w:rsidR="003F2568" w:rsidRPr="00837639">
        <w:rPr>
          <w:color w:val="000000" w:themeColor="text1"/>
        </w:rPr>
        <w:t xml:space="preserve">the </w:t>
      </w:r>
      <w:r w:rsidR="00CC4E15" w:rsidRPr="00837639">
        <w:rPr>
          <w:color w:val="000000" w:themeColor="text1"/>
        </w:rPr>
        <w:t>I</w:t>
      </w:r>
      <w:r w:rsidR="003F2568" w:rsidRPr="00837639">
        <w:rPr>
          <w:color w:val="000000" w:themeColor="text1"/>
        </w:rPr>
        <w:t xml:space="preserve">ndex </w:t>
      </w:r>
      <w:r w:rsidR="00E8611A">
        <w:rPr>
          <w:color w:val="000000" w:themeColor="text1"/>
        </w:rPr>
        <w:t>declined</w:t>
      </w:r>
      <w:r w:rsidR="00E8611A" w:rsidRPr="00837639">
        <w:rPr>
          <w:color w:val="000000" w:themeColor="text1"/>
        </w:rPr>
        <w:t xml:space="preserve"> </w:t>
      </w:r>
      <w:r w:rsidR="003F2568" w:rsidRPr="00837639">
        <w:rPr>
          <w:color w:val="000000" w:themeColor="text1"/>
        </w:rPr>
        <w:t>by 4</w:t>
      </w:r>
      <w:r w:rsidR="00CC5274" w:rsidRPr="00837639">
        <w:rPr>
          <w:color w:val="000000" w:themeColor="text1"/>
        </w:rPr>
        <w:t>6</w:t>
      </w:r>
      <w:r w:rsidR="005D6C83">
        <w:rPr>
          <w:color w:val="000000" w:themeColor="text1"/>
        </w:rPr>
        <w:t>·</w:t>
      </w:r>
      <w:r w:rsidR="00CE0B16" w:rsidRPr="00837639">
        <w:rPr>
          <w:color w:val="000000" w:themeColor="text1"/>
        </w:rPr>
        <w:t>7</w:t>
      </w:r>
      <w:r w:rsidR="003F2568" w:rsidRPr="00837639">
        <w:rPr>
          <w:color w:val="000000" w:themeColor="text1"/>
        </w:rPr>
        <w:t xml:space="preserve">% (from </w:t>
      </w:r>
      <w:r w:rsidR="004A74CF" w:rsidRPr="00837639">
        <w:rPr>
          <w:color w:val="000000" w:themeColor="text1"/>
        </w:rPr>
        <w:t>3</w:t>
      </w:r>
      <w:r w:rsidR="005D6C83">
        <w:rPr>
          <w:color w:val="000000" w:themeColor="text1"/>
        </w:rPr>
        <w:t>·</w:t>
      </w:r>
      <w:r w:rsidR="004A74CF" w:rsidRPr="00837639">
        <w:rPr>
          <w:color w:val="000000" w:themeColor="text1"/>
        </w:rPr>
        <w:t>0</w:t>
      </w:r>
      <w:r w:rsidR="003F2568" w:rsidRPr="00837639">
        <w:rPr>
          <w:color w:val="000000" w:themeColor="text1"/>
        </w:rPr>
        <w:t xml:space="preserve"> to 1</w:t>
      </w:r>
      <w:r w:rsidR="005D6C83">
        <w:rPr>
          <w:color w:val="000000" w:themeColor="text1"/>
        </w:rPr>
        <w:t>·</w:t>
      </w:r>
      <w:r w:rsidR="00BA7D95" w:rsidRPr="00837639">
        <w:rPr>
          <w:color w:val="000000" w:themeColor="text1"/>
        </w:rPr>
        <w:t>6</w:t>
      </w:r>
      <w:r w:rsidR="003F2568" w:rsidRPr="00837639">
        <w:rPr>
          <w:color w:val="000000" w:themeColor="text1"/>
        </w:rPr>
        <w:t>) in comparison with a 1</w:t>
      </w:r>
      <w:r w:rsidR="00D0415C" w:rsidRPr="00837639">
        <w:rPr>
          <w:color w:val="000000" w:themeColor="text1"/>
        </w:rPr>
        <w:t>6</w:t>
      </w:r>
      <w:r w:rsidR="005D6C83">
        <w:rPr>
          <w:color w:val="000000" w:themeColor="text1"/>
        </w:rPr>
        <w:t>·</w:t>
      </w:r>
      <w:r w:rsidR="00D0415C" w:rsidRPr="00837639">
        <w:rPr>
          <w:color w:val="000000" w:themeColor="text1"/>
        </w:rPr>
        <w:t>7</w:t>
      </w:r>
      <w:r w:rsidR="003F2568" w:rsidRPr="00837639">
        <w:rPr>
          <w:color w:val="000000" w:themeColor="text1"/>
        </w:rPr>
        <w:t xml:space="preserve">% </w:t>
      </w:r>
      <w:r w:rsidR="00E8611A">
        <w:rPr>
          <w:color w:val="000000" w:themeColor="text1"/>
        </w:rPr>
        <w:t>reduction</w:t>
      </w:r>
      <w:r w:rsidR="00E8611A" w:rsidRPr="00837639">
        <w:rPr>
          <w:color w:val="000000" w:themeColor="text1"/>
        </w:rPr>
        <w:t xml:space="preserve"> </w:t>
      </w:r>
      <w:r w:rsidR="003F2568" w:rsidRPr="00837639">
        <w:rPr>
          <w:color w:val="000000" w:themeColor="text1"/>
        </w:rPr>
        <w:t xml:space="preserve">in HICs (from </w:t>
      </w:r>
      <w:r w:rsidR="00B17608" w:rsidRPr="00837639">
        <w:rPr>
          <w:color w:val="000000" w:themeColor="text1"/>
        </w:rPr>
        <w:t>1</w:t>
      </w:r>
      <w:r w:rsidR="005D6C83">
        <w:rPr>
          <w:color w:val="000000" w:themeColor="text1"/>
        </w:rPr>
        <w:t>·</w:t>
      </w:r>
      <w:r w:rsidR="00B17608" w:rsidRPr="00837639">
        <w:rPr>
          <w:color w:val="000000" w:themeColor="text1"/>
        </w:rPr>
        <w:t>8</w:t>
      </w:r>
      <w:r w:rsidR="003F2568" w:rsidRPr="00837639">
        <w:rPr>
          <w:color w:val="000000" w:themeColor="text1"/>
        </w:rPr>
        <w:t xml:space="preserve"> to 1</w:t>
      </w:r>
      <w:r w:rsidR="005D6C83">
        <w:rPr>
          <w:color w:val="000000" w:themeColor="text1"/>
        </w:rPr>
        <w:t>·</w:t>
      </w:r>
      <w:r w:rsidR="000E5041" w:rsidRPr="00837639">
        <w:rPr>
          <w:color w:val="000000" w:themeColor="text1"/>
        </w:rPr>
        <w:t>5</w:t>
      </w:r>
      <w:r w:rsidR="003F2568" w:rsidRPr="00837639">
        <w:rPr>
          <w:color w:val="000000" w:themeColor="text1"/>
        </w:rPr>
        <w:t xml:space="preserve">). </w:t>
      </w:r>
      <w:r>
        <w:rPr>
          <w:color w:val="000000" w:themeColor="text1"/>
        </w:rPr>
        <w:t xml:space="preserve">The index increased the most </w:t>
      </w:r>
      <w:r w:rsidR="00796F02">
        <w:rPr>
          <w:color w:val="000000" w:themeColor="text1"/>
        </w:rPr>
        <w:t xml:space="preserve">between 2000 and 2015 </w:t>
      </w:r>
      <w:r>
        <w:rPr>
          <w:color w:val="000000" w:themeColor="text1"/>
        </w:rPr>
        <w:t>i</w:t>
      </w:r>
      <w:r w:rsidR="00E8611A">
        <w:rPr>
          <w:color w:val="000000" w:themeColor="text1"/>
        </w:rPr>
        <w:t xml:space="preserve">n </w:t>
      </w:r>
      <w:r w:rsidR="003F2568" w:rsidRPr="00837639">
        <w:rPr>
          <w:color w:val="000000" w:themeColor="text1"/>
        </w:rPr>
        <w:t>South Africa</w:t>
      </w:r>
      <w:r w:rsidR="00796F02">
        <w:rPr>
          <w:color w:val="000000" w:themeColor="text1"/>
        </w:rPr>
        <w:t xml:space="preserve"> (1</w:t>
      </w:r>
      <w:r w:rsidR="005D6C83">
        <w:rPr>
          <w:color w:val="000000" w:themeColor="text1"/>
        </w:rPr>
        <w:t>·</w:t>
      </w:r>
      <w:r w:rsidR="00796F02">
        <w:rPr>
          <w:color w:val="000000" w:themeColor="text1"/>
        </w:rPr>
        <w:t>5)</w:t>
      </w:r>
      <w:r w:rsidR="003F2568" w:rsidRPr="00837639">
        <w:rPr>
          <w:color w:val="000000" w:themeColor="text1"/>
        </w:rPr>
        <w:t>, Tunisia</w:t>
      </w:r>
      <w:r w:rsidR="003F5729">
        <w:rPr>
          <w:color w:val="000000" w:themeColor="text1"/>
        </w:rPr>
        <w:t xml:space="preserve"> (1</w:t>
      </w:r>
      <w:r w:rsidR="005D6C83">
        <w:rPr>
          <w:color w:val="000000" w:themeColor="text1"/>
        </w:rPr>
        <w:t>·</w:t>
      </w:r>
      <w:r w:rsidR="003F5729">
        <w:rPr>
          <w:color w:val="000000" w:themeColor="text1"/>
        </w:rPr>
        <w:t>3)</w:t>
      </w:r>
      <w:r w:rsidR="003F2568" w:rsidRPr="00837639">
        <w:rPr>
          <w:color w:val="000000" w:themeColor="text1"/>
        </w:rPr>
        <w:t xml:space="preserve">, </w:t>
      </w:r>
      <w:r w:rsidR="00012B6B">
        <w:rPr>
          <w:color w:val="000000" w:themeColor="text1"/>
        </w:rPr>
        <w:t xml:space="preserve">and </w:t>
      </w:r>
      <w:r w:rsidR="00F959AE" w:rsidRPr="00837639">
        <w:rPr>
          <w:color w:val="000000" w:themeColor="text1"/>
        </w:rPr>
        <w:t>Australia</w:t>
      </w:r>
      <w:r w:rsidR="003F5729">
        <w:rPr>
          <w:color w:val="000000" w:themeColor="text1"/>
        </w:rPr>
        <w:t xml:space="preserve"> (1</w:t>
      </w:r>
      <w:r w:rsidR="005D6C83">
        <w:rPr>
          <w:color w:val="000000" w:themeColor="text1"/>
        </w:rPr>
        <w:t>·</w:t>
      </w:r>
      <w:r w:rsidR="003F5729">
        <w:rPr>
          <w:color w:val="000000" w:themeColor="text1"/>
        </w:rPr>
        <w:t>3)</w:t>
      </w:r>
      <w:r w:rsidR="008E235D">
        <w:rPr>
          <w:color w:val="000000" w:themeColor="text1"/>
        </w:rPr>
        <w:t xml:space="preserve">, while </w:t>
      </w:r>
      <w:r w:rsidR="005A70FB" w:rsidRPr="00837639">
        <w:rPr>
          <w:color w:val="000000" w:themeColor="text1"/>
        </w:rPr>
        <w:t xml:space="preserve">Indonesia, </w:t>
      </w:r>
      <w:r w:rsidR="003F2568" w:rsidRPr="00837639">
        <w:rPr>
          <w:color w:val="000000" w:themeColor="text1"/>
        </w:rPr>
        <w:t xml:space="preserve">Romania, </w:t>
      </w:r>
      <w:r w:rsidR="00012B6B">
        <w:rPr>
          <w:color w:val="000000" w:themeColor="text1"/>
        </w:rPr>
        <w:t xml:space="preserve">and </w:t>
      </w:r>
      <w:r w:rsidR="003F2568" w:rsidRPr="00837639">
        <w:rPr>
          <w:color w:val="000000" w:themeColor="text1"/>
        </w:rPr>
        <w:t xml:space="preserve">Colombia </w:t>
      </w:r>
      <w:r w:rsidR="0086012A">
        <w:rPr>
          <w:color w:val="000000" w:themeColor="text1"/>
        </w:rPr>
        <w:t>noted</w:t>
      </w:r>
      <w:r w:rsidR="0086012A" w:rsidRPr="00837639">
        <w:rPr>
          <w:color w:val="000000" w:themeColor="text1"/>
        </w:rPr>
        <w:t xml:space="preserve"> </w:t>
      </w:r>
      <w:r w:rsidR="003F2568" w:rsidRPr="00837639">
        <w:rPr>
          <w:color w:val="000000" w:themeColor="text1"/>
        </w:rPr>
        <w:t>the largest decreases</w:t>
      </w:r>
      <w:r w:rsidR="0086012A">
        <w:rPr>
          <w:color w:val="000000" w:themeColor="text1"/>
        </w:rPr>
        <w:t xml:space="preserve"> </w:t>
      </w:r>
      <w:r w:rsidR="008E235D">
        <w:rPr>
          <w:color w:val="000000" w:themeColor="text1"/>
        </w:rPr>
        <w:t>(</w:t>
      </w:r>
      <w:r w:rsidR="0086012A">
        <w:rPr>
          <w:color w:val="000000" w:themeColor="text1"/>
        </w:rPr>
        <w:t>4</w:t>
      </w:r>
      <w:r w:rsidR="005D6C83">
        <w:rPr>
          <w:color w:val="000000" w:themeColor="text1"/>
        </w:rPr>
        <w:t>·</w:t>
      </w:r>
      <w:r w:rsidR="0086012A">
        <w:rPr>
          <w:color w:val="000000" w:themeColor="text1"/>
        </w:rPr>
        <w:t>3, 4</w:t>
      </w:r>
      <w:r w:rsidR="005D6C83">
        <w:rPr>
          <w:color w:val="000000" w:themeColor="text1"/>
        </w:rPr>
        <w:t>·</w:t>
      </w:r>
      <w:r w:rsidR="0086012A">
        <w:rPr>
          <w:color w:val="000000" w:themeColor="text1"/>
        </w:rPr>
        <w:t xml:space="preserve">3, </w:t>
      </w:r>
      <w:r w:rsidR="00012B6B">
        <w:rPr>
          <w:color w:val="000000" w:themeColor="text1"/>
        </w:rPr>
        <w:t xml:space="preserve">and </w:t>
      </w:r>
      <w:r w:rsidR="0086012A">
        <w:rPr>
          <w:color w:val="000000" w:themeColor="text1"/>
        </w:rPr>
        <w:t>4</w:t>
      </w:r>
      <w:r w:rsidR="005D6C83">
        <w:rPr>
          <w:color w:val="000000" w:themeColor="text1"/>
        </w:rPr>
        <w:t>·</w:t>
      </w:r>
      <w:r w:rsidR="0086012A">
        <w:rPr>
          <w:color w:val="000000" w:themeColor="text1"/>
        </w:rPr>
        <w:t>0</w:t>
      </w:r>
      <w:r w:rsidR="00D34CC6">
        <w:rPr>
          <w:color w:val="000000" w:themeColor="text1"/>
        </w:rPr>
        <w:t>, respectively</w:t>
      </w:r>
      <w:r w:rsidR="008E235D">
        <w:rPr>
          <w:color w:val="000000" w:themeColor="text1"/>
        </w:rPr>
        <w:t>)</w:t>
      </w:r>
      <w:r w:rsidR="003F2568" w:rsidRPr="00837639">
        <w:rPr>
          <w:color w:val="000000" w:themeColor="text1"/>
        </w:rPr>
        <w:t>.</w:t>
      </w:r>
    </w:p>
    <w:p w14:paraId="289E9C32" w14:textId="77777777" w:rsidR="00837639" w:rsidRDefault="00837639" w:rsidP="003255EF">
      <w:pPr>
        <w:spacing w:line="480" w:lineRule="auto"/>
        <w:rPr>
          <w:b/>
          <w:bCs/>
          <w:i/>
          <w:iCs/>
          <w:color w:val="000000" w:themeColor="text1"/>
        </w:rPr>
      </w:pPr>
    </w:p>
    <w:p w14:paraId="783FC0AA" w14:textId="589A0AD6" w:rsidR="003255EF" w:rsidRPr="00530DE2" w:rsidRDefault="003255EF" w:rsidP="003255EF">
      <w:pPr>
        <w:spacing w:line="480" w:lineRule="auto"/>
        <w:rPr>
          <w:color w:val="000000" w:themeColor="text1"/>
        </w:rPr>
      </w:pPr>
      <w:r w:rsidRPr="00530DE2">
        <w:rPr>
          <w:b/>
          <w:bCs/>
          <w:color w:val="000000" w:themeColor="text1"/>
        </w:rPr>
        <w:t>Consumption</w:t>
      </w:r>
      <w:r w:rsidR="009E128C" w:rsidRPr="00530DE2">
        <w:rPr>
          <w:b/>
          <w:bCs/>
          <w:color w:val="000000" w:themeColor="text1"/>
        </w:rPr>
        <w:t xml:space="preserve"> </w:t>
      </w:r>
      <w:r w:rsidR="00337F7D" w:rsidRPr="00530DE2">
        <w:rPr>
          <w:b/>
          <w:bCs/>
          <w:color w:val="000000" w:themeColor="text1"/>
        </w:rPr>
        <w:t xml:space="preserve">of </w:t>
      </w:r>
      <w:r w:rsidR="000B1C04" w:rsidRPr="00530DE2">
        <w:rPr>
          <w:b/>
          <w:bCs/>
          <w:color w:val="000000" w:themeColor="text1"/>
        </w:rPr>
        <w:t>a</w:t>
      </w:r>
      <w:r w:rsidRPr="00530DE2">
        <w:rPr>
          <w:b/>
          <w:bCs/>
          <w:color w:val="000000" w:themeColor="text1"/>
        </w:rPr>
        <w:t xml:space="preserve">moxicillin </w:t>
      </w:r>
      <w:r w:rsidR="008F4C6A" w:rsidRPr="00530DE2">
        <w:rPr>
          <w:b/>
          <w:bCs/>
          <w:color w:val="000000" w:themeColor="text1"/>
        </w:rPr>
        <w:t>and penicillin</w:t>
      </w:r>
      <w:r w:rsidR="00392A89" w:rsidRPr="00530DE2">
        <w:rPr>
          <w:b/>
          <w:bCs/>
          <w:color w:val="000000" w:themeColor="text1"/>
        </w:rPr>
        <w:t xml:space="preserve"> V</w:t>
      </w:r>
    </w:p>
    <w:p w14:paraId="40CF2FD8" w14:textId="6FBB0166" w:rsidR="003255EF" w:rsidRPr="00837639" w:rsidRDefault="003255EF" w:rsidP="00C40152">
      <w:pPr>
        <w:spacing w:line="480" w:lineRule="auto"/>
        <w:rPr>
          <w:color w:val="000000" w:themeColor="text1"/>
        </w:rPr>
      </w:pPr>
      <w:r w:rsidRPr="00837639">
        <w:rPr>
          <w:color w:val="000000" w:themeColor="text1"/>
        </w:rPr>
        <w:t>The Amoxicillin Index</w:t>
      </w:r>
      <w:r w:rsidR="00D73417" w:rsidRPr="00837639">
        <w:rPr>
          <w:color w:val="000000" w:themeColor="text1"/>
        </w:rPr>
        <w:t xml:space="preserve">, </w:t>
      </w:r>
      <w:r w:rsidR="008E235D">
        <w:rPr>
          <w:color w:val="000000" w:themeColor="text1"/>
        </w:rPr>
        <w:t>which measures</w:t>
      </w:r>
      <w:r w:rsidR="001D34A5" w:rsidRPr="00837639">
        <w:rPr>
          <w:color w:val="000000" w:themeColor="text1"/>
        </w:rPr>
        <w:t xml:space="preserve"> the </w:t>
      </w:r>
      <w:r w:rsidR="00D73417" w:rsidRPr="00837639">
        <w:rPr>
          <w:color w:val="000000" w:themeColor="text1"/>
        </w:rPr>
        <w:t>percent of amoxicillin and penicillin V of total antibiotic consumption,</w:t>
      </w:r>
      <w:r w:rsidRPr="00837639">
        <w:rPr>
          <w:color w:val="000000" w:themeColor="text1"/>
        </w:rPr>
        <w:t xml:space="preserve"> varied </w:t>
      </w:r>
      <w:r w:rsidR="00496E6F" w:rsidRPr="00837639">
        <w:rPr>
          <w:color w:val="000000" w:themeColor="text1"/>
        </w:rPr>
        <w:t xml:space="preserve">across </w:t>
      </w:r>
      <w:r w:rsidR="00011CCB">
        <w:rPr>
          <w:color w:val="000000" w:themeColor="text1"/>
        </w:rPr>
        <w:t xml:space="preserve">income classes </w:t>
      </w:r>
      <w:r w:rsidRPr="00837639">
        <w:rPr>
          <w:color w:val="000000" w:themeColor="text1"/>
        </w:rPr>
        <w:t>(</w:t>
      </w:r>
      <w:r w:rsidR="005B280F">
        <w:rPr>
          <w:color w:val="000000" w:themeColor="text1"/>
        </w:rPr>
        <w:t xml:space="preserve">Supplementary </w:t>
      </w:r>
      <w:r w:rsidRPr="00837639">
        <w:rPr>
          <w:color w:val="000000" w:themeColor="text1"/>
        </w:rPr>
        <w:t xml:space="preserve">Figure). </w:t>
      </w:r>
      <w:r w:rsidR="00011CCB">
        <w:rPr>
          <w:color w:val="000000" w:themeColor="text1"/>
        </w:rPr>
        <w:t>In 2015, t</w:t>
      </w:r>
      <w:r w:rsidRPr="00837639">
        <w:rPr>
          <w:color w:val="000000" w:themeColor="text1"/>
        </w:rPr>
        <w:t>he median value was 1</w:t>
      </w:r>
      <w:r w:rsidR="006231FB" w:rsidRPr="00837639">
        <w:rPr>
          <w:color w:val="000000" w:themeColor="text1"/>
        </w:rPr>
        <w:t>8</w:t>
      </w:r>
      <w:r w:rsidR="005D6C83">
        <w:rPr>
          <w:color w:val="000000" w:themeColor="text1"/>
        </w:rPr>
        <w:t>·</w:t>
      </w:r>
      <w:r w:rsidR="006231FB" w:rsidRPr="00837639">
        <w:rPr>
          <w:color w:val="000000" w:themeColor="text1"/>
        </w:rPr>
        <w:t>5</w:t>
      </w:r>
      <w:r w:rsidRPr="00837639">
        <w:rPr>
          <w:color w:val="000000" w:themeColor="text1"/>
        </w:rPr>
        <w:t>% (IQR 1</w:t>
      </w:r>
      <w:r w:rsidR="006231FB" w:rsidRPr="00837639">
        <w:rPr>
          <w:color w:val="000000" w:themeColor="text1"/>
        </w:rPr>
        <w:t>2</w:t>
      </w:r>
      <w:r w:rsidR="005D6C83">
        <w:rPr>
          <w:color w:val="000000" w:themeColor="text1"/>
        </w:rPr>
        <w:t>·</w:t>
      </w:r>
      <w:r w:rsidR="006231FB" w:rsidRPr="00837639">
        <w:rPr>
          <w:color w:val="000000" w:themeColor="text1"/>
        </w:rPr>
        <w:t>7</w:t>
      </w:r>
      <w:r w:rsidRPr="00837639">
        <w:rPr>
          <w:color w:val="000000" w:themeColor="text1"/>
        </w:rPr>
        <w:t>-2</w:t>
      </w:r>
      <w:r w:rsidR="002118BE" w:rsidRPr="00837639">
        <w:rPr>
          <w:color w:val="000000" w:themeColor="text1"/>
        </w:rPr>
        <w:t>5</w:t>
      </w:r>
      <w:r w:rsidR="005D6C83">
        <w:rPr>
          <w:color w:val="000000" w:themeColor="text1"/>
        </w:rPr>
        <w:t>·</w:t>
      </w:r>
      <w:r w:rsidR="002118BE" w:rsidRPr="00837639">
        <w:rPr>
          <w:color w:val="000000" w:themeColor="text1"/>
        </w:rPr>
        <w:t>6</w:t>
      </w:r>
      <w:r w:rsidRPr="00837639">
        <w:rPr>
          <w:color w:val="000000" w:themeColor="text1"/>
        </w:rPr>
        <w:t xml:space="preserve">), with the highest consumption of amoxicillin </w:t>
      </w:r>
      <w:r w:rsidR="0008498C" w:rsidRPr="00837639">
        <w:rPr>
          <w:color w:val="000000" w:themeColor="text1"/>
        </w:rPr>
        <w:t>and penicillin</w:t>
      </w:r>
      <w:r w:rsidR="00496E6F" w:rsidRPr="00837639">
        <w:rPr>
          <w:color w:val="000000" w:themeColor="text1"/>
        </w:rPr>
        <w:t xml:space="preserve"> V</w:t>
      </w:r>
      <w:r w:rsidR="0008498C" w:rsidRPr="00837639">
        <w:rPr>
          <w:color w:val="000000" w:themeColor="text1"/>
        </w:rPr>
        <w:t xml:space="preserve"> </w:t>
      </w:r>
      <w:r w:rsidRPr="00837639">
        <w:rPr>
          <w:color w:val="000000" w:themeColor="text1"/>
        </w:rPr>
        <w:t>in</w:t>
      </w:r>
      <w:r w:rsidR="00960CC1" w:rsidRPr="00837639">
        <w:rPr>
          <w:color w:val="000000" w:themeColor="text1"/>
        </w:rPr>
        <w:t xml:space="preserve"> Tunisia (38</w:t>
      </w:r>
      <w:r w:rsidR="005D6C83">
        <w:rPr>
          <w:color w:val="000000" w:themeColor="text1"/>
        </w:rPr>
        <w:t>·</w:t>
      </w:r>
      <w:r w:rsidR="00960CC1" w:rsidRPr="00837639">
        <w:rPr>
          <w:color w:val="000000" w:themeColor="text1"/>
        </w:rPr>
        <w:t>7%, 14</w:t>
      </w:r>
      <w:r w:rsidR="005D6C83">
        <w:rPr>
          <w:color w:val="000000" w:themeColor="text1"/>
        </w:rPr>
        <w:t>·</w:t>
      </w:r>
      <w:r w:rsidR="00960CC1" w:rsidRPr="00837639">
        <w:rPr>
          <w:color w:val="000000" w:themeColor="text1"/>
        </w:rPr>
        <w:t>3 D</w:t>
      </w:r>
      <w:r w:rsidR="00D34CC6">
        <w:rPr>
          <w:color w:val="000000" w:themeColor="text1"/>
        </w:rPr>
        <w:t>I</w:t>
      </w:r>
      <w:r w:rsidR="00960CC1" w:rsidRPr="00837639">
        <w:rPr>
          <w:color w:val="000000" w:themeColor="text1"/>
        </w:rPr>
        <w:t xml:space="preserve">Ds), Uruguay </w:t>
      </w:r>
      <w:r w:rsidRPr="00837639">
        <w:rPr>
          <w:color w:val="000000" w:themeColor="text1"/>
        </w:rPr>
        <w:t>(38</w:t>
      </w:r>
      <w:r w:rsidR="005D6C83">
        <w:rPr>
          <w:color w:val="000000" w:themeColor="text1"/>
        </w:rPr>
        <w:t>·</w:t>
      </w:r>
      <w:r w:rsidRPr="00837639">
        <w:rPr>
          <w:color w:val="000000" w:themeColor="text1"/>
        </w:rPr>
        <w:t>5%, 5</w:t>
      </w:r>
      <w:r w:rsidR="005D6C83">
        <w:rPr>
          <w:color w:val="000000" w:themeColor="text1"/>
        </w:rPr>
        <w:t>·</w:t>
      </w:r>
      <w:r w:rsidRPr="00837639">
        <w:rPr>
          <w:color w:val="000000" w:themeColor="text1"/>
        </w:rPr>
        <w:t>8 D</w:t>
      </w:r>
      <w:r w:rsidR="00D34CC6">
        <w:rPr>
          <w:color w:val="000000" w:themeColor="text1"/>
        </w:rPr>
        <w:t>I</w:t>
      </w:r>
      <w:r w:rsidRPr="00837639">
        <w:rPr>
          <w:color w:val="000000" w:themeColor="text1"/>
        </w:rPr>
        <w:t xml:space="preserve">Ds), </w:t>
      </w:r>
      <w:r w:rsidR="00012B6B">
        <w:rPr>
          <w:color w:val="000000" w:themeColor="text1"/>
        </w:rPr>
        <w:t xml:space="preserve">and </w:t>
      </w:r>
      <w:r w:rsidRPr="00837639">
        <w:rPr>
          <w:color w:val="000000" w:themeColor="text1"/>
        </w:rPr>
        <w:t>Indonesia (35</w:t>
      </w:r>
      <w:r w:rsidR="005D6C83">
        <w:rPr>
          <w:color w:val="000000" w:themeColor="text1"/>
        </w:rPr>
        <w:t>·</w:t>
      </w:r>
      <w:r w:rsidR="00D662C3" w:rsidRPr="00837639">
        <w:rPr>
          <w:color w:val="000000" w:themeColor="text1"/>
        </w:rPr>
        <w:t>8</w:t>
      </w:r>
      <w:r w:rsidRPr="00837639">
        <w:rPr>
          <w:color w:val="000000" w:themeColor="text1"/>
        </w:rPr>
        <w:t>%, 2</w:t>
      </w:r>
      <w:r w:rsidR="005D6C83">
        <w:rPr>
          <w:color w:val="000000" w:themeColor="text1"/>
        </w:rPr>
        <w:t>·</w:t>
      </w:r>
      <w:r w:rsidR="00D662C3" w:rsidRPr="00837639">
        <w:rPr>
          <w:color w:val="000000" w:themeColor="text1"/>
        </w:rPr>
        <w:t>5</w:t>
      </w:r>
      <w:r w:rsidRPr="00837639">
        <w:rPr>
          <w:color w:val="000000" w:themeColor="text1"/>
        </w:rPr>
        <w:t xml:space="preserve"> D</w:t>
      </w:r>
      <w:r w:rsidR="00D34CC6">
        <w:rPr>
          <w:color w:val="000000" w:themeColor="text1"/>
        </w:rPr>
        <w:t>I</w:t>
      </w:r>
      <w:r w:rsidRPr="00837639">
        <w:rPr>
          <w:color w:val="000000" w:themeColor="text1"/>
        </w:rPr>
        <w:t>Ds)</w:t>
      </w:r>
      <w:r w:rsidR="008E235D">
        <w:rPr>
          <w:color w:val="000000" w:themeColor="text1"/>
        </w:rPr>
        <w:t xml:space="preserve">, and the </w:t>
      </w:r>
      <w:r w:rsidRPr="00837639">
        <w:rPr>
          <w:color w:val="000000" w:themeColor="text1"/>
        </w:rPr>
        <w:t>lowest in Kuwait (1</w:t>
      </w:r>
      <w:r w:rsidR="005D6C83">
        <w:rPr>
          <w:color w:val="000000" w:themeColor="text1"/>
        </w:rPr>
        <w:t>·</w:t>
      </w:r>
      <w:r w:rsidRPr="00837639">
        <w:rPr>
          <w:color w:val="000000" w:themeColor="text1"/>
        </w:rPr>
        <w:t>9%, 0</w:t>
      </w:r>
      <w:r w:rsidR="005D6C83">
        <w:rPr>
          <w:color w:val="000000" w:themeColor="text1"/>
        </w:rPr>
        <w:t>·</w:t>
      </w:r>
      <w:r w:rsidRPr="00837639">
        <w:rPr>
          <w:color w:val="000000" w:themeColor="text1"/>
        </w:rPr>
        <w:t>2 D</w:t>
      </w:r>
      <w:r w:rsidR="00D34CC6">
        <w:rPr>
          <w:color w:val="000000" w:themeColor="text1"/>
        </w:rPr>
        <w:t>I</w:t>
      </w:r>
      <w:r w:rsidRPr="00837639">
        <w:rPr>
          <w:color w:val="000000" w:themeColor="text1"/>
        </w:rPr>
        <w:t xml:space="preserve">Ds), </w:t>
      </w:r>
      <w:r w:rsidR="008E57AF" w:rsidRPr="00837639">
        <w:rPr>
          <w:color w:val="000000" w:themeColor="text1"/>
        </w:rPr>
        <w:t>India (3</w:t>
      </w:r>
      <w:r w:rsidR="005D6C83">
        <w:rPr>
          <w:color w:val="000000" w:themeColor="text1"/>
        </w:rPr>
        <w:t>·</w:t>
      </w:r>
      <w:r w:rsidR="008E57AF" w:rsidRPr="00837639">
        <w:rPr>
          <w:color w:val="000000" w:themeColor="text1"/>
        </w:rPr>
        <w:t>3%, 0</w:t>
      </w:r>
      <w:r w:rsidR="005D6C83">
        <w:rPr>
          <w:color w:val="000000" w:themeColor="text1"/>
        </w:rPr>
        <w:t>·</w:t>
      </w:r>
      <w:r w:rsidR="008E57AF" w:rsidRPr="00837639">
        <w:rPr>
          <w:color w:val="000000" w:themeColor="text1"/>
        </w:rPr>
        <w:t>4 D</w:t>
      </w:r>
      <w:r w:rsidR="00D34CC6">
        <w:rPr>
          <w:color w:val="000000" w:themeColor="text1"/>
        </w:rPr>
        <w:t>I</w:t>
      </w:r>
      <w:r w:rsidR="008E57AF" w:rsidRPr="00837639">
        <w:rPr>
          <w:color w:val="000000" w:themeColor="text1"/>
        </w:rPr>
        <w:t xml:space="preserve">Ds), </w:t>
      </w:r>
      <w:r w:rsidR="00012B6B">
        <w:rPr>
          <w:color w:val="000000" w:themeColor="text1"/>
        </w:rPr>
        <w:t xml:space="preserve">and </w:t>
      </w:r>
      <w:r w:rsidRPr="00837639">
        <w:rPr>
          <w:color w:val="000000" w:themeColor="text1"/>
        </w:rPr>
        <w:t>Turkey (</w:t>
      </w:r>
      <w:r w:rsidR="00453C2D" w:rsidRPr="00837639">
        <w:rPr>
          <w:color w:val="000000" w:themeColor="text1"/>
        </w:rPr>
        <w:t>4</w:t>
      </w:r>
      <w:r w:rsidR="005D6C83">
        <w:rPr>
          <w:color w:val="000000" w:themeColor="text1"/>
        </w:rPr>
        <w:t>·</w:t>
      </w:r>
      <w:r w:rsidR="00453C2D" w:rsidRPr="00837639">
        <w:rPr>
          <w:color w:val="000000" w:themeColor="text1"/>
        </w:rPr>
        <w:t>1</w:t>
      </w:r>
      <w:r w:rsidRPr="00837639">
        <w:rPr>
          <w:color w:val="000000" w:themeColor="text1"/>
        </w:rPr>
        <w:t>%, 1</w:t>
      </w:r>
      <w:r w:rsidR="005D6C83">
        <w:rPr>
          <w:color w:val="000000" w:themeColor="text1"/>
        </w:rPr>
        <w:t>·</w:t>
      </w:r>
      <w:r w:rsidR="00453C2D" w:rsidRPr="00837639">
        <w:rPr>
          <w:color w:val="000000" w:themeColor="text1"/>
        </w:rPr>
        <w:t>7</w:t>
      </w:r>
      <w:r w:rsidRPr="00837639">
        <w:rPr>
          <w:color w:val="000000" w:themeColor="text1"/>
        </w:rPr>
        <w:t xml:space="preserve"> D</w:t>
      </w:r>
      <w:r w:rsidR="00D34CC6">
        <w:rPr>
          <w:color w:val="000000" w:themeColor="text1"/>
        </w:rPr>
        <w:t>I</w:t>
      </w:r>
      <w:r w:rsidRPr="00837639">
        <w:rPr>
          <w:color w:val="000000" w:themeColor="text1"/>
        </w:rPr>
        <w:t xml:space="preserve">Ds). </w:t>
      </w:r>
    </w:p>
    <w:p w14:paraId="49902EB9" w14:textId="3B5D5E7A" w:rsidR="002726E4" w:rsidRDefault="002726E4" w:rsidP="00E34631">
      <w:pPr>
        <w:spacing w:line="480" w:lineRule="auto"/>
        <w:rPr>
          <w:color w:val="000000" w:themeColor="text1"/>
        </w:rPr>
      </w:pPr>
    </w:p>
    <w:p w14:paraId="3F9F1007" w14:textId="77777777" w:rsidR="002726E4" w:rsidRPr="005335C1" w:rsidRDefault="002726E4" w:rsidP="002726E4">
      <w:pPr>
        <w:autoSpaceDE w:val="0"/>
        <w:autoSpaceDN w:val="0"/>
        <w:adjustRightInd w:val="0"/>
        <w:spacing w:line="480" w:lineRule="auto"/>
        <w:rPr>
          <w:b/>
          <w:bCs/>
          <w:color w:val="000000" w:themeColor="text1"/>
        </w:rPr>
      </w:pPr>
      <w:r w:rsidRPr="005335C1">
        <w:rPr>
          <w:b/>
          <w:bCs/>
          <w:color w:val="000000" w:themeColor="text1"/>
        </w:rPr>
        <w:t>DISCUSSION</w:t>
      </w:r>
    </w:p>
    <w:p w14:paraId="5436A2D3" w14:textId="3367FB23" w:rsidR="002726E4" w:rsidRPr="00C5602B" w:rsidRDefault="009E17FF" w:rsidP="00A60369">
      <w:pPr>
        <w:autoSpaceDE w:val="0"/>
        <w:autoSpaceDN w:val="0"/>
        <w:adjustRightInd w:val="0"/>
        <w:spacing w:line="480" w:lineRule="auto"/>
        <w:rPr>
          <w:rFonts w:eastAsiaTheme="minorHAnsi"/>
          <w:bCs/>
        </w:rPr>
      </w:pPr>
      <w:r>
        <w:rPr>
          <w:bCs/>
          <w:color w:val="000000" w:themeColor="text1"/>
        </w:rPr>
        <w:t>The rapid increase in antibiotic consumption over the last 15 years, which was driven by increases in LMIC</w:t>
      </w:r>
      <w:r w:rsidR="000A1A17">
        <w:rPr>
          <w:bCs/>
          <w:color w:val="000000" w:themeColor="text1"/>
        </w:rPr>
        <w:t>s</w:t>
      </w:r>
      <w:r w:rsidR="00226D7A">
        <w:rPr>
          <w:bCs/>
          <w:color w:val="000000" w:themeColor="text1"/>
        </w:rPr>
        <w:t>,</w:t>
      </w:r>
      <w:r w:rsidR="00967237">
        <w:rPr>
          <w:bCs/>
          <w:color w:val="000000" w:themeColor="text1"/>
        </w:rPr>
        <w:fldChar w:fldCharType="begin"/>
      </w:r>
      <w:r w:rsidR="00224DF9">
        <w:rPr>
          <w:bCs/>
          <w:color w:val="000000" w:themeColor="text1"/>
        </w:rPr>
        <w:instrText xml:space="preserve"> ADDIN ZOTERO_ITEM CSL_CITATION {"citationID":"a1rfirc0pb5","properties":{"formattedCitation":"\\super 1\\nosupersub{}","plainCitation":"1","noteIndex":0},"citationItems":[{"id":3160,"uris":["http://zotero.org/users/local/UM34EoPV/items/96SYUTGJ"],"uri":["http://zotero.org/users/local/UM34EoPV/items/96SYUTGJ"],"itemData":{"id":3160,"type":"article-journal","container-title":"Proceedings of the National Academy of Sciences","DOI":"10.1073/pnas.1717295115","ISSN":"0027-8424, 1091-6490","issue":"15","language":"en","page":"E3463-E3470","source":"Crossref","title":"Global increase and geographic convergence in antibiotic consumption between 2000 and 2015","URL":"http://www.pnas.org/lookup/doi/10.1073/pnas.1717295115","volume":"115","author":[{"family":"Klein","given":"Eili Y."},{"family":"Van Boeckel","given":"Thomas P."},{"family":"Martinez","given":"Elena M."},{"family":"Pant","given":"Suraj"},{"family":"Gandra","given":"Sumanth"},{"family":"Levin","given":"Simon A."},{"family":"Goossens","given":"Herman"},{"family":"Laxminarayan","given":"Ramanan"}],"accessed":{"date-parts":[["2018",7,11]]},"issued":{"date-parts":[["2018",4,10]]}}}],"schema":"https://github.com/citation-style-language/schema/raw/master/csl-citation.json"} </w:instrText>
      </w:r>
      <w:r w:rsidR="00967237">
        <w:rPr>
          <w:bCs/>
          <w:color w:val="000000" w:themeColor="text1"/>
        </w:rPr>
        <w:fldChar w:fldCharType="separate"/>
      </w:r>
      <w:r w:rsidR="00224DF9" w:rsidRPr="005B280F">
        <w:rPr>
          <w:vertAlign w:val="superscript"/>
        </w:rPr>
        <w:t>1</w:t>
      </w:r>
      <w:r w:rsidR="00967237">
        <w:rPr>
          <w:bCs/>
          <w:color w:val="000000" w:themeColor="text1"/>
        </w:rPr>
        <w:fldChar w:fldCharType="end"/>
      </w:r>
      <w:r>
        <w:rPr>
          <w:bCs/>
          <w:color w:val="000000" w:themeColor="text1"/>
        </w:rPr>
        <w:t xml:space="preserve"> has significant implications for controlling the spread of </w:t>
      </w:r>
      <w:r w:rsidR="00E97DD0">
        <w:rPr>
          <w:bCs/>
          <w:color w:val="000000" w:themeColor="text1"/>
        </w:rPr>
        <w:t>AMR</w:t>
      </w:r>
      <w:r>
        <w:rPr>
          <w:bCs/>
          <w:color w:val="000000" w:themeColor="text1"/>
        </w:rPr>
        <w:t xml:space="preserve">. While </w:t>
      </w:r>
      <w:r w:rsidR="003F4B9E">
        <w:rPr>
          <w:bCs/>
          <w:color w:val="000000" w:themeColor="text1"/>
        </w:rPr>
        <w:t xml:space="preserve">for many people in </w:t>
      </w:r>
      <w:r>
        <w:rPr>
          <w:bCs/>
          <w:color w:val="000000" w:themeColor="text1"/>
        </w:rPr>
        <w:t xml:space="preserve">LMICs, access to antibiotics remains limited, there </w:t>
      </w:r>
      <w:r w:rsidR="003F4B9E">
        <w:rPr>
          <w:bCs/>
          <w:color w:val="000000" w:themeColor="text1"/>
        </w:rPr>
        <w:t>are</w:t>
      </w:r>
      <w:r>
        <w:rPr>
          <w:bCs/>
          <w:color w:val="000000" w:themeColor="text1"/>
        </w:rPr>
        <w:t xml:space="preserve"> also significant stewardship challenges in these countries. </w:t>
      </w:r>
      <w:r w:rsidR="00A60369">
        <w:rPr>
          <w:bCs/>
          <w:color w:val="000000" w:themeColor="text1"/>
        </w:rPr>
        <w:t xml:space="preserve">The WHO’s AWaRe framework and target provides a mechanism for assessing countries’ stewardship of antibiotics. While we observed increased consumption of both </w:t>
      </w:r>
      <w:r w:rsidR="0092051B">
        <w:rPr>
          <w:rFonts w:eastAsiaTheme="minorHAnsi"/>
          <w:bCs/>
        </w:rPr>
        <w:t>Access and Watch antibiotics</w:t>
      </w:r>
      <w:r w:rsidR="00586D20">
        <w:rPr>
          <w:rFonts w:eastAsiaTheme="minorHAnsi"/>
          <w:bCs/>
        </w:rPr>
        <w:t xml:space="preserve">, </w:t>
      </w:r>
      <w:r w:rsidR="003C397F" w:rsidRPr="00C5602B">
        <w:rPr>
          <w:rFonts w:eastAsiaTheme="minorHAnsi"/>
          <w:bCs/>
        </w:rPr>
        <w:t xml:space="preserve">the </w:t>
      </w:r>
      <w:r w:rsidR="00F12A77">
        <w:rPr>
          <w:rFonts w:eastAsiaTheme="minorHAnsi"/>
          <w:bCs/>
        </w:rPr>
        <w:t>consumption</w:t>
      </w:r>
      <w:r w:rsidR="003C397F" w:rsidRPr="00C5602B">
        <w:rPr>
          <w:rFonts w:eastAsiaTheme="minorHAnsi"/>
          <w:bCs/>
        </w:rPr>
        <w:t xml:space="preserve"> of Watch antibiotics has increased </w:t>
      </w:r>
      <w:r w:rsidR="00FE2336" w:rsidRPr="00C5602B">
        <w:rPr>
          <w:rFonts w:eastAsiaTheme="minorHAnsi"/>
          <w:bCs/>
        </w:rPr>
        <w:t xml:space="preserve">much </w:t>
      </w:r>
      <w:r w:rsidR="003C397F" w:rsidRPr="00C5602B">
        <w:rPr>
          <w:rFonts w:eastAsiaTheme="minorHAnsi"/>
          <w:bCs/>
        </w:rPr>
        <w:t>faster than Access antibiotics, particularly in LMICs</w:t>
      </w:r>
      <w:r w:rsidR="002726E4" w:rsidRPr="00C5602B">
        <w:rPr>
          <w:rFonts w:eastAsiaTheme="minorHAnsi"/>
          <w:bCs/>
        </w:rPr>
        <w:t xml:space="preserve">. </w:t>
      </w:r>
      <w:r w:rsidR="00A60369">
        <w:rPr>
          <w:rFonts w:eastAsiaTheme="minorHAnsi"/>
          <w:bCs/>
        </w:rPr>
        <w:t>This has led to a</w:t>
      </w:r>
      <w:r w:rsidR="003C397F" w:rsidRPr="00C5602B">
        <w:rPr>
          <w:rFonts w:eastAsiaTheme="minorHAnsi"/>
          <w:bCs/>
        </w:rPr>
        <w:t xml:space="preserve"> </w:t>
      </w:r>
      <w:r w:rsidR="006C2BEA" w:rsidRPr="00C5602B">
        <w:rPr>
          <w:rFonts w:eastAsiaTheme="minorHAnsi"/>
          <w:bCs/>
        </w:rPr>
        <w:t>significant decrease in the number of countries that m</w:t>
      </w:r>
      <w:r w:rsidR="00A60369">
        <w:rPr>
          <w:rFonts w:eastAsiaTheme="minorHAnsi"/>
          <w:bCs/>
        </w:rPr>
        <w:t>e</w:t>
      </w:r>
      <w:r w:rsidR="006C2BEA" w:rsidRPr="00C5602B">
        <w:rPr>
          <w:rFonts w:eastAsiaTheme="minorHAnsi"/>
          <w:bCs/>
        </w:rPr>
        <w:t>et the WHO’s</w:t>
      </w:r>
      <w:r w:rsidR="00A60369">
        <w:rPr>
          <w:rFonts w:eastAsiaTheme="minorHAnsi"/>
          <w:bCs/>
        </w:rPr>
        <w:t xml:space="preserve"> target of </w:t>
      </w:r>
      <w:r w:rsidR="003C397F" w:rsidRPr="00C5602B">
        <w:rPr>
          <w:rFonts w:eastAsiaTheme="minorHAnsi"/>
          <w:bCs/>
        </w:rPr>
        <w:t>at least</w:t>
      </w:r>
      <w:r w:rsidR="006C2BEA" w:rsidRPr="00C5602B">
        <w:rPr>
          <w:rFonts w:eastAsiaTheme="minorHAnsi"/>
          <w:bCs/>
        </w:rPr>
        <w:t xml:space="preserve"> 60%</w:t>
      </w:r>
      <w:r w:rsidR="003C397F" w:rsidRPr="00C5602B">
        <w:rPr>
          <w:rFonts w:eastAsiaTheme="minorHAnsi"/>
          <w:bCs/>
        </w:rPr>
        <w:t xml:space="preserve"> of </w:t>
      </w:r>
      <w:r w:rsidR="0092051B">
        <w:rPr>
          <w:rFonts w:eastAsiaTheme="minorHAnsi"/>
          <w:bCs/>
        </w:rPr>
        <w:t xml:space="preserve">Access antibiotics in </w:t>
      </w:r>
      <w:r w:rsidR="00FE2336" w:rsidRPr="00C5602B">
        <w:rPr>
          <w:rFonts w:eastAsiaTheme="minorHAnsi"/>
          <w:bCs/>
        </w:rPr>
        <w:t xml:space="preserve">total </w:t>
      </w:r>
      <w:r w:rsidR="003C397F" w:rsidRPr="00C5602B">
        <w:rPr>
          <w:rFonts w:eastAsiaTheme="minorHAnsi"/>
          <w:bCs/>
        </w:rPr>
        <w:t xml:space="preserve">antibiotic </w:t>
      </w:r>
      <w:r w:rsidR="0092051B">
        <w:rPr>
          <w:rFonts w:eastAsiaTheme="minorHAnsi"/>
          <w:bCs/>
        </w:rPr>
        <w:t>consumption</w:t>
      </w:r>
      <w:r w:rsidR="00A60369">
        <w:rPr>
          <w:rFonts w:eastAsiaTheme="minorHAnsi"/>
          <w:bCs/>
        </w:rPr>
        <w:t xml:space="preserve"> and suggests that </w:t>
      </w:r>
      <w:r w:rsidR="0092051B">
        <w:rPr>
          <w:rFonts w:eastAsiaTheme="minorHAnsi"/>
          <w:bCs/>
        </w:rPr>
        <w:t xml:space="preserve">the WHO target will likely be difficult to achieve without </w:t>
      </w:r>
      <w:r w:rsidR="00A60369">
        <w:rPr>
          <w:rFonts w:eastAsiaTheme="minorHAnsi"/>
          <w:bCs/>
        </w:rPr>
        <w:t xml:space="preserve">major </w:t>
      </w:r>
      <w:r w:rsidR="0092051B">
        <w:rPr>
          <w:rFonts w:eastAsiaTheme="minorHAnsi"/>
          <w:bCs/>
        </w:rPr>
        <w:t>policy changes.</w:t>
      </w:r>
    </w:p>
    <w:p w14:paraId="67465F66" w14:textId="77777777" w:rsidR="00C5602B" w:rsidRDefault="00C5602B" w:rsidP="002726E4">
      <w:pPr>
        <w:autoSpaceDE w:val="0"/>
        <w:autoSpaceDN w:val="0"/>
        <w:adjustRightInd w:val="0"/>
        <w:spacing w:line="480" w:lineRule="auto"/>
        <w:rPr>
          <w:rFonts w:eastAsiaTheme="minorHAnsi"/>
          <w:b/>
          <w:bCs/>
          <w:u w:val="single"/>
        </w:rPr>
      </w:pPr>
    </w:p>
    <w:p w14:paraId="29A7D2F7" w14:textId="4354A68D" w:rsidR="00C5602B" w:rsidRDefault="00CF3DEB" w:rsidP="002726E4">
      <w:pPr>
        <w:autoSpaceDE w:val="0"/>
        <w:autoSpaceDN w:val="0"/>
        <w:adjustRightInd w:val="0"/>
        <w:spacing w:line="480" w:lineRule="auto"/>
        <w:rPr>
          <w:color w:val="000000" w:themeColor="text1"/>
        </w:rPr>
      </w:pPr>
      <w:r>
        <w:rPr>
          <w:rFonts w:eastAsiaTheme="minorHAnsi"/>
        </w:rPr>
        <w:t>T</w:t>
      </w:r>
      <w:r w:rsidR="006C2BEA" w:rsidRPr="00C5602B">
        <w:rPr>
          <w:rFonts w:eastAsiaTheme="minorHAnsi"/>
        </w:rPr>
        <w:t>otal g</w:t>
      </w:r>
      <w:r w:rsidR="002726E4" w:rsidRPr="00C5602B">
        <w:t xml:space="preserve">lobal increases in consumption of Watch antibiotics </w:t>
      </w:r>
      <w:r w:rsidR="00BE25F9">
        <w:t>were</w:t>
      </w:r>
      <w:r w:rsidR="00BE25F9" w:rsidRPr="00C5602B">
        <w:t xml:space="preserve"> </w:t>
      </w:r>
      <w:r w:rsidR="002726E4" w:rsidRPr="00C5602B">
        <w:t>largely driven by India and China</w:t>
      </w:r>
      <w:r w:rsidR="006C2BEA" w:rsidRPr="00C5602B">
        <w:t xml:space="preserve"> – </w:t>
      </w:r>
      <w:r w:rsidR="002726E4" w:rsidRPr="00C5602B">
        <w:t>wh</w:t>
      </w:r>
      <w:r w:rsidR="00FE2336" w:rsidRPr="00C5602B">
        <w:t>ich</w:t>
      </w:r>
      <w:r w:rsidR="002726E4" w:rsidRPr="00C5602B">
        <w:t xml:space="preserve"> accounted for 4</w:t>
      </w:r>
      <w:r w:rsidR="006D30AA">
        <w:t>3</w:t>
      </w:r>
      <w:r w:rsidR="000D2D53">
        <w:t>·</w:t>
      </w:r>
      <w:r w:rsidR="00CA388A" w:rsidRPr="00C5602B">
        <w:t>5</w:t>
      </w:r>
      <w:r w:rsidR="002726E4" w:rsidRPr="00C5602B">
        <w:t>% of the overall Watch antibiotic consumption worldwide in 2015</w:t>
      </w:r>
      <w:r w:rsidR="002002F6">
        <w:t xml:space="preserve"> (6·6 </w:t>
      </w:r>
      <w:r w:rsidR="00B33794">
        <w:t xml:space="preserve">of </w:t>
      </w:r>
      <w:r w:rsidR="002002F6">
        <w:t>15·2 billion DDDs)</w:t>
      </w:r>
      <w:r>
        <w:t>.  E</w:t>
      </w:r>
      <w:r w:rsidR="006C2BEA" w:rsidRPr="00C5602B">
        <w:t xml:space="preserve">very LMIC, except South Africa, saw relatively large increases in Watch antibiotic consumption (and thus decreases in their Access-to-Watch </w:t>
      </w:r>
      <w:r w:rsidR="00CC4E15" w:rsidRPr="00C5602B">
        <w:t>I</w:t>
      </w:r>
      <w:r w:rsidR="006C2BEA" w:rsidRPr="00C5602B">
        <w:t>ndex)</w:t>
      </w:r>
      <w:r w:rsidR="002726E4" w:rsidRPr="00C5602B">
        <w:t>.</w:t>
      </w:r>
      <w:r w:rsidR="004C609C" w:rsidRPr="00C5602B">
        <w:t xml:space="preserve"> </w:t>
      </w:r>
      <w:r w:rsidR="00961DAA" w:rsidRPr="00C5602B">
        <w:rPr>
          <w:color w:val="000000" w:themeColor="text1"/>
        </w:rPr>
        <w:t xml:space="preserve">In </w:t>
      </w:r>
      <w:r w:rsidR="008E235D">
        <w:rPr>
          <w:color w:val="000000" w:themeColor="text1"/>
        </w:rPr>
        <w:t xml:space="preserve">the </w:t>
      </w:r>
      <w:r w:rsidR="00961DAA" w:rsidRPr="00C5602B">
        <w:rPr>
          <w:color w:val="000000" w:themeColor="text1"/>
        </w:rPr>
        <w:t>case of</w:t>
      </w:r>
      <w:r w:rsidR="004C609C" w:rsidRPr="00C5602B">
        <w:rPr>
          <w:color w:val="000000" w:themeColor="text1"/>
        </w:rPr>
        <w:t xml:space="preserve"> South Africa,</w:t>
      </w:r>
      <w:r w:rsidR="008E235D">
        <w:rPr>
          <w:color w:val="000000" w:themeColor="text1"/>
        </w:rPr>
        <w:t xml:space="preserve"> the increase </w:t>
      </w:r>
      <w:r w:rsidR="00A60369">
        <w:rPr>
          <w:color w:val="000000" w:themeColor="text1"/>
        </w:rPr>
        <w:t>wa</w:t>
      </w:r>
      <w:r w:rsidR="008E235D">
        <w:rPr>
          <w:color w:val="000000" w:themeColor="text1"/>
        </w:rPr>
        <w:t xml:space="preserve">s due largely to </w:t>
      </w:r>
      <w:r>
        <w:rPr>
          <w:color w:val="000000" w:themeColor="text1"/>
        </w:rPr>
        <w:t xml:space="preserve">purchases </w:t>
      </w:r>
      <w:r w:rsidRPr="00C5602B">
        <w:rPr>
          <w:color w:val="000000" w:themeColor="text1"/>
        </w:rPr>
        <w:t>of sulfamethoxazole/trimethoprim</w:t>
      </w:r>
      <w:r>
        <w:rPr>
          <w:color w:val="000000" w:themeColor="text1"/>
        </w:rPr>
        <w:t xml:space="preserve"> by the </w:t>
      </w:r>
      <w:r w:rsidR="008E235D" w:rsidRPr="00C5602B">
        <w:rPr>
          <w:color w:val="000000" w:themeColor="text1"/>
        </w:rPr>
        <w:t>government-run HIV prophylaxis program</w:t>
      </w:r>
      <w:r>
        <w:rPr>
          <w:color w:val="000000" w:themeColor="text1"/>
        </w:rPr>
        <w:t>.</w:t>
      </w:r>
      <w:r w:rsidR="00967237">
        <w:rPr>
          <w:color w:val="000000" w:themeColor="text1"/>
        </w:rPr>
        <w:fldChar w:fldCharType="begin"/>
      </w:r>
      <w:r w:rsidR="00224DF9">
        <w:rPr>
          <w:color w:val="000000" w:themeColor="text1"/>
        </w:rPr>
        <w:instrText xml:space="preserve"> ADDIN ZOTERO_ITEM CSL_CITATION {"citationID":"a1ec3nk6lsm","properties":{"formattedCitation":"\\super 11\\nosupersub{}","plainCitation":"11","noteIndex":0},"citationItems":[{"id":3505,"uris":["http://zotero.org/users/local/UM34EoPV/items/IUGF86CN"],"uri":["http://zotero.org/users/local/UM34EoPV/items/IUGF86CN"],"itemData":{"id":3505,"type":"report","title":"Surveillance for antimicrobial resistance and consumption of antibiotics in South Africa","URL":"http://www.health.gov.za/index.php/antimicrobial-resistance?download=3374:surveillance-for-antimicrobial-resistance-and-consumption-of-antibiotics-in-south-africa","author":[{"literal":"South Africa National Department of Health"}],"issued":{"date-parts":[["2018",11]]}}}],"schema":"https://github.com/citation-style-language/schema/raw/master/csl-citation.json"} </w:instrText>
      </w:r>
      <w:r w:rsidR="00967237">
        <w:rPr>
          <w:color w:val="000000" w:themeColor="text1"/>
        </w:rPr>
        <w:fldChar w:fldCharType="separate"/>
      </w:r>
      <w:r w:rsidR="00224DF9" w:rsidRPr="005B280F">
        <w:rPr>
          <w:vertAlign w:val="superscript"/>
        </w:rPr>
        <w:t>11</w:t>
      </w:r>
      <w:r w:rsidR="00967237">
        <w:rPr>
          <w:color w:val="000000" w:themeColor="text1"/>
        </w:rPr>
        <w:fldChar w:fldCharType="end"/>
      </w:r>
      <w:r>
        <w:rPr>
          <w:color w:val="000000" w:themeColor="text1"/>
        </w:rPr>
        <w:t xml:space="preserve"> This one antibiotic</w:t>
      </w:r>
      <w:r w:rsidR="008E235D">
        <w:rPr>
          <w:color w:val="000000" w:themeColor="text1"/>
        </w:rPr>
        <w:t xml:space="preserve"> </w:t>
      </w:r>
      <w:r w:rsidR="004C609C" w:rsidRPr="00C5602B">
        <w:rPr>
          <w:color w:val="000000" w:themeColor="text1"/>
        </w:rPr>
        <w:t>accounted for 58</w:t>
      </w:r>
      <w:r w:rsidR="000D2D53">
        <w:rPr>
          <w:color w:val="000000" w:themeColor="text1"/>
        </w:rPr>
        <w:t>·</w:t>
      </w:r>
      <w:r w:rsidR="004C609C" w:rsidRPr="00C5602B">
        <w:rPr>
          <w:color w:val="000000" w:themeColor="text1"/>
        </w:rPr>
        <w:t>2% of all</w:t>
      </w:r>
      <w:r w:rsidR="008E235D">
        <w:rPr>
          <w:color w:val="000000" w:themeColor="text1"/>
        </w:rPr>
        <w:t xml:space="preserve"> antibiotic</w:t>
      </w:r>
      <w:r>
        <w:rPr>
          <w:color w:val="000000" w:themeColor="text1"/>
        </w:rPr>
        <w:t xml:space="preserve"> sales</w:t>
      </w:r>
      <w:r w:rsidR="008E235D">
        <w:rPr>
          <w:color w:val="000000" w:themeColor="text1"/>
        </w:rPr>
        <w:t xml:space="preserve"> in South Africa in </w:t>
      </w:r>
      <w:r w:rsidR="004C609C" w:rsidRPr="00C5602B">
        <w:rPr>
          <w:color w:val="000000" w:themeColor="text1"/>
        </w:rPr>
        <w:t xml:space="preserve">2015. </w:t>
      </w:r>
    </w:p>
    <w:p w14:paraId="136E1E1A" w14:textId="77777777" w:rsidR="00226D7A" w:rsidRPr="00835A33" w:rsidRDefault="00226D7A" w:rsidP="002726E4">
      <w:pPr>
        <w:autoSpaceDE w:val="0"/>
        <w:autoSpaceDN w:val="0"/>
        <w:adjustRightInd w:val="0"/>
        <w:spacing w:line="480" w:lineRule="auto"/>
        <w:rPr>
          <w:color w:val="000000" w:themeColor="text1"/>
        </w:rPr>
      </w:pPr>
    </w:p>
    <w:p w14:paraId="3D725240" w14:textId="40D5C098" w:rsidR="00E62320" w:rsidRDefault="002726E4" w:rsidP="00AE7C92">
      <w:pPr>
        <w:autoSpaceDE w:val="0"/>
        <w:autoSpaceDN w:val="0"/>
        <w:adjustRightInd w:val="0"/>
        <w:spacing w:line="480" w:lineRule="auto"/>
        <w:rPr>
          <w:color w:val="000000" w:themeColor="text1"/>
        </w:rPr>
      </w:pPr>
      <w:r w:rsidRPr="00C5602B">
        <w:t xml:space="preserve">The increase in </w:t>
      </w:r>
      <w:r w:rsidR="00CF3DEB">
        <w:t xml:space="preserve">consumption of </w:t>
      </w:r>
      <w:r w:rsidRPr="00C5602B">
        <w:t xml:space="preserve">Watch antibiotics </w:t>
      </w:r>
      <w:r w:rsidR="00D34176">
        <w:t>may have</w:t>
      </w:r>
      <w:r w:rsidR="006C2BEA" w:rsidRPr="00C5602B">
        <w:t xml:space="preserve"> </w:t>
      </w:r>
      <w:r w:rsidR="00FE2336" w:rsidRPr="00C5602B">
        <w:t xml:space="preserve">been </w:t>
      </w:r>
      <w:r w:rsidRPr="00C5602B">
        <w:t xml:space="preserve">driven by several factors. First, rapid economic growth in </w:t>
      </w:r>
      <w:r w:rsidR="006C2BEA" w:rsidRPr="00C5602B">
        <w:t>many LMIC</w:t>
      </w:r>
      <w:r w:rsidR="00C67ED9" w:rsidRPr="00C5602B">
        <w:t>s</w:t>
      </w:r>
      <w:r w:rsidR="00967237">
        <w:fldChar w:fldCharType="begin"/>
      </w:r>
      <w:r w:rsidR="00224DF9">
        <w:instrText xml:space="preserve"> ADDIN ZOTERO_ITEM CSL_CITATION {"citationID":"avq4o5t4ub","properties":{"formattedCitation":"\\super 1\\nosupersub{}","plainCitation":"1","noteIndex":0},"citationItems":[{"id":3160,"uris":["http://zotero.org/users/local/UM34EoPV/items/96SYUTGJ"],"uri":["http://zotero.org/users/local/UM34EoPV/items/96SYUTGJ"],"itemData":{"id":3160,"type":"article-journal","container-title":"Proceedings of the National Academy of Sciences","DOI":"10.1073/pnas.1717295115","ISSN":"0027-8424, 1091-6490","issue":"15","language":"en","page":"E3463-E3470","source":"Crossref","title":"Global increase and geographic convergence in antibiotic consumption between 2000 and 2015","URL":"http://www.pnas.org/lookup/doi/10.1073/pnas.1717295115","volume":"115","author":[{"family":"Klein","given":"Eili Y."},{"family":"Van Boeckel","given":"Thomas P."},{"family":"Martinez","given":"Elena M."},{"family":"Pant","given":"Suraj"},{"family":"Gandra","given":"Sumanth"},{"family":"Levin","given":"Simon A."},{"family":"Goossens","given":"Herman"},{"family":"Laxminarayan","given":"Ramanan"}],"accessed":{"date-parts":[["2018",7,11]]},"issued":{"date-parts":[["2018",4,10]]}}}],"schema":"https://github.com/citation-style-language/schema/raw/master/csl-citation.json"} </w:instrText>
      </w:r>
      <w:r w:rsidR="00967237">
        <w:fldChar w:fldCharType="separate"/>
      </w:r>
      <w:r w:rsidR="00224DF9" w:rsidRPr="005B280F">
        <w:rPr>
          <w:vertAlign w:val="superscript"/>
        </w:rPr>
        <w:t>1</w:t>
      </w:r>
      <w:r w:rsidR="00967237">
        <w:fldChar w:fldCharType="end"/>
      </w:r>
      <w:r w:rsidR="006C2BEA" w:rsidRPr="00C5602B">
        <w:rPr>
          <w:color w:val="000000" w:themeColor="text1"/>
        </w:rPr>
        <w:t xml:space="preserve"> </w:t>
      </w:r>
      <w:r w:rsidR="005D491A" w:rsidRPr="00C5602B">
        <w:rPr>
          <w:color w:val="000000" w:themeColor="text1"/>
        </w:rPr>
        <w:t xml:space="preserve">has </w:t>
      </w:r>
      <w:r w:rsidR="00D34176">
        <w:rPr>
          <w:color w:val="000000" w:themeColor="text1"/>
        </w:rPr>
        <w:t xml:space="preserve">permitted greater </w:t>
      </w:r>
      <w:r w:rsidR="006B22A3" w:rsidRPr="00C5602B">
        <w:rPr>
          <w:color w:val="000000" w:themeColor="text1"/>
        </w:rPr>
        <w:t>afford</w:t>
      </w:r>
      <w:r w:rsidR="00D34176">
        <w:rPr>
          <w:color w:val="000000" w:themeColor="text1"/>
        </w:rPr>
        <w:t xml:space="preserve">ability of </w:t>
      </w:r>
      <w:r w:rsidR="006B22A3" w:rsidRPr="00C5602B">
        <w:rPr>
          <w:color w:val="000000" w:themeColor="text1"/>
        </w:rPr>
        <w:t xml:space="preserve">expensive </w:t>
      </w:r>
      <w:r w:rsidR="004A6BBE" w:rsidRPr="00C5602B">
        <w:rPr>
          <w:color w:val="000000" w:themeColor="text1"/>
        </w:rPr>
        <w:t>broad-</w:t>
      </w:r>
      <w:r w:rsidR="004A6BBE" w:rsidRPr="00C5602B">
        <w:rPr>
          <w:color w:val="000000" w:themeColor="text1"/>
        </w:rPr>
        <w:lastRenderedPageBreak/>
        <w:t>spectrum</w:t>
      </w:r>
      <w:r w:rsidR="00FE2336" w:rsidRPr="00C5602B">
        <w:rPr>
          <w:color w:val="000000" w:themeColor="text1"/>
        </w:rPr>
        <w:t xml:space="preserve"> antibiotics</w:t>
      </w:r>
      <w:r w:rsidR="000A520E">
        <w:rPr>
          <w:color w:val="000000" w:themeColor="text1"/>
        </w:rPr>
        <w:t>,</w:t>
      </w:r>
      <w:r w:rsidR="000011CF">
        <w:rPr>
          <w:color w:val="000000" w:themeColor="text1"/>
        </w:rPr>
        <w:t xml:space="preserve"> driving greater consumption</w:t>
      </w:r>
      <w:r w:rsidRPr="00C5602B">
        <w:rPr>
          <w:color w:val="000000" w:themeColor="text1"/>
        </w:rPr>
        <w:t>.</w:t>
      </w:r>
      <w:r w:rsidR="008A335F">
        <w:rPr>
          <w:color w:val="000000" w:themeColor="text1"/>
        </w:rPr>
        <w:t xml:space="preserve"> Second, the specificity of local pharmaceutical markets may also play a role. The example of Pakistan, characterized by a market saturated with Watch antibiotics (including numerous brand names of the same active ingredient), illustrates how the availability of certain drugs may influence prescribing practices based on market pressure.</w:t>
      </w:r>
      <w:r w:rsidR="00967237">
        <w:rPr>
          <w:color w:val="000000" w:themeColor="text1"/>
        </w:rPr>
        <w:fldChar w:fldCharType="begin"/>
      </w:r>
      <w:r w:rsidR="00224DF9">
        <w:rPr>
          <w:color w:val="000000" w:themeColor="text1"/>
        </w:rPr>
        <w:instrText xml:space="preserve"> ADDIN ZOTERO_ITEM CSL_CITATION {"citationID":"a20s9o4nl7s","properties":{"formattedCitation":"\\super 5\\nosupersub{}","plainCitation":"5","noteIndex":0},"citationItems":[{"id":3506,"uris":["http://zotero.org/users/local/UM34EoPV/items/UP5AV3KH"],"uri":["http://zotero.org/users/local/UM34EoPV/items/UP5AV3KH"],"itemData":{"id":3506,"type":"article-journal","abstract":"Understanding antimicrobials (AM) on offer in a pharmaceutical market, with a particular reference to drugs categorized as “Watch” active ingredients, is one of the important first steps to prevent their potentially inappropriate use. The March 2019 data of all AM containing registered brands and presentations currently being sold in the country for the J01 Anatomical Therapeutic Chemical (ATC) subgroup from IQVIA Pakistan was used. Each AM was categorized as “Access,” “Watch,” or “Reserve,” according to the WHO AWaRe classification. There were 59 single chemical entities and 14 combinations with 1869 brands and 4648 presentations. The WHO Essential Medicines List included 35 J01 AM while an additional 38 single and combination AM with 425 brands and 977 presentations were present in the country. Looking at the whole list of marketed AM, 8 of the 10 AM with more than 60 brands were classified as “Watch”, offering 962 brands and 2418 presentations. Most AM marketed in Pakistan, of which there are an excessive number of brands, belong to the “Watch” AWaRe category. The higher the number of brands, the higher the marketing pressure on prescribers and pharmacists will be which implies more potential confusion. One vital step to rationalize the use of AM lies in reviewing their market offer.","container-title":"Antibiotics","DOI":"10.3390/antibiotics8040189","ISSN":"2079-6382","issue":"4","journalAbbreviation":"Antibiotics","language":"en","page":"189","source":"DOI.org (Crossref)","title":"Analysis of the Antimicrobial Market in Pakistan: Is It Really Necessary Such a Vast Offering of “Watch” Antimicrobials?","title-short":"Analysis of the Antimicrobial Market in Pakistan","URL":"https://www.mdpi.com/2079-6382/8/4/189","volume":"8","author":[{"family":"Malik","given":"Farrukh"},{"family":"Figueras","given":"Albert"}],"accessed":{"date-parts":[["2020",2,26]]},"issued":{"date-parts":[["2019",10,17]]}}}],"schema":"https://github.com/citation-style-language/schema/raw/master/csl-citation.json"} </w:instrText>
      </w:r>
      <w:r w:rsidR="00967237">
        <w:rPr>
          <w:color w:val="000000" w:themeColor="text1"/>
        </w:rPr>
        <w:fldChar w:fldCharType="separate"/>
      </w:r>
      <w:r w:rsidR="00224DF9" w:rsidRPr="005B280F">
        <w:rPr>
          <w:vertAlign w:val="superscript"/>
        </w:rPr>
        <w:t>5</w:t>
      </w:r>
      <w:r w:rsidR="00967237">
        <w:rPr>
          <w:color w:val="000000" w:themeColor="text1"/>
        </w:rPr>
        <w:fldChar w:fldCharType="end"/>
      </w:r>
      <w:r w:rsidR="008A335F">
        <w:rPr>
          <w:color w:val="000000" w:themeColor="text1"/>
        </w:rPr>
        <w:t xml:space="preserve"> Similar practices of </w:t>
      </w:r>
      <w:r w:rsidR="001B0B53">
        <w:rPr>
          <w:color w:val="000000" w:themeColor="text1"/>
        </w:rPr>
        <w:t xml:space="preserve">offering incentives by pharmaceutical companies for </w:t>
      </w:r>
      <w:r w:rsidR="000A520E">
        <w:t>prescribing of</w:t>
      </w:r>
      <w:r w:rsidR="008E235D">
        <w:t xml:space="preserve"> more expensive broad-spectrum antibiotics</w:t>
      </w:r>
      <w:r w:rsidR="001B0B53">
        <w:t xml:space="preserve"> have </w:t>
      </w:r>
      <w:r w:rsidR="00345752">
        <w:t xml:space="preserve">also </w:t>
      </w:r>
      <w:r w:rsidR="001B0B53">
        <w:t xml:space="preserve">been </w:t>
      </w:r>
      <w:r w:rsidR="008E235D">
        <w:t>reported in China</w:t>
      </w:r>
      <w:r w:rsidR="00967237">
        <w:fldChar w:fldCharType="begin"/>
      </w:r>
      <w:r w:rsidR="00224DF9">
        <w:instrText xml:space="preserve"> ADDIN ZOTERO_ITEM CSL_CITATION {"citationID":"a2fbh1g9lqm","properties":{"formattedCitation":"\\super 12\\nosupersub{}","plainCitation":"12","noteIndex":0},"citationItems":[{"id":3508,"uris":["http://zotero.org/users/local/UM34EoPV/items/YRK5WF8Q"],"uri":["http://zotero.org/users/local/UM34EoPV/items/YRK5WF8Q"],"itemData":{"id":3508,"type":"article-journal","abstract":"OBJECTIVES: To describe effects of health financing on providers' opinions and prescribing behavior in rural China.\nMETHODS: A multi-stage sampling procedure was used to select county, township, and village health care facilities. A total of 1,064 health care providers in county, township, and village health care facilities in six counties in central China were randomly selected and surveyed during one week by written questionnaire.\nRESULTS: Patient's health financing systems (insurance or out-of-pocket payment), financing methods for health facilities (general budget or fee for service), and payment methods for providers (salary or bonus) influenced provider prescribing. Bonuses could improve the quality of health care, but could also be an incentive to prescribe more drugs or more expensive drugs and other services. The providers were of the view that patients' health financing and ability to pay were the main determinants of the type of treatment. Insured patients could have more access to expensive drugs, referred to specialized health care facilities, and have a higher cure rate (according to the doctor's opinion) for tuberculosis. Most of the clinical doctors said that they prescribed more expensive antibiotics for insured patients and changed prescriptions according to patients' demands, financial ability, and health financing systems in the treatment of some diseases, such as chronic bronchitis, tuberculosis, and hypertension.\nCONCLUSION: The empirical data suggest that the main factor influencing provider prescribing behavior is the economic incentives in relation to health care financing for both health care providers and consumers.","container-title":"International Journal of Technology Assessment in Health Care","ISSN":"0266-4623","issue":"4","journalAbbreviation":"Int J Technol Assess Health Care","language":"eng","note":"PMID: 10645110","page":"686-698","source":"PubMed","title":"Health financing policies. Providers' opinions and prescribing behavior in rural China","volume":"15","author":[{"family":"Dong","given":"H."},{"family":"Bogg","given":"L."},{"family":"Rehnberg","given":"C."},{"family":"Diwan","given":"V."}],"issued":{"date-parts":[["1999"]]}}}],"schema":"https://github.com/citation-style-language/schema/raw/master/csl-citation.json"} </w:instrText>
      </w:r>
      <w:r w:rsidR="00967237">
        <w:fldChar w:fldCharType="separate"/>
      </w:r>
      <w:r w:rsidR="00224DF9" w:rsidRPr="005B280F">
        <w:rPr>
          <w:vertAlign w:val="superscript"/>
        </w:rPr>
        <w:t>12</w:t>
      </w:r>
      <w:r w:rsidR="00967237">
        <w:fldChar w:fldCharType="end"/>
      </w:r>
      <w:r w:rsidRPr="00C5602B">
        <w:t xml:space="preserve"> and Ethiopia.</w:t>
      </w:r>
      <w:r w:rsidR="00967237">
        <w:fldChar w:fldCharType="begin"/>
      </w:r>
      <w:r w:rsidR="00224DF9">
        <w:instrText xml:space="preserve"> ADDIN ZOTERO_ITEM CSL_CITATION {"citationID":"a102v0ho89n","properties":{"formattedCitation":"\\super 13\\nosupersub{}","plainCitation":"13","noteIndex":0},"citationItems":[{"id":3510,"uris":["http://zotero.org/users/local/UM34EoPV/items/PX6BTUCN"],"uri":["http://zotero.org/users/local/UM34EoPV/items/PX6BTUCN"],"itemData":{"id":3510,"type":"article-journal","container-title":"PLOS ONE","DOI":"10.1371/journal.pone.0208447","ISSN":"1932-6203","issue":"12","journalAbbreviation":"PLoS ONE","language":"en","page":"e0208447","source":"DOI.org (Crossref)","title":"Opportunities and barriers to implementing antibiotic stewardship in low and middle-income countries: Lessons from a mixed-methods study in a tertiary care hospital in Ethiopia","title-short":"Opportunities and barriers to implementing antibiotic stewardship in low and middle-income countries","URL":"http://dx.plos.org/10.1371/journal.pone.0208447","volume":"13","author":[{"family":"Gebretekle","given":"Gebremedhin Beedemariam"},{"family":"Haile Mariam","given":"Damen"},{"family":"Abebe","given":"Workeabeba"},{"family":"Amogne","given":"Wondwossen"},{"family":"Tenna","given":"Admasu"},{"family":"Fenta","given":"Teferi Gedif"},{"family":"Libman","given":"Michael"},{"family":"Yansouni","given":"Cedric P."},{"family":"Semret","given":"Makeda"}],"editor":[{"family":"Figueras","given":"Albert"}],"accessed":{"date-parts":[["2020",2,26]]},"issued":{"date-parts":[["2018",12,20]]}}}],"schema":"https://github.com/citation-style-language/schema/raw/master/csl-citation.json"} </w:instrText>
      </w:r>
      <w:r w:rsidR="00967237">
        <w:fldChar w:fldCharType="separate"/>
      </w:r>
      <w:r w:rsidR="00224DF9" w:rsidRPr="005B280F">
        <w:rPr>
          <w:vertAlign w:val="superscript"/>
        </w:rPr>
        <w:t>13</w:t>
      </w:r>
      <w:r w:rsidR="00967237">
        <w:fldChar w:fldCharType="end"/>
      </w:r>
      <w:r w:rsidRPr="00C5602B">
        <w:t xml:space="preserve"> Third, weak regulatory capacity</w:t>
      </w:r>
      <w:r w:rsidR="000A520E">
        <w:t xml:space="preserve"> has</w:t>
      </w:r>
      <w:r w:rsidRPr="00C5602B">
        <w:t xml:space="preserve"> </w:t>
      </w:r>
      <w:r w:rsidR="000011CF">
        <w:t>allow</w:t>
      </w:r>
      <w:r w:rsidR="000A520E">
        <w:t>ed</w:t>
      </w:r>
      <w:r w:rsidR="000011CF">
        <w:t xml:space="preserve"> greater </w:t>
      </w:r>
      <w:r w:rsidR="00CF3DEB">
        <w:t>over-the counter sales of antibiotics</w:t>
      </w:r>
      <w:r w:rsidR="00E62320">
        <w:t xml:space="preserve">, which are often inappropriate. </w:t>
      </w:r>
      <w:r w:rsidR="000011CF">
        <w:t>F</w:t>
      </w:r>
      <w:r w:rsidR="007378C2" w:rsidRPr="00C5602B">
        <w:t xml:space="preserve">or instance, </w:t>
      </w:r>
      <w:r w:rsidR="000011CF">
        <w:t xml:space="preserve">wide-scale </w:t>
      </w:r>
      <w:r w:rsidR="00A60369">
        <w:t xml:space="preserve">consumption </w:t>
      </w:r>
      <w:r w:rsidR="000011CF">
        <w:t xml:space="preserve">of </w:t>
      </w:r>
      <w:r w:rsidR="000011CF" w:rsidRPr="00C5602B">
        <w:t>invalidated fixed-dose combination</w:t>
      </w:r>
      <w:r w:rsidR="000011CF">
        <w:t xml:space="preserve">s has been permitted in </w:t>
      </w:r>
      <w:r w:rsidR="007378C2" w:rsidRPr="00C5602B">
        <w:t>India</w:t>
      </w:r>
      <w:r w:rsidR="00345752">
        <w:t>,</w:t>
      </w:r>
      <w:r w:rsidR="00967237">
        <w:fldChar w:fldCharType="begin"/>
      </w:r>
      <w:r w:rsidR="00224DF9">
        <w:instrText xml:space="preserve"> ADDIN ZOTERO_ITEM CSL_CITATION {"citationID":"a2jpk0etnav","properties":{"formattedCitation":"\\super 3\\nosupersub{}","plainCitation":"3","noteIndex":0},"citationItems":[{"id":3496,"uris":["http://zotero.org/users/local/UM34EoPV/items/VS5X4QFC"],"uri":["http://zotero.org/users/local/UM34EoPV/items/VS5X4QFC"],"itemData":{"id":3496,"type":"article-journal","container-title":"The Lancet Global Health","DOI":"10.1016/S2214-109X(17)30365-0","ISSN":"2214109X","issue":"11","journalAbbreviation":"The Lancet Global Health","language":"en","page":"e1075-e1076","source":"DOI.org (Crossref)","title":"Access, Watch, and Reserve antibiotics in India: challenges for WHO stewardship","title-short":"Access, Watch, and Reserve antibiotics in India","URL":"https://linkinghub.elsevier.com/retrieve/pii/S2214109X17303650","volume":"5","author":[{"family":"McGettigan","given":"Patricia"},{"family":"Roderick","given":"Peter"},{"family":"Kadam","given":"Abhay"},{"family":"Pollock","given":"Allyson M"}],"accessed":{"date-parts":[["2020",2,26]]},"issued":{"date-parts":[["2017",11]]}}}],"schema":"https://github.com/citation-style-language/schema/raw/master/csl-citation.json"} </w:instrText>
      </w:r>
      <w:r w:rsidR="00967237">
        <w:fldChar w:fldCharType="separate"/>
      </w:r>
      <w:r w:rsidR="00224DF9" w:rsidRPr="005B280F">
        <w:rPr>
          <w:vertAlign w:val="superscript"/>
        </w:rPr>
        <w:t>3</w:t>
      </w:r>
      <w:r w:rsidR="00967237">
        <w:fldChar w:fldCharType="end"/>
      </w:r>
      <w:r w:rsidR="000A520E">
        <w:t xml:space="preserve"> a</w:t>
      </w:r>
      <w:r w:rsidR="000011CF">
        <w:t>nd in many countries w</w:t>
      </w:r>
      <w:r w:rsidR="0065755F" w:rsidRPr="00C5602B">
        <w:rPr>
          <w:color w:val="000000" w:themeColor="text1"/>
        </w:rPr>
        <w:t xml:space="preserve">eak enforcement of regulations has resulted in </w:t>
      </w:r>
      <w:r w:rsidR="007378C2" w:rsidRPr="00C5602B">
        <w:rPr>
          <w:color w:val="000000" w:themeColor="text1"/>
        </w:rPr>
        <w:t xml:space="preserve">the </w:t>
      </w:r>
      <w:r w:rsidR="0065755F" w:rsidRPr="00C5602B">
        <w:rPr>
          <w:color w:val="000000" w:themeColor="text1"/>
        </w:rPr>
        <w:t xml:space="preserve">wide availability of antibiotics </w:t>
      </w:r>
      <w:r w:rsidRPr="00C5602B">
        <w:rPr>
          <w:color w:val="000000" w:themeColor="text1"/>
        </w:rPr>
        <w:t xml:space="preserve">from multiple sources </w:t>
      </w:r>
      <w:r w:rsidR="0065755F" w:rsidRPr="00C5602B">
        <w:rPr>
          <w:color w:val="000000" w:themeColor="text1"/>
        </w:rPr>
        <w:t>with</w:t>
      </w:r>
      <w:r w:rsidR="006B22A3" w:rsidRPr="00C5602B">
        <w:rPr>
          <w:color w:val="000000" w:themeColor="text1"/>
        </w:rPr>
        <w:t>out prescriptions</w:t>
      </w:r>
      <w:r w:rsidR="00345752">
        <w:rPr>
          <w:color w:val="000000" w:themeColor="text1"/>
        </w:rPr>
        <w:t>.</w:t>
      </w:r>
      <w:r w:rsidR="00967237">
        <w:rPr>
          <w:color w:val="000000" w:themeColor="text1"/>
        </w:rPr>
        <w:fldChar w:fldCharType="begin"/>
      </w:r>
      <w:r w:rsidR="00224DF9">
        <w:rPr>
          <w:color w:val="000000" w:themeColor="text1"/>
        </w:rPr>
        <w:instrText xml:space="preserve"> ADDIN ZOTERO_ITEM CSL_CITATION {"citationID":"a1sksmhfbha","properties":{"formattedCitation":"\\super 14\\nosupersub{}","plainCitation":"14","noteIndex":0},"citationItems":[{"id":3512,"uris":["http://zotero.org/users/local/UM34EoPV/items/HZUJLJ4J"],"uri":["http://zotero.org/users/local/UM34EoPV/items/HZUJLJ4J"],"itemData":{"id":3512,"type":"article-journal","container-title":"Antibiotics","DOI":"10.3390/antibiotics3020233","ISSN":"2079-6382","issue":"2","journalAbbreviation":"Antibiotics","language":"en","page":"233-243","source":"DOI.org (Crossref)","title":"Understanding Antibiotic Use in Minya District, Egypt: Physician and Pharmacist Prescribing and the Factors Influencing Their Practices","title-short":"Understanding Antibiotic Use in Minya District, Egypt","URL":"http://www.mdpi.com/2079-6382/3/2/233","volume":"3","author":[{"family":"Dooling","given":"Kathleen"},{"family":"Kandeel","given":"Amr"},{"family":"Hicks","given":"Lauri"},{"family":"El-Shoubary","given":"Waleed"},{"family":"Fawzi","given":"Khaled"},{"family":"Kandeel","given":"Yasser"},{"family":"Etman","given":"Ahmad"},{"family":"Lohiniva","given":"Anna"},{"family":"Talaat","given":"Maha"}],"accessed":{"date-parts":[["2020",2,26]]},"issued":{"date-parts":[["2014",6,20]]}}}],"schema":"https://github.com/citation-style-language/schema/raw/master/csl-citation.json"} </w:instrText>
      </w:r>
      <w:r w:rsidR="00967237">
        <w:rPr>
          <w:color w:val="000000" w:themeColor="text1"/>
        </w:rPr>
        <w:fldChar w:fldCharType="separate"/>
      </w:r>
      <w:r w:rsidR="00224DF9" w:rsidRPr="005B280F">
        <w:rPr>
          <w:vertAlign w:val="superscript"/>
        </w:rPr>
        <w:t>14</w:t>
      </w:r>
      <w:r w:rsidR="00967237">
        <w:rPr>
          <w:color w:val="000000" w:themeColor="text1"/>
        </w:rPr>
        <w:fldChar w:fldCharType="end"/>
      </w:r>
      <w:r w:rsidR="00D534CC" w:rsidRPr="00C5602B">
        <w:rPr>
          <w:color w:val="000000" w:themeColor="text1"/>
        </w:rPr>
        <w:t xml:space="preserve"> Fourth, diagnostic </w:t>
      </w:r>
      <w:r w:rsidR="008F342B" w:rsidRPr="00C5602B">
        <w:rPr>
          <w:color w:val="000000" w:themeColor="text1"/>
        </w:rPr>
        <w:t xml:space="preserve">uncertainty </w:t>
      </w:r>
      <w:r w:rsidR="00D534CC" w:rsidRPr="00C5602B">
        <w:rPr>
          <w:color w:val="000000" w:themeColor="text1"/>
        </w:rPr>
        <w:t>concerning febrile illnesses</w:t>
      </w:r>
      <w:r w:rsidR="00967237">
        <w:rPr>
          <w:color w:val="000000" w:themeColor="text1"/>
        </w:rPr>
        <w:fldChar w:fldCharType="begin"/>
      </w:r>
      <w:r w:rsidR="00224DF9">
        <w:rPr>
          <w:color w:val="000000" w:themeColor="text1"/>
        </w:rPr>
        <w:instrText xml:space="preserve"> ADDIN ZOTERO_ITEM CSL_CITATION {"citationID":"a2fdpl58hua","properties":{"formattedCitation":"\\super 15\\nosupersub{}","plainCitation":"15","noteIndex":0},"citationItems":[{"id":3514,"uris":["http://zotero.org/users/local/UM34EoPV/items/G2NXQ2FC"],"uri":["http://zotero.org/users/local/UM34EoPV/items/G2NXQ2FC"],"itemData":{"id":3514,"type":"article-journal","container-title":"The Lancet","DOI":"10.1016/S0140-6736(15)00547-4","ISSN":"01406736","issue":"10014","journalAbbreviation":"The Lancet","language":"en","page":"188-198","source":"DOI.org (Crossref)","title":"Maximising access to achieve appropriate human antimicrobial use in low-income and middle-income countries","URL":"https://linkinghub.elsevier.com/retrieve/pii/S0140673615005474","volume":"387","author":[{"family":"Mendelson","given":"Marc"},{"family":"Røttingen","given":"John-Arne"},{"family":"Gopinathan","given":"Unni"},{"family":"Hamer","given":"Davidson H"},{"family":"Wertheim","given":"Heiman"},{"family":"Basnyat","given":"Buddha"},{"family":"Butler","given":"Christopher"},{"family":"Tomson","given":"Göran"},{"family":"Balasegaram","given":"Manica"}],"accessed":{"date-parts":[["2020",2,26]]},"issued":{"date-parts":[["2016",1]]}}}],"schema":"https://github.com/citation-style-language/schema/raw/master/csl-citation.json"} </w:instrText>
      </w:r>
      <w:r w:rsidR="00967237">
        <w:rPr>
          <w:color w:val="000000" w:themeColor="text1"/>
        </w:rPr>
        <w:fldChar w:fldCharType="separate"/>
      </w:r>
      <w:r w:rsidR="00224DF9" w:rsidRPr="005B280F">
        <w:rPr>
          <w:vertAlign w:val="superscript"/>
        </w:rPr>
        <w:t>15</w:t>
      </w:r>
      <w:r w:rsidR="00967237">
        <w:rPr>
          <w:color w:val="000000" w:themeColor="text1"/>
        </w:rPr>
        <w:fldChar w:fldCharType="end"/>
      </w:r>
      <w:r w:rsidR="000011CF">
        <w:t xml:space="preserve"> leads to </w:t>
      </w:r>
      <w:r w:rsidR="000011CF" w:rsidRPr="00C5602B">
        <w:rPr>
          <w:color w:val="000000" w:themeColor="text1"/>
        </w:rPr>
        <w:t>antibiotic overprescribing</w:t>
      </w:r>
      <w:r w:rsidR="00D534CC" w:rsidRPr="00C5602B">
        <w:rPr>
          <w:color w:val="000000" w:themeColor="text1"/>
        </w:rPr>
        <w:t>.</w:t>
      </w:r>
      <w:r w:rsidR="00967237">
        <w:rPr>
          <w:color w:val="000000" w:themeColor="text1"/>
        </w:rPr>
        <w:fldChar w:fldCharType="begin"/>
      </w:r>
      <w:r w:rsidR="00224DF9">
        <w:rPr>
          <w:color w:val="000000" w:themeColor="text1"/>
        </w:rPr>
        <w:instrText xml:space="preserve"> ADDIN ZOTERO_ITEM CSL_CITATION {"citationID":"a2oehshd6bq","properties":{"formattedCitation":"\\super 16\\nosupersub{}","plainCitation":"16","noteIndex":0},"citationItems":[{"id":3515,"uris":["http://zotero.org/users/local/UM34EoPV/items/WPGZYHTL"],"uri":["http://zotero.org/users/local/UM34EoPV/items/WPGZYHTL"],"itemData":{"id":3515,"type":"article-journal","container-title":"PLOS Neglected Tropical Diseases","DOI":"10.1371/journal.pntd.0007438","ISSN":"1935-2735","issue":"6","journalAbbreviation":"PLoS Negl Trop Dis","language":"en","page":"e0007438","source":"DOI.org (Crossref)","title":"The inappropriate use of antibiotics in hospitalized dengue virus-infected children with presumed concurrent bacterial infection in teaching and private hospitals in Bandung, Indonesia","URL":"http://dx.plos.org/10.1371/journal.pntd.0007438","volume":"13","author":[{"family":"Adrizain","given":"Riyadi"},{"family":"Setiabudi","given":"Djatnika"},{"family":"Chairulfatah","given":"Alex"}],"editor":[{"family":"Tickell","given":"Kirkby D"}],"accessed":{"date-parts":[["2020",2,26]]},"issued":{"date-parts":[["2019",6,21]]}}}],"schema":"https://github.com/citation-style-language/schema/raw/master/csl-citation.json"} </w:instrText>
      </w:r>
      <w:r w:rsidR="00967237">
        <w:rPr>
          <w:color w:val="000000" w:themeColor="text1"/>
        </w:rPr>
        <w:fldChar w:fldCharType="separate"/>
      </w:r>
      <w:r w:rsidR="00224DF9" w:rsidRPr="005B280F">
        <w:rPr>
          <w:vertAlign w:val="superscript"/>
        </w:rPr>
        <w:t>16</w:t>
      </w:r>
      <w:r w:rsidR="00967237">
        <w:rPr>
          <w:color w:val="000000" w:themeColor="text1"/>
        </w:rPr>
        <w:fldChar w:fldCharType="end"/>
      </w:r>
      <w:r w:rsidRPr="00C5602B">
        <w:rPr>
          <w:color w:val="000000" w:themeColor="text1"/>
        </w:rPr>
        <w:t xml:space="preserve"> </w:t>
      </w:r>
      <w:r w:rsidR="00B36467" w:rsidRPr="00C5602B">
        <w:rPr>
          <w:color w:val="000000" w:themeColor="text1"/>
        </w:rPr>
        <w:t>Fifth</w:t>
      </w:r>
      <w:r w:rsidR="00DC669E" w:rsidRPr="00C5602B">
        <w:rPr>
          <w:color w:val="000000" w:themeColor="text1"/>
        </w:rPr>
        <w:t xml:space="preserve">, </w:t>
      </w:r>
      <w:r w:rsidR="006B22A3" w:rsidRPr="00C5602B">
        <w:rPr>
          <w:color w:val="000000" w:themeColor="text1"/>
        </w:rPr>
        <w:t>g</w:t>
      </w:r>
      <w:r w:rsidRPr="00C5602B">
        <w:rPr>
          <w:color w:val="000000" w:themeColor="text1"/>
        </w:rPr>
        <w:t>iven the limited resources of many LMICs, halting the spread of drug-resistan</w:t>
      </w:r>
      <w:r w:rsidR="007378C2" w:rsidRPr="00C5602B">
        <w:rPr>
          <w:color w:val="000000" w:themeColor="text1"/>
        </w:rPr>
        <w:t>t</w:t>
      </w:r>
      <w:r w:rsidRPr="00C5602B">
        <w:rPr>
          <w:color w:val="000000" w:themeColor="text1"/>
        </w:rPr>
        <w:t xml:space="preserve"> bacteria is often a lower priority t</w:t>
      </w:r>
      <w:r w:rsidR="00D611C2" w:rsidRPr="00C5602B">
        <w:rPr>
          <w:color w:val="000000" w:themeColor="text1"/>
        </w:rPr>
        <w:t>han</w:t>
      </w:r>
      <w:r w:rsidR="00727603">
        <w:rPr>
          <w:color w:val="000000" w:themeColor="text1"/>
        </w:rPr>
        <w:t xml:space="preserve"> addressing</w:t>
      </w:r>
      <w:r w:rsidR="00D611C2" w:rsidRPr="00C5602B">
        <w:rPr>
          <w:color w:val="000000" w:themeColor="text1"/>
        </w:rPr>
        <w:t xml:space="preserve"> higher profile </w:t>
      </w:r>
      <w:r w:rsidRPr="00C5602B">
        <w:rPr>
          <w:color w:val="000000" w:themeColor="text1"/>
        </w:rPr>
        <w:t xml:space="preserve">diseases </w:t>
      </w:r>
      <w:r w:rsidR="00D611C2" w:rsidRPr="00C5602B">
        <w:rPr>
          <w:color w:val="000000" w:themeColor="text1"/>
        </w:rPr>
        <w:t>or</w:t>
      </w:r>
      <w:r w:rsidRPr="00C5602B">
        <w:rPr>
          <w:color w:val="000000" w:themeColor="text1"/>
        </w:rPr>
        <w:t xml:space="preserve"> prevention measures such as sanitation and hygiene </w:t>
      </w:r>
      <w:r w:rsidR="00D611C2" w:rsidRPr="00C5602B">
        <w:rPr>
          <w:color w:val="000000" w:themeColor="text1"/>
        </w:rPr>
        <w:t xml:space="preserve">improvements </w:t>
      </w:r>
      <w:r w:rsidR="007378C2" w:rsidRPr="00C5602B">
        <w:rPr>
          <w:color w:val="000000" w:themeColor="text1"/>
        </w:rPr>
        <w:t xml:space="preserve">and </w:t>
      </w:r>
      <w:r w:rsidRPr="00C5602B">
        <w:rPr>
          <w:color w:val="000000" w:themeColor="text1"/>
        </w:rPr>
        <w:t>vaccination</w:t>
      </w:r>
      <w:r w:rsidR="00D611C2" w:rsidRPr="00C5602B">
        <w:rPr>
          <w:color w:val="000000" w:themeColor="text1"/>
        </w:rPr>
        <w:t>.</w:t>
      </w:r>
      <w:r w:rsidR="00967237">
        <w:rPr>
          <w:color w:val="000000" w:themeColor="text1"/>
        </w:rPr>
        <w:fldChar w:fldCharType="begin"/>
      </w:r>
      <w:r w:rsidR="00224DF9">
        <w:rPr>
          <w:color w:val="000000" w:themeColor="text1"/>
        </w:rPr>
        <w:instrText xml:space="preserve"> ADDIN ZOTERO_ITEM CSL_CITATION {"citationID":"a2mcq2sbaam","properties":{"formattedCitation":"\\super 17\\nosupersub{}","plainCitation":"17","noteIndex":0},"citationItems":[{"id":3517,"uris":["http://zotero.org/users/local/UM34EoPV/items/EBP74LI5"],"uri":["http://zotero.org/users/local/UM34EoPV/items/EBP74LI5"],"itemData":{"id":3517,"type":"article-journal","container-title":"Antimicrobial Resistance &amp; Infection Control","DOI":"10.1186/s13756-017-0208-x","ISSN":"2047-2994","issue":"1","journalAbbreviation":"Antimicrob Resist Infect Control","language":"en","page":"47","source":"DOI.org (Crossref)","title":"The threat of antimicrobial resistance in developing countries: causes and control strategies","title-short":"The threat of antimicrobial resistance in developing countries","URL":"http://aricjournal.biomedcentral.com/articles/10.1186/s13756-017-0208-x","volume":"6","author":[{"family":"Ayukekbong","given":"James A."},{"family":"Ntemgwa","given":"Michel"},{"family":"Atabe","given":"Andrew N."}],"accessed":{"date-parts":[["2020",2,26]]},"issued":{"date-parts":[["2017",12]]}}}],"schema":"https://github.com/citation-style-language/schema/raw/master/csl-citation.json"} </w:instrText>
      </w:r>
      <w:r w:rsidR="00967237">
        <w:rPr>
          <w:color w:val="000000" w:themeColor="text1"/>
        </w:rPr>
        <w:fldChar w:fldCharType="separate"/>
      </w:r>
      <w:r w:rsidR="00224DF9" w:rsidRPr="005B280F">
        <w:rPr>
          <w:vertAlign w:val="superscript"/>
        </w:rPr>
        <w:t>17</w:t>
      </w:r>
      <w:r w:rsidR="00967237">
        <w:rPr>
          <w:color w:val="000000" w:themeColor="text1"/>
        </w:rPr>
        <w:fldChar w:fldCharType="end"/>
      </w:r>
      <w:r w:rsidR="00D611C2" w:rsidRPr="00C5602B">
        <w:rPr>
          <w:color w:val="000000" w:themeColor="text1"/>
        </w:rPr>
        <w:t xml:space="preserve"> </w:t>
      </w:r>
      <w:r w:rsidR="00146555">
        <w:rPr>
          <w:color w:val="000000" w:themeColor="text1"/>
        </w:rPr>
        <w:t xml:space="preserve">Sixth, </w:t>
      </w:r>
      <w:r w:rsidR="00D611C2" w:rsidRPr="00C5602B">
        <w:rPr>
          <w:color w:val="000000" w:themeColor="text1"/>
        </w:rPr>
        <w:t>higher rates of resistant infections</w:t>
      </w:r>
      <w:r w:rsidR="00967237">
        <w:rPr>
          <w:color w:val="000000" w:themeColor="text1"/>
        </w:rPr>
        <w:fldChar w:fldCharType="begin"/>
      </w:r>
      <w:r w:rsidR="00224DF9">
        <w:rPr>
          <w:color w:val="000000" w:themeColor="text1"/>
        </w:rPr>
        <w:instrText xml:space="preserve"> ADDIN ZOTERO_ITEM CSL_CITATION {"citationID":"a1jqj2pvron","properties":{"formattedCitation":"\\super 18\\nosupersub{}","plainCitation":"18","noteIndex":0},"citationItems":[{"id":3519,"uris":["http://zotero.org/users/local/UM34EoPV/items/RQBVSG55"],"uri":["http://zotero.org/users/local/UM34EoPV/items/RQBVSG55"],"itemData":{"id":3519,"type":"article-journal","abstract":"Background\n              Evaluating trends in antibiotic resistance and communicating the results to a broad audience are important for dealing with this global threat. The Drug Resistance Index (DRI), which combines use and resistance into a single measure, was developed as an easy-to-understand measure of the effectiveness of antibiotic therapy. We demonstrate its utility in communicating differences in the effectiveness of antibiotic therapy across countries.\n            \n            \n              Methods\n              \n                We calculated the DRI for countries with data on antibiotic use and resistance for the disease-causing organisms considered by the WHO as priority pathogens:\n                Acinetobacter baumannii\n                ,\n                Escherichia coli\n                ,\n                Klebsiella pneumoniae\n                ,\n                Pseudomonas aeruginosa\n                ,\n                Staphylococcus aureus\n                ,\n                Enterococcus faecium\n                and\n                Enterococcus faecalis\n                . Additionally, we estimated pooled worldwide resistance rates for these pathogens.\n              \n            \n            \n              Results\n              \n                41 countries had the requisite data and were included in the study. Resistance and use rates were highly variable across countries, but\n                A. baumannii\n                resistance rates were uniformly higher, on average, than other organisms. High-income countries, particularly Sweden, Canada, Norway, Finland and Denmark, had the lowest DRIs; the countries with the highest DRIs, and therefore the lowest effectiveness of antibiotic therapy, were all low-income and middle-income countries.\n              \n            \n            \n              Conclusions\n              The DRI is a useful indicator of the problem of resistance. By combining data on antibiotic use with resistance, it captures a snapshot of how the antibiotics a country typically uses match their resistance profiles. This single measure of the effectiveness of antibiotic therapy provides a means of benchmarking against other countries and can, over time, indicate changes in drug effectiveness that can be easily communicated.","container-title":"BMJ Global Health","DOI":"10.1136/bmjgh-2018-001315","ISSN":"2059-7908","issue":"2","journalAbbreviation":"BMJ Glob Health","language":"en","page":"e001315","source":"DOI.org (Crossref)","title":"Tracking global trends in the effectiveness of antibiotic therapy using the Drug Resistance Index","URL":"http://gh.bmj.com/lookup/doi/10.1136/bmjgh-2018-001315","volume":"4","author":[{"family":"Klein","given":"Eili Y"},{"family":"Tseng","given":"Katie K"},{"family":"Pant","given":"Suraj"},{"family":"Laxminarayan","given":"Ramanan"}],"accessed":{"date-parts":[["2020",2,26]]},"issued":{"date-parts":[["2019",4]]}}}],"schema":"https://github.com/citation-style-language/schema/raw/master/csl-citation.json"} </w:instrText>
      </w:r>
      <w:r w:rsidR="00967237">
        <w:rPr>
          <w:color w:val="000000" w:themeColor="text1"/>
        </w:rPr>
        <w:fldChar w:fldCharType="separate"/>
      </w:r>
      <w:r w:rsidR="00224DF9" w:rsidRPr="005B280F">
        <w:rPr>
          <w:vertAlign w:val="superscript"/>
        </w:rPr>
        <w:t>18</w:t>
      </w:r>
      <w:r w:rsidR="00967237">
        <w:rPr>
          <w:color w:val="000000" w:themeColor="text1"/>
        </w:rPr>
        <w:fldChar w:fldCharType="end"/>
      </w:r>
      <w:r w:rsidR="00D611C2" w:rsidRPr="00C5602B">
        <w:rPr>
          <w:color w:val="000000" w:themeColor="text1"/>
        </w:rPr>
        <w:t xml:space="preserve"> </w:t>
      </w:r>
      <w:r w:rsidR="00146555">
        <w:rPr>
          <w:color w:val="000000" w:themeColor="text1"/>
        </w:rPr>
        <w:t xml:space="preserve">may </w:t>
      </w:r>
      <w:r w:rsidR="00D611C2" w:rsidRPr="00C5602B">
        <w:rPr>
          <w:color w:val="000000" w:themeColor="text1"/>
        </w:rPr>
        <w:t xml:space="preserve">lead to greater </w:t>
      </w:r>
      <w:r w:rsidR="00F12A77">
        <w:rPr>
          <w:color w:val="000000" w:themeColor="text1"/>
        </w:rPr>
        <w:t>consumption</w:t>
      </w:r>
      <w:r w:rsidR="00D611C2" w:rsidRPr="00C5602B">
        <w:rPr>
          <w:color w:val="000000" w:themeColor="text1"/>
        </w:rPr>
        <w:t xml:space="preserve"> of Watch medications</w:t>
      </w:r>
      <w:r w:rsidRPr="00C5602B">
        <w:rPr>
          <w:color w:val="000000" w:themeColor="text1"/>
        </w:rPr>
        <w:t>.</w:t>
      </w:r>
    </w:p>
    <w:p w14:paraId="4232516A" w14:textId="77777777" w:rsidR="00345752" w:rsidRDefault="00345752" w:rsidP="00AE7C92">
      <w:pPr>
        <w:autoSpaceDE w:val="0"/>
        <w:autoSpaceDN w:val="0"/>
        <w:adjustRightInd w:val="0"/>
        <w:spacing w:line="480" w:lineRule="auto"/>
        <w:rPr>
          <w:color w:val="000000" w:themeColor="text1"/>
        </w:rPr>
      </w:pPr>
    </w:p>
    <w:p w14:paraId="126C5D89" w14:textId="49E07B17" w:rsidR="00235DC6" w:rsidRDefault="00E62320" w:rsidP="00AE7C92">
      <w:pPr>
        <w:autoSpaceDE w:val="0"/>
        <w:autoSpaceDN w:val="0"/>
        <w:adjustRightInd w:val="0"/>
        <w:spacing w:line="480" w:lineRule="auto"/>
        <w:rPr>
          <w:color w:val="000000" w:themeColor="text1"/>
        </w:rPr>
      </w:pPr>
      <w:r>
        <w:rPr>
          <w:color w:val="000000" w:themeColor="text1"/>
        </w:rPr>
        <w:t>S</w:t>
      </w:r>
      <w:r w:rsidR="000A520E">
        <w:rPr>
          <w:color w:val="000000" w:themeColor="text1"/>
        </w:rPr>
        <w:t xml:space="preserve">everal LMIC countries (e.g., Algeria, Tunisia) have high relative </w:t>
      </w:r>
      <w:r w:rsidR="00F12A77">
        <w:rPr>
          <w:color w:val="000000" w:themeColor="text1"/>
        </w:rPr>
        <w:t>consumption</w:t>
      </w:r>
      <w:r w:rsidR="000A520E">
        <w:rPr>
          <w:color w:val="000000" w:themeColor="text1"/>
        </w:rPr>
        <w:t xml:space="preserve"> of Access antibiotics comparable to some of the best performing HICs in terms of antibiotic stewardship (e.g., Norway, Sweden, </w:t>
      </w:r>
      <w:r w:rsidR="003F5729">
        <w:rPr>
          <w:color w:val="000000" w:themeColor="text1"/>
        </w:rPr>
        <w:t>the</w:t>
      </w:r>
      <w:r w:rsidR="00CD0CA1">
        <w:rPr>
          <w:color w:val="000000" w:themeColor="text1"/>
        </w:rPr>
        <w:t xml:space="preserve"> </w:t>
      </w:r>
      <w:r w:rsidR="000A520E">
        <w:rPr>
          <w:color w:val="000000" w:themeColor="text1"/>
        </w:rPr>
        <w:t xml:space="preserve">Netherlands), suggesting that improvements are possible across the income spectrum. In </w:t>
      </w:r>
      <w:r w:rsidR="00AE7C92" w:rsidRPr="00FB3FEB">
        <w:rPr>
          <w:color w:val="000000" w:themeColor="text1"/>
        </w:rPr>
        <w:t>HICs</w:t>
      </w:r>
      <w:r w:rsidR="00B33794">
        <w:rPr>
          <w:color w:val="000000" w:themeColor="text1"/>
        </w:rPr>
        <w:t>,</w:t>
      </w:r>
      <w:r w:rsidR="000A520E">
        <w:rPr>
          <w:color w:val="000000" w:themeColor="text1"/>
        </w:rPr>
        <w:t xml:space="preserve"> lack of resources are not the driving factor in </w:t>
      </w:r>
      <w:r w:rsidR="00AE7C92">
        <w:rPr>
          <w:color w:val="000000" w:themeColor="text1"/>
        </w:rPr>
        <w:t xml:space="preserve">the </w:t>
      </w:r>
      <w:r w:rsidR="007003E5">
        <w:rPr>
          <w:color w:val="000000" w:themeColor="text1"/>
        </w:rPr>
        <w:t>consumption</w:t>
      </w:r>
      <w:r w:rsidR="00AE7C92">
        <w:rPr>
          <w:color w:val="000000" w:themeColor="text1"/>
        </w:rPr>
        <w:t xml:space="preserve"> of more costly </w:t>
      </w:r>
      <w:r w:rsidR="00AE7C92">
        <w:t xml:space="preserve">second- and third-generation </w:t>
      </w:r>
      <w:r w:rsidR="00AE7C92" w:rsidRPr="00FB3FEB">
        <w:rPr>
          <w:color w:val="000000" w:themeColor="text1"/>
        </w:rPr>
        <w:t xml:space="preserve">Watch </w:t>
      </w:r>
      <w:r w:rsidR="00AE7C92">
        <w:rPr>
          <w:color w:val="000000" w:themeColor="text1"/>
        </w:rPr>
        <w:t>antib</w:t>
      </w:r>
      <w:r w:rsidR="000A520E">
        <w:rPr>
          <w:color w:val="000000" w:themeColor="text1"/>
        </w:rPr>
        <w:t xml:space="preserve">iotics. Rather, these consumption patterns </w:t>
      </w:r>
      <w:r w:rsidR="004B3F51">
        <w:t>reflects suboptimal stewardship efforts</w:t>
      </w:r>
      <w:r w:rsidR="00AE7C92" w:rsidRPr="00FB3FEB">
        <w:rPr>
          <w:color w:val="000000" w:themeColor="text1"/>
        </w:rPr>
        <w:t>.</w:t>
      </w:r>
      <w:r w:rsidR="004C4969">
        <w:rPr>
          <w:color w:val="000000" w:themeColor="text1"/>
        </w:rPr>
        <w:fldChar w:fldCharType="begin"/>
      </w:r>
      <w:r w:rsidR="00224DF9">
        <w:rPr>
          <w:color w:val="000000" w:themeColor="text1"/>
        </w:rPr>
        <w:instrText xml:space="preserve"> ADDIN ZOTERO_ITEM CSL_CITATION {"citationID":"a2ln00j690h","properties":{"formattedCitation":"\\super 6,19\\nosupersub{}","plainCitation":"6,19","noteIndex":0},"citationItems":[{"id":3521,"uris":["http://zotero.org/users/local/UM34EoPV/items/QW7QAGSR"],"uri":["http://zotero.org/users/local/UM34EoPV/items/QW7QAGSR"],"itemData":{"id":3521,"type":"article-journal","container-title":"Journal of Antimicrobial Chemotherapy","DOI":"10.1093/jac/dky345","ISSN":"0305-7453, 1460-2091","language":"en","source":"DOI.org (Crossref)","title":"Antibiotic consumption in Germany: first data of a newly implemented web-based tool for local and national surveillance","title-short":"Antibiotic consumption in Germany","URL":"https://academic.oup.com/jac/advance-article/doi/10.1093/jac/dky345/5094533","author":[{"family":"Schweickert","given":"Birgitta"},{"family":"Feig","given":"Marcel"},{"family":"Schneider","given":"Marc"},{"family":"Willrich","given":"Niklas"},{"family":"Behnke","given":"Michael"},{"family":"Peña Diaz","given":"Luis Alberto"},{"family":"Gastmeier","given":"Petra"},{"family":"Richter","given":"Doreen"},{"family":"Blank","given":"Hans-Peter"},{"family":"Eckmanns","given":"Tim"},{"family":"Abu Sin","given":"Muna"}],"accessed":{"date-parts":[["2020",2,26]]},"issued":{"date-parts":[["2018",9,17]]}}},{"id":3535,"uris":["http://zotero.org/users/local/UM34EoPV/items/I9I83UQB"],"uri":["http://zotero.org/users/local/UM34EoPV/items/I9I83UQB"],"itemData":{"id":3535,"type":"article-journal","container-title":"Clinical Infectious Diseases","DOI":"10.1086/512810","ISSN":"1058-4838, 1537-6591","issue":"8","journalAbbreviation":"Clinical Infectious Diseases","language":"en","page":"1091-1095","source":"DOI.org (Crossref)","title":"Comparison of Outpatient Systemic Antibacterial Use in 2004 in the United States and 27 European Countries","URL":"https://academic.oup.com/cid/article-lookup/doi/10.1086/512810","volume":"44","author":[{"family":"Goossens","given":"H."},{"family":"Ferech","given":"M."},{"family":"Coenen","given":"S."},{"family":"Stephens","given":"P."},{"literal":"European Surveillance of Antimicrobial Consumption Project Group"}],"accessed":{"date-parts":[["2020",2,26]]},"issued":{"date-parts":[["2007",4,15]]}}}],"schema":"https://github.com/citation-style-language/schema/raw/master/csl-citation.json"} </w:instrText>
      </w:r>
      <w:r w:rsidR="004C4969">
        <w:rPr>
          <w:color w:val="000000" w:themeColor="text1"/>
        </w:rPr>
        <w:fldChar w:fldCharType="separate"/>
      </w:r>
      <w:r w:rsidR="00224DF9" w:rsidRPr="005B280F">
        <w:rPr>
          <w:vertAlign w:val="superscript"/>
        </w:rPr>
        <w:t>6,19</w:t>
      </w:r>
      <w:r w:rsidR="004C4969">
        <w:rPr>
          <w:color w:val="000000" w:themeColor="text1"/>
        </w:rPr>
        <w:fldChar w:fldCharType="end"/>
      </w:r>
      <w:r w:rsidR="00AE7C92" w:rsidRPr="00FB3FEB">
        <w:rPr>
          <w:color w:val="000000" w:themeColor="text1"/>
        </w:rPr>
        <w:t xml:space="preserve"> </w:t>
      </w:r>
      <w:r w:rsidR="00AE7C92">
        <w:t xml:space="preserve">For </w:t>
      </w:r>
      <w:r>
        <w:t>example</w:t>
      </w:r>
      <w:r w:rsidR="00AE7C92">
        <w:t xml:space="preserve">, </w:t>
      </w:r>
      <w:r w:rsidR="00AE7C92" w:rsidRPr="00B0429D">
        <w:rPr>
          <w:color w:val="000000" w:themeColor="text1"/>
        </w:rPr>
        <w:t>Japan, wh</w:t>
      </w:r>
      <w:r w:rsidR="00AE7C92">
        <w:rPr>
          <w:color w:val="000000" w:themeColor="text1"/>
        </w:rPr>
        <w:t>ich has</w:t>
      </w:r>
      <w:r w:rsidR="00AE7C92" w:rsidRPr="00B0429D">
        <w:rPr>
          <w:color w:val="000000" w:themeColor="text1"/>
        </w:rPr>
        <w:t xml:space="preserve"> the highest percentage of Watch antibiotics (80</w:t>
      </w:r>
      <w:r w:rsidR="000D2D53">
        <w:rPr>
          <w:color w:val="000000" w:themeColor="text1"/>
        </w:rPr>
        <w:t>·</w:t>
      </w:r>
      <w:r w:rsidR="00AE7C92" w:rsidRPr="00B0429D">
        <w:rPr>
          <w:color w:val="000000" w:themeColor="text1"/>
        </w:rPr>
        <w:t xml:space="preserve">9%), </w:t>
      </w:r>
      <w:r w:rsidR="00AE7C92">
        <w:rPr>
          <w:color w:val="000000" w:themeColor="text1"/>
        </w:rPr>
        <w:t xml:space="preserve">has long had issues with </w:t>
      </w:r>
      <w:r w:rsidR="00AE7C92" w:rsidRPr="00B0429D">
        <w:rPr>
          <w:color w:val="000000" w:themeColor="text1"/>
        </w:rPr>
        <w:t xml:space="preserve">misuse of antibiotics for minor infections </w:t>
      </w:r>
      <w:r w:rsidR="00AE7C92">
        <w:rPr>
          <w:color w:val="000000" w:themeColor="text1"/>
        </w:rPr>
        <w:lastRenderedPageBreak/>
        <w:t>and selective use of certain classes of antibiotics</w:t>
      </w:r>
      <w:r w:rsidR="00345752">
        <w:rPr>
          <w:color w:val="000000" w:themeColor="text1"/>
        </w:rPr>
        <w:t>,</w:t>
      </w:r>
      <w:r w:rsidR="00AE7C92">
        <w:rPr>
          <w:color w:val="000000" w:themeColor="text1"/>
        </w:rPr>
        <w:t xml:space="preserve"> resulting in </w:t>
      </w:r>
      <w:r w:rsidR="00DF3F5F">
        <w:rPr>
          <w:color w:val="000000" w:themeColor="text1"/>
        </w:rPr>
        <w:t xml:space="preserve">a </w:t>
      </w:r>
      <w:r w:rsidR="00AE7C92">
        <w:rPr>
          <w:color w:val="000000" w:themeColor="text1"/>
        </w:rPr>
        <w:t xml:space="preserve">high </w:t>
      </w:r>
      <w:r w:rsidR="00AE7C92" w:rsidRPr="00FB3FEB">
        <w:rPr>
          <w:color w:val="000000" w:themeColor="text1"/>
        </w:rPr>
        <w:t>prevalence of</w:t>
      </w:r>
      <w:r w:rsidR="00AE7C92">
        <w:rPr>
          <w:color w:val="000000" w:themeColor="text1"/>
        </w:rPr>
        <w:t xml:space="preserve"> </w:t>
      </w:r>
      <w:r w:rsidR="00AE7C92" w:rsidRPr="00FB3FEB">
        <w:t xml:space="preserve">macrolide-resistant </w:t>
      </w:r>
      <w:r w:rsidR="00AE7C92" w:rsidRPr="00FB3FEB">
        <w:rPr>
          <w:i/>
          <w:iCs/>
        </w:rPr>
        <w:t>Mycoplasma pneumoniae</w:t>
      </w:r>
      <w:r w:rsidR="00AE7C92" w:rsidRPr="00FB3FEB">
        <w:t xml:space="preserve"> in pediatric patients, clarithromycin-resistant </w:t>
      </w:r>
      <w:r w:rsidR="00AE7C92" w:rsidRPr="00FB3FEB">
        <w:rPr>
          <w:i/>
          <w:iCs/>
        </w:rPr>
        <w:t>Helicobacter pylori</w:t>
      </w:r>
      <w:r w:rsidR="007378C2">
        <w:t xml:space="preserve">, and </w:t>
      </w:r>
      <w:r w:rsidR="00AE7C92" w:rsidRPr="00FB3FEB">
        <w:rPr>
          <w:i/>
          <w:iCs/>
        </w:rPr>
        <w:t>Escherichia coli</w:t>
      </w:r>
      <w:r w:rsidR="00AE7C92" w:rsidRPr="00FB3FEB">
        <w:t xml:space="preserve"> strains resistant to third-generation cephalosporins and fluoroquinolones</w:t>
      </w:r>
      <w:r w:rsidR="000A520E">
        <w:t>.</w:t>
      </w:r>
      <w:r w:rsidR="004C4969">
        <w:fldChar w:fldCharType="begin"/>
      </w:r>
      <w:r w:rsidR="00224DF9">
        <w:instrText xml:space="preserve"> ADDIN ZOTERO_ITEM CSL_CITATION {"citationID":"a2dsrr91b1v","properties":{"formattedCitation":"\\super 20\\nosupersub{}","plainCitation":"20","noteIndex":0},"citationItems":[{"id":3112,"uris":["http://zotero.org/users/local/UM34EoPV/items/AZRNEZJG"],"uri":["http://zotero.org/users/local/UM34EoPV/items/AZRNEZJG"],"itemData":{"id":3112,"type":"article-journal","container-title":"Journal of Global Antimicrobial Resistance","DOI":"10.1016/j.jgar.2016.07.002","ISSN":"22137165","language":"en","page":"19-23","source":"CrossRef","title":"Japanese antimicrobial consumption surveillance: First report on oral and parenteral antimicrobial consumption in Japan (2009–2013)","title-short":"Japanese antimicrobial consumption surveillance","URL":"http://linkinghub.elsevier.com/retrieve/pii/S2213716516300650","volume":"7","author":[{"family":"Muraki","given":"Yuichi"},{"family":"Yagi","given":"Tetsuya"},{"family":"Tsuji","given":"Yasuhiro"},{"family":"Nishimura","given":"Nobuhiro"},{"family":"Tanabe","given":"Masaki"},{"family":"Niwa","given":"Takashi"},{"family":"Watanabe","given":"Tamayo"},{"family":"Fujimoto","given":"Shuhei"},{"family":"Takayama","given":"Kazuro"},{"family":"Murakami","given":"Nobuo"},{"family":"Okuda","given":"Masahiro"}],"accessed":{"date-parts":[["2017",12,21]]},"issued":{"date-parts":[["2016",12]]}}}],"schema":"https://github.com/citation-style-language/schema/raw/master/csl-citation.json"} </w:instrText>
      </w:r>
      <w:r w:rsidR="004C4969">
        <w:fldChar w:fldCharType="separate"/>
      </w:r>
      <w:r w:rsidR="00224DF9" w:rsidRPr="005B280F">
        <w:rPr>
          <w:vertAlign w:val="superscript"/>
        </w:rPr>
        <w:t>20</w:t>
      </w:r>
      <w:r w:rsidR="004C4969">
        <w:fldChar w:fldCharType="end"/>
      </w:r>
      <w:r w:rsidR="000A520E">
        <w:t xml:space="preserve"> </w:t>
      </w:r>
      <w:r w:rsidR="00345752">
        <w:t xml:space="preserve">To alter these trends and improve national consumption of antibiotics, concerted efforts by governments are needed. For example, </w:t>
      </w:r>
      <w:r w:rsidR="000A520E">
        <w:rPr>
          <w:color w:val="000000" w:themeColor="text1"/>
        </w:rPr>
        <w:t xml:space="preserve">the relative </w:t>
      </w:r>
      <w:r w:rsidR="00F12A77">
        <w:rPr>
          <w:color w:val="000000" w:themeColor="text1"/>
        </w:rPr>
        <w:t>consumption</w:t>
      </w:r>
      <w:r w:rsidR="000A520E">
        <w:rPr>
          <w:color w:val="000000" w:themeColor="text1"/>
        </w:rPr>
        <w:t xml:space="preserve"> of Access antibiotics</w:t>
      </w:r>
      <w:r>
        <w:rPr>
          <w:color w:val="000000" w:themeColor="text1"/>
        </w:rPr>
        <w:t xml:space="preserve"> in France</w:t>
      </w:r>
      <w:r w:rsidR="000A520E">
        <w:rPr>
          <w:color w:val="000000" w:themeColor="text1"/>
        </w:rPr>
        <w:t xml:space="preserve"> has risen in recent years, demonstrating the power of national stewardship initiatives</w:t>
      </w:r>
      <w:r w:rsidR="000A520E">
        <w:rPr>
          <w:color w:val="000000" w:themeColor="text1"/>
        </w:rPr>
        <w:fldChar w:fldCharType="begin"/>
      </w:r>
      <w:r w:rsidR="0027601C">
        <w:rPr>
          <w:color w:val="000000" w:themeColor="text1"/>
        </w:rPr>
        <w:instrText xml:space="preserve"> ADDIN ZOTERO_ITEM CSL_CITATION {"citationID":"a5a4820d9h","properties":{"formattedCitation":"\\uldash{(1)}","plainCitation":"(1)","dontUpdate":true,"noteIndex":0},"citationItems":[{"id":"8LjWtvVZ/tB8RU1HE","uris":["http://zotero.org/users/5677146/items/MARA9X58"],"uri":["http://zotero.org/users/5677146/items/MARA9X58"],"itemData":{"id":364,"type":"article-journal","abstract":"Objective\nTo test whether updated clinical practice guidelines for managing upper respiratory tract infections released in France in November 2011 were associated with changes in national outpatient pediatric antibiotic use.\nStudy design\nWe performed an interrupted time–series analysis using national antibiotic dispensation data in French children from January 2009 to December 2017 (IQVIA Suivi de la Dispensation Médicale database). We described the overall evolution of antibiotic prescription rates and modeled the changes in the proportion of amoxicillin and the proportion of broad-spectrum antibiotics following the guidelines in 2 age groups (0-5 and 6-14 years old).\nResults\nWe analyzed 123 million pediatric antibiotic prescriptions. The most commonly prescribed individual antibiotic agent was amoxicillin (37.7%). Over the study period, the annual antibiotic prescription rate decreased by 33.1% (from 1387 to 928 per 1000 pediatric inhabitants per year), consistently across age groups and major antibiotic agents except for amoxicillin (+14.4%). After the release of the guidelines, we observed a gradual increase in the proportion of amoxicillin (relative change 5 years postintervention of +64.3% [95% CI 51.6-80.1] and +28.4% [21.1-36.2] for children 0-5 and 6-14 years, respectively) concomitantly with a gradual decrease in the proportion of broad-spectrum antibiotics (relative change 5 years postintervention of −26.1% [–29.3, −23.7] and −19.8% [–22.1, −16.0] for children 0-5 and 6-14 years old, respectively).\nConclusions\nThe 2011 guidelines for upper respiratory tract infections preceded changes in outpatient pediatric antibiotic use at the national level, with a replacement of broad-spectrum antibiotics by amoxicillin.","container-title":"The Journal of Pediatrics","DOI":"10.1016/j.jpeds.2019.09.017","ISSN":"0022-3476","journalAbbreviation":"The Journal of Pediatrics","language":"en","source":"ScienceDirect","title":"Association between National Treatment Guidelines for Upper Respiratory Tract Infections and Outpatient Pediatric Antibiotic Use in France: An Interrupted Time–Series Analysis","title-short":"Association between National Treatment Guidelines for Upper Respiratory Tract Infections and Outpatient Pediatric Antibiotic Use in France","URL":"http://www.sciencedirect.com/science/article/pii/S0022347619311539","author":[{"family":"Trinh","given":"Nhung T. H."},{"family":"Bruckner","given":"Tim A."},{"family":"Lemaitre","given":"Magali"},{"family":"Chauvin","given":"Françoise"},{"family":"Levy","given":"Corinne"},{"family":"Chahwakilian","given":"Pierre"},{"family":"Cohen","given":"Robert"},{"family":"Chalumeau","given":"Martin"},{"family":"Cohen","given":"Jérémie F."}],"accessed":{"date-parts":[["2019",11,15]]},"issued":{"date-parts":[["2019",10,11]]}},"label":"page"}],"schema":"https://github.com/citation-style-language/schema/raw/master/csl-citation.json"} </w:instrText>
      </w:r>
      <w:r w:rsidR="000A520E">
        <w:rPr>
          <w:color w:val="000000" w:themeColor="text1"/>
        </w:rPr>
        <w:fldChar w:fldCharType="end"/>
      </w:r>
      <w:r w:rsidR="00224DF9">
        <w:rPr>
          <w:color w:val="000000" w:themeColor="text1"/>
        </w:rPr>
        <w:t>.</w:t>
      </w:r>
      <w:r w:rsidR="00224DF9">
        <w:rPr>
          <w:color w:val="000000" w:themeColor="text1"/>
        </w:rPr>
        <w:fldChar w:fldCharType="begin"/>
      </w:r>
      <w:r w:rsidR="0027601C">
        <w:rPr>
          <w:color w:val="000000" w:themeColor="text1"/>
        </w:rPr>
        <w:instrText xml:space="preserve"> ADDIN ZOTERO_ITEM CSL_CITATION {"citationID":"aglm7kkovt","properties":{"formattedCitation":"\\super 21\\nosupersub{}","plainCitation":"21","noteIndex":0},"citationItems":[{"id":"8LjWtvVZ/tB8RU1HE","uris":["http://zotero.org/users/5677146/items/MARA9X58"],"uri":["http://zotero.org/users/5677146/items/MARA9X58"],"itemData":{"id":"6qmAMSFR/GqncA8n9","type":"article-journal","abstract":"Objective\nTo test whether updated clinical practice guidelines for managing upper respiratory tract infections released in France in November 2011 were associated with changes in national outpatient pediatric antibiotic use.\nStudy design\nWe performed an interrupted time–series analysis using national antibiotic dispensation data in French children from January 2009 to December 2017 (IQVIA Suivi de la Dispensation Médicale database). We described the overall evolution of antibiotic prescription rates and modeled the changes in the proportion of amoxicillin and the proportion of broad-spectrum antibiotics following the guidelines in 2 age groups (0-5 and 6-14 years old).\nResults\nWe analyzed 123 million pediatric antibiotic prescriptions. The most commonly prescribed individual antibiotic agent was amoxicillin (37.7%). Over the study period, the annual antibiotic prescription rate decreased by 33.1% (from 1387 to 928 per 1000 pediatric inhabitants per year), consistently across age groups and major antibiotic agents except for amoxicillin (+14.4%). After the release of the guidelines, we observed a gradual increase in the proportion of amoxicillin (relative change 5 years postintervention of +64.3% [95% CI 51.6-80.1] and +28.4% [21.1-36.2] for children 0-5 and 6-14 years, respectively) concomitantly with a gradual decrease in the proportion of broad-spectrum antibiotics (relative change 5 years postintervention of −26.1% [–29.3, −23.7] and −19.8% [–22.1, −16.0] for children 0-5 and 6-14 years old, respectively).\nConclusions\nThe 2011 guidelines for upper respiratory tract infections preceded changes in outpatient pediatric antibiotic use at the national level, with a replacement of broad-spectrum antibiotics by amoxicillin.","container-title":"The Journal of Pediatrics","DOI":"10.1016/j.jpeds.2019.09.017","ISSN":"0022-3476","journalAbbreviation":"The Journal of Pediatrics","language":"en","source":"ScienceDirect","title":"Association between National Treatment Guidelines for Upper Respiratory Tract Infections and Outpatient Pediatric Antibiotic Use in France: An Interrupted Time–Series Analysis","title-short":"Association between National Treatment Guidelines for Upper Respiratory Tract Infections and Outpatient Pediatric Antibiotic Use in France","URL":"http://www.sciencedirect.com/science/article/pii/S0022347619311539","author":[{"family":"Trinh","given":"Nhung T. H."},{"family":"Bruckner","given":"Tim A."},{"family":"Lemaitre","given":"Magali"},{"family":"Chauvin","given":"Françoise"},{"family":"Levy","given":"Corinne"},{"family":"Chahwakilian","given":"Pierre"},{"family":"Cohen","given":"Robert"},{"family":"Chalumeau","given":"Martin"},{"family":"Cohen","given":"Jérémie F."}],"accessed":{"date-parts":[["2019",11,15]]},"issued":{"date-parts":[["2019",10,11]]}}}],"schema":"https://github.com/citation-style-language/schema/raw/master/csl-citation.json"} </w:instrText>
      </w:r>
      <w:r w:rsidR="00224DF9">
        <w:rPr>
          <w:color w:val="000000" w:themeColor="text1"/>
        </w:rPr>
        <w:fldChar w:fldCharType="separate"/>
      </w:r>
      <w:r w:rsidR="00224DF9" w:rsidRPr="005B280F">
        <w:rPr>
          <w:vertAlign w:val="superscript"/>
        </w:rPr>
        <w:t>21</w:t>
      </w:r>
      <w:r w:rsidR="00224DF9">
        <w:rPr>
          <w:color w:val="000000" w:themeColor="text1"/>
        </w:rPr>
        <w:fldChar w:fldCharType="end"/>
      </w:r>
    </w:p>
    <w:p w14:paraId="7B942D8F" w14:textId="77777777" w:rsidR="00C5602B" w:rsidRDefault="00C5602B" w:rsidP="000A635D">
      <w:pPr>
        <w:autoSpaceDE w:val="0"/>
        <w:autoSpaceDN w:val="0"/>
        <w:adjustRightInd w:val="0"/>
        <w:spacing w:line="480" w:lineRule="auto"/>
        <w:rPr>
          <w:b/>
          <w:bCs/>
          <w:color w:val="000000" w:themeColor="text1"/>
          <w:u w:val="single"/>
        </w:rPr>
      </w:pPr>
    </w:p>
    <w:p w14:paraId="36FEB276" w14:textId="344F44C7" w:rsidR="00297B76" w:rsidRPr="000D1F6B" w:rsidRDefault="001A3952" w:rsidP="00235DC6">
      <w:pPr>
        <w:autoSpaceDE w:val="0"/>
        <w:autoSpaceDN w:val="0"/>
        <w:adjustRightInd w:val="0"/>
        <w:spacing w:line="480" w:lineRule="auto"/>
        <w:rPr>
          <w:rStyle w:val="apple-converted-space"/>
          <w:color w:val="000000" w:themeColor="text1"/>
        </w:rPr>
      </w:pPr>
      <w:r w:rsidRPr="00C5602B">
        <w:rPr>
          <w:color w:val="000000" w:themeColor="text1"/>
        </w:rPr>
        <w:t xml:space="preserve">While poor stewardship is one factor driving the increase in Watch antibiotics </w:t>
      </w:r>
      <w:r w:rsidR="00345752">
        <w:rPr>
          <w:color w:val="000000" w:themeColor="text1"/>
        </w:rPr>
        <w:t>as well as the observed</w:t>
      </w:r>
      <w:r w:rsidR="00796F02">
        <w:rPr>
          <w:color w:val="000000" w:themeColor="text1"/>
        </w:rPr>
        <w:t xml:space="preserve"> country-level differences in amoxicillin consumption</w:t>
      </w:r>
      <w:r w:rsidR="00345752">
        <w:rPr>
          <w:color w:val="000000" w:themeColor="text1"/>
        </w:rPr>
        <w:t>,</w:t>
      </w:r>
      <w:r w:rsidR="004C4969">
        <w:rPr>
          <w:color w:val="000000" w:themeColor="text1"/>
        </w:rPr>
        <w:fldChar w:fldCharType="begin"/>
      </w:r>
      <w:r w:rsidR="00224DF9">
        <w:rPr>
          <w:color w:val="000000" w:themeColor="text1"/>
        </w:rPr>
        <w:instrText xml:space="preserve"> ADDIN ZOTERO_ITEM CSL_CITATION {"citationID":"a2jpfof4a8p","properties":{"formattedCitation":"\\super 22\\nosupersub{}","plainCitation":"22","noteIndex":0},"citationItems":[{"id":3524,"uris":["http://zotero.org/users/local/UM34EoPV/items/AV26HH5U"],"uri":["http://zotero.org/users/local/UM34EoPV/items/AV26HH5U"],"itemData":{"id":3524,"type":"article-journal","container-title":"International Journal of Antimicrobial Agents","DOI":"10.1016/j.ijantimicag.2019.06.017","ISSN":"09248579","issue":"3","journalAbbreviation":"International Journal of Antimicrobial Agents","language":"en","page":"273-282","source":"DOI.org (Crossref)","title":"Essential and forgotten antibiotics: An inventory in low- and middle-income countries","title-short":"Essential and forgotten antibiotics","URL":"https://linkinghub.elsevier.com/retrieve/pii/S0924857919301700","volume":"54","author":[{"family":"Tebano","given":"Gianpiero"},{"family":"Li","given":"Grace"},{"family":"Beovic","given":"Bojana"},{"family":"Bielicki","given":"Julia"},{"family":"Brink","given":"Adrian"},{"family":"Enani","given":"Mushira A."},{"family":"Godman","given":"Brian"},{"family":"Hinrichsen","given":"Sylvia Lemos"},{"family":"Kibuule","given":"Dan"},{"family":"Gabriel","given":"Levy-Hara"},{"family":"Oduyebo","given":"Oyinlola"},{"family":"Sharland","given":"Mike"},{"family":"Singh","given":"Sanjeev"},{"family":"Wertheim","given":"Heiman F.L."},{"family":"Nathwani","given":"Dilip"},{"family":"Pulcini","given":"Céline"}],"accessed":{"date-parts":[["2020",2,26]]},"issued":{"date-parts":[["2019",9]]}}}],"schema":"https://github.com/citation-style-language/schema/raw/master/csl-citation.json"} </w:instrText>
      </w:r>
      <w:r w:rsidR="004C4969">
        <w:rPr>
          <w:color w:val="000000" w:themeColor="text1"/>
        </w:rPr>
        <w:fldChar w:fldCharType="separate"/>
      </w:r>
      <w:r w:rsidR="00224DF9" w:rsidRPr="005B280F">
        <w:rPr>
          <w:vertAlign w:val="superscript"/>
        </w:rPr>
        <w:t>22</w:t>
      </w:r>
      <w:r w:rsidR="004C4969">
        <w:rPr>
          <w:color w:val="000000" w:themeColor="text1"/>
        </w:rPr>
        <w:fldChar w:fldCharType="end"/>
      </w:r>
      <w:r w:rsidR="00796F02">
        <w:rPr>
          <w:color w:val="000000" w:themeColor="text1"/>
        </w:rPr>
        <w:t xml:space="preserve"> </w:t>
      </w:r>
      <w:r w:rsidR="00C53710">
        <w:rPr>
          <w:color w:val="000000" w:themeColor="text1"/>
        </w:rPr>
        <w:t xml:space="preserve">the </w:t>
      </w:r>
      <w:r w:rsidRPr="00C5602B">
        <w:rPr>
          <w:color w:val="000000" w:themeColor="text1"/>
        </w:rPr>
        <w:t>availability</w:t>
      </w:r>
      <w:r w:rsidR="00C53710">
        <w:rPr>
          <w:color w:val="000000" w:themeColor="text1"/>
        </w:rPr>
        <w:t xml:space="preserve"> and affordability of the drug on the market</w:t>
      </w:r>
      <w:r w:rsidR="00796F02">
        <w:rPr>
          <w:color w:val="000000" w:themeColor="text1"/>
        </w:rPr>
        <w:t xml:space="preserve"> also plays a significant role</w:t>
      </w:r>
      <w:r w:rsidR="00345752">
        <w:rPr>
          <w:color w:val="000000" w:themeColor="text1"/>
        </w:rPr>
        <w:t>.</w:t>
      </w:r>
      <w:r w:rsidR="005B280F">
        <w:rPr>
          <w:color w:val="000000" w:themeColor="text1"/>
        </w:rPr>
        <w:fldChar w:fldCharType="begin"/>
      </w:r>
      <w:r w:rsidR="005B280F">
        <w:rPr>
          <w:color w:val="000000" w:themeColor="text1"/>
        </w:rPr>
        <w:instrText xml:space="preserve"> ADDIN ZOTERO_ITEM CSL_CITATION {"citationID":"a6sslog35b","properties":{"formattedCitation":"\\super 23\\nosupersub{}","plainCitation":"23","noteIndex":0},"citationItems":[{"id":3539,"uris":["http://zotero.org/users/local/UM34EoPV/items/MHLEVE6E"],"uri":["http://zotero.org/users/local/UM34EoPV/items/MHLEVE6E"],"itemData":{"id":3539,"type":"report","event-place":"Washington, DC","publisher":"Center for Disease Dynamics, Economics &amp; Policy","publisher-place":"Washington, DC","title":"Access Barriers to Antibiotics","author":[{"literal":"Isabel Frost"},{"literal":"Jessica Craig"},{"literal":"Jyoti Joshi"},{"literal":"Kim Faure"},{"literal":"Ramanan Laxminarayan"}],"issued":{"date-parts":[["2019"]]}}}],"schema":"https://github.com/citation-style-language/schema/raw/master/csl-citation.json"} </w:instrText>
      </w:r>
      <w:r w:rsidR="005B280F">
        <w:rPr>
          <w:color w:val="000000" w:themeColor="text1"/>
        </w:rPr>
        <w:fldChar w:fldCharType="separate"/>
      </w:r>
      <w:r w:rsidR="005B280F" w:rsidRPr="005B280F">
        <w:rPr>
          <w:vertAlign w:val="superscript"/>
        </w:rPr>
        <w:t>23</w:t>
      </w:r>
      <w:r w:rsidR="005B280F">
        <w:rPr>
          <w:color w:val="000000" w:themeColor="text1"/>
        </w:rPr>
        <w:fldChar w:fldCharType="end"/>
      </w:r>
      <w:r w:rsidR="00C53710">
        <w:rPr>
          <w:color w:val="000000" w:themeColor="text1"/>
        </w:rPr>
        <w:t xml:space="preserve"> </w:t>
      </w:r>
      <w:r w:rsidR="00AD630F">
        <w:rPr>
          <w:color w:val="000000" w:themeColor="text1"/>
        </w:rPr>
        <w:t>Limited availability of amoxicillin</w:t>
      </w:r>
      <w:r w:rsidRPr="00C5602B">
        <w:rPr>
          <w:color w:val="000000" w:themeColor="text1"/>
        </w:rPr>
        <w:t xml:space="preserve"> in the public </w:t>
      </w:r>
      <w:r w:rsidR="00AD630F">
        <w:rPr>
          <w:color w:val="000000" w:themeColor="text1"/>
        </w:rPr>
        <w:t xml:space="preserve">and private </w:t>
      </w:r>
      <w:r w:rsidRPr="00C5602B">
        <w:rPr>
          <w:color w:val="000000" w:themeColor="text1"/>
        </w:rPr>
        <w:t>sector</w:t>
      </w:r>
      <w:r w:rsidR="00AD630F">
        <w:rPr>
          <w:color w:val="000000" w:themeColor="text1"/>
        </w:rPr>
        <w:t>s in some countries, such as China or Kazakhstan</w:t>
      </w:r>
      <w:r w:rsidR="0027601C">
        <w:rPr>
          <w:color w:val="000000" w:themeColor="text1"/>
        </w:rPr>
        <w:t>,</w:t>
      </w:r>
      <w:r w:rsidR="0027601C">
        <w:rPr>
          <w:color w:val="000000" w:themeColor="text1"/>
        </w:rPr>
        <w:fldChar w:fldCharType="begin"/>
      </w:r>
      <w:r w:rsidR="0027601C">
        <w:rPr>
          <w:color w:val="000000" w:themeColor="text1"/>
        </w:rPr>
        <w:instrText xml:space="preserve"> ADDIN ZOTERO_ITEM CSL_CITATION {"citationID":"a2a3gbk5mrs","properties":{"formattedCitation":"\\super 24\\nosupersub{}","plainCitation":"24","noteIndex":0},"citationItems":[{"id":3540,"uris":["http://zotero.org/users/local/UM34EoPV/items/28SKALXX"],"uri":["http://zotero.org/users/local/UM34EoPV/items/28SKALXX"],"itemData":{"id":3540,"type":"article","title":"Medicine Prices, Availability, Affordability &amp; Price Components Database","URL":"https://haiweb.org/what-we-do/price-availability-affordability/price-availability-data/","author":[{"literal":"Health Action International"}],"accessed":{"date-parts":[["2019",11,11]]},"issued":{"date-parts":[["2011"]]}}}],"schema":"https://github.com/citation-style-language/schema/raw/master/csl-citation.json"} </w:instrText>
      </w:r>
      <w:r w:rsidR="0027601C">
        <w:rPr>
          <w:color w:val="000000" w:themeColor="text1"/>
        </w:rPr>
        <w:fldChar w:fldCharType="separate"/>
      </w:r>
      <w:r w:rsidR="0027601C" w:rsidRPr="0027601C">
        <w:rPr>
          <w:vertAlign w:val="superscript"/>
        </w:rPr>
        <w:t>24</w:t>
      </w:r>
      <w:r w:rsidR="0027601C">
        <w:rPr>
          <w:color w:val="000000" w:themeColor="text1"/>
        </w:rPr>
        <w:fldChar w:fldCharType="end"/>
      </w:r>
      <w:r w:rsidR="00AD630F">
        <w:rPr>
          <w:color w:val="000000" w:themeColor="text1"/>
        </w:rPr>
        <w:t xml:space="preserve"> represents an evident access barrier</w:t>
      </w:r>
      <w:r w:rsidR="00B61DBA">
        <w:rPr>
          <w:color w:val="000000" w:themeColor="text1"/>
        </w:rPr>
        <w:t xml:space="preserve">. However, poor </w:t>
      </w:r>
      <w:r w:rsidRPr="00C5602B">
        <w:rPr>
          <w:color w:val="000000" w:themeColor="text1"/>
        </w:rPr>
        <w:t>availability of the drug</w:t>
      </w:r>
      <w:r w:rsidR="00B61DBA">
        <w:rPr>
          <w:color w:val="000000" w:themeColor="text1"/>
        </w:rPr>
        <w:t>, especially</w:t>
      </w:r>
      <w:r w:rsidRPr="00C5602B">
        <w:rPr>
          <w:color w:val="000000" w:themeColor="text1"/>
        </w:rPr>
        <w:t xml:space="preserve"> in the public sector</w:t>
      </w:r>
      <w:r w:rsidR="00B61DBA">
        <w:rPr>
          <w:color w:val="000000" w:themeColor="text1"/>
        </w:rPr>
        <w:t>,</w:t>
      </w:r>
      <w:r w:rsidRPr="00C5602B">
        <w:rPr>
          <w:color w:val="000000" w:themeColor="text1"/>
        </w:rPr>
        <w:t xml:space="preserve"> can be</w:t>
      </w:r>
      <w:r w:rsidR="00B61DBA">
        <w:rPr>
          <w:color w:val="000000" w:themeColor="text1"/>
        </w:rPr>
        <w:t xml:space="preserve"> also</w:t>
      </w:r>
      <w:r w:rsidRPr="00C5602B">
        <w:rPr>
          <w:color w:val="000000" w:themeColor="text1"/>
        </w:rPr>
        <w:t xml:space="preserve"> dictated by its low demand by prescribers.</w:t>
      </w:r>
      <w:r w:rsidR="00B83149">
        <w:rPr>
          <w:color w:val="000000" w:themeColor="text1"/>
        </w:rPr>
        <w:t xml:space="preserve"> It is common </w:t>
      </w:r>
      <w:r w:rsidR="008B2C2D">
        <w:rPr>
          <w:color w:val="000000" w:themeColor="text1"/>
        </w:rPr>
        <w:t>for clinicians</w:t>
      </w:r>
      <w:r w:rsidR="00B83149">
        <w:rPr>
          <w:color w:val="000000" w:themeColor="text1"/>
        </w:rPr>
        <w:t xml:space="preserve"> to resort to broad-spectrum antibiotics when c</w:t>
      </w:r>
      <w:r w:rsidRPr="00C5602B">
        <w:rPr>
          <w:color w:val="000000" w:themeColor="text1"/>
        </w:rPr>
        <w:t>onfronted with patient pressure or the p</w:t>
      </w:r>
      <w:r w:rsidR="000011CF">
        <w:rPr>
          <w:color w:val="000000" w:themeColor="text1"/>
        </w:rPr>
        <w:t xml:space="preserve">otential </w:t>
      </w:r>
      <w:r w:rsidRPr="00C5602B">
        <w:rPr>
          <w:color w:val="000000" w:themeColor="text1"/>
        </w:rPr>
        <w:t>lack of follow up.</w:t>
      </w:r>
      <w:r w:rsidR="004C4969">
        <w:rPr>
          <w:color w:val="000000" w:themeColor="text1"/>
        </w:rPr>
        <w:fldChar w:fldCharType="begin"/>
      </w:r>
      <w:r w:rsidR="0027601C">
        <w:rPr>
          <w:color w:val="000000" w:themeColor="text1"/>
        </w:rPr>
        <w:instrText xml:space="preserve"> ADDIN ZOTERO_ITEM CSL_CITATION {"citationID":"a27pla4e2fm","properties":{"formattedCitation":"\\super 25\\nosupersub{}","plainCitation":"25","noteIndex":0},"citationItems":[{"id":3526,"uris":["http://zotero.org/users/local/UM34EoPV/items/XEA6DNHB"],"uri":["http://zotero.org/users/local/UM34EoPV/items/XEA6DNHB"],"itemData":{"id":3526,"type":"article-journal","container-title":"Indian Journal of Pharmacology","DOI":"10.4103/ijp.IJP_508_17","ISSN":"0253-7613","issue":"6","journalAbbreviation":"Indian J Pharmacol","language":"en","page":"419","source":"DOI.org (Crossref)","title":"Prescriber and dispenser perceptions about antibiotic use in acute uncomplicated childhood diarrhea and upper respiratory tract infection in New Delhi: Qualitative study","title-short":"Prescriber and dispenser perceptions about antibiotic use in acute uncomplicated childhood diarrhea and upper respiratory tract infection in New Delhi","URL":"http://www.ijp-online.com/text.asp?2017/49/6/419/228448","volume":"49","author":[{"family":"Kotwani","given":"Anita"},{"family":"Joshi","given":"Pc"},{"family":"Jhamb","given":"Urmila"},{"family":"Holloway","given":"Kathleen"}],"accessed":{"date-parts":[["2020",2,26]]},"issued":{"date-parts":[["2017"]]}}}],"schema":"https://github.com/citation-style-language/schema/raw/master/csl-citation.json"} </w:instrText>
      </w:r>
      <w:r w:rsidR="004C4969">
        <w:rPr>
          <w:color w:val="000000" w:themeColor="text1"/>
        </w:rPr>
        <w:fldChar w:fldCharType="separate"/>
      </w:r>
      <w:r w:rsidR="0027601C" w:rsidRPr="0027601C">
        <w:rPr>
          <w:vertAlign w:val="superscript"/>
        </w:rPr>
        <w:t>25</w:t>
      </w:r>
      <w:r w:rsidR="004C4969">
        <w:rPr>
          <w:color w:val="000000" w:themeColor="text1"/>
        </w:rPr>
        <w:fldChar w:fldCharType="end"/>
      </w:r>
      <w:r w:rsidRPr="00C5602B">
        <w:rPr>
          <w:color w:val="000000" w:themeColor="text1"/>
        </w:rPr>
        <w:t xml:space="preserve"> </w:t>
      </w:r>
      <w:r w:rsidR="008E341E">
        <w:rPr>
          <w:color w:val="000000" w:themeColor="text1"/>
        </w:rPr>
        <w:t xml:space="preserve">Low levels of amoxicillin consumption can also </w:t>
      </w:r>
      <w:r w:rsidR="008B2C2D">
        <w:rPr>
          <w:color w:val="000000" w:themeColor="text1"/>
        </w:rPr>
        <w:t xml:space="preserve">be </w:t>
      </w:r>
      <w:r w:rsidR="008E341E">
        <w:rPr>
          <w:color w:val="000000" w:themeColor="text1"/>
        </w:rPr>
        <w:t xml:space="preserve">a result of its higher </w:t>
      </w:r>
      <w:r w:rsidR="00577163">
        <w:rPr>
          <w:color w:val="000000" w:themeColor="text1"/>
        </w:rPr>
        <w:t>costs, both in the public and pr</w:t>
      </w:r>
      <w:r w:rsidR="001C267C">
        <w:rPr>
          <w:color w:val="000000" w:themeColor="text1"/>
        </w:rPr>
        <w:t>i</w:t>
      </w:r>
      <w:r w:rsidR="00577163">
        <w:rPr>
          <w:color w:val="000000" w:themeColor="text1"/>
        </w:rPr>
        <w:t xml:space="preserve">vate domains, as </w:t>
      </w:r>
      <w:r w:rsidR="008B2C2D">
        <w:rPr>
          <w:color w:val="000000" w:themeColor="text1"/>
        </w:rPr>
        <w:t xml:space="preserve">is the case </w:t>
      </w:r>
      <w:r w:rsidR="00577163">
        <w:rPr>
          <w:color w:val="000000" w:themeColor="text1"/>
        </w:rPr>
        <w:t xml:space="preserve">in French West Africa </w:t>
      </w:r>
      <w:r w:rsidR="008B2C2D">
        <w:rPr>
          <w:color w:val="000000" w:themeColor="text1"/>
        </w:rPr>
        <w:t>and</w:t>
      </w:r>
      <w:r w:rsidR="00577163">
        <w:rPr>
          <w:color w:val="000000" w:themeColor="text1"/>
        </w:rPr>
        <w:t xml:space="preserve"> Peru.</w:t>
      </w:r>
      <w:r w:rsidR="0027601C">
        <w:rPr>
          <w:color w:val="000000" w:themeColor="text1"/>
        </w:rPr>
        <w:fldChar w:fldCharType="begin"/>
      </w:r>
      <w:r w:rsidR="0027601C">
        <w:rPr>
          <w:color w:val="000000" w:themeColor="text1"/>
        </w:rPr>
        <w:instrText xml:space="preserve"> ADDIN ZOTERO_ITEM CSL_CITATION {"citationID":"uEK5SSFG","properties":{"formattedCitation":"\\super 24\\nosupersub{}","plainCitation":"24","noteIndex":0},"citationItems":[{"id":3540,"uris":["http://zotero.org/users/local/UM34EoPV/items/28SKALXX"],"uri":["http://zotero.org/users/local/UM34EoPV/items/28SKALXX"],"itemData":{"id":3540,"type":"article","title":"Medicine Prices, Availability, Affordability &amp; Price Components Database","URL":"https://haiweb.org/what-we-do/price-availability-affordability/price-availability-data/","author":[{"literal":"Health Action International"}],"accessed":{"date-parts":[["2019",11,11]]},"issued":{"date-parts":[["2011"]]}}}],"schema":"https://github.com/citation-style-language/schema/raw/master/csl-citation.json"} </w:instrText>
      </w:r>
      <w:r w:rsidR="0027601C">
        <w:rPr>
          <w:color w:val="000000" w:themeColor="text1"/>
        </w:rPr>
        <w:fldChar w:fldCharType="separate"/>
      </w:r>
      <w:r w:rsidR="0027601C" w:rsidRPr="0027601C">
        <w:rPr>
          <w:vertAlign w:val="superscript"/>
        </w:rPr>
        <w:t>24</w:t>
      </w:r>
      <w:r w:rsidR="0027601C">
        <w:rPr>
          <w:color w:val="000000" w:themeColor="text1"/>
        </w:rPr>
        <w:fldChar w:fldCharType="end"/>
      </w:r>
      <w:r w:rsidR="00577163">
        <w:rPr>
          <w:color w:val="000000" w:themeColor="text1"/>
        </w:rPr>
        <w:t xml:space="preserve"> </w:t>
      </w:r>
      <w:r w:rsidR="008B2C2D">
        <w:rPr>
          <w:color w:val="000000" w:themeColor="text1"/>
        </w:rPr>
        <w:t>Intellectual property issues play a role, but introduction of generic alternatives do not always lead to lower prices. F</w:t>
      </w:r>
      <w:r w:rsidR="00A66B1D">
        <w:rPr>
          <w:color w:val="000000" w:themeColor="text1"/>
        </w:rPr>
        <w:t>or example,</w:t>
      </w:r>
      <w:r w:rsidR="008B2C2D">
        <w:rPr>
          <w:color w:val="000000" w:themeColor="text1"/>
        </w:rPr>
        <w:t xml:space="preserve"> in India</w:t>
      </w:r>
      <w:r w:rsidR="00A66B1D">
        <w:rPr>
          <w:color w:val="000000" w:themeColor="text1"/>
        </w:rPr>
        <w:t xml:space="preserve"> the cost of generic amoxicillin is sometimes greater than ne</w:t>
      </w:r>
      <w:r w:rsidR="00BB07BE">
        <w:rPr>
          <w:color w:val="000000" w:themeColor="text1"/>
        </w:rPr>
        <w:t>w</w:t>
      </w:r>
      <w:r w:rsidR="00A66B1D">
        <w:rPr>
          <w:color w:val="000000" w:themeColor="text1"/>
        </w:rPr>
        <w:t>er drugs.</w:t>
      </w:r>
      <w:r w:rsidR="0027601C">
        <w:rPr>
          <w:color w:val="000000" w:themeColor="text1"/>
        </w:rPr>
        <w:fldChar w:fldCharType="begin"/>
      </w:r>
      <w:r w:rsidR="0027601C">
        <w:rPr>
          <w:color w:val="000000" w:themeColor="text1"/>
        </w:rPr>
        <w:instrText xml:space="preserve"> ADDIN ZOTERO_ITEM CSL_CITATION {"citationID":"0rvk5qGV","properties":{"formattedCitation":"\\super 24\\nosupersub{}","plainCitation":"24","noteIndex":0},"citationItems":[{"id":3540,"uris":["http://zotero.org/users/local/UM34EoPV/items/28SKALXX"],"uri":["http://zotero.org/users/local/UM34EoPV/items/28SKALXX"],"itemData":{"id":3540,"type":"article","title":"Medicine Prices, Availability, Affordability &amp; Price Components Database","URL":"https://haiweb.org/what-we-do/price-availability-affordability/price-availability-data/","author":[{"literal":"Health Action International"}],"accessed":{"date-parts":[["2019",11,11]]},"issued":{"date-parts":[["2011"]]}}}],"schema":"https://github.com/citation-style-language/schema/raw/master/csl-citation.json"} </w:instrText>
      </w:r>
      <w:r w:rsidR="0027601C">
        <w:rPr>
          <w:color w:val="000000" w:themeColor="text1"/>
        </w:rPr>
        <w:fldChar w:fldCharType="separate"/>
      </w:r>
      <w:r w:rsidR="0027601C" w:rsidRPr="0027601C">
        <w:rPr>
          <w:vertAlign w:val="superscript"/>
        </w:rPr>
        <w:t>24</w:t>
      </w:r>
      <w:r w:rsidR="0027601C">
        <w:rPr>
          <w:color w:val="000000" w:themeColor="text1"/>
        </w:rPr>
        <w:fldChar w:fldCharType="end"/>
      </w:r>
      <w:r w:rsidR="00A66B1D">
        <w:rPr>
          <w:color w:val="000000" w:themeColor="text1"/>
        </w:rPr>
        <w:t xml:space="preserve"> </w:t>
      </w:r>
      <w:r w:rsidR="005142E1">
        <w:rPr>
          <w:color w:val="000000" w:themeColor="text1"/>
        </w:rPr>
        <w:t xml:space="preserve">Generally, </w:t>
      </w:r>
      <w:r w:rsidRPr="00C5602B">
        <w:rPr>
          <w:color w:val="000000" w:themeColor="text1"/>
        </w:rPr>
        <w:t xml:space="preserve">countries characterized by high consumption of amoxicillin </w:t>
      </w:r>
      <w:r w:rsidR="000011CF">
        <w:rPr>
          <w:color w:val="000000" w:themeColor="text1"/>
        </w:rPr>
        <w:t xml:space="preserve">tend </w:t>
      </w:r>
      <w:r w:rsidRPr="00C5602B">
        <w:rPr>
          <w:color w:val="000000" w:themeColor="text1"/>
        </w:rPr>
        <w:t xml:space="preserve">to have national guidelines for the treatment of respiratory tract infections supporting the use of the drug, including France. </w:t>
      </w:r>
      <w:r w:rsidR="005142E1">
        <w:rPr>
          <w:color w:val="000000" w:themeColor="text1"/>
        </w:rPr>
        <w:t xml:space="preserve">However, in some cases, </w:t>
      </w:r>
      <w:r w:rsidR="008E4F94">
        <w:rPr>
          <w:color w:val="000000" w:themeColor="text1"/>
        </w:rPr>
        <w:t xml:space="preserve">high consumption of amoxicillin can be influenced by its easy access, as in the case of Iran, where the drug is commonly available </w:t>
      </w:r>
      <w:r w:rsidR="008E4F94">
        <w:rPr>
          <w:color w:val="000000" w:themeColor="text1"/>
        </w:rPr>
        <w:lastRenderedPageBreak/>
        <w:t>without prescription.</w:t>
      </w:r>
      <w:r w:rsidR="00056E6C">
        <w:rPr>
          <w:color w:val="000000" w:themeColor="text1"/>
        </w:rPr>
        <w:t xml:space="preserve"> </w:t>
      </w:r>
      <w:r w:rsidR="00967621">
        <w:rPr>
          <w:color w:val="000000" w:themeColor="text1"/>
        </w:rPr>
        <w:t>The use of th</w:t>
      </w:r>
      <w:r w:rsidR="00E91DF9">
        <w:rPr>
          <w:color w:val="000000" w:themeColor="text1"/>
        </w:rPr>
        <w:t>e Amoxicillin Index can</w:t>
      </w:r>
      <w:r w:rsidR="00967621">
        <w:rPr>
          <w:color w:val="000000" w:themeColor="text1"/>
        </w:rPr>
        <w:t xml:space="preserve"> inform </w:t>
      </w:r>
      <w:r w:rsidR="00382820">
        <w:rPr>
          <w:color w:val="000000" w:themeColor="text1"/>
        </w:rPr>
        <w:t xml:space="preserve">the development of initiatives concentrated on </w:t>
      </w:r>
      <w:r w:rsidR="006D57B2">
        <w:rPr>
          <w:color w:val="000000" w:themeColor="text1"/>
        </w:rPr>
        <w:t xml:space="preserve">improving access to </w:t>
      </w:r>
      <w:r w:rsidR="00A25763">
        <w:rPr>
          <w:color w:val="000000" w:themeColor="text1"/>
        </w:rPr>
        <w:t xml:space="preserve">the medication, as well as </w:t>
      </w:r>
      <w:r w:rsidR="001E4A5C">
        <w:rPr>
          <w:color w:val="000000" w:themeColor="text1"/>
        </w:rPr>
        <w:t xml:space="preserve">help guide </w:t>
      </w:r>
      <w:r w:rsidR="00BA1546">
        <w:rPr>
          <w:color w:val="000000" w:themeColor="text1"/>
        </w:rPr>
        <w:t xml:space="preserve">efforts </w:t>
      </w:r>
      <w:r w:rsidR="00E01756">
        <w:rPr>
          <w:color w:val="000000" w:themeColor="text1"/>
        </w:rPr>
        <w:t xml:space="preserve">to </w:t>
      </w:r>
      <w:r w:rsidR="00256CB0">
        <w:rPr>
          <w:color w:val="000000" w:themeColor="text1"/>
        </w:rPr>
        <w:t>encourage its greater use also in countries characterized by relatively high percentages of Access antibiotic</w:t>
      </w:r>
      <w:r w:rsidR="00B071EF">
        <w:rPr>
          <w:color w:val="000000" w:themeColor="text1"/>
        </w:rPr>
        <w:t xml:space="preserve"> consumption</w:t>
      </w:r>
      <w:r w:rsidR="00843555">
        <w:rPr>
          <w:color w:val="000000" w:themeColor="text1"/>
        </w:rPr>
        <w:t xml:space="preserve">, such as </w:t>
      </w:r>
      <w:r w:rsidR="0043282B">
        <w:rPr>
          <w:color w:val="000000" w:themeColor="text1"/>
        </w:rPr>
        <w:t xml:space="preserve">Australia, New Zealand, </w:t>
      </w:r>
      <w:r w:rsidR="00F662BF">
        <w:rPr>
          <w:color w:val="000000" w:themeColor="text1"/>
        </w:rPr>
        <w:t>and</w:t>
      </w:r>
      <w:r w:rsidR="0043282B">
        <w:rPr>
          <w:color w:val="000000" w:themeColor="text1"/>
        </w:rPr>
        <w:t xml:space="preserve"> South Africa.</w:t>
      </w:r>
      <w:r w:rsidR="00256CB0">
        <w:rPr>
          <w:color w:val="000000" w:themeColor="text1"/>
        </w:rPr>
        <w:t xml:space="preserve">  </w:t>
      </w:r>
      <w:r w:rsidR="001E4A5C">
        <w:rPr>
          <w:color w:val="000000" w:themeColor="text1"/>
        </w:rPr>
        <w:t xml:space="preserve"> </w:t>
      </w:r>
      <w:r w:rsidR="00E91DF9">
        <w:rPr>
          <w:color w:val="000000" w:themeColor="text1"/>
        </w:rPr>
        <w:t xml:space="preserve"> </w:t>
      </w:r>
    </w:p>
    <w:p w14:paraId="3B69C61C" w14:textId="77777777" w:rsidR="000011CF" w:rsidRDefault="000011CF" w:rsidP="00235DC6">
      <w:pPr>
        <w:autoSpaceDE w:val="0"/>
        <w:autoSpaceDN w:val="0"/>
        <w:adjustRightInd w:val="0"/>
        <w:spacing w:line="480" w:lineRule="auto"/>
        <w:rPr>
          <w:rStyle w:val="apple-converted-space"/>
          <w:color w:val="000000" w:themeColor="text1"/>
          <w:shd w:val="clear" w:color="auto" w:fill="FFFFFF"/>
        </w:rPr>
      </w:pPr>
    </w:p>
    <w:p w14:paraId="09184F90" w14:textId="513B6981" w:rsidR="00C33461" w:rsidRDefault="005225E6" w:rsidP="00235DC6">
      <w:pPr>
        <w:autoSpaceDE w:val="0"/>
        <w:autoSpaceDN w:val="0"/>
        <w:adjustRightInd w:val="0"/>
        <w:spacing w:line="480" w:lineRule="auto"/>
        <w:rPr>
          <w:color w:val="000000" w:themeColor="text1"/>
        </w:rPr>
      </w:pPr>
      <w:r>
        <w:rPr>
          <w:rStyle w:val="apple-converted-space"/>
          <w:color w:val="000000" w:themeColor="text1"/>
          <w:shd w:val="clear" w:color="auto" w:fill="FFFFFF"/>
        </w:rPr>
        <w:t>As previously highlighted in the approach of the Global Action Plan on Antimicrobial Resistanc</w:t>
      </w:r>
      <w:r w:rsidR="00B85A35">
        <w:rPr>
          <w:rStyle w:val="apple-converted-space"/>
          <w:color w:val="000000" w:themeColor="text1"/>
          <w:shd w:val="clear" w:color="auto" w:fill="FFFFFF"/>
        </w:rPr>
        <w:t>e</w:t>
      </w:r>
      <w:r w:rsidR="004C4969">
        <w:rPr>
          <w:rStyle w:val="apple-converted-space"/>
          <w:color w:val="000000" w:themeColor="text1"/>
          <w:shd w:val="clear" w:color="auto" w:fill="FFFFFF"/>
        </w:rPr>
        <w:t>,</w:t>
      </w:r>
      <w:r w:rsidR="004C4969">
        <w:rPr>
          <w:rStyle w:val="apple-converted-space"/>
          <w:color w:val="000000" w:themeColor="text1"/>
          <w:shd w:val="clear" w:color="auto" w:fill="FFFFFF"/>
        </w:rPr>
        <w:fldChar w:fldCharType="begin"/>
      </w:r>
      <w:r w:rsidR="005B280F">
        <w:rPr>
          <w:rStyle w:val="apple-converted-space"/>
          <w:color w:val="000000" w:themeColor="text1"/>
          <w:shd w:val="clear" w:color="auto" w:fill="FFFFFF"/>
        </w:rPr>
        <w:instrText xml:space="preserve"> ADDIN ZOTERO_ITEM CSL_CITATION {"citationID":"a8nvfvoebq","properties":{"formattedCitation":"\\super 26\\nosupersub{}","plainCitation":"26","noteIndex":0},"citationItems":[{"id":3530,"uris":["http://zotero.org/users/local/UM34EoPV/items/NPYWQH2Z"],"uri":["http://zotero.org/users/local/UM34EoPV/items/NPYWQH2Z"],"itemData":{"id":3530,"type":"article-journal","note":"ISBN: 924151566X\npublisher: World Health Organization","title":"Monitoring and evaluation of the global action plan on antimicrobial resistance: framework and recommended indicators","author":[{"family":"World Health Organization","given":""}],"issued":{"date-parts":[["2019"]]}}}],"schema":"https://github.com/citation-style-language/schema/raw/master/csl-citation.json"} </w:instrText>
      </w:r>
      <w:r w:rsidR="004C4969">
        <w:rPr>
          <w:rStyle w:val="apple-converted-space"/>
          <w:color w:val="000000" w:themeColor="text1"/>
          <w:shd w:val="clear" w:color="auto" w:fill="FFFFFF"/>
        </w:rPr>
        <w:fldChar w:fldCharType="separate"/>
      </w:r>
      <w:r w:rsidR="005B280F" w:rsidRPr="005B280F">
        <w:rPr>
          <w:vertAlign w:val="superscript"/>
        </w:rPr>
        <w:t>26</w:t>
      </w:r>
      <w:r w:rsidR="004C4969">
        <w:rPr>
          <w:rStyle w:val="apple-converted-space"/>
          <w:color w:val="000000" w:themeColor="text1"/>
          <w:shd w:val="clear" w:color="auto" w:fill="FFFFFF"/>
        </w:rPr>
        <w:fldChar w:fldCharType="end"/>
      </w:r>
      <w:r w:rsidR="009E5F43">
        <w:rPr>
          <w:rStyle w:val="apple-converted-space"/>
          <w:color w:val="000000" w:themeColor="text1"/>
          <w:shd w:val="clear" w:color="auto" w:fill="FFFFFF"/>
        </w:rPr>
        <w:t xml:space="preserve"> among others,</w:t>
      </w:r>
      <w:r>
        <w:rPr>
          <w:rStyle w:val="apple-converted-space"/>
          <w:color w:val="000000" w:themeColor="text1"/>
          <w:shd w:val="clear" w:color="auto" w:fill="FFFFFF"/>
        </w:rPr>
        <w:t xml:space="preserve"> s</w:t>
      </w:r>
      <w:r w:rsidR="00EC21D1">
        <w:rPr>
          <w:rStyle w:val="apple-converted-space"/>
          <w:color w:val="000000" w:themeColor="text1"/>
          <w:shd w:val="clear" w:color="auto" w:fill="FFFFFF"/>
        </w:rPr>
        <w:t xml:space="preserve">etting </w:t>
      </w:r>
      <w:r w:rsidR="00D43D01">
        <w:rPr>
          <w:rStyle w:val="apple-converted-space"/>
          <w:color w:val="000000" w:themeColor="text1"/>
          <w:shd w:val="clear" w:color="auto" w:fill="FFFFFF"/>
        </w:rPr>
        <w:t xml:space="preserve">relevant </w:t>
      </w:r>
      <w:r w:rsidR="00EC21D1">
        <w:rPr>
          <w:rStyle w:val="apple-converted-space"/>
          <w:color w:val="000000" w:themeColor="text1"/>
          <w:shd w:val="clear" w:color="auto" w:fill="FFFFFF"/>
        </w:rPr>
        <w:t xml:space="preserve">global targets to tackle AMR </w:t>
      </w:r>
      <w:r w:rsidR="000D4A04">
        <w:rPr>
          <w:rStyle w:val="apple-converted-space"/>
          <w:color w:val="000000" w:themeColor="text1"/>
          <w:shd w:val="clear" w:color="auto" w:fill="FFFFFF"/>
        </w:rPr>
        <w:t xml:space="preserve">poses </w:t>
      </w:r>
      <w:r>
        <w:rPr>
          <w:rStyle w:val="apple-converted-space"/>
          <w:color w:val="000000" w:themeColor="text1"/>
          <w:shd w:val="clear" w:color="auto" w:fill="FFFFFF"/>
        </w:rPr>
        <w:t>a great challenge</w:t>
      </w:r>
      <w:r w:rsidR="00D43D01">
        <w:rPr>
          <w:rStyle w:val="apple-converted-space"/>
          <w:color w:val="000000" w:themeColor="text1"/>
          <w:shd w:val="clear" w:color="auto" w:fill="FFFFFF"/>
        </w:rPr>
        <w:t xml:space="preserve"> given the differences in surveillance of antimicrobial </w:t>
      </w:r>
      <w:r w:rsidR="007003E5">
        <w:rPr>
          <w:rStyle w:val="apple-converted-space"/>
          <w:color w:val="000000" w:themeColor="text1"/>
          <w:shd w:val="clear" w:color="auto" w:fill="FFFFFF"/>
        </w:rPr>
        <w:t>consumption</w:t>
      </w:r>
      <w:r w:rsidR="00D43D01">
        <w:rPr>
          <w:rStyle w:val="apple-converted-space"/>
          <w:color w:val="000000" w:themeColor="text1"/>
          <w:shd w:val="clear" w:color="auto" w:fill="FFFFFF"/>
        </w:rPr>
        <w:t xml:space="preserve"> between countries. </w:t>
      </w:r>
      <w:r w:rsidR="00E62320">
        <w:rPr>
          <w:rStyle w:val="apple-converted-space"/>
          <w:color w:val="000000" w:themeColor="text1"/>
          <w:shd w:val="clear" w:color="auto" w:fill="FFFFFF"/>
        </w:rPr>
        <w:t>T</w:t>
      </w:r>
      <w:r w:rsidR="00343DA2">
        <w:rPr>
          <w:rStyle w:val="apple-converted-space"/>
          <w:color w:val="000000" w:themeColor="text1"/>
          <w:shd w:val="clear" w:color="auto" w:fill="FFFFFF"/>
        </w:rPr>
        <w:t xml:space="preserve">he </w:t>
      </w:r>
      <w:r w:rsidR="00343DA2">
        <w:rPr>
          <w:color w:val="000000" w:themeColor="text1"/>
        </w:rPr>
        <w:t xml:space="preserve">WHO target </w:t>
      </w:r>
      <w:r w:rsidR="00343DA2" w:rsidRPr="00C21FC1">
        <w:rPr>
          <w:color w:val="000000" w:themeColor="text1"/>
        </w:rPr>
        <w:t xml:space="preserve">of </w:t>
      </w:r>
      <w:r w:rsidR="00BE609C">
        <w:rPr>
          <w:color w:val="000000" w:themeColor="text1"/>
        </w:rPr>
        <w:t xml:space="preserve">at least </w:t>
      </w:r>
      <w:r w:rsidR="00343DA2" w:rsidRPr="00C21FC1">
        <w:rPr>
          <w:color w:val="000000" w:themeColor="text1"/>
        </w:rPr>
        <w:t>60% Access</w:t>
      </w:r>
      <w:r w:rsidR="00343DA2">
        <w:rPr>
          <w:color w:val="000000" w:themeColor="text1"/>
        </w:rPr>
        <w:t xml:space="preserve"> antibiotics to combat AMR </w:t>
      </w:r>
      <w:r w:rsidR="00280808">
        <w:rPr>
          <w:color w:val="000000" w:themeColor="text1"/>
        </w:rPr>
        <w:t xml:space="preserve">established based on the AWaRe framework remains </w:t>
      </w:r>
      <w:r w:rsidR="00A30BCE">
        <w:rPr>
          <w:color w:val="000000" w:themeColor="text1"/>
        </w:rPr>
        <w:t>an important indicator of the effectiveness of global activities</w:t>
      </w:r>
      <w:r w:rsidR="00E62320">
        <w:rPr>
          <w:color w:val="000000" w:themeColor="text1"/>
        </w:rPr>
        <w:t xml:space="preserve">. However, </w:t>
      </w:r>
      <w:r w:rsidR="00EE745B">
        <w:rPr>
          <w:color w:val="000000" w:themeColor="text1"/>
        </w:rPr>
        <w:t>country-specific goals need to account for</w:t>
      </w:r>
      <w:r w:rsidR="00AD7A73">
        <w:rPr>
          <w:color w:val="000000" w:themeColor="text1"/>
        </w:rPr>
        <w:t xml:space="preserve"> the complexity of the problem</w:t>
      </w:r>
      <w:r w:rsidR="007A5BB0">
        <w:rPr>
          <w:color w:val="000000" w:themeColor="text1"/>
        </w:rPr>
        <w:t xml:space="preserve">. </w:t>
      </w:r>
      <w:r w:rsidR="00415126">
        <w:rPr>
          <w:color w:val="000000" w:themeColor="text1"/>
        </w:rPr>
        <w:t xml:space="preserve">For instance, targets </w:t>
      </w:r>
      <w:r w:rsidR="00BD083C">
        <w:rPr>
          <w:color w:val="000000" w:themeColor="text1"/>
        </w:rPr>
        <w:t>for</w:t>
      </w:r>
      <w:r w:rsidR="00415126">
        <w:rPr>
          <w:color w:val="000000" w:themeColor="text1"/>
        </w:rPr>
        <w:t xml:space="preserve"> </w:t>
      </w:r>
      <w:r w:rsidR="00084378">
        <w:rPr>
          <w:color w:val="000000" w:themeColor="text1"/>
        </w:rPr>
        <w:t xml:space="preserve">reducing total antibiotic prescription rates, inappropriate prescribing, or consumption of specific groups of antibiotics have been implemented in countries such as Belgium, France, the Netherlands, Norway, Slovenia, </w:t>
      </w:r>
      <w:r w:rsidR="000011CF">
        <w:rPr>
          <w:color w:val="000000" w:themeColor="text1"/>
        </w:rPr>
        <w:t>and</w:t>
      </w:r>
      <w:r w:rsidR="00084378">
        <w:rPr>
          <w:color w:val="000000" w:themeColor="text1"/>
        </w:rPr>
        <w:t xml:space="preserve"> the United States</w:t>
      </w:r>
      <w:r w:rsidR="00635BA1">
        <w:rPr>
          <w:color w:val="000000" w:themeColor="text1"/>
        </w:rPr>
        <w:t>.</w:t>
      </w:r>
      <w:r w:rsidR="005F6804">
        <w:rPr>
          <w:color w:val="000000" w:themeColor="text1"/>
        </w:rPr>
        <w:fldChar w:fldCharType="begin"/>
      </w:r>
      <w:r w:rsidR="005B280F">
        <w:rPr>
          <w:color w:val="000000" w:themeColor="text1"/>
        </w:rPr>
        <w:instrText xml:space="preserve"> ADDIN ZOTERO_ITEM CSL_CITATION {"citationID":"a2831495js8","properties":{"formattedCitation":"\\super 27,28\\nosupersub{}","plainCitation":"27,28","noteIndex":0},"citationItems":[{"id":3531,"uris":["http://zotero.org/users/local/UM34EoPV/items/DBZHZWU3"],"uri":["http://zotero.org/users/local/UM34EoPV/items/DBZHZWU3"],"itemData":{"id":3531,"type":"article-journal","container-title":"Eurosurveillance","DOI":"10.2807/1560-7917.ES.2019.24.28.1800339","ISSN":"1560-7917","issue":"28","language":"en","source":"DOI.org (Crossref)","title":"Targets for the reduction of antibiotic use in humans in the Transatlantic Taskforce on Antimicrobial Resistance (TATFAR) partner countries","URL":"https://www.eurosurveillance.org/content/10.2807/1560-7917.ES.2019.24.28.1800339","volume":"24","author":[{"family":"D’Atri","given":"Fabio"},{"family":"Arthur","given":"Jacqueline"},{"family":"Blix","given":"Hege Salvesen"},{"family":"Hicks","given":"Lauri A"},{"family":"Plachouras","given":"Diamantis"},{"family":"Monnet","given":"Dominique L"},{"literal":"the European Survey on Transatlantic Task Force on Antimicrobial Resistance (TATFAR) action 1.2 group"}],"accessed":{"date-parts":[["2020",2,26]]},"issued":{"date-parts":[["2019",7,11]]}}},{"id":3533,"uris":["http://zotero.org/users/local/UM34EoPV/items/APPVSH59"],"uri":["http://zotero.org/users/local/UM34EoPV/items/APPVSH59"],"itemData":{"id":3533,"type":"article-journal","container-title":"Journal of Antimicrobial Chemotherapy","DOI":"10.1093/jac/dkx243","ISSN":"0305-7453, 1460-2091","issue":"10","language":"en","page":"2910-2914","source":"DOI.org (Crossref)","title":"ESGAP inventory of target indicators assessing antibiotic prescriptions: a cross-sectional survey","title-short":"ESGAP inventory of target indicators assessing antibiotic prescriptions","URL":"https://academic.oup.com/jac/article/72/10/2910/3979535","volume":"72","author":[{"family":"Howard","given":"Philip"},{"family":"Huttner","given":"Benedikt"},{"family":"Beovic","given":"Bojana"},{"family":"Beraud","given":"Guillaume"},{"family":"Kofteridis","given":"Diamantis P"},{"family":"Pano Pardo","given":"José"},{"family":"Schouten","given":"Jeroen"},{"family":"Pulcini","given":"Céline"},{"literal":"ESGAP Indicators Working Group"},{"literal":"Other members of the ESGAP Indicators Working Group"},{"family":"Angioni","given":"Goffredo"},{"family":"Arvaniti","given":"Kostoula"},{"family":"Barac","given":"Aleksandra"},{"family":"Bolla","given":"Cesare"},{"family":"Calbo","given":"Esther"},{"family":"Dyar","given":"Oliver-James"},{"family":"Fantoni","given":"Massimo"},{"family":"Fjeld","given":"Hilde"},{"family":"Keuleyan","given":"Emma"},{"family":"Kumar","given":"Sathish"},{"family":"Harhxi","given":"Arjan"},{"family":"Jenkins","given":"David"},{"family":"Maurer","given":"Florian P"},{"family":"Messiaen","given":"Peter"},{"family":"Montejo Baranda","given":"Miguel"},{"family":"Muñoz","given":"Patricia"},{"family":"Orlando","given":"Gabriella"},{"family":"Pagani","given":"Leonardo"},{"family":"Pepe","given":"Fatmanur"},{"family":"Gentil","given":"Pilar Retamar"},{"family":"Rocha Pereira","given":"Nuno Miguel"},{"family":"Rodrigues-Bano","given":"Jesus"},{"family":"Skodvin","given":"Brita"},{"family":"Tängden","given":"Thomas"},{"family":"Vitrat","given":"Virginie"},{"family":"Vlahovic-Palcevski","given":"Vera"},{"family":"Wechsler-Fördös","given":"Agnes"},{"family":"Zarb","given":"Peter"}],"accessed":{"date-parts":[["2020",2,26]]},"issued":{"date-parts":[["2017",10,1]]}}}],"schema":"https://github.com/citation-style-language/schema/raw/master/csl-citation.json"} </w:instrText>
      </w:r>
      <w:r w:rsidR="005F6804">
        <w:rPr>
          <w:color w:val="000000" w:themeColor="text1"/>
        </w:rPr>
        <w:fldChar w:fldCharType="separate"/>
      </w:r>
      <w:r w:rsidR="005B280F" w:rsidRPr="005B280F">
        <w:rPr>
          <w:vertAlign w:val="superscript"/>
        </w:rPr>
        <w:t>27,28</w:t>
      </w:r>
      <w:r w:rsidR="005F6804">
        <w:rPr>
          <w:color w:val="000000" w:themeColor="text1"/>
        </w:rPr>
        <w:fldChar w:fldCharType="end"/>
      </w:r>
      <w:r w:rsidR="00635BA1">
        <w:rPr>
          <w:color w:val="000000" w:themeColor="text1"/>
        </w:rPr>
        <w:t xml:space="preserve"> </w:t>
      </w:r>
      <w:r w:rsidR="0052249E">
        <w:rPr>
          <w:color w:val="000000" w:themeColor="text1"/>
        </w:rPr>
        <w:t>Yet, while the</w:t>
      </w:r>
      <w:r w:rsidR="00DE1E4B">
        <w:rPr>
          <w:color w:val="000000" w:themeColor="text1"/>
        </w:rPr>
        <w:t xml:space="preserve"> </w:t>
      </w:r>
      <w:r w:rsidR="00635BA1">
        <w:rPr>
          <w:color w:val="000000" w:themeColor="text1"/>
        </w:rPr>
        <w:t xml:space="preserve">experience </w:t>
      </w:r>
      <w:r w:rsidR="00C30F36">
        <w:rPr>
          <w:color w:val="000000" w:themeColor="text1"/>
        </w:rPr>
        <w:t>gained from</w:t>
      </w:r>
      <w:r w:rsidR="0052249E">
        <w:rPr>
          <w:color w:val="000000" w:themeColor="text1"/>
        </w:rPr>
        <w:t xml:space="preserve"> implementation of these </w:t>
      </w:r>
      <w:r w:rsidR="00635BA1">
        <w:rPr>
          <w:color w:val="000000" w:themeColor="text1"/>
        </w:rPr>
        <w:t xml:space="preserve">national strategies </w:t>
      </w:r>
      <w:r w:rsidR="00C30F36">
        <w:rPr>
          <w:color w:val="000000" w:themeColor="text1"/>
        </w:rPr>
        <w:t>c</w:t>
      </w:r>
      <w:r w:rsidR="0052249E">
        <w:rPr>
          <w:color w:val="000000" w:themeColor="text1"/>
        </w:rPr>
        <w:t xml:space="preserve">an be useful in defining and </w:t>
      </w:r>
      <w:r w:rsidR="004F55CE">
        <w:rPr>
          <w:color w:val="000000" w:themeColor="text1"/>
        </w:rPr>
        <w:t xml:space="preserve">setting </w:t>
      </w:r>
      <w:r w:rsidR="00635BA1">
        <w:rPr>
          <w:color w:val="000000" w:themeColor="text1"/>
        </w:rPr>
        <w:t>global AMR goals</w:t>
      </w:r>
      <w:r w:rsidR="00C30F36">
        <w:rPr>
          <w:color w:val="000000" w:themeColor="text1"/>
        </w:rPr>
        <w:t xml:space="preserve">, </w:t>
      </w:r>
      <w:r w:rsidR="005415CB">
        <w:rPr>
          <w:color w:val="000000" w:themeColor="text1"/>
        </w:rPr>
        <w:t xml:space="preserve">harmonization of </w:t>
      </w:r>
      <w:r w:rsidR="00635BA1">
        <w:rPr>
          <w:color w:val="000000" w:themeColor="text1"/>
        </w:rPr>
        <w:t xml:space="preserve">methodologies </w:t>
      </w:r>
      <w:r w:rsidR="00634D81">
        <w:rPr>
          <w:color w:val="000000" w:themeColor="text1"/>
        </w:rPr>
        <w:t xml:space="preserve">used to </w:t>
      </w:r>
      <w:r w:rsidR="004F55CE">
        <w:rPr>
          <w:color w:val="000000" w:themeColor="text1"/>
        </w:rPr>
        <w:t>quantify</w:t>
      </w:r>
      <w:r w:rsidR="00634D81">
        <w:rPr>
          <w:color w:val="000000" w:themeColor="text1"/>
        </w:rPr>
        <w:t xml:space="preserve"> </w:t>
      </w:r>
      <w:r w:rsidR="005415CB">
        <w:rPr>
          <w:color w:val="000000" w:themeColor="text1"/>
        </w:rPr>
        <w:t xml:space="preserve">and improve accuracy of </w:t>
      </w:r>
      <w:r w:rsidR="00634D81">
        <w:rPr>
          <w:color w:val="000000" w:themeColor="text1"/>
        </w:rPr>
        <w:t>antibiotic consumption</w:t>
      </w:r>
      <w:r w:rsidR="00514C28">
        <w:rPr>
          <w:color w:val="000000" w:themeColor="text1"/>
        </w:rPr>
        <w:t xml:space="preserve"> </w:t>
      </w:r>
      <w:r w:rsidR="005415CB">
        <w:rPr>
          <w:color w:val="000000" w:themeColor="text1"/>
        </w:rPr>
        <w:t xml:space="preserve">will be necessary for implementation. For example, currently there is only one source of antibiotic consumption for many countries, and there is a lack of </w:t>
      </w:r>
      <w:r w:rsidR="00C5311E">
        <w:rPr>
          <w:color w:val="000000" w:themeColor="text1"/>
        </w:rPr>
        <w:t>transparency in methods used and variability in the quality of the data. In addition,</w:t>
      </w:r>
      <w:r w:rsidR="005415CB">
        <w:rPr>
          <w:color w:val="000000" w:themeColor="text1"/>
        </w:rPr>
        <w:t xml:space="preserve"> consumption </w:t>
      </w:r>
      <w:r w:rsidR="00C5311E">
        <w:rPr>
          <w:color w:val="000000" w:themeColor="text1"/>
        </w:rPr>
        <w:t xml:space="preserve">alone does not </w:t>
      </w:r>
      <w:r w:rsidR="00C85D9C">
        <w:rPr>
          <w:color w:val="000000" w:themeColor="text1"/>
        </w:rPr>
        <w:t>reflect</w:t>
      </w:r>
      <w:r w:rsidR="00C5311E">
        <w:rPr>
          <w:color w:val="000000" w:themeColor="text1"/>
        </w:rPr>
        <w:t xml:space="preserve"> the appropriateness of use. As rates of resistance can affect the choice of drug, global assessments and targets for consumption should </w:t>
      </w:r>
      <w:r w:rsidR="003318E5">
        <w:rPr>
          <w:color w:val="000000" w:themeColor="text1"/>
        </w:rPr>
        <w:t>take into consideration</w:t>
      </w:r>
      <w:r w:rsidR="00C5311E">
        <w:rPr>
          <w:color w:val="000000" w:themeColor="text1"/>
        </w:rPr>
        <w:t xml:space="preserve"> local resistance rates</w:t>
      </w:r>
      <w:r w:rsidR="004F7D99">
        <w:rPr>
          <w:color w:val="000000" w:themeColor="text1"/>
        </w:rPr>
        <w:t xml:space="preserve">. </w:t>
      </w:r>
    </w:p>
    <w:p w14:paraId="49EDF322" w14:textId="77777777" w:rsidR="00F07F56" w:rsidRDefault="00F07F56" w:rsidP="00235DC6">
      <w:pPr>
        <w:autoSpaceDE w:val="0"/>
        <w:autoSpaceDN w:val="0"/>
        <w:adjustRightInd w:val="0"/>
        <w:spacing w:line="480" w:lineRule="auto"/>
        <w:rPr>
          <w:rStyle w:val="apple-converted-space"/>
          <w:color w:val="000000" w:themeColor="text1"/>
          <w:shd w:val="clear" w:color="auto" w:fill="FFFFFF"/>
        </w:rPr>
      </w:pPr>
    </w:p>
    <w:p w14:paraId="3C7C21A7" w14:textId="66E3437F" w:rsidR="00A76109" w:rsidRPr="000D1F6B" w:rsidRDefault="00F06FA3" w:rsidP="003D747F">
      <w:pPr>
        <w:autoSpaceDE w:val="0"/>
        <w:autoSpaceDN w:val="0"/>
        <w:adjustRightInd w:val="0"/>
        <w:spacing w:line="480" w:lineRule="auto"/>
      </w:pPr>
      <w:r>
        <w:rPr>
          <w:color w:val="000000" w:themeColor="text1"/>
        </w:rPr>
        <w:lastRenderedPageBreak/>
        <w:t xml:space="preserve">While our assessment of global antibiotic use has important policy implications, the data have important limitations that should be considered when interpreting our results. </w:t>
      </w:r>
      <w:r w:rsidR="00297B76">
        <w:t xml:space="preserve">First, </w:t>
      </w:r>
      <w:r w:rsidR="00784BE6">
        <w:t>certain</w:t>
      </w:r>
      <w:r w:rsidR="00784BE6" w:rsidRPr="00EA5A4E">
        <w:t xml:space="preserve"> </w:t>
      </w:r>
      <w:r w:rsidR="00297B76" w:rsidRPr="00EA5A4E">
        <w:t xml:space="preserve">low-income regions, </w:t>
      </w:r>
      <w:r w:rsidR="00784BE6">
        <w:t xml:space="preserve">such as </w:t>
      </w:r>
      <w:r w:rsidR="00297B76">
        <w:t>Sub-Saharan</w:t>
      </w:r>
      <w:r w:rsidR="00297B76" w:rsidRPr="00EA5A4E">
        <w:t xml:space="preserve"> Africa, were </w:t>
      </w:r>
      <w:r w:rsidR="00297B76">
        <w:t xml:space="preserve">largely excluded from </w:t>
      </w:r>
      <w:r w:rsidR="00297B76" w:rsidRPr="00EA5A4E">
        <w:t>the analysis</w:t>
      </w:r>
      <w:r w:rsidR="00960AA9">
        <w:t xml:space="preserve"> due to lack of data</w:t>
      </w:r>
      <w:r w:rsidR="00297B76" w:rsidRPr="00EA5A4E">
        <w:t>.</w:t>
      </w:r>
      <w:r w:rsidR="00E201DE">
        <w:t xml:space="preserve"> Second,</w:t>
      </w:r>
      <w:r w:rsidR="0029477B">
        <w:t xml:space="preserve"> </w:t>
      </w:r>
      <w:r w:rsidR="00C874B3">
        <w:t>data was only</w:t>
      </w:r>
      <w:r w:rsidR="006E675F">
        <w:t xml:space="preserve"> </w:t>
      </w:r>
      <w:r w:rsidR="00C874B3">
        <w:t xml:space="preserve">available through </w:t>
      </w:r>
      <w:r w:rsidR="00827FEE">
        <w:t>2015</w:t>
      </w:r>
      <w:r w:rsidR="00E97DD0">
        <w:t>,</w:t>
      </w:r>
      <w:r w:rsidR="00C874B3">
        <w:t xml:space="preserve"> limiting analysis of more recent trends</w:t>
      </w:r>
      <w:r w:rsidR="00301B59">
        <w:t xml:space="preserve">. </w:t>
      </w:r>
      <w:r w:rsidR="006E675F">
        <w:t xml:space="preserve">Third, </w:t>
      </w:r>
      <w:r w:rsidR="0029477B">
        <w:t xml:space="preserve">for some countries, </w:t>
      </w:r>
      <w:r w:rsidR="0075275D">
        <w:t xml:space="preserve">data </w:t>
      </w:r>
      <w:r w:rsidR="00CF4352">
        <w:t xml:space="preserve">was not available for all the years under study. In such instances, </w:t>
      </w:r>
      <w:r w:rsidR="00164182">
        <w:t xml:space="preserve">when comparing differences in antibiotic consumption, </w:t>
      </w:r>
      <w:r w:rsidR="002C3058">
        <w:t xml:space="preserve">the estimations were done based on </w:t>
      </w:r>
      <w:r w:rsidR="00164182">
        <w:t>available</w:t>
      </w:r>
      <w:r w:rsidR="002775A0">
        <w:t xml:space="preserve"> data</w:t>
      </w:r>
      <w:r w:rsidR="00A046FF">
        <w:t xml:space="preserve"> timeframes</w:t>
      </w:r>
      <w:r w:rsidR="007C61B5">
        <w:t xml:space="preserve"> (Supplementary Table</w:t>
      </w:r>
      <w:r w:rsidR="005B280F">
        <w:t xml:space="preserve"> 3</w:t>
      </w:r>
      <w:r w:rsidR="007C61B5">
        <w:t>)</w:t>
      </w:r>
      <w:r w:rsidR="00164182">
        <w:t xml:space="preserve">. </w:t>
      </w:r>
      <w:r w:rsidR="00301B59">
        <w:t>Fo</w:t>
      </w:r>
      <w:r w:rsidR="00E97DD0">
        <w:t>u</w:t>
      </w:r>
      <w:r w:rsidR="00301B59">
        <w:t>rth</w:t>
      </w:r>
      <w:r w:rsidR="00735F66">
        <w:t xml:space="preserve">, </w:t>
      </w:r>
      <w:r w:rsidR="00371DA1">
        <w:t xml:space="preserve">given that </w:t>
      </w:r>
      <w:r w:rsidR="00E201DE">
        <w:t xml:space="preserve">for some countries data </w:t>
      </w:r>
      <w:r w:rsidR="000011CF">
        <w:t>w</w:t>
      </w:r>
      <w:r w:rsidR="00E62320">
        <w:t>ere</w:t>
      </w:r>
      <w:r w:rsidR="000011CF">
        <w:t xml:space="preserve"> available only </w:t>
      </w:r>
      <w:r w:rsidR="00E201DE">
        <w:t xml:space="preserve">from </w:t>
      </w:r>
      <w:r w:rsidR="000011CF">
        <w:t xml:space="preserve">the </w:t>
      </w:r>
      <w:r w:rsidR="00E201DE">
        <w:t>public</w:t>
      </w:r>
      <w:r w:rsidR="000011CF">
        <w:t xml:space="preserve"> or</w:t>
      </w:r>
      <w:r w:rsidR="00E201DE">
        <w:t xml:space="preserve"> private sector, </w:t>
      </w:r>
      <w:r w:rsidR="00371DA1">
        <w:t xml:space="preserve">they may not </w:t>
      </w:r>
      <w:r w:rsidR="00E364E0">
        <w:t xml:space="preserve">fully represent the exact </w:t>
      </w:r>
      <w:r w:rsidR="007C5009">
        <w:t xml:space="preserve">consumption volumes </w:t>
      </w:r>
      <w:r w:rsidR="00D11E51">
        <w:t xml:space="preserve">relevant </w:t>
      </w:r>
      <w:r w:rsidR="007C5009">
        <w:t>on a local scale.</w:t>
      </w:r>
      <w:r w:rsidR="00417DE4">
        <w:t xml:space="preserve"> </w:t>
      </w:r>
      <w:r w:rsidR="00301B59">
        <w:t>Fift</w:t>
      </w:r>
      <w:r w:rsidR="0044219E">
        <w:t>h</w:t>
      </w:r>
      <w:r w:rsidR="00297B76">
        <w:t xml:space="preserve">, </w:t>
      </w:r>
      <w:r w:rsidR="00F44ACF">
        <w:rPr>
          <w:color w:val="000000" w:themeColor="text1"/>
        </w:rPr>
        <w:t xml:space="preserve">antibiotic </w:t>
      </w:r>
      <w:r w:rsidR="00297B76">
        <w:rPr>
          <w:color w:val="000000" w:themeColor="text1"/>
        </w:rPr>
        <w:t xml:space="preserve">sales data </w:t>
      </w:r>
      <w:r w:rsidR="00727603">
        <w:rPr>
          <w:color w:val="000000" w:themeColor="text1"/>
        </w:rPr>
        <w:t xml:space="preserve">aggregated by IQVIA </w:t>
      </w:r>
      <w:r w:rsidR="00297B76">
        <w:t>may</w:t>
      </w:r>
      <w:r w:rsidR="00297B76" w:rsidRPr="00EA5A4E">
        <w:t xml:space="preserve"> not </w:t>
      </w:r>
      <w:r w:rsidR="00297B76">
        <w:t>reliably</w:t>
      </w:r>
      <w:r w:rsidR="00297B76" w:rsidRPr="00EA5A4E">
        <w:t xml:space="preserve"> reflect </w:t>
      </w:r>
      <w:r w:rsidR="001C1ADD">
        <w:t>consumption</w:t>
      </w:r>
      <w:r w:rsidR="002868D9">
        <w:t>. Though d</w:t>
      </w:r>
      <w:r w:rsidR="00297B76">
        <w:t xml:space="preserve">ata from Europe were comparable to other sources </w:t>
      </w:r>
      <w:r w:rsidR="00784BE6">
        <w:t xml:space="preserve">for data on </w:t>
      </w:r>
      <w:r w:rsidR="00297B76">
        <w:t>antibiotic consumption</w:t>
      </w:r>
      <w:r w:rsidR="00976B48">
        <w:t>,</w:t>
      </w:r>
      <w:r w:rsidR="005F6804">
        <w:fldChar w:fldCharType="begin"/>
      </w:r>
      <w:r w:rsidR="00224DF9">
        <w:instrText xml:space="preserve"> ADDIN ZOTERO_ITEM CSL_CITATION {"citationID":"a2t26bn893","properties":{"formattedCitation":"\\super 1\\nosupersub{}","plainCitation":"1","noteIndex":0},"citationItems":[{"id":3160,"uris":["http://zotero.org/users/local/UM34EoPV/items/96SYUTGJ"],"uri":["http://zotero.org/users/local/UM34EoPV/items/96SYUTGJ"],"itemData":{"id":3160,"type":"article-journal","container-title":"Proceedings of the National Academy of Sciences","DOI":"10.1073/pnas.1717295115","ISSN":"0027-8424, 1091-6490","issue":"15","language":"en","page":"E3463-E3470","source":"Crossref","title":"Global increase and geographic convergence in antibiotic consumption between 2000 and 2015","URL":"http://www.pnas.org/lookup/doi/10.1073/pnas.1717295115","volume":"115","author":[{"family":"Klein","given":"Eili Y."},{"family":"Van Boeckel","given":"Thomas P."},{"family":"Martinez","given":"Elena M."},{"family":"Pant","given":"Suraj"},{"family":"Gandra","given":"Sumanth"},{"family":"Levin","given":"Simon A."},{"family":"Goossens","given":"Herman"},{"family":"Laxminarayan","given":"Ramanan"}],"accessed":{"date-parts":[["2018",7,11]]},"issued":{"date-parts":[["2018",4,10]]}}}],"schema":"https://github.com/citation-style-language/schema/raw/master/csl-citation.json"} </w:instrText>
      </w:r>
      <w:r w:rsidR="005F6804">
        <w:fldChar w:fldCharType="separate"/>
      </w:r>
      <w:r w:rsidR="00224DF9" w:rsidRPr="005B280F">
        <w:rPr>
          <w:vertAlign w:val="superscript"/>
        </w:rPr>
        <w:t>1</w:t>
      </w:r>
      <w:r w:rsidR="005F6804">
        <w:fldChar w:fldCharType="end"/>
      </w:r>
      <w:r w:rsidR="00297B76">
        <w:t xml:space="preserve"> we were unable to validate these data outside of Europe. </w:t>
      </w:r>
      <w:r w:rsidR="000263F1">
        <w:t xml:space="preserve">However, while </w:t>
      </w:r>
      <w:r w:rsidR="009075D4">
        <w:t xml:space="preserve">potential </w:t>
      </w:r>
      <w:r w:rsidR="00384D51">
        <w:t xml:space="preserve">inaccuracies may exist for consumption estimates </w:t>
      </w:r>
      <w:r w:rsidR="008E3A98">
        <w:t>in LMICs</w:t>
      </w:r>
      <w:r w:rsidR="000263F1">
        <w:t>, even large difference from actual consumption data are unlikely to change the qualitative results regarding changes in</w:t>
      </w:r>
      <w:r w:rsidR="00EB0A8D">
        <w:t xml:space="preserve"> Watch antibiotic consumption compared to HICs</w:t>
      </w:r>
      <w:r w:rsidR="00D36C6D">
        <w:t>.</w:t>
      </w:r>
      <w:r w:rsidR="00EB0A8D">
        <w:t xml:space="preserve"> </w:t>
      </w:r>
      <w:r w:rsidR="00301B59">
        <w:t>Sixth</w:t>
      </w:r>
      <w:r w:rsidR="00297B76">
        <w:t xml:space="preserve">, </w:t>
      </w:r>
      <w:r w:rsidR="00960AA9">
        <w:t xml:space="preserve">while conversion of the data </w:t>
      </w:r>
      <w:r w:rsidR="00F44ACF">
        <w:t>from</w:t>
      </w:r>
      <w:r w:rsidR="00960AA9">
        <w:t xml:space="preserve"> kilograms to </w:t>
      </w:r>
      <w:r w:rsidR="003E6537">
        <w:t xml:space="preserve">2019 </w:t>
      </w:r>
      <w:r w:rsidR="00960AA9">
        <w:t>DDDs permit</w:t>
      </w:r>
      <w:r w:rsidR="005F23C6">
        <w:t>s</w:t>
      </w:r>
      <w:r w:rsidR="00960AA9">
        <w:t xml:space="preserve"> better comparison to other sources of antibiotic consumption, DDDs are not a perfect measure of antibiotic prescribing, particularly </w:t>
      </w:r>
      <w:r w:rsidR="00A7718F">
        <w:t xml:space="preserve">in children or </w:t>
      </w:r>
      <w:r w:rsidR="00960AA9">
        <w:t>for penicillins where the DDD is typically lower than the actual prescribed dose</w:t>
      </w:r>
      <w:r w:rsidR="00976B48">
        <w:t>,</w:t>
      </w:r>
      <w:r w:rsidR="005F6804">
        <w:fldChar w:fldCharType="begin"/>
      </w:r>
      <w:r w:rsidR="005B280F">
        <w:instrText xml:space="preserve"> ADDIN ZOTERO_ITEM CSL_CITATION {"citationID":"ajfrqe06th","properties":{"formattedCitation":"\\super 29,30\\nosupersub{}","plainCitation":"29,30","noteIndex":0},"citationItems":[{"id":3007,"uris":["http://zotero.org/users/local/UM34EoPV/items/J99E5MTM"],"uri":["http://zotero.org/users/local/UM34EoPV/items/J99E5MTM"],"itemData":{"id":3007,"type":"article-journal","container-title":"The Lancet Infectious Diseases","DOI":"10.1016/S1473-3099(14)70071-4","ISSN":"14733099","issue":"5","language":"en","page":"381-387","source":"CrossRef","title":"Antibiotic use in Eastern Europe: a cross-national database study in coordination with the WHO Regional Office for Europe","title-short":"Antibiotic use in eastern Europe","URL":"http://linkinghub.elsevier.com/retrieve/pii/S1473309914700714","volume":"14","author":[{"family":"Versporten","given":"Ann"},{"family":"Bolokhovets","given":"Ganna"},{"family":"Ghazaryan","given":"Lilit"},{"family":"Abilova","given":"Vafa"},{"family":"Pyshnik","given":"Galina"},{"family":"Spasojevic","given":"Tijana"},{"family":"Korinteli","given":"Irma"},{"family":"Raka","given":"Lul"},{"family":"Kambaralieva","given":"Baktygul"},{"family":"Cizmovic","given":"Lidija"},{"family":"Carp","given":"Angela"},{"family":"Radonjic","given":"Vesela"},{"family":"Maqsudova","given":"Nargis"},{"family":"Celik","given":"Hatice Demet"},{"family":"Payerl-Pal","given":"Marina"},{"family":"Pedersen","given":"Hanne Bak"},{"family":"Sautenkova","given":"Nina"},{"family":"Goossens","given":"Herman"}],"accessed":{"date-parts":[["2017",6,27]]},"issued":{"date-parts":[["2014",5]]}}},{"id":3008,"uris":["http://zotero.org/users/local/UM34EoPV/items/H68NPNPE"],"uri":["http://zotero.org/users/local/UM34EoPV/items/H68NPNPE"],"itemData":{"id":3008,"type":"article-journal","container-title":"Journal of Antimicrobial Chemotherapy","DOI":"10.1093/jac/dku063","ISSN":"0305-7453, 1460-2091","issue":"7","language":"en","page":"1981-1986","source":"CrossRef","title":"Measuring trends of outpatient antibiotic use in Europe: jointly modelling longitudinal data in defined daily doses and packages","title-short":"Measuring trends of outpatient antibiotic use in Europe","URL":"https://academic.oup.com/jac/article-lookup/doi/10.1093/jac/dku063","volume":"69","author":[{"family":"Bruyndonckx","given":"R."},{"family":"Hens","given":"N."},{"family":"Aerts","given":"M."},{"family":"Goossens","given":"H."},{"family":"Molenberghs","given":"G."},{"family":"Coenen","given":"S."}],"accessed":{"date-parts":[["2017",6,27]]},"issued":{"date-parts":[["2014",7,1]]}}}],"schema":"https://github.com/citation-style-language/schema/raw/master/csl-citation.json"} </w:instrText>
      </w:r>
      <w:r w:rsidR="005F6804">
        <w:fldChar w:fldCharType="separate"/>
      </w:r>
      <w:r w:rsidR="005B280F" w:rsidRPr="005B280F">
        <w:rPr>
          <w:vertAlign w:val="superscript"/>
        </w:rPr>
        <w:t>29,30</w:t>
      </w:r>
      <w:r w:rsidR="005F6804">
        <w:fldChar w:fldCharType="end"/>
      </w:r>
      <w:r w:rsidR="00961270">
        <w:t xml:space="preserve"> </w:t>
      </w:r>
      <w:r w:rsidR="00784BE6">
        <w:t xml:space="preserve">thereby </w:t>
      </w:r>
      <w:r w:rsidR="00960AA9">
        <w:t>overestimating antibiotic consumption.</w:t>
      </w:r>
      <w:r w:rsidR="005667F3">
        <w:t xml:space="preserve"> </w:t>
      </w:r>
      <w:r w:rsidR="00AD405C">
        <w:t>Seventh</w:t>
      </w:r>
      <w:r w:rsidR="00F93261" w:rsidRPr="00CD3B29">
        <w:rPr>
          <w:color w:val="000000" w:themeColor="text1"/>
        </w:rPr>
        <w:t xml:space="preserve">, despite continuing revisions of the </w:t>
      </w:r>
      <w:r w:rsidR="00F84747">
        <w:rPr>
          <w:color w:val="000000" w:themeColor="text1"/>
        </w:rPr>
        <w:t>AWaRe</w:t>
      </w:r>
      <w:r w:rsidR="00F93261" w:rsidRPr="00CD3B29">
        <w:rPr>
          <w:color w:val="000000" w:themeColor="text1"/>
        </w:rPr>
        <w:t xml:space="preserve"> classification of antibiotics, 54 antibiotics </w:t>
      </w:r>
      <w:r w:rsidR="00BE25F9">
        <w:rPr>
          <w:color w:val="000000" w:themeColor="text1"/>
        </w:rPr>
        <w:t xml:space="preserve">included </w:t>
      </w:r>
      <w:r w:rsidR="00F93261" w:rsidRPr="00CD3B29">
        <w:rPr>
          <w:color w:val="000000" w:themeColor="text1"/>
        </w:rPr>
        <w:t xml:space="preserve">in the </w:t>
      </w:r>
      <w:r w:rsidR="00BE25F9">
        <w:rPr>
          <w:color w:val="000000" w:themeColor="text1"/>
        </w:rPr>
        <w:t xml:space="preserve">IQVIA </w:t>
      </w:r>
      <w:r w:rsidR="00F93261" w:rsidRPr="00CD3B29">
        <w:rPr>
          <w:color w:val="000000" w:themeColor="text1"/>
        </w:rPr>
        <w:t>database (23</w:t>
      </w:r>
      <w:r w:rsidR="000D2D53">
        <w:rPr>
          <w:color w:val="000000" w:themeColor="text1"/>
        </w:rPr>
        <w:t>·</w:t>
      </w:r>
      <w:r w:rsidR="00F93261" w:rsidRPr="00CD3B29">
        <w:rPr>
          <w:color w:val="000000" w:themeColor="text1"/>
        </w:rPr>
        <w:t xml:space="preserve">3%) are currently not included in the grouping. </w:t>
      </w:r>
      <w:r w:rsidR="00E62320">
        <w:rPr>
          <w:color w:val="000000" w:themeColor="text1"/>
        </w:rPr>
        <w:t>W</w:t>
      </w:r>
      <w:r w:rsidR="00F44ACF">
        <w:rPr>
          <w:color w:val="000000" w:themeColor="text1"/>
        </w:rPr>
        <w:t>e</w:t>
      </w:r>
      <w:r w:rsidR="002868D9">
        <w:rPr>
          <w:color w:val="000000" w:themeColor="text1"/>
        </w:rPr>
        <w:t xml:space="preserve"> em</w:t>
      </w:r>
      <w:r w:rsidR="00F93261" w:rsidRPr="00CD3B29">
        <w:rPr>
          <w:color w:val="000000" w:themeColor="text1"/>
        </w:rPr>
        <w:t>ploy</w:t>
      </w:r>
      <w:r w:rsidR="002868D9">
        <w:rPr>
          <w:color w:val="000000" w:themeColor="text1"/>
        </w:rPr>
        <w:t>ed</w:t>
      </w:r>
      <w:r w:rsidR="00F93261" w:rsidRPr="00CD3B29">
        <w:rPr>
          <w:color w:val="000000" w:themeColor="text1"/>
        </w:rPr>
        <w:t xml:space="preserve"> expert consultations to classify these medicines,</w:t>
      </w:r>
      <w:r w:rsidR="002868D9">
        <w:rPr>
          <w:color w:val="000000" w:themeColor="text1"/>
        </w:rPr>
        <w:t xml:space="preserve"> </w:t>
      </w:r>
      <w:r w:rsidR="00E62320">
        <w:rPr>
          <w:color w:val="000000" w:themeColor="text1"/>
        </w:rPr>
        <w:t xml:space="preserve">but </w:t>
      </w:r>
      <w:r w:rsidR="002868D9">
        <w:rPr>
          <w:color w:val="000000" w:themeColor="text1"/>
        </w:rPr>
        <w:t xml:space="preserve">some </w:t>
      </w:r>
      <w:r w:rsidR="00F44ACF">
        <w:rPr>
          <w:color w:val="000000" w:themeColor="text1"/>
        </w:rPr>
        <w:t xml:space="preserve">antibiotics </w:t>
      </w:r>
      <w:r w:rsidR="002868D9">
        <w:rPr>
          <w:color w:val="000000" w:themeColor="text1"/>
        </w:rPr>
        <w:t>remained u</w:t>
      </w:r>
      <w:r w:rsidR="00F93261" w:rsidRPr="00CD3B29">
        <w:rPr>
          <w:color w:val="000000" w:themeColor="text1"/>
        </w:rPr>
        <w:t>nclassified (Supplementary Table</w:t>
      </w:r>
      <w:r w:rsidR="00BC05D3">
        <w:rPr>
          <w:color w:val="000000" w:themeColor="text1"/>
        </w:rPr>
        <w:t xml:space="preserve"> </w:t>
      </w:r>
      <w:r w:rsidR="005B280F">
        <w:rPr>
          <w:color w:val="000000" w:themeColor="text1"/>
        </w:rPr>
        <w:t>4</w:t>
      </w:r>
      <w:r w:rsidR="00BC05D3">
        <w:rPr>
          <w:color w:val="000000" w:themeColor="text1"/>
        </w:rPr>
        <w:t>)</w:t>
      </w:r>
      <w:r w:rsidR="00F93261" w:rsidRPr="00CD3B29">
        <w:rPr>
          <w:color w:val="000000" w:themeColor="text1"/>
        </w:rPr>
        <w:t xml:space="preserve">. </w:t>
      </w:r>
      <w:r w:rsidR="003D747F">
        <w:rPr>
          <w:color w:val="000000" w:themeColor="text1"/>
        </w:rPr>
        <w:t>Two antibiotics, f</w:t>
      </w:r>
      <w:r w:rsidR="003D747F" w:rsidRPr="003D747F">
        <w:rPr>
          <w:color w:val="000000" w:themeColor="text1"/>
        </w:rPr>
        <w:t>osfomycin</w:t>
      </w:r>
      <w:r w:rsidR="003D747F">
        <w:rPr>
          <w:color w:val="000000" w:themeColor="text1"/>
        </w:rPr>
        <w:t xml:space="preserve"> and m</w:t>
      </w:r>
      <w:r w:rsidR="003D747F" w:rsidRPr="003D747F">
        <w:rPr>
          <w:color w:val="000000" w:themeColor="text1"/>
        </w:rPr>
        <w:t>inocycline</w:t>
      </w:r>
      <w:r w:rsidR="003D747F">
        <w:rPr>
          <w:color w:val="000000" w:themeColor="text1"/>
        </w:rPr>
        <w:t xml:space="preserve">, </w:t>
      </w:r>
      <w:r w:rsidR="00AD405C">
        <w:t>were assigned different AWaRe categories based on their most common routes of administration in a given setting</w:t>
      </w:r>
      <w:r w:rsidR="003D747F">
        <w:t xml:space="preserve">. These groupings </w:t>
      </w:r>
      <w:r w:rsidR="00AD405C">
        <w:t xml:space="preserve">may not always accurately </w:t>
      </w:r>
      <w:r w:rsidR="00AD405C">
        <w:lastRenderedPageBreak/>
        <w:t>reflect the most common route of administration in all countries</w:t>
      </w:r>
      <w:r w:rsidR="003D747F">
        <w:t>; h</w:t>
      </w:r>
      <w:r w:rsidR="00AD405C">
        <w:t xml:space="preserve">owever, these antibiotics only accounted </w:t>
      </w:r>
      <w:r w:rsidR="001C1985">
        <w:t xml:space="preserve">for </w:t>
      </w:r>
      <w:r w:rsidR="003D747F">
        <w:t xml:space="preserve">0.7% </w:t>
      </w:r>
      <w:r w:rsidR="00AD405C">
        <w:t xml:space="preserve">of total use and thus these differences are unlikely to qualitatively alter the results. </w:t>
      </w:r>
      <w:r w:rsidR="0086116D">
        <w:rPr>
          <w:color w:val="000000" w:themeColor="text1"/>
        </w:rPr>
        <w:t>Lastly</w:t>
      </w:r>
      <w:r w:rsidR="00960331">
        <w:rPr>
          <w:color w:val="000000" w:themeColor="text1"/>
        </w:rPr>
        <w:t xml:space="preserve">, </w:t>
      </w:r>
      <w:r w:rsidR="009A3583">
        <w:rPr>
          <w:color w:val="000000" w:themeColor="text1"/>
        </w:rPr>
        <w:t>the</w:t>
      </w:r>
      <w:r w:rsidR="00E07551">
        <w:rPr>
          <w:color w:val="000000" w:themeColor="text1"/>
        </w:rPr>
        <w:t xml:space="preserve"> appropriateness of </w:t>
      </w:r>
      <w:r w:rsidR="00960331">
        <w:rPr>
          <w:color w:val="000000" w:themeColor="text1"/>
        </w:rPr>
        <w:t>antibiotic consumption</w:t>
      </w:r>
      <w:r w:rsidR="009A3583">
        <w:rPr>
          <w:color w:val="000000" w:themeColor="text1"/>
        </w:rPr>
        <w:t xml:space="preserve"> cannot be solely studied by analyzing consumption patterns. </w:t>
      </w:r>
      <w:r w:rsidR="0085356A">
        <w:rPr>
          <w:color w:val="000000" w:themeColor="text1"/>
        </w:rPr>
        <w:t>Future studies could benefit from taking into account other</w:t>
      </w:r>
      <w:r w:rsidR="009A3583">
        <w:rPr>
          <w:color w:val="000000" w:themeColor="text1"/>
        </w:rPr>
        <w:t xml:space="preserve"> factors</w:t>
      </w:r>
      <w:r w:rsidR="0085356A">
        <w:rPr>
          <w:color w:val="000000" w:themeColor="text1"/>
        </w:rPr>
        <w:t xml:space="preserve"> related to antibiotic use</w:t>
      </w:r>
      <w:r w:rsidR="009A3583">
        <w:rPr>
          <w:color w:val="000000" w:themeColor="text1"/>
        </w:rPr>
        <w:t xml:space="preserve">, including national </w:t>
      </w:r>
      <w:r w:rsidR="000B6FB5">
        <w:rPr>
          <w:color w:val="000000" w:themeColor="text1"/>
        </w:rPr>
        <w:t>anti</w:t>
      </w:r>
      <w:r w:rsidR="0085356A">
        <w:rPr>
          <w:color w:val="000000" w:themeColor="text1"/>
        </w:rPr>
        <w:t xml:space="preserve">microbial </w:t>
      </w:r>
      <w:r w:rsidR="009A3583">
        <w:rPr>
          <w:color w:val="000000" w:themeColor="text1"/>
        </w:rPr>
        <w:t>resistance levels</w:t>
      </w:r>
      <w:r w:rsidR="000E0ECD">
        <w:rPr>
          <w:color w:val="000000" w:themeColor="text1"/>
        </w:rPr>
        <w:t xml:space="preserve">, </w:t>
      </w:r>
      <w:r w:rsidR="00AD405C">
        <w:rPr>
          <w:color w:val="000000" w:themeColor="text1"/>
        </w:rPr>
        <w:t xml:space="preserve">as well as </w:t>
      </w:r>
      <w:r w:rsidR="000E0ECD">
        <w:rPr>
          <w:color w:val="000000" w:themeColor="text1"/>
        </w:rPr>
        <w:t>indicators</w:t>
      </w:r>
      <w:r w:rsidR="00AD405C">
        <w:rPr>
          <w:color w:val="000000" w:themeColor="text1"/>
        </w:rPr>
        <w:t xml:space="preserve"> that </w:t>
      </w:r>
      <w:r w:rsidR="000E0ECD">
        <w:rPr>
          <w:color w:val="000000" w:themeColor="text1"/>
        </w:rPr>
        <w:t xml:space="preserve">more accurately </w:t>
      </w:r>
      <w:r w:rsidR="00AD405C">
        <w:rPr>
          <w:color w:val="000000" w:themeColor="text1"/>
        </w:rPr>
        <w:t xml:space="preserve">reflect </w:t>
      </w:r>
      <w:r w:rsidR="000E0ECD">
        <w:rPr>
          <w:color w:val="000000" w:themeColor="text1"/>
        </w:rPr>
        <w:t>the quality of care</w:t>
      </w:r>
      <w:r w:rsidR="00972B5A">
        <w:rPr>
          <w:color w:val="000000" w:themeColor="text1"/>
        </w:rPr>
        <w:t xml:space="preserve">. </w:t>
      </w:r>
      <w:r w:rsidR="009A3583">
        <w:rPr>
          <w:color w:val="000000" w:themeColor="text1"/>
        </w:rPr>
        <w:t xml:space="preserve"> </w:t>
      </w:r>
    </w:p>
    <w:p w14:paraId="716E5711" w14:textId="77777777" w:rsidR="005234C6" w:rsidRDefault="005234C6" w:rsidP="00F66C95">
      <w:pPr>
        <w:autoSpaceDE w:val="0"/>
        <w:autoSpaceDN w:val="0"/>
        <w:adjustRightInd w:val="0"/>
        <w:spacing w:line="480" w:lineRule="auto"/>
        <w:rPr>
          <w:b/>
        </w:rPr>
      </w:pPr>
    </w:p>
    <w:p w14:paraId="4FACA584" w14:textId="1AC97A3F" w:rsidR="00F66C95" w:rsidRPr="00C21FC1" w:rsidRDefault="002868D9" w:rsidP="00F66C95">
      <w:pPr>
        <w:autoSpaceDE w:val="0"/>
        <w:autoSpaceDN w:val="0"/>
        <w:adjustRightInd w:val="0"/>
        <w:spacing w:line="480" w:lineRule="auto"/>
        <w:rPr>
          <w:color w:val="000000" w:themeColor="text1"/>
        </w:rPr>
      </w:pPr>
      <w:r>
        <w:t>T</w:t>
      </w:r>
      <w:r w:rsidR="00F66C95">
        <w:t xml:space="preserve">he </w:t>
      </w:r>
      <w:r w:rsidR="00F84747">
        <w:t>AWaRe</w:t>
      </w:r>
      <w:r w:rsidR="00F66C95">
        <w:t xml:space="preserve"> antibiotic classification provides a useful framework for </w:t>
      </w:r>
      <w:r w:rsidR="00214463">
        <w:t>exploring</w:t>
      </w:r>
      <w:r w:rsidR="00F66C95">
        <w:t xml:space="preserve"> antibiotic consumption patterns</w:t>
      </w:r>
      <w:r w:rsidR="00540F6E">
        <w:t xml:space="preserve">. </w:t>
      </w:r>
      <w:r w:rsidR="00095165">
        <w:t>Revisions made over</w:t>
      </w:r>
      <w:r w:rsidR="00BD083C">
        <w:t xml:space="preserve"> </w:t>
      </w:r>
      <w:r w:rsidR="00095165">
        <w:t>time</w:t>
      </w:r>
      <w:r w:rsidR="00F66C95">
        <w:t xml:space="preserve"> </w:t>
      </w:r>
      <w:r w:rsidR="00540F6E">
        <w:t xml:space="preserve">allow for more accurate estimation of antibiotic </w:t>
      </w:r>
      <w:r w:rsidR="007003E5">
        <w:t>consumption</w:t>
      </w:r>
      <w:r w:rsidR="00540F6E">
        <w:t xml:space="preserve"> as </w:t>
      </w:r>
      <w:r w:rsidR="00095165">
        <w:t>classifications are</w:t>
      </w:r>
      <w:r w:rsidR="00540F6E">
        <w:t xml:space="preserve"> expanded to include antibiotics</w:t>
      </w:r>
      <w:r w:rsidR="00387A3B">
        <w:t xml:space="preserve"> </w:t>
      </w:r>
      <w:r w:rsidR="00540F6E">
        <w:t>previously not covered</w:t>
      </w:r>
      <w:r w:rsidR="00F66C95">
        <w:t xml:space="preserve">. </w:t>
      </w:r>
      <w:r w:rsidR="00F66C95">
        <w:rPr>
          <w:color w:val="000000" w:themeColor="text1"/>
        </w:rPr>
        <w:t>Large</w:t>
      </w:r>
      <w:r w:rsidR="00F66C95" w:rsidRPr="0045647A">
        <w:rPr>
          <w:color w:val="000000" w:themeColor="text1"/>
        </w:rPr>
        <w:t xml:space="preserve"> variations </w:t>
      </w:r>
      <w:r w:rsidR="00F66C95">
        <w:rPr>
          <w:color w:val="000000" w:themeColor="text1"/>
        </w:rPr>
        <w:t xml:space="preserve">in </w:t>
      </w:r>
      <w:r w:rsidR="00F66C95" w:rsidRPr="0045647A">
        <w:rPr>
          <w:color w:val="000000" w:themeColor="text1"/>
        </w:rPr>
        <w:t>the Access</w:t>
      </w:r>
      <w:r w:rsidR="00F66C95">
        <w:rPr>
          <w:color w:val="000000" w:themeColor="text1"/>
        </w:rPr>
        <w:t>-to-Watch</w:t>
      </w:r>
      <w:r w:rsidR="00F66C95" w:rsidRPr="0045647A">
        <w:rPr>
          <w:color w:val="000000" w:themeColor="text1"/>
        </w:rPr>
        <w:t xml:space="preserve"> Index</w:t>
      </w:r>
      <w:r w:rsidR="00F66C95">
        <w:rPr>
          <w:color w:val="000000" w:themeColor="text1"/>
        </w:rPr>
        <w:t xml:space="preserve"> </w:t>
      </w:r>
      <w:r w:rsidR="00F66C95" w:rsidRPr="0045647A">
        <w:rPr>
          <w:color w:val="000000" w:themeColor="text1"/>
        </w:rPr>
        <w:t xml:space="preserve">between countries </w:t>
      </w:r>
      <w:r w:rsidR="00F66C95">
        <w:rPr>
          <w:color w:val="000000" w:themeColor="text1"/>
        </w:rPr>
        <w:t>suggest</w:t>
      </w:r>
      <w:r w:rsidR="00D611C2">
        <w:rPr>
          <w:color w:val="000000" w:themeColor="text1"/>
        </w:rPr>
        <w:t>s</w:t>
      </w:r>
      <w:r w:rsidR="00F66C95">
        <w:rPr>
          <w:color w:val="000000" w:themeColor="text1"/>
        </w:rPr>
        <w:t xml:space="preserve"> that national antibiotic surveillance systems and policies </w:t>
      </w:r>
      <w:r w:rsidR="00F44ACF">
        <w:rPr>
          <w:color w:val="000000" w:themeColor="text1"/>
        </w:rPr>
        <w:t>should be reassessed to</w:t>
      </w:r>
      <w:r w:rsidR="00BE25F9">
        <w:rPr>
          <w:color w:val="000000" w:themeColor="text1"/>
        </w:rPr>
        <w:t xml:space="preserve"> meet the </w:t>
      </w:r>
      <w:r w:rsidR="008A2373">
        <w:rPr>
          <w:color w:val="000000" w:themeColor="text1"/>
        </w:rPr>
        <w:t xml:space="preserve">WHO </w:t>
      </w:r>
      <w:r w:rsidR="00BE25F9">
        <w:rPr>
          <w:color w:val="000000" w:themeColor="text1"/>
        </w:rPr>
        <w:t xml:space="preserve">AMR target </w:t>
      </w:r>
      <w:r w:rsidR="008A2373">
        <w:rPr>
          <w:color w:val="000000" w:themeColor="text1"/>
        </w:rPr>
        <w:t xml:space="preserve">of </w:t>
      </w:r>
      <w:r w:rsidR="00BE609C">
        <w:rPr>
          <w:color w:val="000000" w:themeColor="text1"/>
        </w:rPr>
        <w:t xml:space="preserve">at least </w:t>
      </w:r>
      <w:r w:rsidR="008A2373">
        <w:rPr>
          <w:color w:val="000000" w:themeColor="text1"/>
        </w:rPr>
        <w:t>60% Access antibiotic</w:t>
      </w:r>
      <w:r w:rsidR="00CE14EC">
        <w:rPr>
          <w:color w:val="000000" w:themeColor="text1"/>
        </w:rPr>
        <w:t>s</w:t>
      </w:r>
      <w:r w:rsidR="007D1663">
        <w:rPr>
          <w:color w:val="000000" w:themeColor="text1"/>
        </w:rPr>
        <w:t xml:space="preserve">. </w:t>
      </w:r>
      <w:r w:rsidR="00793F89">
        <w:rPr>
          <w:color w:val="000000" w:themeColor="text1"/>
        </w:rPr>
        <w:t xml:space="preserve">In addition, further research is needed to improve evidence on the modifiable factors driving differences in Access/Watch antibiotic consumption between countries as well as changes over time. </w:t>
      </w:r>
      <w:r w:rsidR="007D1663">
        <w:rPr>
          <w:color w:val="000000" w:themeColor="text1"/>
        </w:rPr>
        <w:t>G</w:t>
      </w:r>
      <w:r w:rsidR="00BE25F9">
        <w:rPr>
          <w:color w:val="000000" w:themeColor="text1"/>
        </w:rPr>
        <w:t xml:space="preserve">reater investment in infrastructure, regulations, and leadership </w:t>
      </w:r>
      <w:r w:rsidR="007D1663">
        <w:rPr>
          <w:color w:val="000000" w:themeColor="text1"/>
        </w:rPr>
        <w:t xml:space="preserve">is also needed </w:t>
      </w:r>
      <w:r w:rsidR="00BE25F9">
        <w:rPr>
          <w:color w:val="000000" w:themeColor="text1"/>
        </w:rPr>
        <w:t>to promote improvements in antibiotic prescribing</w:t>
      </w:r>
      <w:r w:rsidR="009E17FF">
        <w:rPr>
          <w:color w:val="000000" w:themeColor="text1"/>
        </w:rPr>
        <w:t>,</w:t>
      </w:r>
      <w:r w:rsidR="00F66C95">
        <w:rPr>
          <w:color w:val="000000" w:themeColor="text1"/>
        </w:rPr>
        <w:t xml:space="preserve"> ensure equal access to effective essential antibiotics</w:t>
      </w:r>
      <w:r w:rsidR="009D4D91">
        <w:rPr>
          <w:color w:val="000000" w:themeColor="text1"/>
        </w:rPr>
        <w:t>,</w:t>
      </w:r>
      <w:r w:rsidR="00F66C95">
        <w:rPr>
          <w:color w:val="000000" w:themeColor="text1"/>
        </w:rPr>
        <w:t xml:space="preserve"> and limit the spread of </w:t>
      </w:r>
      <w:r w:rsidR="00580DCB">
        <w:rPr>
          <w:color w:val="000000" w:themeColor="text1"/>
        </w:rPr>
        <w:t>AMR</w:t>
      </w:r>
      <w:r w:rsidR="00F66C95">
        <w:rPr>
          <w:color w:val="000000" w:themeColor="text1"/>
        </w:rPr>
        <w:t>.</w:t>
      </w:r>
      <w:r w:rsidR="00C21FC1">
        <w:rPr>
          <w:color w:val="000000" w:themeColor="text1"/>
        </w:rPr>
        <w:t xml:space="preserve"> </w:t>
      </w:r>
      <w:r>
        <w:rPr>
          <w:color w:val="000000" w:themeColor="text1"/>
        </w:rPr>
        <w:t xml:space="preserve"> </w:t>
      </w:r>
    </w:p>
    <w:p w14:paraId="5D070FBC" w14:textId="0CED1A9A" w:rsidR="00F85149" w:rsidRDefault="00F85149">
      <w:pPr>
        <w:rPr>
          <w:b/>
          <w:bCs/>
          <w:color w:val="000000" w:themeColor="text1"/>
        </w:rPr>
      </w:pPr>
    </w:p>
    <w:p w14:paraId="795EDC81" w14:textId="473E2FE8" w:rsidR="00276981" w:rsidRDefault="00276981">
      <w:pPr>
        <w:rPr>
          <w:b/>
          <w:bCs/>
          <w:color w:val="000000" w:themeColor="text1"/>
        </w:rPr>
      </w:pPr>
    </w:p>
    <w:p w14:paraId="37C0B89D" w14:textId="31AD3D8F" w:rsidR="00276981" w:rsidRDefault="00276981">
      <w:pPr>
        <w:rPr>
          <w:b/>
          <w:bCs/>
          <w:color w:val="000000" w:themeColor="text1"/>
        </w:rPr>
      </w:pPr>
      <w:r>
        <w:rPr>
          <w:b/>
          <w:bCs/>
          <w:color w:val="000000" w:themeColor="text1"/>
        </w:rPr>
        <w:br w:type="page"/>
      </w:r>
    </w:p>
    <w:p w14:paraId="13C07144" w14:textId="77777777" w:rsidR="00387885" w:rsidRDefault="00496E6F">
      <w:pPr>
        <w:rPr>
          <w:b/>
          <w:bCs/>
          <w:color w:val="000000" w:themeColor="text1"/>
        </w:rPr>
      </w:pPr>
      <w:r>
        <w:rPr>
          <w:b/>
          <w:bCs/>
          <w:color w:val="000000" w:themeColor="text1"/>
        </w:rPr>
        <w:lastRenderedPageBreak/>
        <w:t>Funding:</w:t>
      </w:r>
    </w:p>
    <w:p w14:paraId="3CC52341" w14:textId="77777777" w:rsidR="00387885" w:rsidRDefault="00387885">
      <w:pPr>
        <w:rPr>
          <w:b/>
          <w:bCs/>
          <w:color w:val="000000" w:themeColor="text1"/>
        </w:rPr>
      </w:pPr>
    </w:p>
    <w:p w14:paraId="7AF6254D" w14:textId="3A1EE92F" w:rsidR="00387885" w:rsidRPr="008A0DCB" w:rsidRDefault="00387885" w:rsidP="008A0DCB">
      <w:pPr>
        <w:spacing w:line="480" w:lineRule="auto"/>
      </w:pPr>
      <w:r w:rsidRPr="008A0DCB">
        <w:rPr>
          <w:color w:val="201F1E"/>
          <w:shd w:val="clear" w:color="auto" w:fill="FFFFFF"/>
        </w:rPr>
        <w:t>Ramanan Laxminarayan</w:t>
      </w:r>
      <w:r w:rsidR="004C632F">
        <w:rPr>
          <w:color w:val="201F1E"/>
          <w:shd w:val="clear" w:color="auto" w:fill="FFFFFF"/>
        </w:rPr>
        <w:t xml:space="preserve"> </w:t>
      </w:r>
      <w:r w:rsidR="00F33B3E">
        <w:rPr>
          <w:color w:val="201F1E"/>
          <w:shd w:val="clear" w:color="auto" w:fill="FFFFFF"/>
        </w:rPr>
        <w:t>is</w:t>
      </w:r>
      <w:r w:rsidRPr="008A0DCB">
        <w:rPr>
          <w:color w:val="201F1E"/>
          <w:shd w:val="clear" w:color="auto" w:fill="FFFFFF"/>
        </w:rPr>
        <w:t xml:space="preserve"> supported by IPA 16IPA1609427 from the US Centers for Disease Control and Prevention to Princeton University.</w:t>
      </w:r>
    </w:p>
    <w:p w14:paraId="67EC4A4C" w14:textId="63554801" w:rsidR="00FD0CA5" w:rsidRDefault="00FD0CA5" w:rsidP="00EC1100">
      <w:pPr>
        <w:rPr>
          <w:b/>
          <w:bCs/>
          <w:color w:val="000000" w:themeColor="text1"/>
        </w:rPr>
      </w:pPr>
    </w:p>
    <w:p w14:paraId="0A185436" w14:textId="77777777" w:rsidR="00D75365" w:rsidRDefault="00D75365" w:rsidP="000D1F6B">
      <w:pPr>
        <w:spacing w:line="480" w:lineRule="auto"/>
        <w:rPr>
          <w:b/>
          <w:bCs/>
          <w:color w:val="000000" w:themeColor="text1"/>
        </w:rPr>
      </w:pPr>
      <w:r>
        <w:rPr>
          <w:b/>
          <w:bCs/>
          <w:color w:val="000000" w:themeColor="text1"/>
        </w:rPr>
        <w:t>Conflicts of interest</w:t>
      </w:r>
    </w:p>
    <w:p w14:paraId="01A63C55" w14:textId="48C01CCC" w:rsidR="002B47B7" w:rsidRDefault="00D75365" w:rsidP="000D1F6B">
      <w:pPr>
        <w:spacing w:line="480" w:lineRule="auto"/>
        <w:rPr>
          <w:b/>
          <w:bCs/>
          <w:color w:val="000000" w:themeColor="text1"/>
        </w:rPr>
      </w:pPr>
      <w:r>
        <w:rPr>
          <w:color w:val="000000" w:themeColor="text1"/>
        </w:rPr>
        <w:t>We declare that we have no conflicts of interest.</w:t>
      </w:r>
      <w:r w:rsidR="002B47B7">
        <w:rPr>
          <w:b/>
          <w:bCs/>
          <w:color w:val="000000" w:themeColor="text1"/>
        </w:rPr>
        <w:br w:type="page"/>
      </w:r>
    </w:p>
    <w:p w14:paraId="0CD3778F" w14:textId="5CFA1937" w:rsidR="002B47B7" w:rsidRPr="008D0AD7" w:rsidRDefault="002B47B7" w:rsidP="002B47B7">
      <w:pPr>
        <w:spacing w:line="360" w:lineRule="auto"/>
        <w:rPr>
          <w:b/>
          <w:bCs/>
          <w:color w:val="000000" w:themeColor="text1"/>
        </w:rPr>
      </w:pPr>
      <w:r w:rsidRPr="008D0AD7">
        <w:rPr>
          <w:b/>
          <w:bCs/>
          <w:color w:val="000000" w:themeColor="text1"/>
        </w:rPr>
        <w:lastRenderedPageBreak/>
        <w:t xml:space="preserve">References </w:t>
      </w:r>
    </w:p>
    <w:p w14:paraId="45BC6BC0" w14:textId="77777777" w:rsidR="0027601C" w:rsidRPr="00AD405C" w:rsidRDefault="004C4969" w:rsidP="000D1F6B">
      <w:pPr>
        <w:pStyle w:val="Bibliography"/>
      </w:pPr>
      <w:r>
        <w:rPr>
          <w:b/>
          <w:bCs/>
          <w:color w:val="000000" w:themeColor="text1"/>
        </w:rPr>
        <w:fldChar w:fldCharType="begin"/>
      </w:r>
      <w:r w:rsidR="0027601C">
        <w:rPr>
          <w:b/>
          <w:bCs/>
          <w:color w:val="000000" w:themeColor="text1"/>
        </w:rPr>
        <w:instrText xml:space="preserve"> ADDIN ZOTERO_BIBL {"uncited":[],"omitted":[],"custom":[]} CSL_BIBLIOGRAPHY </w:instrText>
      </w:r>
      <w:r>
        <w:rPr>
          <w:b/>
          <w:bCs/>
          <w:color w:val="000000" w:themeColor="text1"/>
        </w:rPr>
        <w:fldChar w:fldCharType="separate"/>
      </w:r>
      <w:r w:rsidR="0027601C" w:rsidRPr="0027601C">
        <w:t>1</w:t>
      </w:r>
      <w:r w:rsidR="0027601C" w:rsidRPr="0027601C">
        <w:tab/>
        <w:t xml:space="preserve">Klein EY, Van Boeckel TP, Martinez EM, </w:t>
      </w:r>
      <w:r w:rsidR="0027601C" w:rsidRPr="0027601C">
        <w:rPr>
          <w:i/>
          <w:iCs/>
        </w:rPr>
        <w:t>et al.</w:t>
      </w:r>
      <w:r w:rsidR="0027601C" w:rsidRPr="0027601C">
        <w:t xml:space="preserve"> Global increase and geographic convergence in antibiotic consumption between 2000 and 2015. </w:t>
      </w:r>
      <w:r w:rsidR="0027601C" w:rsidRPr="00AD405C">
        <w:rPr>
          <w:i/>
          <w:iCs/>
        </w:rPr>
        <w:t>Proceedings of the National Academy of Sciences</w:t>
      </w:r>
      <w:r w:rsidR="0027601C" w:rsidRPr="00AD405C">
        <w:t xml:space="preserve"> 2018; </w:t>
      </w:r>
      <w:r w:rsidR="0027601C" w:rsidRPr="00AD405C">
        <w:rPr>
          <w:b/>
          <w:bCs/>
        </w:rPr>
        <w:t>115</w:t>
      </w:r>
      <w:r w:rsidR="0027601C" w:rsidRPr="00AD405C">
        <w:t>: E3463–70.</w:t>
      </w:r>
    </w:p>
    <w:p w14:paraId="687E8987" w14:textId="77777777" w:rsidR="0027601C" w:rsidRPr="00AD405C" w:rsidRDefault="0027601C" w:rsidP="000D1F6B">
      <w:pPr>
        <w:pStyle w:val="Bibliography"/>
      </w:pPr>
      <w:r w:rsidRPr="00AD405C">
        <w:t>2</w:t>
      </w:r>
      <w:r w:rsidRPr="00AD405C">
        <w:tab/>
        <w:t>Organization WH. World Health Organization model list of essential medicines: 21st list 2019. World Health Organization, 2019.</w:t>
      </w:r>
    </w:p>
    <w:p w14:paraId="596EE5A5" w14:textId="77777777" w:rsidR="0027601C" w:rsidRPr="000D1F6B" w:rsidRDefault="0027601C" w:rsidP="000D1F6B">
      <w:pPr>
        <w:pStyle w:val="Bibliography"/>
      </w:pPr>
      <w:r w:rsidRPr="00AD405C">
        <w:t>3</w:t>
      </w:r>
      <w:r w:rsidRPr="00AD405C">
        <w:tab/>
        <w:t xml:space="preserve">McGettigan P, Roderick P, Kadam A, Pollock AM. Access, Watch, and Reserve antibiotics in India: challenges for WHO stewardship. </w:t>
      </w:r>
      <w:r w:rsidRPr="00AD405C">
        <w:rPr>
          <w:i/>
          <w:iCs/>
        </w:rPr>
        <w:t>The Lancet Global Health</w:t>
      </w:r>
      <w:r w:rsidRPr="003D747F">
        <w:t xml:space="preserve"> 2017; </w:t>
      </w:r>
      <w:r w:rsidRPr="003D747F">
        <w:rPr>
          <w:b/>
          <w:bCs/>
        </w:rPr>
        <w:t>5</w:t>
      </w:r>
      <w:r w:rsidRPr="000D1F6B">
        <w:t>: e1075–6.</w:t>
      </w:r>
    </w:p>
    <w:p w14:paraId="0E6CD079" w14:textId="77777777" w:rsidR="0027601C" w:rsidRPr="000D1F6B" w:rsidRDefault="0027601C" w:rsidP="000D1F6B">
      <w:pPr>
        <w:pStyle w:val="Bibliography"/>
      </w:pPr>
      <w:r w:rsidRPr="000D1F6B">
        <w:t>4</w:t>
      </w:r>
      <w:r w:rsidRPr="000D1F6B">
        <w:tab/>
        <w:t xml:space="preserve">Hsia Y, Sharland M, Jackson C, Wong ICK, Magrini N, Bielicki JA. Consumption of oral antibiotic formulations for young children according to the WHO Access, Watch, Reserve (AWaRe) antibiotic groups: an analysis of sales data from 70 middle-income and high-income countries. </w:t>
      </w:r>
      <w:r w:rsidRPr="000D1F6B">
        <w:rPr>
          <w:i/>
          <w:iCs/>
        </w:rPr>
        <w:t>The Lancet Infectious Diseases</w:t>
      </w:r>
      <w:r w:rsidRPr="000D1F6B">
        <w:t xml:space="preserve"> 2019; </w:t>
      </w:r>
      <w:r w:rsidRPr="000D1F6B">
        <w:rPr>
          <w:b/>
          <w:bCs/>
        </w:rPr>
        <w:t>19</w:t>
      </w:r>
      <w:r w:rsidRPr="000D1F6B">
        <w:t>: 67–75.</w:t>
      </w:r>
    </w:p>
    <w:p w14:paraId="7F866A26" w14:textId="77777777" w:rsidR="0027601C" w:rsidRPr="000D1F6B" w:rsidRDefault="0027601C" w:rsidP="000D1F6B">
      <w:pPr>
        <w:pStyle w:val="Bibliography"/>
      </w:pPr>
      <w:r w:rsidRPr="000D1F6B">
        <w:t>5</w:t>
      </w:r>
      <w:r w:rsidRPr="000D1F6B">
        <w:tab/>
        <w:t xml:space="preserve">Malik F, Figueras A. Analysis of the Antimicrobial Market in Pakistan: Is It Really Necessary Such a Vast Offering of “Watch” Antimicrobials? </w:t>
      </w:r>
      <w:r w:rsidRPr="000D1F6B">
        <w:rPr>
          <w:i/>
          <w:iCs/>
        </w:rPr>
        <w:t>Antibiotics</w:t>
      </w:r>
      <w:r w:rsidRPr="000D1F6B">
        <w:t xml:space="preserve"> 2019; </w:t>
      </w:r>
      <w:r w:rsidRPr="000D1F6B">
        <w:rPr>
          <w:b/>
          <w:bCs/>
        </w:rPr>
        <w:t>8</w:t>
      </w:r>
      <w:r w:rsidRPr="000D1F6B">
        <w:t>: 189.</w:t>
      </w:r>
    </w:p>
    <w:p w14:paraId="62A33CD9" w14:textId="77777777" w:rsidR="0027601C" w:rsidRPr="000D1F6B" w:rsidRDefault="0027601C" w:rsidP="000D1F6B">
      <w:pPr>
        <w:pStyle w:val="Bibliography"/>
      </w:pPr>
      <w:r w:rsidRPr="000D1F6B">
        <w:t>6</w:t>
      </w:r>
      <w:r w:rsidRPr="000D1F6B">
        <w:tab/>
        <w:t xml:space="preserve">Schweickert B, Feig M, Schneider M, </w:t>
      </w:r>
      <w:r w:rsidRPr="000D1F6B">
        <w:rPr>
          <w:i/>
          <w:iCs/>
        </w:rPr>
        <w:t>et al.</w:t>
      </w:r>
      <w:r w:rsidRPr="000D1F6B">
        <w:t xml:space="preserve"> Antibiotic consumption in Germany: first data of a newly implemented web-based tool for local and national surveillance. </w:t>
      </w:r>
      <w:r w:rsidRPr="000D1F6B">
        <w:rPr>
          <w:i/>
          <w:iCs/>
        </w:rPr>
        <w:t>Journal of Antimicrobial Chemotherapy</w:t>
      </w:r>
      <w:r w:rsidRPr="000D1F6B">
        <w:t xml:space="preserve"> 2018; published online Sept 17. DOI:10.1093/jac/dky345.</w:t>
      </w:r>
    </w:p>
    <w:p w14:paraId="2B623337" w14:textId="77777777" w:rsidR="0027601C" w:rsidRPr="000D1F6B" w:rsidRDefault="0027601C" w:rsidP="000D1F6B">
      <w:pPr>
        <w:pStyle w:val="Bibliography"/>
      </w:pPr>
      <w:r w:rsidRPr="000D1F6B">
        <w:t>7</w:t>
      </w:r>
      <w:r w:rsidRPr="000D1F6B">
        <w:tab/>
        <w:t xml:space="preserve">Hsia Y, Lee BR, Versporten A, </w:t>
      </w:r>
      <w:r w:rsidRPr="000D1F6B">
        <w:rPr>
          <w:i/>
          <w:iCs/>
        </w:rPr>
        <w:t>et al.</w:t>
      </w:r>
      <w:r w:rsidRPr="000D1F6B">
        <w:t xml:space="preserve"> Use of the WHO Access, Watch, and Reserve classification to define patterns of hospital antibiotic use (AWaRe): an analysis of paediatric survey data from 56 countries. </w:t>
      </w:r>
      <w:r w:rsidRPr="000D1F6B">
        <w:rPr>
          <w:i/>
          <w:iCs/>
        </w:rPr>
        <w:t>The Lancet Global Health</w:t>
      </w:r>
      <w:r w:rsidRPr="000D1F6B">
        <w:t xml:space="preserve"> 2019; </w:t>
      </w:r>
      <w:r w:rsidRPr="000D1F6B">
        <w:rPr>
          <w:b/>
          <w:bCs/>
        </w:rPr>
        <w:t>7</w:t>
      </w:r>
      <w:r w:rsidRPr="000D1F6B">
        <w:t>: e861–71.</w:t>
      </w:r>
    </w:p>
    <w:p w14:paraId="71538B69" w14:textId="77777777" w:rsidR="0027601C" w:rsidRPr="000D1F6B" w:rsidRDefault="0027601C" w:rsidP="000D1F6B">
      <w:pPr>
        <w:pStyle w:val="Bibliography"/>
      </w:pPr>
      <w:r w:rsidRPr="000D1F6B">
        <w:t>8</w:t>
      </w:r>
      <w:r w:rsidRPr="000D1F6B">
        <w:tab/>
        <w:t xml:space="preserve">Skarpeid P, Høye S. Phenoxymethylpenicillin Versus Amoxicillin for Infections in Ambulatory Care: A Systematic Review. </w:t>
      </w:r>
      <w:r w:rsidRPr="000D1F6B">
        <w:rPr>
          <w:i/>
          <w:iCs/>
        </w:rPr>
        <w:t>Antibiotics</w:t>
      </w:r>
      <w:r w:rsidRPr="000D1F6B">
        <w:t xml:space="preserve"> 2018; </w:t>
      </w:r>
      <w:r w:rsidRPr="000D1F6B">
        <w:rPr>
          <w:b/>
          <w:bCs/>
        </w:rPr>
        <w:t>7</w:t>
      </w:r>
      <w:r w:rsidRPr="000D1F6B">
        <w:t>: 81.</w:t>
      </w:r>
    </w:p>
    <w:p w14:paraId="2D183175" w14:textId="77777777" w:rsidR="0027601C" w:rsidRPr="000D1F6B" w:rsidRDefault="0027601C" w:rsidP="000D1F6B">
      <w:pPr>
        <w:pStyle w:val="Bibliography"/>
      </w:pPr>
      <w:r w:rsidRPr="000D1F6B">
        <w:t>9</w:t>
      </w:r>
      <w:r w:rsidRPr="000D1F6B">
        <w:tab/>
        <w:t xml:space="preserve">Shapiro DJ, Hicks LA, Pavia AT, Hersh AL. Antibiotic prescribing for adults in ambulatory care in the USA, 2007–09. </w:t>
      </w:r>
      <w:r w:rsidRPr="000D1F6B">
        <w:rPr>
          <w:i/>
          <w:iCs/>
        </w:rPr>
        <w:t>Journal of Antimicrobial Chemotherapy</w:t>
      </w:r>
      <w:r w:rsidRPr="000D1F6B">
        <w:t xml:space="preserve"> 2014; </w:t>
      </w:r>
      <w:r w:rsidRPr="000D1F6B">
        <w:rPr>
          <w:b/>
          <w:bCs/>
        </w:rPr>
        <w:t>69</w:t>
      </w:r>
      <w:r w:rsidRPr="000D1F6B">
        <w:t>: 234–40.</w:t>
      </w:r>
    </w:p>
    <w:p w14:paraId="142E2827" w14:textId="77777777" w:rsidR="0027601C" w:rsidRPr="000D1F6B" w:rsidRDefault="0027601C" w:rsidP="000D1F6B">
      <w:pPr>
        <w:pStyle w:val="Bibliography"/>
      </w:pPr>
      <w:r w:rsidRPr="000D1F6B">
        <w:t>10</w:t>
      </w:r>
      <w:r w:rsidRPr="000D1F6B">
        <w:tab/>
        <w:t xml:space="preserve">Zoorob R, Sidani MA, Fremont RD, Kihlberg C. Antibiotic use in acute upper respiratory tract infections. </w:t>
      </w:r>
      <w:r w:rsidRPr="000D1F6B">
        <w:rPr>
          <w:i/>
          <w:iCs/>
        </w:rPr>
        <w:t>Am Fam Physician</w:t>
      </w:r>
      <w:r w:rsidRPr="000D1F6B">
        <w:t xml:space="preserve"> 2012; </w:t>
      </w:r>
      <w:r w:rsidRPr="000D1F6B">
        <w:rPr>
          <w:b/>
          <w:bCs/>
        </w:rPr>
        <w:t>86</w:t>
      </w:r>
      <w:r w:rsidRPr="000D1F6B">
        <w:t>: 817–22.</w:t>
      </w:r>
    </w:p>
    <w:p w14:paraId="49C7210E" w14:textId="77777777" w:rsidR="0027601C" w:rsidRPr="000D1F6B" w:rsidRDefault="0027601C" w:rsidP="000D1F6B">
      <w:pPr>
        <w:pStyle w:val="Bibliography"/>
      </w:pPr>
      <w:r w:rsidRPr="000D1F6B">
        <w:t>11</w:t>
      </w:r>
      <w:r w:rsidRPr="000D1F6B">
        <w:tab/>
        <w:t>South Africa National Department of Health. Surveillance for antimicrobial resistance and consumption of antibiotics in South Africa. 2018 http://www.health.gov.za/index.php/antimicrobial-resistance?download=3374:surveillance-for-antimicrobial-resistance-and-consumption-of-antibiotics-in-south-africa.</w:t>
      </w:r>
    </w:p>
    <w:p w14:paraId="774BFB76" w14:textId="77777777" w:rsidR="0027601C" w:rsidRPr="000D1F6B" w:rsidRDefault="0027601C" w:rsidP="000D1F6B">
      <w:pPr>
        <w:pStyle w:val="Bibliography"/>
      </w:pPr>
      <w:r w:rsidRPr="000D1F6B">
        <w:t>12</w:t>
      </w:r>
      <w:r w:rsidRPr="000D1F6B">
        <w:tab/>
        <w:t xml:space="preserve">Dong H, Bogg L, Rehnberg C, Diwan V. Health financing policies. Providers’ opinions and prescribing behavior in rural China. </w:t>
      </w:r>
      <w:r w:rsidRPr="000D1F6B">
        <w:rPr>
          <w:i/>
          <w:iCs/>
        </w:rPr>
        <w:t>Int J Technol Assess Health Care</w:t>
      </w:r>
      <w:r w:rsidRPr="000D1F6B">
        <w:t xml:space="preserve"> 1999; </w:t>
      </w:r>
      <w:r w:rsidRPr="000D1F6B">
        <w:rPr>
          <w:b/>
          <w:bCs/>
        </w:rPr>
        <w:t>15</w:t>
      </w:r>
      <w:r w:rsidRPr="000D1F6B">
        <w:t>: 686–98.</w:t>
      </w:r>
    </w:p>
    <w:p w14:paraId="38FAD4DB" w14:textId="77777777" w:rsidR="0027601C" w:rsidRPr="000D1F6B" w:rsidRDefault="0027601C" w:rsidP="000D1F6B">
      <w:pPr>
        <w:pStyle w:val="Bibliography"/>
      </w:pPr>
      <w:r w:rsidRPr="000D1F6B">
        <w:t>13</w:t>
      </w:r>
      <w:r w:rsidRPr="000D1F6B">
        <w:tab/>
        <w:t xml:space="preserve">Gebretekle GB, Haile Mariam D, Abebe W, </w:t>
      </w:r>
      <w:r w:rsidRPr="000D1F6B">
        <w:rPr>
          <w:i/>
          <w:iCs/>
        </w:rPr>
        <w:t>et al.</w:t>
      </w:r>
      <w:r w:rsidRPr="000D1F6B">
        <w:t xml:space="preserve"> Opportunities and barriers to implementing antibiotic stewardship in low and middle-income countries: Lessons from a mixed-methods study in a tertiary care hospital in Ethiopia. </w:t>
      </w:r>
      <w:r w:rsidRPr="000D1F6B">
        <w:rPr>
          <w:i/>
          <w:iCs/>
        </w:rPr>
        <w:t>PLoS ONE</w:t>
      </w:r>
      <w:r w:rsidRPr="000D1F6B">
        <w:t xml:space="preserve"> 2018; </w:t>
      </w:r>
      <w:r w:rsidRPr="000D1F6B">
        <w:rPr>
          <w:b/>
          <w:bCs/>
        </w:rPr>
        <w:t>13</w:t>
      </w:r>
      <w:r w:rsidRPr="000D1F6B">
        <w:t>: e0208447.</w:t>
      </w:r>
    </w:p>
    <w:p w14:paraId="09C49A1F" w14:textId="77777777" w:rsidR="0027601C" w:rsidRPr="000D1F6B" w:rsidRDefault="0027601C" w:rsidP="000D1F6B">
      <w:pPr>
        <w:pStyle w:val="Bibliography"/>
      </w:pPr>
      <w:r w:rsidRPr="000D1F6B">
        <w:lastRenderedPageBreak/>
        <w:t>14</w:t>
      </w:r>
      <w:r w:rsidRPr="000D1F6B">
        <w:tab/>
        <w:t xml:space="preserve">Dooling K, Kandeel A, Hicks L, </w:t>
      </w:r>
      <w:r w:rsidRPr="000D1F6B">
        <w:rPr>
          <w:i/>
          <w:iCs/>
        </w:rPr>
        <w:t>et al.</w:t>
      </w:r>
      <w:r w:rsidRPr="000D1F6B">
        <w:t xml:space="preserve"> Understanding Antibiotic Use in Minya District, Egypt: Physician and Pharmacist Prescribing and the Factors Influencing Their Practices. </w:t>
      </w:r>
      <w:r w:rsidRPr="000D1F6B">
        <w:rPr>
          <w:i/>
          <w:iCs/>
        </w:rPr>
        <w:t>Antibiotics</w:t>
      </w:r>
      <w:r w:rsidRPr="000D1F6B">
        <w:t xml:space="preserve"> 2014; </w:t>
      </w:r>
      <w:r w:rsidRPr="000D1F6B">
        <w:rPr>
          <w:b/>
          <w:bCs/>
        </w:rPr>
        <w:t>3</w:t>
      </w:r>
      <w:r w:rsidRPr="000D1F6B">
        <w:t>: 233–43.</w:t>
      </w:r>
    </w:p>
    <w:p w14:paraId="56595274" w14:textId="77777777" w:rsidR="0027601C" w:rsidRPr="000D1F6B" w:rsidRDefault="0027601C" w:rsidP="000D1F6B">
      <w:pPr>
        <w:pStyle w:val="Bibliography"/>
      </w:pPr>
      <w:r w:rsidRPr="000D1F6B">
        <w:t>15</w:t>
      </w:r>
      <w:r w:rsidRPr="000D1F6B">
        <w:tab/>
        <w:t xml:space="preserve">Mendelson M, Røttingen J-A, Gopinathan U, </w:t>
      </w:r>
      <w:r w:rsidRPr="000D1F6B">
        <w:rPr>
          <w:i/>
          <w:iCs/>
        </w:rPr>
        <w:t>et al.</w:t>
      </w:r>
      <w:r w:rsidRPr="000D1F6B">
        <w:t xml:space="preserve"> Maximising access to achieve appropriate human antimicrobial use in low-income and middle-income countries. </w:t>
      </w:r>
      <w:r w:rsidRPr="000D1F6B">
        <w:rPr>
          <w:i/>
          <w:iCs/>
        </w:rPr>
        <w:t>The Lancet</w:t>
      </w:r>
      <w:r w:rsidRPr="000D1F6B">
        <w:t xml:space="preserve"> 2016; </w:t>
      </w:r>
      <w:r w:rsidRPr="000D1F6B">
        <w:rPr>
          <w:b/>
          <w:bCs/>
        </w:rPr>
        <w:t>387</w:t>
      </w:r>
      <w:r w:rsidRPr="000D1F6B">
        <w:t>: 188–98.</w:t>
      </w:r>
    </w:p>
    <w:p w14:paraId="3BBD1903" w14:textId="77777777" w:rsidR="0027601C" w:rsidRPr="000D1F6B" w:rsidRDefault="0027601C" w:rsidP="000D1F6B">
      <w:pPr>
        <w:pStyle w:val="Bibliography"/>
      </w:pPr>
      <w:r w:rsidRPr="000D1F6B">
        <w:t>16</w:t>
      </w:r>
      <w:r w:rsidRPr="000D1F6B">
        <w:tab/>
        <w:t xml:space="preserve">Adrizain R, Setiabudi D, Chairulfatah A. The inappropriate use of antibiotics in hospitalized dengue virus-infected children with presumed concurrent bacterial infection in teaching and private hospitals in Bandung, Indonesia. </w:t>
      </w:r>
      <w:r w:rsidRPr="000D1F6B">
        <w:rPr>
          <w:i/>
          <w:iCs/>
        </w:rPr>
        <w:t>PLoS Negl Trop Dis</w:t>
      </w:r>
      <w:r w:rsidRPr="000D1F6B">
        <w:t xml:space="preserve"> 2019; </w:t>
      </w:r>
      <w:r w:rsidRPr="000D1F6B">
        <w:rPr>
          <w:b/>
          <w:bCs/>
        </w:rPr>
        <w:t>13</w:t>
      </w:r>
      <w:r w:rsidRPr="000D1F6B">
        <w:t>: e0007438.</w:t>
      </w:r>
    </w:p>
    <w:p w14:paraId="60755F01" w14:textId="77777777" w:rsidR="0027601C" w:rsidRPr="000D1F6B" w:rsidRDefault="0027601C" w:rsidP="000D1F6B">
      <w:pPr>
        <w:pStyle w:val="Bibliography"/>
      </w:pPr>
      <w:r w:rsidRPr="000D1F6B">
        <w:t>17</w:t>
      </w:r>
      <w:r w:rsidRPr="000D1F6B">
        <w:tab/>
        <w:t xml:space="preserve">Ayukekbong JA, Ntemgwa M, Atabe AN. The threat of antimicrobial resistance in developing countries: causes and control strategies. </w:t>
      </w:r>
      <w:r w:rsidRPr="000D1F6B">
        <w:rPr>
          <w:i/>
          <w:iCs/>
        </w:rPr>
        <w:t>Antimicrob Resist Infect Control</w:t>
      </w:r>
      <w:r w:rsidRPr="000D1F6B">
        <w:t xml:space="preserve"> 2017; </w:t>
      </w:r>
      <w:r w:rsidRPr="000D1F6B">
        <w:rPr>
          <w:b/>
          <w:bCs/>
        </w:rPr>
        <w:t>6</w:t>
      </w:r>
      <w:r w:rsidRPr="000D1F6B">
        <w:t>: 47.</w:t>
      </w:r>
    </w:p>
    <w:p w14:paraId="11CA9E2E" w14:textId="77777777" w:rsidR="0027601C" w:rsidRPr="000D1F6B" w:rsidRDefault="0027601C" w:rsidP="000D1F6B">
      <w:pPr>
        <w:pStyle w:val="Bibliography"/>
      </w:pPr>
      <w:r w:rsidRPr="000D1F6B">
        <w:t>18</w:t>
      </w:r>
      <w:r w:rsidRPr="000D1F6B">
        <w:tab/>
        <w:t xml:space="preserve">Klein EY, Tseng KK, Pant S, Laxminarayan R. Tracking global trends in the effectiveness of antibiotic therapy using the Drug Resistance Index. </w:t>
      </w:r>
      <w:r w:rsidRPr="000D1F6B">
        <w:rPr>
          <w:i/>
          <w:iCs/>
        </w:rPr>
        <w:t>BMJ Glob Health</w:t>
      </w:r>
      <w:r w:rsidRPr="000D1F6B">
        <w:t xml:space="preserve"> 2019; </w:t>
      </w:r>
      <w:r w:rsidRPr="000D1F6B">
        <w:rPr>
          <w:b/>
          <w:bCs/>
        </w:rPr>
        <w:t>4</w:t>
      </w:r>
      <w:r w:rsidRPr="000D1F6B">
        <w:t>: e001315.</w:t>
      </w:r>
    </w:p>
    <w:p w14:paraId="25230502" w14:textId="77777777" w:rsidR="0027601C" w:rsidRPr="000D1F6B" w:rsidRDefault="0027601C" w:rsidP="000D1F6B">
      <w:pPr>
        <w:pStyle w:val="Bibliography"/>
      </w:pPr>
      <w:r w:rsidRPr="000D1F6B">
        <w:t>19</w:t>
      </w:r>
      <w:r w:rsidRPr="000D1F6B">
        <w:tab/>
        <w:t xml:space="preserve">Goossens H, Ferech M, Coenen S, Stephens P, European Surveillance of Antimicrobial Consumption Project Group. Comparison of Outpatient Systemic Antibacterial Use in 2004 in the United States and 27 European Countries. </w:t>
      </w:r>
      <w:r w:rsidRPr="000D1F6B">
        <w:rPr>
          <w:i/>
          <w:iCs/>
        </w:rPr>
        <w:t>Clinical Infectious Diseases</w:t>
      </w:r>
      <w:r w:rsidRPr="000D1F6B">
        <w:t xml:space="preserve"> 2007; </w:t>
      </w:r>
      <w:r w:rsidRPr="000D1F6B">
        <w:rPr>
          <w:b/>
          <w:bCs/>
        </w:rPr>
        <w:t>44</w:t>
      </w:r>
      <w:r w:rsidRPr="000D1F6B">
        <w:t>: 1091–5.</w:t>
      </w:r>
    </w:p>
    <w:p w14:paraId="4B83DD57" w14:textId="77777777" w:rsidR="0027601C" w:rsidRPr="000D1F6B" w:rsidRDefault="0027601C" w:rsidP="000D1F6B">
      <w:pPr>
        <w:pStyle w:val="Bibliography"/>
      </w:pPr>
      <w:r w:rsidRPr="000D1F6B">
        <w:t>20</w:t>
      </w:r>
      <w:r w:rsidRPr="000D1F6B">
        <w:tab/>
        <w:t xml:space="preserve">Muraki Y, Yagi T, Tsuji Y, </w:t>
      </w:r>
      <w:r w:rsidRPr="000D1F6B">
        <w:rPr>
          <w:i/>
          <w:iCs/>
        </w:rPr>
        <w:t>et al.</w:t>
      </w:r>
      <w:r w:rsidRPr="000D1F6B">
        <w:t xml:space="preserve"> Japanese antimicrobial consumption surveillance: First report on oral and parenteral antimicrobial consumption in Japan (2009–2013). </w:t>
      </w:r>
      <w:r w:rsidRPr="000D1F6B">
        <w:rPr>
          <w:i/>
          <w:iCs/>
        </w:rPr>
        <w:t>Journal of Global Antimicrobial Resistance</w:t>
      </w:r>
      <w:r w:rsidRPr="000D1F6B">
        <w:t xml:space="preserve"> 2016; </w:t>
      </w:r>
      <w:r w:rsidRPr="000D1F6B">
        <w:rPr>
          <w:b/>
          <w:bCs/>
        </w:rPr>
        <w:t>7</w:t>
      </w:r>
      <w:r w:rsidRPr="000D1F6B">
        <w:t>: 19–23.</w:t>
      </w:r>
    </w:p>
    <w:p w14:paraId="1CCF349D" w14:textId="77777777" w:rsidR="0027601C" w:rsidRPr="000D1F6B" w:rsidRDefault="0027601C" w:rsidP="000D1F6B">
      <w:pPr>
        <w:pStyle w:val="Bibliography"/>
      </w:pPr>
      <w:r w:rsidRPr="000D1F6B">
        <w:t>21</w:t>
      </w:r>
      <w:r w:rsidRPr="000D1F6B">
        <w:tab/>
        <w:t xml:space="preserve">Trinh NTH, Bruckner TA, Lemaitre M, </w:t>
      </w:r>
      <w:r w:rsidRPr="000D1F6B">
        <w:rPr>
          <w:i/>
          <w:iCs/>
        </w:rPr>
        <w:t>et al.</w:t>
      </w:r>
      <w:r w:rsidRPr="000D1F6B">
        <w:t xml:space="preserve"> Association between National Treatment Guidelines for Upper Respiratory Tract Infections and Outpatient Pediatric Antibiotic Use in France: An Interrupted Time–Series Analysis. </w:t>
      </w:r>
      <w:r w:rsidRPr="000D1F6B">
        <w:rPr>
          <w:i/>
          <w:iCs/>
        </w:rPr>
        <w:t>The Journal of Pediatrics</w:t>
      </w:r>
      <w:r w:rsidRPr="000D1F6B">
        <w:t xml:space="preserve"> 2019; published online Oct 11. DOI:10.1016/j.jpeds.2019.09.017.</w:t>
      </w:r>
    </w:p>
    <w:p w14:paraId="542234FD" w14:textId="77777777" w:rsidR="0027601C" w:rsidRPr="000D1F6B" w:rsidRDefault="0027601C" w:rsidP="000D1F6B">
      <w:pPr>
        <w:pStyle w:val="Bibliography"/>
      </w:pPr>
      <w:r w:rsidRPr="000D1F6B">
        <w:t>22</w:t>
      </w:r>
      <w:r w:rsidRPr="000D1F6B">
        <w:tab/>
        <w:t xml:space="preserve">Tebano G, Li G, Beovic B, </w:t>
      </w:r>
      <w:r w:rsidRPr="000D1F6B">
        <w:rPr>
          <w:i/>
          <w:iCs/>
        </w:rPr>
        <w:t>et al.</w:t>
      </w:r>
      <w:r w:rsidRPr="000D1F6B">
        <w:t xml:space="preserve"> Essential and forgotten antibiotics: An inventory in low- and middle-income countries. </w:t>
      </w:r>
      <w:r w:rsidRPr="000D1F6B">
        <w:rPr>
          <w:i/>
          <w:iCs/>
        </w:rPr>
        <w:t>International Journal of Antimicrobial Agents</w:t>
      </w:r>
      <w:r w:rsidRPr="000D1F6B">
        <w:t xml:space="preserve"> 2019; </w:t>
      </w:r>
      <w:r w:rsidRPr="000D1F6B">
        <w:rPr>
          <w:b/>
          <w:bCs/>
        </w:rPr>
        <w:t>54</w:t>
      </w:r>
      <w:r w:rsidRPr="000D1F6B">
        <w:t>: 273–82.</w:t>
      </w:r>
    </w:p>
    <w:p w14:paraId="3F57B277" w14:textId="77777777" w:rsidR="0027601C" w:rsidRPr="000D1F6B" w:rsidRDefault="0027601C" w:rsidP="000D1F6B">
      <w:pPr>
        <w:pStyle w:val="Bibliography"/>
      </w:pPr>
      <w:r w:rsidRPr="000D1F6B">
        <w:t>23</w:t>
      </w:r>
      <w:r w:rsidRPr="000D1F6B">
        <w:tab/>
        <w:t>Isabel Frost, Jessica Craig, Jyoti Joshi, Kim Faure, Ramanan Laxminarayan. Access Barriers to Antibiotics. Washington, DC: Center for Disease Dynamics, Economics &amp; Policy, 2019.</w:t>
      </w:r>
    </w:p>
    <w:p w14:paraId="22664FEE" w14:textId="77777777" w:rsidR="0027601C" w:rsidRPr="000D1F6B" w:rsidRDefault="0027601C" w:rsidP="000D1F6B">
      <w:pPr>
        <w:pStyle w:val="Bibliography"/>
      </w:pPr>
      <w:r w:rsidRPr="000D1F6B">
        <w:t>24</w:t>
      </w:r>
      <w:r w:rsidRPr="000D1F6B">
        <w:tab/>
        <w:t>Health Action International. Medicine Prices, Availability, Affordability &amp; Price Components Database. 2011. https://haiweb.org/what-we-do/price-availability-affordability/price-availability-data/ (accessed Nov 11, 2019).</w:t>
      </w:r>
    </w:p>
    <w:p w14:paraId="4A1528FD" w14:textId="77777777" w:rsidR="0027601C" w:rsidRPr="000D1F6B" w:rsidRDefault="0027601C" w:rsidP="000D1F6B">
      <w:pPr>
        <w:pStyle w:val="Bibliography"/>
      </w:pPr>
      <w:r w:rsidRPr="000D1F6B">
        <w:t>25</w:t>
      </w:r>
      <w:r w:rsidRPr="000D1F6B">
        <w:tab/>
        <w:t xml:space="preserve">Kotwani A, Joshi P, Jhamb U, Holloway K. Prescriber and dispenser perceptions about antibiotic use in acute uncomplicated childhood diarrhea and upper respiratory tract infection in New Delhi: Qualitative study. </w:t>
      </w:r>
      <w:r w:rsidRPr="000D1F6B">
        <w:rPr>
          <w:i/>
          <w:iCs/>
        </w:rPr>
        <w:t>Indian J Pharmacol</w:t>
      </w:r>
      <w:r w:rsidRPr="000D1F6B">
        <w:t xml:space="preserve"> 2017; </w:t>
      </w:r>
      <w:r w:rsidRPr="000D1F6B">
        <w:rPr>
          <w:b/>
          <w:bCs/>
        </w:rPr>
        <w:t>49</w:t>
      </w:r>
      <w:r w:rsidRPr="000D1F6B">
        <w:t>: 419.</w:t>
      </w:r>
    </w:p>
    <w:p w14:paraId="28D24F59" w14:textId="77777777" w:rsidR="0027601C" w:rsidRPr="000D1F6B" w:rsidRDefault="0027601C" w:rsidP="000D1F6B">
      <w:pPr>
        <w:pStyle w:val="Bibliography"/>
      </w:pPr>
      <w:r w:rsidRPr="000D1F6B">
        <w:t>26</w:t>
      </w:r>
      <w:r w:rsidRPr="000D1F6B">
        <w:tab/>
        <w:t>World Health Organization. Monitoring and evaluation of the global action plan on antimicrobial resistance: framework and recommended indicators. 2019.</w:t>
      </w:r>
    </w:p>
    <w:p w14:paraId="273AD037" w14:textId="77777777" w:rsidR="0027601C" w:rsidRPr="000D1F6B" w:rsidRDefault="0027601C" w:rsidP="000D1F6B">
      <w:pPr>
        <w:pStyle w:val="Bibliography"/>
      </w:pPr>
      <w:r w:rsidRPr="000D1F6B">
        <w:lastRenderedPageBreak/>
        <w:t>27</w:t>
      </w:r>
      <w:r w:rsidRPr="000D1F6B">
        <w:tab/>
        <w:t xml:space="preserve">D’Atri F, Arthur J, Blix HS, </w:t>
      </w:r>
      <w:r w:rsidRPr="000D1F6B">
        <w:rPr>
          <w:i/>
          <w:iCs/>
        </w:rPr>
        <w:t>et al.</w:t>
      </w:r>
      <w:r w:rsidRPr="000D1F6B">
        <w:t xml:space="preserve"> Targets for the reduction of antibiotic use in humans in the Transatlantic Taskforce on Antimicrobial Resistance (TATFAR) partner countries. </w:t>
      </w:r>
      <w:r w:rsidRPr="000D1F6B">
        <w:rPr>
          <w:i/>
          <w:iCs/>
        </w:rPr>
        <w:t>Eurosurveillance</w:t>
      </w:r>
      <w:r w:rsidRPr="000D1F6B">
        <w:t xml:space="preserve"> 2019; </w:t>
      </w:r>
      <w:r w:rsidRPr="000D1F6B">
        <w:rPr>
          <w:b/>
          <w:bCs/>
        </w:rPr>
        <w:t>24</w:t>
      </w:r>
      <w:r w:rsidRPr="000D1F6B">
        <w:t>. DOI:10.2807/1560-7917.ES.2019.24.28.1800339.</w:t>
      </w:r>
    </w:p>
    <w:p w14:paraId="1652A161" w14:textId="77777777" w:rsidR="0027601C" w:rsidRPr="000D1F6B" w:rsidRDefault="0027601C" w:rsidP="000D1F6B">
      <w:pPr>
        <w:pStyle w:val="Bibliography"/>
      </w:pPr>
      <w:r w:rsidRPr="000D1F6B">
        <w:t>28</w:t>
      </w:r>
      <w:r w:rsidRPr="000D1F6B">
        <w:tab/>
        <w:t xml:space="preserve">Howard P, Huttner B, Beovic B, </w:t>
      </w:r>
      <w:r w:rsidRPr="000D1F6B">
        <w:rPr>
          <w:i/>
          <w:iCs/>
        </w:rPr>
        <w:t>et al.</w:t>
      </w:r>
      <w:r w:rsidRPr="000D1F6B">
        <w:t xml:space="preserve"> ESGAP inventory of target indicators assessing antibiotic prescriptions: a cross-sectional survey. </w:t>
      </w:r>
      <w:r w:rsidRPr="000D1F6B">
        <w:rPr>
          <w:i/>
          <w:iCs/>
        </w:rPr>
        <w:t>Journal of Antimicrobial Chemotherapy</w:t>
      </w:r>
      <w:r w:rsidRPr="000D1F6B">
        <w:t xml:space="preserve"> 2017; </w:t>
      </w:r>
      <w:r w:rsidRPr="000D1F6B">
        <w:rPr>
          <w:b/>
          <w:bCs/>
        </w:rPr>
        <w:t>72</w:t>
      </w:r>
      <w:r w:rsidRPr="000D1F6B">
        <w:t>: 2910–4.</w:t>
      </w:r>
    </w:p>
    <w:p w14:paraId="7B05C014" w14:textId="77777777" w:rsidR="0027601C" w:rsidRPr="000D1F6B" w:rsidRDefault="0027601C" w:rsidP="000D1F6B">
      <w:pPr>
        <w:pStyle w:val="Bibliography"/>
      </w:pPr>
      <w:r w:rsidRPr="000D1F6B">
        <w:t>29</w:t>
      </w:r>
      <w:r w:rsidRPr="000D1F6B">
        <w:tab/>
        <w:t xml:space="preserve">Versporten A, Bolokhovets G, Ghazaryan L, </w:t>
      </w:r>
      <w:r w:rsidRPr="000D1F6B">
        <w:rPr>
          <w:i/>
          <w:iCs/>
        </w:rPr>
        <w:t>et al.</w:t>
      </w:r>
      <w:r w:rsidRPr="000D1F6B">
        <w:t xml:space="preserve"> Antibiotic use in Eastern Europe: a cross-national database study in coordination with the WHO Regional Office for Europe. </w:t>
      </w:r>
      <w:r w:rsidRPr="000D1F6B">
        <w:rPr>
          <w:i/>
          <w:iCs/>
        </w:rPr>
        <w:t>The Lancet Infectious Diseases</w:t>
      </w:r>
      <w:r w:rsidRPr="000D1F6B">
        <w:t xml:space="preserve"> 2014; </w:t>
      </w:r>
      <w:r w:rsidRPr="000D1F6B">
        <w:rPr>
          <w:b/>
          <w:bCs/>
        </w:rPr>
        <w:t>14</w:t>
      </w:r>
      <w:r w:rsidRPr="000D1F6B">
        <w:t>: 381–7.</w:t>
      </w:r>
    </w:p>
    <w:p w14:paraId="26A6C829" w14:textId="77777777" w:rsidR="0027601C" w:rsidRPr="000D1F6B" w:rsidRDefault="0027601C" w:rsidP="000D1F6B">
      <w:pPr>
        <w:pStyle w:val="Bibliography"/>
      </w:pPr>
      <w:r w:rsidRPr="000D1F6B">
        <w:t>30</w:t>
      </w:r>
      <w:r w:rsidRPr="000D1F6B">
        <w:tab/>
        <w:t xml:space="preserve">Bruyndonckx R, Hens N, Aerts M, Goossens H, Molenberghs G, Coenen S. Measuring trends of outpatient antibiotic use in Europe: jointly modelling longitudinal data in defined daily doses and packages. </w:t>
      </w:r>
      <w:r w:rsidRPr="000D1F6B">
        <w:rPr>
          <w:i/>
          <w:iCs/>
        </w:rPr>
        <w:t>Journal of Antimicrobial Chemotherapy</w:t>
      </w:r>
      <w:r w:rsidRPr="000D1F6B">
        <w:t xml:space="preserve"> 2014; </w:t>
      </w:r>
      <w:r w:rsidRPr="000D1F6B">
        <w:rPr>
          <w:b/>
          <w:bCs/>
        </w:rPr>
        <w:t>69</w:t>
      </w:r>
      <w:r w:rsidRPr="000D1F6B">
        <w:t>: 1981–6.</w:t>
      </w:r>
    </w:p>
    <w:p w14:paraId="59B84247" w14:textId="7705AFCA" w:rsidR="002B47B7" w:rsidRPr="00EC1100" w:rsidRDefault="004C4969" w:rsidP="000D1F6B">
      <w:pPr>
        <w:spacing w:line="360" w:lineRule="auto"/>
        <w:rPr>
          <w:b/>
          <w:bCs/>
          <w:color w:val="000000" w:themeColor="text1"/>
        </w:rPr>
      </w:pPr>
      <w:r>
        <w:rPr>
          <w:b/>
          <w:bCs/>
          <w:color w:val="000000" w:themeColor="text1"/>
        </w:rPr>
        <w:fldChar w:fldCharType="end"/>
      </w:r>
    </w:p>
    <w:p w14:paraId="70AF1822" w14:textId="77777777" w:rsidR="00C0497E" w:rsidRDefault="00C0497E">
      <w:pPr>
        <w:rPr>
          <w:color w:val="000000" w:themeColor="text1"/>
        </w:rPr>
        <w:sectPr w:rsidR="00C0497E" w:rsidSect="00180CD6">
          <w:pgSz w:w="12240" w:h="15840"/>
          <w:pgMar w:top="1440" w:right="1440" w:bottom="1440" w:left="1440" w:header="720" w:footer="720" w:gutter="0"/>
          <w:cols w:space="720"/>
          <w:docGrid w:linePitch="360"/>
        </w:sectPr>
      </w:pPr>
    </w:p>
    <w:p w14:paraId="7DEF59EB" w14:textId="187C394E" w:rsidR="0019308C" w:rsidRDefault="0019308C">
      <w:pPr>
        <w:rPr>
          <w:color w:val="000000" w:themeColor="text1"/>
        </w:rPr>
      </w:pPr>
    </w:p>
    <w:tbl>
      <w:tblPr>
        <w:tblStyle w:val="PlainTable2"/>
        <w:tblpPr w:leftFromText="180" w:rightFromText="180" w:vertAnchor="text" w:horzAnchor="margin" w:tblpY="-186"/>
        <w:tblW w:w="0" w:type="auto"/>
        <w:tblBorders>
          <w:top w:val="none" w:sz="0" w:space="0" w:color="auto"/>
          <w:bottom w:val="none" w:sz="0" w:space="0" w:color="auto"/>
        </w:tblBorders>
        <w:tblLook w:val="04A0" w:firstRow="1" w:lastRow="0" w:firstColumn="1" w:lastColumn="0" w:noHBand="0" w:noVBand="1"/>
      </w:tblPr>
      <w:tblGrid>
        <w:gridCol w:w="1305"/>
        <w:gridCol w:w="1092"/>
        <w:gridCol w:w="787"/>
        <w:gridCol w:w="962"/>
        <w:gridCol w:w="1031"/>
        <w:gridCol w:w="954"/>
        <w:gridCol w:w="973"/>
        <w:gridCol w:w="786"/>
        <w:gridCol w:w="962"/>
        <w:gridCol w:w="976"/>
        <w:gridCol w:w="972"/>
      </w:tblGrid>
      <w:tr w:rsidR="00B76081" w:rsidRPr="004A6C78" w14:paraId="095F8C29" w14:textId="77777777" w:rsidTr="000D1F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gridSpan w:val="11"/>
            <w:tcBorders>
              <w:bottom w:val="single" w:sz="4" w:space="0" w:color="auto"/>
            </w:tcBorders>
            <w:vAlign w:val="center"/>
          </w:tcPr>
          <w:p w14:paraId="35B8B0B3" w14:textId="2D566E58" w:rsidR="00B76081" w:rsidRPr="00C0497E" w:rsidRDefault="00C0497E" w:rsidP="00B76081">
            <w:pPr>
              <w:rPr>
                <w:color w:val="000000"/>
              </w:rPr>
            </w:pPr>
            <w:r w:rsidRPr="005B280F">
              <w:rPr>
                <w:color w:val="000000"/>
              </w:rPr>
              <w:t>Table 1</w:t>
            </w:r>
            <w:r w:rsidR="00B76081" w:rsidRPr="005B280F">
              <w:rPr>
                <w:color w:val="000000"/>
              </w:rPr>
              <w:t>. Volumes of Access and Watch antibiotics, and Access-to-Watch Index by country income level; 2000, 2015</w:t>
            </w:r>
          </w:p>
        </w:tc>
      </w:tr>
      <w:tr w:rsidR="00B76081" w:rsidRPr="004A6C78" w14:paraId="19025F90" w14:textId="77777777" w:rsidTr="000D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gridSpan w:val="11"/>
            <w:tcBorders>
              <w:top w:val="single" w:sz="4" w:space="0" w:color="auto"/>
              <w:bottom w:val="none" w:sz="0" w:space="0" w:color="auto"/>
            </w:tcBorders>
            <w:vAlign w:val="center"/>
          </w:tcPr>
          <w:p w14:paraId="3190BF29" w14:textId="77777777" w:rsidR="00B76081" w:rsidRPr="000D1F6B" w:rsidRDefault="00B76081" w:rsidP="00B76081">
            <w:pPr>
              <w:spacing w:line="276" w:lineRule="auto"/>
              <w:jc w:val="center"/>
              <w:rPr>
                <w:b w:val="0"/>
                <w:color w:val="000000"/>
              </w:rPr>
            </w:pPr>
            <w:r w:rsidRPr="00C0497E">
              <w:rPr>
                <w:color w:val="000000"/>
              </w:rPr>
              <w:t>Access antibiotic volume (DID)</w:t>
            </w:r>
          </w:p>
        </w:tc>
      </w:tr>
      <w:tr w:rsidR="00C0497E" w:rsidRPr="004A6C78" w14:paraId="75E0577A" w14:textId="77777777" w:rsidTr="00C0497E">
        <w:tc>
          <w:tcPr>
            <w:cnfStyle w:val="001000000000" w:firstRow="0" w:lastRow="0" w:firstColumn="1" w:lastColumn="0" w:oddVBand="0" w:evenVBand="0" w:oddHBand="0" w:evenHBand="0" w:firstRowFirstColumn="0" w:firstRowLastColumn="0" w:lastRowFirstColumn="0" w:lastRowLastColumn="0"/>
            <w:tcW w:w="1305" w:type="dxa"/>
            <w:vMerge w:val="restart"/>
            <w:vAlign w:val="center"/>
          </w:tcPr>
          <w:p w14:paraId="0B18DEB9" w14:textId="77777777" w:rsidR="00B76081" w:rsidRPr="000D1F6B" w:rsidRDefault="00B76081" w:rsidP="00B76081">
            <w:pPr>
              <w:spacing w:line="276" w:lineRule="auto"/>
              <w:jc w:val="center"/>
              <w:rPr>
                <w:b w:val="0"/>
                <w:color w:val="000000"/>
              </w:rPr>
            </w:pPr>
            <w:r w:rsidRPr="00C0497E">
              <w:rPr>
                <w:color w:val="000000"/>
              </w:rPr>
              <w:t>Country income</w:t>
            </w:r>
          </w:p>
        </w:tc>
        <w:tc>
          <w:tcPr>
            <w:tcW w:w="4826" w:type="dxa"/>
            <w:gridSpan w:val="5"/>
            <w:tcBorders>
              <w:bottom w:val="single" w:sz="4" w:space="0" w:color="7F7F7F" w:themeColor="text1" w:themeTint="80"/>
            </w:tcBorders>
            <w:vAlign w:val="center"/>
          </w:tcPr>
          <w:p w14:paraId="542516A7" w14:textId="77777777" w:rsidR="00B76081" w:rsidRPr="000D1F6B"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bCs/>
                <w:color w:val="000000"/>
              </w:rPr>
            </w:pPr>
            <w:r w:rsidRPr="000D1F6B">
              <w:rPr>
                <w:bCs/>
                <w:color w:val="000000"/>
              </w:rPr>
              <w:t>2000</w:t>
            </w:r>
          </w:p>
        </w:tc>
        <w:tc>
          <w:tcPr>
            <w:tcW w:w="4669" w:type="dxa"/>
            <w:gridSpan w:val="5"/>
            <w:tcBorders>
              <w:bottom w:val="single" w:sz="4" w:space="0" w:color="7F7F7F" w:themeColor="text1" w:themeTint="80"/>
            </w:tcBorders>
            <w:vAlign w:val="center"/>
          </w:tcPr>
          <w:p w14:paraId="2DE2EE65" w14:textId="77777777" w:rsidR="00B76081" w:rsidRPr="000D1F6B"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bCs/>
                <w:color w:val="000000"/>
              </w:rPr>
            </w:pPr>
            <w:r w:rsidRPr="000D1F6B">
              <w:rPr>
                <w:bCs/>
                <w:color w:val="000000"/>
              </w:rPr>
              <w:t>2015</w:t>
            </w:r>
          </w:p>
        </w:tc>
      </w:tr>
      <w:tr w:rsidR="00C0497E" w:rsidRPr="004A6C78" w14:paraId="358211A0" w14:textId="77777777" w:rsidTr="000D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vMerge/>
            <w:tcBorders>
              <w:bottom w:val="none" w:sz="0" w:space="0" w:color="auto"/>
            </w:tcBorders>
            <w:vAlign w:val="center"/>
          </w:tcPr>
          <w:p w14:paraId="3A88EBC4" w14:textId="77777777" w:rsidR="00B76081" w:rsidRPr="000D1F6B" w:rsidRDefault="00B76081" w:rsidP="00B76081">
            <w:pPr>
              <w:spacing w:line="276" w:lineRule="auto"/>
              <w:jc w:val="center"/>
              <w:rPr>
                <w:b w:val="0"/>
              </w:rPr>
            </w:pPr>
          </w:p>
        </w:tc>
        <w:tc>
          <w:tcPr>
            <w:tcW w:w="1092" w:type="dxa"/>
            <w:tcBorders>
              <w:bottom w:val="single" w:sz="4" w:space="0" w:color="auto"/>
            </w:tcBorders>
            <w:vAlign w:val="center"/>
          </w:tcPr>
          <w:p w14:paraId="31C98F34" w14:textId="77777777" w:rsidR="00B76081" w:rsidRPr="000D1F6B"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bCs/>
                <w:color w:val="000000"/>
              </w:rPr>
            </w:pPr>
            <w:r w:rsidRPr="000D1F6B">
              <w:rPr>
                <w:bCs/>
                <w:color w:val="000000"/>
              </w:rPr>
              <w:t>Median</w:t>
            </w:r>
          </w:p>
        </w:tc>
        <w:tc>
          <w:tcPr>
            <w:tcW w:w="787" w:type="dxa"/>
            <w:tcBorders>
              <w:bottom w:val="single" w:sz="4" w:space="0" w:color="auto"/>
            </w:tcBorders>
            <w:vAlign w:val="center"/>
          </w:tcPr>
          <w:p w14:paraId="1C877EEE" w14:textId="77777777" w:rsidR="00B76081" w:rsidRPr="000D1F6B"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bCs/>
                <w:color w:val="000000"/>
              </w:rPr>
            </w:pPr>
            <w:r w:rsidRPr="000D1F6B">
              <w:rPr>
                <w:bCs/>
                <w:color w:val="000000"/>
              </w:rPr>
              <w:t>IQR</w:t>
            </w:r>
          </w:p>
        </w:tc>
        <w:tc>
          <w:tcPr>
            <w:tcW w:w="962" w:type="dxa"/>
            <w:tcBorders>
              <w:bottom w:val="single" w:sz="4" w:space="0" w:color="auto"/>
            </w:tcBorders>
            <w:vAlign w:val="center"/>
          </w:tcPr>
          <w:p w14:paraId="151D3D6A" w14:textId="77777777" w:rsidR="00B76081" w:rsidRPr="000D1F6B"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bCs/>
                <w:color w:val="000000"/>
              </w:rPr>
            </w:pPr>
            <w:r w:rsidRPr="000D1F6B">
              <w:rPr>
                <w:bCs/>
                <w:color w:val="000000"/>
              </w:rPr>
              <w:t>Range</w:t>
            </w:r>
          </w:p>
        </w:tc>
        <w:tc>
          <w:tcPr>
            <w:tcW w:w="1031" w:type="dxa"/>
            <w:tcBorders>
              <w:bottom w:val="single" w:sz="4" w:space="0" w:color="auto"/>
            </w:tcBorders>
            <w:vAlign w:val="center"/>
          </w:tcPr>
          <w:p w14:paraId="1DC9D3E4" w14:textId="77777777" w:rsidR="00B76081" w:rsidRPr="000D1F6B"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bCs/>
                <w:color w:val="000000"/>
              </w:rPr>
            </w:pPr>
            <w:r w:rsidRPr="000D1F6B">
              <w:rPr>
                <w:bCs/>
                <w:color w:val="000000"/>
              </w:rPr>
              <w:t>95% Lower CI</w:t>
            </w:r>
            <w:r w:rsidRPr="000D1F6B">
              <w:rPr>
                <w:bCs/>
                <w:color w:val="000000"/>
                <w:vertAlign w:val="superscript"/>
              </w:rPr>
              <w:t>a</w:t>
            </w:r>
          </w:p>
        </w:tc>
        <w:tc>
          <w:tcPr>
            <w:tcW w:w="954" w:type="dxa"/>
            <w:tcBorders>
              <w:bottom w:val="single" w:sz="4" w:space="0" w:color="auto"/>
            </w:tcBorders>
            <w:vAlign w:val="center"/>
          </w:tcPr>
          <w:p w14:paraId="62D29723" w14:textId="77777777" w:rsidR="00B76081" w:rsidRPr="000D1F6B"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bCs/>
                <w:color w:val="000000"/>
              </w:rPr>
            </w:pPr>
            <w:r w:rsidRPr="000D1F6B">
              <w:rPr>
                <w:bCs/>
                <w:color w:val="000000"/>
              </w:rPr>
              <w:t>95% Upper CI</w:t>
            </w:r>
            <w:r w:rsidRPr="000D1F6B">
              <w:rPr>
                <w:bCs/>
                <w:color w:val="000000"/>
                <w:vertAlign w:val="superscript"/>
              </w:rPr>
              <w:t>a</w:t>
            </w:r>
          </w:p>
        </w:tc>
        <w:tc>
          <w:tcPr>
            <w:tcW w:w="973" w:type="dxa"/>
            <w:tcBorders>
              <w:bottom w:val="single" w:sz="4" w:space="0" w:color="auto"/>
            </w:tcBorders>
            <w:vAlign w:val="center"/>
          </w:tcPr>
          <w:p w14:paraId="43FCF43A" w14:textId="77777777" w:rsidR="00B76081" w:rsidRPr="000D1F6B"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bCs/>
              </w:rPr>
            </w:pPr>
            <w:r w:rsidRPr="000D1F6B">
              <w:rPr>
                <w:bCs/>
                <w:color w:val="000000"/>
              </w:rPr>
              <w:t>Median</w:t>
            </w:r>
          </w:p>
        </w:tc>
        <w:tc>
          <w:tcPr>
            <w:tcW w:w="786" w:type="dxa"/>
            <w:tcBorders>
              <w:bottom w:val="single" w:sz="4" w:space="0" w:color="auto"/>
            </w:tcBorders>
            <w:vAlign w:val="center"/>
          </w:tcPr>
          <w:p w14:paraId="5A323F18" w14:textId="77777777" w:rsidR="00B76081" w:rsidRPr="000D1F6B"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bCs/>
              </w:rPr>
            </w:pPr>
            <w:r w:rsidRPr="000D1F6B">
              <w:rPr>
                <w:bCs/>
                <w:color w:val="000000"/>
              </w:rPr>
              <w:t>IQR</w:t>
            </w:r>
          </w:p>
        </w:tc>
        <w:tc>
          <w:tcPr>
            <w:tcW w:w="962" w:type="dxa"/>
            <w:tcBorders>
              <w:bottom w:val="single" w:sz="4" w:space="0" w:color="auto"/>
            </w:tcBorders>
            <w:vAlign w:val="center"/>
          </w:tcPr>
          <w:p w14:paraId="54AB5662" w14:textId="77777777" w:rsidR="00B76081" w:rsidRPr="000D1F6B"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bCs/>
              </w:rPr>
            </w:pPr>
            <w:r w:rsidRPr="000D1F6B">
              <w:rPr>
                <w:bCs/>
                <w:color w:val="000000"/>
              </w:rPr>
              <w:t>Range</w:t>
            </w:r>
          </w:p>
        </w:tc>
        <w:tc>
          <w:tcPr>
            <w:tcW w:w="976" w:type="dxa"/>
            <w:tcBorders>
              <w:bottom w:val="single" w:sz="4" w:space="0" w:color="auto"/>
            </w:tcBorders>
            <w:vAlign w:val="center"/>
          </w:tcPr>
          <w:p w14:paraId="4C1DBF33" w14:textId="77777777" w:rsidR="00B76081" w:rsidRPr="000D1F6B"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bCs/>
                <w:vertAlign w:val="superscript"/>
              </w:rPr>
            </w:pPr>
            <w:r w:rsidRPr="000D1F6B">
              <w:rPr>
                <w:bCs/>
                <w:color w:val="000000"/>
              </w:rPr>
              <w:t>95% Lower CI</w:t>
            </w:r>
            <w:r w:rsidRPr="000D1F6B">
              <w:rPr>
                <w:bCs/>
                <w:color w:val="000000"/>
                <w:vertAlign w:val="superscript"/>
              </w:rPr>
              <w:t>a</w:t>
            </w:r>
          </w:p>
        </w:tc>
        <w:tc>
          <w:tcPr>
            <w:tcW w:w="972" w:type="dxa"/>
            <w:tcBorders>
              <w:bottom w:val="single" w:sz="4" w:space="0" w:color="auto"/>
            </w:tcBorders>
            <w:vAlign w:val="center"/>
          </w:tcPr>
          <w:p w14:paraId="2C3CD9F3" w14:textId="77777777" w:rsidR="00B76081" w:rsidRPr="000D1F6B"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bCs/>
                <w:vertAlign w:val="superscript"/>
              </w:rPr>
            </w:pPr>
            <w:r w:rsidRPr="000D1F6B">
              <w:rPr>
                <w:bCs/>
                <w:color w:val="000000"/>
              </w:rPr>
              <w:t>95% Upper CI</w:t>
            </w:r>
            <w:r w:rsidRPr="000D1F6B">
              <w:rPr>
                <w:bCs/>
                <w:color w:val="000000"/>
                <w:vertAlign w:val="superscript"/>
              </w:rPr>
              <w:t>a</w:t>
            </w:r>
          </w:p>
        </w:tc>
      </w:tr>
      <w:tr w:rsidR="00C0497E" w:rsidRPr="004A6C78" w14:paraId="55749E05" w14:textId="77777777" w:rsidTr="000D1F6B">
        <w:tc>
          <w:tcPr>
            <w:cnfStyle w:val="001000000000" w:firstRow="0" w:lastRow="0" w:firstColumn="1" w:lastColumn="0" w:oddVBand="0" w:evenVBand="0" w:oddHBand="0" w:evenHBand="0" w:firstRowFirstColumn="0" w:firstRowLastColumn="0" w:lastRowFirstColumn="0" w:lastRowLastColumn="0"/>
            <w:tcW w:w="1305" w:type="dxa"/>
            <w:vAlign w:val="center"/>
          </w:tcPr>
          <w:p w14:paraId="59EAF280" w14:textId="77777777" w:rsidR="00B76081" w:rsidRPr="000D1F6B" w:rsidRDefault="00B76081" w:rsidP="00B76081">
            <w:pPr>
              <w:spacing w:line="276" w:lineRule="auto"/>
              <w:jc w:val="center"/>
              <w:rPr>
                <w:b w:val="0"/>
              </w:rPr>
            </w:pPr>
            <w:r w:rsidRPr="00C0497E">
              <w:rPr>
                <w:color w:val="000000"/>
              </w:rPr>
              <w:t>HIC</w:t>
            </w:r>
          </w:p>
        </w:tc>
        <w:tc>
          <w:tcPr>
            <w:tcW w:w="1092" w:type="dxa"/>
            <w:tcBorders>
              <w:top w:val="single" w:sz="4" w:space="0" w:color="auto"/>
            </w:tcBorders>
            <w:vAlign w:val="center"/>
          </w:tcPr>
          <w:p w14:paraId="25660E5D" w14:textId="77777777" w:rsidR="00B76081" w:rsidRPr="005B280F"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B280F">
              <w:rPr>
                <w:color w:val="000000"/>
              </w:rPr>
              <w:t>10·8</w:t>
            </w:r>
          </w:p>
        </w:tc>
        <w:tc>
          <w:tcPr>
            <w:tcW w:w="787" w:type="dxa"/>
            <w:tcBorders>
              <w:top w:val="single" w:sz="4" w:space="0" w:color="auto"/>
            </w:tcBorders>
            <w:vAlign w:val="center"/>
          </w:tcPr>
          <w:p w14:paraId="5741D4E9"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5·9</w:t>
            </w:r>
          </w:p>
        </w:tc>
        <w:tc>
          <w:tcPr>
            <w:tcW w:w="962" w:type="dxa"/>
            <w:tcBorders>
              <w:top w:val="single" w:sz="4" w:space="0" w:color="auto"/>
            </w:tcBorders>
            <w:vAlign w:val="center"/>
          </w:tcPr>
          <w:p w14:paraId="1391C14B"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19·4</w:t>
            </w:r>
          </w:p>
        </w:tc>
        <w:tc>
          <w:tcPr>
            <w:tcW w:w="1031" w:type="dxa"/>
            <w:tcBorders>
              <w:top w:val="single" w:sz="4" w:space="0" w:color="auto"/>
            </w:tcBorders>
            <w:vAlign w:val="center"/>
          </w:tcPr>
          <w:p w14:paraId="59B11B22"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10·5</w:t>
            </w:r>
          </w:p>
        </w:tc>
        <w:tc>
          <w:tcPr>
            <w:tcW w:w="954" w:type="dxa"/>
            <w:tcBorders>
              <w:top w:val="single" w:sz="4" w:space="0" w:color="auto"/>
            </w:tcBorders>
            <w:vAlign w:val="center"/>
          </w:tcPr>
          <w:p w14:paraId="7A6ACCBA"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11·1</w:t>
            </w:r>
          </w:p>
        </w:tc>
        <w:tc>
          <w:tcPr>
            <w:tcW w:w="973" w:type="dxa"/>
            <w:tcBorders>
              <w:top w:val="single" w:sz="4" w:space="0" w:color="auto"/>
            </w:tcBorders>
            <w:vAlign w:val="center"/>
          </w:tcPr>
          <w:p w14:paraId="6E3CF28E"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12·4</w:t>
            </w:r>
          </w:p>
        </w:tc>
        <w:tc>
          <w:tcPr>
            <w:tcW w:w="786" w:type="dxa"/>
            <w:tcBorders>
              <w:top w:val="single" w:sz="4" w:space="0" w:color="auto"/>
            </w:tcBorders>
            <w:vAlign w:val="center"/>
          </w:tcPr>
          <w:p w14:paraId="33321C82"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4·9</w:t>
            </w:r>
          </w:p>
        </w:tc>
        <w:tc>
          <w:tcPr>
            <w:tcW w:w="962" w:type="dxa"/>
            <w:tcBorders>
              <w:top w:val="single" w:sz="4" w:space="0" w:color="auto"/>
            </w:tcBorders>
            <w:vAlign w:val="center"/>
          </w:tcPr>
          <w:p w14:paraId="247C88DC"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21·27</w:t>
            </w:r>
          </w:p>
        </w:tc>
        <w:tc>
          <w:tcPr>
            <w:tcW w:w="976" w:type="dxa"/>
            <w:tcBorders>
              <w:top w:val="single" w:sz="4" w:space="0" w:color="auto"/>
            </w:tcBorders>
            <w:vAlign w:val="center"/>
          </w:tcPr>
          <w:p w14:paraId="589B2D66"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12·1</w:t>
            </w:r>
          </w:p>
        </w:tc>
        <w:tc>
          <w:tcPr>
            <w:tcW w:w="972" w:type="dxa"/>
            <w:tcBorders>
              <w:top w:val="single" w:sz="4" w:space="0" w:color="auto"/>
            </w:tcBorders>
            <w:vAlign w:val="center"/>
          </w:tcPr>
          <w:p w14:paraId="542974D9"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12·7</w:t>
            </w:r>
          </w:p>
        </w:tc>
      </w:tr>
      <w:tr w:rsidR="00C0497E" w:rsidRPr="004A6C78" w14:paraId="2C70AB64" w14:textId="77777777" w:rsidTr="000D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top w:val="none" w:sz="0" w:space="0" w:color="auto"/>
              <w:bottom w:val="none" w:sz="0" w:space="0" w:color="auto"/>
            </w:tcBorders>
            <w:vAlign w:val="center"/>
          </w:tcPr>
          <w:p w14:paraId="75DF02F3" w14:textId="77777777" w:rsidR="00B76081" w:rsidRPr="000D1F6B" w:rsidRDefault="00B76081" w:rsidP="00B76081">
            <w:pPr>
              <w:spacing w:line="276" w:lineRule="auto"/>
              <w:jc w:val="center"/>
              <w:rPr>
                <w:b w:val="0"/>
              </w:rPr>
            </w:pPr>
            <w:r w:rsidRPr="00C0497E">
              <w:rPr>
                <w:color w:val="000000"/>
              </w:rPr>
              <w:t>LMIC-UM</w:t>
            </w:r>
          </w:p>
        </w:tc>
        <w:tc>
          <w:tcPr>
            <w:tcW w:w="1092" w:type="dxa"/>
            <w:tcBorders>
              <w:top w:val="none" w:sz="0" w:space="0" w:color="auto"/>
              <w:bottom w:val="none" w:sz="0" w:space="0" w:color="auto"/>
            </w:tcBorders>
            <w:vAlign w:val="center"/>
          </w:tcPr>
          <w:p w14:paraId="07811C04" w14:textId="77777777" w:rsidR="00B76081" w:rsidRPr="005B280F"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B280F">
              <w:rPr>
                <w:color w:val="000000"/>
              </w:rPr>
              <w:t>7·4</w:t>
            </w:r>
          </w:p>
        </w:tc>
        <w:tc>
          <w:tcPr>
            <w:tcW w:w="787" w:type="dxa"/>
            <w:tcBorders>
              <w:top w:val="none" w:sz="0" w:space="0" w:color="auto"/>
              <w:bottom w:val="none" w:sz="0" w:space="0" w:color="auto"/>
            </w:tcBorders>
            <w:vAlign w:val="center"/>
          </w:tcPr>
          <w:p w14:paraId="7F1C831E"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C0497E">
              <w:rPr>
                <w:color w:val="000000"/>
              </w:rPr>
              <w:t>6·8</w:t>
            </w:r>
          </w:p>
        </w:tc>
        <w:tc>
          <w:tcPr>
            <w:tcW w:w="962" w:type="dxa"/>
            <w:tcBorders>
              <w:top w:val="none" w:sz="0" w:space="0" w:color="auto"/>
              <w:bottom w:val="none" w:sz="0" w:space="0" w:color="auto"/>
            </w:tcBorders>
            <w:vAlign w:val="center"/>
          </w:tcPr>
          <w:p w14:paraId="03DF028C"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C0497E">
              <w:rPr>
                <w:color w:val="000000"/>
              </w:rPr>
              <w:t>16·8</w:t>
            </w:r>
          </w:p>
        </w:tc>
        <w:tc>
          <w:tcPr>
            <w:tcW w:w="1031" w:type="dxa"/>
            <w:tcBorders>
              <w:top w:val="none" w:sz="0" w:space="0" w:color="auto"/>
              <w:bottom w:val="none" w:sz="0" w:space="0" w:color="auto"/>
            </w:tcBorders>
            <w:vAlign w:val="center"/>
          </w:tcPr>
          <w:p w14:paraId="1D717706"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C0497E">
              <w:rPr>
                <w:color w:val="000000"/>
              </w:rPr>
              <w:t>7·2</w:t>
            </w:r>
          </w:p>
        </w:tc>
        <w:tc>
          <w:tcPr>
            <w:tcW w:w="954" w:type="dxa"/>
            <w:tcBorders>
              <w:top w:val="none" w:sz="0" w:space="0" w:color="auto"/>
              <w:bottom w:val="none" w:sz="0" w:space="0" w:color="auto"/>
            </w:tcBorders>
            <w:vAlign w:val="center"/>
          </w:tcPr>
          <w:p w14:paraId="24EFE391"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C0497E">
              <w:rPr>
                <w:color w:val="000000"/>
              </w:rPr>
              <w:t>7·6</w:t>
            </w:r>
          </w:p>
        </w:tc>
        <w:tc>
          <w:tcPr>
            <w:tcW w:w="973" w:type="dxa"/>
            <w:tcBorders>
              <w:top w:val="none" w:sz="0" w:space="0" w:color="auto"/>
              <w:bottom w:val="none" w:sz="0" w:space="0" w:color="auto"/>
            </w:tcBorders>
            <w:vAlign w:val="center"/>
          </w:tcPr>
          <w:p w14:paraId="21FA08F8"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C0497E">
              <w:rPr>
                <w:color w:val="000000"/>
              </w:rPr>
              <w:t>10·9</w:t>
            </w:r>
          </w:p>
        </w:tc>
        <w:tc>
          <w:tcPr>
            <w:tcW w:w="786" w:type="dxa"/>
            <w:tcBorders>
              <w:top w:val="none" w:sz="0" w:space="0" w:color="auto"/>
              <w:bottom w:val="none" w:sz="0" w:space="0" w:color="auto"/>
            </w:tcBorders>
            <w:vAlign w:val="center"/>
          </w:tcPr>
          <w:p w14:paraId="1036DD06"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C0497E">
              <w:rPr>
                <w:color w:val="000000"/>
              </w:rPr>
              <w:t>6·3</w:t>
            </w:r>
          </w:p>
        </w:tc>
        <w:tc>
          <w:tcPr>
            <w:tcW w:w="962" w:type="dxa"/>
            <w:tcBorders>
              <w:top w:val="none" w:sz="0" w:space="0" w:color="auto"/>
              <w:bottom w:val="none" w:sz="0" w:space="0" w:color="auto"/>
            </w:tcBorders>
            <w:vAlign w:val="center"/>
          </w:tcPr>
          <w:p w14:paraId="23C9FB3C"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C0497E">
              <w:rPr>
                <w:color w:val="000000"/>
              </w:rPr>
              <w:t>22·16</w:t>
            </w:r>
          </w:p>
        </w:tc>
        <w:tc>
          <w:tcPr>
            <w:tcW w:w="976" w:type="dxa"/>
            <w:tcBorders>
              <w:top w:val="none" w:sz="0" w:space="0" w:color="auto"/>
              <w:bottom w:val="none" w:sz="0" w:space="0" w:color="auto"/>
            </w:tcBorders>
            <w:vAlign w:val="center"/>
          </w:tcPr>
          <w:p w14:paraId="16B7EE49"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C0497E">
              <w:rPr>
                <w:color w:val="000000"/>
              </w:rPr>
              <w:t>10·6</w:t>
            </w:r>
          </w:p>
        </w:tc>
        <w:tc>
          <w:tcPr>
            <w:tcW w:w="972" w:type="dxa"/>
            <w:tcBorders>
              <w:top w:val="none" w:sz="0" w:space="0" w:color="auto"/>
              <w:bottom w:val="none" w:sz="0" w:space="0" w:color="auto"/>
            </w:tcBorders>
            <w:vAlign w:val="center"/>
          </w:tcPr>
          <w:p w14:paraId="293D36EB"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C0497E">
              <w:rPr>
                <w:color w:val="000000"/>
              </w:rPr>
              <w:t>11·2</w:t>
            </w:r>
          </w:p>
        </w:tc>
      </w:tr>
      <w:tr w:rsidR="00C0497E" w:rsidRPr="004A6C78" w14:paraId="71DEF529" w14:textId="77777777" w:rsidTr="000D1F6B">
        <w:tc>
          <w:tcPr>
            <w:cnfStyle w:val="001000000000" w:firstRow="0" w:lastRow="0" w:firstColumn="1" w:lastColumn="0" w:oddVBand="0" w:evenVBand="0" w:oddHBand="0" w:evenHBand="0" w:firstRowFirstColumn="0" w:firstRowLastColumn="0" w:lastRowFirstColumn="0" w:lastRowLastColumn="0"/>
            <w:tcW w:w="1305" w:type="dxa"/>
            <w:tcBorders>
              <w:bottom w:val="single" w:sz="4" w:space="0" w:color="auto"/>
            </w:tcBorders>
            <w:vAlign w:val="center"/>
          </w:tcPr>
          <w:p w14:paraId="796BE2E2" w14:textId="77777777" w:rsidR="00B76081" w:rsidRPr="000D1F6B" w:rsidRDefault="00B76081" w:rsidP="00B76081">
            <w:pPr>
              <w:spacing w:line="276" w:lineRule="auto"/>
              <w:jc w:val="center"/>
              <w:rPr>
                <w:b w:val="0"/>
              </w:rPr>
            </w:pPr>
            <w:r w:rsidRPr="00C0497E">
              <w:rPr>
                <w:color w:val="000000"/>
              </w:rPr>
              <w:t>LMIC-LM</w:t>
            </w:r>
          </w:p>
        </w:tc>
        <w:tc>
          <w:tcPr>
            <w:tcW w:w="1092" w:type="dxa"/>
            <w:tcBorders>
              <w:bottom w:val="single" w:sz="4" w:space="0" w:color="auto"/>
            </w:tcBorders>
            <w:vAlign w:val="center"/>
          </w:tcPr>
          <w:p w14:paraId="3AEBE3D9" w14:textId="77777777" w:rsidR="00B76081" w:rsidRPr="005B280F"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B280F">
              <w:rPr>
                <w:color w:val="000000"/>
              </w:rPr>
              <w:t>5·2</w:t>
            </w:r>
          </w:p>
        </w:tc>
        <w:tc>
          <w:tcPr>
            <w:tcW w:w="787" w:type="dxa"/>
            <w:tcBorders>
              <w:bottom w:val="single" w:sz="4" w:space="0" w:color="auto"/>
            </w:tcBorders>
            <w:vAlign w:val="center"/>
          </w:tcPr>
          <w:p w14:paraId="0690DD78"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4·9</w:t>
            </w:r>
          </w:p>
        </w:tc>
        <w:tc>
          <w:tcPr>
            <w:tcW w:w="962" w:type="dxa"/>
            <w:tcBorders>
              <w:bottom w:val="single" w:sz="4" w:space="0" w:color="auto"/>
            </w:tcBorders>
            <w:vAlign w:val="center"/>
          </w:tcPr>
          <w:p w14:paraId="7E8CEBB4"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7·6</w:t>
            </w:r>
          </w:p>
        </w:tc>
        <w:tc>
          <w:tcPr>
            <w:tcW w:w="1031" w:type="dxa"/>
            <w:tcBorders>
              <w:bottom w:val="single" w:sz="4" w:space="0" w:color="auto"/>
            </w:tcBorders>
            <w:vAlign w:val="center"/>
          </w:tcPr>
          <w:p w14:paraId="7F3B518C"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5·0</w:t>
            </w:r>
          </w:p>
        </w:tc>
        <w:tc>
          <w:tcPr>
            <w:tcW w:w="954" w:type="dxa"/>
            <w:tcBorders>
              <w:bottom w:val="single" w:sz="4" w:space="0" w:color="auto"/>
            </w:tcBorders>
            <w:vAlign w:val="center"/>
          </w:tcPr>
          <w:p w14:paraId="21B45D20"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5·3</w:t>
            </w:r>
          </w:p>
        </w:tc>
        <w:tc>
          <w:tcPr>
            <w:tcW w:w="973" w:type="dxa"/>
            <w:tcBorders>
              <w:bottom w:val="single" w:sz="4" w:space="0" w:color="auto"/>
            </w:tcBorders>
            <w:vAlign w:val="center"/>
          </w:tcPr>
          <w:p w14:paraId="1F655271"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5·6</w:t>
            </w:r>
          </w:p>
        </w:tc>
        <w:tc>
          <w:tcPr>
            <w:tcW w:w="786" w:type="dxa"/>
            <w:tcBorders>
              <w:bottom w:val="single" w:sz="4" w:space="0" w:color="auto"/>
            </w:tcBorders>
            <w:vAlign w:val="center"/>
          </w:tcPr>
          <w:p w14:paraId="0D188D46"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6·7</w:t>
            </w:r>
          </w:p>
        </w:tc>
        <w:tc>
          <w:tcPr>
            <w:tcW w:w="962" w:type="dxa"/>
            <w:tcBorders>
              <w:bottom w:val="single" w:sz="4" w:space="0" w:color="auto"/>
            </w:tcBorders>
            <w:vAlign w:val="center"/>
          </w:tcPr>
          <w:p w14:paraId="01F07034"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25·90</w:t>
            </w:r>
          </w:p>
        </w:tc>
        <w:tc>
          <w:tcPr>
            <w:tcW w:w="976" w:type="dxa"/>
            <w:tcBorders>
              <w:bottom w:val="single" w:sz="4" w:space="0" w:color="auto"/>
            </w:tcBorders>
            <w:vAlign w:val="center"/>
          </w:tcPr>
          <w:p w14:paraId="000D3018"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5·5</w:t>
            </w:r>
          </w:p>
        </w:tc>
        <w:tc>
          <w:tcPr>
            <w:tcW w:w="972" w:type="dxa"/>
            <w:tcBorders>
              <w:bottom w:val="single" w:sz="4" w:space="0" w:color="auto"/>
            </w:tcBorders>
            <w:vAlign w:val="center"/>
          </w:tcPr>
          <w:p w14:paraId="14FABADA"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5·7</w:t>
            </w:r>
          </w:p>
        </w:tc>
      </w:tr>
      <w:tr w:rsidR="00B76081" w:rsidRPr="004A6C78" w14:paraId="121880E9" w14:textId="77777777" w:rsidTr="000D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gridSpan w:val="11"/>
            <w:tcBorders>
              <w:top w:val="single" w:sz="4" w:space="0" w:color="auto"/>
              <w:bottom w:val="none" w:sz="0" w:space="0" w:color="auto"/>
            </w:tcBorders>
            <w:vAlign w:val="center"/>
          </w:tcPr>
          <w:p w14:paraId="11700911" w14:textId="77777777" w:rsidR="00B76081" w:rsidRPr="000D1F6B" w:rsidRDefault="00B76081" w:rsidP="00B76081">
            <w:pPr>
              <w:spacing w:line="276" w:lineRule="auto"/>
              <w:jc w:val="center"/>
              <w:rPr>
                <w:b w:val="0"/>
              </w:rPr>
            </w:pPr>
            <w:r w:rsidRPr="00C0497E">
              <w:rPr>
                <w:color w:val="000000"/>
              </w:rPr>
              <w:t>Watch antibiotic volume (DID)</w:t>
            </w:r>
          </w:p>
        </w:tc>
      </w:tr>
      <w:tr w:rsidR="00B76081" w:rsidRPr="004A6C78" w14:paraId="08ADBB97" w14:textId="77777777" w:rsidTr="000D1F6B">
        <w:tc>
          <w:tcPr>
            <w:cnfStyle w:val="001000000000" w:firstRow="0" w:lastRow="0" w:firstColumn="1" w:lastColumn="0" w:oddVBand="0" w:evenVBand="0" w:oddHBand="0" w:evenHBand="0" w:firstRowFirstColumn="0" w:firstRowLastColumn="0" w:lastRowFirstColumn="0" w:lastRowLastColumn="0"/>
            <w:tcW w:w="1305" w:type="dxa"/>
            <w:vMerge w:val="restart"/>
            <w:vAlign w:val="center"/>
          </w:tcPr>
          <w:p w14:paraId="511612CE" w14:textId="77777777" w:rsidR="00B76081" w:rsidRPr="000D1F6B" w:rsidRDefault="00B76081" w:rsidP="00B76081">
            <w:pPr>
              <w:spacing w:line="276" w:lineRule="auto"/>
              <w:jc w:val="center"/>
              <w:rPr>
                <w:b w:val="0"/>
                <w:color w:val="000000"/>
              </w:rPr>
            </w:pPr>
            <w:r w:rsidRPr="00C0497E">
              <w:rPr>
                <w:color w:val="000000"/>
              </w:rPr>
              <w:t>Country income</w:t>
            </w:r>
          </w:p>
        </w:tc>
        <w:tc>
          <w:tcPr>
            <w:tcW w:w="4826" w:type="dxa"/>
            <w:gridSpan w:val="5"/>
            <w:tcBorders>
              <w:bottom w:val="single" w:sz="4" w:space="0" w:color="7F7F7F" w:themeColor="text1" w:themeTint="80"/>
            </w:tcBorders>
            <w:vAlign w:val="center"/>
          </w:tcPr>
          <w:p w14:paraId="56DC5076" w14:textId="77777777" w:rsidR="00B76081" w:rsidRPr="000D1F6B"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bCs/>
                <w:color w:val="000000"/>
              </w:rPr>
            </w:pPr>
            <w:r w:rsidRPr="000D1F6B">
              <w:rPr>
                <w:bCs/>
                <w:color w:val="000000"/>
              </w:rPr>
              <w:t>2000</w:t>
            </w:r>
          </w:p>
        </w:tc>
        <w:tc>
          <w:tcPr>
            <w:tcW w:w="4669" w:type="dxa"/>
            <w:gridSpan w:val="5"/>
            <w:tcBorders>
              <w:bottom w:val="single" w:sz="4" w:space="0" w:color="7F7F7F" w:themeColor="text1" w:themeTint="80"/>
            </w:tcBorders>
            <w:vAlign w:val="center"/>
          </w:tcPr>
          <w:p w14:paraId="5D07A0B9" w14:textId="77777777" w:rsidR="00B76081" w:rsidRPr="000D1F6B"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bCs/>
                <w:color w:val="000000"/>
              </w:rPr>
            </w:pPr>
            <w:r w:rsidRPr="000D1F6B">
              <w:rPr>
                <w:bCs/>
                <w:color w:val="000000"/>
              </w:rPr>
              <w:t>2015</w:t>
            </w:r>
          </w:p>
        </w:tc>
      </w:tr>
      <w:tr w:rsidR="00C0497E" w:rsidRPr="004A6C78" w14:paraId="6F57D7B3" w14:textId="77777777" w:rsidTr="000D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vMerge/>
            <w:tcBorders>
              <w:bottom w:val="none" w:sz="0" w:space="0" w:color="auto"/>
            </w:tcBorders>
            <w:vAlign w:val="center"/>
          </w:tcPr>
          <w:p w14:paraId="0C02564B" w14:textId="77777777" w:rsidR="00B76081" w:rsidRPr="000D1F6B" w:rsidRDefault="00B76081" w:rsidP="00B76081">
            <w:pPr>
              <w:spacing w:line="276" w:lineRule="auto"/>
              <w:jc w:val="center"/>
              <w:rPr>
                <w:b w:val="0"/>
                <w:color w:val="000000"/>
              </w:rPr>
            </w:pPr>
          </w:p>
        </w:tc>
        <w:tc>
          <w:tcPr>
            <w:tcW w:w="1092" w:type="dxa"/>
            <w:tcBorders>
              <w:bottom w:val="single" w:sz="4" w:space="0" w:color="auto"/>
            </w:tcBorders>
            <w:vAlign w:val="center"/>
          </w:tcPr>
          <w:p w14:paraId="50B524D5" w14:textId="77777777" w:rsidR="00B76081" w:rsidRPr="000D1F6B"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bCs/>
                <w:color w:val="000000"/>
              </w:rPr>
            </w:pPr>
            <w:r w:rsidRPr="000D1F6B">
              <w:rPr>
                <w:bCs/>
                <w:color w:val="000000"/>
              </w:rPr>
              <w:t>Median</w:t>
            </w:r>
          </w:p>
        </w:tc>
        <w:tc>
          <w:tcPr>
            <w:tcW w:w="787" w:type="dxa"/>
            <w:tcBorders>
              <w:bottom w:val="single" w:sz="4" w:space="0" w:color="auto"/>
            </w:tcBorders>
            <w:vAlign w:val="center"/>
          </w:tcPr>
          <w:p w14:paraId="5052D1F3" w14:textId="77777777" w:rsidR="00B76081" w:rsidRPr="000D1F6B"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bCs/>
                <w:color w:val="000000"/>
              </w:rPr>
            </w:pPr>
            <w:r w:rsidRPr="000D1F6B">
              <w:rPr>
                <w:bCs/>
                <w:color w:val="000000"/>
              </w:rPr>
              <w:t>IQR</w:t>
            </w:r>
          </w:p>
        </w:tc>
        <w:tc>
          <w:tcPr>
            <w:tcW w:w="962" w:type="dxa"/>
            <w:tcBorders>
              <w:bottom w:val="single" w:sz="4" w:space="0" w:color="auto"/>
            </w:tcBorders>
            <w:vAlign w:val="center"/>
          </w:tcPr>
          <w:p w14:paraId="144D3790" w14:textId="77777777" w:rsidR="00B76081" w:rsidRPr="000D1F6B"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bCs/>
                <w:color w:val="000000"/>
              </w:rPr>
            </w:pPr>
            <w:r w:rsidRPr="000D1F6B">
              <w:rPr>
                <w:bCs/>
                <w:color w:val="000000"/>
              </w:rPr>
              <w:t>Range</w:t>
            </w:r>
          </w:p>
        </w:tc>
        <w:tc>
          <w:tcPr>
            <w:tcW w:w="1031" w:type="dxa"/>
            <w:tcBorders>
              <w:bottom w:val="single" w:sz="4" w:space="0" w:color="auto"/>
            </w:tcBorders>
            <w:vAlign w:val="center"/>
          </w:tcPr>
          <w:p w14:paraId="71595272" w14:textId="77777777" w:rsidR="00B76081" w:rsidRPr="000D1F6B"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bCs/>
                <w:color w:val="000000"/>
              </w:rPr>
            </w:pPr>
            <w:r w:rsidRPr="000D1F6B">
              <w:rPr>
                <w:bCs/>
                <w:color w:val="000000"/>
              </w:rPr>
              <w:t>95% Lower CI</w:t>
            </w:r>
            <w:r w:rsidRPr="000D1F6B">
              <w:rPr>
                <w:bCs/>
                <w:color w:val="000000"/>
                <w:vertAlign w:val="superscript"/>
              </w:rPr>
              <w:t>a</w:t>
            </w:r>
          </w:p>
        </w:tc>
        <w:tc>
          <w:tcPr>
            <w:tcW w:w="954" w:type="dxa"/>
            <w:tcBorders>
              <w:bottom w:val="single" w:sz="4" w:space="0" w:color="auto"/>
            </w:tcBorders>
            <w:vAlign w:val="center"/>
          </w:tcPr>
          <w:p w14:paraId="0ABCD607" w14:textId="77777777" w:rsidR="00B76081" w:rsidRPr="000D1F6B"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bCs/>
                <w:color w:val="000000"/>
              </w:rPr>
            </w:pPr>
            <w:r w:rsidRPr="000D1F6B">
              <w:rPr>
                <w:bCs/>
                <w:color w:val="000000"/>
              </w:rPr>
              <w:t>95% Upper CI</w:t>
            </w:r>
            <w:r w:rsidRPr="000D1F6B">
              <w:rPr>
                <w:bCs/>
                <w:color w:val="000000"/>
                <w:vertAlign w:val="superscript"/>
              </w:rPr>
              <w:t>a</w:t>
            </w:r>
          </w:p>
        </w:tc>
        <w:tc>
          <w:tcPr>
            <w:tcW w:w="973" w:type="dxa"/>
            <w:tcBorders>
              <w:bottom w:val="single" w:sz="4" w:space="0" w:color="auto"/>
            </w:tcBorders>
            <w:vAlign w:val="center"/>
          </w:tcPr>
          <w:p w14:paraId="096B92B4" w14:textId="77777777" w:rsidR="00B76081" w:rsidRPr="005B280F"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0D1F6B">
              <w:rPr>
                <w:bCs/>
                <w:color w:val="000000"/>
              </w:rPr>
              <w:t>Median</w:t>
            </w:r>
          </w:p>
        </w:tc>
        <w:tc>
          <w:tcPr>
            <w:tcW w:w="786" w:type="dxa"/>
            <w:tcBorders>
              <w:bottom w:val="single" w:sz="4" w:space="0" w:color="auto"/>
            </w:tcBorders>
            <w:vAlign w:val="center"/>
          </w:tcPr>
          <w:p w14:paraId="7EE7B3CA" w14:textId="77777777" w:rsidR="00B76081" w:rsidRPr="005B280F"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0D1F6B">
              <w:rPr>
                <w:bCs/>
                <w:color w:val="000000"/>
              </w:rPr>
              <w:t>IQR</w:t>
            </w:r>
          </w:p>
        </w:tc>
        <w:tc>
          <w:tcPr>
            <w:tcW w:w="962" w:type="dxa"/>
            <w:tcBorders>
              <w:bottom w:val="single" w:sz="4" w:space="0" w:color="auto"/>
            </w:tcBorders>
            <w:vAlign w:val="center"/>
          </w:tcPr>
          <w:p w14:paraId="19E959A0" w14:textId="77777777" w:rsidR="00B76081" w:rsidRPr="005B280F"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0D1F6B">
              <w:rPr>
                <w:bCs/>
                <w:color w:val="000000"/>
              </w:rPr>
              <w:t>Range</w:t>
            </w:r>
          </w:p>
        </w:tc>
        <w:tc>
          <w:tcPr>
            <w:tcW w:w="976" w:type="dxa"/>
            <w:tcBorders>
              <w:bottom w:val="single" w:sz="4" w:space="0" w:color="auto"/>
            </w:tcBorders>
            <w:vAlign w:val="center"/>
          </w:tcPr>
          <w:p w14:paraId="282011BD" w14:textId="77777777" w:rsidR="00B76081" w:rsidRPr="005B280F"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0D1F6B">
              <w:rPr>
                <w:bCs/>
                <w:color w:val="000000"/>
              </w:rPr>
              <w:t>95% Lower CI</w:t>
            </w:r>
            <w:r w:rsidRPr="000D1F6B">
              <w:rPr>
                <w:bCs/>
                <w:color w:val="000000"/>
                <w:vertAlign w:val="superscript"/>
              </w:rPr>
              <w:t>a</w:t>
            </w:r>
          </w:p>
        </w:tc>
        <w:tc>
          <w:tcPr>
            <w:tcW w:w="972" w:type="dxa"/>
            <w:tcBorders>
              <w:bottom w:val="single" w:sz="4" w:space="0" w:color="auto"/>
            </w:tcBorders>
            <w:vAlign w:val="center"/>
          </w:tcPr>
          <w:p w14:paraId="7155457E" w14:textId="77777777" w:rsidR="00B76081" w:rsidRPr="005B280F"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0D1F6B">
              <w:rPr>
                <w:bCs/>
                <w:color w:val="000000"/>
              </w:rPr>
              <w:t>95% Upper CI</w:t>
            </w:r>
            <w:r w:rsidRPr="000D1F6B">
              <w:rPr>
                <w:bCs/>
                <w:color w:val="000000"/>
                <w:vertAlign w:val="superscript"/>
              </w:rPr>
              <w:t>a</w:t>
            </w:r>
          </w:p>
        </w:tc>
      </w:tr>
      <w:tr w:rsidR="00C0497E" w:rsidRPr="004A6C78" w14:paraId="0F6B9B82" w14:textId="77777777" w:rsidTr="000D1F6B">
        <w:tc>
          <w:tcPr>
            <w:cnfStyle w:val="001000000000" w:firstRow="0" w:lastRow="0" w:firstColumn="1" w:lastColumn="0" w:oddVBand="0" w:evenVBand="0" w:oddHBand="0" w:evenHBand="0" w:firstRowFirstColumn="0" w:firstRowLastColumn="0" w:lastRowFirstColumn="0" w:lastRowLastColumn="0"/>
            <w:tcW w:w="0" w:type="dxa"/>
            <w:vAlign w:val="center"/>
          </w:tcPr>
          <w:p w14:paraId="17FAE1A5" w14:textId="77777777" w:rsidR="00B76081" w:rsidRPr="000D1F6B" w:rsidRDefault="00B76081" w:rsidP="00B76081">
            <w:pPr>
              <w:spacing w:line="276" w:lineRule="auto"/>
              <w:jc w:val="center"/>
              <w:rPr>
                <w:b w:val="0"/>
              </w:rPr>
            </w:pPr>
            <w:r w:rsidRPr="00C0497E">
              <w:rPr>
                <w:color w:val="000000"/>
              </w:rPr>
              <w:t>HIC</w:t>
            </w:r>
          </w:p>
        </w:tc>
        <w:tc>
          <w:tcPr>
            <w:tcW w:w="0" w:type="dxa"/>
            <w:tcBorders>
              <w:top w:val="single" w:sz="4" w:space="0" w:color="auto"/>
            </w:tcBorders>
            <w:vAlign w:val="center"/>
          </w:tcPr>
          <w:p w14:paraId="0EAF34E9" w14:textId="77777777" w:rsidR="00B76081" w:rsidRPr="005B280F"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B280F">
              <w:rPr>
                <w:color w:val="000000"/>
              </w:rPr>
              <w:t>6·1</w:t>
            </w:r>
          </w:p>
        </w:tc>
        <w:tc>
          <w:tcPr>
            <w:tcW w:w="0" w:type="dxa"/>
            <w:tcBorders>
              <w:top w:val="single" w:sz="4" w:space="0" w:color="auto"/>
            </w:tcBorders>
            <w:vAlign w:val="center"/>
          </w:tcPr>
          <w:p w14:paraId="728D8A6F"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5·5</w:t>
            </w:r>
          </w:p>
        </w:tc>
        <w:tc>
          <w:tcPr>
            <w:tcW w:w="0" w:type="dxa"/>
            <w:tcBorders>
              <w:top w:val="single" w:sz="4" w:space="0" w:color="auto"/>
            </w:tcBorders>
            <w:vAlign w:val="center"/>
          </w:tcPr>
          <w:p w14:paraId="3B04C294"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20·6</w:t>
            </w:r>
          </w:p>
        </w:tc>
        <w:tc>
          <w:tcPr>
            <w:tcW w:w="0" w:type="dxa"/>
            <w:tcBorders>
              <w:top w:val="single" w:sz="4" w:space="0" w:color="auto"/>
            </w:tcBorders>
            <w:vAlign w:val="center"/>
          </w:tcPr>
          <w:p w14:paraId="40A98427"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5·9</w:t>
            </w:r>
          </w:p>
        </w:tc>
        <w:tc>
          <w:tcPr>
            <w:tcW w:w="0" w:type="dxa"/>
            <w:tcBorders>
              <w:top w:val="single" w:sz="4" w:space="0" w:color="auto"/>
            </w:tcBorders>
            <w:vAlign w:val="center"/>
          </w:tcPr>
          <w:p w14:paraId="423FA495"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6·2</w:t>
            </w:r>
          </w:p>
        </w:tc>
        <w:tc>
          <w:tcPr>
            <w:tcW w:w="0" w:type="dxa"/>
            <w:tcBorders>
              <w:top w:val="single" w:sz="4" w:space="0" w:color="auto"/>
            </w:tcBorders>
            <w:vAlign w:val="center"/>
          </w:tcPr>
          <w:p w14:paraId="1E99CEDC"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7·8</w:t>
            </w:r>
          </w:p>
        </w:tc>
        <w:tc>
          <w:tcPr>
            <w:tcW w:w="0" w:type="dxa"/>
            <w:tcBorders>
              <w:top w:val="single" w:sz="4" w:space="0" w:color="auto"/>
            </w:tcBorders>
            <w:vAlign w:val="center"/>
          </w:tcPr>
          <w:p w14:paraId="0DA18286"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6·0</w:t>
            </w:r>
          </w:p>
        </w:tc>
        <w:tc>
          <w:tcPr>
            <w:tcW w:w="0" w:type="dxa"/>
            <w:tcBorders>
              <w:top w:val="single" w:sz="4" w:space="0" w:color="auto"/>
            </w:tcBorders>
            <w:vAlign w:val="center"/>
          </w:tcPr>
          <w:p w14:paraId="081915CA"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18·7</w:t>
            </w:r>
          </w:p>
        </w:tc>
        <w:tc>
          <w:tcPr>
            <w:tcW w:w="0" w:type="dxa"/>
            <w:tcBorders>
              <w:top w:val="single" w:sz="4" w:space="0" w:color="auto"/>
            </w:tcBorders>
            <w:vAlign w:val="center"/>
          </w:tcPr>
          <w:p w14:paraId="4565A852"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7·6</w:t>
            </w:r>
          </w:p>
        </w:tc>
        <w:tc>
          <w:tcPr>
            <w:tcW w:w="0" w:type="dxa"/>
            <w:tcBorders>
              <w:top w:val="single" w:sz="4" w:space="0" w:color="auto"/>
            </w:tcBorders>
            <w:vAlign w:val="center"/>
          </w:tcPr>
          <w:p w14:paraId="67F725A2"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8·0</w:t>
            </w:r>
          </w:p>
        </w:tc>
      </w:tr>
      <w:tr w:rsidR="00C0497E" w:rsidRPr="004A6C78" w14:paraId="1D45E2CE" w14:textId="77777777" w:rsidTr="000D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top w:val="none" w:sz="0" w:space="0" w:color="auto"/>
              <w:bottom w:val="none" w:sz="0" w:space="0" w:color="auto"/>
            </w:tcBorders>
            <w:vAlign w:val="center"/>
          </w:tcPr>
          <w:p w14:paraId="2E399408" w14:textId="77777777" w:rsidR="00B76081" w:rsidRPr="000D1F6B" w:rsidRDefault="00B76081" w:rsidP="00B76081">
            <w:pPr>
              <w:spacing w:line="276" w:lineRule="auto"/>
              <w:jc w:val="center"/>
              <w:rPr>
                <w:b w:val="0"/>
              </w:rPr>
            </w:pPr>
            <w:r w:rsidRPr="00C0497E">
              <w:rPr>
                <w:color w:val="000000"/>
              </w:rPr>
              <w:t>LMIC-UM</w:t>
            </w:r>
          </w:p>
        </w:tc>
        <w:tc>
          <w:tcPr>
            <w:tcW w:w="1092" w:type="dxa"/>
            <w:tcBorders>
              <w:top w:val="none" w:sz="0" w:space="0" w:color="auto"/>
              <w:bottom w:val="none" w:sz="0" w:space="0" w:color="auto"/>
            </w:tcBorders>
            <w:vAlign w:val="center"/>
          </w:tcPr>
          <w:p w14:paraId="71F0CD85" w14:textId="77777777" w:rsidR="00B76081" w:rsidRPr="005B280F"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B280F">
              <w:rPr>
                <w:color w:val="000000"/>
              </w:rPr>
              <w:t>2·6</w:t>
            </w:r>
          </w:p>
        </w:tc>
        <w:tc>
          <w:tcPr>
            <w:tcW w:w="787" w:type="dxa"/>
            <w:tcBorders>
              <w:top w:val="none" w:sz="0" w:space="0" w:color="auto"/>
              <w:bottom w:val="none" w:sz="0" w:space="0" w:color="auto"/>
            </w:tcBorders>
            <w:vAlign w:val="center"/>
          </w:tcPr>
          <w:p w14:paraId="3E09669F"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C0497E">
              <w:rPr>
                <w:color w:val="000000"/>
              </w:rPr>
              <w:t>1·4</w:t>
            </w:r>
          </w:p>
        </w:tc>
        <w:tc>
          <w:tcPr>
            <w:tcW w:w="962" w:type="dxa"/>
            <w:tcBorders>
              <w:top w:val="none" w:sz="0" w:space="0" w:color="auto"/>
              <w:bottom w:val="none" w:sz="0" w:space="0" w:color="auto"/>
            </w:tcBorders>
            <w:vAlign w:val="center"/>
          </w:tcPr>
          <w:p w14:paraId="09B2AC9E"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C0497E">
              <w:rPr>
                <w:color w:val="000000"/>
              </w:rPr>
              <w:t>6·0</w:t>
            </w:r>
          </w:p>
        </w:tc>
        <w:tc>
          <w:tcPr>
            <w:tcW w:w="1031" w:type="dxa"/>
            <w:tcBorders>
              <w:top w:val="none" w:sz="0" w:space="0" w:color="auto"/>
              <w:bottom w:val="none" w:sz="0" w:space="0" w:color="auto"/>
            </w:tcBorders>
            <w:vAlign w:val="center"/>
          </w:tcPr>
          <w:p w14:paraId="2694EE7C"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C0497E">
              <w:rPr>
                <w:color w:val="000000"/>
              </w:rPr>
              <w:t>2·6</w:t>
            </w:r>
          </w:p>
        </w:tc>
        <w:tc>
          <w:tcPr>
            <w:tcW w:w="954" w:type="dxa"/>
            <w:tcBorders>
              <w:top w:val="none" w:sz="0" w:space="0" w:color="auto"/>
              <w:bottom w:val="none" w:sz="0" w:space="0" w:color="auto"/>
            </w:tcBorders>
            <w:vAlign w:val="center"/>
          </w:tcPr>
          <w:p w14:paraId="3A8DD0A8"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C0497E">
              <w:rPr>
                <w:color w:val="000000"/>
              </w:rPr>
              <w:t>2·7</w:t>
            </w:r>
          </w:p>
        </w:tc>
        <w:tc>
          <w:tcPr>
            <w:tcW w:w="973" w:type="dxa"/>
            <w:tcBorders>
              <w:top w:val="none" w:sz="0" w:space="0" w:color="auto"/>
              <w:bottom w:val="none" w:sz="0" w:space="0" w:color="auto"/>
            </w:tcBorders>
            <w:vAlign w:val="center"/>
          </w:tcPr>
          <w:p w14:paraId="6D8A8D0D"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C0497E">
              <w:rPr>
                <w:color w:val="000000"/>
              </w:rPr>
              <w:t>6·2</w:t>
            </w:r>
          </w:p>
        </w:tc>
        <w:tc>
          <w:tcPr>
            <w:tcW w:w="786" w:type="dxa"/>
            <w:tcBorders>
              <w:top w:val="none" w:sz="0" w:space="0" w:color="auto"/>
              <w:bottom w:val="none" w:sz="0" w:space="0" w:color="auto"/>
            </w:tcBorders>
            <w:vAlign w:val="center"/>
          </w:tcPr>
          <w:p w14:paraId="77522B9F"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C0497E">
              <w:rPr>
                <w:color w:val="000000"/>
              </w:rPr>
              <w:t>4·9</w:t>
            </w:r>
          </w:p>
        </w:tc>
        <w:tc>
          <w:tcPr>
            <w:tcW w:w="962" w:type="dxa"/>
            <w:tcBorders>
              <w:top w:val="none" w:sz="0" w:space="0" w:color="auto"/>
              <w:bottom w:val="none" w:sz="0" w:space="0" w:color="auto"/>
            </w:tcBorders>
            <w:vAlign w:val="center"/>
          </w:tcPr>
          <w:p w14:paraId="2660755D"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C0497E">
              <w:rPr>
                <w:color w:val="000000"/>
              </w:rPr>
              <w:t>20·8</w:t>
            </w:r>
          </w:p>
        </w:tc>
        <w:tc>
          <w:tcPr>
            <w:tcW w:w="976" w:type="dxa"/>
            <w:tcBorders>
              <w:top w:val="none" w:sz="0" w:space="0" w:color="auto"/>
              <w:bottom w:val="none" w:sz="0" w:space="0" w:color="auto"/>
            </w:tcBorders>
            <w:vAlign w:val="center"/>
          </w:tcPr>
          <w:p w14:paraId="5D833B56"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C0497E">
              <w:rPr>
                <w:color w:val="000000"/>
              </w:rPr>
              <w:t>6·0</w:t>
            </w:r>
          </w:p>
        </w:tc>
        <w:tc>
          <w:tcPr>
            <w:tcW w:w="972" w:type="dxa"/>
            <w:tcBorders>
              <w:top w:val="none" w:sz="0" w:space="0" w:color="auto"/>
              <w:bottom w:val="none" w:sz="0" w:space="0" w:color="auto"/>
            </w:tcBorders>
            <w:vAlign w:val="center"/>
          </w:tcPr>
          <w:p w14:paraId="0E88482F"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C0497E">
              <w:rPr>
                <w:color w:val="000000"/>
              </w:rPr>
              <w:t>6·4</w:t>
            </w:r>
          </w:p>
        </w:tc>
      </w:tr>
      <w:tr w:rsidR="00C0497E" w:rsidRPr="004A6C78" w14:paraId="48EFDD3C" w14:textId="77777777" w:rsidTr="000D1F6B">
        <w:tc>
          <w:tcPr>
            <w:cnfStyle w:val="001000000000" w:firstRow="0" w:lastRow="0" w:firstColumn="1" w:lastColumn="0" w:oddVBand="0" w:evenVBand="0" w:oddHBand="0" w:evenHBand="0" w:firstRowFirstColumn="0" w:firstRowLastColumn="0" w:lastRowFirstColumn="0" w:lastRowLastColumn="0"/>
            <w:tcW w:w="1305" w:type="dxa"/>
            <w:tcBorders>
              <w:bottom w:val="single" w:sz="4" w:space="0" w:color="auto"/>
            </w:tcBorders>
            <w:vAlign w:val="center"/>
          </w:tcPr>
          <w:p w14:paraId="1D1AC75D" w14:textId="77777777" w:rsidR="00B76081" w:rsidRPr="000D1F6B" w:rsidRDefault="00B76081" w:rsidP="00B76081">
            <w:pPr>
              <w:spacing w:line="276" w:lineRule="auto"/>
              <w:jc w:val="center"/>
              <w:rPr>
                <w:b w:val="0"/>
              </w:rPr>
            </w:pPr>
            <w:r w:rsidRPr="00C0497E">
              <w:rPr>
                <w:color w:val="000000"/>
              </w:rPr>
              <w:t>LMIC-LM</w:t>
            </w:r>
          </w:p>
        </w:tc>
        <w:tc>
          <w:tcPr>
            <w:tcW w:w="1092" w:type="dxa"/>
            <w:tcBorders>
              <w:bottom w:val="single" w:sz="4" w:space="0" w:color="auto"/>
            </w:tcBorders>
            <w:vAlign w:val="center"/>
          </w:tcPr>
          <w:p w14:paraId="275EFC0D" w14:textId="77777777" w:rsidR="00B76081" w:rsidRPr="005B280F"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B280F">
              <w:rPr>
                <w:color w:val="000000"/>
              </w:rPr>
              <w:t>1·3</w:t>
            </w:r>
          </w:p>
        </w:tc>
        <w:tc>
          <w:tcPr>
            <w:tcW w:w="787" w:type="dxa"/>
            <w:tcBorders>
              <w:bottom w:val="single" w:sz="4" w:space="0" w:color="auto"/>
            </w:tcBorders>
            <w:vAlign w:val="center"/>
          </w:tcPr>
          <w:p w14:paraId="01F83A38"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1·2</w:t>
            </w:r>
          </w:p>
        </w:tc>
        <w:tc>
          <w:tcPr>
            <w:tcW w:w="962" w:type="dxa"/>
            <w:tcBorders>
              <w:bottom w:val="single" w:sz="4" w:space="0" w:color="auto"/>
            </w:tcBorders>
            <w:vAlign w:val="center"/>
          </w:tcPr>
          <w:p w14:paraId="2ADE325D"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3·9</w:t>
            </w:r>
          </w:p>
        </w:tc>
        <w:tc>
          <w:tcPr>
            <w:tcW w:w="1031" w:type="dxa"/>
            <w:tcBorders>
              <w:bottom w:val="single" w:sz="4" w:space="0" w:color="auto"/>
            </w:tcBorders>
            <w:vAlign w:val="center"/>
          </w:tcPr>
          <w:p w14:paraId="293EE039"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1·2</w:t>
            </w:r>
          </w:p>
        </w:tc>
        <w:tc>
          <w:tcPr>
            <w:tcW w:w="954" w:type="dxa"/>
            <w:tcBorders>
              <w:bottom w:val="single" w:sz="4" w:space="0" w:color="auto"/>
            </w:tcBorders>
            <w:vAlign w:val="center"/>
          </w:tcPr>
          <w:p w14:paraId="6C2CAB4B"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1·3</w:t>
            </w:r>
          </w:p>
        </w:tc>
        <w:tc>
          <w:tcPr>
            <w:tcW w:w="973" w:type="dxa"/>
            <w:tcBorders>
              <w:bottom w:val="single" w:sz="4" w:space="0" w:color="auto"/>
            </w:tcBorders>
            <w:vAlign w:val="center"/>
          </w:tcPr>
          <w:p w14:paraId="08B44C1E"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5·2</w:t>
            </w:r>
          </w:p>
        </w:tc>
        <w:tc>
          <w:tcPr>
            <w:tcW w:w="786" w:type="dxa"/>
            <w:tcBorders>
              <w:bottom w:val="single" w:sz="4" w:space="0" w:color="auto"/>
            </w:tcBorders>
            <w:vAlign w:val="center"/>
          </w:tcPr>
          <w:p w14:paraId="07D8D5B9"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3·7</w:t>
            </w:r>
          </w:p>
        </w:tc>
        <w:tc>
          <w:tcPr>
            <w:tcW w:w="962" w:type="dxa"/>
            <w:tcBorders>
              <w:bottom w:val="single" w:sz="4" w:space="0" w:color="auto"/>
            </w:tcBorders>
            <w:vAlign w:val="center"/>
          </w:tcPr>
          <w:p w14:paraId="248BBDE0"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12·0</w:t>
            </w:r>
          </w:p>
        </w:tc>
        <w:tc>
          <w:tcPr>
            <w:tcW w:w="976" w:type="dxa"/>
            <w:tcBorders>
              <w:bottom w:val="single" w:sz="4" w:space="0" w:color="auto"/>
            </w:tcBorders>
            <w:vAlign w:val="center"/>
          </w:tcPr>
          <w:p w14:paraId="1FFFFF89"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5·0</w:t>
            </w:r>
          </w:p>
        </w:tc>
        <w:tc>
          <w:tcPr>
            <w:tcW w:w="972" w:type="dxa"/>
            <w:tcBorders>
              <w:bottom w:val="single" w:sz="4" w:space="0" w:color="auto"/>
            </w:tcBorders>
            <w:vAlign w:val="center"/>
          </w:tcPr>
          <w:p w14:paraId="3AFAF759"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5·3</w:t>
            </w:r>
          </w:p>
        </w:tc>
      </w:tr>
      <w:tr w:rsidR="00B76081" w:rsidRPr="004A6C78" w14:paraId="6D7EBEC1" w14:textId="77777777" w:rsidTr="000D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gridSpan w:val="11"/>
            <w:tcBorders>
              <w:top w:val="single" w:sz="4" w:space="0" w:color="auto"/>
              <w:bottom w:val="none" w:sz="0" w:space="0" w:color="auto"/>
            </w:tcBorders>
            <w:vAlign w:val="center"/>
          </w:tcPr>
          <w:p w14:paraId="350720B6" w14:textId="77777777" w:rsidR="00B76081" w:rsidRPr="000D1F6B" w:rsidRDefault="00B76081" w:rsidP="00B76081">
            <w:pPr>
              <w:spacing w:line="276" w:lineRule="auto"/>
              <w:jc w:val="center"/>
              <w:rPr>
                <w:b w:val="0"/>
              </w:rPr>
            </w:pPr>
            <w:r w:rsidRPr="00C0497E">
              <w:rPr>
                <w:color w:val="000000"/>
              </w:rPr>
              <w:t>Access-to-Watch Index</w:t>
            </w:r>
          </w:p>
        </w:tc>
      </w:tr>
      <w:tr w:rsidR="00B76081" w:rsidRPr="004A6C78" w14:paraId="67A9F6BE" w14:textId="77777777" w:rsidTr="000D1F6B">
        <w:tc>
          <w:tcPr>
            <w:cnfStyle w:val="001000000000" w:firstRow="0" w:lastRow="0" w:firstColumn="1" w:lastColumn="0" w:oddVBand="0" w:evenVBand="0" w:oddHBand="0" w:evenHBand="0" w:firstRowFirstColumn="0" w:firstRowLastColumn="0" w:lastRowFirstColumn="0" w:lastRowLastColumn="0"/>
            <w:tcW w:w="1305" w:type="dxa"/>
            <w:vMerge w:val="restart"/>
            <w:vAlign w:val="center"/>
          </w:tcPr>
          <w:p w14:paraId="3268EDBF" w14:textId="77777777" w:rsidR="00B76081" w:rsidRPr="000D1F6B" w:rsidRDefault="00B76081" w:rsidP="00B76081">
            <w:pPr>
              <w:spacing w:line="276" w:lineRule="auto"/>
              <w:jc w:val="center"/>
              <w:rPr>
                <w:b w:val="0"/>
                <w:color w:val="000000"/>
              </w:rPr>
            </w:pPr>
            <w:r w:rsidRPr="00C0497E">
              <w:rPr>
                <w:color w:val="000000"/>
              </w:rPr>
              <w:t>Country income</w:t>
            </w:r>
          </w:p>
        </w:tc>
        <w:tc>
          <w:tcPr>
            <w:tcW w:w="4826" w:type="dxa"/>
            <w:gridSpan w:val="5"/>
            <w:tcBorders>
              <w:bottom w:val="single" w:sz="4" w:space="0" w:color="7F7F7F" w:themeColor="text1" w:themeTint="80"/>
            </w:tcBorders>
            <w:vAlign w:val="center"/>
          </w:tcPr>
          <w:p w14:paraId="7E758722" w14:textId="77777777" w:rsidR="00B76081" w:rsidRPr="000D1F6B"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bCs/>
                <w:color w:val="000000"/>
              </w:rPr>
            </w:pPr>
            <w:r w:rsidRPr="000D1F6B">
              <w:rPr>
                <w:bCs/>
                <w:color w:val="000000"/>
              </w:rPr>
              <w:t>2000</w:t>
            </w:r>
          </w:p>
        </w:tc>
        <w:tc>
          <w:tcPr>
            <w:tcW w:w="4669" w:type="dxa"/>
            <w:gridSpan w:val="5"/>
            <w:tcBorders>
              <w:bottom w:val="single" w:sz="4" w:space="0" w:color="7F7F7F" w:themeColor="text1" w:themeTint="80"/>
            </w:tcBorders>
            <w:vAlign w:val="center"/>
          </w:tcPr>
          <w:p w14:paraId="7DCE1FE1" w14:textId="77777777" w:rsidR="00B76081" w:rsidRPr="000D1F6B"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bCs/>
                <w:color w:val="000000"/>
              </w:rPr>
            </w:pPr>
            <w:r w:rsidRPr="000D1F6B">
              <w:rPr>
                <w:bCs/>
                <w:color w:val="000000"/>
              </w:rPr>
              <w:t>2015</w:t>
            </w:r>
          </w:p>
        </w:tc>
      </w:tr>
      <w:tr w:rsidR="00C0497E" w:rsidRPr="004A6C78" w14:paraId="1FEAD329" w14:textId="77777777" w:rsidTr="000D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vMerge/>
            <w:tcBorders>
              <w:bottom w:val="none" w:sz="0" w:space="0" w:color="auto"/>
            </w:tcBorders>
            <w:vAlign w:val="center"/>
          </w:tcPr>
          <w:p w14:paraId="7E6BC889" w14:textId="77777777" w:rsidR="00B76081" w:rsidRPr="000D1F6B" w:rsidRDefault="00B76081" w:rsidP="00B76081">
            <w:pPr>
              <w:spacing w:line="276" w:lineRule="auto"/>
              <w:jc w:val="center"/>
              <w:rPr>
                <w:b w:val="0"/>
                <w:color w:val="000000"/>
              </w:rPr>
            </w:pPr>
          </w:p>
        </w:tc>
        <w:tc>
          <w:tcPr>
            <w:tcW w:w="1092" w:type="dxa"/>
            <w:tcBorders>
              <w:bottom w:val="single" w:sz="4" w:space="0" w:color="auto"/>
            </w:tcBorders>
            <w:vAlign w:val="center"/>
          </w:tcPr>
          <w:p w14:paraId="07F93718" w14:textId="77777777" w:rsidR="00B76081" w:rsidRPr="000D1F6B"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bCs/>
                <w:color w:val="000000"/>
              </w:rPr>
            </w:pPr>
            <w:r w:rsidRPr="000D1F6B">
              <w:rPr>
                <w:bCs/>
                <w:color w:val="000000"/>
              </w:rPr>
              <w:t>Median</w:t>
            </w:r>
          </w:p>
        </w:tc>
        <w:tc>
          <w:tcPr>
            <w:tcW w:w="787" w:type="dxa"/>
            <w:tcBorders>
              <w:bottom w:val="single" w:sz="4" w:space="0" w:color="auto"/>
            </w:tcBorders>
            <w:vAlign w:val="center"/>
          </w:tcPr>
          <w:p w14:paraId="7EC348FD" w14:textId="77777777" w:rsidR="00B76081" w:rsidRPr="000D1F6B"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bCs/>
                <w:color w:val="000000"/>
              </w:rPr>
            </w:pPr>
            <w:r w:rsidRPr="000D1F6B">
              <w:rPr>
                <w:bCs/>
                <w:color w:val="000000"/>
              </w:rPr>
              <w:t>IQR</w:t>
            </w:r>
          </w:p>
        </w:tc>
        <w:tc>
          <w:tcPr>
            <w:tcW w:w="962" w:type="dxa"/>
            <w:tcBorders>
              <w:bottom w:val="single" w:sz="4" w:space="0" w:color="auto"/>
            </w:tcBorders>
            <w:vAlign w:val="center"/>
          </w:tcPr>
          <w:p w14:paraId="24D417BC" w14:textId="77777777" w:rsidR="00B76081" w:rsidRPr="000D1F6B"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bCs/>
                <w:color w:val="000000"/>
              </w:rPr>
            </w:pPr>
            <w:r w:rsidRPr="000D1F6B">
              <w:rPr>
                <w:bCs/>
                <w:color w:val="000000"/>
              </w:rPr>
              <w:t>Range</w:t>
            </w:r>
          </w:p>
        </w:tc>
        <w:tc>
          <w:tcPr>
            <w:tcW w:w="1031" w:type="dxa"/>
            <w:tcBorders>
              <w:bottom w:val="single" w:sz="4" w:space="0" w:color="auto"/>
            </w:tcBorders>
            <w:vAlign w:val="center"/>
          </w:tcPr>
          <w:p w14:paraId="779F4AA8" w14:textId="77777777" w:rsidR="00B76081" w:rsidRPr="000D1F6B"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bCs/>
                <w:color w:val="000000"/>
              </w:rPr>
            </w:pPr>
            <w:r w:rsidRPr="000D1F6B">
              <w:rPr>
                <w:bCs/>
                <w:color w:val="000000"/>
              </w:rPr>
              <w:t>95% Lower CI</w:t>
            </w:r>
            <w:r w:rsidRPr="000D1F6B">
              <w:rPr>
                <w:bCs/>
                <w:color w:val="000000"/>
                <w:vertAlign w:val="superscript"/>
              </w:rPr>
              <w:t>a</w:t>
            </w:r>
          </w:p>
        </w:tc>
        <w:tc>
          <w:tcPr>
            <w:tcW w:w="954" w:type="dxa"/>
            <w:tcBorders>
              <w:bottom w:val="single" w:sz="4" w:space="0" w:color="auto"/>
            </w:tcBorders>
            <w:vAlign w:val="center"/>
          </w:tcPr>
          <w:p w14:paraId="34FFF42F" w14:textId="77777777" w:rsidR="00B76081" w:rsidRPr="000D1F6B"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bCs/>
                <w:color w:val="000000"/>
              </w:rPr>
            </w:pPr>
            <w:r w:rsidRPr="000D1F6B">
              <w:rPr>
                <w:bCs/>
                <w:color w:val="000000"/>
              </w:rPr>
              <w:t>95% Upper CI</w:t>
            </w:r>
            <w:r w:rsidRPr="000D1F6B">
              <w:rPr>
                <w:bCs/>
                <w:color w:val="000000"/>
                <w:vertAlign w:val="superscript"/>
              </w:rPr>
              <w:t>a</w:t>
            </w:r>
          </w:p>
        </w:tc>
        <w:tc>
          <w:tcPr>
            <w:tcW w:w="973" w:type="dxa"/>
            <w:tcBorders>
              <w:bottom w:val="single" w:sz="4" w:space="0" w:color="auto"/>
            </w:tcBorders>
            <w:vAlign w:val="center"/>
          </w:tcPr>
          <w:p w14:paraId="5A47914E" w14:textId="77777777" w:rsidR="00B76081" w:rsidRPr="005B280F"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0D1F6B">
              <w:rPr>
                <w:bCs/>
                <w:color w:val="000000"/>
              </w:rPr>
              <w:t>Median</w:t>
            </w:r>
          </w:p>
        </w:tc>
        <w:tc>
          <w:tcPr>
            <w:tcW w:w="786" w:type="dxa"/>
            <w:tcBorders>
              <w:bottom w:val="single" w:sz="4" w:space="0" w:color="auto"/>
            </w:tcBorders>
            <w:vAlign w:val="center"/>
          </w:tcPr>
          <w:p w14:paraId="069E3C33" w14:textId="77777777" w:rsidR="00B76081" w:rsidRPr="005B280F"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0D1F6B">
              <w:rPr>
                <w:bCs/>
                <w:color w:val="000000"/>
              </w:rPr>
              <w:t>IQR</w:t>
            </w:r>
          </w:p>
        </w:tc>
        <w:tc>
          <w:tcPr>
            <w:tcW w:w="962" w:type="dxa"/>
            <w:tcBorders>
              <w:bottom w:val="single" w:sz="4" w:space="0" w:color="auto"/>
            </w:tcBorders>
            <w:vAlign w:val="center"/>
          </w:tcPr>
          <w:p w14:paraId="7F78225A" w14:textId="77777777" w:rsidR="00B76081" w:rsidRPr="005B280F"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0D1F6B">
              <w:rPr>
                <w:bCs/>
                <w:color w:val="000000"/>
              </w:rPr>
              <w:t>Range</w:t>
            </w:r>
          </w:p>
        </w:tc>
        <w:tc>
          <w:tcPr>
            <w:tcW w:w="976" w:type="dxa"/>
            <w:tcBorders>
              <w:bottom w:val="single" w:sz="4" w:space="0" w:color="auto"/>
            </w:tcBorders>
            <w:vAlign w:val="center"/>
          </w:tcPr>
          <w:p w14:paraId="3ECACEE1" w14:textId="77777777" w:rsidR="00B76081" w:rsidRPr="005B280F"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0D1F6B">
              <w:rPr>
                <w:bCs/>
                <w:color w:val="000000"/>
              </w:rPr>
              <w:t>95% Lower CI</w:t>
            </w:r>
            <w:r w:rsidRPr="000D1F6B">
              <w:rPr>
                <w:bCs/>
                <w:color w:val="000000"/>
                <w:vertAlign w:val="superscript"/>
              </w:rPr>
              <w:t>a</w:t>
            </w:r>
          </w:p>
        </w:tc>
        <w:tc>
          <w:tcPr>
            <w:tcW w:w="972" w:type="dxa"/>
            <w:tcBorders>
              <w:bottom w:val="single" w:sz="4" w:space="0" w:color="auto"/>
            </w:tcBorders>
            <w:vAlign w:val="center"/>
          </w:tcPr>
          <w:p w14:paraId="056F7511" w14:textId="77777777" w:rsidR="00B76081" w:rsidRPr="005B280F"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0D1F6B">
              <w:rPr>
                <w:bCs/>
                <w:color w:val="000000"/>
              </w:rPr>
              <w:t>95% Upper CI</w:t>
            </w:r>
            <w:r w:rsidRPr="000D1F6B">
              <w:rPr>
                <w:bCs/>
                <w:color w:val="000000"/>
                <w:vertAlign w:val="superscript"/>
              </w:rPr>
              <w:t>a</w:t>
            </w:r>
          </w:p>
        </w:tc>
      </w:tr>
      <w:tr w:rsidR="00C0497E" w:rsidRPr="004A6C78" w14:paraId="3FEE3755" w14:textId="77777777" w:rsidTr="000D1F6B">
        <w:tc>
          <w:tcPr>
            <w:cnfStyle w:val="001000000000" w:firstRow="0" w:lastRow="0" w:firstColumn="1" w:lastColumn="0" w:oddVBand="0" w:evenVBand="0" w:oddHBand="0" w:evenHBand="0" w:firstRowFirstColumn="0" w:firstRowLastColumn="0" w:lastRowFirstColumn="0" w:lastRowLastColumn="0"/>
            <w:tcW w:w="0" w:type="dxa"/>
            <w:vAlign w:val="center"/>
          </w:tcPr>
          <w:p w14:paraId="0EB39866" w14:textId="77777777" w:rsidR="00B76081" w:rsidRPr="000D1F6B" w:rsidRDefault="00B76081" w:rsidP="00B76081">
            <w:pPr>
              <w:spacing w:line="276" w:lineRule="auto"/>
              <w:jc w:val="center"/>
              <w:rPr>
                <w:b w:val="0"/>
              </w:rPr>
            </w:pPr>
            <w:r w:rsidRPr="00C0497E">
              <w:rPr>
                <w:color w:val="000000"/>
              </w:rPr>
              <w:t>HIC</w:t>
            </w:r>
          </w:p>
        </w:tc>
        <w:tc>
          <w:tcPr>
            <w:tcW w:w="0" w:type="dxa"/>
            <w:tcBorders>
              <w:top w:val="single" w:sz="4" w:space="0" w:color="auto"/>
            </w:tcBorders>
            <w:vAlign w:val="center"/>
          </w:tcPr>
          <w:p w14:paraId="1AEA45FE" w14:textId="77777777" w:rsidR="00B76081" w:rsidRPr="005B280F"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B280F">
              <w:rPr>
                <w:color w:val="000000"/>
              </w:rPr>
              <w:t>1·8</w:t>
            </w:r>
          </w:p>
        </w:tc>
        <w:tc>
          <w:tcPr>
            <w:tcW w:w="0" w:type="dxa"/>
            <w:tcBorders>
              <w:top w:val="single" w:sz="4" w:space="0" w:color="auto"/>
            </w:tcBorders>
            <w:vAlign w:val="center"/>
          </w:tcPr>
          <w:p w14:paraId="288BD8F2"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1·4</w:t>
            </w:r>
          </w:p>
        </w:tc>
        <w:tc>
          <w:tcPr>
            <w:tcW w:w="0" w:type="dxa"/>
            <w:tcBorders>
              <w:top w:val="single" w:sz="4" w:space="0" w:color="auto"/>
            </w:tcBorders>
            <w:vAlign w:val="center"/>
          </w:tcPr>
          <w:p w14:paraId="180E942F"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4·3</w:t>
            </w:r>
          </w:p>
        </w:tc>
        <w:tc>
          <w:tcPr>
            <w:tcW w:w="0" w:type="dxa"/>
            <w:tcBorders>
              <w:top w:val="single" w:sz="4" w:space="0" w:color="auto"/>
            </w:tcBorders>
            <w:vAlign w:val="center"/>
          </w:tcPr>
          <w:p w14:paraId="02578181"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1·7</w:t>
            </w:r>
          </w:p>
        </w:tc>
        <w:tc>
          <w:tcPr>
            <w:tcW w:w="0" w:type="dxa"/>
            <w:tcBorders>
              <w:top w:val="single" w:sz="4" w:space="0" w:color="auto"/>
            </w:tcBorders>
            <w:vAlign w:val="center"/>
          </w:tcPr>
          <w:p w14:paraId="720FEEB4"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1·8</w:t>
            </w:r>
          </w:p>
        </w:tc>
        <w:tc>
          <w:tcPr>
            <w:tcW w:w="0" w:type="dxa"/>
            <w:tcBorders>
              <w:top w:val="single" w:sz="4" w:space="0" w:color="auto"/>
            </w:tcBorders>
            <w:vAlign w:val="center"/>
          </w:tcPr>
          <w:p w14:paraId="68455C1D"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1·5</w:t>
            </w:r>
          </w:p>
        </w:tc>
        <w:tc>
          <w:tcPr>
            <w:tcW w:w="0" w:type="dxa"/>
            <w:tcBorders>
              <w:top w:val="single" w:sz="4" w:space="0" w:color="auto"/>
            </w:tcBorders>
            <w:vAlign w:val="center"/>
          </w:tcPr>
          <w:p w14:paraId="47EBA485"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1·0</w:t>
            </w:r>
          </w:p>
        </w:tc>
        <w:tc>
          <w:tcPr>
            <w:tcW w:w="0" w:type="dxa"/>
            <w:tcBorders>
              <w:top w:val="single" w:sz="4" w:space="0" w:color="auto"/>
            </w:tcBorders>
            <w:vAlign w:val="center"/>
          </w:tcPr>
          <w:p w14:paraId="36134FF1"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3·9</w:t>
            </w:r>
          </w:p>
        </w:tc>
        <w:tc>
          <w:tcPr>
            <w:tcW w:w="0" w:type="dxa"/>
            <w:tcBorders>
              <w:top w:val="single" w:sz="4" w:space="0" w:color="auto"/>
            </w:tcBorders>
            <w:vAlign w:val="center"/>
          </w:tcPr>
          <w:p w14:paraId="1DEEB149"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1·5</w:t>
            </w:r>
          </w:p>
        </w:tc>
        <w:tc>
          <w:tcPr>
            <w:tcW w:w="0" w:type="dxa"/>
            <w:tcBorders>
              <w:top w:val="single" w:sz="4" w:space="0" w:color="auto"/>
            </w:tcBorders>
            <w:vAlign w:val="center"/>
          </w:tcPr>
          <w:p w14:paraId="6914041A"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1·6</w:t>
            </w:r>
          </w:p>
        </w:tc>
      </w:tr>
      <w:tr w:rsidR="00C0497E" w:rsidRPr="004A6C78" w14:paraId="00AD8A46" w14:textId="77777777" w:rsidTr="000D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top w:val="none" w:sz="0" w:space="0" w:color="auto"/>
              <w:bottom w:val="none" w:sz="0" w:space="0" w:color="auto"/>
            </w:tcBorders>
            <w:vAlign w:val="center"/>
          </w:tcPr>
          <w:p w14:paraId="30CD8236" w14:textId="77777777" w:rsidR="00B76081" w:rsidRPr="000D1F6B" w:rsidRDefault="00B76081" w:rsidP="00B76081">
            <w:pPr>
              <w:spacing w:line="276" w:lineRule="auto"/>
              <w:jc w:val="center"/>
              <w:rPr>
                <w:b w:val="0"/>
              </w:rPr>
            </w:pPr>
            <w:r w:rsidRPr="00C0497E">
              <w:rPr>
                <w:color w:val="000000"/>
              </w:rPr>
              <w:t>LMIC-UM</w:t>
            </w:r>
          </w:p>
        </w:tc>
        <w:tc>
          <w:tcPr>
            <w:tcW w:w="1092" w:type="dxa"/>
            <w:tcBorders>
              <w:top w:val="none" w:sz="0" w:space="0" w:color="auto"/>
              <w:bottom w:val="none" w:sz="0" w:space="0" w:color="auto"/>
            </w:tcBorders>
            <w:vAlign w:val="center"/>
          </w:tcPr>
          <w:p w14:paraId="57090C49" w14:textId="77777777" w:rsidR="00B76081" w:rsidRPr="005B280F"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5B280F">
              <w:rPr>
                <w:color w:val="000000"/>
              </w:rPr>
              <w:t>2·7</w:t>
            </w:r>
          </w:p>
        </w:tc>
        <w:tc>
          <w:tcPr>
            <w:tcW w:w="787" w:type="dxa"/>
            <w:tcBorders>
              <w:top w:val="none" w:sz="0" w:space="0" w:color="auto"/>
              <w:bottom w:val="none" w:sz="0" w:space="0" w:color="auto"/>
            </w:tcBorders>
            <w:vAlign w:val="center"/>
          </w:tcPr>
          <w:p w14:paraId="11292EFA"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C0497E">
              <w:rPr>
                <w:color w:val="000000"/>
              </w:rPr>
              <w:t>1·1</w:t>
            </w:r>
          </w:p>
        </w:tc>
        <w:tc>
          <w:tcPr>
            <w:tcW w:w="962" w:type="dxa"/>
            <w:tcBorders>
              <w:top w:val="none" w:sz="0" w:space="0" w:color="auto"/>
              <w:bottom w:val="none" w:sz="0" w:space="0" w:color="auto"/>
            </w:tcBorders>
            <w:vAlign w:val="center"/>
          </w:tcPr>
          <w:p w14:paraId="73FBFA38"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C0497E">
              <w:rPr>
                <w:color w:val="000000"/>
              </w:rPr>
              <w:t>4·4</w:t>
            </w:r>
          </w:p>
        </w:tc>
        <w:tc>
          <w:tcPr>
            <w:tcW w:w="1031" w:type="dxa"/>
            <w:tcBorders>
              <w:top w:val="none" w:sz="0" w:space="0" w:color="auto"/>
              <w:bottom w:val="none" w:sz="0" w:space="0" w:color="auto"/>
            </w:tcBorders>
            <w:vAlign w:val="center"/>
          </w:tcPr>
          <w:p w14:paraId="24BB2889"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C0497E">
              <w:rPr>
                <w:color w:val="000000"/>
              </w:rPr>
              <w:t>2·6</w:t>
            </w:r>
          </w:p>
        </w:tc>
        <w:tc>
          <w:tcPr>
            <w:tcW w:w="954" w:type="dxa"/>
            <w:tcBorders>
              <w:top w:val="none" w:sz="0" w:space="0" w:color="auto"/>
              <w:bottom w:val="none" w:sz="0" w:space="0" w:color="auto"/>
            </w:tcBorders>
            <w:vAlign w:val="center"/>
          </w:tcPr>
          <w:p w14:paraId="3B0EE2B7"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C0497E">
              <w:rPr>
                <w:color w:val="000000"/>
              </w:rPr>
              <w:t>2·8</w:t>
            </w:r>
          </w:p>
        </w:tc>
        <w:tc>
          <w:tcPr>
            <w:tcW w:w="973" w:type="dxa"/>
            <w:tcBorders>
              <w:top w:val="none" w:sz="0" w:space="0" w:color="auto"/>
              <w:bottom w:val="none" w:sz="0" w:space="0" w:color="auto"/>
            </w:tcBorders>
            <w:vAlign w:val="center"/>
          </w:tcPr>
          <w:p w14:paraId="451C633E"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C0497E">
              <w:rPr>
                <w:color w:val="000000"/>
              </w:rPr>
              <w:t>1·7</w:t>
            </w:r>
          </w:p>
        </w:tc>
        <w:tc>
          <w:tcPr>
            <w:tcW w:w="786" w:type="dxa"/>
            <w:tcBorders>
              <w:top w:val="none" w:sz="0" w:space="0" w:color="auto"/>
              <w:bottom w:val="none" w:sz="0" w:space="0" w:color="auto"/>
            </w:tcBorders>
            <w:vAlign w:val="center"/>
          </w:tcPr>
          <w:p w14:paraId="6D18166A"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C0497E">
              <w:rPr>
                <w:color w:val="000000"/>
              </w:rPr>
              <w:t>0·4</w:t>
            </w:r>
          </w:p>
        </w:tc>
        <w:tc>
          <w:tcPr>
            <w:tcW w:w="962" w:type="dxa"/>
            <w:tcBorders>
              <w:top w:val="none" w:sz="0" w:space="0" w:color="auto"/>
              <w:bottom w:val="none" w:sz="0" w:space="0" w:color="auto"/>
            </w:tcBorders>
            <w:vAlign w:val="center"/>
          </w:tcPr>
          <w:p w14:paraId="5020D8FE"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C0497E">
              <w:rPr>
                <w:color w:val="000000"/>
              </w:rPr>
              <w:t>4·3</w:t>
            </w:r>
          </w:p>
        </w:tc>
        <w:tc>
          <w:tcPr>
            <w:tcW w:w="976" w:type="dxa"/>
            <w:tcBorders>
              <w:top w:val="none" w:sz="0" w:space="0" w:color="auto"/>
              <w:bottom w:val="none" w:sz="0" w:space="0" w:color="auto"/>
            </w:tcBorders>
            <w:vAlign w:val="center"/>
          </w:tcPr>
          <w:p w14:paraId="1731651D"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C0497E">
              <w:rPr>
                <w:color w:val="000000"/>
              </w:rPr>
              <w:t>1·6</w:t>
            </w:r>
          </w:p>
        </w:tc>
        <w:tc>
          <w:tcPr>
            <w:tcW w:w="972" w:type="dxa"/>
            <w:tcBorders>
              <w:top w:val="none" w:sz="0" w:space="0" w:color="auto"/>
              <w:bottom w:val="none" w:sz="0" w:space="0" w:color="auto"/>
            </w:tcBorders>
            <w:vAlign w:val="center"/>
          </w:tcPr>
          <w:p w14:paraId="5D00BF08" w14:textId="77777777" w:rsidR="00B76081" w:rsidRPr="00C0497E" w:rsidRDefault="00B76081" w:rsidP="00B76081">
            <w:pPr>
              <w:spacing w:line="276" w:lineRule="auto"/>
              <w:jc w:val="center"/>
              <w:cnfStyle w:val="000000100000" w:firstRow="0" w:lastRow="0" w:firstColumn="0" w:lastColumn="0" w:oddVBand="0" w:evenVBand="0" w:oddHBand="1" w:evenHBand="0" w:firstRowFirstColumn="0" w:firstRowLastColumn="0" w:lastRowFirstColumn="0" w:lastRowLastColumn="0"/>
            </w:pPr>
            <w:r w:rsidRPr="00C0497E">
              <w:rPr>
                <w:color w:val="000000"/>
              </w:rPr>
              <w:t>1·7</w:t>
            </w:r>
          </w:p>
        </w:tc>
      </w:tr>
      <w:tr w:rsidR="00C0497E" w:rsidRPr="004A6C78" w14:paraId="5612A697" w14:textId="77777777" w:rsidTr="000D1F6B">
        <w:tc>
          <w:tcPr>
            <w:cnfStyle w:val="001000000000" w:firstRow="0" w:lastRow="0" w:firstColumn="1" w:lastColumn="0" w:oddVBand="0" w:evenVBand="0" w:oddHBand="0" w:evenHBand="0" w:firstRowFirstColumn="0" w:firstRowLastColumn="0" w:lastRowFirstColumn="0" w:lastRowLastColumn="0"/>
            <w:tcW w:w="1305" w:type="dxa"/>
            <w:tcBorders>
              <w:bottom w:val="single" w:sz="4" w:space="0" w:color="auto"/>
            </w:tcBorders>
            <w:vAlign w:val="center"/>
          </w:tcPr>
          <w:p w14:paraId="1C9E5648" w14:textId="77777777" w:rsidR="00B76081" w:rsidRPr="000D1F6B" w:rsidRDefault="00B76081" w:rsidP="00B76081">
            <w:pPr>
              <w:spacing w:line="276" w:lineRule="auto"/>
              <w:jc w:val="center"/>
              <w:rPr>
                <w:b w:val="0"/>
              </w:rPr>
            </w:pPr>
            <w:r w:rsidRPr="00C0497E">
              <w:rPr>
                <w:color w:val="000000"/>
              </w:rPr>
              <w:t>LMIC-LM</w:t>
            </w:r>
          </w:p>
        </w:tc>
        <w:tc>
          <w:tcPr>
            <w:tcW w:w="1092" w:type="dxa"/>
            <w:tcBorders>
              <w:bottom w:val="single" w:sz="4" w:space="0" w:color="auto"/>
            </w:tcBorders>
            <w:vAlign w:val="center"/>
          </w:tcPr>
          <w:p w14:paraId="0160BA24" w14:textId="77777777" w:rsidR="00B76081" w:rsidRPr="005B280F"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5B280F">
              <w:rPr>
                <w:color w:val="000000"/>
              </w:rPr>
              <w:t>3·8</w:t>
            </w:r>
          </w:p>
        </w:tc>
        <w:tc>
          <w:tcPr>
            <w:tcW w:w="787" w:type="dxa"/>
            <w:tcBorders>
              <w:bottom w:val="single" w:sz="4" w:space="0" w:color="auto"/>
            </w:tcBorders>
            <w:vAlign w:val="center"/>
          </w:tcPr>
          <w:p w14:paraId="76D1959C"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2·9</w:t>
            </w:r>
          </w:p>
        </w:tc>
        <w:tc>
          <w:tcPr>
            <w:tcW w:w="962" w:type="dxa"/>
            <w:tcBorders>
              <w:bottom w:val="single" w:sz="4" w:space="0" w:color="auto"/>
            </w:tcBorders>
            <w:vAlign w:val="center"/>
          </w:tcPr>
          <w:p w14:paraId="61656F67"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5·3</w:t>
            </w:r>
          </w:p>
        </w:tc>
        <w:tc>
          <w:tcPr>
            <w:tcW w:w="1031" w:type="dxa"/>
            <w:tcBorders>
              <w:bottom w:val="single" w:sz="4" w:space="0" w:color="auto"/>
            </w:tcBorders>
            <w:vAlign w:val="center"/>
          </w:tcPr>
          <w:p w14:paraId="0B6FBB6E"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3·7</w:t>
            </w:r>
          </w:p>
        </w:tc>
        <w:tc>
          <w:tcPr>
            <w:tcW w:w="954" w:type="dxa"/>
            <w:tcBorders>
              <w:bottom w:val="single" w:sz="4" w:space="0" w:color="auto"/>
            </w:tcBorders>
            <w:vAlign w:val="center"/>
          </w:tcPr>
          <w:p w14:paraId="58762BD9"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C0497E">
              <w:rPr>
                <w:color w:val="000000"/>
              </w:rPr>
              <w:t>3·9</w:t>
            </w:r>
          </w:p>
        </w:tc>
        <w:tc>
          <w:tcPr>
            <w:tcW w:w="973" w:type="dxa"/>
            <w:tcBorders>
              <w:bottom w:val="single" w:sz="4" w:space="0" w:color="auto"/>
            </w:tcBorders>
            <w:vAlign w:val="center"/>
          </w:tcPr>
          <w:p w14:paraId="487D0936"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1·4</w:t>
            </w:r>
          </w:p>
        </w:tc>
        <w:tc>
          <w:tcPr>
            <w:tcW w:w="786" w:type="dxa"/>
            <w:tcBorders>
              <w:bottom w:val="single" w:sz="4" w:space="0" w:color="auto"/>
            </w:tcBorders>
            <w:vAlign w:val="center"/>
          </w:tcPr>
          <w:p w14:paraId="7FD72D3D"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1·1</w:t>
            </w:r>
          </w:p>
        </w:tc>
        <w:tc>
          <w:tcPr>
            <w:tcW w:w="962" w:type="dxa"/>
            <w:tcBorders>
              <w:bottom w:val="single" w:sz="4" w:space="0" w:color="auto"/>
            </w:tcBorders>
            <w:vAlign w:val="center"/>
          </w:tcPr>
          <w:p w14:paraId="7CEF6814"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2·9</w:t>
            </w:r>
          </w:p>
        </w:tc>
        <w:tc>
          <w:tcPr>
            <w:tcW w:w="976" w:type="dxa"/>
            <w:tcBorders>
              <w:bottom w:val="single" w:sz="4" w:space="0" w:color="auto"/>
            </w:tcBorders>
            <w:vAlign w:val="center"/>
          </w:tcPr>
          <w:p w14:paraId="0778CF44"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1·4</w:t>
            </w:r>
          </w:p>
        </w:tc>
        <w:tc>
          <w:tcPr>
            <w:tcW w:w="972" w:type="dxa"/>
            <w:tcBorders>
              <w:bottom w:val="single" w:sz="4" w:space="0" w:color="auto"/>
            </w:tcBorders>
            <w:vAlign w:val="center"/>
          </w:tcPr>
          <w:p w14:paraId="40B40AE4" w14:textId="77777777" w:rsidR="00B76081" w:rsidRPr="00C0497E" w:rsidRDefault="00B76081" w:rsidP="00B76081">
            <w:pPr>
              <w:spacing w:line="276" w:lineRule="auto"/>
              <w:jc w:val="center"/>
              <w:cnfStyle w:val="000000000000" w:firstRow="0" w:lastRow="0" w:firstColumn="0" w:lastColumn="0" w:oddVBand="0" w:evenVBand="0" w:oddHBand="0" w:evenHBand="0" w:firstRowFirstColumn="0" w:firstRowLastColumn="0" w:lastRowFirstColumn="0" w:lastRowLastColumn="0"/>
            </w:pPr>
            <w:r w:rsidRPr="00C0497E">
              <w:rPr>
                <w:color w:val="000000"/>
              </w:rPr>
              <w:t>1·5</w:t>
            </w:r>
          </w:p>
        </w:tc>
      </w:tr>
      <w:tr w:rsidR="00C0497E" w:rsidRPr="004A6C78" w14:paraId="7F9E7203" w14:textId="77777777" w:rsidTr="000D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11"/>
            <w:tcBorders>
              <w:top w:val="single" w:sz="4" w:space="0" w:color="auto"/>
              <w:bottom w:val="none" w:sz="0" w:space="0" w:color="auto"/>
            </w:tcBorders>
            <w:vAlign w:val="center"/>
          </w:tcPr>
          <w:p w14:paraId="286D2E85" w14:textId="14A08D93" w:rsidR="00C0497E" w:rsidRPr="000D1F6B" w:rsidRDefault="00C0497E" w:rsidP="000D1F6B">
            <w:pPr>
              <w:spacing w:line="276" w:lineRule="auto"/>
              <w:rPr>
                <w:b w:val="0"/>
                <w:color w:val="000000"/>
              </w:rPr>
            </w:pPr>
            <w:r w:rsidRPr="000D1F6B">
              <w:rPr>
                <w:color w:val="000000"/>
                <w:vertAlign w:val="superscript"/>
              </w:rPr>
              <w:t>a</w:t>
            </w:r>
            <w:r>
              <w:rPr>
                <w:b w:val="0"/>
                <w:color w:val="000000"/>
              </w:rPr>
              <w:t xml:space="preserve"> Confidence interval calculated as 5% total increase in variation of consumption</w:t>
            </w:r>
          </w:p>
        </w:tc>
      </w:tr>
    </w:tbl>
    <w:p w14:paraId="79398B35" w14:textId="302A6E03" w:rsidR="00C0497E" w:rsidRDefault="00C0497E">
      <w:pPr>
        <w:sectPr w:rsidR="00C0497E" w:rsidSect="000D1F6B">
          <w:pgSz w:w="12240" w:h="15840"/>
          <w:pgMar w:top="1440" w:right="720" w:bottom="1440" w:left="720" w:header="720" w:footer="720" w:gutter="0"/>
          <w:cols w:space="720"/>
          <w:docGrid w:linePitch="360"/>
        </w:sectPr>
      </w:pPr>
    </w:p>
    <w:p w14:paraId="56C2242E" w14:textId="3035D836" w:rsidR="0068312C" w:rsidRPr="00085610" w:rsidRDefault="0068312C">
      <w:pPr>
        <w:rPr>
          <w:color w:val="000000" w:themeColor="text1"/>
        </w:rPr>
      </w:pPr>
    </w:p>
    <w:p w14:paraId="3D3103F4" w14:textId="3F8EE9E3" w:rsidR="003A2D7E" w:rsidRDefault="00844663" w:rsidP="002F6142">
      <w:pPr>
        <w:rPr>
          <w:b/>
        </w:rPr>
      </w:pPr>
      <w:r>
        <w:rPr>
          <w:b/>
          <w:noProof/>
        </w:rPr>
        <w:drawing>
          <wp:inline distT="0" distB="0" distL="0" distR="0" wp14:anchorId="0C662C50" wp14:editId="70ACF538">
            <wp:extent cx="5943600" cy="334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340100"/>
                    </a:xfrm>
                    <a:prstGeom prst="rect">
                      <a:avLst/>
                    </a:prstGeom>
                  </pic:spPr>
                </pic:pic>
              </a:graphicData>
            </a:graphic>
          </wp:inline>
        </w:drawing>
      </w:r>
    </w:p>
    <w:p w14:paraId="47E33B71" w14:textId="77777777" w:rsidR="003A2D7E" w:rsidRDefault="003A2D7E" w:rsidP="002F6142">
      <w:pPr>
        <w:rPr>
          <w:b/>
        </w:rPr>
      </w:pPr>
    </w:p>
    <w:p w14:paraId="788ED2B5" w14:textId="1C7176B2" w:rsidR="002F6142" w:rsidRPr="00601899" w:rsidRDefault="002F6142" w:rsidP="002F6142">
      <w:pPr>
        <w:rPr>
          <w:i/>
          <w:color w:val="000000" w:themeColor="text1"/>
        </w:rPr>
      </w:pPr>
      <w:r w:rsidRPr="00601899">
        <w:rPr>
          <w:b/>
        </w:rPr>
        <w:t xml:space="preserve">Figure 1. Percentage antibiotic </w:t>
      </w:r>
      <w:r w:rsidR="00C60301">
        <w:rPr>
          <w:b/>
        </w:rPr>
        <w:t>consumption</w:t>
      </w:r>
      <w:r w:rsidRPr="00601899">
        <w:rPr>
          <w:b/>
        </w:rPr>
        <w:t xml:space="preserve"> according to WHO AW</w:t>
      </w:r>
      <w:r w:rsidR="005F23C6">
        <w:rPr>
          <w:b/>
        </w:rPr>
        <w:t>a</w:t>
      </w:r>
      <w:r w:rsidRPr="00601899">
        <w:rPr>
          <w:b/>
        </w:rPr>
        <w:t>Re grouping, 2015</w:t>
      </w:r>
    </w:p>
    <w:p w14:paraId="1A365A13" w14:textId="2DBEBF77" w:rsidR="002F6142" w:rsidRPr="00F1455F" w:rsidRDefault="002F6142" w:rsidP="002F6142">
      <w:pPr>
        <w:rPr>
          <w:bCs/>
          <w:color w:val="000000" w:themeColor="text1"/>
          <w:sz w:val="21"/>
          <w:szCs w:val="21"/>
        </w:rPr>
      </w:pPr>
      <w:r w:rsidRPr="00281866">
        <w:rPr>
          <w:color w:val="000000" w:themeColor="text1"/>
          <w:sz w:val="21"/>
          <w:szCs w:val="21"/>
        </w:rPr>
        <w:t xml:space="preserve">Based on total national antibiotic </w:t>
      </w:r>
      <w:r w:rsidR="00C60301">
        <w:rPr>
          <w:color w:val="000000" w:themeColor="text1"/>
          <w:sz w:val="21"/>
          <w:szCs w:val="21"/>
        </w:rPr>
        <w:t>consumption</w:t>
      </w:r>
      <w:r w:rsidR="008A2373">
        <w:rPr>
          <w:color w:val="000000" w:themeColor="text1"/>
          <w:sz w:val="21"/>
          <w:szCs w:val="21"/>
        </w:rPr>
        <w:t xml:space="preserve"> </w:t>
      </w:r>
      <w:r w:rsidR="00CE14EC">
        <w:rPr>
          <w:color w:val="000000" w:themeColor="text1"/>
          <w:sz w:val="21"/>
          <w:szCs w:val="21"/>
        </w:rPr>
        <w:t>measured</w:t>
      </w:r>
      <w:r w:rsidRPr="00281866">
        <w:rPr>
          <w:color w:val="000000" w:themeColor="text1"/>
          <w:sz w:val="21"/>
          <w:szCs w:val="21"/>
        </w:rPr>
        <w:t xml:space="preserve"> in d</w:t>
      </w:r>
      <w:r w:rsidRPr="006B6F63">
        <w:rPr>
          <w:color w:val="000000" w:themeColor="text1"/>
          <w:sz w:val="21"/>
          <w:szCs w:val="21"/>
        </w:rPr>
        <w:t>efined daily doses (DDDs)</w:t>
      </w:r>
      <w:r w:rsidR="002C2AFF">
        <w:rPr>
          <w:color w:val="000000" w:themeColor="text1"/>
          <w:sz w:val="21"/>
          <w:szCs w:val="21"/>
        </w:rPr>
        <w:t xml:space="preserve"> with </w:t>
      </w:r>
      <w:r w:rsidR="002C2AFF" w:rsidRPr="00281866">
        <w:rPr>
          <w:color w:val="000000" w:themeColor="text1"/>
          <w:sz w:val="21"/>
          <w:szCs w:val="21"/>
        </w:rPr>
        <w:t xml:space="preserve">considerable inter-country variation in the proportions of Access and Watch antibiotic </w:t>
      </w:r>
      <w:r w:rsidR="009D4D91">
        <w:rPr>
          <w:color w:val="000000" w:themeColor="text1"/>
          <w:sz w:val="21"/>
          <w:szCs w:val="21"/>
        </w:rPr>
        <w:t>consumption</w:t>
      </w:r>
      <w:r w:rsidRPr="006B6F63">
        <w:rPr>
          <w:color w:val="000000" w:themeColor="text1"/>
          <w:sz w:val="21"/>
          <w:szCs w:val="21"/>
        </w:rPr>
        <w:t>. The red line marks the WHO target of</w:t>
      </w:r>
      <w:r w:rsidR="008C5132">
        <w:rPr>
          <w:color w:val="000000" w:themeColor="text1"/>
          <w:sz w:val="21"/>
          <w:szCs w:val="21"/>
        </w:rPr>
        <w:t xml:space="preserve"> at least</w:t>
      </w:r>
      <w:r w:rsidRPr="006B6F63">
        <w:rPr>
          <w:color w:val="000000" w:themeColor="text1"/>
          <w:sz w:val="21"/>
          <w:szCs w:val="21"/>
        </w:rPr>
        <w:t xml:space="preserve"> 60% Access antibiotics to combat </w:t>
      </w:r>
      <w:r w:rsidR="005F23C6">
        <w:rPr>
          <w:color w:val="000000" w:themeColor="text1"/>
          <w:sz w:val="21"/>
          <w:szCs w:val="21"/>
        </w:rPr>
        <w:t>antibiotic resistance</w:t>
      </w:r>
      <w:r w:rsidRPr="006B6F63">
        <w:rPr>
          <w:color w:val="000000" w:themeColor="text1"/>
          <w:sz w:val="21"/>
          <w:szCs w:val="21"/>
        </w:rPr>
        <w:t>.</w:t>
      </w:r>
      <w:r w:rsidR="00CE14EC">
        <w:rPr>
          <w:color w:val="000000" w:themeColor="text1"/>
          <w:sz w:val="21"/>
          <w:szCs w:val="21"/>
        </w:rPr>
        <w:t xml:space="preserve"> </w:t>
      </w:r>
      <w:r w:rsidRPr="00281866">
        <w:rPr>
          <w:color w:val="000000" w:themeColor="text1"/>
          <w:sz w:val="21"/>
          <w:szCs w:val="21"/>
        </w:rPr>
        <w:t>Source: IQVIA</w:t>
      </w:r>
      <w:r w:rsidRPr="00281866" w:rsidDel="005B0986">
        <w:rPr>
          <w:color w:val="000000" w:themeColor="text1"/>
          <w:sz w:val="21"/>
          <w:szCs w:val="21"/>
        </w:rPr>
        <w:t xml:space="preserve"> </w:t>
      </w:r>
      <w:r w:rsidRPr="00281866">
        <w:rPr>
          <w:color w:val="000000" w:themeColor="text1"/>
          <w:sz w:val="21"/>
          <w:szCs w:val="21"/>
        </w:rPr>
        <w:t>MIDAS, 2000–2015, IQVIA</w:t>
      </w:r>
      <w:r w:rsidRPr="00281866" w:rsidDel="005B0986">
        <w:rPr>
          <w:color w:val="000000" w:themeColor="text1"/>
          <w:sz w:val="21"/>
          <w:szCs w:val="21"/>
        </w:rPr>
        <w:t xml:space="preserve"> </w:t>
      </w:r>
      <w:r w:rsidRPr="00281866">
        <w:rPr>
          <w:color w:val="000000" w:themeColor="text1"/>
          <w:sz w:val="21"/>
          <w:szCs w:val="21"/>
        </w:rPr>
        <w:t>Inc. All rights reserved.</w:t>
      </w:r>
    </w:p>
    <w:p w14:paraId="0EB836B4" w14:textId="77777777" w:rsidR="0068312C" w:rsidRDefault="0068312C">
      <w:r>
        <w:br w:type="page"/>
      </w:r>
    </w:p>
    <w:p w14:paraId="78C4E52D" w14:textId="091DFFFA" w:rsidR="00376797" w:rsidRDefault="00376797"/>
    <w:p w14:paraId="6A616396" w14:textId="3536573F" w:rsidR="00376797" w:rsidRDefault="00376797"/>
    <w:p w14:paraId="00BDD8FE" w14:textId="0E3A383B" w:rsidR="00376797" w:rsidRDefault="00376797"/>
    <w:p w14:paraId="6A8BEC80" w14:textId="14FCD144" w:rsidR="00376797" w:rsidRDefault="00376797"/>
    <w:p w14:paraId="4AE1671B" w14:textId="1CB464F7" w:rsidR="00376797" w:rsidRDefault="00B76081" w:rsidP="00C31841">
      <w:pPr>
        <w:jc w:val="center"/>
      </w:pPr>
      <w:r>
        <w:rPr>
          <w:noProof/>
        </w:rPr>
        <w:drawing>
          <wp:inline distT="0" distB="0" distL="0" distR="0" wp14:anchorId="4AF564BB" wp14:editId="10292CED">
            <wp:extent cx="5467660" cy="312089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2.png"/>
                    <pic:cNvPicPr/>
                  </pic:nvPicPr>
                  <pic:blipFill>
                    <a:blip r:embed="rId8">
                      <a:extLst>
                        <a:ext uri="{28A0092B-C50C-407E-A947-70E740481C1C}">
                          <a14:useLocalDpi xmlns:a14="http://schemas.microsoft.com/office/drawing/2010/main" val="0"/>
                        </a:ext>
                      </a:extLst>
                    </a:blip>
                    <a:stretch>
                      <a:fillRect/>
                    </a:stretch>
                  </pic:blipFill>
                  <pic:spPr>
                    <a:xfrm>
                      <a:off x="0" y="0"/>
                      <a:ext cx="5467660" cy="3120894"/>
                    </a:xfrm>
                    <a:prstGeom prst="rect">
                      <a:avLst/>
                    </a:prstGeom>
                  </pic:spPr>
                </pic:pic>
              </a:graphicData>
            </a:graphic>
          </wp:inline>
        </w:drawing>
      </w:r>
    </w:p>
    <w:p w14:paraId="2122DBD2" w14:textId="77777777" w:rsidR="00C31841" w:rsidRDefault="00C31841" w:rsidP="00601113">
      <w:pPr>
        <w:rPr>
          <w:b/>
          <w:bCs/>
        </w:rPr>
      </w:pPr>
    </w:p>
    <w:p w14:paraId="547946C3" w14:textId="7927F149" w:rsidR="005F23C6" w:rsidRDefault="00601113" w:rsidP="00601113">
      <w:pPr>
        <w:rPr>
          <w:sz w:val="21"/>
          <w:szCs w:val="21"/>
        </w:rPr>
      </w:pPr>
      <w:r>
        <w:rPr>
          <w:b/>
          <w:bCs/>
        </w:rPr>
        <w:t xml:space="preserve">Figure 2. </w:t>
      </w:r>
      <w:r w:rsidR="005F23C6">
        <w:rPr>
          <w:b/>
          <w:bCs/>
        </w:rPr>
        <w:t>Relative and absolute con</w:t>
      </w:r>
      <w:r w:rsidRPr="00DE7154">
        <w:rPr>
          <w:b/>
          <w:bCs/>
        </w:rPr>
        <w:t xml:space="preserve">sumption </w:t>
      </w:r>
      <w:r w:rsidR="005F23C6" w:rsidRPr="005F23C6">
        <w:rPr>
          <w:b/>
          <w:bCs/>
        </w:rPr>
        <w:t>of Access</w:t>
      </w:r>
      <w:r w:rsidR="005F23C6">
        <w:rPr>
          <w:b/>
          <w:bCs/>
        </w:rPr>
        <w:t xml:space="preserve"> and </w:t>
      </w:r>
      <w:r w:rsidR="005F23C6" w:rsidRPr="005F23C6">
        <w:rPr>
          <w:b/>
          <w:bCs/>
        </w:rPr>
        <w:t>Watch antibiotics</w:t>
      </w:r>
      <w:r w:rsidR="005F23C6" w:rsidRPr="00C94A43">
        <w:rPr>
          <w:b/>
          <w:sz w:val="21"/>
          <w:szCs w:val="21"/>
        </w:rPr>
        <w:t>, 2000-2015</w:t>
      </w:r>
    </w:p>
    <w:p w14:paraId="019242FB" w14:textId="2488B914" w:rsidR="00601113" w:rsidRPr="004D01DC" w:rsidRDefault="005F23C6" w:rsidP="00601113">
      <w:pPr>
        <w:rPr>
          <w:sz w:val="21"/>
          <w:szCs w:val="21"/>
        </w:rPr>
      </w:pPr>
      <w:r>
        <w:rPr>
          <w:sz w:val="21"/>
          <w:szCs w:val="21"/>
        </w:rPr>
        <w:t xml:space="preserve">Median consumption </w:t>
      </w:r>
      <w:r w:rsidR="0084301B">
        <w:rPr>
          <w:sz w:val="21"/>
          <w:szCs w:val="21"/>
        </w:rPr>
        <w:t xml:space="preserve">in </w:t>
      </w:r>
      <w:r w:rsidR="0084301B">
        <w:rPr>
          <w:color w:val="000000" w:themeColor="text1"/>
          <w:sz w:val="21"/>
          <w:szCs w:val="21"/>
        </w:rPr>
        <w:t xml:space="preserve">high-income </w:t>
      </w:r>
      <w:r w:rsidR="0084301B" w:rsidRPr="00B505D2">
        <w:rPr>
          <w:color w:val="000000" w:themeColor="text1"/>
          <w:sz w:val="21"/>
          <w:szCs w:val="21"/>
        </w:rPr>
        <w:t>countries</w:t>
      </w:r>
      <w:r w:rsidR="0084301B">
        <w:rPr>
          <w:color w:val="000000" w:themeColor="text1"/>
          <w:sz w:val="21"/>
          <w:szCs w:val="21"/>
        </w:rPr>
        <w:t xml:space="preserve"> (HICs), upper-middle low- and middle-income countries (LMIC-UM), and lower-middle low- and middle-income countries (LMIC-LM) </w:t>
      </w:r>
      <w:r w:rsidRPr="004D01DC">
        <w:rPr>
          <w:sz w:val="21"/>
          <w:szCs w:val="21"/>
        </w:rPr>
        <w:t xml:space="preserve">expressed in </w:t>
      </w:r>
      <w:r w:rsidR="008A2373">
        <w:rPr>
          <w:sz w:val="21"/>
          <w:szCs w:val="21"/>
        </w:rPr>
        <w:t>defined daily doses (DDDs) per 1,000 inhabitants per day (</w:t>
      </w:r>
      <w:r w:rsidRPr="004D01DC">
        <w:rPr>
          <w:sz w:val="21"/>
          <w:szCs w:val="21"/>
        </w:rPr>
        <w:t>D</w:t>
      </w:r>
      <w:r w:rsidR="00FE2E5F">
        <w:rPr>
          <w:sz w:val="21"/>
          <w:szCs w:val="21"/>
        </w:rPr>
        <w:t>I</w:t>
      </w:r>
      <w:r w:rsidRPr="004D01DC">
        <w:rPr>
          <w:sz w:val="21"/>
          <w:szCs w:val="21"/>
        </w:rPr>
        <w:t>Ds</w:t>
      </w:r>
      <w:r w:rsidR="008A2373">
        <w:rPr>
          <w:sz w:val="21"/>
          <w:szCs w:val="21"/>
        </w:rPr>
        <w:t>)</w:t>
      </w:r>
      <w:r>
        <w:rPr>
          <w:sz w:val="21"/>
          <w:szCs w:val="21"/>
        </w:rPr>
        <w:t xml:space="preserve"> for </w:t>
      </w:r>
      <w:r w:rsidRPr="005F23C6">
        <w:rPr>
          <w:sz w:val="21"/>
          <w:szCs w:val="21"/>
        </w:rPr>
        <w:t>(A) Access and (B) Watch antibiotics</w:t>
      </w:r>
      <w:r>
        <w:rPr>
          <w:sz w:val="21"/>
          <w:szCs w:val="21"/>
        </w:rPr>
        <w:t xml:space="preserve">. The </w:t>
      </w:r>
      <w:r w:rsidRPr="005F23C6">
        <w:rPr>
          <w:sz w:val="21"/>
          <w:szCs w:val="21"/>
        </w:rPr>
        <w:t>Access-to-Watch Index</w:t>
      </w:r>
      <w:r>
        <w:rPr>
          <w:sz w:val="21"/>
          <w:szCs w:val="21"/>
        </w:rPr>
        <w:t xml:space="preserve"> (C), which measures the </w:t>
      </w:r>
      <w:r w:rsidRPr="005F23C6">
        <w:rPr>
          <w:sz w:val="21"/>
          <w:szCs w:val="21"/>
        </w:rPr>
        <w:t xml:space="preserve">ratio of </w:t>
      </w:r>
      <w:r w:rsidR="00580DCB" w:rsidRPr="005F23C6">
        <w:rPr>
          <w:sz w:val="21"/>
          <w:szCs w:val="21"/>
        </w:rPr>
        <w:t>D</w:t>
      </w:r>
      <w:r w:rsidR="00580DCB">
        <w:rPr>
          <w:sz w:val="21"/>
          <w:szCs w:val="21"/>
        </w:rPr>
        <w:t>I</w:t>
      </w:r>
      <w:r w:rsidR="00580DCB" w:rsidRPr="005F23C6">
        <w:rPr>
          <w:sz w:val="21"/>
          <w:szCs w:val="21"/>
        </w:rPr>
        <w:t xml:space="preserve">Ds </w:t>
      </w:r>
      <w:r w:rsidRPr="005F23C6">
        <w:rPr>
          <w:sz w:val="21"/>
          <w:szCs w:val="21"/>
        </w:rPr>
        <w:t>of Access to Watch antibiotics</w:t>
      </w:r>
      <w:r w:rsidR="002C2AFF">
        <w:rPr>
          <w:sz w:val="21"/>
          <w:szCs w:val="21"/>
        </w:rPr>
        <w:t>,</w:t>
      </w:r>
      <w:r>
        <w:rPr>
          <w:sz w:val="21"/>
          <w:szCs w:val="21"/>
        </w:rPr>
        <w:t xml:space="preserve"> saw large declines in </w:t>
      </w:r>
      <w:r w:rsidR="0084301B">
        <w:rPr>
          <w:sz w:val="21"/>
          <w:szCs w:val="21"/>
        </w:rPr>
        <w:t>both LMIC-UM and LMIC-LM</w:t>
      </w:r>
      <w:r>
        <w:rPr>
          <w:sz w:val="21"/>
          <w:szCs w:val="21"/>
        </w:rPr>
        <w:t xml:space="preserve">, which reflects the relatively larger increase in </w:t>
      </w:r>
      <w:r w:rsidR="0084301B">
        <w:rPr>
          <w:sz w:val="21"/>
          <w:szCs w:val="21"/>
        </w:rPr>
        <w:t xml:space="preserve">use of </w:t>
      </w:r>
      <w:r>
        <w:rPr>
          <w:sz w:val="21"/>
          <w:szCs w:val="21"/>
        </w:rPr>
        <w:t>Watch antibiotics compared to Access antibiotics.</w:t>
      </w:r>
      <w:r w:rsidR="00601113" w:rsidRPr="004D01DC">
        <w:rPr>
          <w:sz w:val="21"/>
          <w:szCs w:val="21"/>
        </w:rPr>
        <w:t xml:space="preserve"> Source: IQVIA</w:t>
      </w:r>
      <w:r w:rsidR="00601113" w:rsidRPr="004D01DC" w:rsidDel="005B0986">
        <w:rPr>
          <w:sz w:val="21"/>
          <w:szCs w:val="21"/>
        </w:rPr>
        <w:t xml:space="preserve"> </w:t>
      </w:r>
      <w:r w:rsidR="00601113" w:rsidRPr="004D01DC">
        <w:rPr>
          <w:sz w:val="21"/>
          <w:szCs w:val="21"/>
        </w:rPr>
        <w:t>MIDAS, 2000–2015, IQVIA</w:t>
      </w:r>
      <w:r w:rsidR="00601113" w:rsidRPr="004D01DC" w:rsidDel="005B0986">
        <w:rPr>
          <w:sz w:val="21"/>
          <w:szCs w:val="21"/>
        </w:rPr>
        <w:t xml:space="preserve"> </w:t>
      </w:r>
      <w:r w:rsidR="00601113" w:rsidRPr="004D01DC">
        <w:rPr>
          <w:sz w:val="21"/>
          <w:szCs w:val="21"/>
        </w:rPr>
        <w:t>Inc. All rights reserved.</w:t>
      </w:r>
    </w:p>
    <w:p w14:paraId="4FEBE73E" w14:textId="77777777" w:rsidR="0068312C" w:rsidRDefault="0068312C">
      <w:pPr>
        <w:rPr>
          <w:b/>
        </w:rPr>
      </w:pPr>
      <w:r>
        <w:rPr>
          <w:b/>
        </w:rPr>
        <w:br w:type="page"/>
      </w:r>
    </w:p>
    <w:p w14:paraId="7381D655" w14:textId="52E37011" w:rsidR="007E087D" w:rsidRDefault="00603C60" w:rsidP="009C490F">
      <w:pPr>
        <w:rPr>
          <w:b/>
        </w:rPr>
      </w:pPr>
      <w:r w:rsidRPr="00603C60">
        <w:rPr>
          <w:b/>
          <w:noProof/>
        </w:rPr>
        <w:lastRenderedPageBreak/>
        <w:drawing>
          <wp:inline distT="0" distB="0" distL="0" distR="0" wp14:anchorId="468019C4" wp14:editId="7A4F1BDB">
            <wp:extent cx="6146800" cy="3000663"/>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94" t="2761" r="1981" b="6341"/>
                    <a:stretch/>
                  </pic:blipFill>
                  <pic:spPr bwMode="auto">
                    <a:xfrm>
                      <a:off x="0" y="0"/>
                      <a:ext cx="6178124" cy="3015954"/>
                    </a:xfrm>
                    <a:prstGeom prst="rect">
                      <a:avLst/>
                    </a:prstGeom>
                    <a:ln>
                      <a:noFill/>
                    </a:ln>
                    <a:extLst>
                      <a:ext uri="{53640926-AAD7-44D8-BBD7-CCE9431645EC}">
                        <a14:shadowObscured xmlns:a14="http://schemas.microsoft.com/office/drawing/2010/main"/>
                      </a:ext>
                    </a:extLst>
                  </pic:spPr>
                </pic:pic>
              </a:graphicData>
            </a:graphic>
          </wp:inline>
        </w:drawing>
      </w:r>
    </w:p>
    <w:p w14:paraId="72C0FD21" w14:textId="384FE689" w:rsidR="00603C60" w:rsidRDefault="00603C60" w:rsidP="009C490F">
      <w:pPr>
        <w:rPr>
          <w:b/>
        </w:rPr>
      </w:pPr>
    </w:p>
    <w:p w14:paraId="6C4BF1B4" w14:textId="388481B9" w:rsidR="00603C60" w:rsidRDefault="00603C60" w:rsidP="009C490F">
      <w:pPr>
        <w:rPr>
          <w:b/>
        </w:rPr>
      </w:pPr>
    </w:p>
    <w:p w14:paraId="4E716F72" w14:textId="70CD4F10" w:rsidR="00603C60" w:rsidRDefault="00603C60" w:rsidP="009C490F">
      <w:pPr>
        <w:rPr>
          <w:b/>
        </w:rPr>
      </w:pPr>
    </w:p>
    <w:p w14:paraId="67977091" w14:textId="77777777" w:rsidR="00603C60" w:rsidRDefault="00603C60" w:rsidP="009C490F">
      <w:pPr>
        <w:rPr>
          <w:b/>
        </w:rPr>
      </w:pPr>
    </w:p>
    <w:p w14:paraId="79082196" w14:textId="47FD6A6F" w:rsidR="007E087D" w:rsidRDefault="007E087D" w:rsidP="009C490F">
      <w:pPr>
        <w:rPr>
          <w:b/>
        </w:rPr>
      </w:pPr>
    </w:p>
    <w:p w14:paraId="5FE8F060" w14:textId="47EC9F0A" w:rsidR="007E087D" w:rsidRDefault="002B46D1" w:rsidP="009C490F">
      <w:pPr>
        <w:rPr>
          <w:b/>
        </w:rPr>
      </w:pPr>
      <w:r w:rsidRPr="002B46D1">
        <w:rPr>
          <w:b/>
          <w:noProof/>
        </w:rPr>
        <w:drawing>
          <wp:inline distT="0" distB="0" distL="0" distR="0" wp14:anchorId="18CBA9F2" wp14:editId="5B9E0D7C">
            <wp:extent cx="6146800" cy="2943671"/>
            <wp:effectExtent l="0" t="0" r="0" b="3175"/>
            <wp:docPr id="6" name="Picture 6"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82" r="855" b="3948"/>
                    <a:stretch/>
                  </pic:blipFill>
                  <pic:spPr bwMode="auto">
                    <a:xfrm>
                      <a:off x="0" y="0"/>
                      <a:ext cx="6170026" cy="2954794"/>
                    </a:xfrm>
                    <a:prstGeom prst="rect">
                      <a:avLst/>
                    </a:prstGeom>
                    <a:ln>
                      <a:noFill/>
                    </a:ln>
                    <a:extLst>
                      <a:ext uri="{53640926-AAD7-44D8-BBD7-CCE9431645EC}">
                        <a14:shadowObscured xmlns:a14="http://schemas.microsoft.com/office/drawing/2010/main"/>
                      </a:ext>
                    </a:extLst>
                  </pic:spPr>
                </pic:pic>
              </a:graphicData>
            </a:graphic>
          </wp:inline>
        </w:drawing>
      </w:r>
    </w:p>
    <w:p w14:paraId="7B19308B" w14:textId="77777777" w:rsidR="00FF5A6C" w:rsidRDefault="00FF5A6C" w:rsidP="009C490F">
      <w:pPr>
        <w:rPr>
          <w:b/>
        </w:rPr>
      </w:pPr>
    </w:p>
    <w:p w14:paraId="5CC43242" w14:textId="240D0153" w:rsidR="009C490F" w:rsidRPr="000152A2" w:rsidRDefault="009C490F" w:rsidP="009C490F">
      <w:pPr>
        <w:rPr>
          <w:b/>
        </w:rPr>
      </w:pPr>
      <w:r>
        <w:rPr>
          <w:b/>
        </w:rPr>
        <w:t>Figure 3.</w:t>
      </w:r>
      <w:r w:rsidRPr="000152A2">
        <w:rPr>
          <w:b/>
        </w:rPr>
        <w:t xml:space="preserve"> Change in the national consumption of Access </w:t>
      </w:r>
      <w:r>
        <w:rPr>
          <w:b/>
        </w:rPr>
        <w:t xml:space="preserve">and Watch </w:t>
      </w:r>
      <w:r w:rsidRPr="000152A2">
        <w:rPr>
          <w:b/>
        </w:rPr>
        <w:t>antibiotics</w:t>
      </w:r>
      <w:r w:rsidR="00DA1557">
        <w:rPr>
          <w:b/>
        </w:rPr>
        <w:t>, 2000-2015</w:t>
      </w:r>
    </w:p>
    <w:p w14:paraId="02ABD613" w14:textId="2694A913" w:rsidR="009C490F" w:rsidRPr="009362DF" w:rsidRDefault="00DA1557" w:rsidP="009C490F">
      <w:pPr>
        <w:rPr>
          <w:color w:val="000000" w:themeColor="text1"/>
          <w:sz w:val="21"/>
        </w:rPr>
        <w:sectPr w:rsidR="009C490F" w:rsidRPr="009362DF" w:rsidSect="00180CD6">
          <w:pgSz w:w="12240" w:h="15840"/>
          <w:pgMar w:top="1440" w:right="1440" w:bottom="1440" w:left="1440" w:header="720" w:footer="720" w:gutter="0"/>
          <w:cols w:space="720"/>
          <w:docGrid w:linePitch="360"/>
        </w:sectPr>
      </w:pPr>
      <w:r>
        <w:rPr>
          <w:color w:val="000000" w:themeColor="text1"/>
          <w:sz w:val="21"/>
        </w:rPr>
        <w:t>Countr</w:t>
      </w:r>
      <w:r w:rsidR="009D4D91">
        <w:rPr>
          <w:color w:val="000000" w:themeColor="text1"/>
          <w:sz w:val="21"/>
        </w:rPr>
        <w:t xml:space="preserve">y-level </w:t>
      </w:r>
      <w:r>
        <w:rPr>
          <w:color w:val="000000" w:themeColor="text1"/>
          <w:sz w:val="21"/>
        </w:rPr>
        <w:t xml:space="preserve">change in (A) Access and (B) Watch antibiotics </w:t>
      </w:r>
      <w:r w:rsidR="002C2AFF">
        <w:rPr>
          <w:color w:val="000000" w:themeColor="text1"/>
          <w:sz w:val="21"/>
        </w:rPr>
        <w:t xml:space="preserve">expressed </w:t>
      </w:r>
      <w:r>
        <w:rPr>
          <w:color w:val="000000" w:themeColor="text1"/>
          <w:sz w:val="21"/>
        </w:rPr>
        <w:t>in</w:t>
      </w:r>
      <w:r w:rsidR="002C2AFF">
        <w:rPr>
          <w:color w:val="000000" w:themeColor="text1"/>
          <w:sz w:val="21"/>
        </w:rPr>
        <w:t xml:space="preserve"> defined daily doses (DDDs) per 1,000 inhabitants per day (</w:t>
      </w:r>
      <w:r>
        <w:rPr>
          <w:color w:val="000000" w:themeColor="text1"/>
          <w:sz w:val="21"/>
        </w:rPr>
        <w:t>D</w:t>
      </w:r>
      <w:r w:rsidR="004A78F2">
        <w:rPr>
          <w:color w:val="000000" w:themeColor="text1"/>
          <w:sz w:val="21"/>
        </w:rPr>
        <w:t>I</w:t>
      </w:r>
      <w:r>
        <w:rPr>
          <w:color w:val="000000" w:themeColor="text1"/>
          <w:sz w:val="21"/>
        </w:rPr>
        <w:t>Ds</w:t>
      </w:r>
      <w:r w:rsidR="002C2AFF">
        <w:rPr>
          <w:color w:val="000000" w:themeColor="text1"/>
          <w:sz w:val="21"/>
        </w:rPr>
        <w:t>)</w:t>
      </w:r>
      <w:r>
        <w:rPr>
          <w:color w:val="000000" w:themeColor="text1"/>
          <w:sz w:val="21"/>
        </w:rPr>
        <w:t xml:space="preserve"> between 2000 and 2015. </w:t>
      </w:r>
      <w:r w:rsidR="002C2AFF">
        <w:rPr>
          <w:color w:val="000000" w:themeColor="text1"/>
          <w:sz w:val="21"/>
        </w:rPr>
        <w:t>Due to</w:t>
      </w:r>
      <w:r w:rsidR="009C490F" w:rsidRPr="009362DF">
        <w:rPr>
          <w:color w:val="000000" w:themeColor="text1"/>
          <w:sz w:val="21"/>
        </w:rPr>
        <w:t xml:space="preserve"> availability of data, change </w:t>
      </w:r>
      <w:r w:rsidR="002C2AFF">
        <w:rPr>
          <w:color w:val="000000" w:themeColor="text1"/>
          <w:sz w:val="21"/>
        </w:rPr>
        <w:t>in consumption was</w:t>
      </w:r>
      <w:r w:rsidR="009C490F" w:rsidRPr="009362DF">
        <w:rPr>
          <w:color w:val="000000" w:themeColor="text1"/>
          <w:sz w:val="21"/>
        </w:rPr>
        <w:t xml:space="preserve"> calculated </w:t>
      </w:r>
      <w:r w:rsidR="002C2AFF">
        <w:rPr>
          <w:color w:val="000000" w:themeColor="text1"/>
          <w:sz w:val="21"/>
        </w:rPr>
        <w:t>from 2002</w:t>
      </w:r>
      <w:r w:rsidR="009C490F" w:rsidRPr="009362DF">
        <w:rPr>
          <w:color w:val="000000" w:themeColor="text1"/>
          <w:sz w:val="21"/>
        </w:rPr>
        <w:t xml:space="preserve"> for Algeria</w:t>
      </w:r>
      <w:r w:rsidR="002C2AFF">
        <w:rPr>
          <w:color w:val="000000" w:themeColor="text1"/>
          <w:sz w:val="21"/>
        </w:rPr>
        <w:t>,</w:t>
      </w:r>
      <w:r w:rsidR="009C490F" w:rsidRPr="009362DF">
        <w:rPr>
          <w:color w:val="000000" w:themeColor="text1"/>
          <w:sz w:val="21"/>
        </w:rPr>
        <w:t xml:space="preserve"> </w:t>
      </w:r>
      <w:r w:rsidR="002C2AFF">
        <w:rPr>
          <w:color w:val="000000" w:themeColor="text1"/>
          <w:sz w:val="21"/>
        </w:rPr>
        <w:t xml:space="preserve">from 2005 </w:t>
      </w:r>
      <w:r w:rsidR="009C490F" w:rsidRPr="009362DF">
        <w:rPr>
          <w:color w:val="000000" w:themeColor="text1"/>
          <w:sz w:val="21"/>
        </w:rPr>
        <w:t>for Bangladesh, Croatia, Kazakhstan, Netherlands, and Vietnam</w:t>
      </w:r>
      <w:r w:rsidR="002C2AFF">
        <w:rPr>
          <w:color w:val="000000" w:themeColor="text1"/>
          <w:sz w:val="21"/>
        </w:rPr>
        <w:t>, from 2007</w:t>
      </w:r>
      <w:r w:rsidR="009C490F" w:rsidRPr="009362DF">
        <w:rPr>
          <w:color w:val="000000" w:themeColor="text1"/>
          <w:sz w:val="21"/>
        </w:rPr>
        <w:t xml:space="preserve"> for Sri Lanka</w:t>
      </w:r>
      <w:r w:rsidR="002C2AFF">
        <w:rPr>
          <w:color w:val="000000" w:themeColor="text1"/>
          <w:sz w:val="21"/>
        </w:rPr>
        <w:t>,</w:t>
      </w:r>
      <w:r w:rsidR="009C490F" w:rsidRPr="009362DF">
        <w:rPr>
          <w:color w:val="000000" w:themeColor="text1"/>
          <w:sz w:val="21"/>
        </w:rPr>
        <w:t xml:space="preserve"> </w:t>
      </w:r>
      <w:r w:rsidR="002C2AFF">
        <w:rPr>
          <w:color w:val="000000" w:themeColor="text1"/>
          <w:sz w:val="21"/>
        </w:rPr>
        <w:t xml:space="preserve">from 2010 </w:t>
      </w:r>
      <w:r w:rsidR="009C490F" w:rsidRPr="009362DF">
        <w:rPr>
          <w:color w:val="000000" w:themeColor="text1"/>
          <w:sz w:val="21"/>
        </w:rPr>
        <w:t>for Ukraine</w:t>
      </w:r>
      <w:r w:rsidR="002C2AFF">
        <w:rPr>
          <w:color w:val="000000" w:themeColor="text1"/>
          <w:sz w:val="21"/>
        </w:rPr>
        <w:t>,</w:t>
      </w:r>
      <w:r w:rsidR="009C490F" w:rsidRPr="009362DF">
        <w:rPr>
          <w:color w:val="000000" w:themeColor="text1"/>
          <w:sz w:val="21"/>
        </w:rPr>
        <w:t xml:space="preserve"> </w:t>
      </w:r>
      <w:r w:rsidR="002C2AFF">
        <w:rPr>
          <w:color w:val="000000" w:themeColor="text1"/>
          <w:sz w:val="21"/>
        </w:rPr>
        <w:t xml:space="preserve">and from 2011 </w:t>
      </w:r>
      <w:r w:rsidR="009C490F" w:rsidRPr="009362DF">
        <w:rPr>
          <w:color w:val="000000" w:themeColor="text1"/>
          <w:sz w:val="21"/>
        </w:rPr>
        <w:t xml:space="preserve">for Bosnia and Herzegovina, and Serbia. Source: IQVIA MIDAS, 2000–2015, IQVIA Inc. All rights </w:t>
      </w:r>
      <w:r w:rsidR="00571891">
        <w:rPr>
          <w:color w:val="000000" w:themeColor="text1"/>
          <w:sz w:val="21"/>
        </w:rPr>
        <w:t>reserve</w:t>
      </w:r>
      <w:r w:rsidR="000E67B1">
        <w:rPr>
          <w:color w:val="000000" w:themeColor="text1"/>
          <w:sz w:val="21"/>
        </w:rPr>
        <w:t>d.</w:t>
      </w:r>
    </w:p>
    <w:p w14:paraId="551E28DF" w14:textId="0112DE50" w:rsidR="00735D01" w:rsidRDefault="00735D01" w:rsidP="00AB6CE6">
      <w:pPr>
        <w:rPr>
          <w:color w:val="000000" w:themeColor="text1"/>
          <w:sz w:val="21"/>
          <w:szCs w:val="21"/>
        </w:rPr>
      </w:pPr>
    </w:p>
    <w:p w14:paraId="4BE75ABC" w14:textId="2C30F455" w:rsidR="00735D01" w:rsidRPr="00AB6CE6" w:rsidRDefault="00B76081" w:rsidP="00AB6CE6">
      <w:pPr>
        <w:rPr>
          <w:color w:val="000000" w:themeColor="text1"/>
          <w:sz w:val="21"/>
          <w:szCs w:val="21"/>
        </w:rPr>
      </w:pPr>
      <w:r>
        <w:rPr>
          <w:noProof/>
          <w:color w:val="000000" w:themeColor="text1"/>
          <w:sz w:val="21"/>
          <w:szCs w:val="21"/>
        </w:rPr>
        <w:drawing>
          <wp:inline distT="0" distB="0" distL="0" distR="0" wp14:anchorId="62DA71D3" wp14:editId="63EC8750">
            <wp:extent cx="2913647" cy="2700305"/>
            <wp:effectExtent l="0" t="0" r="127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4.png"/>
                    <pic:cNvPicPr/>
                  </pic:nvPicPr>
                  <pic:blipFill>
                    <a:blip r:embed="rId11">
                      <a:extLst>
                        <a:ext uri="{28A0092B-C50C-407E-A947-70E740481C1C}">
                          <a14:useLocalDpi xmlns:a14="http://schemas.microsoft.com/office/drawing/2010/main" val="0"/>
                        </a:ext>
                      </a:extLst>
                    </a:blip>
                    <a:stretch>
                      <a:fillRect/>
                    </a:stretch>
                  </pic:blipFill>
                  <pic:spPr>
                    <a:xfrm>
                      <a:off x="0" y="0"/>
                      <a:ext cx="2913647" cy="2700305"/>
                    </a:xfrm>
                    <a:prstGeom prst="rect">
                      <a:avLst/>
                    </a:prstGeom>
                  </pic:spPr>
                </pic:pic>
              </a:graphicData>
            </a:graphic>
          </wp:inline>
        </w:drawing>
      </w:r>
    </w:p>
    <w:p w14:paraId="55E40F67" w14:textId="77777777" w:rsidR="00571891" w:rsidRDefault="00571891" w:rsidP="00705BEC"/>
    <w:p w14:paraId="5309BC17" w14:textId="5523CEE9" w:rsidR="008416DF" w:rsidRDefault="008416DF" w:rsidP="008416DF">
      <w:pPr>
        <w:rPr>
          <w:b/>
        </w:rPr>
      </w:pPr>
      <w:r>
        <w:rPr>
          <w:b/>
        </w:rPr>
        <w:t xml:space="preserve">Figure </w:t>
      </w:r>
      <w:r w:rsidR="00B76081">
        <w:rPr>
          <w:b/>
        </w:rPr>
        <w:t>4</w:t>
      </w:r>
      <w:r>
        <w:rPr>
          <w:b/>
        </w:rPr>
        <w:t>.</w:t>
      </w:r>
      <w:r w:rsidRPr="000152A2">
        <w:rPr>
          <w:b/>
        </w:rPr>
        <w:t xml:space="preserve"> </w:t>
      </w:r>
      <w:r w:rsidR="00DA1557">
        <w:rPr>
          <w:b/>
        </w:rPr>
        <w:t>C</w:t>
      </w:r>
      <w:r>
        <w:rPr>
          <w:b/>
        </w:rPr>
        <w:t xml:space="preserve">ountries that </w:t>
      </w:r>
      <w:r w:rsidR="00DA1557">
        <w:rPr>
          <w:b/>
        </w:rPr>
        <w:t>met</w:t>
      </w:r>
      <w:r>
        <w:rPr>
          <w:b/>
        </w:rPr>
        <w:t xml:space="preserve"> the WHO target of </w:t>
      </w:r>
      <w:r w:rsidR="008C5132">
        <w:rPr>
          <w:b/>
        </w:rPr>
        <w:t xml:space="preserve">at least </w:t>
      </w:r>
      <w:r>
        <w:rPr>
          <w:b/>
        </w:rPr>
        <w:t>60% Access antibiotics</w:t>
      </w:r>
      <w:r w:rsidR="00DA1557">
        <w:rPr>
          <w:b/>
        </w:rPr>
        <w:t>, 2000-2015</w:t>
      </w:r>
    </w:p>
    <w:p w14:paraId="6974758D" w14:textId="0D513263" w:rsidR="00376797" w:rsidRDefault="00DA1557">
      <w:r w:rsidRPr="00C94A43">
        <w:rPr>
          <w:sz w:val="21"/>
          <w:szCs w:val="21"/>
        </w:rPr>
        <w:t xml:space="preserve">Percentage of countries that achieved the WHO target of </w:t>
      </w:r>
      <w:r w:rsidR="008C5132">
        <w:rPr>
          <w:sz w:val="21"/>
          <w:szCs w:val="21"/>
        </w:rPr>
        <w:t xml:space="preserve">at least </w:t>
      </w:r>
      <w:r w:rsidRPr="00C94A43">
        <w:rPr>
          <w:sz w:val="21"/>
          <w:szCs w:val="21"/>
        </w:rPr>
        <w:t>60% Access antibiotics to combat antibiotic resistance by country income classification</w:t>
      </w:r>
      <w:r w:rsidR="002C2AFF">
        <w:rPr>
          <w:sz w:val="21"/>
          <w:szCs w:val="21"/>
        </w:rPr>
        <w:t xml:space="preserve"> from </w:t>
      </w:r>
      <w:r w:rsidRPr="00C94A43">
        <w:rPr>
          <w:sz w:val="21"/>
          <w:szCs w:val="21"/>
        </w:rPr>
        <w:t>2000</w:t>
      </w:r>
      <w:r w:rsidR="002C2AFF">
        <w:rPr>
          <w:sz w:val="21"/>
          <w:szCs w:val="21"/>
        </w:rPr>
        <w:t xml:space="preserve"> to </w:t>
      </w:r>
      <w:r w:rsidRPr="00C94A43">
        <w:rPr>
          <w:sz w:val="21"/>
          <w:szCs w:val="21"/>
        </w:rPr>
        <w:t xml:space="preserve">2015. </w:t>
      </w:r>
      <w:r>
        <w:rPr>
          <w:color w:val="000000" w:themeColor="text1"/>
          <w:sz w:val="21"/>
          <w:szCs w:val="21"/>
        </w:rPr>
        <w:t>T</w:t>
      </w:r>
      <w:r w:rsidR="008416DF" w:rsidRPr="00B505D2">
        <w:rPr>
          <w:color w:val="000000" w:themeColor="text1"/>
          <w:sz w:val="21"/>
          <w:szCs w:val="21"/>
        </w:rPr>
        <w:t xml:space="preserve">he percentage of </w:t>
      </w:r>
      <w:r>
        <w:rPr>
          <w:color w:val="000000" w:themeColor="text1"/>
          <w:sz w:val="21"/>
          <w:szCs w:val="21"/>
        </w:rPr>
        <w:t xml:space="preserve">high-income </w:t>
      </w:r>
      <w:r w:rsidR="008416DF" w:rsidRPr="00B505D2">
        <w:rPr>
          <w:color w:val="000000" w:themeColor="text1"/>
          <w:sz w:val="21"/>
          <w:szCs w:val="21"/>
        </w:rPr>
        <w:t>countries</w:t>
      </w:r>
      <w:r w:rsidR="002C2AFF">
        <w:rPr>
          <w:color w:val="000000" w:themeColor="text1"/>
          <w:sz w:val="21"/>
          <w:szCs w:val="21"/>
        </w:rPr>
        <w:t xml:space="preserve"> (HICs)</w:t>
      </w:r>
      <w:r w:rsidR="008416DF" w:rsidRPr="00B505D2">
        <w:rPr>
          <w:color w:val="000000" w:themeColor="text1"/>
          <w:sz w:val="21"/>
          <w:szCs w:val="21"/>
        </w:rPr>
        <w:t xml:space="preserve"> with at least 60% of Access antibiotics in total </w:t>
      </w:r>
      <w:r w:rsidR="008416DF">
        <w:rPr>
          <w:color w:val="000000" w:themeColor="text1"/>
          <w:sz w:val="21"/>
          <w:szCs w:val="21"/>
        </w:rPr>
        <w:t xml:space="preserve">national </w:t>
      </w:r>
      <w:r w:rsidR="008416DF" w:rsidRPr="00B505D2">
        <w:rPr>
          <w:color w:val="000000" w:themeColor="text1"/>
          <w:sz w:val="21"/>
          <w:szCs w:val="21"/>
        </w:rPr>
        <w:t xml:space="preserve">antibiotic </w:t>
      </w:r>
      <w:r w:rsidR="008416DF" w:rsidRPr="00C160B1">
        <w:rPr>
          <w:color w:val="000000" w:themeColor="text1"/>
          <w:sz w:val="21"/>
          <w:szCs w:val="21"/>
        </w:rPr>
        <w:t>consumption</w:t>
      </w:r>
      <w:r w:rsidR="008416DF">
        <w:rPr>
          <w:color w:val="000000" w:themeColor="text1"/>
          <w:sz w:val="21"/>
          <w:szCs w:val="21"/>
        </w:rPr>
        <w:t xml:space="preserve"> </w:t>
      </w:r>
      <w:r>
        <w:rPr>
          <w:color w:val="000000" w:themeColor="text1"/>
          <w:sz w:val="21"/>
          <w:szCs w:val="21"/>
        </w:rPr>
        <w:t xml:space="preserve">fell only slightly, while the percentage of </w:t>
      </w:r>
      <w:r w:rsidR="00CE14EC">
        <w:rPr>
          <w:color w:val="000000" w:themeColor="text1"/>
          <w:sz w:val="21"/>
          <w:szCs w:val="21"/>
        </w:rPr>
        <w:t xml:space="preserve">low- and middle-income countries (LMICs; e.g., </w:t>
      </w:r>
      <w:r w:rsidR="002C2AFF">
        <w:rPr>
          <w:color w:val="000000" w:themeColor="text1"/>
          <w:sz w:val="21"/>
          <w:szCs w:val="21"/>
        </w:rPr>
        <w:t>low</w:t>
      </w:r>
      <w:r w:rsidR="00CE14EC">
        <w:rPr>
          <w:color w:val="000000" w:themeColor="text1"/>
          <w:sz w:val="21"/>
          <w:szCs w:val="21"/>
        </w:rPr>
        <w:t>er</w:t>
      </w:r>
      <w:r w:rsidR="002C2AFF">
        <w:rPr>
          <w:color w:val="000000" w:themeColor="text1"/>
          <w:sz w:val="21"/>
          <w:szCs w:val="21"/>
        </w:rPr>
        <w:t>-</w:t>
      </w:r>
      <w:r w:rsidR="00CE14EC">
        <w:rPr>
          <w:color w:val="000000" w:themeColor="text1"/>
          <w:sz w:val="21"/>
          <w:szCs w:val="21"/>
        </w:rPr>
        <w:t>middle income countries [LM] and upper-middle income countries [UM])</w:t>
      </w:r>
      <w:r w:rsidR="002C2AFF">
        <w:rPr>
          <w:color w:val="000000" w:themeColor="text1"/>
          <w:sz w:val="21"/>
          <w:szCs w:val="21"/>
        </w:rPr>
        <w:t xml:space="preserve"> </w:t>
      </w:r>
      <w:r>
        <w:rPr>
          <w:color w:val="000000" w:themeColor="text1"/>
          <w:sz w:val="21"/>
          <w:szCs w:val="21"/>
        </w:rPr>
        <w:t>meeting that target fell significantly</w:t>
      </w:r>
      <w:r w:rsidR="008416DF">
        <w:rPr>
          <w:color w:val="000000" w:themeColor="text1"/>
          <w:sz w:val="21"/>
          <w:szCs w:val="21"/>
        </w:rPr>
        <w:t>.</w:t>
      </w:r>
      <w:r w:rsidR="008416DF" w:rsidRPr="00C160B1">
        <w:rPr>
          <w:color w:val="000000" w:themeColor="text1"/>
          <w:sz w:val="21"/>
          <w:szCs w:val="21"/>
        </w:rPr>
        <w:t xml:space="preserve"> </w:t>
      </w:r>
      <w:r w:rsidR="008416DF" w:rsidRPr="00AB6CE6">
        <w:rPr>
          <w:color w:val="000000" w:themeColor="text1"/>
          <w:sz w:val="21"/>
          <w:szCs w:val="21"/>
        </w:rPr>
        <w:t>Source: IQVIA</w:t>
      </w:r>
      <w:r w:rsidR="008416DF" w:rsidRPr="00AB6CE6" w:rsidDel="005B0986">
        <w:rPr>
          <w:color w:val="000000" w:themeColor="text1"/>
          <w:sz w:val="21"/>
          <w:szCs w:val="21"/>
        </w:rPr>
        <w:t xml:space="preserve"> </w:t>
      </w:r>
      <w:r w:rsidR="008416DF" w:rsidRPr="00AB6CE6">
        <w:rPr>
          <w:color w:val="000000" w:themeColor="text1"/>
          <w:sz w:val="21"/>
          <w:szCs w:val="21"/>
        </w:rPr>
        <w:t>MIDAS, 2000–2015, IQVIA</w:t>
      </w:r>
      <w:r w:rsidR="008416DF" w:rsidRPr="00AB6CE6" w:rsidDel="005B0986">
        <w:rPr>
          <w:color w:val="000000" w:themeColor="text1"/>
          <w:sz w:val="21"/>
          <w:szCs w:val="21"/>
        </w:rPr>
        <w:t xml:space="preserve"> </w:t>
      </w:r>
      <w:r w:rsidR="008416DF" w:rsidRPr="00AB6CE6">
        <w:rPr>
          <w:color w:val="000000" w:themeColor="text1"/>
          <w:sz w:val="21"/>
          <w:szCs w:val="21"/>
        </w:rPr>
        <w:t>Inc. All rights reserved.</w:t>
      </w:r>
      <w:r w:rsidR="008416DF">
        <w:rPr>
          <w:color w:val="000000" w:themeColor="text1"/>
          <w:sz w:val="21"/>
          <w:szCs w:val="21"/>
        </w:rPr>
        <w:t xml:space="preserve"> </w:t>
      </w:r>
    </w:p>
    <w:p w14:paraId="3BA7C377" w14:textId="764C6E27" w:rsidR="00A6254F" w:rsidRPr="0005168B" w:rsidRDefault="00A6254F"/>
    <w:sectPr w:rsidR="00A6254F" w:rsidRPr="0005168B" w:rsidSect="00180CD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21A7BF" w16cid:durableId="22033670"/>
  <w16cid:commentId w16cid:paraId="5682803D" w16cid:durableId="22036DC3"/>
  <w16cid:commentId w16cid:paraId="16033255" w16cid:durableId="22033E2C"/>
  <w16cid:commentId w16cid:paraId="073BCECF" w16cid:durableId="22033F11"/>
  <w16cid:commentId w16cid:paraId="5BCCE802" w16cid:durableId="220342A2"/>
  <w16cid:commentId w16cid:paraId="69493CB6" w16cid:durableId="220345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73A2"/>
    <w:multiLevelType w:val="hybridMultilevel"/>
    <w:tmpl w:val="DFFA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20C45"/>
    <w:multiLevelType w:val="hybridMultilevel"/>
    <w:tmpl w:val="A2E4AFC6"/>
    <w:lvl w:ilvl="0" w:tplc="8486A0F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A85E98"/>
    <w:multiLevelType w:val="hybridMultilevel"/>
    <w:tmpl w:val="4E0EDE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95BF7"/>
    <w:multiLevelType w:val="hybridMultilevel"/>
    <w:tmpl w:val="9F447142"/>
    <w:lvl w:ilvl="0" w:tplc="C6DA433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960E9"/>
    <w:multiLevelType w:val="hybridMultilevel"/>
    <w:tmpl w:val="3FB8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6E352C"/>
    <w:multiLevelType w:val="hybridMultilevel"/>
    <w:tmpl w:val="C7C8D502"/>
    <w:lvl w:ilvl="0" w:tplc="60BEC318">
      <w:start w:val="1"/>
      <w:numFmt w:val="decimal"/>
      <w:lvlText w:val="%1."/>
      <w:lvlJc w:val="left"/>
      <w:pPr>
        <w:ind w:left="720" w:hanging="360"/>
      </w:pPr>
      <w:rPr>
        <w:rFonts w:ascii="Times New Roman" w:hAnsi="Times New Roman" w:cs="Times New Roman" w:hint="default"/>
        <w:color w:val="22222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nl-NL" w:vendorID="64" w:dllVersion="4096" w:nlCheck="1" w:checkStyle="0"/>
  <w:activeWritingStyle w:appName="MSWord" w:lang="pl-PL" w:vendorID="64" w:dllVersion="4096" w:nlCheck="1" w:checkStyle="0"/>
  <w:activeWritingStyle w:appName="MSWord" w:lang="en-US" w:vendorID="64" w:dllVersion="131078" w:nlCheck="1" w:checkStyle="1"/>
  <w:activeWritingStyle w:appName="MSWord" w:lang="fr-FR" w:vendorID="64" w:dllVersion="131078" w:nlCheck="1" w:checkStyle="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31"/>
    <w:rsid w:val="000011CF"/>
    <w:rsid w:val="000012C4"/>
    <w:rsid w:val="00007FF8"/>
    <w:rsid w:val="00011CC3"/>
    <w:rsid w:val="00011CCB"/>
    <w:rsid w:val="00012B6B"/>
    <w:rsid w:val="00013406"/>
    <w:rsid w:val="000136F4"/>
    <w:rsid w:val="00014638"/>
    <w:rsid w:val="00014DA5"/>
    <w:rsid w:val="000170DC"/>
    <w:rsid w:val="00017B14"/>
    <w:rsid w:val="0002038C"/>
    <w:rsid w:val="00020BF7"/>
    <w:rsid w:val="00021066"/>
    <w:rsid w:val="00021C16"/>
    <w:rsid w:val="00023009"/>
    <w:rsid w:val="00023931"/>
    <w:rsid w:val="00023AF4"/>
    <w:rsid w:val="00024B4F"/>
    <w:rsid w:val="000259B9"/>
    <w:rsid w:val="00025E6C"/>
    <w:rsid w:val="000262E2"/>
    <w:rsid w:val="000263F1"/>
    <w:rsid w:val="00030833"/>
    <w:rsid w:val="000315E6"/>
    <w:rsid w:val="00031DF5"/>
    <w:rsid w:val="00036F17"/>
    <w:rsid w:val="00040D05"/>
    <w:rsid w:val="000457FD"/>
    <w:rsid w:val="00045B88"/>
    <w:rsid w:val="00047C3D"/>
    <w:rsid w:val="00050C62"/>
    <w:rsid w:val="0005168B"/>
    <w:rsid w:val="00052FAC"/>
    <w:rsid w:val="00053112"/>
    <w:rsid w:val="00054639"/>
    <w:rsid w:val="00056E6C"/>
    <w:rsid w:val="00057C04"/>
    <w:rsid w:val="000602D6"/>
    <w:rsid w:val="00064424"/>
    <w:rsid w:val="00066394"/>
    <w:rsid w:val="000664E3"/>
    <w:rsid w:val="0006678F"/>
    <w:rsid w:val="00066C5E"/>
    <w:rsid w:val="00066DC8"/>
    <w:rsid w:val="000709F3"/>
    <w:rsid w:val="00071903"/>
    <w:rsid w:val="00071D93"/>
    <w:rsid w:val="000726FD"/>
    <w:rsid w:val="0007365E"/>
    <w:rsid w:val="00073701"/>
    <w:rsid w:val="00073865"/>
    <w:rsid w:val="000766AC"/>
    <w:rsid w:val="00077108"/>
    <w:rsid w:val="000805D9"/>
    <w:rsid w:val="00080C34"/>
    <w:rsid w:val="000813FF"/>
    <w:rsid w:val="00082424"/>
    <w:rsid w:val="00082C2F"/>
    <w:rsid w:val="00083C9D"/>
    <w:rsid w:val="000842CC"/>
    <w:rsid w:val="00084378"/>
    <w:rsid w:val="0008498C"/>
    <w:rsid w:val="00085610"/>
    <w:rsid w:val="000858A5"/>
    <w:rsid w:val="00087E4E"/>
    <w:rsid w:val="00091183"/>
    <w:rsid w:val="00095165"/>
    <w:rsid w:val="00095D15"/>
    <w:rsid w:val="00097879"/>
    <w:rsid w:val="00097D4E"/>
    <w:rsid w:val="000A1A17"/>
    <w:rsid w:val="000A21CB"/>
    <w:rsid w:val="000A32C9"/>
    <w:rsid w:val="000A3DEE"/>
    <w:rsid w:val="000A43EC"/>
    <w:rsid w:val="000A4AE7"/>
    <w:rsid w:val="000A4B81"/>
    <w:rsid w:val="000A5082"/>
    <w:rsid w:val="000A520E"/>
    <w:rsid w:val="000A635D"/>
    <w:rsid w:val="000A71B0"/>
    <w:rsid w:val="000A78E5"/>
    <w:rsid w:val="000B0CAA"/>
    <w:rsid w:val="000B140D"/>
    <w:rsid w:val="000B1C04"/>
    <w:rsid w:val="000B2125"/>
    <w:rsid w:val="000B40DF"/>
    <w:rsid w:val="000B5737"/>
    <w:rsid w:val="000B61A2"/>
    <w:rsid w:val="000B6FB5"/>
    <w:rsid w:val="000C0028"/>
    <w:rsid w:val="000C33B6"/>
    <w:rsid w:val="000C3640"/>
    <w:rsid w:val="000C4847"/>
    <w:rsid w:val="000C5A63"/>
    <w:rsid w:val="000C6E14"/>
    <w:rsid w:val="000C719A"/>
    <w:rsid w:val="000D1E3E"/>
    <w:rsid w:val="000D1F6B"/>
    <w:rsid w:val="000D2D53"/>
    <w:rsid w:val="000D3072"/>
    <w:rsid w:val="000D427D"/>
    <w:rsid w:val="000D4A04"/>
    <w:rsid w:val="000D4C62"/>
    <w:rsid w:val="000D536B"/>
    <w:rsid w:val="000D6640"/>
    <w:rsid w:val="000D7F9F"/>
    <w:rsid w:val="000E0ECD"/>
    <w:rsid w:val="000E105A"/>
    <w:rsid w:val="000E2D4A"/>
    <w:rsid w:val="000E5041"/>
    <w:rsid w:val="000E5606"/>
    <w:rsid w:val="000E67B1"/>
    <w:rsid w:val="000E6D34"/>
    <w:rsid w:val="000E6F07"/>
    <w:rsid w:val="000E6F94"/>
    <w:rsid w:val="000F0BFA"/>
    <w:rsid w:val="000F1C21"/>
    <w:rsid w:val="000F21F8"/>
    <w:rsid w:val="000F3522"/>
    <w:rsid w:val="000F3A9B"/>
    <w:rsid w:val="000F4106"/>
    <w:rsid w:val="000F43C2"/>
    <w:rsid w:val="000F4A1A"/>
    <w:rsid w:val="000F64EF"/>
    <w:rsid w:val="000F6ED6"/>
    <w:rsid w:val="00100317"/>
    <w:rsid w:val="0010048E"/>
    <w:rsid w:val="00100AF0"/>
    <w:rsid w:val="001019E1"/>
    <w:rsid w:val="001031AE"/>
    <w:rsid w:val="001036E0"/>
    <w:rsid w:val="00104D43"/>
    <w:rsid w:val="00104FFD"/>
    <w:rsid w:val="00107199"/>
    <w:rsid w:val="0010730C"/>
    <w:rsid w:val="00107933"/>
    <w:rsid w:val="00107D8D"/>
    <w:rsid w:val="001119D2"/>
    <w:rsid w:val="00111A17"/>
    <w:rsid w:val="001144E2"/>
    <w:rsid w:val="0011477D"/>
    <w:rsid w:val="0011596D"/>
    <w:rsid w:val="00117A03"/>
    <w:rsid w:val="00117B8B"/>
    <w:rsid w:val="001213DD"/>
    <w:rsid w:val="00123CE2"/>
    <w:rsid w:val="00123F40"/>
    <w:rsid w:val="001242F5"/>
    <w:rsid w:val="00124DD8"/>
    <w:rsid w:val="00126C65"/>
    <w:rsid w:val="00131EBD"/>
    <w:rsid w:val="00135973"/>
    <w:rsid w:val="00136C48"/>
    <w:rsid w:val="001426DD"/>
    <w:rsid w:val="00146555"/>
    <w:rsid w:val="00150372"/>
    <w:rsid w:val="001518D5"/>
    <w:rsid w:val="001544EC"/>
    <w:rsid w:val="00156322"/>
    <w:rsid w:val="0015748D"/>
    <w:rsid w:val="00157A2A"/>
    <w:rsid w:val="00157DBE"/>
    <w:rsid w:val="00161862"/>
    <w:rsid w:val="00162E5A"/>
    <w:rsid w:val="00164182"/>
    <w:rsid w:val="00164763"/>
    <w:rsid w:val="0016545C"/>
    <w:rsid w:val="0017106B"/>
    <w:rsid w:val="00171166"/>
    <w:rsid w:val="0017147F"/>
    <w:rsid w:val="0017193C"/>
    <w:rsid w:val="00171DD6"/>
    <w:rsid w:val="0017205E"/>
    <w:rsid w:val="00173095"/>
    <w:rsid w:val="0017345D"/>
    <w:rsid w:val="0017523C"/>
    <w:rsid w:val="00175C81"/>
    <w:rsid w:val="00177C69"/>
    <w:rsid w:val="00180CD6"/>
    <w:rsid w:val="0018253C"/>
    <w:rsid w:val="0018371E"/>
    <w:rsid w:val="00185E68"/>
    <w:rsid w:val="00187B8C"/>
    <w:rsid w:val="00190371"/>
    <w:rsid w:val="00192A24"/>
    <w:rsid w:val="0019308C"/>
    <w:rsid w:val="00195380"/>
    <w:rsid w:val="00196777"/>
    <w:rsid w:val="001975DD"/>
    <w:rsid w:val="00197B85"/>
    <w:rsid w:val="001A3182"/>
    <w:rsid w:val="001A3313"/>
    <w:rsid w:val="001A371E"/>
    <w:rsid w:val="001A3727"/>
    <w:rsid w:val="001A3952"/>
    <w:rsid w:val="001A40B1"/>
    <w:rsid w:val="001A429B"/>
    <w:rsid w:val="001A4E5C"/>
    <w:rsid w:val="001A526D"/>
    <w:rsid w:val="001A62F4"/>
    <w:rsid w:val="001A6C05"/>
    <w:rsid w:val="001B01A1"/>
    <w:rsid w:val="001B0B53"/>
    <w:rsid w:val="001B0C57"/>
    <w:rsid w:val="001B3A69"/>
    <w:rsid w:val="001B5357"/>
    <w:rsid w:val="001C17DB"/>
    <w:rsid w:val="001C1985"/>
    <w:rsid w:val="001C1ADD"/>
    <w:rsid w:val="001C1BBA"/>
    <w:rsid w:val="001C267C"/>
    <w:rsid w:val="001C417F"/>
    <w:rsid w:val="001C6F9F"/>
    <w:rsid w:val="001C73F1"/>
    <w:rsid w:val="001D0024"/>
    <w:rsid w:val="001D1045"/>
    <w:rsid w:val="001D21F4"/>
    <w:rsid w:val="001D34A5"/>
    <w:rsid w:val="001D4AD3"/>
    <w:rsid w:val="001D53A3"/>
    <w:rsid w:val="001E01CE"/>
    <w:rsid w:val="001E14F3"/>
    <w:rsid w:val="001E255F"/>
    <w:rsid w:val="001E2C2C"/>
    <w:rsid w:val="001E3CF3"/>
    <w:rsid w:val="001E3F82"/>
    <w:rsid w:val="001E47A0"/>
    <w:rsid w:val="001E4A5C"/>
    <w:rsid w:val="001E60A2"/>
    <w:rsid w:val="001E65F1"/>
    <w:rsid w:val="001F2487"/>
    <w:rsid w:val="001F49B6"/>
    <w:rsid w:val="002002F6"/>
    <w:rsid w:val="00201F36"/>
    <w:rsid w:val="002023DE"/>
    <w:rsid w:val="00205075"/>
    <w:rsid w:val="00206042"/>
    <w:rsid w:val="0020691F"/>
    <w:rsid w:val="0021057F"/>
    <w:rsid w:val="002118BE"/>
    <w:rsid w:val="002119CC"/>
    <w:rsid w:val="00211AA8"/>
    <w:rsid w:val="00214463"/>
    <w:rsid w:val="00214715"/>
    <w:rsid w:val="0021794B"/>
    <w:rsid w:val="00220032"/>
    <w:rsid w:val="002207CE"/>
    <w:rsid w:val="00221013"/>
    <w:rsid w:val="002235D1"/>
    <w:rsid w:val="00224DF9"/>
    <w:rsid w:val="00226D7A"/>
    <w:rsid w:val="00227D90"/>
    <w:rsid w:val="00230F68"/>
    <w:rsid w:val="00231017"/>
    <w:rsid w:val="00233E06"/>
    <w:rsid w:val="00235DC6"/>
    <w:rsid w:val="002411FC"/>
    <w:rsid w:val="002443F3"/>
    <w:rsid w:val="00244ADB"/>
    <w:rsid w:val="00247238"/>
    <w:rsid w:val="0025608C"/>
    <w:rsid w:val="00256CB0"/>
    <w:rsid w:val="002579E7"/>
    <w:rsid w:val="0026522A"/>
    <w:rsid w:val="00267436"/>
    <w:rsid w:val="00267CD3"/>
    <w:rsid w:val="00270273"/>
    <w:rsid w:val="00271374"/>
    <w:rsid w:val="002726E4"/>
    <w:rsid w:val="002743FB"/>
    <w:rsid w:val="002751B8"/>
    <w:rsid w:val="0027601C"/>
    <w:rsid w:val="00276981"/>
    <w:rsid w:val="002775A0"/>
    <w:rsid w:val="0028054F"/>
    <w:rsid w:val="00280808"/>
    <w:rsid w:val="00281866"/>
    <w:rsid w:val="00281B4D"/>
    <w:rsid w:val="00283006"/>
    <w:rsid w:val="0028359C"/>
    <w:rsid w:val="00284A7A"/>
    <w:rsid w:val="00284C0B"/>
    <w:rsid w:val="002868D9"/>
    <w:rsid w:val="002877F8"/>
    <w:rsid w:val="002879DB"/>
    <w:rsid w:val="0029299C"/>
    <w:rsid w:val="0029477B"/>
    <w:rsid w:val="0029558E"/>
    <w:rsid w:val="002968F9"/>
    <w:rsid w:val="00297B76"/>
    <w:rsid w:val="002A1566"/>
    <w:rsid w:val="002A1774"/>
    <w:rsid w:val="002A2A88"/>
    <w:rsid w:val="002A2D6D"/>
    <w:rsid w:val="002A4340"/>
    <w:rsid w:val="002A4594"/>
    <w:rsid w:val="002A473B"/>
    <w:rsid w:val="002A579B"/>
    <w:rsid w:val="002B0B18"/>
    <w:rsid w:val="002B0C88"/>
    <w:rsid w:val="002B3164"/>
    <w:rsid w:val="002B3265"/>
    <w:rsid w:val="002B3B5D"/>
    <w:rsid w:val="002B46D1"/>
    <w:rsid w:val="002B47B7"/>
    <w:rsid w:val="002B4C22"/>
    <w:rsid w:val="002B596B"/>
    <w:rsid w:val="002B6E89"/>
    <w:rsid w:val="002B6E9C"/>
    <w:rsid w:val="002B71E1"/>
    <w:rsid w:val="002C05DC"/>
    <w:rsid w:val="002C0A09"/>
    <w:rsid w:val="002C221C"/>
    <w:rsid w:val="002C2AFF"/>
    <w:rsid w:val="002C3049"/>
    <w:rsid w:val="002C3058"/>
    <w:rsid w:val="002C50D3"/>
    <w:rsid w:val="002C5559"/>
    <w:rsid w:val="002C6263"/>
    <w:rsid w:val="002D2749"/>
    <w:rsid w:val="002D5E01"/>
    <w:rsid w:val="002D6752"/>
    <w:rsid w:val="002D6B54"/>
    <w:rsid w:val="002D76FF"/>
    <w:rsid w:val="002E03BC"/>
    <w:rsid w:val="002E5B90"/>
    <w:rsid w:val="002E66B6"/>
    <w:rsid w:val="002F1903"/>
    <w:rsid w:val="002F265E"/>
    <w:rsid w:val="002F3C94"/>
    <w:rsid w:val="002F485F"/>
    <w:rsid w:val="002F58EF"/>
    <w:rsid w:val="002F59DB"/>
    <w:rsid w:val="002F5EB8"/>
    <w:rsid w:val="002F6142"/>
    <w:rsid w:val="002F70EF"/>
    <w:rsid w:val="00300B4F"/>
    <w:rsid w:val="00301B59"/>
    <w:rsid w:val="00303513"/>
    <w:rsid w:val="0030423E"/>
    <w:rsid w:val="0030439F"/>
    <w:rsid w:val="0030708B"/>
    <w:rsid w:val="00310170"/>
    <w:rsid w:val="00310FD7"/>
    <w:rsid w:val="00310FEF"/>
    <w:rsid w:val="003125FF"/>
    <w:rsid w:val="0031334A"/>
    <w:rsid w:val="00314AB5"/>
    <w:rsid w:val="0031510F"/>
    <w:rsid w:val="00315C54"/>
    <w:rsid w:val="00317B63"/>
    <w:rsid w:val="003231C2"/>
    <w:rsid w:val="003249CD"/>
    <w:rsid w:val="00325326"/>
    <w:rsid w:val="003255EF"/>
    <w:rsid w:val="00325776"/>
    <w:rsid w:val="003271D1"/>
    <w:rsid w:val="00330375"/>
    <w:rsid w:val="00330520"/>
    <w:rsid w:val="0033084D"/>
    <w:rsid w:val="0033154D"/>
    <w:rsid w:val="003315FF"/>
    <w:rsid w:val="003318E5"/>
    <w:rsid w:val="003329CA"/>
    <w:rsid w:val="003343AE"/>
    <w:rsid w:val="0033578C"/>
    <w:rsid w:val="003374D0"/>
    <w:rsid w:val="00337F7D"/>
    <w:rsid w:val="00341E4B"/>
    <w:rsid w:val="00343DA2"/>
    <w:rsid w:val="00345752"/>
    <w:rsid w:val="003466EE"/>
    <w:rsid w:val="00355AD1"/>
    <w:rsid w:val="0036108E"/>
    <w:rsid w:val="003617CE"/>
    <w:rsid w:val="003625B5"/>
    <w:rsid w:val="00362B46"/>
    <w:rsid w:val="0036408F"/>
    <w:rsid w:val="003648E5"/>
    <w:rsid w:val="00366303"/>
    <w:rsid w:val="003670DF"/>
    <w:rsid w:val="00367B2F"/>
    <w:rsid w:val="00371D81"/>
    <w:rsid w:val="00371DA1"/>
    <w:rsid w:val="00371F32"/>
    <w:rsid w:val="00375F01"/>
    <w:rsid w:val="003762A5"/>
    <w:rsid w:val="00376797"/>
    <w:rsid w:val="003807AE"/>
    <w:rsid w:val="00382820"/>
    <w:rsid w:val="00384D51"/>
    <w:rsid w:val="00385A6E"/>
    <w:rsid w:val="0038740D"/>
    <w:rsid w:val="00387885"/>
    <w:rsid w:val="00387A3B"/>
    <w:rsid w:val="00390F8E"/>
    <w:rsid w:val="0039239D"/>
    <w:rsid w:val="00392501"/>
    <w:rsid w:val="00392A89"/>
    <w:rsid w:val="00392F1F"/>
    <w:rsid w:val="003A0C99"/>
    <w:rsid w:val="003A1FA8"/>
    <w:rsid w:val="003A2D7E"/>
    <w:rsid w:val="003A6A5E"/>
    <w:rsid w:val="003B2078"/>
    <w:rsid w:val="003B351F"/>
    <w:rsid w:val="003B48F3"/>
    <w:rsid w:val="003B69DA"/>
    <w:rsid w:val="003B7528"/>
    <w:rsid w:val="003C019A"/>
    <w:rsid w:val="003C1C83"/>
    <w:rsid w:val="003C27BA"/>
    <w:rsid w:val="003C29E8"/>
    <w:rsid w:val="003C397F"/>
    <w:rsid w:val="003C4C5C"/>
    <w:rsid w:val="003C5412"/>
    <w:rsid w:val="003C57EF"/>
    <w:rsid w:val="003C5AAA"/>
    <w:rsid w:val="003D1072"/>
    <w:rsid w:val="003D3C6F"/>
    <w:rsid w:val="003D477C"/>
    <w:rsid w:val="003D6EB0"/>
    <w:rsid w:val="003D747F"/>
    <w:rsid w:val="003E0144"/>
    <w:rsid w:val="003E2A8C"/>
    <w:rsid w:val="003E41BF"/>
    <w:rsid w:val="003E6537"/>
    <w:rsid w:val="003E6E4A"/>
    <w:rsid w:val="003E7A40"/>
    <w:rsid w:val="003F1BF7"/>
    <w:rsid w:val="003F2568"/>
    <w:rsid w:val="003F2E7B"/>
    <w:rsid w:val="003F43B8"/>
    <w:rsid w:val="003F4B0F"/>
    <w:rsid w:val="003F4B9E"/>
    <w:rsid w:val="003F520B"/>
    <w:rsid w:val="003F56B5"/>
    <w:rsid w:val="003F5729"/>
    <w:rsid w:val="003F7284"/>
    <w:rsid w:val="003F7EA7"/>
    <w:rsid w:val="003F7F44"/>
    <w:rsid w:val="00400FA6"/>
    <w:rsid w:val="004012C2"/>
    <w:rsid w:val="00401C18"/>
    <w:rsid w:val="00401CD8"/>
    <w:rsid w:val="004028E4"/>
    <w:rsid w:val="00402D87"/>
    <w:rsid w:val="00413F45"/>
    <w:rsid w:val="00414474"/>
    <w:rsid w:val="00414F1A"/>
    <w:rsid w:val="00415126"/>
    <w:rsid w:val="0041590F"/>
    <w:rsid w:val="004167BB"/>
    <w:rsid w:val="00417DE4"/>
    <w:rsid w:val="0042034E"/>
    <w:rsid w:val="00421C04"/>
    <w:rsid w:val="00422E80"/>
    <w:rsid w:val="00424CA1"/>
    <w:rsid w:val="00424F1D"/>
    <w:rsid w:val="00430A28"/>
    <w:rsid w:val="00430D8D"/>
    <w:rsid w:val="0043282B"/>
    <w:rsid w:val="00432DEC"/>
    <w:rsid w:val="0043325A"/>
    <w:rsid w:val="00433868"/>
    <w:rsid w:val="0043563F"/>
    <w:rsid w:val="00437EDB"/>
    <w:rsid w:val="00440261"/>
    <w:rsid w:val="00440793"/>
    <w:rsid w:val="0044192B"/>
    <w:rsid w:val="0044219E"/>
    <w:rsid w:val="00442E68"/>
    <w:rsid w:val="004477DA"/>
    <w:rsid w:val="004510A0"/>
    <w:rsid w:val="004517C9"/>
    <w:rsid w:val="00451979"/>
    <w:rsid w:val="0045212E"/>
    <w:rsid w:val="00453C2D"/>
    <w:rsid w:val="004548BC"/>
    <w:rsid w:val="004554C7"/>
    <w:rsid w:val="00456A12"/>
    <w:rsid w:val="00457628"/>
    <w:rsid w:val="004603E4"/>
    <w:rsid w:val="00460BA6"/>
    <w:rsid w:val="00460F97"/>
    <w:rsid w:val="0046118D"/>
    <w:rsid w:val="004617BA"/>
    <w:rsid w:val="00461EE4"/>
    <w:rsid w:val="00462C04"/>
    <w:rsid w:val="00463933"/>
    <w:rsid w:val="0046578F"/>
    <w:rsid w:val="00467DDB"/>
    <w:rsid w:val="004706E4"/>
    <w:rsid w:val="0047532A"/>
    <w:rsid w:val="004778F9"/>
    <w:rsid w:val="00481686"/>
    <w:rsid w:val="004837F3"/>
    <w:rsid w:val="00485509"/>
    <w:rsid w:val="00490C8F"/>
    <w:rsid w:val="004944D5"/>
    <w:rsid w:val="004958BC"/>
    <w:rsid w:val="00495E32"/>
    <w:rsid w:val="00496BC8"/>
    <w:rsid w:val="00496E6F"/>
    <w:rsid w:val="004A2865"/>
    <w:rsid w:val="004A2F37"/>
    <w:rsid w:val="004A6BBE"/>
    <w:rsid w:val="004A74CF"/>
    <w:rsid w:val="004A78F2"/>
    <w:rsid w:val="004B3998"/>
    <w:rsid w:val="004B3F51"/>
    <w:rsid w:val="004B4B78"/>
    <w:rsid w:val="004B53B6"/>
    <w:rsid w:val="004B5B34"/>
    <w:rsid w:val="004B692B"/>
    <w:rsid w:val="004B6F0D"/>
    <w:rsid w:val="004B789E"/>
    <w:rsid w:val="004C1400"/>
    <w:rsid w:val="004C1FC0"/>
    <w:rsid w:val="004C2055"/>
    <w:rsid w:val="004C23D6"/>
    <w:rsid w:val="004C3075"/>
    <w:rsid w:val="004C3A61"/>
    <w:rsid w:val="004C4230"/>
    <w:rsid w:val="004C4969"/>
    <w:rsid w:val="004C609C"/>
    <w:rsid w:val="004C632F"/>
    <w:rsid w:val="004C657D"/>
    <w:rsid w:val="004C6FAD"/>
    <w:rsid w:val="004C77C6"/>
    <w:rsid w:val="004D3223"/>
    <w:rsid w:val="004D518F"/>
    <w:rsid w:val="004D7966"/>
    <w:rsid w:val="004D7C7B"/>
    <w:rsid w:val="004E1323"/>
    <w:rsid w:val="004E3E55"/>
    <w:rsid w:val="004E3F60"/>
    <w:rsid w:val="004E49E0"/>
    <w:rsid w:val="004F3296"/>
    <w:rsid w:val="004F55CE"/>
    <w:rsid w:val="004F5908"/>
    <w:rsid w:val="004F5B15"/>
    <w:rsid w:val="004F64FD"/>
    <w:rsid w:val="004F7D99"/>
    <w:rsid w:val="004F7F62"/>
    <w:rsid w:val="00501AE5"/>
    <w:rsid w:val="005021D3"/>
    <w:rsid w:val="0050240B"/>
    <w:rsid w:val="00505FD6"/>
    <w:rsid w:val="005064A3"/>
    <w:rsid w:val="00507361"/>
    <w:rsid w:val="005119B6"/>
    <w:rsid w:val="00512BE8"/>
    <w:rsid w:val="005142E1"/>
    <w:rsid w:val="00514C28"/>
    <w:rsid w:val="005165F4"/>
    <w:rsid w:val="00516F85"/>
    <w:rsid w:val="0051749D"/>
    <w:rsid w:val="00517CBA"/>
    <w:rsid w:val="0052249E"/>
    <w:rsid w:val="005225E6"/>
    <w:rsid w:val="005234C6"/>
    <w:rsid w:val="005240EF"/>
    <w:rsid w:val="00524ECD"/>
    <w:rsid w:val="00526256"/>
    <w:rsid w:val="00530114"/>
    <w:rsid w:val="00530DE2"/>
    <w:rsid w:val="005335C1"/>
    <w:rsid w:val="00533CBD"/>
    <w:rsid w:val="005347D8"/>
    <w:rsid w:val="00536107"/>
    <w:rsid w:val="00536992"/>
    <w:rsid w:val="00537FBF"/>
    <w:rsid w:val="00540056"/>
    <w:rsid w:val="00540171"/>
    <w:rsid w:val="00540F6E"/>
    <w:rsid w:val="005415CB"/>
    <w:rsid w:val="00544AE3"/>
    <w:rsid w:val="00544B42"/>
    <w:rsid w:val="00545448"/>
    <w:rsid w:val="00545A2A"/>
    <w:rsid w:val="005469E7"/>
    <w:rsid w:val="00547DBC"/>
    <w:rsid w:val="005508F2"/>
    <w:rsid w:val="00552504"/>
    <w:rsid w:val="0055253B"/>
    <w:rsid w:val="0055306D"/>
    <w:rsid w:val="00553C30"/>
    <w:rsid w:val="00553FF0"/>
    <w:rsid w:val="005551E4"/>
    <w:rsid w:val="005554BB"/>
    <w:rsid w:val="00556A8F"/>
    <w:rsid w:val="005602C0"/>
    <w:rsid w:val="0056045F"/>
    <w:rsid w:val="00563E79"/>
    <w:rsid w:val="005651CD"/>
    <w:rsid w:val="00565321"/>
    <w:rsid w:val="005667F3"/>
    <w:rsid w:val="0057159B"/>
    <w:rsid w:val="00571891"/>
    <w:rsid w:val="00571FBE"/>
    <w:rsid w:val="00572286"/>
    <w:rsid w:val="00573F3C"/>
    <w:rsid w:val="0057560B"/>
    <w:rsid w:val="00577163"/>
    <w:rsid w:val="00580645"/>
    <w:rsid w:val="00580919"/>
    <w:rsid w:val="00580C2A"/>
    <w:rsid w:val="00580DCB"/>
    <w:rsid w:val="0058118A"/>
    <w:rsid w:val="005852D1"/>
    <w:rsid w:val="00586D20"/>
    <w:rsid w:val="00587957"/>
    <w:rsid w:val="00591ECF"/>
    <w:rsid w:val="005925FE"/>
    <w:rsid w:val="0059688A"/>
    <w:rsid w:val="00596AF3"/>
    <w:rsid w:val="00596AF7"/>
    <w:rsid w:val="0059784D"/>
    <w:rsid w:val="00597952"/>
    <w:rsid w:val="00597B68"/>
    <w:rsid w:val="005A1460"/>
    <w:rsid w:val="005A25D5"/>
    <w:rsid w:val="005A36DD"/>
    <w:rsid w:val="005A3BD3"/>
    <w:rsid w:val="005A6556"/>
    <w:rsid w:val="005A67F9"/>
    <w:rsid w:val="005A70FB"/>
    <w:rsid w:val="005A74B1"/>
    <w:rsid w:val="005B0058"/>
    <w:rsid w:val="005B135B"/>
    <w:rsid w:val="005B280F"/>
    <w:rsid w:val="005B37AC"/>
    <w:rsid w:val="005B3E7A"/>
    <w:rsid w:val="005B63A2"/>
    <w:rsid w:val="005C0C5C"/>
    <w:rsid w:val="005C1CBE"/>
    <w:rsid w:val="005C32A1"/>
    <w:rsid w:val="005C5B85"/>
    <w:rsid w:val="005C5FC1"/>
    <w:rsid w:val="005D0DDC"/>
    <w:rsid w:val="005D491A"/>
    <w:rsid w:val="005D5695"/>
    <w:rsid w:val="005D6998"/>
    <w:rsid w:val="005D6C83"/>
    <w:rsid w:val="005D6F25"/>
    <w:rsid w:val="005E1C6B"/>
    <w:rsid w:val="005E2B55"/>
    <w:rsid w:val="005E4521"/>
    <w:rsid w:val="005E539B"/>
    <w:rsid w:val="005E557E"/>
    <w:rsid w:val="005E77AE"/>
    <w:rsid w:val="005F15C6"/>
    <w:rsid w:val="005F1E81"/>
    <w:rsid w:val="005F23C6"/>
    <w:rsid w:val="005F55CB"/>
    <w:rsid w:val="005F5954"/>
    <w:rsid w:val="005F6804"/>
    <w:rsid w:val="0060078E"/>
    <w:rsid w:val="00601113"/>
    <w:rsid w:val="00601B65"/>
    <w:rsid w:val="00601D4E"/>
    <w:rsid w:val="00601E49"/>
    <w:rsid w:val="006028AD"/>
    <w:rsid w:val="006031AF"/>
    <w:rsid w:val="00603C60"/>
    <w:rsid w:val="0060445A"/>
    <w:rsid w:val="006045D8"/>
    <w:rsid w:val="006164A4"/>
    <w:rsid w:val="00617730"/>
    <w:rsid w:val="006202AE"/>
    <w:rsid w:val="006209B5"/>
    <w:rsid w:val="00620C26"/>
    <w:rsid w:val="006217D5"/>
    <w:rsid w:val="0062189F"/>
    <w:rsid w:val="00621F71"/>
    <w:rsid w:val="0062220B"/>
    <w:rsid w:val="006222A3"/>
    <w:rsid w:val="006231FB"/>
    <w:rsid w:val="00624106"/>
    <w:rsid w:val="006249A5"/>
    <w:rsid w:val="006252F5"/>
    <w:rsid w:val="006259F1"/>
    <w:rsid w:val="00626385"/>
    <w:rsid w:val="00627ECF"/>
    <w:rsid w:val="00633210"/>
    <w:rsid w:val="006335EC"/>
    <w:rsid w:val="00633717"/>
    <w:rsid w:val="00633CA5"/>
    <w:rsid w:val="00634D81"/>
    <w:rsid w:val="00635BA1"/>
    <w:rsid w:val="006369A1"/>
    <w:rsid w:val="00637596"/>
    <w:rsid w:val="006406D6"/>
    <w:rsid w:val="0064134B"/>
    <w:rsid w:val="006418C9"/>
    <w:rsid w:val="0064191B"/>
    <w:rsid w:val="0064224D"/>
    <w:rsid w:val="00642A02"/>
    <w:rsid w:val="00643C38"/>
    <w:rsid w:val="00644059"/>
    <w:rsid w:val="00644DF4"/>
    <w:rsid w:val="00645268"/>
    <w:rsid w:val="00645F3E"/>
    <w:rsid w:val="00646A8C"/>
    <w:rsid w:val="006477CF"/>
    <w:rsid w:val="00650C71"/>
    <w:rsid w:val="00651499"/>
    <w:rsid w:val="0065161F"/>
    <w:rsid w:val="006518A5"/>
    <w:rsid w:val="006534A1"/>
    <w:rsid w:val="0065755F"/>
    <w:rsid w:val="00657D68"/>
    <w:rsid w:val="00662491"/>
    <w:rsid w:val="00662AF2"/>
    <w:rsid w:val="006632ED"/>
    <w:rsid w:val="0066423C"/>
    <w:rsid w:val="00664D83"/>
    <w:rsid w:val="00666640"/>
    <w:rsid w:val="0067028B"/>
    <w:rsid w:val="0067119E"/>
    <w:rsid w:val="00674461"/>
    <w:rsid w:val="006756FA"/>
    <w:rsid w:val="00681BA4"/>
    <w:rsid w:val="006820AE"/>
    <w:rsid w:val="0068312C"/>
    <w:rsid w:val="006849A7"/>
    <w:rsid w:val="00684F35"/>
    <w:rsid w:val="00685DD8"/>
    <w:rsid w:val="0068694F"/>
    <w:rsid w:val="00687CED"/>
    <w:rsid w:val="00690B5A"/>
    <w:rsid w:val="00693F0F"/>
    <w:rsid w:val="006943F3"/>
    <w:rsid w:val="00697900"/>
    <w:rsid w:val="006A291A"/>
    <w:rsid w:val="006A688B"/>
    <w:rsid w:val="006B22A3"/>
    <w:rsid w:val="006B2AF3"/>
    <w:rsid w:val="006B316E"/>
    <w:rsid w:val="006B3709"/>
    <w:rsid w:val="006B48FB"/>
    <w:rsid w:val="006B5283"/>
    <w:rsid w:val="006B5445"/>
    <w:rsid w:val="006B6F63"/>
    <w:rsid w:val="006B79F0"/>
    <w:rsid w:val="006C05EF"/>
    <w:rsid w:val="006C0A0F"/>
    <w:rsid w:val="006C1C8C"/>
    <w:rsid w:val="006C2BEA"/>
    <w:rsid w:val="006C2E72"/>
    <w:rsid w:val="006C30CE"/>
    <w:rsid w:val="006C31FB"/>
    <w:rsid w:val="006C4368"/>
    <w:rsid w:val="006C4D54"/>
    <w:rsid w:val="006C5E72"/>
    <w:rsid w:val="006C6DD6"/>
    <w:rsid w:val="006D11E8"/>
    <w:rsid w:val="006D1999"/>
    <w:rsid w:val="006D30AA"/>
    <w:rsid w:val="006D3DDD"/>
    <w:rsid w:val="006D52CE"/>
    <w:rsid w:val="006D565B"/>
    <w:rsid w:val="006D57B2"/>
    <w:rsid w:val="006D5D3C"/>
    <w:rsid w:val="006D6C64"/>
    <w:rsid w:val="006E0EEE"/>
    <w:rsid w:val="006E1558"/>
    <w:rsid w:val="006E17C3"/>
    <w:rsid w:val="006E5029"/>
    <w:rsid w:val="006E522E"/>
    <w:rsid w:val="006E675F"/>
    <w:rsid w:val="006E720F"/>
    <w:rsid w:val="006F0814"/>
    <w:rsid w:val="007003D3"/>
    <w:rsid w:val="007003E5"/>
    <w:rsid w:val="00700B2B"/>
    <w:rsid w:val="00704E30"/>
    <w:rsid w:val="00705895"/>
    <w:rsid w:val="00705BEC"/>
    <w:rsid w:val="007062CD"/>
    <w:rsid w:val="007106D2"/>
    <w:rsid w:val="0071155F"/>
    <w:rsid w:val="007117EF"/>
    <w:rsid w:val="00715126"/>
    <w:rsid w:val="007155C5"/>
    <w:rsid w:val="00716165"/>
    <w:rsid w:val="00716448"/>
    <w:rsid w:val="00716D32"/>
    <w:rsid w:val="00717294"/>
    <w:rsid w:val="007174DB"/>
    <w:rsid w:val="007202B3"/>
    <w:rsid w:val="0072203B"/>
    <w:rsid w:val="0072417E"/>
    <w:rsid w:val="00726EBD"/>
    <w:rsid w:val="00726F1F"/>
    <w:rsid w:val="00727603"/>
    <w:rsid w:val="00730B0C"/>
    <w:rsid w:val="00735D01"/>
    <w:rsid w:val="00735F66"/>
    <w:rsid w:val="007375D2"/>
    <w:rsid w:val="007378C2"/>
    <w:rsid w:val="00740D16"/>
    <w:rsid w:val="007420DD"/>
    <w:rsid w:val="00743F7A"/>
    <w:rsid w:val="007504B0"/>
    <w:rsid w:val="007506C3"/>
    <w:rsid w:val="00752364"/>
    <w:rsid w:val="0075275D"/>
    <w:rsid w:val="00757F8E"/>
    <w:rsid w:val="00760CAF"/>
    <w:rsid w:val="007615D2"/>
    <w:rsid w:val="007621AE"/>
    <w:rsid w:val="007628F2"/>
    <w:rsid w:val="00767427"/>
    <w:rsid w:val="0077084B"/>
    <w:rsid w:val="0077104F"/>
    <w:rsid w:val="00771FDC"/>
    <w:rsid w:val="007727A8"/>
    <w:rsid w:val="007739E5"/>
    <w:rsid w:val="00773E61"/>
    <w:rsid w:val="00775675"/>
    <w:rsid w:val="00775AB8"/>
    <w:rsid w:val="007761BC"/>
    <w:rsid w:val="0077772D"/>
    <w:rsid w:val="00782507"/>
    <w:rsid w:val="00783611"/>
    <w:rsid w:val="00783A6B"/>
    <w:rsid w:val="00784BE6"/>
    <w:rsid w:val="007851BF"/>
    <w:rsid w:val="00790B06"/>
    <w:rsid w:val="0079277B"/>
    <w:rsid w:val="007938C8"/>
    <w:rsid w:val="00793F89"/>
    <w:rsid w:val="00796F02"/>
    <w:rsid w:val="00797804"/>
    <w:rsid w:val="007A2B35"/>
    <w:rsid w:val="007A2C8F"/>
    <w:rsid w:val="007A3C70"/>
    <w:rsid w:val="007A4318"/>
    <w:rsid w:val="007A4332"/>
    <w:rsid w:val="007A487C"/>
    <w:rsid w:val="007A5BB0"/>
    <w:rsid w:val="007A6AE8"/>
    <w:rsid w:val="007A6EE2"/>
    <w:rsid w:val="007B0298"/>
    <w:rsid w:val="007B07CE"/>
    <w:rsid w:val="007B0FD1"/>
    <w:rsid w:val="007B1825"/>
    <w:rsid w:val="007B1D3C"/>
    <w:rsid w:val="007B3C72"/>
    <w:rsid w:val="007B5F23"/>
    <w:rsid w:val="007B6E92"/>
    <w:rsid w:val="007B7022"/>
    <w:rsid w:val="007C1148"/>
    <w:rsid w:val="007C2ED3"/>
    <w:rsid w:val="007C3C15"/>
    <w:rsid w:val="007C5009"/>
    <w:rsid w:val="007C61B5"/>
    <w:rsid w:val="007C6D6B"/>
    <w:rsid w:val="007D1663"/>
    <w:rsid w:val="007D2A19"/>
    <w:rsid w:val="007D3344"/>
    <w:rsid w:val="007D559D"/>
    <w:rsid w:val="007D7CFF"/>
    <w:rsid w:val="007E087D"/>
    <w:rsid w:val="007E2476"/>
    <w:rsid w:val="007E354F"/>
    <w:rsid w:val="007E4731"/>
    <w:rsid w:val="007E5428"/>
    <w:rsid w:val="007E71BA"/>
    <w:rsid w:val="007F0A39"/>
    <w:rsid w:val="007F196F"/>
    <w:rsid w:val="007F27DC"/>
    <w:rsid w:val="007F58AF"/>
    <w:rsid w:val="007F5A58"/>
    <w:rsid w:val="007F5FF4"/>
    <w:rsid w:val="007F6499"/>
    <w:rsid w:val="008008C2"/>
    <w:rsid w:val="0080387F"/>
    <w:rsid w:val="00803B5B"/>
    <w:rsid w:val="00805545"/>
    <w:rsid w:val="00805F82"/>
    <w:rsid w:val="00806149"/>
    <w:rsid w:val="00806919"/>
    <w:rsid w:val="00806C87"/>
    <w:rsid w:val="0081140C"/>
    <w:rsid w:val="00815F5E"/>
    <w:rsid w:val="0081662A"/>
    <w:rsid w:val="008167FC"/>
    <w:rsid w:val="008177B5"/>
    <w:rsid w:val="008178B4"/>
    <w:rsid w:val="00820143"/>
    <w:rsid w:val="00820EF3"/>
    <w:rsid w:val="00821097"/>
    <w:rsid w:val="00823DE4"/>
    <w:rsid w:val="00825998"/>
    <w:rsid w:val="008266B9"/>
    <w:rsid w:val="00827201"/>
    <w:rsid w:val="00827FEE"/>
    <w:rsid w:val="008327B5"/>
    <w:rsid w:val="008327F9"/>
    <w:rsid w:val="00832B30"/>
    <w:rsid w:val="00835A33"/>
    <w:rsid w:val="008360A5"/>
    <w:rsid w:val="008360C0"/>
    <w:rsid w:val="008368A9"/>
    <w:rsid w:val="008371C8"/>
    <w:rsid w:val="00837639"/>
    <w:rsid w:val="008416DF"/>
    <w:rsid w:val="00841B91"/>
    <w:rsid w:val="00842EF5"/>
    <w:rsid w:val="00842F4B"/>
    <w:rsid w:val="0084301B"/>
    <w:rsid w:val="008432E1"/>
    <w:rsid w:val="00843555"/>
    <w:rsid w:val="00844396"/>
    <w:rsid w:val="00844663"/>
    <w:rsid w:val="00845E09"/>
    <w:rsid w:val="00846115"/>
    <w:rsid w:val="0084772A"/>
    <w:rsid w:val="00847BB1"/>
    <w:rsid w:val="008533CD"/>
    <w:rsid w:val="0085356A"/>
    <w:rsid w:val="00853AC0"/>
    <w:rsid w:val="0085453B"/>
    <w:rsid w:val="00854BED"/>
    <w:rsid w:val="008555F1"/>
    <w:rsid w:val="0085608B"/>
    <w:rsid w:val="008600A2"/>
    <w:rsid w:val="0086012A"/>
    <w:rsid w:val="00860776"/>
    <w:rsid w:val="0086116D"/>
    <w:rsid w:val="008665C5"/>
    <w:rsid w:val="00866FEA"/>
    <w:rsid w:val="008677B6"/>
    <w:rsid w:val="008750F5"/>
    <w:rsid w:val="008758EA"/>
    <w:rsid w:val="00881450"/>
    <w:rsid w:val="008814A8"/>
    <w:rsid w:val="008817B0"/>
    <w:rsid w:val="00881D21"/>
    <w:rsid w:val="008835FA"/>
    <w:rsid w:val="00892203"/>
    <w:rsid w:val="00892742"/>
    <w:rsid w:val="00897EB3"/>
    <w:rsid w:val="008A0DCB"/>
    <w:rsid w:val="008A0DD6"/>
    <w:rsid w:val="008A2373"/>
    <w:rsid w:val="008A2C50"/>
    <w:rsid w:val="008A335F"/>
    <w:rsid w:val="008B0770"/>
    <w:rsid w:val="008B2C2D"/>
    <w:rsid w:val="008B3109"/>
    <w:rsid w:val="008B3B14"/>
    <w:rsid w:val="008B4086"/>
    <w:rsid w:val="008B664E"/>
    <w:rsid w:val="008B7DE3"/>
    <w:rsid w:val="008C1ED9"/>
    <w:rsid w:val="008C31D7"/>
    <w:rsid w:val="008C48DC"/>
    <w:rsid w:val="008C5132"/>
    <w:rsid w:val="008D0738"/>
    <w:rsid w:val="008D13DC"/>
    <w:rsid w:val="008D17BF"/>
    <w:rsid w:val="008D50BB"/>
    <w:rsid w:val="008D638F"/>
    <w:rsid w:val="008D7D04"/>
    <w:rsid w:val="008E00F0"/>
    <w:rsid w:val="008E235D"/>
    <w:rsid w:val="008E341E"/>
    <w:rsid w:val="008E3A98"/>
    <w:rsid w:val="008E47EF"/>
    <w:rsid w:val="008E4D82"/>
    <w:rsid w:val="008E4F94"/>
    <w:rsid w:val="008E52B9"/>
    <w:rsid w:val="008E5541"/>
    <w:rsid w:val="008E57AF"/>
    <w:rsid w:val="008F0711"/>
    <w:rsid w:val="008F0B4A"/>
    <w:rsid w:val="008F2860"/>
    <w:rsid w:val="008F342B"/>
    <w:rsid w:val="008F3C50"/>
    <w:rsid w:val="008F4C6A"/>
    <w:rsid w:val="008F542D"/>
    <w:rsid w:val="00900DDD"/>
    <w:rsid w:val="0090554C"/>
    <w:rsid w:val="009056D6"/>
    <w:rsid w:val="009075D4"/>
    <w:rsid w:val="009076C1"/>
    <w:rsid w:val="00911B7F"/>
    <w:rsid w:val="009121F7"/>
    <w:rsid w:val="00914C73"/>
    <w:rsid w:val="00916CCE"/>
    <w:rsid w:val="0092051B"/>
    <w:rsid w:val="009212F1"/>
    <w:rsid w:val="0092149F"/>
    <w:rsid w:val="00921B0F"/>
    <w:rsid w:val="009265B7"/>
    <w:rsid w:val="0092683E"/>
    <w:rsid w:val="00927CFC"/>
    <w:rsid w:val="0093049D"/>
    <w:rsid w:val="00930F71"/>
    <w:rsid w:val="00931470"/>
    <w:rsid w:val="00932536"/>
    <w:rsid w:val="009362DF"/>
    <w:rsid w:val="00945C98"/>
    <w:rsid w:val="00953C81"/>
    <w:rsid w:val="00953F63"/>
    <w:rsid w:val="00954049"/>
    <w:rsid w:val="0095634D"/>
    <w:rsid w:val="0095745E"/>
    <w:rsid w:val="00957C7F"/>
    <w:rsid w:val="00960331"/>
    <w:rsid w:val="00960AA9"/>
    <w:rsid w:val="00960CC1"/>
    <w:rsid w:val="00961270"/>
    <w:rsid w:val="00961283"/>
    <w:rsid w:val="00961670"/>
    <w:rsid w:val="00961DAA"/>
    <w:rsid w:val="00961F20"/>
    <w:rsid w:val="0096340B"/>
    <w:rsid w:val="00963C2E"/>
    <w:rsid w:val="00964A58"/>
    <w:rsid w:val="00967237"/>
    <w:rsid w:val="00967621"/>
    <w:rsid w:val="009703AD"/>
    <w:rsid w:val="00970F28"/>
    <w:rsid w:val="009711F9"/>
    <w:rsid w:val="00972B5A"/>
    <w:rsid w:val="00973C6E"/>
    <w:rsid w:val="00975CD3"/>
    <w:rsid w:val="009767F4"/>
    <w:rsid w:val="00976A54"/>
    <w:rsid w:val="00976B48"/>
    <w:rsid w:val="00981669"/>
    <w:rsid w:val="00981C82"/>
    <w:rsid w:val="0098219A"/>
    <w:rsid w:val="00982702"/>
    <w:rsid w:val="00982C96"/>
    <w:rsid w:val="00983395"/>
    <w:rsid w:val="009842D8"/>
    <w:rsid w:val="00984D32"/>
    <w:rsid w:val="00984E26"/>
    <w:rsid w:val="00985DFF"/>
    <w:rsid w:val="00986068"/>
    <w:rsid w:val="0099109F"/>
    <w:rsid w:val="00994B06"/>
    <w:rsid w:val="009968F5"/>
    <w:rsid w:val="00997DEF"/>
    <w:rsid w:val="009A1708"/>
    <w:rsid w:val="009A3583"/>
    <w:rsid w:val="009A71F3"/>
    <w:rsid w:val="009B0A23"/>
    <w:rsid w:val="009B0B6C"/>
    <w:rsid w:val="009B10D3"/>
    <w:rsid w:val="009B4B46"/>
    <w:rsid w:val="009B663B"/>
    <w:rsid w:val="009B68F6"/>
    <w:rsid w:val="009B6A81"/>
    <w:rsid w:val="009C0F34"/>
    <w:rsid w:val="009C2379"/>
    <w:rsid w:val="009C418D"/>
    <w:rsid w:val="009C490F"/>
    <w:rsid w:val="009D1159"/>
    <w:rsid w:val="009D4D91"/>
    <w:rsid w:val="009D5206"/>
    <w:rsid w:val="009D5CF7"/>
    <w:rsid w:val="009D7748"/>
    <w:rsid w:val="009E07D4"/>
    <w:rsid w:val="009E128C"/>
    <w:rsid w:val="009E17FF"/>
    <w:rsid w:val="009E1D36"/>
    <w:rsid w:val="009E3643"/>
    <w:rsid w:val="009E4627"/>
    <w:rsid w:val="009E5F1A"/>
    <w:rsid w:val="009E5F43"/>
    <w:rsid w:val="009F1237"/>
    <w:rsid w:val="009F5C88"/>
    <w:rsid w:val="009F7663"/>
    <w:rsid w:val="00A03F50"/>
    <w:rsid w:val="00A0465A"/>
    <w:rsid w:val="00A046FF"/>
    <w:rsid w:val="00A0638F"/>
    <w:rsid w:val="00A07157"/>
    <w:rsid w:val="00A0791D"/>
    <w:rsid w:val="00A102A2"/>
    <w:rsid w:val="00A11171"/>
    <w:rsid w:val="00A11C2E"/>
    <w:rsid w:val="00A12D37"/>
    <w:rsid w:val="00A12E5B"/>
    <w:rsid w:val="00A14036"/>
    <w:rsid w:val="00A17EF4"/>
    <w:rsid w:val="00A20852"/>
    <w:rsid w:val="00A232BA"/>
    <w:rsid w:val="00A23B7A"/>
    <w:rsid w:val="00A23FF9"/>
    <w:rsid w:val="00A25763"/>
    <w:rsid w:val="00A25A93"/>
    <w:rsid w:val="00A3030E"/>
    <w:rsid w:val="00A30BCE"/>
    <w:rsid w:val="00A34E01"/>
    <w:rsid w:val="00A35B1F"/>
    <w:rsid w:val="00A4005A"/>
    <w:rsid w:val="00A459C0"/>
    <w:rsid w:val="00A45A07"/>
    <w:rsid w:val="00A4666F"/>
    <w:rsid w:val="00A521DD"/>
    <w:rsid w:val="00A5431A"/>
    <w:rsid w:val="00A56122"/>
    <w:rsid w:val="00A5668C"/>
    <w:rsid w:val="00A6011D"/>
    <w:rsid w:val="00A60369"/>
    <w:rsid w:val="00A61256"/>
    <w:rsid w:val="00A61F3B"/>
    <w:rsid w:val="00A6254F"/>
    <w:rsid w:val="00A65B1A"/>
    <w:rsid w:val="00A65CC9"/>
    <w:rsid w:val="00A66B1D"/>
    <w:rsid w:val="00A7203E"/>
    <w:rsid w:val="00A72D05"/>
    <w:rsid w:val="00A73528"/>
    <w:rsid w:val="00A73A0A"/>
    <w:rsid w:val="00A76109"/>
    <w:rsid w:val="00A769C6"/>
    <w:rsid w:val="00A7718F"/>
    <w:rsid w:val="00A77F31"/>
    <w:rsid w:val="00A80A9B"/>
    <w:rsid w:val="00A81B78"/>
    <w:rsid w:val="00A81BCA"/>
    <w:rsid w:val="00A820D5"/>
    <w:rsid w:val="00A8230A"/>
    <w:rsid w:val="00A82CEC"/>
    <w:rsid w:val="00A82E33"/>
    <w:rsid w:val="00A83302"/>
    <w:rsid w:val="00A86E1D"/>
    <w:rsid w:val="00A86FBD"/>
    <w:rsid w:val="00A87A61"/>
    <w:rsid w:val="00A928A7"/>
    <w:rsid w:val="00A93A87"/>
    <w:rsid w:val="00A94BDF"/>
    <w:rsid w:val="00AA02B6"/>
    <w:rsid w:val="00AA0530"/>
    <w:rsid w:val="00AA2D5A"/>
    <w:rsid w:val="00AA3281"/>
    <w:rsid w:val="00AA532E"/>
    <w:rsid w:val="00AA5E2E"/>
    <w:rsid w:val="00AB05F1"/>
    <w:rsid w:val="00AB417C"/>
    <w:rsid w:val="00AB488F"/>
    <w:rsid w:val="00AB6CE6"/>
    <w:rsid w:val="00AB6D60"/>
    <w:rsid w:val="00AC2750"/>
    <w:rsid w:val="00AD2358"/>
    <w:rsid w:val="00AD405C"/>
    <w:rsid w:val="00AD4E39"/>
    <w:rsid w:val="00AD55CF"/>
    <w:rsid w:val="00AD630F"/>
    <w:rsid w:val="00AD7A73"/>
    <w:rsid w:val="00AE059A"/>
    <w:rsid w:val="00AE0723"/>
    <w:rsid w:val="00AE114A"/>
    <w:rsid w:val="00AE1C8E"/>
    <w:rsid w:val="00AE2D36"/>
    <w:rsid w:val="00AE3F88"/>
    <w:rsid w:val="00AE4D26"/>
    <w:rsid w:val="00AE59CD"/>
    <w:rsid w:val="00AE6818"/>
    <w:rsid w:val="00AE7C92"/>
    <w:rsid w:val="00AE7F8B"/>
    <w:rsid w:val="00AF16D9"/>
    <w:rsid w:val="00AF1B24"/>
    <w:rsid w:val="00AF327B"/>
    <w:rsid w:val="00AF569B"/>
    <w:rsid w:val="00AF6FB6"/>
    <w:rsid w:val="00B01F2D"/>
    <w:rsid w:val="00B03EBB"/>
    <w:rsid w:val="00B0556E"/>
    <w:rsid w:val="00B05FD4"/>
    <w:rsid w:val="00B0669F"/>
    <w:rsid w:val="00B071EF"/>
    <w:rsid w:val="00B123C6"/>
    <w:rsid w:val="00B128F8"/>
    <w:rsid w:val="00B132F8"/>
    <w:rsid w:val="00B1337B"/>
    <w:rsid w:val="00B17608"/>
    <w:rsid w:val="00B21E8E"/>
    <w:rsid w:val="00B23C73"/>
    <w:rsid w:val="00B249AE"/>
    <w:rsid w:val="00B2599A"/>
    <w:rsid w:val="00B25A44"/>
    <w:rsid w:val="00B32495"/>
    <w:rsid w:val="00B33794"/>
    <w:rsid w:val="00B34D20"/>
    <w:rsid w:val="00B35321"/>
    <w:rsid w:val="00B36164"/>
    <w:rsid w:val="00B36467"/>
    <w:rsid w:val="00B41301"/>
    <w:rsid w:val="00B420D0"/>
    <w:rsid w:val="00B4241E"/>
    <w:rsid w:val="00B505D2"/>
    <w:rsid w:val="00B5322A"/>
    <w:rsid w:val="00B5354A"/>
    <w:rsid w:val="00B563C5"/>
    <w:rsid w:val="00B5661D"/>
    <w:rsid w:val="00B5761F"/>
    <w:rsid w:val="00B57918"/>
    <w:rsid w:val="00B61B80"/>
    <w:rsid w:val="00B61DBA"/>
    <w:rsid w:val="00B7008D"/>
    <w:rsid w:val="00B71DF0"/>
    <w:rsid w:val="00B76081"/>
    <w:rsid w:val="00B80C1A"/>
    <w:rsid w:val="00B8220A"/>
    <w:rsid w:val="00B83149"/>
    <w:rsid w:val="00B83C01"/>
    <w:rsid w:val="00B85A35"/>
    <w:rsid w:val="00B875A8"/>
    <w:rsid w:val="00B905DF"/>
    <w:rsid w:val="00B91AB5"/>
    <w:rsid w:val="00B9246D"/>
    <w:rsid w:val="00B931E2"/>
    <w:rsid w:val="00B940F5"/>
    <w:rsid w:val="00B9510E"/>
    <w:rsid w:val="00B95BB0"/>
    <w:rsid w:val="00B95E49"/>
    <w:rsid w:val="00BA0068"/>
    <w:rsid w:val="00BA0F24"/>
    <w:rsid w:val="00BA1546"/>
    <w:rsid w:val="00BA269F"/>
    <w:rsid w:val="00BA7D95"/>
    <w:rsid w:val="00BB07BE"/>
    <w:rsid w:val="00BB1894"/>
    <w:rsid w:val="00BB1F8C"/>
    <w:rsid w:val="00BB240E"/>
    <w:rsid w:val="00BB34C5"/>
    <w:rsid w:val="00BB4009"/>
    <w:rsid w:val="00BB4A1C"/>
    <w:rsid w:val="00BB5909"/>
    <w:rsid w:val="00BB6C9B"/>
    <w:rsid w:val="00BC05D3"/>
    <w:rsid w:val="00BC25A6"/>
    <w:rsid w:val="00BC2C03"/>
    <w:rsid w:val="00BC4340"/>
    <w:rsid w:val="00BC4EE4"/>
    <w:rsid w:val="00BC4F86"/>
    <w:rsid w:val="00BC5FA2"/>
    <w:rsid w:val="00BC6331"/>
    <w:rsid w:val="00BC668B"/>
    <w:rsid w:val="00BD083C"/>
    <w:rsid w:val="00BD1DB9"/>
    <w:rsid w:val="00BD3970"/>
    <w:rsid w:val="00BD4DBD"/>
    <w:rsid w:val="00BD566B"/>
    <w:rsid w:val="00BD5F3E"/>
    <w:rsid w:val="00BD66D1"/>
    <w:rsid w:val="00BD6DDE"/>
    <w:rsid w:val="00BD719F"/>
    <w:rsid w:val="00BD72C4"/>
    <w:rsid w:val="00BE0B70"/>
    <w:rsid w:val="00BE0D9C"/>
    <w:rsid w:val="00BE1891"/>
    <w:rsid w:val="00BE25F9"/>
    <w:rsid w:val="00BE26CF"/>
    <w:rsid w:val="00BE2C56"/>
    <w:rsid w:val="00BE609C"/>
    <w:rsid w:val="00BE7565"/>
    <w:rsid w:val="00BE7B06"/>
    <w:rsid w:val="00BF5920"/>
    <w:rsid w:val="00BF5EF9"/>
    <w:rsid w:val="00BF64F0"/>
    <w:rsid w:val="00C04310"/>
    <w:rsid w:val="00C0497E"/>
    <w:rsid w:val="00C04B54"/>
    <w:rsid w:val="00C10BC3"/>
    <w:rsid w:val="00C117F8"/>
    <w:rsid w:val="00C12530"/>
    <w:rsid w:val="00C12B4A"/>
    <w:rsid w:val="00C132E0"/>
    <w:rsid w:val="00C13C54"/>
    <w:rsid w:val="00C15408"/>
    <w:rsid w:val="00C160B1"/>
    <w:rsid w:val="00C16E76"/>
    <w:rsid w:val="00C202E8"/>
    <w:rsid w:val="00C21FC1"/>
    <w:rsid w:val="00C224F5"/>
    <w:rsid w:val="00C23D99"/>
    <w:rsid w:val="00C25237"/>
    <w:rsid w:val="00C25FCF"/>
    <w:rsid w:val="00C301E5"/>
    <w:rsid w:val="00C30F36"/>
    <w:rsid w:val="00C31841"/>
    <w:rsid w:val="00C3188C"/>
    <w:rsid w:val="00C31B06"/>
    <w:rsid w:val="00C3313A"/>
    <w:rsid w:val="00C33461"/>
    <w:rsid w:val="00C36E1B"/>
    <w:rsid w:val="00C40152"/>
    <w:rsid w:val="00C406F5"/>
    <w:rsid w:val="00C4078D"/>
    <w:rsid w:val="00C43234"/>
    <w:rsid w:val="00C46114"/>
    <w:rsid w:val="00C52DF6"/>
    <w:rsid w:val="00C5311E"/>
    <w:rsid w:val="00C53710"/>
    <w:rsid w:val="00C547EB"/>
    <w:rsid w:val="00C5602B"/>
    <w:rsid w:val="00C560C0"/>
    <w:rsid w:val="00C56C49"/>
    <w:rsid w:val="00C576AB"/>
    <w:rsid w:val="00C60054"/>
    <w:rsid w:val="00C60301"/>
    <w:rsid w:val="00C6110D"/>
    <w:rsid w:val="00C6118D"/>
    <w:rsid w:val="00C617F2"/>
    <w:rsid w:val="00C63CDA"/>
    <w:rsid w:val="00C64306"/>
    <w:rsid w:val="00C6459F"/>
    <w:rsid w:val="00C67ED9"/>
    <w:rsid w:val="00C709F7"/>
    <w:rsid w:val="00C7138B"/>
    <w:rsid w:val="00C7232A"/>
    <w:rsid w:val="00C7341E"/>
    <w:rsid w:val="00C7492B"/>
    <w:rsid w:val="00C74AEA"/>
    <w:rsid w:val="00C77602"/>
    <w:rsid w:val="00C82109"/>
    <w:rsid w:val="00C8292D"/>
    <w:rsid w:val="00C83AFF"/>
    <w:rsid w:val="00C83D0F"/>
    <w:rsid w:val="00C8590C"/>
    <w:rsid w:val="00C85D9C"/>
    <w:rsid w:val="00C8685A"/>
    <w:rsid w:val="00C874B3"/>
    <w:rsid w:val="00C87525"/>
    <w:rsid w:val="00C91A90"/>
    <w:rsid w:val="00C922D0"/>
    <w:rsid w:val="00C948C3"/>
    <w:rsid w:val="00C94A43"/>
    <w:rsid w:val="00C954F1"/>
    <w:rsid w:val="00CA118E"/>
    <w:rsid w:val="00CA323B"/>
    <w:rsid w:val="00CA388A"/>
    <w:rsid w:val="00CA6B1C"/>
    <w:rsid w:val="00CB10A7"/>
    <w:rsid w:val="00CB797B"/>
    <w:rsid w:val="00CB7C00"/>
    <w:rsid w:val="00CC4E15"/>
    <w:rsid w:val="00CC5274"/>
    <w:rsid w:val="00CC548A"/>
    <w:rsid w:val="00CC5F18"/>
    <w:rsid w:val="00CC6596"/>
    <w:rsid w:val="00CD028E"/>
    <w:rsid w:val="00CD0CA1"/>
    <w:rsid w:val="00CD187B"/>
    <w:rsid w:val="00CD25A4"/>
    <w:rsid w:val="00CD3B29"/>
    <w:rsid w:val="00CD3C0A"/>
    <w:rsid w:val="00CD46AD"/>
    <w:rsid w:val="00CD5F88"/>
    <w:rsid w:val="00CD691E"/>
    <w:rsid w:val="00CD6A0A"/>
    <w:rsid w:val="00CE0B16"/>
    <w:rsid w:val="00CE0C54"/>
    <w:rsid w:val="00CE0E8C"/>
    <w:rsid w:val="00CE14EC"/>
    <w:rsid w:val="00CE217B"/>
    <w:rsid w:val="00CE2226"/>
    <w:rsid w:val="00CE302E"/>
    <w:rsid w:val="00CE34CF"/>
    <w:rsid w:val="00CE3DD2"/>
    <w:rsid w:val="00CE5578"/>
    <w:rsid w:val="00CE5595"/>
    <w:rsid w:val="00CE56B4"/>
    <w:rsid w:val="00CE5975"/>
    <w:rsid w:val="00CE6AF0"/>
    <w:rsid w:val="00CF22CC"/>
    <w:rsid w:val="00CF2B5A"/>
    <w:rsid w:val="00CF3524"/>
    <w:rsid w:val="00CF3A10"/>
    <w:rsid w:val="00CF3DEB"/>
    <w:rsid w:val="00CF4352"/>
    <w:rsid w:val="00CF62C5"/>
    <w:rsid w:val="00CF6F93"/>
    <w:rsid w:val="00CF7E2B"/>
    <w:rsid w:val="00D011B8"/>
    <w:rsid w:val="00D01488"/>
    <w:rsid w:val="00D01C9B"/>
    <w:rsid w:val="00D01CA1"/>
    <w:rsid w:val="00D02D25"/>
    <w:rsid w:val="00D0415C"/>
    <w:rsid w:val="00D05CBF"/>
    <w:rsid w:val="00D1146F"/>
    <w:rsid w:val="00D11E51"/>
    <w:rsid w:val="00D121A7"/>
    <w:rsid w:val="00D14482"/>
    <w:rsid w:val="00D14CA2"/>
    <w:rsid w:val="00D154EF"/>
    <w:rsid w:val="00D1565D"/>
    <w:rsid w:val="00D16A50"/>
    <w:rsid w:val="00D16D20"/>
    <w:rsid w:val="00D17994"/>
    <w:rsid w:val="00D2082D"/>
    <w:rsid w:val="00D2188C"/>
    <w:rsid w:val="00D21D31"/>
    <w:rsid w:val="00D22B4D"/>
    <w:rsid w:val="00D22DC7"/>
    <w:rsid w:val="00D23B85"/>
    <w:rsid w:val="00D25108"/>
    <w:rsid w:val="00D266AE"/>
    <w:rsid w:val="00D275BF"/>
    <w:rsid w:val="00D276DE"/>
    <w:rsid w:val="00D27D29"/>
    <w:rsid w:val="00D3260A"/>
    <w:rsid w:val="00D34176"/>
    <w:rsid w:val="00D34355"/>
    <w:rsid w:val="00D34CC6"/>
    <w:rsid w:val="00D36C6D"/>
    <w:rsid w:val="00D37591"/>
    <w:rsid w:val="00D37728"/>
    <w:rsid w:val="00D41084"/>
    <w:rsid w:val="00D43BF8"/>
    <w:rsid w:val="00D43D01"/>
    <w:rsid w:val="00D4419F"/>
    <w:rsid w:val="00D44C0E"/>
    <w:rsid w:val="00D44E70"/>
    <w:rsid w:val="00D4673A"/>
    <w:rsid w:val="00D46D92"/>
    <w:rsid w:val="00D5135F"/>
    <w:rsid w:val="00D52534"/>
    <w:rsid w:val="00D52A23"/>
    <w:rsid w:val="00D534CC"/>
    <w:rsid w:val="00D53B32"/>
    <w:rsid w:val="00D53B98"/>
    <w:rsid w:val="00D5682D"/>
    <w:rsid w:val="00D57606"/>
    <w:rsid w:val="00D60885"/>
    <w:rsid w:val="00D60B5B"/>
    <w:rsid w:val="00D611C2"/>
    <w:rsid w:val="00D613A6"/>
    <w:rsid w:val="00D61912"/>
    <w:rsid w:val="00D62775"/>
    <w:rsid w:val="00D6475D"/>
    <w:rsid w:val="00D65E2D"/>
    <w:rsid w:val="00D660C7"/>
    <w:rsid w:val="00D662C3"/>
    <w:rsid w:val="00D70B1A"/>
    <w:rsid w:val="00D726D4"/>
    <w:rsid w:val="00D73258"/>
    <w:rsid w:val="00D73417"/>
    <w:rsid w:val="00D75365"/>
    <w:rsid w:val="00D762BD"/>
    <w:rsid w:val="00D803EB"/>
    <w:rsid w:val="00D80973"/>
    <w:rsid w:val="00D825E5"/>
    <w:rsid w:val="00D83608"/>
    <w:rsid w:val="00D83E93"/>
    <w:rsid w:val="00D841D1"/>
    <w:rsid w:val="00D84BBF"/>
    <w:rsid w:val="00D86219"/>
    <w:rsid w:val="00D86C54"/>
    <w:rsid w:val="00D90545"/>
    <w:rsid w:val="00D91D27"/>
    <w:rsid w:val="00D938AB"/>
    <w:rsid w:val="00D94017"/>
    <w:rsid w:val="00D95BB1"/>
    <w:rsid w:val="00D97566"/>
    <w:rsid w:val="00D977D2"/>
    <w:rsid w:val="00DA093A"/>
    <w:rsid w:val="00DA1557"/>
    <w:rsid w:val="00DA4023"/>
    <w:rsid w:val="00DA4396"/>
    <w:rsid w:val="00DB0AAF"/>
    <w:rsid w:val="00DB670E"/>
    <w:rsid w:val="00DC0E8B"/>
    <w:rsid w:val="00DC3D1E"/>
    <w:rsid w:val="00DC64F5"/>
    <w:rsid w:val="00DC669E"/>
    <w:rsid w:val="00DC775D"/>
    <w:rsid w:val="00DD18F8"/>
    <w:rsid w:val="00DD1EC4"/>
    <w:rsid w:val="00DD23D4"/>
    <w:rsid w:val="00DD2F98"/>
    <w:rsid w:val="00DD31DA"/>
    <w:rsid w:val="00DD4B84"/>
    <w:rsid w:val="00DD520D"/>
    <w:rsid w:val="00DD60BB"/>
    <w:rsid w:val="00DD622F"/>
    <w:rsid w:val="00DD6A17"/>
    <w:rsid w:val="00DE1E4B"/>
    <w:rsid w:val="00DE2DF7"/>
    <w:rsid w:val="00DE37AF"/>
    <w:rsid w:val="00DE4181"/>
    <w:rsid w:val="00DE4C6B"/>
    <w:rsid w:val="00DE5201"/>
    <w:rsid w:val="00DE64B4"/>
    <w:rsid w:val="00DE78DD"/>
    <w:rsid w:val="00DF0A0C"/>
    <w:rsid w:val="00DF270B"/>
    <w:rsid w:val="00DF351E"/>
    <w:rsid w:val="00DF35D3"/>
    <w:rsid w:val="00DF38E6"/>
    <w:rsid w:val="00DF3C75"/>
    <w:rsid w:val="00DF3F5F"/>
    <w:rsid w:val="00E0028A"/>
    <w:rsid w:val="00E0053F"/>
    <w:rsid w:val="00E01756"/>
    <w:rsid w:val="00E023C0"/>
    <w:rsid w:val="00E07551"/>
    <w:rsid w:val="00E10A01"/>
    <w:rsid w:val="00E1340B"/>
    <w:rsid w:val="00E14A8D"/>
    <w:rsid w:val="00E16133"/>
    <w:rsid w:val="00E16995"/>
    <w:rsid w:val="00E17DBB"/>
    <w:rsid w:val="00E201DE"/>
    <w:rsid w:val="00E20354"/>
    <w:rsid w:val="00E2065D"/>
    <w:rsid w:val="00E21BDC"/>
    <w:rsid w:val="00E225FE"/>
    <w:rsid w:val="00E23C15"/>
    <w:rsid w:val="00E24DBA"/>
    <w:rsid w:val="00E30753"/>
    <w:rsid w:val="00E3322B"/>
    <w:rsid w:val="00E34631"/>
    <w:rsid w:val="00E34BFF"/>
    <w:rsid w:val="00E350D0"/>
    <w:rsid w:val="00E35A7B"/>
    <w:rsid w:val="00E35E56"/>
    <w:rsid w:val="00E364E0"/>
    <w:rsid w:val="00E37409"/>
    <w:rsid w:val="00E40851"/>
    <w:rsid w:val="00E437E3"/>
    <w:rsid w:val="00E446B2"/>
    <w:rsid w:val="00E44AAD"/>
    <w:rsid w:val="00E4524E"/>
    <w:rsid w:val="00E46775"/>
    <w:rsid w:val="00E532AE"/>
    <w:rsid w:val="00E53F69"/>
    <w:rsid w:val="00E54018"/>
    <w:rsid w:val="00E54320"/>
    <w:rsid w:val="00E5483E"/>
    <w:rsid w:val="00E54A75"/>
    <w:rsid w:val="00E55442"/>
    <w:rsid w:val="00E555AD"/>
    <w:rsid w:val="00E558B8"/>
    <w:rsid w:val="00E57543"/>
    <w:rsid w:val="00E60469"/>
    <w:rsid w:val="00E60A96"/>
    <w:rsid w:val="00E60B88"/>
    <w:rsid w:val="00E6218B"/>
    <w:rsid w:val="00E62320"/>
    <w:rsid w:val="00E65D30"/>
    <w:rsid w:val="00E66B23"/>
    <w:rsid w:val="00E7184E"/>
    <w:rsid w:val="00E80520"/>
    <w:rsid w:val="00E811C2"/>
    <w:rsid w:val="00E84419"/>
    <w:rsid w:val="00E8497D"/>
    <w:rsid w:val="00E85AD6"/>
    <w:rsid w:val="00E8611A"/>
    <w:rsid w:val="00E91DF9"/>
    <w:rsid w:val="00E921D5"/>
    <w:rsid w:val="00E93718"/>
    <w:rsid w:val="00E9450E"/>
    <w:rsid w:val="00E961BD"/>
    <w:rsid w:val="00E966B4"/>
    <w:rsid w:val="00E971C0"/>
    <w:rsid w:val="00E9736B"/>
    <w:rsid w:val="00E97B49"/>
    <w:rsid w:val="00E97DD0"/>
    <w:rsid w:val="00EA231D"/>
    <w:rsid w:val="00EA268E"/>
    <w:rsid w:val="00EA3200"/>
    <w:rsid w:val="00EA4741"/>
    <w:rsid w:val="00EA5378"/>
    <w:rsid w:val="00EA56C4"/>
    <w:rsid w:val="00EA5F7D"/>
    <w:rsid w:val="00EA6F19"/>
    <w:rsid w:val="00EA7BF5"/>
    <w:rsid w:val="00EB0A8D"/>
    <w:rsid w:val="00EB0D95"/>
    <w:rsid w:val="00EB4AD7"/>
    <w:rsid w:val="00EB62DB"/>
    <w:rsid w:val="00EB6A7C"/>
    <w:rsid w:val="00EC0FB5"/>
    <w:rsid w:val="00EC1100"/>
    <w:rsid w:val="00EC1655"/>
    <w:rsid w:val="00EC21D1"/>
    <w:rsid w:val="00EC2D76"/>
    <w:rsid w:val="00EC509B"/>
    <w:rsid w:val="00EC58E1"/>
    <w:rsid w:val="00EC5E47"/>
    <w:rsid w:val="00EC5E51"/>
    <w:rsid w:val="00EC7056"/>
    <w:rsid w:val="00EC7744"/>
    <w:rsid w:val="00EC7F12"/>
    <w:rsid w:val="00ED6A30"/>
    <w:rsid w:val="00ED7740"/>
    <w:rsid w:val="00EE090C"/>
    <w:rsid w:val="00EE4EC9"/>
    <w:rsid w:val="00EE555A"/>
    <w:rsid w:val="00EE55F5"/>
    <w:rsid w:val="00EE5D15"/>
    <w:rsid w:val="00EE6455"/>
    <w:rsid w:val="00EE745B"/>
    <w:rsid w:val="00EE755A"/>
    <w:rsid w:val="00EE7C8D"/>
    <w:rsid w:val="00EE7EE8"/>
    <w:rsid w:val="00EF169C"/>
    <w:rsid w:val="00EF3B0F"/>
    <w:rsid w:val="00EF529A"/>
    <w:rsid w:val="00EF67D7"/>
    <w:rsid w:val="00F02248"/>
    <w:rsid w:val="00F0466E"/>
    <w:rsid w:val="00F06C7F"/>
    <w:rsid w:val="00F06FA3"/>
    <w:rsid w:val="00F07F56"/>
    <w:rsid w:val="00F101FD"/>
    <w:rsid w:val="00F108DF"/>
    <w:rsid w:val="00F1256A"/>
    <w:rsid w:val="00F12A77"/>
    <w:rsid w:val="00F13ACC"/>
    <w:rsid w:val="00F1455F"/>
    <w:rsid w:val="00F146CD"/>
    <w:rsid w:val="00F1642D"/>
    <w:rsid w:val="00F209FE"/>
    <w:rsid w:val="00F24A09"/>
    <w:rsid w:val="00F24EB0"/>
    <w:rsid w:val="00F316EE"/>
    <w:rsid w:val="00F32D11"/>
    <w:rsid w:val="00F332A5"/>
    <w:rsid w:val="00F3357B"/>
    <w:rsid w:val="00F33B3E"/>
    <w:rsid w:val="00F35CC1"/>
    <w:rsid w:val="00F37E2F"/>
    <w:rsid w:val="00F4246E"/>
    <w:rsid w:val="00F44ACF"/>
    <w:rsid w:val="00F44E5B"/>
    <w:rsid w:val="00F47F8B"/>
    <w:rsid w:val="00F504B0"/>
    <w:rsid w:val="00F506B4"/>
    <w:rsid w:val="00F52B94"/>
    <w:rsid w:val="00F53BB9"/>
    <w:rsid w:val="00F54878"/>
    <w:rsid w:val="00F55639"/>
    <w:rsid w:val="00F56564"/>
    <w:rsid w:val="00F565D1"/>
    <w:rsid w:val="00F5744F"/>
    <w:rsid w:val="00F662BF"/>
    <w:rsid w:val="00F66C95"/>
    <w:rsid w:val="00F67127"/>
    <w:rsid w:val="00F717AD"/>
    <w:rsid w:val="00F723AB"/>
    <w:rsid w:val="00F7419D"/>
    <w:rsid w:val="00F75B34"/>
    <w:rsid w:val="00F8064E"/>
    <w:rsid w:val="00F828FE"/>
    <w:rsid w:val="00F84747"/>
    <w:rsid w:val="00F85149"/>
    <w:rsid w:val="00F85F14"/>
    <w:rsid w:val="00F86161"/>
    <w:rsid w:val="00F9028B"/>
    <w:rsid w:val="00F9270F"/>
    <w:rsid w:val="00F92B72"/>
    <w:rsid w:val="00F92FAF"/>
    <w:rsid w:val="00F93261"/>
    <w:rsid w:val="00F958A6"/>
    <w:rsid w:val="00F959AE"/>
    <w:rsid w:val="00F95BF4"/>
    <w:rsid w:val="00FA19D7"/>
    <w:rsid w:val="00FA20A3"/>
    <w:rsid w:val="00FA34AD"/>
    <w:rsid w:val="00FA5CC6"/>
    <w:rsid w:val="00FA66B5"/>
    <w:rsid w:val="00FB0187"/>
    <w:rsid w:val="00FB05F0"/>
    <w:rsid w:val="00FB2835"/>
    <w:rsid w:val="00FB588B"/>
    <w:rsid w:val="00FB5CC5"/>
    <w:rsid w:val="00FB6B4E"/>
    <w:rsid w:val="00FC270C"/>
    <w:rsid w:val="00FC2D3C"/>
    <w:rsid w:val="00FC3033"/>
    <w:rsid w:val="00FC4E2C"/>
    <w:rsid w:val="00FD055E"/>
    <w:rsid w:val="00FD0CA5"/>
    <w:rsid w:val="00FD25B4"/>
    <w:rsid w:val="00FD57B9"/>
    <w:rsid w:val="00FD7899"/>
    <w:rsid w:val="00FE00B8"/>
    <w:rsid w:val="00FE2336"/>
    <w:rsid w:val="00FE2E5F"/>
    <w:rsid w:val="00FE5167"/>
    <w:rsid w:val="00FE61C7"/>
    <w:rsid w:val="00FE6A1C"/>
    <w:rsid w:val="00FE7F72"/>
    <w:rsid w:val="00FF0284"/>
    <w:rsid w:val="00FF0A1C"/>
    <w:rsid w:val="00FF5A6C"/>
    <w:rsid w:val="00FF5D2C"/>
    <w:rsid w:val="00FF5DC6"/>
    <w:rsid w:val="00FF5F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E384"/>
  <w15:chartTrackingRefBased/>
  <w15:docId w15:val="{F60590C9-AB7C-4AF7-B607-6F48EFC3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631"/>
    <w:rPr>
      <w:rFonts w:ascii="Times New Roman" w:eastAsia="Times New Roman" w:hAnsi="Times New Roman" w:cs="Times New Roman"/>
    </w:rPr>
  </w:style>
  <w:style w:type="paragraph" w:styleId="Heading1">
    <w:name w:val="heading 1"/>
    <w:basedOn w:val="Normal"/>
    <w:link w:val="Heading1Char"/>
    <w:uiPriority w:val="9"/>
    <w:qFormat/>
    <w:rsid w:val="00D70B1A"/>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4631"/>
    <w:rPr>
      <w:sz w:val="16"/>
      <w:szCs w:val="16"/>
    </w:rPr>
  </w:style>
  <w:style w:type="paragraph" w:styleId="CommentText">
    <w:name w:val="annotation text"/>
    <w:basedOn w:val="Normal"/>
    <w:link w:val="CommentTextChar"/>
    <w:uiPriority w:val="99"/>
    <w:unhideWhenUsed/>
    <w:rsid w:val="00E34631"/>
    <w:rPr>
      <w:sz w:val="20"/>
      <w:szCs w:val="20"/>
    </w:rPr>
  </w:style>
  <w:style w:type="character" w:customStyle="1" w:styleId="CommentTextChar">
    <w:name w:val="Comment Text Char"/>
    <w:basedOn w:val="DefaultParagraphFont"/>
    <w:link w:val="CommentText"/>
    <w:uiPriority w:val="99"/>
    <w:rsid w:val="00E3463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34631"/>
    <w:rPr>
      <w:sz w:val="18"/>
      <w:szCs w:val="18"/>
    </w:rPr>
  </w:style>
  <w:style w:type="character" w:customStyle="1" w:styleId="BalloonTextChar">
    <w:name w:val="Balloon Text Char"/>
    <w:basedOn w:val="DefaultParagraphFont"/>
    <w:link w:val="BalloonText"/>
    <w:uiPriority w:val="99"/>
    <w:semiHidden/>
    <w:rsid w:val="00E34631"/>
    <w:rPr>
      <w:rFonts w:ascii="Times New Roman" w:eastAsia="Times New Roman" w:hAnsi="Times New Roman" w:cs="Times New Roman"/>
      <w:sz w:val="18"/>
      <w:szCs w:val="18"/>
    </w:rPr>
  </w:style>
  <w:style w:type="paragraph" w:styleId="ListParagraph">
    <w:name w:val="List Paragraph"/>
    <w:basedOn w:val="Normal"/>
    <w:uiPriority w:val="34"/>
    <w:qFormat/>
    <w:rsid w:val="000D427D"/>
    <w:pPr>
      <w:ind w:left="720"/>
      <w:contextualSpacing/>
    </w:pPr>
  </w:style>
  <w:style w:type="paragraph" w:customStyle="1" w:styleId="u-mb-2">
    <w:name w:val="u-mb-2"/>
    <w:basedOn w:val="Normal"/>
    <w:rsid w:val="0045212E"/>
    <w:pPr>
      <w:spacing w:before="100" w:beforeAutospacing="1" w:after="100" w:afterAutospacing="1"/>
    </w:pPr>
  </w:style>
  <w:style w:type="character" w:customStyle="1" w:styleId="authorsname">
    <w:name w:val="authors__name"/>
    <w:basedOn w:val="DefaultParagraphFont"/>
    <w:rsid w:val="0045212E"/>
  </w:style>
  <w:style w:type="character" w:customStyle="1" w:styleId="apple-converted-space">
    <w:name w:val="apple-converted-space"/>
    <w:basedOn w:val="DefaultParagraphFont"/>
    <w:rsid w:val="000726FD"/>
  </w:style>
  <w:style w:type="paragraph" w:styleId="CommentSubject">
    <w:name w:val="annotation subject"/>
    <w:basedOn w:val="CommentText"/>
    <w:next w:val="CommentText"/>
    <w:link w:val="CommentSubjectChar"/>
    <w:uiPriority w:val="99"/>
    <w:semiHidden/>
    <w:unhideWhenUsed/>
    <w:rsid w:val="006518A5"/>
    <w:rPr>
      <w:b/>
      <w:bCs/>
    </w:rPr>
  </w:style>
  <w:style w:type="character" w:customStyle="1" w:styleId="CommentSubjectChar">
    <w:name w:val="Comment Subject Char"/>
    <w:basedOn w:val="CommentTextChar"/>
    <w:link w:val="CommentSubject"/>
    <w:uiPriority w:val="99"/>
    <w:semiHidden/>
    <w:rsid w:val="006518A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249CD"/>
    <w:rPr>
      <w:color w:val="0000FF"/>
      <w:u w:val="single"/>
    </w:rPr>
  </w:style>
  <w:style w:type="paragraph" w:styleId="NormalWeb">
    <w:name w:val="Normal (Web)"/>
    <w:basedOn w:val="Normal"/>
    <w:uiPriority w:val="99"/>
    <w:semiHidden/>
    <w:unhideWhenUsed/>
    <w:rsid w:val="0099109F"/>
    <w:pPr>
      <w:spacing w:before="100" w:beforeAutospacing="1" w:after="100" w:afterAutospacing="1"/>
    </w:pPr>
  </w:style>
  <w:style w:type="paragraph" w:styleId="Bibliography">
    <w:name w:val="Bibliography"/>
    <w:basedOn w:val="Normal"/>
    <w:next w:val="Normal"/>
    <w:uiPriority w:val="37"/>
    <w:unhideWhenUsed/>
    <w:rsid w:val="0099109F"/>
    <w:pPr>
      <w:tabs>
        <w:tab w:val="left" w:pos="264"/>
      </w:tabs>
      <w:spacing w:after="240"/>
      <w:ind w:left="264" w:hanging="264"/>
    </w:pPr>
  </w:style>
  <w:style w:type="table" w:styleId="TableGrid">
    <w:name w:val="Table Grid"/>
    <w:basedOn w:val="TableNormal"/>
    <w:uiPriority w:val="39"/>
    <w:rsid w:val="003F7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C490F"/>
    <w:rPr>
      <w:color w:val="605E5C"/>
      <w:shd w:val="clear" w:color="auto" w:fill="E1DFDD"/>
    </w:rPr>
  </w:style>
  <w:style w:type="paragraph" w:customStyle="1" w:styleId="Default">
    <w:name w:val="Default"/>
    <w:rsid w:val="00297B76"/>
    <w:pPr>
      <w:autoSpaceDE w:val="0"/>
      <w:autoSpaceDN w:val="0"/>
      <w:adjustRightInd w:val="0"/>
    </w:pPr>
    <w:rPr>
      <w:rFonts w:ascii="Arial Narrow" w:hAnsi="Arial Narrow" w:cs="Arial Narrow"/>
      <w:color w:val="000000"/>
    </w:rPr>
  </w:style>
  <w:style w:type="paragraph" w:styleId="Revision">
    <w:name w:val="Revision"/>
    <w:hidden/>
    <w:uiPriority w:val="99"/>
    <w:semiHidden/>
    <w:rsid w:val="006028AD"/>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8432E1"/>
    <w:rPr>
      <w:color w:val="605E5C"/>
      <w:shd w:val="clear" w:color="auto" w:fill="E1DFDD"/>
    </w:rPr>
  </w:style>
  <w:style w:type="character" w:styleId="FollowedHyperlink">
    <w:name w:val="FollowedHyperlink"/>
    <w:basedOn w:val="DefaultParagraphFont"/>
    <w:uiPriority w:val="99"/>
    <w:semiHidden/>
    <w:unhideWhenUsed/>
    <w:rsid w:val="008F3C50"/>
    <w:rPr>
      <w:color w:val="954F72" w:themeColor="followedHyperlink"/>
      <w:u w:val="single"/>
    </w:rPr>
  </w:style>
  <w:style w:type="character" w:customStyle="1" w:styleId="Heading1Char">
    <w:name w:val="Heading 1 Char"/>
    <w:basedOn w:val="DefaultParagraphFont"/>
    <w:link w:val="Heading1"/>
    <w:uiPriority w:val="9"/>
    <w:rsid w:val="00D70B1A"/>
    <w:rPr>
      <w:rFonts w:ascii="Times New Roman" w:eastAsia="Times New Roman" w:hAnsi="Times New Roman" w:cs="Times New Roman"/>
      <w:b/>
      <w:bCs/>
      <w:kern w:val="36"/>
      <w:sz w:val="48"/>
      <w:szCs w:val="48"/>
    </w:rPr>
  </w:style>
  <w:style w:type="character" w:customStyle="1" w:styleId="UnresolvedMention3">
    <w:name w:val="Unresolved Mention3"/>
    <w:basedOn w:val="DefaultParagraphFont"/>
    <w:uiPriority w:val="99"/>
    <w:semiHidden/>
    <w:unhideWhenUsed/>
    <w:rsid w:val="00664D83"/>
    <w:rPr>
      <w:color w:val="605E5C"/>
      <w:shd w:val="clear" w:color="auto" w:fill="E1DFDD"/>
    </w:rPr>
  </w:style>
  <w:style w:type="character" w:styleId="HTMLCite">
    <w:name w:val="HTML Cite"/>
    <w:basedOn w:val="DefaultParagraphFont"/>
    <w:uiPriority w:val="99"/>
    <w:semiHidden/>
    <w:unhideWhenUsed/>
    <w:rsid w:val="009B0A23"/>
    <w:rPr>
      <w:i/>
      <w:iCs/>
    </w:rPr>
  </w:style>
  <w:style w:type="character" w:customStyle="1" w:styleId="A1">
    <w:name w:val="A1"/>
    <w:uiPriority w:val="99"/>
    <w:rsid w:val="00371F32"/>
    <w:rPr>
      <w:rFonts w:cs="Adobe Caslon Pro"/>
      <w:color w:val="000000"/>
      <w:sz w:val="20"/>
      <w:szCs w:val="20"/>
    </w:rPr>
  </w:style>
  <w:style w:type="character" w:customStyle="1" w:styleId="UnresolvedMention4">
    <w:name w:val="Unresolved Mention4"/>
    <w:basedOn w:val="DefaultParagraphFont"/>
    <w:uiPriority w:val="99"/>
    <w:semiHidden/>
    <w:unhideWhenUsed/>
    <w:rsid w:val="00881450"/>
    <w:rPr>
      <w:color w:val="605E5C"/>
      <w:shd w:val="clear" w:color="auto" w:fill="E1DFDD"/>
    </w:rPr>
  </w:style>
  <w:style w:type="table" w:styleId="PlainTable2">
    <w:name w:val="Plain Table 2"/>
    <w:basedOn w:val="TableNormal"/>
    <w:uiPriority w:val="42"/>
    <w:rsid w:val="0019308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74179">
      <w:bodyDiv w:val="1"/>
      <w:marLeft w:val="0"/>
      <w:marRight w:val="0"/>
      <w:marTop w:val="0"/>
      <w:marBottom w:val="0"/>
      <w:divBdr>
        <w:top w:val="none" w:sz="0" w:space="0" w:color="auto"/>
        <w:left w:val="none" w:sz="0" w:space="0" w:color="auto"/>
        <w:bottom w:val="none" w:sz="0" w:space="0" w:color="auto"/>
        <w:right w:val="none" w:sz="0" w:space="0" w:color="auto"/>
      </w:divBdr>
    </w:div>
    <w:div w:id="284117266">
      <w:bodyDiv w:val="1"/>
      <w:marLeft w:val="0"/>
      <w:marRight w:val="0"/>
      <w:marTop w:val="0"/>
      <w:marBottom w:val="0"/>
      <w:divBdr>
        <w:top w:val="none" w:sz="0" w:space="0" w:color="auto"/>
        <w:left w:val="none" w:sz="0" w:space="0" w:color="auto"/>
        <w:bottom w:val="none" w:sz="0" w:space="0" w:color="auto"/>
        <w:right w:val="none" w:sz="0" w:space="0" w:color="auto"/>
      </w:divBdr>
    </w:div>
    <w:div w:id="554894816">
      <w:bodyDiv w:val="1"/>
      <w:marLeft w:val="0"/>
      <w:marRight w:val="0"/>
      <w:marTop w:val="0"/>
      <w:marBottom w:val="0"/>
      <w:divBdr>
        <w:top w:val="none" w:sz="0" w:space="0" w:color="auto"/>
        <w:left w:val="none" w:sz="0" w:space="0" w:color="auto"/>
        <w:bottom w:val="none" w:sz="0" w:space="0" w:color="auto"/>
        <w:right w:val="none" w:sz="0" w:space="0" w:color="auto"/>
      </w:divBdr>
    </w:div>
    <w:div w:id="929659860">
      <w:bodyDiv w:val="1"/>
      <w:marLeft w:val="0"/>
      <w:marRight w:val="0"/>
      <w:marTop w:val="0"/>
      <w:marBottom w:val="0"/>
      <w:divBdr>
        <w:top w:val="none" w:sz="0" w:space="0" w:color="auto"/>
        <w:left w:val="none" w:sz="0" w:space="0" w:color="auto"/>
        <w:bottom w:val="none" w:sz="0" w:space="0" w:color="auto"/>
        <w:right w:val="none" w:sz="0" w:space="0" w:color="auto"/>
      </w:divBdr>
    </w:div>
    <w:div w:id="975334197">
      <w:bodyDiv w:val="1"/>
      <w:marLeft w:val="0"/>
      <w:marRight w:val="0"/>
      <w:marTop w:val="0"/>
      <w:marBottom w:val="0"/>
      <w:divBdr>
        <w:top w:val="none" w:sz="0" w:space="0" w:color="auto"/>
        <w:left w:val="none" w:sz="0" w:space="0" w:color="auto"/>
        <w:bottom w:val="none" w:sz="0" w:space="0" w:color="auto"/>
        <w:right w:val="none" w:sz="0" w:space="0" w:color="auto"/>
      </w:divBdr>
    </w:div>
    <w:div w:id="1187913646">
      <w:bodyDiv w:val="1"/>
      <w:marLeft w:val="0"/>
      <w:marRight w:val="0"/>
      <w:marTop w:val="0"/>
      <w:marBottom w:val="0"/>
      <w:divBdr>
        <w:top w:val="none" w:sz="0" w:space="0" w:color="auto"/>
        <w:left w:val="none" w:sz="0" w:space="0" w:color="auto"/>
        <w:bottom w:val="none" w:sz="0" w:space="0" w:color="auto"/>
        <w:right w:val="none" w:sz="0" w:space="0" w:color="auto"/>
      </w:divBdr>
    </w:div>
    <w:div w:id="1234969757">
      <w:bodyDiv w:val="1"/>
      <w:marLeft w:val="0"/>
      <w:marRight w:val="0"/>
      <w:marTop w:val="0"/>
      <w:marBottom w:val="0"/>
      <w:divBdr>
        <w:top w:val="none" w:sz="0" w:space="0" w:color="auto"/>
        <w:left w:val="none" w:sz="0" w:space="0" w:color="auto"/>
        <w:bottom w:val="none" w:sz="0" w:space="0" w:color="auto"/>
        <w:right w:val="none" w:sz="0" w:space="0" w:color="auto"/>
      </w:divBdr>
    </w:div>
    <w:div w:id="1241521663">
      <w:bodyDiv w:val="1"/>
      <w:marLeft w:val="0"/>
      <w:marRight w:val="0"/>
      <w:marTop w:val="0"/>
      <w:marBottom w:val="0"/>
      <w:divBdr>
        <w:top w:val="none" w:sz="0" w:space="0" w:color="auto"/>
        <w:left w:val="none" w:sz="0" w:space="0" w:color="auto"/>
        <w:bottom w:val="none" w:sz="0" w:space="0" w:color="auto"/>
        <w:right w:val="none" w:sz="0" w:space="0" w:color="auto"/>
      </w:divBdr>
    </w:div>
    <w:div w:id="1257400428">
      <w:bodyDiv w:val="1"/>
      <w:marLeft w:val="0"/>
      <w:marRight w:val="0"/>
      <w:marTop w:val="0"/>
      <w:marBottom w:val="0"/>
      <w:divBdr>
        <w:top w:val="none" w:sz="0" w:space="0" w:color="auto"/>
        <w:left w:val="none" w:sz="0" w:space="0" w:color="auto"/>
        <w:bottom w:val="none" w:sz="0" w:space="0" w:color="auto"/>
        <w:right w:val="none" w:sz="0" w:space="0" w:color="auto"/>
      </w:divBdr>
    </w:div>
    <w:div w:id="1325744447">
      <w:bodyDiv w:val="1"/>
      <w:marLeft w:val="0"/>
      <w:marRight w:val="0"/>
      <w:marTop w:val="0"/>
      <w:marBottom w:val="0"/>
      <w:divBdr>
        <w:top w:val="none" w:sz="0" w:space="0" w:color="auto"/>
        <w:left w:val="none" w:sz="0" w:space="0" w:color="auto"/>
        <w:bottom w:val="none" w:sz="0" w:space="0" w:color="auto"/>
        <w:right w:val="none" w:sz="0" w:space="0" w:color="auto"/>
      </w:divBdr>
      <w:divsChild>
        <w:div w:id="2034767375">
          <w:marLeft w:val="0"/>
          <w:marRight w:val="0"/>
          <w:marTop w:val="0"/>
          <w:marBottom w:val="0"/>
          <w:divBdr>
            <w:top w:val="none" w:sz="0" w:space="0" w:color="auto"/>
            <w:left w:val="none" w:sz="0" w:space="0" w:color="auto"/>
            <w:bottom w:val="none" w:sz="0" w:space="0" w:color="auto"/>
            <w:right w:val="none" w:sz="0" w:space="0" w:color="auto"/>
          </w:divBdr>
          <w:divsChild>
            <w:div w:id="381712195">
              <w:marLeft w:val="0"/>
              <w:marRight w:val="0"/>
              <w:marTop w:val="0"/>
              <w:marBottom w:val="0"/>
              <w:divBdr>
                <w:top w:val="none" w:sz="0" w:space="0" w:color="auto"/>
                <w:left w:val="none" w:sz="0" w:space="0" w:color="auto"/>
                <w:bottom w:val="none" w:sz="0" w:space="0" w:color="auto"/>
                <w:right w:val="none" w:sz="0" w:space="0" w:color="auto"/>
              </w:divBdr>
              <w:divsChild>
                <w:div w:id="692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75943">
      <w:bodyDiv w:val="1"/>
      <w:marLeft w:val="0"/>
      <w:marRight w:val="0"/>
      <w:marTop w:val="0"/>
      <w:marBottom w:val="0"/>
      <w:divBdr>
        <w:top w:val="none" w:sz="0" w:space="0" w:color="auto"/>
        <w:left w:val="none" w:sz="0" w:space="0" w:color="auto"/>
        <w:bottom w:val="none" w:sz="0" w:space="0" w:color="auto"/>
        <w:right w:val="none" w:sz="0" w:space="0" w:color="auto"/>
      </w:divBdr>
    </w:div>
    <w:div w:id="1386832975">
      <w:bodyDiv w:val="1"/>
      <w:marLeft w:val="0"/>
      <w:marRight w:val="0"/>
      <w:marTop w:val="0"/>
      <w:marBottom w:val="0"/>
      <w:divBdr>
        <w:top w:val="none" w:sz="0" w:space="0" w:color="auto"/>
        <w:left w:val="none" w:sz="0" w:space="0" w:color="auto"/>
        <w:bottom w:val="none" w:sz="0" w:space="0" w:color="auto"/>
        <w:right w:val="none" w:sz="0" w:space="0" w:color="auto"/>
      </w:divBdr>
    </w:div>
    <w:div w:id="1420445702">
      <w:bodyDiv w:val="1"/>
      <w:marLeft w:val="0"/>
      <w:marRight w:val="0"/>
      <w:marTop w:val="0"/>
      <w:marBottom w:val="0"/>
      <w:divBdr>
        <w:top w:val="none" w:sz="0" w:space="0" w:color="auto"/>
        <w:left w:val="none" w:sz="0" w:space="0" w:color="auto"/>
        <w:bottom w:val="none" w:sz="0" w:space="0" w:color="auto"/>
        <w:right w:val="none" w:sz="0" w:space="0" w:color="auto"/>
      </w:divBdr>
    </w:div>
    <w:div w:id="1489127363">
      <w:bodyDiv w:val="1"/>
      <w:marLeft w:val="0"/>
      <w:marRight w:val="0"/>
      <w:marTop w:val="0"/>
      <w:marBottom w:val="0"/>
      <w:divBdr>
        <w:top w:val="none" w:sz="0" w:space="0" w:color="auto"/>
        <w:left w:val="none" w:sz="0" w:space="0" w:color="auto"/>
        <w:bottom w:val="none" w:sz="0" w:space="0" w:color="auto"/>
        <w:right w:val="none" w:sz="0" w:space="0" w:color="auto"/>
      </w:divBdr>
    </w:div>
    <w:div w:id="1541363352">
      <w:bodyDiv w:val="1"/>
      <w:marLeft w:val="0"/>
      <w:marRight w:val="0"/>
      <w:marTop w:val="0"/>
      <w:marBottom w:val="0"/>
      <w:divBdr>
        <w:top w:val="none" w:sz="0" w:space="0" w:color="auto"/>
        <w:left w:val="none" w:sz="0" w:space="0" w:color="auto"/>
        <w:bottom w:val="none" w:sz="0" w:space="0" w:color="auto"/>
        <w:right w:val="none" w:sz="0" w:space="0" w:color="auto"/>
      </w:divBdr>
      <w:divsChild>
        <w:div w:id="2048868589">
          <w:marLeft w:val="0"/>
          <w:marRight w:val="0"/>
          <w:marTop w:val="0"/>
          <w:marBottom w:val="0"/>
          <w:divBdr>
            <w:top w:val="none" w:sz="0" w:space="0" w:color="auto"/>
            <w:left w:val="none" w:sz="0" w:space="0" w:color="auto"/>
            <w:bottom w:val="none" w:sz="0" w:space="0" w:color="auto"/>
            <w:right w:val="none" w:sz="0" w:space="0" w:color="auto"/>
          </w:divBdr>
          <w:divsChild>
            <w:div w:id="1539469016">
              <w:marLeft w:val="0"/>
              <w:marRight w:val="0"/>
              <w:marTop w:val="0"/>
              <w:marBottom w:val="0"/>
              <w:divBdr>
                <w:top w:val="none" w:sz="0" w:space="0" w:color="auto"/>
                <w:left w:val="none" w:sz="0" w:space="0" w:color="auto"/>
                <w:bottom w:val="none" w:sz="0" w:space="0" w:color="auto"/>
                <w:right w:val="none" w:sz="0" w:space="0" w:color="auto"/>
              </w:divBdr>
              <w:divsChild>
                <w:div w:id="189099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71964">
      <w:bodyDiv w:val="1"/>
      <w:marLeft w:val="0"/>
      <w:marRight w:val="0"/>
      <w:marTop w:val="0"/>
      <w:marBottom w:val="0"/>
      <w:divBdr>
        <w:top w:val="none" w:sz="0" w:space="0" w:color="auto"/>
        <w:left w:val="none" w:sz="0" w:space="0" w:color="auto"/>
        <w:bottom w:val="none" w:sz="0" w:space="0" w:color="auto"/>
        <w:right w:val="none" w:sz="0" w:space="0" w:color="auto"/>
      </w:divBdr>
    </w:div>
    <w:div w:id="1686245110">
      <w:bodyDiv w:val="1"/>
      <w:marLeft w:val="0"/>
      <w:marRight w:val="0"/>
      <w:marTop w:val="0"/>
      <w:marBottom w:val="0"/>
      <w:divBdr>
        <w:top w:val="none" w:sz="0" w:space="0" w:color="auto"/>
        <w:left w:val="none" w:sz="0" w:space="0" w:color="auto"/>
        <w:bottom w:val="none" w:sz="0" w:space="0" w:color="auto"/>
        <w:right w:val="none" w:sz="0" w:space="0" w:color="auto"/>
      </w:divBdr>
    </w:div>
    <w:div w:id="1794783116">
      <w:bodyDiv w:val="1"/>
      <w:marLeft w:val="0"/>
      <w:marRight w:val="0"/>
      <w:marTop w:val="0"/>
      <w:marBottom w:val="0"/>
      <w:divBdr>
        <w:top w:val="none" w:sz="0" w:space="0" w:color="auto"/>
        <w:left w:val="none" w:sz="0" w:space="0" w:color="auto"/>
        <w:bottom w:val="none" w:sz="0" w:space="0" w:color="auto"/>
        <w:right w:val="none" w:sz="0" w:space="0" w:color="auto"/>
      </w:divBdr>
    </w:div>
    <w:div w:id="1881898457">
      <w:bodyDiv w:val="1"/>
      <w:marLeft w:val="0"/>
      <w:marRight w:val="0"/>
      <w:marTop w:val="0"/>
      <w:marBottom w:val="0"/>
      <w:divBdr>
        <w:top w:val="none" w:sz="0" w:space="0" w:color="auto"/>
        <w:left w:val="none" w:sz="0" w:space="0" w:color="auto"/>
        <w:bottom w:val="none" w:sz="0" w:space="0" w:color="auto"/>
        <w:right w:val="none" w:sz="0" w:space="0" w:color="auto"/>
      </w:divBdr>
    </w:div>
    <w:div w:id="1962958408">
      <w:bodyDiv w:val="1"/>
      <w:marLeft w:val="0"/>
      <w:marRight w:val="0"/>
      <w:marTop w:val="0"/>
      <w:marBottom w:val="0"/>
      <w:divBdr>
        <w:top w:val="none" w:sz="0" w:space="0" w:color="auto"/>
        <w:left w:val="none" w:sz="0" w:space="0" w:color="auto"/>
        <w:bottom w:val="none" w:sz="0" w:space="0" w:color="auto"/>
        <w:right w:val="none" w:sz="0" w:space="0" w:color="auto"/>
      </w:divBdr>
    </w:div>
    <w:div w:id="1983463177">
      <w:bodyDiv w:val="1"/>
      <w:marLeft w:val="0"/>
      <w:marRight w:val="0"/>
      <w:marTop w:val="0"/>
      <w:marBottom w:val="0"/>
      <w:divBdr>
        <w:top w:val="none" w:sz="0" w:space="0" w:color="auto"/>
        <w:left w:val="none" w:sz="0" w:space="0" w:color="auto"/>
        <w:bottom w:val="none" w:sz="0" w:space="0" w:color="auto"/>
        <w:right w:val="none" w:sz="0" w:space="0" w:color="auto"/>
      </w:divBdr>
    </w:div>
    <w:div w:id="211146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optaware.org"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D066E-67FA-400F-A460-3715C372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15124</Words>
  <Characters>86209</Characters>
  <Application>Microsoft Office Word</Application>
  <DocSecurity>0</DocSecurity>
  <Lines>718</Lines>
  <Paragraphs>202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Milkowska</dc:creator>
  <cp:keywords/>
  <dc:description/>
  <cp:lastModifiedBy>Eili Klein</cp:lastModifiedBy>
  <cp:revision>3</cp:revision>
  <dcterms:created xsi:type="dcterms:W3CDTF">2020-03-03T14:35:00Z</dcterms:created>
  <dcterms:modified xsi:type="dcterms:W3CDTF">2020-03-03T14:36:00Z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zotero-version="5.0.83"&gt;&lt;session id="8LjWtvVZ"/&gt;&lt;style id="http://www.zotero.org/styles/the-lancet-infectious-diseases" hasBibliography="1" bibliographyStyleHasBeenSet="1"/&gt;&lt;prefs&gt;&lt;pref name="fieldType" value="Field"/&gt;&lt;pref name="de</vt:lpwstr>
  </property>
  <property fmtid="{D5CDD505-2E9C-101B-9397-08002B2CF9AE}" pid="3" name="ZOTERO_PREF_2">
    <vt:lpwstr>layCitationUpdates" value="true"/&gt;&lt;pref name="dontAskDelayCitationUpdates" value="true"/&gt;&lt;/prefs&gt;&lt;/data&gt;</vt:lpwstr>
  </property>
</Properties>
</file>