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975C" w14:textId="77777777" w:rsidR="009A55E1" w:rsidRDefault="007A6070">
      <w:pPr>
        <w:pStyle w:val="Default"/>
        <w:spacing w:line="480" w:lineRule="auto"/>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 xml:space="preserve">A case for reduced frequency of CD4 count monitoring for children on combination antiretroviral therapy with consistently undetectable HIV viral load  </w:t>
      </w:r>
    </w:p>
    <w:p w14:paraId="615E93FD" w14:textId="77777777" w:rsidR="009A55E1" w:rsidRDefault="009A55E1">
      <w:pPr>
        <w:pStyle w:val="Default"/>
        <w:spacing w:line="480" w:lineRule="auto"/>
        <w:rPr>
          <w:rFonts w:ascii="Times New Roman" w:eastAsia="Times New Roman" w:hAnsi="Times New Roman" w:cs="Times New Roman"/>
          <w:b/>
          <w:bCs/>
          <w:sz w:val="24"/>
          <w:szCs w:val="24"/>
        </w:rPr>
      </w:pPr>
    </w:p>
    <w:p w14:paraId="04603C83" w14:textId="77777777" w:rsidR="009A55E1" w:rsidRDefault="007A6070">
      <w:pPr>
        <w:pStyle w:val="Default"/>
        <w:spacing w:line="480" w:lineRule="auto"/>
      </w:pPr>
      <w:r>
        <w:rPr>
          <w:rFonts w:ascii="Times New Roman" w:hAnsi="Times New Roman"/>
          <w:b/>
          <w:bCs/>
          <w:sz w:val="24"/>
          <w:szCs w:val="24"/>
        </w:rPr>
        <w:t>Shortened title: Reduced CD4 monitoring in children with undetectable VL</w:t>
      </w:r>
    </w:p>
    <w:p w14:paraId="7AFE1AC5" w14:textId="77777777" w:rsidR="009A55E1" w:rsidRDefault="007A6070">
      <w:pPr>
        <w:pStyle w:val="Default"/>
        <w:spacing w:line="480" w:lineRule="auto"/>
        <w:rPr>
          <w:rFonts w:ascii="Times New Roman" w:eastAsia="Times New Roman" w:hAnsi="Times New Roman" w:cs="Times New Roman"/>
          <w:i/>
          <w:iCs/>
        </w:rPr>
      </w:pPr>
      <w:r>
        <w:rPr>
          <w:rFonts w:ascii="Times New Roman" w:hAnsi="Times New Roman"/>
          <w:i/>
          <w:iCs/>
        </w:rPr>
        <w:t>SM Johnson</w:t>
      </w:r>
      <w:r>
        <w:rPr>
          <w:rFonts w:ascii="Times New Roman" w:hAnsi="Times New Roman"/>
          <w:i/>
          <w:iCs/>
          <w:vertAlign w:val="superscript"/>
        </w:rPr>
        <w:t>1</w:t>
      </w:r>
      <w:r>
        <w:rPr>
          <w:rFonts w:ascii="Times New Roman" w:hAnsi="Times New Roman"/>
          <w:i/>
          <w:iCs/>
        </w:rPr>
        <w:t>, J Standing</w:t>
      </w:r>
      <w:r>
        <w:rPr>
          <w:rFonts w:ascii="Times New Roman" w:hAnsi="Times New Roman"/>
          <w:i/>
          <w:iCs/>
          <w:vertAlign w:val="superscript"/>
        </w:rPr>
        <w:t>2</w:t>
      </w:r>
      <w:r>
        <w:rPr>
          <w:rFonts w:ascii="Times New Roman" w:hAnsi="Times New Roman"/>
          <w:i/>
          <w:iCs/>
        </w:rPr>
        <w:t xml:space="preserve">, N </w:t>
      </w:r>
      <w:r>
        <w:rPr>
          <w:rFonts w:ascii="Times New Roman" w:hAnsi="Times New Roman"/>
          <w:i/>
          <w:iCs/>
        </w:rPr>
        <w:t>Klein</w:t>
      </w:r>
      <w:r>
        <w:rPr>
          <w:rFonts w:ascii="Times New Roman" w:hAnsi="Times New Roman"/>
          <w:i/>
          <w:iCs/>
          <w:vertAlign w:val="superscript"/>
        </w:rPr>
        <w:t>1,2</w:t>
      </w:r>
      <w:r>
        <w:rPr>
          <w:rFonts w:ascii="Times New Roman" w:hAnsi="Times New Roman"/>
          <w:i/>
          <w:iCs/>
        </w:rPr>
        <w:t xml:space="preserve">, </w:t>
      </w:r>
      <w:proofErr w:type="gramStart"/>
      <w:r>
        <w:rPr>
          <w:rFonts w:ascii="Times New Roman" w:hAnsi="Times New Roman"/>
          <w:i/>
          <w:iCs/>
        </w:rPr>
        <w:t>A</w:t>
      </w:r>
      <w:proofErr w:type="gramEnd"/>
      <w:r>
        <w:rPr>
          <w:rFonts w:ascii="Times New Roman" w:hAnsi="Times New Roman"/>
          <w:i/>
          <w:iCs/>
        </w:rPr>
        <w:t xml:space="preserve"> Irwin</w:t>
      </w:r>
      <w:r>
        <w:rPr>
          <w:rFonts w:ascii="Times New Roman" w:hAnsi="Times New Roman"/>
          <w:i/>
          <w:iCs/>
          <w:vertAlign w:val="superscript"/>
        </w:rPr>
        <w:t>3</w:t>
      </w:r>
      <w:r>
        <w:rPr>
          <w:rFonts w:ascii="Times New Roman" w:hAnsi="Times New Roman"/>
          <w:i/>
          <w:iCs/>
        </w:rPr>
        <w:t>, D Shingadia</w:t>
      </w:r>
      <w:r>
        <w:rPr>
          <w:rFonts w:ascii="Times New Roman" w:hAnsi="Times New Roman"/>
          <w:i/>
          <w:iCs/>
          <w:vertAlign w:val="superscript"/>
        </w:rPr>
        <w:t>1</w:t>
      </w:r>
      <w:r>
        <w:rPr>
          <w:rFonts w:ascii="Times New Roman" w:hAnsi="Times New Roman"/>
          <w:i/>
          <w:iCs/>
        </w:rPr>
        <w:t>, D Lonsdale</w:t>
      </w:r>
      <w:r>
        <w:rPr>
          <w:rFonts w:ascii="Times New Roman" w:hAnsi="Times New Roman"/>
          <w:i/>
          <w:iCs/>
          <w:vertAlign w:val="superscript"/>
        </w:rPr>
        <w:t>4</w:t>
      </w:r>
      <w:r>
        <w:rPr>
          <w:rFonts w:ascii="Times New Roman" w:hAnsi="Times New Roman"/>
          <w:i/>
          <w:iCs/>
        </w:rPr>
        <w:t>, K Gilmour</w:t>
      </w:r>
      <w:r>
        <w:rPr>
          <w:rFonts w:ascii="Times New Roman" w:hAnsi="Times New Roman"/>
          <w:i/>
          <w:iCs/>
          <w:vertAlign w:val="superscript"/>
        </w:rPr>
        <w:t>1</w:t>
      </w:r>
      <w:r>
        <w:rPr>
          <w:rFonts w:ascii="Times New Roman" w:hAnsi="Times New Roman"/>
          <w:i/>
          <w:iCs/>
        </w:rPr>
        <w:t xml:space="preserve"> J Flynn</w:t>
      </w:r>
      <w:r>
        <w:rPr>
          <w:rFonts w:ascii="Times New Roman" w:hAnsi="Times New Roman"/>
          <w:i/>
          <w:iCs/>
          <w:vertAlign w:val="superscript"/>
        </w:rPr>
        <w:t>1</w:t>
      </w:r>
      <w:r>
        <w:rPr>
          <w:rFonts w:ascii="Times New Roman" w:hAnsi="Times New Roman"/>
          <w:i/>
          <w:iCs/>
        </w:rPr>
        <w:t xml:space="preserve"> C Manns</w:t>
      </w:r>
      <w:r>
        <w:rPr>
          <w:rFonts w:ascii="Times New Roman" w:hAnsi="Times New Roman"/>
          <w:i/>
          <w:iCs/>
          <w:vertAlign w:val="superscript"/>
        </w:rPr>
        <w:t>1</w:t>
      </w:r>
      <w:r>
        <w:rPr>
          <w:rFonts w:ascii="Times New Roman" w:hAnsi="Times New Roman"/>
          <w:i/>
          <w:iCs/>
        </w:rPr>
        <w:t xml:space="preserve"> M Clapson</w:t>
      </w:r>
      <w:r>
        <w:rPr>
          <w:rFonts w:ascii="Times New Roman" w:hAnsi="Times New Roman"/>
          <w:i/>
          <w:iCs/>
          <w:vertAlign w:val="superscript"/>
        </w:rPr>
        <w:t>1</w:t>
      </w:r>
      <w:r>
        <w:rPr>
          <w:rFonts w:ascii="Times New Roman" w:hAnsi="Times New Roman"/>
          <w:i/>
          <w:iCs/>
        </w:rPr>
        <w:t xml:space="preserve"> and A Bamford</w:t>
      </w:r>
      <w:r>
        <w:rPr>
          <w:rFonts w:ascii="Times New Roman" w:hAnsi="Times New Roman"/>
          <w:i/>
          <w:iCs/>
          <w:vertAlign w:val="superscript"/>
        </w:rPr>
        <w:t>1,2</w:t>
      </w:r>
    </w:p>
    <w:p w14:paraId="0155E5B7" w14:textId="77777777" w:rsidR="009A55E1" w:rsidRDefault="007A6070">
      <w:pPr>
        <w:pStyle w:val="Default"/>
        <w:spacing w:line="480" w:lineRule="auto"/>
        <w:rPr>
          <w:rFonts w:ascii="Times New Roman" w:eastAsia="Times New Roman" w:hAnsi="Times New Roman" w:cs="Times New Roman"/>
          <w:i/>
          <w:iCs/>
        </w:rPr>
      </w:pPr>
      <w:r>
        <w:rPr>
          <w:rFonts w:ascii="Times New Roman" w:hAnsi="Times New Roman"/>
          <w:i/>
          <w:iCs/>
          <w:vertAlign w:val="superscript"/>
        </w:rPr>
        <w:t>1</w:t>
      </w:r>
      <w:r>
        <w:rPr>
          <w:rFonts w:ascii="Times New Roman" w:hAnsi="Times New Roman"/>
          <w:i/>
          <w:iCs/>
        </w:rPr>
        <w:t xml:space="preserve">Paediatric Infectious Diseases &amp; Immunology, Great Ormond Street Hospital for Children NHS Foundation Trust, London, UK </w:t>
      </w:r>
    </w:p>
    <w:p w14:paraId="575A518E" w14:textId="77777777" w:rsidR="009A55E1" w:rsidRDefault="007A6070">
      <w:pPr>
        <w:pStyle w:val="Default"/>
        <w:spacing w:line="480" w:lineRule="auto"/>
        <w:rPr>
          <w:rFonts w:ascii="Times New Roman" w:eastAsia="Times New Roman" w:hAnsi="Times New Roman" w:cs="Times New Roman"/>
          <w:i/>
          <w:iCs/>
        </w:rPr>
      </w:pPr>
      <w:r>
        <w:rPr>
          <w:rFonts w:ascii="Times New Roman" w:hAnsi="Times New Roman"/>
          <w:i/>
          <w:iCs/>
          <w:vertAlign w:val="superscript"/>
        </w:rPr>
        <w:t>2</w:t>
      </w:r>
      <w:r>
        <w:rPr>
          <w:rFonts w:ascii="Times New Roman" w:hAnsi="Times New Roman"/>
          <w:i/>
          <w:iCs/>
        </w:rPr>
        <w:t>Infection, Immunology, Inflam</w:t>
      </w:r>
      <w:r>
        <w:rPr>
          <w:rFonts w:ascii="Times New Roman" w:hAnsi="Times New Roman"/>
          <w:i/>
          <w:iCs/>
        </w:rPr>
        <w:t>mation &amp; Physiological Medicine, Institute of Child Health, London, UK</w:t>
      </w:r>
    </w:p>
    <w:p w14:paraId="3EF797A5" w14:textId="77777777" w:rsidR="009A55E1" w:rsidRDefault="007A6070">
      <w:pPr>
        <w:pStyle w:val="Default"/>
        <w:spacing w:line="480" w:lineRule="auto"/>
        <w:rPr>
          <w:rFonts w:ascii="Times New Roman" w:eastAsia="Times New Roman" w:hAnsi="Times New Roman" w:cs="Times New Roman"/>
          <w:i/>
          <w:iCs/>
        </w:rPr>
      </w:pPr>
      <w:r>
        <w:rPr>
          <w:rFonts w:ascii="Times New Roman" w:hAnsi="Times New Roman"/>
          <w:i/>
          <w:iCs/>
          <w:vertAlign w:val="superscript"/>
        </w:rPr>
        <w:t>3</w:t>
      </w:r>
      <w:r>
        <w:rPr>
          <w:rFonts w:ascii="Times New Roman" w:hAnsi="Times New Roman"/>
          <w:i/>
          <w:iCs/>
        </w:rPr>
        <w:t>University of Queensland Centre for Clinical Research, Queensland, Australia</w:t>
      </w:r>
    </w:p>
    <w:p w14:paraId="3B8158D4" w14:textId="77777777" w:rsidR="009A55E1" w:rsidRDefault="007A6070">
      <w:pPr>
        <w:pStyle w:val="Default"/>
        <w:spacing w:line="480" w:lineRule="auto"/>
        <w:rPr>
          <w:rFonts w:ascii="Times New Roman" w:eastAsia="Times New Roman" w:hAnsi="Times New Roman" w:cs="Times New Roman"/>
          <w:i/>
          <w:iCs/>
        </w:rPr>
      </w:pPr>
      <w:r>
        <w:rPr>
          <w:rFonts w:ascii="Times New Roman" w:hAnsi="Times New Roman"/>
          <w:i/>
          <w:iCs/>
          <w:vertAlign w:val="superscript"/>
        </w:rPr>
        <w:t>4</w:t>
      </w:r>
      <w:r>
        <w:rPr>
          <w:rFonts w:ascii="Times New Roman" w:hAnsi="Times New Roman"/>
          <w:i/>
          <w:iCs/>
        </w:rPr>
        <w:t>Institute of Infection and Immunity, St George</w:t>
      </w:r>
      <w:r>
        <w:rPr>
          <w:rFonts w:ascii="Times New Roman" w:hAnsi="Times New Roman"/>
          <w:i/>
          <w:iCs/>
        </w:rPr>
        <w:t>’</w:t>
      </w:r>
      <w:r>
        <w:rPr>
          <w:rFonts w:ascii="Times New Roman" w:hAnsi="Times New Roman"/>
          <w:i/>
          <w:iCs/>
        </w:rPr>
        <w:t>s University and St George</w:t>
      </w:r>
      <w:r>
        <w:rPr>
          <w:rFonts w:ascii="Times New Roman" w:hAnsi="Times New Roman"/>
          <w:i/>
          <w:iCs/>
        </w:rPr>
        <w:t>’</w:t>
      </w:r>
      <w:r>
        <w:rPr>
          <w:rFonts w:ascii="Times New Roman" w:hAnsi="Times New Roman"/>
          <w:i/>
          <w:iCs/>
        </w:rPr>
        <w:t>s Hospital, London, UK</w:t>
      </w:r>
    </w:p>
    <w:p w14:paraId="6C398638" w14:textId="77777777" w:rsidR="009A55E1" w:rsidRDefault="009A55E1">
      <w:pPr>
        <w:pStyle w:val="Default"/>
        <w:spacing w:line="480" w:lineRule="auto"/>
        <w:rPr>
          <w:rFonts w:ascii="Times New Roman" w:eastAsia="Times New Roman" w:hAnsi="Times New Roman" w:cs="Times New Roman"/>
        </w:rPr>
      </w:pPr>
    </w:p>
    <w:p w14:paraId="75DEFDF0" w14:textId="77777777" w:rsidR="009A55E1" w:rsidRDefault="007A6070">
      <w:pPr>
        <w:pStyle w:val="Default"/>
        <w:spacing w:line="480" w:lineRule="auto"/>
        <w:rPr>
          <w:rFonts w:ascii="Times New Roman" w:eastAsia="Times New Roman" w:hAnsi="Times New Roman" w:cs="Times New Roman"/>
        </w:rPr>
      </w:pPr>
      <w:r>
        <w:rPr>
          <w:rFonts w:ascii="Times New Roman" w:hAnsi="Times New Roman"/>
          <w:b/>
          <w:bCs/>
        </w:rPr>
        <w:t>Correspo</w:t>
      </w:r>
      <w:r>
        <w:rPr>
          <w:rFonts w:ascii="Times New Roman" w:hAnsi="Times New Roman"/>
          <w:b/>
          <w:bCs/>
        </w:rPr>
        <w:t xml:space="preserve">ndence address: </w:t>
      </w:r>
      <w:proofErr w:type="spellStart"/>
      <w:r>
        <w:rPr>
          <w:rFonts w:ascii="Times New Roman" w:hAnsi="Times New Roman"/>
        </w:rPr>
        <w:t>Dr</w:t>
      </w:r>
      <w:proofErr w:type="spellEnd"/>
      <w:r>
        <w:rPr>
          <w:rFonts w:ascii="Times New Roman" w:hAnsi="Times New Roman"/>
        </w:rPr>
        <w:t xml:space="preserve"> Alasdair Bamford, Department of </w:t>
      </w:r>
      <w:proofErr w:type="spellStart"/>
      <w:r>
        <w:rPr>
          <w:rFonts w:ascii="Times New Roman" w:hAnsi="Times New Roman"/>
        </w:rPr>
        <w:t>Paediatric</w:t>
      </w:r>
      <w:proofErr w:type="spellEnd"/>
      <w:r>
        <w:rPr>
          <w:rFonts w:ascii="Times New Roman" w:hAnsi="Times New Roman"/>
        </w:rPr>
        <w:t xml:space="preserve"> Infectious Diseases, Great Ormond Street Hospital for Children, Great Ormond Street, London, WC1N 3JH. Tel: 02078138594. Fax: 02078138552. Email: alasdair.bamford@gosh.nhs.uk </w:t>
      </w:r>
    </w:p>
    <w:p w14:paraId="06C0DA1A" w14:textId="77777777" w:rsidR="009A55E1" w:rsidRDefault="009A55E1">
      <w:pPr>
        <w:pStyle w:val="Default"/>
        <w:spacing w:line="480" w:lineRule="auto"/>
        <w:rPr>
          <w:rFonts w:ascii="Times New Roman" w:eastAsia="Times New Roman" w:hAnsi="Times New Roman" w:cs="Times New Roman"/>
        </w:rPr>
      </w:pPr>
    </w:p>
    <w:p w14:paraId="2F7BB8F1" w14:textId="77777777" w:rsidR="009A55E1" w:rsidRDefault="007A6070">
      <w:pPr>
        <w:pStyle w:val="Default"/>
        <w:spacing w:line="480" w:lineRule="auto"/>
        <w:rPr>
          <w:rFonts w:ascii="Times New Roman" w:eastAsia="Times New Roman" w:hAnsi="Times New Roman" w:cs="Times New Roman"/>
          <w:b/>
          <w:bCs/>
        </w:rPr>
      </w:pPr>
      <w:r>
        <w:rPr>
          <w:rFonts w:ascii="Times New Roman" w:hAnsi="Times New Roman"/>
          <w:b/>
          <w:bCs/>
        </w:rPr>
        <w:t xml:space="preserve">Key words: </w:t>
      </w:r>
      <w:proofErr w:type="gramStart"/>
      <w:r>
        <w:rPr>
          <w:rFonts w:ascii="Times New Roman" w:hAnsi="Times New Roman"/>
        </w:rPr>
        <w:t xml:space="preserve">HIV,  </w:t>
      </w:r>
      <w:r>
        <w:rPr>
          <w:rFonts w:ascii="Times New Roman" w:hAnsi="Times New Roman"/>
        </w:rPr>
        <w:t>CD</w:t>
      </w:r>
      <w:proofErr w:type="gramEnd"/>
      <w:r>
        <w:rPr>
          <w:rFonts w:ascii="Times New Roman" w:hAnsi="Times New Roman"/>
        </w:rPr>
        <w:t xml:space="preserve">4 count, </w:t>
      </w:r>
      <w:proofErr w:type="spellStart"/>
      <w:r>
        <w:rPr>
          <w:rFonts w:ascii="Times New Roman" w:hAnsi="Times New Roman"/>
        </w:rPr>
        <w:t>paediatric</w:t>
      </w:r>
      <w:proofErr w:type="spellEnd"/>
      <w:r>
        <w:rPr>
          <w:rFonts w:ascii="Times New Roman" w:hAnsi="Times New Roman"/>
        </w:rPr>
        <w:t>, viral suppression</w:t>
      </w:r>
    </w:p>
    <w:p w14:paraId="3872B072" w14:textId="77777777" w:rsidR="009A55E1" w:rsidRDefault="007A6070">
      <w:pPr>
        <w:pStyle w:val="Default"/>
      </w:pPr>
      <w:r>
        <w:rPr>
          <w:rFonts w:ascii="Arial Unicode MS" w:hAnsi="Arial Unicode MS"/>
          <w:color w:val="1B1D1E"/>
          <w:sz w:val="28"/>
          <w:szCs w:val="28"/>
          <w:u w:color="1B1D1E"/>
        </w:rPr>
        <w:br w:type="page"/>
      </w:r>
    </w:p>
    <w:p w14:paraId="22E7D66A" w14:textId="77777777" w:rsidR="009A55E1" w:rsidRDefault="007A607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Dear Editor</w:t>
      </w:r>
    </w:p>
    <w:p w14:paraId="3319618C" w14:textId="77777777" w:rsidR="009A55E1" w:rsidRDefault="009A55E1">
      <w:pPr>
        <w:pStyle w:val="Default"/>
        <w:spacing w:line="480" w:lineRule="auto"/>
        <w:rPr>
          <w:rFonts w:ascii="Times New Roman" w:eastAsia="Times New Roman" w:hAnsi="Times New Roman" w:cs="Times New Roman"/>
          <w:sz w:val="24"/>
          <w:szCs w:val="24"/>
        </w:rPr>
      </w:pPr>
    </w:p>
    <w:p w14:paraId="6FC004CF" w14:textId="77777777" w:rsidR="009A55E1" w:rsidRDefault="007A607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PENTA guidelines currently recommend monitoring CD4 T cell counts every 3-4 months in all children and young people with HIV [1]. The clinical utility of monitoring CD4 this frequently in the context </w:t>
      </w:r>
      <w:r>
        <w:rPr>
          <w:rFonts w:ascii="Times New Roman" w:hAnsi="Times New Roman"/>
          <w:sz w:val="24"/>
          <w:szCs w:val="24"/>
        </w:rPr>
        <w:t xml:space="preserve">of fully suppressed HIV viral load (VL) has been questioned [2-4]. When available, VL is the most useful correlate of adherence and/or combination antiretroviral therapy failure (CART). Two published </w:t>
      </w:r>
      <w:proofErr w:type="spellStart"/>
      <w:r>
        <w:rPr>
          <w:rFonts w:ascii="Times New Roman" w:hAnsi="Times New Roman"/>
          <w:sz w:val="24"/>
          <w:szCs w:val="24"/>
        </w:rPr>
        <w:t>paediatric</w:t>
      </w:r>
      <w:proofErr w:type="spellEnd"/>
      <w:r>
        <w:rPr>
          <w:rFonts w:ascii="Times New Roman" w:hAnsi="Times New Roman"/>
          <w:sz w:val="24"/>
          <w:szCs w:val="24"/>
        </w:rPr>
        <w:t xml:space="preserve"> studies in South Africa and Asia suggest ther</w:t>
      </w:r>
      <w:r>
        <w:rPr>
          <w:rFonts w:ascii="Times New Roman" w:hAnsi="Times New Roman"/>
          <w:sz w:val="24"/>
          <w:szCs w:val="24"/>
        </w:rPr>
        <w:t>e is a low risk of CD4 decline in virally suppressed children [2,3]. Whilst transient drops in CD4 count do occur in virally suppressed patients, they rarely contribute to clinical decision making [4,5].</w:t>
      </w:r>
    </w:p>
    <w:p w14:paraId="348567F2" w14:textId="77777777" w:rsidR="009A55E1" w:rsidRDefault="009A55E1">
      <w:pPr>
        <w:pStyle w:val="Default"/>
        <w:spacing w:line="480" w:lineRule="auto"/>
        <w:rPr>
          <w:rFonts w:ascii="Times New Roman" w:eastAsia="Times New Roman" w:hAnsi="Times New Roman" w:cs="Times New Roman"/>
          <w:sz w:val="24"/>
          <w:szCs w:val="24"/>
        </w:rPr>
      </w:pPr>
    </w:p>
    <w:p w14:paraId="7CF1745F" w14:textId="77777777" w:rsidR="009A55E1" w:rsidRDefault="007A607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Great Ormond Street Hospital in London, UK has one </w:t>
      </w:r>
      <w:r>
        <w:rPr>
          <w:rFonts w:ascii="Times New Roman" w:hAnsi="Times New Roman"/>
          <w:sz w:val="24"/>
          <w:szCs w:val="24"/>
        </w:rPr>
        <w:t>of the largest cohorts of HIV positive children and young people in the U.K.  We were therefore well placed to assess the safety of reduced CD4 count monitoring in children with fully suppressed VL. To that end, we carried out a retrospective analysis of t</w:t>
      </w:r>
      <w:r>
        <w:rPr>
          <w:rFonts w:ascii="Times New Roman" w:hAnsi="Times New Roman"/>
          <w:sz w:val="24"/>
          <w:szCs w:val="24"/>
        </w:rPr>
        <w:t>his single-</w:t>
      </w:r>
      <w:proofErr w:type="spellStart"/>
      <w:r>
        <w:rPr>
          <w:rFonts w:ascii="Times New Roman" w:hAnsi="Times New Roman"/>
          <w:sz w:val="24"/>
          <w:szCs w:val="24"/>
        </w:rPr>
        <w:t>centre</w:t>
      </w:r>
      <w:proofErr w:type="spellEnd"/>
      <w:r>
        <w:rPr>
          <w:rFonts w:ascii="Times New Roman" w:hAnsi="Times New Roman"/>
          <w:sz w:val="24"/>
          <w:szCs w:val="24"/>
        </w:rPr>
        <w:t xml:space="preserve"> cohort using electronic notes and results of all current HIV patients in 2017. Patients were included if they had any period of &gt;12 months of sustained undetectable HIV VL (&lt;50copies/ml). Periods of viral rebound (VL&gt;50 copies/ml) were no</w:t>
      </w:r>
      <w:r>
        <w:rPr>
          <w:rFonts w:ascii="Times New Roman" w:hAnsi="Times New Roman"/>
          <w:sz w:val="24"/>
          <w:szCs w:val="24"/>
        </w:rPr>
        <w:t xml:space="preserve">t included.  The primary outcomes were persistent CD4 decline below the PENTA-defined cut-off for urgent CART (&lt;3 years &lt;1000 cells/mcl, 3-5 years &lt;750 cells/mcl, &gt;5 years &lt;350 cells/mcl). Secondary endpoints included: </w:t>
      </w:r>
      <w:proofErr w:type="spellStart"/>
      <w:r>
        <w:rPr>
          <w:rFonts w:ascii="Times New Roman" w:hAnsi="Times New Roman"/>
          <w:sz w:val="24"/>
          <w:szCs w:val="24"/>
          <w:lang w:val="es-ES_tradnl"/>
        </w:rPr>
        <w:t>transient</w:t>
      </w:r>
      <w:proofErr w:type="spellEnd"/>
      <w:r>
        <w:rPr>
          <w:rFonts w:ascii="Times New Roman" w:hAnsi="Times New Roman"/>
          <w:sz w:val="24"/>
          <w:szCs w:val="24"/>
        </w:rPr>
        <w:t xml:space="preserve"> falls in CD4 counts and cot</w:t>
      </w:r>
      <w:r>
        <w:rPr>
          <w:rFonts w:ascii="Times New Roman" w:hAnsi="Times New Roman"/>
          <w:sz w:val="24"/>
          <w:szCs w:val="24"/>
        </w:rPr>
        <w:t xml:space="preserve">rimoxazole prescriptions. </w:t>
      </w:r>
    </w:p>
    <w:p w14:paraId="560A48F6" w14:textId="77777777" w:rsidR="009A55E1" w:rsidRDefault="009A55E1">
      <w:pPr>
        <w:pStyle w:val="Default"/>
        <w:spacing w:line="480" w:lineRule="auto"/>
        <w:rPr>
          <w:rFonts w:ascii="Times New Roman" w:eastAsia="Times New Roman" w:hAnsi="Times New Roman" w:cs="Times New Roman"/>
          <w:sz w:val="24"/>
          <w:szCs w:val="24"/>
        </w:rPr>
      </w:pPr>
    </w:p>
    <w:p w14:paraId="639DE74C" w14:textId="77777777" w:rsidR="009A55E1" w:rsidRDefault="007A607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Fifty six out of </w:t>
      </w:r>
      <w:r>
        <w:rPr>
          <w:rFonts w:ascii="Times New Roman" w:hAnsi="Times New Roman"/>
          <w:sz w:val="24"/>
          <w:szCs w:val="24"/>
          <w:lang w:val="it-IT"/>
        </w:rPr>
        <w:t xml:space="preserve">75 </w:t>
      </w:r>
      <w:proofErr w:type="spellStart"/>
      <w:r>
        <w:rPr>
          <w:rFonts w:ascii="Times New Roman" w:hAnsi="Times New Roman"/>
          <w:sz w:val="24"/>
          <w:szCs w:val="24"/>
          <w:lang w:val="it-IT"/>
        </w:rPr>
        <w:t>patients</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were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included</w:t>
      </w:r>
      <w:proofErr w:type="spellEnd"/>
      <w:r>
        <w:rPr>
          <w:rFonts w:ascii="Times New Roman" w:hAnsi="Times New Roman"/>
          <w:sz w:val="24"/>
          <w:szCs w:val="24"/>
          <w:lang w:val="it-IT"/>
        </w:rPr>
        <w:t xml:space="preserve"> (53% male). The </w:t>
      </w:r>
      <w:proofErr w:type="spellStart"/>
      <w:r>
        <w:rPr>
          <w:rFonts w:ascii="Times New Roman" w:hAnsi="Times New Roman"/>
          <w:sz w:val="24"/>
          <w:szCs w:val="24"/>
          <w:lang w:val="it-IT"/>
        </w:rPr>
        <w:t>majority</w:t>
      </w:r>
      <w:proofErr w:type="spellEnd"/>
      <w:r>
        <w:rPr>
          <w:rFonts w:ascii="Times New Roman" w:hAnsi="Times New Roman"/>
          <w:sz w:val="24"/>
          <w:szCs w:val="24"/>
          <w:lang w:val="it-IT"/>
        </w:rPr>
        <w:t xml:space="preserve"> (</w:t>
      </w:r>
      <w:r>
        <w:rPr>
          <w:rFonts w:ascii="Times New Roman" w:hAnsi="Times New Roman"/>
          <w:sz w:val="24"/>
          <w:szCs w:val="24"/>
        </w:rPr>
        <w:t xml:space="preserve">96%) had perinatally acquired HIV. The median age was 9 years and 2 months. A total of 1377 paired measurements were obtained (equating to 402 patient years). </w:t>
      </w:r>
      <w:r>
        <w:rPr>
          <w:rFonts w:ascii="Times New Roman" w:hAnsi="Times New Roman"/>
          <w:sz w:val="24"/>
          <w:szCs w:val="24"/>
        </w:rPr>
        <w:t xml:space="preserve"> No patients had progressive CD4 decline or required cotrimoxazole during periods of viral suppression. Cox proportional hazards regression (R software) showed initial baseline CD4 Z-score to be predictive of a low CD4 count (</w:t>
      </w:r>
      <w:r>
        <w:rPr>
          <w:rFonts w:ascii="Times New Roman" w:hAnsi="Times New Roman"/>
          <w:i/>
          <w:iCs/>
          <w:sz w:val="24"/>
          <w:szCs w:val="24"/>
        </w:rPr>
        <w:t>p</w:t>
      </w:r>
      <w:r>
        <w:rPr>
          <w:rFonts w:ascii="Times New Roman" w:hAnsi="Times New Roman"/>
          <w:sz w:val="24"/>
          <w:szCs w:val="24"/>
        </w:rPr>
        <w:t>&lt;0.001). After exclud</w:t>
      </w:r>
      <w:r>
        <w:rPr>
          <w:rFonts w:ascii="Times New Roman" w:hAnsi="Times New Roman"/>
          <w:sz w:val="24"/>
          <w:szCs w:val="24"/>
        </w:rPr>
        <w:lastRenderedPageBreak/>
        <w:t xml:space="preserve">ing the </w:t>
      </w:r>
      <w:r>
        <w:rPr>
          <w:rFonts w:ascii="Times New Roman" w:hAnsi="Times New Roman"/>
          <w:sz w:val="24"/>
          <w:szCs w:val="24"/>
        </w:rPr>
        <w:t>first 12 months of data this effect disappeared, therefore indicating that CD4 counts recovered, then remained stable after the first twelve months of viral suppression. After this period of count recovery, only 4% of 1125 paired measurements showed a tran</w:t>
      </w:r>
      <w:r>
        <w:rPr>
          <w:rFonts w:ascii="Times New Roman" w:hAnsi="Times New Roman"/>
          <w:sz w:val="24"/>
          <w:szCs w:val="24"/>
        </w:rPr>
        <w:t>sient CD4 drop- 100% of which showed spontaneous recovery (Fig. 1). During full VL suppression on CART, no clinically significant fall in CD4 count occurred. Neither opportunistic infections or disease progression were observed.</w:t>
      </w:r>
    </w:p>
    <w:p w14:paraId="3BBF37F6" w14:textId="77777777" w:rsidR="009A55E1" w:rsidRDefault="009A55E1">
      <w:pPr>
        <w:pStyle w:val="Default"/>
        <w:spacing w:line="480" w:lineRule="auto"/>
        <w:rPr>
          <w:rFonts w:ascii="Times New Roman" w:eastAsia="Times New Roman" w:hAnsi="Times New Roman" w:cs="Times New Roman"/>
          <w:sz w:val="24"/>
          <w:szCs w:val="24"/>
        </w:rPr>
      </w:pPr>
    </w:p>
    <w:p w14:paraId="31D29AAE" w14:textId="77777777" w:rsidR="009A55E1" w:rsidRDefault="007A607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 xml:space="preserve">Our results indicate that </w:t>
      </w:r>
      <w:r>
        <w:rPr>
          <w:rFonts w:ascii="Times New Roman" w:hAnsi="Times New Roman"/>
          <w:sz w:val="24"/>
          <w:szCs w:val="24"/>
        </w:rPr>
        <w:t xml:space="preserve">it is safe to reduce the frequency of CD4 count monitoring while on suppressive CART, after a </w:t>
      </w:r>
      <w:proofErr w:type="gramStart"/>
      <w:r>
        <w:rPr>
          <w:rFonts w:ascii="Times New Roman" w:hAnsi="Times New Roman"/>
          <w:sz w:val="24"/>
          <w:szCs w:val="24"/>
        </w:rPr>
        <w:t>12 month</w:t>
      </w:r>
      <w:proofErr w:type="gramEnd"/>
      <w:r>
        <w:rPr>
          <w:rFonts w:ascii="Times New Roman" w:hAnsi="Times New Roman"/>
          <w:sz w:val="24"/>
          <w:szCs w:val="24"/>
        </w:rPr>
        <w:t xml:space="preserve"> period of CD4 count recovery, to once per year (and during times of detectable </w:t>
      </w:r>
      <w:proofErr w:type="spellStart"/>
      <w:r>
        <w:rPr>
          <w:rFonts w:ascii="Times New Roman" w:hAnsi="Times New Roman"/>
          <w:sz w:val="24"/>
          <w:szCs w:val="24"/>
        </w:rPr>
        <w:t>viraemia</w:t>
      </w:r>
      <w:proofErr w:type="spellEnd"/>
      <w:r>
        <w:rPr>
          <w:rFonts w:ascii="Times New Roman" w:hAnsi="Times New Roman"/>
          <w:sz w:val="24"/>
          <w:szCs w:val="24"/>
        </w:rPr>
        <w:t xml:space="preserve">). </w:t>
      </w:r>
    </w:p>
    <w:p w14:paraId="7784D588" w14:textId="77777777" w:rsidR="009A55E1" w:rsidRDefault="009A55E1">
      <w:pPr>
        <w:pStyle w:val="Default"/>
        <w:spacing w:line="480" w:lineRule="auto"/>
        <w:rPr>
          <w:rFonts w:ascii="Times New Roman" w:eastAsia="Times New Roman" w:hAnsi="Times New Roman" w:cs="Times New Roman"/>
          <w:sz w:val="24"/>
          <w:szCs w:val="24"/>
        </w:rPr>
      </w:pPr>
    </w:p>
    <w:p w14:paraId="3E00B7D2" w14:textId="77777777" w:rsidR="009A55E1" w:rsidRDefault="007A6070">
      <w:pPr>
        <w:pStyle w:val="Default"/>
        <w:spacing w:line="480" w:lineRule="auto"/>
        <w:rPr>
          <w:rFonts w:ascii="Times New Roman" w:eastAsia="Times New Roman" w:hAnsi="Times New Roman" w:cs="Times New Roman"/>
          <w:sz w:val="24"/>
          <w:szCs w:val="24"/>
        </w:rPr>
      </w:pPr>
      <w:r>
        <w:rPr>
          <w:rFonts w:ascii="Times New Roman" w:hAnsi="Times New Roman"/>
          <w:sz w:val="24"/>
          <w:szCs w:val="24"/>
        </w:rPr>
        <w:t>We suggest that the future PENTA guidelines take this dat</w:t>
      </w:r>
      <w:r>
        <w:rPr>
          <w:rFonts w:ascii="Times New Roman" w:hAnsi="Times New Roman"/>
        </w:rPr>
        <w:t>a</w:t>
      </w:r>
      <w:r>
        <w:rPr>
          <w:rFonts w:ascii="Times New Roman" w:hAnsi="Times New Roman"/>
          <w:sz w:val="24"/>
          <w:szCs w:val="24"/>
        </w:rPr>
        <w:t xml:space="preserve"> in</w:t>
      </w:r>
      <w:r>
        <w:rPr>
          <w:rFonts w:ascii="Times New Roman" w:hAnsi="Times New Roman"/>
          <w:sz w:val="24"/>
          <w:szCs w:val="24"/>
        </w:rPr>
        <w:t>to account and recommend less frequent CD4 monitoring in virally suppressed children and young people.</w:t>
      </w:r>
    </w:p>
    <w:p w14:paraId="3C98BF0B" w14:textId="77777777" w:rsidR="009A55E1" w:rsidRDefault="007A6070">
      <w:pPr>
        <w:pStyle w:val="Default"/>
        <w:spacing w:line="480" w:lineRule="auto"/>
      </w:pPr>
      <w:r>
        <w:rPr>
          <w:rFonts w:ascii="Arial Unicode MS" w:hAnsi="Arial Unicode MS"/>
          <w:sz w:val="24"/>
          <w:szCs w:val="24"/>
        </w:rPr>
        <w:br w:type="page"/>
      </w:r>
    </w:p>
    <w:p w14:paraId="4AE5D4F9" w14:textId="77777777" w:rsidR="009A55E1" w:rsidRDefault="007A6070">
      <w:pPr>
        <w:pStyle w:val="Default"/>
        <w:spacing w:line="48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References</w:t>
      </w:r>
    </w:p>
    <w:p w14:paraId="6E283556" w14:textId="77777777" w:rsidR="009A55E1" w:rsidRDefault="007A6070">
      <w:pPr>
        <w:pStyle w:val="Default"/>
        <w:spacing w:line="480" w:lineRule="auto"/>
        <w:rPr>
          <w:rFonts w:ascii="Times New Roman" w:eastAsia="Times New Roman" w:hAnsi="Times New Roman" w:cs="Times New Roman"/>
          <w:sz w:val="24"/>
          <w:szCs w:val="24"/>
        </w:rPr>
      </w:pPr>
      <w:r>
        <w:rPr>
          <w:rFonts w:ascii="Times New Roman" w:hAnsi="Times New Roman"/>
        </w:rPr>
        <w:t xml:space="preserve">1. </w:t>
      </w:r>
      <w:r>
        <w:rPr>
          <w:rFonts w:ascii="Times New Roman" w:hAnsi="Times New Roman"/>
          <w:sz w:val="24"/>
          <w:szCs w:val="24"/>
        </w:rPr>
        <w:t xml:space="preserve">Bamford A, </w:t>
      </w:r>
      <w:proofErr w:type="spellStart"/>
      <w:r>
        <w:rPr>
          <w:rFonts w:ascii="Times New Roman" w:hAnsi="Times New Roman"/>
          <w:sz w:val="24"/>
          <w:szCs w:val="24"/>
        </w:rPr>
        <w:t>Turkova</w:t>
      </w:r>
      <w:proofErr w:type="spellEnd"/>
      <w:r>
        <w:rPr>
          <w:rFonts w:ascii="Times New Roman" w:hAnsi="Times New Roman"/>
          <w:sz w:val="24"/>
          <w:szCs w:val="24"/>
        </w:rPr>
        <w:t xml:space="preserve"> A, Lyall H, Foster C, Klein N, </w:t>
      </w:r>
      <w:proofErr w:type="spellStart"/>
      <w:r>
        <w:rPr>
          <w:rFonts w:ascii="Times New Roman" w:hAnsi="Times New Roman"/>
          <w:sz w:val="24"/>
          <w:szCs w:val="24"/>
        </w:rPr>
        <w:t>Bastiaans</w:t>
      </w:r>
      <w:proofErr w:type="spellEnd"/>
      <w:r>
        <w:rPr>
          <w:rFonts w:ascii="Times New Roman" w:hAnsi="Times New Roman"/>
          <w:sz w:val="24"/>
          <w:szCs w:val="24"/>
        </w:rPr>
        <w:t xml:space="preserve"> D </w:t>
      </w:r>
      <w:r>
        <w:rPr>
          <w:rFonts w:ascii="Times New Roman" w:hAnsi="Times New Roman"/>
          <w:i/>
          <w:iCs/>
          <w:sz w:val="24"/>
          <w:szCs w:val="24"/>
        </w:rPr>
        <w:t>et al.</w:t>
      </w:r>
      <w:r>
        <w:rPr>
          <w:rFonts w:ascii="Times New Roman" w:hAnsi="Times New Roman"/>
          <w:sz w:val="24"/>
          <w:szCs w:val="24"/>
        </w:rPr>
        <w:t xml:space="preserve"> </w:t>
      </w:r>
      <w:proofErr w:type="spellStart"/>
      <w:r>
        <w:rPr>
          <w:rFonts w:ascii="Times New Roman" w:hAnsi="Times New Roman"/>
          <w:sz w:val="24"/>
          <w:szCs w:val="24"/>
        </w:rPr>
        <w:t>Paediatric</w:t>
      </w:r>
      <w:proofErr w:type="spellEnd"/>
      <w:r>
        <w:rPr>
          <w:rFonts w:ascii="Times New Roman" w:hAnsi="Times New Roman"/>
          <w:sz w:val="24"/>
          <w:szCs w:val="24"/>
        </w:rPr>
        <w:t xml:space="preserve"> European Network for Treatment of AIDS (PENTA) guidelines for treatment of </w:t>
      </w:r>
      <w:proofErr w:type="spellStart"/>
      <w:r>
        <w:rPr>
          <w:rFonts w:ascii="Times New Roman" w:hAnsi="Times New Roman"/>
          <w:sz w:val="24"/>
          <w:szCs w:val="24"/>
        </w:rPr>
        <w:t>paediatric</w:t>
      </w:r>
      <w:proofErr w:type="spellEnd"/>
      <w:r>
        <w:rPr>
          <w:rFonts w:ascii="Times New Roman" w:hAnsi="Times New Roman"/>
          <w:sz w:val="24"/>
          <w:szCs w:val="24"/>
        </w:rPr>
        <w:t xml:space="preserve"> HIV-1 infection 2015: optimizing health in preparation for adult life. </w:t>
      </w:r>
      <w:r>
        <w:rPr>
          <w:rFonts w:ascii="Times New Roman" w:hAnsi="Times New Roman"/>
          <w:i/>
          <w:iCs/>
          <w:sz w:val="24"/>
          <w:szCs w:val="24"/>
        </w:rPr>
        <w:t>HIV Med</w:t>
      </w:r>
      <w:r>
        <w:rPr>
          <w:rFonts w:ascii="Times New Roman" w:hAnsi="Times New Roman"/>
          <w:sz w:val="24"/>
          <w:szCs w:val="24"/>
        </w:rPr>
        <w:t xml:space="preserve"> 2015; </w:t>
      </w:r>
      <w:r>
        <w:rPr>
          <w:rFonts w:ascii="Times New Roman" w:hAnsi="Times New Roman"/>
          <w:b/>
          <w:bCs/>
          <w:sz w:val="24"/>
          <w:szCs w:val="24"/>
        </w:rPr>
        <w:t>19</w:t>
      </w:r>
      <w:r>
        <w:rPr>
          <w:rFonts w:ascii="Times New Roman" w:hAnsi="Times New Roman"/>
          <w:sz w:val="24"/>
          <w:szCs w:val="24"/>
        </w:rPr>
        <w:t>(1): e1-e42.</w:t>
      </w:r>
    </w:p>
    <w:p w14:paraId="17931F21" w14:textId="77777777" w:rsidR="009A55E1" w:rsidRDefault="009A55E1">
      <w:pPr>
        <w:pStyle w:val="Default"/>
        <w:spacing w:line="480" w:lineRule="auto"/>
        <w:rPr>
          <w:rFonts w:ascii="Times New Roman" w:eastAsia="Times New Roman" w:hAnsi="Times New Roman" w:cs="Times New Roman"/>
          <w:sz w:val="24"/>
          <w:szCs w:val="24"/>
        </w:rPr>
      </w:pPr>
    </w:p>
    <w:p w14:paraId="021DE446" w14:textId="77777777" w:rsidR="009A55E1" w:rsidRDefault="007A6070">
      <w:pPr>
        <w:pStyle w:val="Default"/>
        <w:spacing w:line="480" w:lineRule="auto"/>
        <w:rPr>
          <w:rFonts w:ascii="Times New Roman" w:eastAsia="Times New Roman" w:hAnsi="Times New Roman" w:cs="Times New Roman"/>
          <w:sz w:val="24"/>
          <w:szCs w:val="24"/>
        </w:rPr>
      </w:pPr>
      <w:r>
        <w:rPr>
          <w:rFonts w:ascii="Times New Roman" w:hAnsi="Times New Roman"/>
        </w:rPr>
        <w:t xml:space="preserve">2. </w:t>
      </w:r>
      <w:r>
        <w:rPr>
          <w:rFonts w:ascii="Times New Roman" w:hAnsi="Times New Roman"/>
          <w:sz w:val="24"/>
          <w:szCs w:val="24"/>
        </w:rPr>
        <w:t xml:space="preserve">Davies M, Ford N, Rabie H, </w:t>
      </w:r>
      <w:proofErr w:type="spellStart"/>
      <w:r>
        <w:rPr>
          <w:rFonts w:ascii="Times New Roman" w:hAnsi="Times New Roman"/>
          <w:sz w:val="24"/>
          <w:szCs w:val="24"/>
        </w:rPr>
        <w:t>Fatti</w:t>
      </w:r>
      <w:proofErr w:type="spellEnd"/>
      <w:r>
        <w:rPr>
          <w:rFonts w:ascii="Times New Roman" w:hAnsi="Times New Roman"/>
          <w:sz w:val="24"/>
          <w:szCs w:val="24"/>
        </w:rPr>
        <w:t xml:space="preserve"> G, Stinson K, Giddy J </w:t>
      </w:r>
      <w:r>
        <w:rPr>
          <w:rFonts w:ascii="Times New Roman" w:hAnsi="Times New Roman"/>
          <w:i/>
          <w:iCs/>
          <w:sz w:val="24"/>
          <w:szCs w:val="24"/>
        </w:rPr>
        <w:t>et al.</w:t>
      </w:r>
      <w:r>
        <w:rPr>
          <w:rFonts w:ascii="Times New Roman" w:hAnsi="Times New Roman"/>
          <w:sz w:val="24"/>
          <w:szCs w:val="24"/>
        </w:rPr>
        <w:t xml:space="preserve"> Reducing CD4 Monitoring in Children on Antiretroviral Therapy </w:t>
      </w:r>
      <w:proofErr w:type="gramStart"/>
      <w:r>
        <w:rPr>
          <w:rFonts w:ascii="Times New Roman" w:hAnsi="Times New Roman"/>
          <w:sz w:val="24"/>
          <w:szCs w:val="24"/>
        </w:rPr>
        <w:t>With</w:t>
      </w:r>
      <w:proofErr w:type="gramEnd"/>
      <w:r>
        <w:rPr>
          <w:rFonts w:ascii="Times New Roman" w:hAnsi="Times New Roman"/>
          <w:sz w:val="24"/>
          <w:szCs w:val="24"/>
        </w:rPr>
        <w:t xml:space="preserve"> Virologic Suppression. </w:t>
      </w:r>
      <w:proofErr w:type="spellStart"/>
      <w:r>
        <w:rPr>
          <w:rFonts w:ascii="Times New Roman" w:hAnsi="Times New Roman"/>
          <w:i/>
          <w:iCs/>
          <w:sz w:val="24"/>
          <w:szCs w:val="24"/>
        </w:rPr>
        <w:t>Pediatr</w:t>
      </w:r>
      <w:proofErr w:type="spellEnd"/>
      <w:r>
        <w:rPr>
          <w:rFonts w:ascii="Times New Roman" w:hAnsi="Times New Roman"/>
          <w:i/>
          <w:iCs/>
          <w:sz w:val="24"/>
          <w:szCs w:val="24"/>
        </w:rPr>
        <w:t xml:space="preserve"> Infect Dis J</w:t>
      </w:r>
      <w:r>
        <w:rPr>
          <w:rFonts w:ascii="Times New Roman" w:hAnsi="Times New Roman"/>
          <w:sz w:val="24"/>
          <w:szCs w:val="24"/>
        </w:rPr>
        <w:t xml:space="preserve"> 2015; </w:t>
      </w:r>
      <w:r>
        <w:rPr>
          <w:rFonts w:ascii="Times New Roman" w:hAnsi="Times New Roman"/>
          <w:b/>
          <w:bCs/>
          <w:sz w:val="24"/>
          <w:szCs w:val="24"/>
        </w:rPr>
        <w:t>34</w:t>
      </w:r>
      <w:r>
        <w:rPr>
          <w:rFonts w:ascii="Times New Roman" w:hAnsi="Times New Roman"/>
          <w:sz w:val="24"/>
          <w:szCs w:val="24"/>
        </w:rPr>
        <w:t>(12): 1361-1364.</w:t>
      </w:r>
    </w:p>
    <w:p w14:paraId="4FCAF625" w14:textId="77777777" w:rsidR="009A55E1" w:rsidRDefault="009A55E1">
      <w:pPr>
        <w:pStyle w:val="Default"/>
        <w:spacing w:line="480" w:lineRule="auto"/>
        <w:rPr>
          <w:rFonts w:ascii="Times New Roman" w:eastAsia="Times New Roman" w:hAnsi="Times New Roman" w:cs="Times New Roman"/>
        </w:rPr>
      </w:pPr>
    </w:p>
    <w:p w14:paraId="3851C36F" w14:textId="77777777" w:rsidR="009A55E1" w:rsidRDefault="007A6070">
      <w:pPr>
        <w:pStyle w:val="Default"/>
        <w:spacing w:line="480" w:lineRule="auto"/>
        <w:rPr>
          <w:rFonts w:ascii="Times New Roman" w:eastAsia="Times New Roman" w:hAnsi="Times New Roman" w:cs="Times New Roman"/>
          <w:sz w:val="24"/>
          <w:szCs w:val="24"/>
        </w:rPr>
      </w:pPr>
      <w:r>
        <w:rPr>
          <w:rFonts w:ascii="Times New Roman" w:hAnsi="Times New Roman"/>
        </w:rPr>
        <w:t xml:space="preserve">3. </w:t>
      </w:r>
      <w:proofErr w:type="spellStart"/>
      <w:r>
        <w:rPr>
          <w:rFonts w:ascii="Times New Roman" w:hAnsi="Times New Roman"/>
          <w:sz w:val="24"/>
          <w:szCs w:val="24"/>
        </w:rPr>
        <w:t>Kosalaraksa</w:t>
      </w:r>
      <w:proofErr w:type="spellEnd"/>
      <w:r>
        <w:rPr>
          <w:rFonts w:ascii="Times New Roman" w:hAnsi="Times New Roman"/>
          <w:sz w:val="24"/>
          <w:szCs w:val="24"/>
        </w:rPr>
        <w:t xml:space="preserve"> P, Boettiger D, </w:t>
      </w:r>
      <w:proofErr w:type="spellStart"/>
      <w:r>
        <w:rPr>
          <w:rFonts w:ascii="Times New Roman" w:hAnsi="Times New Roman"/>
          <w:sz w:val="24"/>
          <w:szCs w:val="24"/>
        </w:rPr>
        <w:t>Bunupuradah</w:t>
      </w:r>
      <w:proofErr w:type="spellEnd"/>
      <w:r>
        <w:rPr>
          <w:rFonts w:ascii="Times New Roman" w:hAnsi="Times New Roman"/>
          <w:sz w:val="24"/>
          <w:szCs w:val="24"/>
        </w:rPr>
        <w:t xml:space="preserve"> T, </w:t>
      </w:r>
      <w:proofErr w:type="spellStart"/>
      <w:r>
        <w:rPr>
          <w:rFonts w:ascii="Times New Roman" w:hAnsi="Times New Roman"/>
          <w:sz w:val="24"/>
          <w:szCs w:val="24"/>
        </w:rPr>
        <w:t>Hansudewech</w:t>
      </w:r>
      <w:r>
        <w:rPr>
          <w:rFonts w:ascii="Times New Roman" w:hAnsi="Times New Roman"/>
          <w:sz w:val="24"/>
          <w:szCs w:val="24"/>
        </w:rPr>
        <w:t>akul</w:t>
      </w:r>
      <w:proofErr w:type="spellEnd"/>
      <w:r>
        <w:rPr>
          <w:rFonts w:ascii="Times New Roman" w:hAnsi="Times New Roman"/>
          <w:sz w:val="24"/>
          <w:szCs w:val="24"/>
        </w:rPr>
        <w:t xml:space="preserve"> R, </w:t>
      </w:r>
      <w:proofErr w:type="spellStart"/>
      <w:r>
        <w:rPr>
          <w:rFonts w:ascii="Times New Roman" w:hAnsi="Times New Roman"/>
          <w:sz w:val="24"/>
          <w:szCs w:val="24"/>
        </w:rPr>
        <w:t>Saramony</w:t>
      </w:r>
      <w:proofErr w:type="spellEnd"/>
      <w:r>
        <w:rPr>
          <w:rFonts w:ascii="Times New Roman" w:hAnsi="Times New Roman"/>
          <w:sz w:val="24"/>
          <w:szCs w:val="24"/>
        </w:rPr>
        <w:t xml:space="preserve"> S, Do V </w:t>
      </w:r>
      <w:r>
        <w:rPr>
          <w:rFonts w:ascii="Times New Roman" w:hAnsi="Times New Roman"/>
          <w:i/>
          <w:iCs/>
          <w:sz w:val="24"/>
          <w:szCs w:val="24"/>
        </w:rPr>
        <w:t>et al</w:t>
      </w:r>
      <w:r>
        <w:rPr>
          <w:rFonts w:ascii="Times New Roman" w:hAnsi="Times New Roman"/>
          <w:sz w:val="24"/>
          <w:szCs w:val="24"/>
        </w:rPr>
        <w:t xml:space="preserve">. Low Risk of CD4 Decline After Immune Recovery in Human Immunodeficiency Virus-Infected Children </w:t>
      </w:r>
      <w:proofErr w:type="gramStart"/>
      <w:r>
        <w:rPr>
          <w:rFonts w:ascii="Times New Roman" w:hAnsi="Times New Roman"/>
          <w:sz w:val="24"/>
          <w:szCs w:val="24"/>
        </w:rPr>
        <w:t>With</w:t>
      </w:r>
      <w:proofErr w:type="gramEnd"/>
      <w:r>
        <w:rPr>
          <w:rFonts w:ascii="Times New Roman" w:hAnsi="Times New Roman"/>
          <w:sz w:val="24"/>
          <w:szCs w:val="24"/>
        </w:rPr>
        <w:t xml:space="preserve"> Viral Suppression. </w:t>
      </w:r>
      <w:r>
        <w:rPr>
          <w:rFonts w:ascii="Times New Roman" w:hAnsi="Times New Roman"/>
          <w:i/>
          <w:iCs/>
          <w:sz w:val="24"/>
          <w:szCs w:val="24"/>
        </w:rPr>
        <w:t xml:space="preserve">J Pediatric Infect Dis </w:t>
      </w:r>
      <w:proofErr w:type="spellStart"/>
      <w:r>
        <w:rPr>
          <w:rFonts w:ascii="Times New Roman" w:hAnsi="Times New Roman"/>
          <w:i/>
          <w:iCs/>
          <w:sz w:val="24"/>
          <w:szCs w:val="24"/>
        </w:rPr>
        <w:t>Soc</w:t>
      </w:r>
      <w:proofErr w:type="spellEnd"/>
      <w:r>
        <w:rPr>
          <w:rFonts w:ascii="Times New Roman" w:hAnsi="Times New Roman"/>
          <w:sz w:val="24"/>
          <w:szCs w:val="24"/>
        </w:rPr>
        <w:t xml:space="preserve"> 2017; </w:t>
      </w:r>
      <w:r>
        <w:rPr>
          <w:rFonts w:ascii="Times New Roman" w:hAnsi="Times New Roman"/>
          <w:b/>
          <w:bCs/>
          <w:sz w:val="24"/>
          <w:szCs w:val="24"/>
        </w:rPr>
        <w:t>6</w:t>
      </w:r>
      <w:r>
        <w:rPr>
          <w:rFonts w:ascii="Times New Roman" w:hAnsi="Times New Roman"/>
          <w:sz w:val="24"/>
          <w:szCs w:val="24"/>
        </w:rPr>
        <w:t>: 173-177.</w:t>
      </w:r>
    </w:p>
    <w:p w14:paraId="33C34993" w14:textId="77777777" w:rsidR="009A55E1" w:rsidRDefault="009A55E1">
      <w:pPr>
        <w:pStyle w:val="Default"/>
        <w:spacing w:line="480" w:lineRule="auto"/>
        <w:rPr>
          <w:rFonts w:ascii="Times New Roman" w:eastAsia="Times New Roman" w:hAnsi="Times New Roman" w:cs="Times New Roman"/>
          <w:sz w:val="24"/>
          <w:szCs w:val="24"/>
        </w:rPr>
      </w:pPr>
    </w:p>
    <w:p w14:paraId="65EA547B" w14:textId="77777777" w:rsidR="009A55E1" w:rsidRDefault="007A6070">
      <w:pPr>
        <w:pStyle w:val="Default"/>
        <w:spacing w:line="480" w:lineRule="auto"/>
        <w:rPr>
          <w:rFonts w:ascii="Times New Roman" w:eastAsia="Times New Roman" w:hAnsi="Times New Roman" w:cs="Times New Roman"/>
          <w:sz w:val="24"/>
          <w:szCs w:val="24"/>
        </w:rPr>
      </w:pPr>
      <w:proofErr w:type="gramStart"/>
      <w:r>
        <w:rPr>
          <w:rFonts w:ascii="Times New Roman" w:hAnsi="Times New Roman"/>
        </w:rPr>
        <w:t xml:space="preserve">4  </w:t>
      </w:r>
      <w:r>
        <w:rPr>
          <w:rFonts w:ascii="Times New Roman" w:hAnsi="Times New Roman"/>
          <w:sz w:val="24"/>
          <w:szCs w:val="24"/>
        </w:rPr>
        <w:t>Ford</w:t>
      </w:r>
      <w:proofErr w:type="gramEnd"/>
      <w:r>
        <w:rPr>
          <w:rFonts w:ascii="Times New Roman" w:hAnsi="Times New Roman"/>
          <w:sz w:val="24"/>
          <w:szCs w:val="24"/>
        </w:rPr>
        <w:t xml:space="preserve"> N, Stinson K, Gale H, Mills E, Stevens W, Gonz</w:t>
      </w:r>
      <w:r>
        <w:rPr>
          <w:rFonts w:ascii="Times New Roman" w:hAnsi="Times New Roman"/>
          <w:sz w:val="24"/>
          <w:szCs w:val="24"/>
        </w:rPr>
        <w:t>á</w:t>
      </w:r>
      <w:r>
        <w:rPr>
          <w:rFonts w:ascii="Times New Roman" w:hAnsi="Times New Roman"/>
          <w:sz w:val="24"/>
          <w:szCs w:val="24"/>
        </w:rPr>
        <w:t>lez</w:t>
      </w:r>
      <w:r>
        <w:rPr>
          <w:rFonts w:ascii="Times New Roman" w:hAnsi="Times New Roman"/>
          <w:sz w:val="24"/>
          <w:szCs w:val="24"/>
        </w:rPr>
        <w:t xml:space="preserve"> M </w:t>
      </w:r>
      <w:r>
        <w:rPr>
          <w:rFonts w:ascii="Times New Roman" w:hAnsi="Times New Roman"/>
          <w:i/>
          <w:iCs/>
          <w:sz w:val="24"/>
          <w:szCs w:val="24"/>
        </w:rPr>
        <w:t>et al.</w:t>
      </w:r>
      <w:r>
        <w:rPr>
          <w:rFonts w:ascii="Times New Roman" w:hAnsi="Times New Roman"/>
          <w:sz w:val="24"/>
          <w:szCs w:val="24"/>
        </w:rPr>
        <w:t xml:space="preserve"> CD4 changes among </w:t>
      </w:r>
      <w:proofErr w:type="spellStart"/>
      <w:r>
        <w:rPr>
          <w:rFonts w:ascii="Times New Roman" w:hAnsi="Times New Roman"/>
          <w:sz w:val="24"/>
          <w:szCs w:val="24"/>
        </w:rPr>
        <w:t>virologically</w:t>
      </w:r>
      <w:proofErr w:type="spellEnd"/>
      <w:r>
        <w:rPr>
          <w:rFonts w:ascii="Times New Roman" w:hAnsi="Times New Roman"/>
          <w:sz w:val="24"/>
          <w:szCs w:val="24"/>
        </w:rPr>
        <w:t xml:space="preserve"> suppressed patients on antiretroviral therapy: a systematic review and meta-analysis. </w:t>
      </w:r>
      <w:r>
        <w:rPr>
          <w:rFonts w:ascii="Times New Roman" w:hAnsi="Times New Roman"/>
          <w:i/>
          <w:iCs/>
          <w:sz w:val="24"/>
          <w:szCs w:val="24"/>
        </w:rPr>
        <w:t xml:space="preserve">J </w:t>
      </w:r>
      <w:proofErr w:type="spellStart"/>
      <w:r>
        <w:rPr>
          <w:rFonts w:ascii="Times New Roman" w:hAnsi="Times New Roman"/>
          <w:i/>
          <w:iCs/>
          <w:sz w:val="24"/>
          <w:szCs w:val="24"/>
        </w:rPr>
        <w:t>Int</w:t>
      </w:r>
      <w:proofErr w:type="spellEnd"/>
      <w:r>
        <w:rPr>
          <w:rFonts w:ascii="Times New Roman" w:hAnsi="Times New Roman"/>
          <w:i/>
          <w:iCs/>
          <w:sz w:val="24"/>
          <w:szCs w:val="24"/>
        </w:rPr>
        <w:t xml:space="preserve"> AIDS </w:t>
      </w:r>
      <w:proofErr w:type="spellStart"/>
      <w:r>
        <w:rPr>
          <w:rFonts w:ascii="Times New Roman" w:hAnsi="Times New Roman"/>
          <w:i/>
          <w:iCs/>
          <w:sz w:val="24"/>
          <w:szCs w:val="24"/>
        </w:rPr>
        <w:t>Soc</w:t>
      </w:r>
      <w:proofErr w:type="spellEnd"/>
      <w:r>
        <w:rPr>
          <w:rFonts w:ascii="Times New Roman" w:hAnsi="Times New Roman"/>
          <w:i/>
          <w:iCs/>
          <w:sz w:val="24"/>
          <w:szCs w:val="24"/>
        </w:rPr>
        <w:t xml:space="preserve"> </w:t>
      </w:r>
      <w:r>
        <w:rPr>
          <w:rFonts w:ascii="Times New Roman" w:hAnsi="Times New Roman"/>
          <w:sz w:val="24"/>
          <w:szCs w:val="24"/>
        </w:rPr>
        <w:t xml:space="preserve">2015; </w:t>
      </w:r>
      <w:r>
        <w:rPr>
          <w:rFonts w:ascii="Times New Roman" w:hAnsi="Times New Roman"/>
          <w:b/>
          <w:bCs/>
          <w:sz w:val="24"/>
          <w:szCs w:val="24"/>
        </w:rPr>
        <w:t>18</w:t>
      </w:r>
      <w:r>
        <w:rPr>
          <w:rFonts w:ascii="Times New Roman" w:hAnsi="Times New Roman"/>
          <w:sz w:val="24"/>
          <w:szCs w:val="24"/>
        </w:rPr>
        <w:t>(1): 20061.</w:t>
      </w:r>
    </w:p>
    <w:p w14:paraId="69B7E8D8" w14:textId="77777777" w:rsidR="009A55E1" w:rsidRDefault="009A55E1">
      <w:pPr>
        <w:pStyle w:val="Default"/>
        <w:spacing w:line="480" w:lineRule="auto"/>
        <w:rPr>
          <w:rFonts w:ascii="Times New Roman" w:eastAsia="Times New Roman" w:hAnsi="Times New Roman" w:cs="Times New Roman"/>
          <w:sz w:val="24"/>
          <w:szCs w:val="24"/>
        </w:rPr>
      </w:pPr>
    </w:p>
    <w:p w14:paraId="4F6C9177" w14:textId="77777777" w:rsidR="009A55E1" w:rsidRDefault="007A6070">
      <w:pPr>
        <w:pStyle w:val="Default"/>
        <w:spacing w:line="480" w:lineRule="auto"/>
        <w:rPr>
          <w:rFonts w:ascii="Times New Roman" w:eastAsia="Times New Roman" w:hAnsi="Times New Roman" w:cs="Times New Roman"/>
          <w:sz w:val="24"/>
          <w:szCs w:val="24"/>
        </w:rPr>
      </w:pPr>
      <w:proofErr w:type="gramStart"/>
      <w:r>
        <w:rPr>
          <w:rFonts w:ascii="Times New Roman" w:hAnsi="Times New Roman"/>
          <w:sz w:val="24"/>
          <w:szCs w:val="24"/>
        </w:rPr>
        <w:t>5  Chow</w:t>
      </w:r>
      <w:proofErr w:type="gramEnd"/>
      <w:r>
        <w:rPr>
          <w:rFonts w:ascii="Times New Roman" w:hAnsi="Times New Roman"/>
          <w:sz w:val="24"/>
          <w:szCs w:val="24"/>
        </w:rPr>
        <w:t xml:space="preserve"> E, Read T, Chen M, </w:t>
      </w:r>
      <w:proofErr w:type="spellStart"/>
      <w:r>
        <w:rPr>
          <w:rFonts w:ascii="Times New Roman" w:hAnsi="Times New Roman"/>
          <w:sz w:val="24"/>
          <w:szCs w:val="24"/>
        </w:rPr>
        <w:t>Fehler</w:t>
      </w:r>
      <w:proofErr w:type="spellEnd"/>
      <w:r>
        <w:rPr>
          <w:rFonts w:ascii="Times New Roman" w:hAnsi="Times New Roman"/>
          <w:sz w:val="24"/>
          <w:szCs w:val="24"/>
        </w:rPr>
        <w:t xml:space="preserve"> G, Bradshaw C, Fairley C. Routine CD4 cell count monitorin</w:t>
      </w:r>
      <w:r>
        <w:rPr>
          <w:rFonts w:ascii="Times New Roman" w:hAnsi="Times New Roman"/>
          <w:sz w:val="24"/>
          <w:szCs w:val="24"/>
        </w:rPr>
        <w:t xml:space="preserve">g seldom contributes to clinical decision-making on antiretroviral therapy in </w:t>
      </w:r>
      <w:proofErr w:type="spellStart"/>
      <w:r>
        <w:rPr>
          <w:rFonts w:ascii="Times New Roman" w:hAnsi="Times New Roman"/>
          <w:sz w:val="24"/>
          <w:szCs w:val="24"/>
        </w:rPr>
        <w:t>virologically</w:t>
      </w:r>
      <w:proofErr w:type="spellEnd"/>
      <w:r>
        <w:rPr>
          <w:rFonts w:ascii="Times New Roman" w:hAnsi="Times New Roman"/>
          <w:sz w:val="24"/>
          <w:szCs w:val="24"/>
        </w:rPr>
        <w:t xml:space="preserve"> suppressed HIV-infected patients. </w:t>
      </w:r>
      <w:r>
        <w:rPr>
          <w:rFonts w:ascii="Times New Roman" w:hAnsi="Times New Roman"/>
          <w:i/>
          <w:iCs/>
          <w:sz w:val="24"/>
          <w:szCs w:val="24"/>
        </w:rPr>
        <w:t xml:space="preserve">HIV Med </w:t>
      </w:r>
      <w:r>
        <w:rPr>
          <w:rFonts w:ascii="Times New Roman" w:hAnsi="Times New Roman"/>
          <w:sz w:val="24"/>
          <w:szCs w:val="24"/>
        </w:rPr>
        <w:t xml:space="preserve">2014; </w:t>
      </w:r>
      <w:r>
        <w:rPr>
          <w:rFonts w:ascii="Times New Roman" w:hAnsi="Times New Roman"/>
          <w:b/>
          <w:bCs/>
          <w:sz w:val="24"/>
          <w:szCs w:val="24"/>
        </w:rPr>
        <w:t>16</w:t>
      </w:r>
      <w:r>
        <w:rPr>
          <w:rFonts w:ascii="Times New Roman" w:hAnsi="Times New Roman"/>
          <w:sz w:val="24"/>
          <w:szCs w:val="24"/>
        </w:rPr>
        <w:t>(3): 196-200.</w:t>
      </w:r>
    </w:p>
    <w:p w14:paraId="13156AC2" w14:textId="77777777" w:rsidR="009A55E1" w:rsidRDefault="009A55E1">
      <w:pPr>
        <w:pStyle w:val="Default"/>
        <w:spacing w:line="480" w:lineRule="auto"/>
        <w:rPr>
          <w:rFonts w:ascii="Times New Roman" w:eastAsia="Times New Roman" w:hAnsi="Times New Roman" w:cs="Times New Roman"/>
          <w:sz w:val="24"/>
          <w:szCs w:val="24"/>
        </w:rPr>
      </w:pPr>
    </w:p>
    <w:p w14:paraId="37AD56DD" w14:textId="77777777" w:rsidR="009A55E1" w:rsidRDefault="007A6070">
      <w:pPr>
        <w:pStyle w:val="Default"/>
        <w:spacing w:after="240" w:line="480" w:lineRule="auto"/>
      </w:pPr>
      <w:r>
        <w:rPr>
          <w:rFonts w:ascii="Arial Unicode MS" w:hAnsi="Arial Unicode MS"/>
          <w:sz w:val="19"/>
          <w:szCs w:val="19"/>
        </w:rPr>
        <w:br w:type="page"/>
      </w:r>
    </w:p>
    <w:p w14:paraId="0FEA3394" w14:textId="77777777" w:rsidR="009A55E1" w:rsidRDefault="009A55E1">
      <w:pPr>
        <w:pStyle w:val="Default"/>
        <w:spacing w:after="240" w:line="480" w:lineRule="auto"/>
        <w:rPr>
          <w:rFonts w:ascii="Times New Roman" w:eastAsia="Times New Roman" w:hAnsi="Times New Roman" w:cs="Times New Roman"/>
          <w:sz w:val="19"/>
          <w:szCs w:val="19"/>
        </w:rPr>
      </w:pPr>
    </w:p>
    <w:p w14:paraId="26C97FB2" w14:textId="77777777" w:rsidR="009A55E1" w:rsidRDefault="007A6070">
      <w:pPr>
        <w:pStyle w:val="Default"/>
        <w:spacing w:after="240" w:line="480" w:lineRule="auto"/>
        <w:rPr>
          <w:rFonts w:ascii="Times New Roman" w:eastAsia="Times New Roman" w:hAnsi="Times New Roman" w:cs="Times New Roman"/>
          <w:sz w:val="19"/>
          <w:szCs w:val="19"/>
        </w:rPr>
      </w:pPr>
      <w:r>
        <w:rPr>
          <w:rFonts w:ascii="Times New Roman" w:eastAsia="Times New Roman" w:hAnsi="Times New Roman" w:cs="Times New Roman"/>
          <w:noProof/>
          <w:sz w:val="19"/>
          <w:szCs w:val="19"/>
        </w:rPr>
        <w:drawing>
          <wp:anchor distT="152400" distB="152400" distL="152400" distR="152400" simplePos="0" relativeHeight="251659264" behindDoc="0" locked="0" layoutInCell="1" allowOverlap="1" wp14:anchorId="4CF4C447" wp14:editId="651AADCF">
            <wp:simplePos x="0" y="0"/>
            <wp:positionH relativeFrom="page">
              <wp:posOffset>308610</wp:posOffset>
            </wp:positionH>
            <wp:positionV relativeFrom="line">
              <wp:posOffset>190505</wp:posOffset>
            </wp:positionV>
            <wp:extent cx="6116321" cy="3882431"/>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6">
                      <a:extLst/>
                    </a:blip>
                    <a:stretch>
                      <a:fillRect/>
                    </a:stretch>
                  </pic:blipFill>
                  <pic:spPr>
                    <a:xfrm>
                      <a:off x="0" y="0"/>
                      <a:ext cx="6116321" cy="3882431"/>
                    </a:xfrm>
                    <a:prstGeom prst="rect">
                      <a:avLst/>
                    </a:prstGeom>
                    <a:ln w="12700" cap="flat">
                      <a:noFill/>
                      <a:miter lim="400000"/>
                    </a:ln>
                    <a:effectLst/>
                  </pic:spPr>
                </pic:pic>
              </a:graphicData>
            </a:graphic>
          </wp:anchor>
        </w:drawing>
      </w:r>
    </w:p>
    <w:p w14:paraId="1B349BB8" w14:textId="77777777" w:rsidR="009A55E1" w:rsidRDefault="009A55E1">
      <w:pPr>
        <w:pStyle w:val="Default"/>
        <w:spacing w:after="240" w:line="480" w:lineRule="auto"/>
        <w:rPr>
          <w:rFonts w:ascii="Times New Roman" w:eastAsia="Times New Roman" w:hAnsi="Times New Roman" w:cs="Times New Roman"/>
          <w:sz w:val="19"/>
          <w:szCs w:val="19"/>
        </w:rPr>
      </w:pPr>
    </w:p>
    <w:p w14:paraId="4C46A355" w14:textId="77777777" w:rsidR="009A55E1" w:rsidRDefault="007A6070">
      <w:pPr>
        <w:pStyle w:val="Default"/>
        <w:spacing w:after="240" w:line="480" w:lineRule="auto"/>
      </w:pPr>
      <w:r>
        <w:rPr>
          <w:rFonts w:ascii="Times New Roman" w:hAnsi="Times New Roman"/>
          <w:b/>
          <w:bCs/>
          <w:sz w:val="19"/>
          <w:szCs w:val="19"/>
        </w:rPr>
        <w:t>Fig.1.</w:t>
      </w:r>
      <w:r>
        <w:rPr>
          <w:rFonts w:ascii="Times New Roman" w:hAnsi="Times New Roman"/>
          <w:sz w:val="19"/>
          <w:szCs w:val="19"/>
        </w:rPr>
        <w:t xml:space="preserve"> Summary of all CD4 counts over time. Each patient is indicated by a </w:t>
      </w:r>
      <w:proofErr w:type="spellStart"/>
      <w:r>
        <w:rPr>
          <w:rFonts w:ascii="Times New Roman" w:hAnsi="Times New Roman"/>
          <w:sz w:val="19"/>
          <w:szCs w:val="19"/>
        </w:rPr>
        <w:t>coloured</w:t>
      </w:r>
      <w:proofErr w:type="spellEnd"/>
      <w:r>
        <w:rPr>
          <w:rFonts w:ascii="Times New Roman" w:hAnsi="Times New Roman"/>
          <w:sz w:val="19"/>
          <w:szCs w:val="19"/>
        </w:rPr>
        <w:t xml:space="preserve"> line, with grey horizontal lines indicating the three age-dependent study defined cut-offs for low CD4. Period of </w:t>
      </w:r>
      <w:r>
        <w:rPr>
          <w:rFonts w:ascii="Times New Roman" w:hAnsi="Times New Roman"/>
          <w:sz w:val="19"/>
          <w:szCs w:val="19"/>
        </w:rPr>
        <w:t>‘</w:t>
      </w:r>
      <w:r>
        <w:rPr>
          <w:rFonts w:ascii="Times New Roman" w:hAnsi="Times New Roman"/>
          <w:sz w:val="19"/>
          <w:szCs w:val="19"/>
        </w:rPr>
        <w:t>CD4 count recovery</w:t>
      </w:r>
      <w:r>
        <w:rPr>
          <w:rFonts w:ascii="Times New Roman" w:hAnsi="Times New Roman"/>
          <w:sz w:val="19"/>
          <w:szCs w:val="19"/>
        </w:rPr>
        <w:t xml:space="preserve">’ </w:t>
      </w:r>
      <w:r>
        <w:rPr>
          <w:rFonts w:ascii="Times New Roman" w:hAnsi="Times New Roman"/>
          <w:sz w:val="19"/>
          <w:szCs w:val="19"/>
        </w:rPr>
        <w:t>illustrated by upward trend of individual p</w:t>
      </w:r>
      <w:r>
        <w:rPr>
          <w:rFonts w:ascii="Times New Roman" w:hAnsi="Times New Roman"/>
          <w:sz w:val="19"/>
          <w:szCs w:val="19"/>
        </w:rPr>
        <w:t>atients.</w:t>
      </w:r>
    </w:p>
    <w:sectPr w:rsidR="009A55E1">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6C532" w14:textId="77777777" w:rsidR="007A6070" w:rsidRDefault="007A6070">
      <w:r>
        <w:separator/>
      </w:r>
    </w:p>
  </w:endnote>
  <w:endnote w:type="continuationSeparator" w:id="0">
    <w:p w14:paraId="310826DD" w14:textId="77777777" w:rsidR="007A6070" w:rsidRDefault="007A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1DD1C" w14:textId="77777777" w:rsidR="009A55E1" w:rsidRDefault="009A55E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1217" w14:textId="77777777" w:rsidR="007A6070" w:rsidRDefault="007A6070">
      <w:r>
        <w:separator/>
      </w:r>
    </w:p>
  </w:footnote>
  <w:footnote w:type="continuationSeparator" w:id="0">
    <w:p w14:paraId="4454DE3E" w14:textId="77777777" w:rsidR="007A6070" w:rsidRDefault="007A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2B14" w14:textId="77777777" w:rsidR="009A55E1" w:rsidRDefault="009A55E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5E1"/>
    <w:rsid w:val="00312897"/>
    <w:rsid w:val="007A6070"/>
    <w:rsid w:val="009A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A68E86"/>
  <w15:docId w15:val="{A0FA7BBA-D39D-404E-88B1-E1EF04D1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810</Words>
  <Characters>4619</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Dagan Lonsdale</cp:lastModifiedBy>
  <cp:revision>2</cp:revision>
  <dcterms:created xsi:type="dcterms:W3CDTF">2020-08-07T08:15:00Z</dcterms:created>
  <dcterms:modified xsi:type="dcterms:W3CDTF">2020-08-07T08:15:00Z</dcterms:modified>
</cp:coreProperties>
</file>