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544E4" w14:textId="541BF079" w:rsidR="001713CD" w:rsidRPr="00AE5DD7" w:rsidRDefault="001713CD" w:rsidP="00AE5DD7">
      <w:pPr>
        <w:spacing w:line="480" w:lineRule="auto"/>
        <w:jc w:val="both"/>
        <w:rPr>
          <w:rFonts w:ascii="Arial" w:hAnsi="Arial" w:cs="Arial"/>
          <w:sz w:val="24"/>
          <w:szCs w:val="24"/>
        </w:rPr>
      </w:pPr>
      <w:bookmarkStart w:id="0" w:name="_Toc502516454"/>
      <w:bookmarkStart w:id="1" w:name="_Toc523073389"/>
      <w:bookmarkStart w:id="2" w:name="_Hlk497661476"/>
      <w:bookmarkStart w:id="3" w:name="_Toc487556371"/>
      <w:r>
        <w:rPr>
          <w:rFonts w:ascii="Arial" w:hAnsi="Arial" w:cs="Arial"/>
          <w:b/>
          <w:bCs/>
          <w:sz w:val="24"/>
          <w:szCs w:val="24"/>
        </w:rPr>
        <w:t xml:space="preserve">Title: </w:t>
      </w:r>
      <w:r w:rsidR="00F7151B" w:rsidRPr="00F7151B">
        <w:rPr>
          <w:rFonts w:ascii="Arial" w:hAnsi="Arial" w:cs="Arial"/>
          <w:sz w:val="24"/>
          <w:szCs w:val="24"/>
        </w:rPr>
        <w:t>The role of whole genome sequencing in characterizing the mechanism of action of para-aminosalicylic acid and its resistance</w:t>
      </w:r>
    </w:p>
    <w:p w14:paraId="1980A88F" w14:textId="77777777" w:rsidR="001713CD" w:rsidRPr="00AE5DD7" w:rsidRDefault="001713CD" w:rsidP="00AE5DD7">
      <w:pPr>
        <w:spacing w:line="480" w:lineRule="auto"/>
        <w:jc w:val="both"/>
        <w:rPr>
          <w:rFonts w:ascii="Arial" w:hAnsi="Arial" w:cs="Arial"/>
          <w:b/>
          <w:bCs/>
          <w:sz w:val="24"/>
          <w:szCs w:val="24"/>
        </w:rPr>
      </w:pPr>
    </w:p>
    <w:p w14:paraId="77CF4598" w14:textId="77777777" w:rsidR="001713CD" w:rsidRPr="00AE5DD7" w:rsidRDefault="001713CD" w:rsidP="00AE5DD7">
      <w:pPr>
        <w:spacing w:line="480" w:lineRule="auto"/>
        <w:jc w:val="both"/>
        <w:rPr>
          <w:rFonts w:ascii="Arial" w:hAnsi="Arial" w:cs="Arial"/>
          <w:b/>
          <w:bCs/>
          <w:sz w:val="24"/>
          <w:szCs w:val="24"/>
        </w:rPr>
      </w:pPr>
      <w:r w:rsidRPr="00AE5DD7">
        <w:rPr>
          <w:rFonts w:ascii="Arial" w:hAnsi="Arial" w:cs="Arial"/>
          <w:b/>
          <w:bCs/>
          <w:sz w:val="24"/>
          <w:szCs w:val="24"/>
        </w:rPr>
        <w:t xml:space="preserve">Authors: </w:t>
      </w:r>
    </w:p>
    <w:p w14:paraId="65ADDBA4" w14:textId="77777777" w:rsidR="001713CD" w:rsidRPr="00AE5DD7" w:rsidRDefault="001713CD" w:rsidP="00AE5DD7">
      <w:pPr>
        <w:spacing w:line="480" w:lineRule="auto"/>
        <w:jc w:val="both"/>
        <w:rPr>
          <w:rFonts w:ascii="Arial" w:hAnsi="Arial" w:cs="Arial"/>
          <w:sz w:val="24"/>
          <w:szCs w:val="24"/>
        </w:rPr>
      </w:pPr>
      <w:r w:rsidRPr="00AE5DD7">
        <w:rPr>
          <w:rFonts w:ascii="Arial" w:hAnsi="Arial" w:cs="Arial"/>
          <w:sz w:val="24"/>
          <w:szCs w:val="24"/>
        </w:rPr>
        <w:t>Giovanni Satta</w:t>
      </w:r>
      <w:r w:rsidRPr="00AE5DD7">
        <w:rPr>
          <w:rFonts w:ascii="Arial" w:hAnsi="Arial" w:cs="Arial"/>
          <w:sz w:val="24"/>
          <w:szCs w:val="24"/>
          <w:vertAlign w:val="superscript"/>
        </w:rPr>
        <w:t>1,2</w:t>
      </w:r>
      <w:r w:rsidRPr="00AE5DD7">
        <w:rPr>
          <w:rFonts w:ascii="Arial" w:hAnsi="Arial" w:cs="Arial"/>
          <w:sz w:val="24"/>
          <w:szCs w:val="24"/>
        </w:rPr>
        <w:t>, Adam A. Witney</w:t>
      </w:r>
      <w:r w:rsidRPr="00AE5DD7">
        <w:rPr>
          <w:rFonts w:ascii="Arial" w:hAnsi="Arial" w:cs="Arial"/>
          <w:sz w:val="24"/>
          <w:szCs w:val="24"/>
          <w:vertAlign w:val="superscript"/>
        </w:rPr>
        <w:t>3</w:t>
      </w:r>
      <w:r w:rsidRPr="00AE5DD7">
        <w:rPr>
          <w:rFonts w:ascii="Arial" w:hAnsi="Arial" w:cs="Arial"/>
          <w:sz w:val="24"/>
          <w:szCs w:val="24"/>
        </w:rPr>
        <w:t>, Neelu Begum</w:t>
      </w:r>
      <w:r w:rsidRPr="00AE5DD7">
        <w:rPr>
          <w:rFonts w:ascii="Arial" w:hAnsi="Arial" w:cs="Arial"/>
          <w:sz w:val="24"/>
          <w:szCs w:val="24"/>
          <w:vertAlign w:val="superscript"/>
        </w:rPr>
        <w:t>1</w:t>
      </w:r>
      <w:r w:rsidRPr="00AE5DD7">
        <w:rPr>
          <w:rFonts w:ascii="Arial" w:hAnsi="Arial" w:cs="Arial"/>
          <w:sz w:val="24"/>
          <w:szCs w:val="24"/>
        </w:rPr>
        <w:t>, Julio Ortiz Canseco</w:t>
      </w:r>
      <w:r w:rsidRPr="00AE5DD7">
        <w:rPr>
          <w:rFonts w:ascii="Arial" w:hAnsi="Arial" w:cs="Arial"/>
          <w:sz w:val="24"/>
          <w:szCs w:val="24"/>
          <w:vertAlign w:val="superscript"/>
        </w:rPr>
        <w:t>1</w:t>
      </w:r>
      <w:r w:rsidRPr="00AE5DD7">
        <w:rPr>
          <w:rFonts w:ascii="Arial" w:hAnsi="Arial" w:cs="Arial"/>
          <w:sz w:val="24"/>
          <w:szCs w:val="24"/>
        </w:rPr>
        <w:t>, Andrew N. Boa</w:t>
      </w:r>
      <w:r w:rsidRPr="00AE5DD7">
        <w:rPr>
          <w:rFonts w:ascii="Arial" w:hAnsi="Arial" w:cs="Arial"/>
          <w:sz w:val="24"/>
          <w:szCs w:val="24"/>
          <w:vertAlign w:val="superscript"/>
        </w:rPr>
        <w:t>4</w:t>
      </w:r>
      <w:r w:rsidRPr="00AE5DD7">
        <w:rPr>
          <w:rFonts w:ascii="Arial" w:hAnsi="Arial" w:cs="Arial"/>
          <w:sz w:val="24"/>
          <w:szCs w:val="24"/>
        </w:rPr>
        <w:t>, Timothy D. McHugh</w:t>
      </w:r>
      <w:bookmarkEnd w:id="0"/>
      <w:bookmarkEnd w:id="1"/>
      <w:r w:rsidRPr="00AE5DD7">
        <w:rPr>
          <w:rFonts w:ascii="Arial" w:hAnsi="Arial" w:cs="Arial"/>
          <w:sz w:val="24"/>
          <w:szCs w:val="24"/>
          <w:vertAlign w:val="superscript"/>
        </w:rPr>
        <w:t>1</w:t>
      </w:r>
    </w:p>
    <w:p w14:paraId="59D0137E" w14:textId="77777777" w:rsidR="001713CD" w:rsidRPr="00AE5DD7" w:rsidRDefault="001713CD" w:rsidP="00AE5DD7">
      <w:pPr>
        <w:spacing w:line="480" w:lineRule="auto"/>
        <w:jc w:val="both"/>
        <w:rPr>
          <w:rFonts w:ascii="Arial" w:hAnsi="Arial" w:cs="Arial"/>
          <w:b/>
          <w:bCs/>
          <w:sz w:val="24"/>
          <w:szCs w:val="24"/>
        </w:rPr>
      </w:pPr>
    </w:p>
    <w:p w14:paraId="1E88BEB7" w14:textId="77777777" w:rsidR="001713CD" w:rsidRPr="00AE5DD7" w:rsidRDefault="001713CD" w:rsidP="00AE5DD7">
      <w:pPr>
        <w:spacing w:line="480" w:lineRule="auto"/>
        <w:jc w:val="both"/>
        <w:rPr>
          <w:rFonts w:ascii="Arial" w:hAnsi="Arial" w:cs="Arial"/>
          <w:b/>
          <w:bCs/>
          <w:sz w:val="24"/>
          <w:szCs w:val="24"/>
        </w:rPr>
      </w:pPr>
      <w:r w:rsidRPr="00AE5DD7">
        <w:rPr>
          <w:rFonts w:ascii="Arial" w:hAnsi="Arial" w:cs="Arial"/>
          <w:b/>
          <w:bCs/>
          <w:sz w:val="24"/>
          <w:szCs w:val="24"/>
        </w:rPr>
        <w:t>Affiliations:</w:t>
      </w:r>
    </w:p>
    <w:p w14:paraId="7F092235" w14:textId="77777777" w:rsidR="001713CD" w:rsidRPr="00AE5DD7" w:rsidRDefault="001713CD" w:rsidP="00AE5DD7">
      <w:pPr>
        <w:spacing w:line="480" w:lineRule="auto"/>
        <w:jc w:val="both"/>
        <w:rPr>
          <w:rFonts w:ascii="Arial" w:hAnsi="Arial" w:cs="Arial"/>
          <w:sz w:val="24"/>
          <w:szCs w:val="24"/>
        </w:rPr>
      </w:pPr>
      <w:r w:rsidRPr="00AE5DD7">
        <w:rPr>
          <w:rFonts w:ascii="Arial" w:hAnsi="Arial" w:cs="Arial"/>
          <w:sz w:val="24"/>
          <w:szCs w:val="24"/>
        </w:rPr>
        <w:t>1. Centre for Clinical Microbiology, University College London</w:t>
      </w:r>
    </w:p>
    <w:p w14:paraId="1C724025" w14:textId="77777777" w:rsidR="001713CD" w:rsidRPr="00AE5DD7" w:rsidRDefault="001713CD" w:rsidP="00AE5DD7">
      <w:pPr>
        <w:spacing w:line="480" w:lineRule="auto"/>
        <w:jc w:val="both"/>
        <w:rPr>
          <w:rFonts w:ascii="Arial" w:hAnsi="Arial" w:cs="Arial"/>
          <w:sz w:val="24"/>
          <w:szCs w:val="24"/>
        </w:rPr>
      </w:pPr>
      <w:r w:rsidRPr="00AE5DD7">
        <w:rPr>
          <w:rFonts w:ascii="Arial" w:hAnsi="Arial" w:cs="Arial"/>
          <w:sz w:val="24"/>
          <w:szCs w:val="24"/>
        </w:rPr>
        <w:t>2. Department of Infectious Disease, Imperial College London</w:t>
      </w:r>
    </w:p>
    <w:p w14:paraId="66138CB4" w14:textId="77777777" w:rsidR="001713CD" w:rsidRPr="00AE5DD7" w:rsidRDefault="001713CD" w:rsidP="00AE5DD7">
      <w:pPr>
        <w:spacing w:line="480" w:lineRule="auto"/>
        <w:jc w:val="both"/>
        <w:rPr>
          <w:rFonts w:ascii="Arial" w:hAnsi="Arial" w:cs="Arial"/>
          <w:sz w:val="24"/>
          <w:szCs w:val="24"/>
        </w:rPr>
      </w:pPr>
      <w:r w:rsidRPr="00AE5DD7">
        <w:rPr>
          <w:rFonts w:ascii="Arial" w:hAnsi="Arial" w:cs="Arial"/>
          <w:sz w:val="24"/>
          <w:szCs w:val="24"/>
        </w:rPr>
        <w:t>3. Institute for Infection and Immunity, St George's University of London</w:t>
      </w:r>
    </w:p>
    <w:p w14:paraId="1709B740" w14:textId="77777777" w:rsidR="001713CD" w:rsidRPr="00AE5DD7" w:rsidRDefault="001713CD" w:rsidP="00AE5DD7">
      <w:pPr>
        <w:spacing w:line="480" w:lineRule="auto"/>
        <w:jc w:val="both"/>
        <w:rPr>
          <w:rFonts w:ascii="Arial" w:hAnsi="Arial" w:cs="Arial"/>
          <w:sz w:val="24"/>
          <w:szCs w:val="24"/>
        </w:rPr>
      </w:pPr>
      <w:r w:rsidRPr="00AE5DD7">
        <w:rPr>
          <w:rFonts w:ascii="Arial" w:hAnsi="Arial" w:cs="Arial"/>
          <w:sz w:val="24"/>
          <w:szCs w:val="24"/>
        </w:rPr>
        <w:t>4. Department of Chemistry, University of Hull</w:t>
      </w:r>
    </w:p>
    <w:p w14:paraId="6AC7CE44" w14:textId="77777777" w:rsidR="001713CD" w:rsidRPr="00AE5DD7" w:rsidRDefault="001713CD" w:rsidP="00AE5DD7">
      <w:pPr>
        <w:spacing w:line="480" w:lineRule="auto"/>
        <w:jc w:val="both"/>
        <w:rPr>
          <w:rFonts w:ascii="Arial" w:hAnsi="Arial" w:cs="Arial"/>
          <w:b/>
          <w:bCs/>
          <w:sz w:val="24"/>
          <w:szCs w:val="24"/>
        </w:rPr>
      </w:pPr>
    </w:p>
    <w:p w14:paraId="0E40F381" w14:textId="77777777" w:rsidR="001713CD" w:rsidRPr="00AE5DD7" w:rsidRDefault="001713CD" w:rsidP="00AE5DD7">
      <w:pPr>
        <w:spacing w:line="480" w:lineRule="auto"/>
        <w:jc w:val="both"/>
        <w:rPr>
          <w:rFonts w:ascii="Arial" w:hAnsi="Arial" w:cs="Arial"/>
          <w:b/>
          <w:bCs/>
          <w:sz w:val="24"/>
          <w:szCs w:val="24"/>
        </w:rPr>
      </w:pPr>
      <w:r w:rsidRPr="00AE5DD7">
        <w:rPr>
          <w:rFonts w:ascii="Arial" w:hAnsi="Arial" w:cs="Arial"/>
          <w:b/>
          <w:bCs/>
          <w:sz w:val="24"/>
          <w:szCs w:val="24"/>
        </w:rPr>
        <w:t>Corresponding Author:</w:t>
      </w:r>
    </w:p>
    <w:p w14:paraId="6CCA4572" w14:textId="77777777" w:rsidR="001713CD" w:rsidRPr="00AE5DD7" w:rsidRDefault="001713CD" w:rsidP="00AE5DD7">
      <w:pPr>
        <w:pStyle w:val="NoSpacing"/>
        <w:spacing w:line="480" w:lineRule="auto"/>
        <w:jc w:val="both"/>
        <w:rPr>
          <w:rFonts w:ascii="Arial" w:hAnsi="Arial" w:cs="Arial"/>
          <w:sz w:val="24"/>
          <w:szCs w:val="24"/>
        </w:rPr>
      </w:pPr>
      <w:r w:rsidRPr="00AE5DD7">
        <w:rPr>
          <w:rFonts w:ascii="Arial" w:hAnsi="Arial" w:cs="Arial"/>
          <w:sz w:val="24"/>
          <w:szCs w:val="24"/>
        </w:rPr>
        <w:t>Dr Giovanni Satta FRCPath MBBS MSc MBA PhD DTM&amp;H</w:t>
      </w:r>
    </w:p>
    <w:p w14:paraId="26D71F5A" w14:textId="77777777" w:rsidR="001713CD" w:rsidRPr="00AE5DD7" w:rsidRDefault="001713CD" w:rsidP="00AE5DD7">
      <w:pPr>
        <w:pStyle w:val="NoSpacing"/>
        <w:spacing w:line="480" w:lineRule="auto"/>
        <w:jc w:val="both"/>
        <w:rPr>
          <w:rFonts w:ascii="Arial" w:hAnsi="Arial" w:cs="Arial"/>
          <w:sz w:val="24"/>
          <w:szCs w:val="24"/>
        </w:rPr>
      </w:pPr>
      <w:r w:rsidRPr="00AE5DD7">
        <w:rPr>
          <w:rFonts w:ascii="Arial" w:hAnsi="Arial" w:cs="Arial"/>
          <w:sz w:val="24"/>
          <w:szCs w:val="24"/>
        </w:rPr>
        <w:t>Consultant in infectious diseases and medical microbiology</w:t>
      </w:r>
    </w:p>
    <w:p w14:paraId="25DA79C4" w14:textId="77777777" w:rsidR="001713CD" w:rsidRPr="00AE5DD7" w:rsidRDefault="001713CD" w:rsidP="00AE5DD7">
      <w:pPr>
        <w:pStyle w:val="NoSpacing"/>
        <w:spacing w:line="480" w:lineRule="auto"/>
        <w:jc w:val="both"/>
        <w:rPr>
          <w:rFonts w:ascii="Arial" w:hAnsi="Arial" w:cs="Arial"/>
          <w:sz w:val="24"/>
          <w:szCs w:val="24"/>
        </w:rPr>
      </w:pPr>
      <w:r w:rsidRPr="00AE5DD7">
        <w:rPr>
          <w:rFonts w:ascii="Arial" w:hAnsi="Arial" w:cs="Arial"/>
          <w:sz w:val="24"/>
          <w:szCs w:val="24"/>
        </w:rPr>
        <w:t>Imperial College Healthcare NHS Trust, St. Mary's Hospital, Salton House, Level 3 - Room 15 London W2 1NY</w:t>
      </w:r>
    </w:p>
    <w:p w14:paraId="497E2546" w14:textId="77777777" w:rsidR="001713CD" w:rsidRPr="00AE5DD7" w:rsidRDefault="001713CD" w:rsidP="00AE5DD7">
      <w:pPr>
        <w:pStyle w:val="NoSpacing"/>
        <w:spacing w:line="480" w:lineRule="auto"/>
        <w:jc w:val="both"/>
        <w:rPr>
          <w:rFonts w:ascii="Arial" w:hAnsi="Arial" w:cs="Arial"/>
          <w:sz w:val="24"/>
          <w:szCs w:val="24"/>
        </w:rPr>
      </w:pPr>
      <w:r w:rsidRPr="00AE5DD7">
        <w:rPr>
          <w:rFonts w:ascii="Arial" w:hAnsi="Arial" w:cs="Arial"/>
          <w:sz w:val="24"/>
          <w:szCs w:val="24"/>
        </w:rPr>
        <w:t xml:space="preserve">Mobile: +447747814281 – Email: </w:t>
      </w:r>
      <w:hyperlink r:id="rId7" w:history="1">
        <w:r w:rsidRPr="00AE5DD7">
          <w:rPr>
            <w:rStyle w:val="Hyperlink"/>
            <w:rFonts w:ascii="Arial" w:hAnsi="Arial" w:cs="Arial"/>
            <w:sz w:val="24"/>
            <w:szCs w:val="24"/>
          </w:rPr>
          <w:t>giovanni.satta@nhs.net</w:t>
        </w:r>
      </w:hyperlink>
    </w:p>
    <w:p w14:paraId="1966F8E6" w14:textId="77777777" w:rsidR="00AF03B1" w:rsidRDefault="00AF03B1" w:rsidP="00AE5DD7">
      <w:pPr>
        <w:pStyle w:val="NoSpacing"/>
        <w:spacing w:line="480" w:lineRule="auto"/>
        <w:jc w:val="both"/>
        <w:rPr>
          <w:rFonts w:ascii="Arial" w:hAnsi="Arial" w:cs="Arial"/>
          <w:b/>
          <w:bCs/>
          <w:sz w:val="24"/>
          <w:szCs w:val="24"/>
        </w:rPr>
      </w:pPr>
    </w:p>
    <w:p w14:paraId="7DC4F612" w14:textId="77777777" w:rsidR="00AF03B1" w:rsidRDefault="00AF03B1" w:rsidP="00AE5DD7">
      <w:pPr>
        <w:pStyle w:val="NoSpacing"/>
        <w:spacing w:line="480" w:lineRule="auto"/>
        <w:jc w:val="both"/>
        <w:rPr>
          <w:rFonts w:ascii="Arial" w:hAnsi="Arial" w:cs="Arial"/>
          <w:b/>
          <w:bCs/>
          <w:sz w:val="24"/>
          <w:szCs w:val="24"/>
        </w:rPr>
      </w:pPr>
    </w:p>
    <w:p w14:paraId="769AA5A1" w14:textId="77777777" w:rsidR="00AF03B1" w:rsidRDefault="00AF03B1" w:rsidP="00AE5DD7">
      <w:pPr>
        <w:pStyle w:val="NoSpacing"/>
        <w:spacing w:line="480" w:lineRule="auto"/>
        <w:jc w:val="both"/>
        <w:rPr>
          <w:rFonts w:ascii="Arial" w:hAnsi="Arial" w:cs="Arial"/>
          <w:b/>
          <w:bCs/>
          <w:sz w:val="24"/>
          <w:szCs w:val="24"/>
        </w:rPr>
      </w:pPr>
    </w:p>
    <w:p w14:paraId="0768DCCE" w14:textId="08210A73" w:rsidR="001713CD" w:rsidRPr="00AE5DD7" w:rsidRDefault="001713CD" w:rsidP="00AE5DD7">
      <w:pPr>
        <w:pStyle w:val="NoSpacing"/>
        <w:spacing w:line="480" w:lineRule="auto"/>
        <w:jc w:val="both"/>
        <w:rPr>
          <w:rFonts w:ascii="Arial" w:hAnsi="Arial" w:cs="Arial"/>
          <w:sz w:val="24"/>
          <w:szCs w:val="24"/>
        </w:rPr>
      </w:pPr>
      <w:r w:rsidRPr="00AE5DD7">
        <w:rPr>
          <w:rFonts w:ascii="Arial" w:hAnsi="Arial" w:cs="Arial"/>
          <w:b/>
          <w:bCs/>
          <w:sz w:val="24"/>
          <w:szCs w:val="24"/>
        </w:rPr>
        <w:lastRenderedPageBreak/>
        <w:t>Abstract</w:t>
      </w:r>
    </w:p>
    <w:p w14:paraId="5CEB6D4D" w14:textId="77777777" w:rsidR="001713CD" w:rsidRPr="00AE5DD7" w:rsidRDefault="001713CD" w:rsidP="00AE5DD7">
      <w:pPr>
        <w:pStyle w:val="ListParagraph"/>
        <w:keepNext/>
        <w:keepLines/>
        <w:numPr>
          <w:ilvl w:val="0"/>
          <w:numId w:val="36"/>
        </w:numPr>
        <w:spacing w:before="400" w:after="40" w:line="480" w:lineRule="auto"/>
        <w:ind w:left="227" w:right="227" w:firstLine="0"/>
        <w:contextualSpacing w:val="0"/>
        <w:jc w:val="both"/>
        <w:outlineLvl w:val="0"/>
        <w:rPr>
          <w:rFonts w:ascii="Arial" w:eastAsiaTheme="majorEastAsia" w:hAnsi="Arial" w:cs="Arial"/>
          <w:vanish/>
          <w:sz w:val="24"/>
          <w:szCs w:val="24"/>
        </w:rPr>
      </w:pPr>
      <w:bookmarkStart w:id="4" w:name="_Toc502516455"/>
      <w:bookmarkStart w:id="5" w:name="_Toc502516646"/>
      <w:bookmarkStart w:id="6" w:name="_Toc502516929"/>
      <w:bookmarkStart w:id="7" w:name="_Toc502950781"/>
      <w:bookmarkStart w:id="8" w:name="_Toc504242641"/>
      <w:bookmarkStart w:id="9" w:name="_Toc504242793"/>
      <w:bookmarkStart w:id="10" w:name="_Toc504304221"/>
      <w:bookmarkStart w:id="11" w:name="_Toc504469477"/>
      <w:bookmarkStart w:id="12" w:name="_Toc504469750"/>
      <w:bookmarkStart w:id="13" w:name="_Toc504469903"/>
      <w:bookmarkStart w:id="14" w:name="_Toc504476378"/>
      <w:bookmarkStart w:id="15" w:name="_Toc504481167"/>
      <w:bookmarkStart w:id="16" w:name="_Toc504486567"/>
      <w:bookmarkStart w:id="17" w:name="_Toc504842309"/>
      <w:bookmarkStart w:id="18" w:name="_Toc504858055"/>
      <w:bookmarkStart w:id="19" w:name="_Toc504863314"/>
      <w:bookmarkStart w:id="20" w:name="_Toc504917260"/>
      <w:bookmarkStart w:id="21" w:name="_Toc504917700"/>
      <w:bookmarkStart w:id="22" w:name="_Toc504917866"/>
      <w:bookmarkStart w:id="23" w:name="_Toc504918033"/>
      <w:bookmarkStart w:id="24" w:name="_Toc504918200"/>
      <w:bookmarkStart w:id="25" w:name="_Toc504918366"/>
      <w:bookmarkStart w:id="26" w:name="_Toc504918531"/>
      <w:bookmarkStart w:id="27" w:name="_Toc504918700"/>
      <w:bookmarkStart w:id="28" w:name="_Toc504918867"/>
      <w:bookmarkStart w:id="29" w:name="_Toc504919028"/>
      <w:bookmarkStart w:id="30" w:name="_Toc504919198"/>
      <w:bookmarkStart w:id="31" w:name="_Toc504919367"/>
      <w:bookmarkStart w:id="32" w:name="_Toc504919535"/>
      <w:bookmarkStart w:id="33" w:name="_Toc504919704"/>
      <w:bookmarkStart w:id="34" w:name="_Toc504919872"/>
      <w:bookmarkStart w:id="35" w:name="_Toc504920041"/>
      <w:bookmarkStart w:id="36" w:name="_Toc504920210"/>
      <w:bookmarkStart w:id="37" w:name="_Toc504920378"/>
      <w:bookmarkStart w:id="38" w:name="_Toc504920550"/>
      <w:bookmarkStart w:id="39" w:name="_Toc504925792"/>
      <w:bookmarkStart w:id="40" w:name="_Toc504926017"/>
      <w:bookmarkStart w:id="41" w:name="_Toc504932317"/>
      <w:bookmarkStart w:id="42" w:name="_Toc505081600"/>
      <w:bookmarkStart w:id="43" w:name="_Toc505081776"/>
      <w:bookmarkStart w:id="44" w:name="_Toc508562647"/>
      <w:bookmarkStart w:id="45" w:name="_Toc522128046"/>
      <w:bookmarkStart w:id="46" w:name="_Toc522128237"/>
      <w:bookmarkStart w:id="47" w:name="_Toc523073390"/>
      <w:bookmarkStart w:id="48" w:name="_Toc50251646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ECD1217" w14:textId="77777777" w:rsidR="001713CD" w:rsidRPr="00AE5DD7" w:rsidRDefault="001713CD" w:rsidP="00AE5DD7">
      <w:pPr>
        <w:pStyle w:val="ListParagraph"/>
        <w:keepNext/>
        <w:keepLines/>
        <w:numPr>
          <w:ilvl w:val="0"/>
          <w:numId w:val="1"/>
        </w:numPr>
        <w:spacing w:before="400" w:after="40" w:line="480" w:lineRule="auto"/>
        <w:contextualSpacing w:val="0"/>
        <w:jc w:val="both"/>
        <w:outlineLvl w:val="0"/>
        <w:rPr>
          <w:rFonts w:ascii="Arial" w:eastAsiaTheme="majorEastAsia" w:hAnsi="Arial" w:cs="Arial"/>
          <w:vanish/>
          <w:color w:val="1F3864" w:themeColor="accent1" w:themeShade="80"/>
          <w:sz w:val="24"/>
          <w:szCs w:val="24"/>
        </w:rPr>
      </w:pPr>
      <w:bookmarkStart w:id="49" w:name="_Toc504858056"/>
      <w:bookmarkStart w:id="50" w:name="_Toc504863315"/>
      <w:bookmarkStart w:id="51" w:name="_Toc504917261"/>
      <w:bookmarkStart w:id="52" w:name="_Toc504917701"/>
      <w:bookmarkStart w:id="53" w:name="_Toc504917867"/>
      <w:bookmarkStart w:id="54" w:name="_Toc504918034"/>
      <w:bookmarkStart w:id="55" w:name="_Toc504918201"/>
      <w:bookmarkStart w:id="56" w:name="_Toc504918367"/>
      <w:bookmarkStart w:id="57" w:name="_Toc504918532"/>
      <w:bookmarkStart w:id="58" w:name="_Toc504918701"/>
      <w:bookmarkStart w:id="59" w:name="_Toc504918868"/>
      <w:bookmarkStart w:id="60" w:name="_Toc504919029"/>
      <w:bookmarkStart w:id="61" w:name="_Toc504919199"/>
      <w:bookmarkStart w:id="62" w:name="_Toc504919368"/>
      <w:bookmarkStart w:id="63" w:name="_Toc504919536"/>
      <w:bookmarkStart w:id="64" w:name="_Toc504919705"/>
      <w:bookmarkStart w:id="65" w:name="_Toc504919873"/>
      <w:bookmarkStart w:id="66" w:name="_Toc504920042"/>
      <w:bookmarkStart w:id="67" w:name="_Toc504920211"/>
      <w:bookmarkStart w:id="68" w:name="_Toc504920379"/>
      <w:bookmarkStart w:id="69" w:name="_Toc504920551"/>
      <w:bookmarkStart w:id="70" w:name="_Toc504925793"/>
      <w:bookmarkStart w:id="71" w:name="_Toc504926018"/>
      <w:bookmarkStart w:id="72" w:name="_Toc504932318"/>
      <w:bookmarkStart w:id="73" w:name="_Toc505081601"/>
      <w:bookmarkStart w:id="74" w:name="_Toc505081777"/>
      <w:bookmarkStart w:id="75" w:name="_Toc508562648"/>
      <w:bookmarkStart w:id="76" w:name="_Toc522128047"/>
      <w:bookmarkStart w:id="77" w:name="_Toc522128238"/>
      <w:bookmarkStart w:id="78" w:name="_Toc52307339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C3BE482" w14:textId="4C9100BD" w:rsidR="001713CD" w:rsidRPr="00AE5DD7" w:rsidRDefault="001713CD" w:rsidP="00AE5DD7">
      <w:pPr>
        <w:pStyle w:val="NoSpacing"/>
        <w:spacing w:line="480" w:lineRule="auto"/>
        <w:jc w:val="both"/>
        <w:rPr>
          <w:rFonts w:ascii="Arial" w:hAnsi="Arial" w:cs="Arial"/>
          <w:sz w:val="24"/>
          <w:szCs w:val="24"/>
        </w:rPr>
      </w:pPr>
      <w:bookmarkStart w:id="79" w:name="_Toc523073392"/>
      <w:r w:rsidRPr="00AE5DD7">
        <w:rPr>
          <w:rFonts w:ascii="Arial" w:hAnsi="Arial" w:cs="Arial"/>
          <w:sz w:val="24"/>
          <w:szCs w:val="24"/>
        </w:rPr>
        <w:t xml:space="preserve">Para-aminosalicylic acid (PAS) </w:t>
      </w:r>
      <w:r>
        <w:rPr>
          <w:rFonts w:ascii="Arial" w:hAnsi="Arial" w:cs="Arial"/>
          <w:sz w:val="24"/>
          <w:szCs w:val="24"/>
        </w:rPr>
        <w:t xml:space="preserve">remains </w:t>
      </w:r>
      <w:r w:rsidRPr="00AE5DD7">
        <w:rPr>
          <w:rFonts w:ascii="Arial" w:hAnsi="Arial" w:cs="Arial"/>
          <w:sz w:val="24"/>
          <w:szCs w:val="24"/>
        </w:rPr>
        <w:t>one of the drugs of last resort</w:t>
      </w:r>
      <w:r>
        <w:rPr>
          <w:rFonts w:ascii="Arial" w:hAnsi="Arial" w:cs="Arial"/>
          <w:sz w:val="24"/>
          <w:szCs w:val="24"/>
        </w:rPr>
        <w:t xml:space="preserve"> for the treatment of tuberculosis, but its </w:t>
      </w:r>
      <w:r w:rsidRPr="00AE5DD7">
        <w:rPr>
          <w:rFonts w:ascii="Arial" w:hAnsi="Arial" w:cs="Arial"/>
          <w:sz w:val="24"/>
          <w:szCs w:val="24"/>
        </w:rPr>
        <w:t xml:space="preserve">mechanism of action </w:t>
      </w:r>
      <w:r>
        <w:rPr>
          <w:rFonts w:ascii="Arial" w:hAnsi="Arial" w:cs="Arial"/>
          <w:sz w:val="24"/>
          <w:szCs w:val="24"/>
        </w:rPr>
        <w:t xml:space="preserve">is </w:t>
      </w:r>
      <w:r w:rsidRPr="00AE5DD7">
        <w:rPr>
          <w:rFonts w:ascii="Arial" w:hAnsi="Arial" w:cs="Arial"/>
          <w:sz w:val="24"/>
          <w:szCs w:val="24"/>
        </w:rPr>
        <w:t>not completely understood</w:t>
      </w:r>
      <w:r>
        <w:rPr>
          <w:rFonts w:ascii="Arial" w:hAnsi="Arial" w:cs="Arial"/>
          <w:sz w:val="24"/>
          <w:szCs w:val="24"/>
        </w:rPr>
        <w:t xml:space="preserve"> yet</w:t>
      </w:r>
      <w:r w:rsidRPr="00AE5DD7">
        <w:rPr>
          <w:rFonts w:ascii="Arial" w:hAnsi="Arial" w:cs="Arial"/>
          <w:sz w:val="24"/>
          <w:szCs w:val="24"/>
        </w:rPr>
        <w:t>. The main aim of this project was to identify new potential mechanisms of action and resistance to PAS by performing whole genome sequencing (WGS) on PAS-resistant laboratory mutants.</w:t>
      </w:r>
      <w:r>
        <w:rPr>
          <w:rFonts w:ascii="Arial" w:hAnsi="Arial" w:cs="Arial"/>
          <w:sz w:val="24"/>
          <w:szCs w:val="24"/>
        </w:rPr>
        <w:t xml:space="preserve"> </w:t>
      </w:r>
      <w:r w:rsidRPr="00AE5DD7">
        <w:rPr>
          <w:rFonts w:ascii="Arial" w:hAnsi="Arial" w:cs="Arial"/>
          <w:sz w:val="24"/>
          <w:szCs w:val="24"/>
        </w:rPr>
        <w:t xml:space="preserve">A new variant in the </w:t>
      </w:r>
      <w:r w:rsidRPr="00AE5DD7">
        <w:rPr>
          <w:rFonts w:ascii="Arial" w:hAnsi="Arial" w:cs="Arial"/>
          <w:i/>
          <w:iCs/>
          <w:sz w:val="24"/>
          <w:szCs w:val="24"/>
        </w:rPr>
        <w:t>folC</w:t>
      </w:r>
      <w:r w:rsidRPr="00AE5DD7">
        <w:rPr>
          <w:rFonts w:ascii="Arial" w:hAnsi="Arial" w:cs="Arial"/>
          <w:sz w:val="24"/>
          <w:szCs w:val="24"/>
        </w:rPr>
        <w:t xml:space="preserve"> gene has been identified as well as some other mutations that require further studies.  </w:t>
      </w:r>
      <w:r w:rsidRPr="00AE5DD7">
        <w:rPr>
          <w:rFonts w:ascii="Arial" w:hAnsi="Arial" w:cs="Arial"/>
          <w:sz w:val="24"/>
          <w:szCs w:val="24"/>
        </w:rPr>
        <w:br w:type="page"/>
      </w:r>
    </w:p>
    <w:bookmarkEnd w:id="48"/>
    <w:bookmarkEnd w:id="79"/>
    <w:p w14:paraId="10BA1523" w14:textId="3203D220" w:rsidR="001713CD" w:rsidRPr="00AE5DD7" w:rsidRDefault="001713CD" w:rsidP="00AE5DD7">
      <w:pPr>
        <w:spacing w:line="480" w:lineRule="auto"/>
        <w:ind w:right="227"/>
        <w:jc w:val="both"/>
        <w:rPr>
          <w:rFonts w:ascii="Arial" w:hAnsi="Arial" w:cs="Arial"/>
          <w:sz w:val="24"/>
          <w:szCs w:val="24"/>
          <w:shd w:val="clear" w:color="auto" w:fill="FFFFFF"/>
        </w:rPr>
      </w:pPr>
      <w:r w:rsidRPr="00AE5DD7">
        <w:rPr>
          <w:rFonts w:ascii="Arial" w:hAnsi="Arial" w:cs="Arial"/>
          <w:sz w:val="24"/>
          <w:szCs w:val="24"/>
          <w:shd w:val="clear" w:color="auto" w:fill="FFFFFF"/>
        </w:rPr>
        <w:lastRenderedPageBreak/>
        <w:t xml:space="preserve">Para-aminosalicylic acid (PAS), also known as 4-aminosalicylic acid, was one of the first </w:t>
      </w:r>
      <w:r w:rsidR="00DB712E" w:rsidRPr="00DB712E">
        <w:rPr>
          <w:rFonts w:ascii="Arial" w:hAnsi="Arial" w:cs="Arial"/>
          <w:sz w:val="24"/>
          <w:szCs w:val="24"/>
          <w:shd w:val="clear" w:color="auto" w:fill="FFFFFF"/>
        </w:rPr>
        <w:t>chemotherapeutic agent</w:t>
      </w:r>
      <w:r w:rsidR="00DB712E">
        <w:rPr>
          <w:rFonts w:ascii="Arial" w:hAnsi="Arial" w:cs="Arial"/>
          <w:sz w:val="24"/>
          <w:szCs w:val="24"/>
          <w:shd w:val="clear" w:color="auto" w:fill="FFFFFF"/>
        </w:rPr>
        <w:t xml:space="preserve">s </w:t>
      </w:r>
      <w:r w:rsidRPr="00AE5DD7">
        <w:rPr>
          <w:rFonts w:ascii="Arial" w:hAnsi="Arial" w:cs="Arial"/>
          <w:sz w:val="24"/>
          <w:szCs w:val="24"/>
          <w:shd w:val="clear" w:color="auto" w:fill="FFFFFF"/>
        </w:rPr>
        <w:t xml:space="preserve">to be used against tuberculosis (TB) and it </w:t>
      </w:r>
      <w:r w:rsidR="00F7151B">
        <w:rPr>
          <w:rFonts w:ascii="Arial" w:hAnsi="Arial" w:cs="Arial"/>
          <w:sz w:val="24"/>
          <w:szCs w:val="24"/>
          <w:shd w:val="clear" w:color="auto" w:fill="FFFFFF"/>
        </w:rPr>
        <w:t>is currently an orphan drug only</w:t>
      </w:r>
      <w:r w:rsidRPr="00AE5DD7">
        <w:rPr>
          <w:rFonts w:ascii="Arial" w:hAnsi="Arial" w:cs="Arial"/>
          <w:sz w:val="24"/>
          <w:szCs w:val="24"/>
          <w:shd w:val="clear" w:color="auto" w:fill="FFFFFF"/>
        </w:rPr>
        <w:t xml:space="preserve"> available to treat extensively drug-resistant </w:t>
      </w:r>
      <w:proofErr w:type="gramStart"/>
      <w:r w:rsidRPr="00AE5DD7">
        <w:rPr>
          <w:rFonts w:ascii="Arial" w:hAnsi="Arial" w:cs="Arial"/>
          <w:sz w:val="24"/>
          <w:szCs w:val="24"/>
          <w:shd w:val="clear" w:color="auto" w:fill="FFFFFF"/>
        </w:rPr>
        <w:t>disease</w:t>
      </w:r>
      <w:r w:rsidR="00357CA5">
        <w:rPr>
          <w:rFonts w:ascii="Arial" w:hAnsi="Arial" w:cs="Arial"/>
          <w:sz w:val="24"/>
          <w:szCs w:val="24"/>
          <w:shd w:val="clear" w:color="auto" w:fill="FFFFFF"/>
        </w:rPr>
        <w:t>[</w:t>
      </w:r>
      <w:proofErr w:type="gramEnd"/>
      <w:r w:rsidR="00357CA5">
        <w:rPr>
          <w:rFonts w:ascii="Arial" w:hAnsi="Arial" w:cs="Arial"/>
          <w:sz w:val="24"/>
          <w:szCs w:val="24"/>
          <w:shd w:val="clear" w:color="auto" w:fill="FFFFFF"/>
        </w:rPr>
        <w:t>1]</w:t>
      </w:r>
      <w:r w:rsidRPr="00AE5DD7">
        <w:rPr>
          <w:rFonts w:ascii="Arial" w:hAnsi="Arial" w:cs="Arial"/>
          <w:sz w:val="24"/>
          <w:szCs w:val="24"/>
          <w:shd w:val="clear" w:color="auto" w:fill="FFFFFF"/>
        </w:rPr>
        <w:t xml:space="preserve">. Despite being </w:t>
      </w:r>
      <w:r w:rsidR="00F7151B">
        <w:rPr>
          <w:rFonts w:ascii="Arial" w:hAnsi="Arial" w:cs="Arial"/>
          <w:sz w:val="24"/>
          <w:szCs w:val="24"/>
          <w:shd w:val="clear" w:color="auto" w:fill="FFFFFF"/>
        </w:rPr>
        <w:t>used</w:t>
      </w:r>
      <w:r w:rsidRPr="00AE5DD7">
        <w:rPr>
          <w:rFonts w:ascii="Arial" w:hAnsi="Arial" w:cs="Arial"/>
          <w:sz w:val="24"/>
          <w:szCs w:val="24"/>
          <w:shd w:val="clear" w:color="auto" w:fill="FFFFFF"/>
        </w:rPr>
        <w:t xml:space="preserve"> for decades, </w:t>
      </w:r>
      <w:r>
        <w:rPr>
          <w:rFonts w:ascii="Arial" w:hAnsi="Arial" w:cs="Arial"/>
          <w:sz w:val="24"/>
          <w:szCs w:val="24"/>
          <w:shd w:val="clear" w:color="auto" w:fill="FFFFFF"/>
        </w:rPr>
        <w:t xml:space="preserve">its </w:t>
      </w:r>
      <w:r w:rsidRPr="00AE5DD7">
        <w:rPr>
          <w:rFonts w:ascii="Arial" w:hAnsi="Arial" w:cs="Arial"/>
          <w:sz w:val="24"/>
          <w:szCs w:val="24"/>
          <w:shd w:val="clear" w:color="auto" w:fill="FFFFFF"/>
        </w:rPr>
        <w:t xml:space="preserve">mechanism of action is not completely understood. It has been proposed that, being an analogue of para-amino benzoic acid (PABA), PAS competes with PABA for dihydropteroate synthase, interfering in the process of folate </w:t>
      </w:r>
      <w:proofErr w:type="gramStart"/>
      <w:r w:rsidRPr="00AE5DD7">
        <w:rPr>
          <w:rFonts w:ascii="Arial" w:hAnsi="Arial" w:cs="Arial"/>
          <w:sz w:val="24"/>
          <w:szCs w:val="24"/>
          <w:shd w:val="clear" w:color="auto" w:fill="FFFFFF"/>
        </w:rPr>
        <w:t>synthesis</w:t>
      </w:r>
      <w:r>
        <w:rPr>
          <w:rFonts w:ascii="Arial" w:hAnsi="Arial" w:cs="Arial"/>
          <w:noProof/>
          <w:sz w:val="24"/>
          <w:szCs w:val="24"/>
          <w:shd w:val="clear" w:color="auto" w:fill="FFFFFF"/>
        </w:rPr>
        <w:t>[</w:t>
      </w:r>
      <w:proofErr w:type="gramEnd"/>
      <w:r w:rsidR="00357CA5">
        <w:rPr>
          <w:rFonts w:ascii="Arial" w:hAnsi="Arial" w:cs="Arial"/>
          <w:noProof/>
          <w:sz w:val="24"/>
          <w:szCs w:val="24"/>
          <w:shd w:val="clear" w:color="auto" w:fill="FFFFFF"/>
        </w:rPr>
        <w:t>2</w:t>
      </w:r>
      <w:r>
        <w:rPr>
          <w:rFonts w:ascii="Arial" w:hAnsi="Arial" w:cs="Arial"/>
          <w:noProof/>
          <w:sz w:val="24"/>
          <w:szCs w:val="24"/>
          <w:shd w:val="clear" w:color="auto" w:fill="FFFFFF"/>
        </w:rPr>
        <w:t>]</w:t>
      </w:r>
      <w:r w:rsidRPr="00AE5DD7">
        <w:rPr>
          <w:rFonts w:ascii="Arial" w:hAnsi="Arial" w:cs="Arial"/>
          <w:sz w:val="24"/>
          <w:szCs w:val="24"/>
          <w:shd w:val="clear" w:color="auto" w:fill="FFFFFF"/>
        </w:rPr>
        <w:t>. A study using transposon mutagenesis identified mutations in the </w:t>
      </w:r>
      <w:r w:rsidRPr="00AE5DD7">
        <w:rPr>
          <w:rFonts w:ascii="Arial" w:hAnsi="Arial" w:cs="Arial"/>
          <w:i/>
          <w:iCs/>
          <w:sz w:val="24"/>
          <w:szCs w:val="24"/>
          <w:shd w:val="clear" w:color="auto" w:fill="FFFFFF"/>
        </w:rPr>
        <w:t>thyA</w:t>
      </w:r>
      <w:r w:rsidRPr="00AE5DD7">
        <w:rPr>
          <w:rFonts w:ascii="Arial" w:hAnsi="Arial" w:cs="Arial"/>
          <w:sz w:val="24"/>
          <w:szCs w:val="24"/>
          <w:shd w:val="clear" w:color="auto" w:fill="FFFFFF"/>
        </w:rPr>
        <w:t> gene that were also present in clinical isolates resistant to PAS</w:t>
      </w:r>
      <w:r w:rsidRPr="00AE5DD7">
        <w:rPr>
          <w:rStyle w:val="xmsoendnotereference"/>
          <w:rFonts w:ascii="Arial" w:hAnsi="Arial" w:cs="Arial"/>
          <w:b/>
          <w:bCs/>
          <w:sz w:val="24"/>
          <w:szCs w:val="24"/>
          <w:vertAlign w:val="superscript"/>
        </w:rPr>
        <w:t xml:space="preserve"> </w:t>
      </w:r>
      <w:r>
        <w:rPr>
          <w:rStyle w:val="xmsoendnotereference"/>
          <w:rFonts w:ascii="Arial" w:hAnsi="Arial" w:cs="Arial"/>
          <w:bCs/>
          <w:noProof/>
          <w:sz w:val="24"/>
          <w:szCs w:val="24"/>
        </w:rPr>
        <w:t>[</w:t>
      </w:r>
      <w:r w:rsidR="00357CA5">
        <w:rPr>
          <w:rStyle w:val="xmsoendnotereference"/>
          <w:rFonts w:ascii="Arial" w:hAnsi="Arial" w:cs="Arial"/>
          <w:bCs/>
          <w:noProof/>
          <w:sz w:val="24"/>
          <w:szCs w:val="24"/>
        </w:rPr>
        <w:t>3</w:t>
      </w:r>
      <w:r>
        <w:rPr>
          <w:rStyle w:val="xmsoendnotereference"/>
          <w:rFonts w:ascii="Arial" w:hAnsi="Arial" w:cs="Arial"/>
          <w:bCs/>
          <w:noProof/>
          <w:sz w:val="24"/>
          <w:szCs w:val="24"/>
        </w:rPr>
        <w:t>]</w:t>
      </w:r>
      <w:r w:rsidRPr="00AE5DD7">
        <w:rPr>
          <w:rFonts w:ascii="Arial" w:hAnsi="Arial" w:cs="Arial"/>
          <w:sz w:val="24"/>
          <w:szCs w:val="24"/>
          <w:shd w:val="clear" w:color="auto" w:fill="FFFFFF"/>
        </w:rPr>
        <w:t xml:space="preserve">. The gene </w:t>
      </w:r>
      <w:r w:rsidRPr="00AE5DD7">
        <w:rPr>
          <w:rFonts w:ascii="Arial" w:hAnsi="Arial" w:cs="Arial"/>
          <w:i/>
          <w:sz w:val="24"/>
          <w:szCs w:val="24"/>
          <w:shd w:val="clear" w:color="auto" w:fill="FFFFFF"/>
        </w:rPr>
        <w:t>thyA</w:t>
      </w:r>
      <w:r w:rsidRPr="00AE5DD7">
        <w:rPr>
          <w:rFonts w:ascii="Arial" w:hAnsi="Arial" w:cs="Arial"/>
          <w:sz w:val="24"/>
          <w:szCs w:val="24"/>
          <w:shd w:val="clear" w:color="auto" w:fill="FFFFFF"/>
        </w:rPr>
        <w:t xml:space="preserve"> encodes for a thymidylate synthase enzyme (essential for DNA replication and repair) and its deletion has been demonstrated to confer resistance to </w:t>
      </w:r>
      <w:proofErr w:type="gramStart"/>
      <w:r w:rsidRPr="00AE5DD7">
        <w:rPr>
          <w:rFonts w:ascii="Arial" w:hAnsi="Arial" w:cs="Arial"/>
          <w:sz w:val="24"/>
          <w:szCs w:val="24"/>
          <w:shd w:val="clear" w:color="auto" w:fill="FFFFFF"/>
        </w:rPr>
        <w:t>PAS</w:t>
      </w:r>
      <w:r>
        <w:rPr>
          <w:rFonts w:ascii="Arial" w:hAnsi="Arial" w:cs="Arial"/>
          <w:noProof/>
          <w:sz w:val="24"/>
          <w:szCs w:val="24"/>
          <w:shd w:val="clear" w:color="auto" w:fill="FFFFFF"/>
        </w:rPr>
        <w:t>[</w:t>
      </w:r>
      <w:proofErr w:type="gramEnd"/>
      <w:r w:rsidR="00357CA5">
        <w:rPr>
          <w:rFonts w:ascii="Arial" w:hAnsi="Arial" w:cs="Arial"/>
          <w:noProof/>
          <w:sz w:val="24"/>
          <w:szCs w:val="24"/>
          <w:shd w:val="clear" w:color="auto" w:fill="FFFFFF"/>
        </w:rPr>
        <w:t>4</w:t>
      </w:r>
      <w:r>
        <w:rPr>
          <w:rFonts w:ascii="Arial" w:hAnsi="Arial" w:cs="Arial"/>
          <w:noProof/>
          <w:sz w:val="24"/>
          <w:szCs w:val="24"/>
          <w:shd w:val="clear" w:color="auto" w:fill="FFFFFF"/>
        </w:rPr>
        <w:t>]</w:t>
      </w:r>
      <w:r w:rsidRPr="00AE5DD7">
        <w:rPr>
          <w:rFonts w:ascii="Arial" w:hAnsi="Arial" w:cs="Arial"/>
          <w:sz w:val="24"/>
          <w:szCs w:val="24"/>
          <w:shd w:val="clear" w:color="auto" w:fill="FFFFFF"/>
        </w:rPr>
        <w:t>. Other studies have also identified various missense mutations in </w:t>
      </w:r>
      <w:r w:rsidRPr="00AE5DD7">
        <w:rPr>
          <w:rFonts w:ascii="Arial" w:hAnsi="Arial" w:cs="Arial"/>
          <w:i/>
          <w:iCs/>
          <w:sz w:val="24"/>
          <w:szCs w:val="24"/>
          <w:shd w:val="clear" w:color="auto" w:fill="FFFFFF"/>
        </w:rPr>
        <w:t>folC</w:t>
      </w:r>
      <w:r w:rsidRPr="00AE5DD7">
        <w:rPr>
          <w:rFonts w:ascii="Arial" w:hAnsi="Arial" w:cs="Arial"/>
          <w:sz w:val="24"/>
          <w:szCs w:val="24"/>
          <w:shd w:val="clear" w:color="auto" w:fill="FFFFFF"/>
        </w:rPr>
        <w:t xml:space="preserve"> (encoding a dihydrofolate synthase) and </w:t>
      </w:r>
      <w:r w:rsidRPr="00AE5DD7">
        <w:rPr>
          <w:rFonts w:ascii="Arial" w:hAnsi="Arial" w:cs="Arial"/>
          <w:i/>
          <w:sz w:val="24"/>
          <w:szCs w:val="24"/>
          <w:shd w:val="clear" w:color="auto" w:fill="FFFFFF"/>
        </w:rPr>
        <w:t>ribD</w:t>
      </w:r>
      <w:r w:rsidRPr="00AE5DD7">
        <w:rPr>
          <w:rFonts w:ascii="Arial" w:hAnsi="Arial" w:cs="Arial"/>
          <w:sz w:val="24"/>
          <w:szCs w:val="24"/>
          <w:shd w:val="clear" w:color="auto" w:fill="FFFFFF"/>
        </w:rPr>
        <w:t xml:space="preserve"> (alternative dihydrofolate reductase) that conferred resistance to PAS in laboratory and clinical isolates of </w:t>
      </w:r>
      <w:r w:rsidRPr="00AE5DD7">
        <w:rPr>
          <w:rFonts w:ascii="Arial" w:hAnsi="Arial" w:cs="Arial"/>
          <w:i/>
          <w:sz w:val="24"/>
          <w:szCs w:val="24"/>
        </w:rPr>
        <w:t>M. tuberculosis</w:t>
      </w:r>
      <w:r w:rsidRPr="00AE5DD7">
        <w:rPr>
          <w:rStyle w:val="Emphasis"/>
          <w:rFonts w:ascii="Arial" w:hAnsi="Arial" w:cs="Arial"/>
          <w:sz w:val="24"/>
          <w:szCs w:val="24"/>
          <w:shd w:val="clear" w:color="auto" w:fill="FFFFFF"/>
        </w:rPr>
        <w:t> </w:t>
      </w:r>
      <w:r>
        <w:rPr>
          <w:rStyle w:val="Emphasis"/>
          <w:rFonts w:ascii="Arial" w:hAnsi="Arial" w:cs="Arial"/>
          <w:i w:val="0"/>
          <w:noProof/>
          <w:sz w:val="24"/>
          <w:szCs w:val="24"/>
          <w:shd w:val="clear" w:color="auto" w:fill="FFFFFF"/>
        </w:rPr>
        <w:t>[</w:t>
      </w:r>
      <w:r w:rsidR="00357CA5">
        <w:rPr>
          <w:rStyle w:val="Emphasis"/>
          <w:rFonts w:ascii="Arial" w:hAnsi="Arial" w:cs="Arial"/>
          <w:i w:val="0"/>
          <w:noProof/>
          <w:sz w:val="24"/>
          <w:szCs w:val="24"/>
          <w:shd w:val="clear" w:color="auto" w:fill="FFFFFF"/>
        </w:rPr>
        <w:t>5</w:t>
      </w:r>
      <w:r>
        <w:rPr>
          <w:rStyle w:val="Emphasis"/>
          <w:rFonts w:ascii="Arial" w:hAnsi="Arial" w:cs="Arial"/>
          <w:i w:val="0"/>
          <w:noProof/>
          <w:sz w:val="24"/>
          <w:szCs w:val="24"/>
          <w:shd w:val="clear" w:color="auto" w:fill="FFFFFF"/>
        </w:rPr>
        <w:t>]</w:t>
      </w:r>
      <w:r w:rsidRPr="00AE5DD7">
        <w:rPr>
          <w:rFonts w:ascii="Arial" w:hAnsi="Arial" w:cs="Arial"/>
          <w:sz w:val="24"/>
          <w:szCs w:val="24"/>
          <w:shd w:val="clear" w:color="auto" w:fill="FFFFFF"/>
        </w:rPr>
        <w:t xml:space="preserve"> </w:t>
      </w:r>
      <w:r>
        <w:rPr>
          <w:rFonts w:ascii="Arial" w:hAnsi="Arial" w:cs="Arial"/>
          <w:noProof/>
          <w:sz w:val="24"/>
          <w:szCs w:val="24"/>
          <w:shd w:val="clear" w:color="auto" w:fill="FFFFFF"/>
        </w:rPr>
        <w:t>[</w:t>
      </w:r>
      <w:r w:rsidR="00357CA5">
        <w:rPr>
          <w:rFonts w:ascii="Arial" w:hAnsi="Arial" w:cs="Arial"/>
          <w:noProof/>
          <w:sz w:val="24"/>
          <w:szCs w:val="24"/>
          <w:shd w:val="clear" w:color="auto" w:fill="FFFFFF"/>
        </w:rPr>
        <w:t>6</w:t>
      </w:r>
      <w:r>
        <w:rPr>
          <w:rFonts w:ascii="Arial" w:hAnsi="Arial" w:cs="Arial"/>
          <w:noProof/>
          <w:sz w:val="24"/>
          <w:szCs w:val="24"/>
          <w:shd w:val="clear" w:color="auto" w:fill="FFFFFF"/>
        </w:rPr>
        <w:t>]</w:t>
      </w:r>
      <w:r w:rsidRPr="00AE5DD7">
        <w:rPr>
          <w:rFonts w:ascii="Arial" w:hAnsi="Arial" w:cs="Arial"/>
          <w:sz w:val="24"/>
          <w:szCs w:val="24"/>
          <w:shd w:val="clear" w:color="auto" w:fill="FFFFFF"/>
        </w:rPr>
        <w:t xml:space="preserve"> </w:t>
      </w:r>
      <w:r>
        <w:rPr>
          <w:rFonts w:ascii="Arial" w:hAnsi="Arial" w:cs="Arial"/>
          <w:noProof/>
          <w:sz w:val="24"/>
          <w:szCs w:val="24"/>
          <w:shd w:val="clear" w:color="auto" w:fill="FFFFFF"/>
        </w:rPr>
        <w:t>[</w:t>
      </w:r>
      <w:r w:rsidR="00357CA5">
        <w:rPr>
          <w:rFonts w:ascii="Arial" w:hAnsi="Arial" w:cs="Arial"/>
          <w:noProof/>
          <w:sz w:val="24"/>
          <w:szCs w:val="24"/>
          <w:shd w:val="clear" w:color="auto" w:fill="FFFFFF"/>
        </w:rPr>
        <w:t>7</w:t>
      </w:r>
      <w:r>
        <w:rPr>
          <w:rFonts w:ascii="Arial" w:hAnsi="Arial" w:cs="Arial"/>
          <w:noProof/>
          <w:sz w:val="24"/>
          <w:szCs w:val="24"/>
          <w:shd w:val="clear" w:color="auto" w:fill="FFFFFF"/>
        </w:rPr>
        <w:t>]</w:t>
      </w:r>
      <w:r w:rsidRPr="00AE5DD7">
        <w:rPr>
          <w:rStyle w:val="xapple-converted-space"/>
          <w:rFonts w:ascii="Arial" w:hAnsi="Arial" w:cs="Arial"/>
          <w:i/>
          <w:sz w:val="24"/>
          <w:szCs w:val="24"/>
          <w:shd w:val="clear" w:color="auto" w:fill="FFFFFF"/>
        </w:rPr>
        <w:t>.</w:t>
      </w:r>
      <w:r w:rsidRPr="00AE5DD7">
        <w:rPr>
          <w:rStyle w:val="xapple-converted-space"/>
          <w:rFonts w:ascii="Arial" w:hAnsi="Arial" w:cs="Arial"/>
          <w:sz w:val="24"/>
          <w:szCs w:val="24"/>
          <w:shd w:val="clear" w:color="auto" w:fill="FFFFFF"/>
        </w:rPr>
        <w:t> </w:t>
      </w:r>
      <w:r w:rsidRPr="00AE5DD7">
        <w:rPr>
          <w:rFonts w:ascii="Arial" w:hAnsi="Arial" w:cs="Arial"/>
          <w:sz w:val="24"/>
          <w:szCs w:val="24"/>
          <w:shd w:val="clear" w:color="auto" w:fill="FFFFFF"/>
        </w:rPr>
        <w:t xml:space="preserve">Nevertheless, mutations in </w:t>
      </w:r>
      <w:r w:rsidRPr="00AE5DD7">
        <w:rPr>
          <w:rFonts w:ascii="Arial" w:hAnsi="Arial" w:cs="Arial"/>
          <w:i/>
          <w:sz w:val="24"/>
          <w:szCs w:val="24"/>
          <w:shd w:val="clear" w:color="auto" w:fill="FFFFFF"/>
        </w:rPr>
        <w:t>folC</w:t>
      </w:r>
      <w:r w:rsidRPr="00AE5DD7">
        <w:rPr>
          <w:rFonts w:ascii="Arial" w:hAnsi="Arial" w:cs="Arial"/>
          <w:sz w:val="24"/>
          <w:szCs w:val="24"/>
          <w:shd w:val="clear" w:color="auto" w:fill="FFFFFF"/>
        </w:rPr>
        <w:t xml:space="preserve"> were detected in only 34.8% of resistant clinical isolates, whilst mutations of </w:t>
      </w:r>
      <w:r w:rsidRPr="00AE5DD7">
        <w:rPr>
          <w:rFonts w:ascii="Arial" w:hAnsi="Arial" w:cs="Arial"/>
          <w:i/>
          <w:sz w:val="24"/>
          <w:szCs w:val="24"/>
          <w:shd w:val="clear" w:color="auto" w:fill="FFFFFF"/>
        </w:rPr>
        <w:t>thyA</w:t>
      </w:r>
      <w:r w:rsidRPr="00AE5DD7">
        <w:rPr>
          <w:rFonts w:ascii="Arial" w:hAnsi="Arial" w:cs="Arial"/>
          <w:sz w:val="24"/>
          <w:szCs w:val="24"/>
          <w:shd w:val="clear" w:color="auto" w:fill="FFFFFF"/>
        </w:rPr>
        <w:t xml:space="preserve"> and </w:t>
      </w:r>
      <w:r w:rsidRPr="00AE5DD7">
        <w:rPr>
          <w:rFonts w:ascii="Arial" w:hAnsi="Arial" w:cs="Arial"/>
          <w:i/>
          <w:sz w:val="24"/>
          <w:szCs w:val="24"/>
          <w:shd w:val="clear" w:color="auto" w:fill="FFFFFF"/>
        </w:rPr>
        <w:t>ribD</w:t>
      </w:r>
      <w:r w:rsidRPr="00AE5DD7">
        <w:rPr>
          <w:rFonts w:ascii="Arial" w:hAnsi="Arial" w:cs="Arial"/>
          <w:sz w:val="24"/>
          <w:szCs w:val="24"/>
          <w:shd w:val="clear" w:color="auto" w:fill="FFFFFF"/>
        </w:rPr>
        <w:t xml:space="preserve"> were detected in 26.0% and 5.8%, respectively </w:t>
      </w:r>
      <w:r>
        <w:rPr>
          <w:rFonts w:ascii="Arial" w:hAnsi="Arial" w:cs="Arial"/>
          <w:noProof/>
          <w:sz w:val="24"/>
          <w:szCs w:val="24"/>
          <w:shd w:val="clear" w:color="auto" w:fill="FFFFFF"/>
        </w:rPr>
        <w:t>[</w:t>
      </w:r>
      <w:r w:rsidR="00357CA5">
        <w:rPr>
          <w:rFonts w:ascii="Arial" w:hAnsi="Arial" w:cs="Arial"/>
          <w:noProof/>
          <w:sz w:val="24"/>
          <w:szCs w:val="24"/>
          <w:shd w:val="clear" w:color="auto" w:fill="FFFFFF"/>
        </w:rPr>
        <w:t>6</w:t>
      </w:r>
      <w:r>
        <w:rPr>
          <w:rFonts w:ascii="Arial" w:hAnsi="Arial" w:cs="Arial"/>
          <w:noProof/>
          <w:sz w:val="24"/>
          <w:szCs w:val="24"/>
          <w:shd w:val="clear" w:color="auto" w:fill="FFFFFF"/>
        </w:rPr>
        <w:t>]</w:t>
      </w:r>
      <w:r w:rsidRPr="00AE5DD7">
        <w:rPr>
          <w:rFonts w:ascii="Arial" w:hAnsi="Arial" w:cs="Arial"/>
          <w:sz w:val="24"/>
          <w:szCs w:val="24"/>
          <w:shd w:val="clear" w:color="auto" w:fill="FFFFFF"/>
        </w:rPr>
        <w:t>. Hence, other mechanisms of resistance to the drug might exist. Efflux pumps have also been described conferring cross-resistan</w:t>
      </w:r>
      <w:r w:rsidR="00F7151B">
        <w:rPr>
          <w:rFonts w:ascii="Arial" w:hAnsi="Arial" w:cs="Arial"/>
          <w:sz w:val="24"/>
          <w:szCs w:val="24"/>
          <w:shd w:val="clear" w:color="auto" w:fill="FFFFFF"/>
        </w:rPr>
        <w:t>ce</w:t>
      </w:r>
      <w:r w:rsidRPr="00AE5DD7">
        <w:rPr>
          <w:rFonts w:ascii="Arial" w:hAnsi="Arial" w:cs="Arial"/>
          <w:sz w:val="24"/>
          <w:szCs w:val="24"/>
          <w:shd w:val="clear" w:color="auto" w:fill="FFFFFF"/>
        </w:rPr>
        <w:t xml:space="preserve"> to PAS and other </w:t>
      </w:r>
      <w:r w:rsidR="00DB712E" w:rsidRPr="00DB712E">
        <w:rPr>
          <w:rFonts w:ascii="Arial" w:hAnsi="Arial" w:cs="Arial"/>
          <w:sz w:val="24"/>
          <w:szCs w:val="24"/>
          <w:shd w:val="clear" w:color="auto" w:fill="FFFFFF"/>
        </w:rPr>
        <w:t>chemotherapeutic agent</w:t>
      </w:r>
      <w:r w:rsidR="00DB712E">
        <w:rPr>
          <w:rFonts w:ascii="Arial" w:hAnsi="Arial" w:cs="Arial"/>
          <w:sz w:val="24"/>
          <w:szCs w:val="24"/>
          <w:shd w:val="clear" w:color="auto" w:fill="FFFFFF"/>
        </w:rPr>
        <w:t>s</w:t>
      </w:r>
      <w:r w:rsidRPr="00AE5DD7">
        <w:rPr>
          <w:rFonts w:ascii="Arial" w:hAnsi="Arial" w:cs="Arial"/>
          <w:sz w:val="24"/>
          <w:szCs w:val="24"/>
          <w:shd w:val="clear" w:color="auto" w:fill="FFFFFF"/>
        </w:rPr>
        <w:t xml:space="preserve"> including streptomycin </w:t>
      </w:r>
      <w:r>
        <w:rPr>
          <w:rFonts w:ascii="Arial" w:hAnsi="Arial" w:cs="Arial"/>
          <w:noProof/>
          <w:sz w:val="24"/>
          <w:szCs w:val="24"/>
          <w:shd w:val="clear" w:color="auto" w:fill="FFFFFF"/>
        </w:rPr>
        <w:t>[</w:t>
      </w:r>
      <w:r w:rsidR="00357CA5">
        <w:rPr>
          <w:rFonts w:ascii="Arial" w:hAnsi="Arial" w:cs="Arial"/>
          <w:noProof/>
          <w:sz w:val="24"/>
          <w:szCs w:val="24"/>
          <w:shd w:val="clear" w:color="auto" w:fill="FFFFFF"/>
        </w:rPr>
        <w:t>8</w:t>
      </w:r>
      <w:r>
        <w:rPr>
          <w:rFonts w:ascii="Arial" w:hAnsi="Arial" w:cs="Arial"/>
          <w:noProof/>
          <w:sz w:val="24"/>
          <w:szCs w:val="24"/>
          <w:shd w:val="clear" w:color="auto" w:fill="FFFFFF"/>
        </w:rPr>
        <w:t>]</w:t>
      </w:r>
      <w:r w:rsidRPr="00AE5DD7">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Pr="00AE5DD7">
        <w:rPr>
          <w:rFonts w:ascii="Arial" w:hAnsi="Arial" w:cs="Arial"/>
          <w:sz w:val="24"/>
          <w:szCs w:val="24"/>
          <w:shd w:val="clear" w:color="auto" w:fill="FFFFFF"/>
        </w:rPr>
        <w:t>The main aim of this work was to investigate potential new mechanisms of action and resistance to PAS by performing whole genome sequencing (WGS) on PAS-resistant laboratory mutants.</w:t>
      </w:r>
    </w:p>
    <w:p w14:paraId="4DC9A53F" w14:textId="77777777" w:rsidR="001713CD" w:rsidRDefault="001713CD" w:rsidP="00AE5DD7">
      <w:pPr>
        <w:spacing w:line="480" w:lineRule="auto"/>
        <w:ind w:right="227"/>
        <w:jc w:val="both"/>
        <w:rPr>
          <w:rFonts w:ascii="Arial" w:hAnsi="Arial" w:cs="Arial"/>
          <w:b/>
          <w:bCs/>
          <w:sz w:val="24"/>
          <w:szCs w:val="24"/>
          <w:shd w:val="clear" w:color="auto" w:fill="FFFFFF"/>
        </w:rPr>
      </w:pPr>
    </w:p>
    <w:p w14:paraId="4BD5514E" w14:textId="0389F126" w:rsidR="001713CD" w:rsidRPr="00AE5DD7" w:rsidRDefault="001713CD" w:rsidP="00AE5DD7">
      <w:pPr>
        <w:spacing w:line="480" w:lineRule="auto"/>
        <w:ind w:right="227"/>
        <w:jc w:val="both"/>
        <w:rPr>
          <w:rFonts w:ascii="Arial" w:hAnsi="Arial" w:cs="Arial"/>
          <w:i/>
          <w:iCs/>
          <w:sz w:val="24"/>
          <w:szCs w:val="24"/>
          <w:shd w:val="clear" w:color="auto" w:fill="FFFFFF"/>
        </w:rPr>
      </w:pPr>
      <w:r w:rsidRPr="00AE5DD7">
        <w:rPr>
          <w:rFonts w:ascii="Arial" w:hAnsi="Arial" w:cs="Arial"/>
          <w:sz w:val="24"/>
          <w:szCs w:val="24"/>
          <w:shd w:val="clear" w:color="auto" w:fill="FFFFFF"/>
        </w:rPr>
        <w:t>PAS resistant laboratory mutants of reference strain H37Rv were spontaneously selected by growth on 7H10 medium with the addition of PAS.</w:t>
      </w:r>
      <w:r w:rsidRPr="00AE5DD7">
        <w:rPr>
          <w:rFonts w:ascii="Arial" w:hAnsi="Arial" w:cs="Arial"/>
          <w:sz w:val="24"/>
          <w:szCs w:val="24"/>
        </w:rPr>
        <w:t xml:space="preserve"> </w:t>
      </w:r>
      <w:r w:rsidRPr="00AE5DD7">
        <w:rPr>
          <w:rFonts w:ascii="Arial" w:hAnsi="Arial" w:cs="Arial"/>
          <w:i/>
          <w:iCs/>
          <w:sz w:val="24"/>
          <w:szCs w:val="24"/>
          <w:shd w:val="clear" w:color="auto" w:fill="FFFFFF"/>
        </w:rPr>
        <w:t xml:space="preserve">M. tuberculosis </w:t>
      </w:r>
      <w:r w:rsidRPr="00AE5DD7">
        <w:rPr>
          <w:rFonts w:ascii="Arial" w:hAnsi="Arial" w:cs="Arial"/>
          <w:sz w:val="24"/>
          <w:szCs w:val="24"/>
          <w:shd w:val="clear" w:color="auto" w:fill="FFFFFF"/>
        </w:rPr>
        <w:t xml:space="preserve">was cultured in 20 mL aliquots of sterile 7H9 broth and incubated for 14 days, achieving </w:t>
      </w:r>
      <w:r w:rsidRPr="00AE5DD7">
        <w:rPr>
          <w:rFonts w:ascii="Arial" w:hAnsi="Arial" w:cs="Arial"/>
          <w:sz w:val="24"/>
          <w:szCs w:val="24"/>
          <w:shd w:val="clear" w:color="auto" w:fill="FFFFFF"/>
        </w:rPr>
        <w:lastRenderedPageBreak/>
        <w:t>log phase and a colony count of 0.5-1 McFarland (150-300X10</w:t>
      </w:r>
      <w:r w:rsidRPr="00AE5DD7">
        <w:rPr>
          <w:rFonts w:ascii="Arial" w:hAnsi="Arial" w:cs="Arial"/>
          <w:sz w:val="24"/>
          <w:szCs w:val="24"/>
          <w:shd w:val="clear" w:color="auto" w:fill="FFFFFF"/>
          <w:vertAlign w:val="superscript"/>
        </w:rPr>
        <w:t>6</w:t>
      </w:r>
      <w:r w:rsidRPr="00AE5DD7">
        <w:rPr>
          <w:rFonts w:ascii="Arial" w:hAnsi="Arial" w:cs="Arial"/>
          <w:sz w:val="24"/>
          <w:szCs w:val="24"/>
          <w:shd w:val="clear" w:color="auto" w:fill="FFFFFF"/>
        </w:rPr>
        <w:t>/mL). Following the incubation period, the bacteria were concentrated by centrifugation at 10,000g for ten minutes and the entire sediment was inoculated onto pre-prepared 7H10 plates containing different concentrations of PAS, 2</w:t>
      </w:r>
      <w:r w:rsidRPr="00AE5DD7">
        <w:rPr>
          <w:rFonts w:ascii="Arial" w:hAnsi="Arial" w:cs="Arial"/>
          <w:sz w:val="24"/>
          <w:szCs w:val="24"/>
        </w:rPr>
        <w:t xml:space="preserve"> </w:t>
      </w:r>
      <w:r w:rsidRPr="00AE5DD7">
        <w:rPr>
          <w:rFonts w:ascii="Arial" w:hAnsi="Arial" w:cs="Arial"/>
          <w:sz w:val="24"/>
          <w:szCs w:val="24"/>
          <w:shd w:val="clear" w:color="auto" w:fill="FFFFFF"/>
        </w:rPr>
        <w:t xml:space="preserve">µg/ml and 4 µg/ml (the critical concentration for PAS is 2 µg/ml) </w:t>
      </w:r>
      <w:r>
        <w:rPr>
          <w:rFonts w:ascii="Arial" w:hAnsi="Arial" w:cs="Arial"/>
          <w:noProof/>
          <w:sz w:val="24"/>
          <w:szCs w:val="24"/>
          <w:shd w:val="clear" w:color="auto" w:fill="FFFFFF"/>
        </w:rPr>
        <w:t>[</w:t>
      </w:r>
      <w:r w:rsidR="00357CA5">
        <w:rPr>
          <w:rFonts w:ascii="Arial" w:hAnsi="Arial" w:cs="Arial"/>
          <w:noProof/>
          <w:sz w:val="24"/>
          <w:szCs w:val="24"/>
          <w:shd w:val="clear" w:color="auto" w:fill="FFFFFF"/>
        </w:rPr>
        <w:t>9</w:t>
      </w:r>
      <w:r>
        <w:rPr>
          <w:rFonts w:ascii="Arial" w:hAnsi="Arial" w:cs="Arial"/>
          <w:noProof/>
          <w:sz w:val="24"/>
          <w:szCs w:val="24"/>
          <w:shd w:val="clear" w:color="auto" w:fill="FFFFFF"/>
        </w:rPr>
        <w:t>]</w:t>
      </w:r>
      <w:r w:rsidRPr="00AE5DD7">
        <w:rPr>
          <w:rFonts w:ascii="Arial" w:hAnsi="Arial" w:cs="Arial"/>
          <w:sz w:val="24"/>
          <w:szCs w:val="24"/>
          <w:shd w:val="clear" w:color="auto" w:fill="FFFFFF"/>
        </w:rPr>
        <w:t>.</w:t>
      </w:r>
      <w:r w:rsidRPr="00AE5DD7">
        <w:rPr>
          <w:rFonts w:ascii="Arial" w:hAnsi="Arial" w:cs="Arial"/>
          <w:sz w:val="24"/>
          <w:szCs w:val="24"/>
        </w:rPr>
        <w:t xml:space="preserve"> </w:t>
      </w:r>
      <w:r w:rsidRPr="00AE5DD7">
        <w:rPr>
          <w:rFonts w:ascii="Arial" w:hAnsi="Arial" w:cs="Arial"/>
          <w:sz w:val="24"/>
          <w:szCs w:val="24"/>
          <w:shd w:val="clear" w:color="auto" w:fill="FFFFFF"/>
        </w:rPr>
        <w:t xml:space="preserve">After incubation at 37 °C for at least 14 days, spontaneous mutants grew on the plates and they were then selected for sequencing. All selected mutants and the parent reference H37Rv were sub-cultured on Lowenstein-Jensen (LJ) slopes, DNA was extracted using the CTAB (cetyl trimethylammonium bromide) method and WGS analysis performed as previously described </w:t>
      </w:r>
      <w:r>
        <w:rPr>
          <w:rFonts w:ascii="Arial" w:hAnsi="Arial" w:cs="Arial"/>
          <w:noProof/>
          <w:sz w:val="24"/>
          <w:szCs w:val="24"/>
          <w:shd w:val="clear" w:color="auto" w:fill="FFFFFF"/>
        </w:rPr>
        <w:t>[</w:t>
      </w:r>
      <w:r w:rsidR="00357CA5">
        <w:rPr>
          <w:rFonts w:ascii="Arial" w:hAnsi="Arial" w:cs="Arial"/>
          <w:noProof/>
          <w:sz w:val="24"/>
          <w:szCs w:val="24"/>
          <w:shd w:val="clear" w:color="auto" w:fill="FFFFFF"/>
        </w:rPr>
        <w:t>10</w:t>
      </w:r>
      <w:r>
        <w:rPr>
          <w:rFonts w:ascii="Arial" w:hAnsi="Arial" w:cs="Arial"/>
          <w:noProof/>
          <w:sz w:val="24"/>
          <w:szCs w:val="24"/>
          <w:shd w:val="clear" w:color="auto" w:fill="FFFFFF"/>
        </w:rPr>
        <w:t>]</w:t>
      </w:r>
      <w:r w:rsidRPr="00AE5DD7">
        <w:rPr>
          <w:rFonts w:ascii="Arial" w:hAnsi="Arial" w:cs="Arial"/>
          <w:sz w:val="24"/>
          <w:szCs w:val="24"/>
          <w:shd w:val="clear" w:color="auto" w:fill="FFFFFF"/>
        </w:rPr>
        <w:t xml:space="preserve">. </w:t>
      </w:r>
    </w:p>
    <w:p w14:paraId="519CFAFF" w14:textId="77777777" w:rsidR="001713CD" w:rsidRDefault="001713CD" w:rsidP="00AE5DD7">
      <w:pPr>
        <w:spacing w:line="480" w:lineRule="auto"/>
        <w:ind w:right="227"/>
        <w:jc w:val="both"/>
        <w:rPr>
          <w:rFonts w:ascii="Arial" w:hAnsi="Arial" w:cs="Arial"/>
          <w:b/>
          <w:bCs/>
          <w:sz w:val="24"/>
          <w:szCs w:val="24"/>
          <w:shd w:val="clear" w:color="auto" w:fill="FFFFFF"/>
        </w:rPr>
      </w:pPr>
    </w:p>
    <w:p w14:paraId="0E55E46D" w14:textId="77777777" w:rsidR="001713CD" w:rsidRPr="00AE5DD7" w:rsidRDefault="001713CD" w:rsidP="00AE5DD7">
      <w:pPr>
        <w:spacing w:line="480" w:lineRule="auto"/>
        <w:ind w:right="227"/>
        <w:jc w:val="both"/>
        <w:rPr>
          <w:rFonts w:ascii="Arial" w:hAnsi="Arial" w:cs="Arial"/>
          <w:sz w:val="24"/>
          <w:szCs w:val="24"/>
          <w:lang w:val="en-US"/>
        </w:rPr>
      </w:pPr>
      <w:r w:rsidRPr="00AE5DD7">
        <w:rPr>
          <w:rFonts w:ascii="Arial" w:hAnsi="Arial" w:cs="Arial"/>
          <w:sz w:val="24"/>
          <w:szCs w:val="24"/>
          <w:lang w:val="en-US"/>
        </w:rPr>
        <w:t>It was possible to grow only one PAS mutant for each critical concentration (2</w:t>
      </w:r>
      <w:r w:rsidRPr="00AE5DD7">
        <w:rPr>
          <w:rFonts w:ascii="Arial" w:hAnsi="Arial" w:cs="Arial"/>
          <w:sz w:val="24"/>
          <w:szCs w:val="24"/>
        </w:rPr>
        <w:t xml:space="preserve"> </w:t>
      </w:r>
      <w:r w:rsidRPr="00AE5DD7">
        <w:rPr>
          <w:rFonts w:ascii="Arial" w:hAnsi="Arial" w:cs="Arial"/>
          <w:sz w:val="24"/>
          <w:szCs w:val="24"/>
          <w:lang w:val="en-US"/>
        </w:rPr>
        <w:t>µg/ml and 4 µg/ml) from a culture containing 150-300X10</w:t>
      </w:r>
      <w:r w:rsidRPr="00AE5DD7">
        <w:rPr>
          <w:rFonts w:ascii="Arial" w:hAnsi="Arial" w:cs="Arial"/>
          <w:sz w:val="24"/>
          <w:szCs w:val="24"/>
          <w:vertAlign w:val="superscript"/>
          <w:lang w:val="en-US"/>
        </w:rPr>
        <w:t>6</w:t>
      </w:r>
      <w:r w:rsidRPr="00AE5DD7">
        <w:rPr>
          <w:rFonts w:ascii="Arial" w:hAnsi="Arial" w:cs="Arial"/>
          <w:sz w:val="24"/>
          <w:szCs w:val="24"/>
          <w:lang w:val="en-US"/>
        </w:rPr>
        <w:t xml:space="preserve">/mL bacteria. As the experiment was repeated in two separate occasions, we were able to select four mutants in total. These resistant mutants were designated PAS2 (1st and 2nd) and PAS4 (1st and 2nd). </w:t>
      </w:r>
    </w:p>
    <w:p w14:paraId="1028F0A2" w14:textId="77777777" w:rsidR="001713CD" w:rsidRDefault="001713CD" w:rsidP="00AE5DD7">
      <w:pPr>
        <w:spacing w:line="480" w:lineRule="auto"/>
        <w:ind w:right="227"/>
        <w:jc w:val="both"/>
        <w:rPr>
          <w:rFonts w:ascii="Arial" w:hAnsi="Arial" w:cs="Arial"/>
          <w:sz w:val="24"/>
          <w:szCs w:val="24"/>
          <w:lang w:val="en-US"/>
        </w:rPr>
      </w:pPr>
      <w:r w:rsidRPr="00AE5DD7">
        <w:rPr>
          <w:rFonts w:ascii="Arial" w:hAnsi="Arial" w:cs="Arial"/>
          <w:sz w:val="24"/>
          <w:szCs w:val="24"/>
          <w:lang w:val="en-US"/>
        </w:rPr>
        <w:t xml:space="preserve">When compared to the sequenced reference strain H37Rv, a total of seven non-synonymous single nucleotide polymorphisms (SNPs) affecting four different genes were identified in the four PAS resistant mutants. Both PAS4 mutants showed variants in the </w:t>
      </w:r>
      <w:r w:rsidRPr="00AE5DD7">
        <w:rPr>
          <w:rFonts w:ascii="Arial" w:hAnsi="Arial" w:cs="Arial"/>
          <w:i/>
          <w:iCs/>
          <w:sz w:val="24"/>
          <w:szCs w:val="24"/>
          <w:lang w:val="en-US"/>
        </w:rPr>
        <w:t>folC</w:t>
      </w:r>
      <w:r w:rsidRPr="00AE5DD7">
        <w:rPr>
          <w:rFonts w:ascii="Arial" w:hAnsi="Arial" w:cs="Arial"/>
          <w:sz w:val="24"/>
          <w:szCs w:val="24"/>
          <w:lang w:val="en-US"/>
        </w:rPr>
        <w:t xml:space="preserve"> gene, a known mutation in position 2747141 and a new mutation in position 2747195 (Table 1). There was evidence of a V58I variant in the </w:t>
      </w:r>
      <w:r w:rsidRPr="00AE5DD7">
        <w:rPr>
          <w:rFonts w:ascii="Arial" w:hAnsi="Arial" w:cs="Arial"/>
          <w:i/>
          <w:iCs/>
          <w:sz w:val="24"/>
          <w:szCs w:val="24"/>
          <w:lang w:val="en-US"/>
        </w:rPr>
        <w:t>Rv3218</w:t>
      </w:r>
      <w:r w:rsidRPr="00AE5DD7">
        <w:rPr>
          <w:rFonts w:ascii="Arial" w:hAnsi="Arial" w:cs="Arial"/>
          <w:sz w:val="24"/>
          <w:szCs w:val="24"/>
          <w:lang w:val="en-US"/>
        </w:rPr>
        <w:t xml:space="preserve"> gene in both the PAS2 and one of the PAS4 mutants, but reads matching both the reference and variant base were found at this site and this call is uncertain. At low coverage, a total of twenty-seven SNPs </w:t>
      </w:r>
      <w:proofErr w:type="gramStart"/>
      <w:r w:rsidRPr="00AE5DD7">
        <w:rPr>
          <w:rFonts w:ascii="Arial" w:hAnsi="Arial" w:cs="Arial"/>
          <w:sz w:val="24"/>
          <w:szCs w:val="24"/>
          <w:lang w:val="en-US"/>
        </w:rPr>
        <w:t>were</w:t>
      </w:r>
      <w:proofErr w:type="gramEnd"/>
      <w:r w:rsidRPr="00AE5DD7">
        <w:rPr>
          <w:rFonts w:ascii="Arial" w:hAnsi="Arial" w:cs="Arial"/>
          <w:sz w:val="24"/>
          <w:szCs w:val="24"/>
          <w:lang w:val="en-US"/>
        </w:rPr>
        <w:t xml:space="preserve"> also found in the </w:t>
      </w:r>
      <w:r w:rsidRPr="00AE5DD7">
        <w:rPr>
          <w:rFonts w:ascii="Arial" w:hAnsi="Arial" w:cs="Arial"/>
          <w:i/>
          <w:iCs/>
          <w:sz w:val="24"/>
          <w:szCs w:val="24"/>
          <w:lang w:val="en-US"/>
        </w:rPr>
        <w:t>rrs</w:t>
      </w:r>
      <w:r w:rsidRPr="00AE5DD7">
        <w:rPr>
          <w:rFonts w:ascii="Arial" w:hAnsi="Arial" w:cs="Arial"/>
          <w:sz w:val="24"/>
          <w:szCs w:val="24"/>
          <w:lang w:val="en-US"/>
        </w:rPr>
        <w:t xml:space="preserve"> and </w:t>
      </w:r>
      <w:r w:rsidRPr="00AE5DD7">
        <w:rPr>
          <w:rFonts w:ascii="Arial" w:hAnsi="Arial" w:cs="Arial"/>
          <w:i/>
          <w:iCs/>
          <w:sz w:val="24"/>
          <w:szCs w:val="24"/>
          <w:lang w:val="en-US"/>
        </w:rPr>
        <w:t>rrl</w:t>
      </w:r>
      <w:r w:rsidRPr="00AE5DD7">
        <w:rPr>
          <w:rFonts w:ascii="Arial" w:hAnsi="Arial" w:cs="Arial"/>
          <w:sz w:val="24"/>
          <w:szCs w:val="24"/>
          <w:lang w:val="en-US"/>
        </w:rPr>
        <w:t xml:space="preserve"> genes (16s </w:t>
      </w:r>
      <w:r w:rsidRPr="00AE5DD7">
        <w:rPr>
          <w:rFonts w:ascii="Arial" w:hAnsi="Arial" w:cs="Arial"/>
          <w:sz w:val="24"/>
          <w:szCs w:val="24"/>
          <w:lang w:val="en-US"/>
        </w:rPr>
        <w:lastRenderedPageBreak/>
        <w:t>and 23s RNA genes) of all four mutants. However, these SNPs remain unconfirmed due to the low coverage.</w:t>
      </w:r>
    </w:p>
    <w:p w14:paraId="0DA431D3" w14:textId="57A0ED97" w:rsidR="001713CD" w:rsidRPr="00AE5DD7" w:rsidRDefault="001713CD" w:rsidP="00AE5DD7">
      <w:pPr>
        <w:spacing w:line="480" w:lineRule="auto"/>
        <w:ind w:right="227"/>
        <w:jc w:val="both"/>
        <w:rPr>
          <w:rFonts w:ascii="Arial" w:hAnsi="Arial" w:cs="Arial"/>
          <w:sz w:val="24"/>
          <w:szCs w:val="24"/>
        </w:rPr>
      </w:pPr>
      <w:r w:rsidRPr="00AE5DD7">
        <w:rPr>
          <w:rFonts w:ascii="Arial" w:hAnsi="Arial" w:cs="Arial"/>
          <w:sz w:val="24"/>
          <w:szCs w:val="24"/>
          <w:lang w:val="en-US"/>
        </w:rPr>
        <w:t xml:space="preserve">WGS has been </w:t>
      </w:r>
      <w:r>
        <w:rPr>
          <w:rFonts w:ascii="Arial" w:hAnsi="Arial" w:cs="Arial"/>
          <w:sz w:val="24"/>
          <w:szCs w:val="24"/>
          <w:lang w:val="en-US"/>
        </w:rPr>
        <w:t>previously</w:t>
      </w:r>
      <w:r w:rsidRPr="00AE5DD7">
        <w:rPr>
          <w:rFonts w:ascii="Arial" w:hAnsi="Arial" w:cs="Arial"/>
          <w:sz w:val="24"/>
          <w:szCs w:val="24"/>
          <w:lang w:val="en-US"/>
        </w:rPr>
        <w:t xml:space="preserve"> used to determine the mechanism of action of </w:t>
      </w:r>
      <w:r w:rsidR="00DB712E">
        <w:rPr>
          <w:rFonts w:ascii="Arial" w:hAnsi="Arial" w:cs="Arial"/>
          <w:sz w:val="24"/>
          <w:szCs w:val="24"/>
          <w:lang w:val="en-US"/>
        </w:rPr>
        <w:t>antituberculous</w:t>
      </w:r>
      <w:r w:rsidR="00DB712E" w:rsidRPr="00DB712E">
        <w:rPr>
          <w:rFonts w:ascii="Arial" w:hAnsi="Arial" w:cs="Arial"/>
          <w:sz w:val="24"/>
          <w:szCs w:val="24"/>
          <w:lang w:val="en-US"/>
        </w:rPr>
        <w:t xml:space="preserve"> agent</w:t>
      </w:r>
      <w:r w:rsidR="00DB712E">
        <w:rPr>
          <w:rFonts w:ascii="Arial" w:hAnsi="Arial" w:cs="Arial"/>
          <w:sz w:val="24"/>
          <w:szCs w:val="24"/>
          <w:lang w:val="en-US"/>
        </w:rPr>
        <w:t>s</w:t>
      </w:r>
      <w:r w:rsidRPr="00AE5DD7">
        <w:rPr>
          <w:rFonts w:ascii="Arial" w:hAnsi="Arial" w:cs="Arial"/>
          <w:sz w:val="24"/>
          <w:szCs w:val="24"/>
          <w:lang w:val="en-US"/>
        </w:rPr>
        <w:t xml:space="preserve">. In the case of bedaquiline (BDQ), the authors selected and sequenced BDQ resistant </w:t>
      </w:r>
      <w:r w:rsidRPr="00AE5DD7">
        <w:rPr>
          <w:rFonts w:ascii="Arial" w:hAnsi="Arial" w:cs="Arial"/>
          <w:i/>
          <w:sz w:val="24"/>
          <w:szCs w:val="24"/>
          <w:lang w:val="en-US"/>
        </w:rPr>
        <w:t>Mycobacterium smegmatis</w:t>
      </w:r>
      <w:r w:rsidRPr="00AE5DD7">
        <w:rPr>
          <w:rFonts w:ascii="Arial" w:hAnsi="Arial" w:cs="Arial"/>
          <w:sz w:val="24"/>
          <w:szCs w:val="24"/>
          <w:lang w:val="en-US"/>
        </w:rPr>
        <w:t xml:space="preserve"> strains and identified mutations in the proton pump of adenosine triphosphate (ATP) synthase associated with resistance </w:t>
      </w:r>
      <w:r>
        <w:rPr>
          <w:rFonts w:ascii="Arial" w:hAnsi="Arial" w:cs="Arial"/>
          <w:noProof/>
          <w:sz w:val="24"/>
          <w:szCs w:val="24"/>
          <w:lang w:val="en-US"/>
        </w:rPr>
        <w:t>[1</w:t>
      </w:r>
      <w:r w:rsidR="002A1EE9">
        <w:rPr>
          <w:rFonts w:ascii="Arial" w:hAnsi="Arial" w:cs="Arial"/>
          <w:noProof/>
          <w:sz w:val="24"/>
          <w:szCs w:val="24"/>
          <w:lang w:val="en-US"/>
        </w:rPr>
        <w:t>1</w:t>
      </w:r>
      <w:r>
        <w:rPr>
          <w:rFonts w:ascii="Arial" w:hAnsi="Arial" w:cs="Arial"/>
          <w:noProof/>
          <w:sz w:val="24"/>
          <w:szCs w:val="24"/>
          <w:lang w:val="en-US"/>
        </w:rPr>
        <w:t>]</w:t>
      </w:r>
      <w:r w:rsidRPr="00AE5DD7">
        <w:rPr>
          <w:rFonts w:ascii="Arial" w:hAnsi="Arial" w:cs="Arial"/>
          <w:sz w:val="24"/>
          <w:szCs w:val="24"/>
          <w:lang w:val="en-US"/>
        </w:rPr>
        <w:t xml:space="preserve">. </w:t>
      </w:r>
      <w:r w:rsidRPr="00AE5DD7">
        <w:rPr>
          <w:rFonts w:ascii="Arial" w:hAnsi="Arial" w:cs="Arial"/>
          <w:sz w:val="24"/>
          <w:szCs w:val="24"/>
        </w:rPr>
        <w:t xml:space="preserve">In the case of PAS-resistant mutants, WGS analysis indicated that it is necessary to revisit the folate metabolic pathway to fully understand our data. The folate biosynthetic pathway starts when the aromatic precursor chorismate is converted to </w:t>
      </w:r>
      <w:r w:rsidRPr="00AE5DD7">
        <w:rPr>
          <w:rFonts w:ascii="Arial" w:hAnsi="Arial" w:cs="Arial"/>
          <w:i/>
          <w:sz w:val="24"/>
          <w:szCs w:val="24"/>
        </w:rPr>
        <w:t>p</w:t>
      </w:r>
      <w:r w:rsidRPr="00AE5DD7">
        <w:rPr>
          <w:rFonts w:ascii="Arial" w:hAnsi="Arial" w:cs="Arial"/>
          <w:sz w:val="24"/>
          <w:szCs w:val="24"/>
        </w:rPr>
        <w:t xml:space="preserve">-aminobenzoic acid (PABA) and coupled with pteridine to generate dihydropteroate. The protein encoded by </w:t>
      </w:r>
      <w:r w:rsidRPr="00AE5DD7">
        <w:rPr>
          <w:rFonts w:ascii="Arial" w:hAnsi="Arial" w:cs="Arial"/>
          <w:i/>
          <w:sz w:val="24"/>
          <w:szCs w:val="24"/>
        </w:rPr>
        <w:t>folC</w:t>
      </w:r>
      <w:r w:rsidRPr="00AE5DD7">
        <w:rPr>
          <w:rFonts w:ascii="Arial" w:hAnsi="Arial" w:cs="Arial"/>
          <w:sz w:val="24"/>
          <w:szCs w:val="24"/>
        </w:rPr>
        <w:t xml:space="preserve">, dihydrofolate synthetase, adds glutamate to the dihydropteroate forming dihydrofolate </w:t>
      </w:r>
      <w:r>
        <w:rPr>
          <w:rFonts w:ascii="Arial" w:hAnsi="Arial" w:cs="Arial"/>
          <w:noProof/>
          <w:sz w:val="24"/>
          <w:szCs w:val="24"/>
        </w:rPr>
        <w:t>[1</w:t>
      </w:r>
      <w:r w:rsidR="002A1EE9">
        <w:rPr>
          <w:rFonts w:ascii="Arial" w:hAnsi="Arial" w:cs="Arial"/>
          <w:noProof/>
          <w:sz w:val="24"/>
          <w:szCs w:val="24"/>
        </w:rPr>
        <w:t>2</w:t>
      </w:r>
      <w:r>
        <w:rPr>
          <w:rFonts w:ascii="Arial" w:hAnsi="Arial" w:cs="Arial"/>
          <w:noProof/>
          <w:sz w:val="24"/>
          <w:szCs w:val="24"/>
        </w:rPr>
        <w:t>]</w:t>
      </w:r>
      <w:r w:rsidRPr="00AE5DD7">
        <w:rPr>
          <w:rFonts w:ascii="Arial" w:hAnsi="Arial" w:cs="Arial"/>
          <w:sz w:val="24"/>
          <w:szCs w:val="24"/>
        </w:rPr>
        <w:t xml:space="preserve">. Mutations in the </w:t>
      </w:r>
      <w:r w:rsidRPr="00AE5DD7">
        <w:rPr>
          <w:rFonts w:ascii="Arial" w:hAnsi="Arial" w:cs="Arial"/>
          <w:i/>
          <w:sz w:val="24"/>
          <w:szCs w:val="24"/>
        </w:rPr>
        <w:t>folC</w:t>
      </w:r>
      <w:r w:rsidRPr="00AE5DD7">
        <w:rPr>
          <w:rFonts w:ascii="Arial" w:hAnsi="Arial" w:cs="Arial"/>
          <w:sz w:val="24"/>
          <w:szCs w:val="24"/>
        </w:rPr>
        <w:t xml:space="preserve"> gene have been associated with PAS resistance but in fewer than 35% of the cases, whilst the same authors could not find any mutation in the</w:t>
      </w:r>
      <w:r w:rsidRPr="00AE5DD7">
        <w:rPr>
          <w:rFonts w:ascii="Arial" w:hAnsi="Arial" w:cs="Arial"/>
          <w:i/>
          <w:sz w:val="24"/>
          <w:szCs w:val="24"/>
        </w:rPr>
        <w:t xml:space="preserve"> folP1</w:t>
      </w:r>
      <w:r w:rsidRPr="00AE5DD7">
        <w:rPr>
          <w:rFonts w:ascii="Arial" w:hAnsi="Arial" w:cs="Arial"/>
          <w:sz w:val="24"/>
          <w:szCs w:val="24"/>
        </w:rPr>
        <w:t xml:space="preserve"> gene </w:t>
      </w:r>
      <w:r>
        <w:rPr>
          <w:rFonts w:ascii="Arial" w:hAnsi="Arial" w:cs="Arial"/>
          <w:noProof/>
          <w:sz w:val="24"/>
          <w:szCs w:val="24"/>
        </w:rPr>
        <w:t>[4]</w:t>
      </w:r>
      <w:r w:rsidRPr="00AE5DD7">
        <w:rPr>
          <w:rFonts w:ascii="Arial" w:hAnsi="Arial" w:cs="Arial"/>
          <w:sz w:val="24"/>
          <w:szCs w:val="24"/>
        </w:rPr>
        <w:t xml:space="preserve">. Here, both PAS4 resistant mutants gained a SNP affecting the </w:t>
      </w:r>
      <w:r w:rsidRPr="00AE5DD7">
        <w:rPr>
          <w:rFonts w:ascii="Arial" w:hAnsi="Arial" w:cs="Arial"/>
          <w:i/>
          <w:sz w:val="24"/>
          <w:szCs w:val="24"/>
        </w:rPr>
        <w:t xml:space="preserve">folC </w:t>
      </w:r>
      <w:r w:rsidRPr="00AE5DD7">
        <w:rPr>
          <w:rFonts w:ascii="Arial" w:hAnsi="Arial" w:cs="Arial"/>
          <w:sz w:val="24"/>
          <w:szCs w:val="24"/>
        </w:rPr>
        <w:t>gene (Table 1). The mutation E153A has been previously reported to confer resistance to PAS [1</w:t>
      </w:r>
      <w:r w:rsidR="002A1EE9">
        <w:rPr>
          <w:rFonts w:ascii="Arial" w:hAnsi="Arial" w:cs="Arial"/>
          <w:sz w:val="24"/>
          <w:szCs w:val="24"/>
        </w:rPr>
        <w:t>2</w:t>
      </w:r>
      <w:r w:rsidRPr="00AE5DD7">
        <w:rPr>
          <w:rFonts w:ascii="Arial" w:hAnsi="Arial" w:cs="Arial"/>
          <w:sz w:val="24"/>
          <w:szCs w:val="24"/>
        </w:rPr>
        <w:t xml:space="preserve">] and it is already included in some online database for WGS analysis. The new mutation D135G has not been previously associated with PAS resistance. </w:t>
      </w:r>
      <w:r w:rsidRPr="00AE5DD7">
        <w:rPr>
          <w:rFonts w:ascii="Arial" w:hAnsi="Arial" w:cs="Arial"/>
          <w:sz w:val="24"/>
          <w:szCs w:val="24"/>
          <w:lang w:val="en-US"/>
        </w:rPr>
        <w:t>However, it has been shown to be important for the linkage of α-helices in the</w:t>
      </w:r>
      <w:r w:rsidRPr="00AE5DD7">
        <w:rPr>
          <w:rFonts w:ascii="Arial" w:hAnsi="Arial" w:cs="Arial"/>
          <w:i/>
          <w:iCs/>
          <w:sz w:val="24"/>
          <w:szCs w:val="24"/>
          <w:lang w:val="en-US"/>
        </w:rPr>
        <w:t xml:space="preserve"> folC</w:t>
      </w:r>
      <w:r w:rsidRPr="00AE5DD7">
        <w:rPr>
          <w:rFonts w:ascii="Arial" w:hAnsi="Arial" w:cs="Arial"/>
          <w:sz w:val="24"/>
          <w:szCs w:val="24"/>
          <w:lang w:val="en-US"/>
        </w:rPr>
        <w:t xml:space="preserve"> protein structure </w:t>
      </w:r>
      <w:r>
        <w:rPr>
          <w:rFonts w:ascii="Arial" w:hAnsi="Arial" w:cs="Arial"/>
          <w:noProof/>
          <w:sz w:val="24"/>
          <w:szCs w:val="24"/>
          <w:lang w:val="en-US"/>
        </w:rPr>
        <w:t>[1</w:t>
      </w:r>
      <w:r w:rsidR="002A1EE9">
        <w:rPr>
          <w:rFonts w:ascii="Arial" w:hAnsi="Arial" w:cs="Arial"/>
          <w:noProof/>
          <w:sz w:val="24"/>
          <w:szCs w:val="24"/>
          <w:lang w:val="en-US"/>
        </w:rPr>
        <w:t>3</w:t>
      </w:r>
      <w:r>
        <w:rPr>
          <w:rFonts w:ascii="Arial" w:hAnsi="Arial" w:cs="Arial"/>
          <w:noProof/>
          <w:sz w:val="24"/>
          <w:szCs w:val="24"/>
          <w:lang w:val="en-US"/>
        </w:rPr>
        <w:t>]</w:t>
      </w:r>
      <w:r w:rsidRPr="00AE5DD7">
        <w:rPr>
          <w:rFonts w:ascii="Arial" w:hAnsi="Arial" w:cs="Arial"/>
          <w:sz w:val="24"/>
          <w:szCs w:val="24"/>
          <w:lang w:val="en-US"/>
        </w:rPr>
        <w:t xml:space="preserve"> and it could represent an additional mechanism of resistance to PAS. </w:t>
      </w:r>
      <w:r w:rsidRPr="00AE5DD7">
        <w:rPr>
          <w:rFonts w:ascii="Arial" w:hAnsi="Arial" w:cs="Arial"/>
          <w:sz w:val="24"/>
          <w:szCs w:val="24"/>
        </w:rPr>
        <w:t xml:space="preserve">It is interesting to note that such variants in the </w:t>
      </w:r>
      <w:r w:rsidRPr="00AE5DD7">
        <w:rPr>
          <w:rFonts w:ascii="Arial" w:hAnsi="Arial" w:cs="Arial"/>
          <w:i/>
          <w:iCs/>
          <w:sz w:val="24"/>
          <w:szCs w:val="24"/>
        </w:rPr>
        <w:t>folC</w:t>
      </w:r>
      <w:r w:rsidRPr="00AE5DD7">
        <w:rPr>
          <w:rFonts w:ascii="Arial" w:hAnsi="Arial" w:cs="Arial"/>
          <w:sz w:val="24"/>
          <w:szCs w:val="24"/>
        </w:rPr>
        <w:t xml:space="preserve"> gene did not develop in the PAS2 mutants at lower concentration r</w:t>
      </w:r>
      <w:r w:rsidR="00DB712E">
        <w:rPr>
          <w:rFonts w:ascii="Arial" w:hAnsi="Arial" w:cs="Arial"/>
          <w:sz w:val="24"/>
          <w:szCs w:val="24"/>
        </w:rPr>
        <w:t>a</w:t>
      </w:r>
      <w:r w:rsidRPr="00AE5DD7">
        <w:rPr>
          <w:rFonts w:ascii="Arial" w:hAnsi="Arial" w:cs="Arial"/>
          <w:sz w:val="24"/>
          <w:szCs w:val="24"/>
        </w:rPr>
        <w:t xml:space="preserve">ising the hypothesis of an association with high level resistance as noted in other antituberculous drugs </w:t>
      </w:r>
      <w:r>
        <w:rPr>
          <w:rFonts w:ascii="Arial" w:hAnsi="Arial" w:cs="Arial"/>
          <w:noProof/>
          <w:sz w:val="24"/>
          <w:szCs w:val="24"/>
        </w:rPr>
        <w:t>[1</w:t>
      </w:r>
      <w:r w:rsidR="002A1EE9">
        <w:rPr>
          <w:rFonts w:ascii="Arial" w:hAnsi="Arial" w:cs="Arial"/>
          <w:noProof/>
          <w:sz w:val="24"/>
          <w:szCs w:val="24"/>
        </w:rPr>
        <w:t>4</w:t>
      </w:r>
      <w:r>
        <w:rPr>
          <w:rFonts w:ascii="Arial" w:hAnsi="Arial" w:cs="Arial"/>
          <w:noProof/>
          <w:sz w:val="24"/>
          <w:szCs w:val="24"/>
        </w:rPr>
        <w:t>]</w:t>
      </w:r>
      <w:r w:rsidRPr="00AE5DD7">
        <w:rPr>
          <w:rFonts w:ascii="Arial" w:hAnsi="Arial" w:cs="Arial"/>
          <w:sz w:val="24"/>
          <w:szCs w:val="24"/>
        </w:rPr>
        <w:t>.</w:t>
      </w:r>
      <w:r w:rsidR="00BE2465">
        <w:rPr>
          <w:rFonts w:ascii="Arial" w:hAnsi="Arial" w:cs="Arial"/>
          <w:sz w:val="24"/>
          <w:szCs w:val="24"/>
        </w:rPr>
        <w:t xml:space="preserve"> This could have</w:t>
      </w:r>
      <w:r w:rsidRPr="00AE5DD7">
        <w:rPr>
          <w:rFonts w:ascii="Arial" w:hAnsi="Arial" w:cs="Arial"/>
          <w:sz w:val="24"/>
          <w:szCs w:val="24"/>
        </w:rPr>
        <w:t xml:space="preserve"> </w:t>
      </w:r>
      <w:r w:rsidR="00BE2465" w:rsidRPr="00BE2465">
        <w:rPr>
          <w:rFonts w:ascii="Arial" w:hAnsi="Arial" w:cs="Arial"/>
          <w:sz w:val="24"/>
          <w:szCs w:val="24"/>
        </w:rPr>
        <w:t xml:space="preserve">some clinical relevance in that higher levels of resistance could be managed and potentially prevented by </w:t>
      </w:r>
      <w:r w:rsidR="00BE2465">
        <w:rPr>
          <w:rFonts w:ascii="Arial" w:hAnsi="Arial" w:cs="Arial"/>
          <w:sz w:val="24"/>
          <w:szCs w:val="24"/>
        </w:rPr>
        <w:t xml:space="preserve">optimizing the dosage as previously described by other </w:t>
      </w:r>
      <w:r w:rsidR="00BE2465">
        <w:rPr>
          <w:rFonts w:ascii="Arial" w:hAnsi="Arial" w:cs="Arial"/>
          <w:sz w:val="24"/>
          <w:szCs w:val="24"/>
        </w:rPr>
        <w:lastRenderedPageBreak/>
        <w:t xml:space="preserve">authors [15]. </w:t>
      </w:r>
      <w:r w:rsidRPr="00AE5DD7">
        <w:rPr>
          <w:rFonts w:ascii="Arial" w:hAnsi="Arial" w:cs="Arial"/>
          <w:sz w:val="24"/>
          <w:szCs w:val="24"/>
        </w:rPr>
        <w:t xml:space="preserve">It is also worth highlighting the fascinating finding (albeit unconfirmed) of </w:t>
      </w:r>
      <w:r w:rsidRPr="00AE5DD7">
        <w:rPr>
          <w:rFonts w:ascii="Arial" w:hAnsi="Arial" w:cs="Arial"/>
          <w:i/>
          <w:iCs/>
          <w:sz w:val="24"/>
          <w:szCs w:val="24"/>
        </w:rPr>
        <w:t>rrs</w:t>
      </w:r>
      <w:r w:rsidRPr="00AE5DD7">
        <w:rPr>
          <w:rFonts w:ascii="Arial" w:hAnsi="Arial" w:cs="Arial"/>
          <w:sz w:val="24"/>
          <w:szCs w:val="24"/>
        </w:rPr>
        <w:t xml:space="preserve"> and </w:t>
      </w:r>
      <w:r w:rsidRPr="00AE5DD7">
        <w:rPr>
          <w:rFonts w:ascii="Arial" w:hAnsi="Arial" w:cs="Arial"/>
          <w:i/>
          <w:iCs/>
          <w:sz w:val="24"/>
          <w:szCs w:val="24"/>
        </w:rPr>
        <w:t>rrl</w:t>
      </w:r>
      <w:r w:rsidRPr="00AE5DD7">
        <w:rPr>
          <w:rFonts w:ascii="Arial" w:hAnsi="Arial" w:cs="Arial"/>
          <w:sz w:val="24"/>
          <w:szCs w:val="24"/>
        </w:rPr>
        <w:t xml:space="preserve"> genes mutations. These genes are linked to the ribosomes, including the conversion from tRNAMet to tRNAfMet (Figure 1) and hence the synthesis of proteins in general. This would hypothetically resemble the mechanism of resistance of streptomycin, even if streptomycin resistance is more frequently associated with mutations in the </w:t>
      </w:r>
      <w:r w:rsidRPr="00AE5DD7">
        <w:rPr>
          <w:rFonts w:ascii="Arial" w:hAnsi="Arial" w:cs="Arial"/>
          <w:i/>
          <w:iCs/>
          <w:sz w:val="24"/>
          <w:szCs w:val="24"/>
        </w:rPr>
        <w:t xml:space="preserve">rpsL </w:t>
      </w:r>
      <w:r w:rsidRPr="00AE5DD7">
        <w:rPr>
          <w:rFonts w:ascii="Arial" w:hAnsi="Arial" w:cs="Arial"/>
          <w:sz w:val="24"/>
          <w:szCs w:val="24"/>
        </w:rPr>
        <w:t xml:space="preserve">gene, rather than the </w:t>
      </w:r>
      <w:r w:rsidRPr="00AE5DD7">
        <w:rPr>
          <w:rFonts w:ascii="Arial" w:hAnsi="Arial" w:cs="Arial"/>
          <w:i/>
          <w:iCs/>
          <w:sz w:val="24"/>
          <w:szCs w:val="24"/>
        </w:rPr>
        <w:t xml:space="preserve">rrs/rrl </w:t>
      </w:r>
      <w:r>
        <w:rPr>
          <w:rFonts w:ascii="Arial" w:hAnsi="Arial" w:cs="Arial"/>
          <w:noProof/>
          <w:sz w:val="24"/>
          <w:szCs w:val="24"/>
        </w:rPr>
        <w:t>[1</w:t>
      </w:r>
      <w:r w:rsidR="00BE2465">
        <w:rPr>
          <w:rFonts w:ascii="Arial" w:hAnsi="Arial" w:cs="Arial"/>
          <w:noProof/>
          <w:sz w:val="24"/>
          <w:szCs w:val="24"/>
        </w:rPr>
        <w:t>6</w:t>
      </w:r>
      <w:r>
        <w:rPr>
          <w:rFonts w:ascii="Arial" w:hAnsi="Arial" w:cs="Arial"/>
          <w:noProof/>
          <w:sz w:val="24"/>
          <w:szCs w:val="24"/>
        </w:rPr>
        <w:t>]</w:t>
      </w:r>
      <w:r w:rsidRPr="00AE5DD7">
        <w:rPr>
          <w:rFonts w:ascii="Arial" w:hAnsi="Arial" w:cs="Arial"/>
          <w:sz w:val="24"/>
          <w:szCs w:val="24"/>
        </w:rPr>
        <w:t xml:space="preserve">. </w:t>
      </w:r>
      <w:r w:rsidR="002A1EE9" w:rsidRPr="002A1EE9">
        <w:rPr>
          <w:rFonts w:ascii="Arial" w:hAnsi="Arial" w:cs="Arial"/>
          <w:sz w:val="24"/>
          <w:szCs w:val="24"/>
        </w:rPr>
        <w:t>As PAS and streptomycin have been companion drugs for decades and at a time when next generation sequencing technologies were not available, this mechanism of action/resistance may have been missed</w:t>
      </w:r>
      <w:r w:rsidR="002A1EE9">
        <w:rPr>
          <w:rFonts w:ascii="Arial" w:hAnsi="Arial" w:cs="Arial"/>
          <w:sz w:val="24"/>
          <w:szCs w:val="24"/>
        </w:rPr>
        <w:t xml:space="preserve"> and it is certainly worth further research. </w:t>
      </w:r>
      <w:r w:rsidRPr="00AE5DD7">
        <w:rPr>
          <w:rFonts w:ascii="Arial" w:hAnsi="Arial" w:cs="Arial"/>
          <w:sz w:val="24"/>
          <w:szCs w:val="24"/>
        </w:rPr>
        <w:t>Our analysis is based on only four resistant mutants</w:t>
      </w:r>
      <w:r>
        <w:rPr>
          <w:rFonts w:ascii="Arial" w:hAnsi="Arial" w:cs="Arial"/>
          <w:sz w:val="24"/>
          <w:szCs w:val="24"/>
        </w:rPr>
        <w:t xml:space="preserve"> as it</w:t>
      </w:r>
      <w:r w:rsidRPr="00AE5DD7">
        <w:rPr>
          <w:rFonts w:ascii="Arial" w:hAnsi="Arial" w:cs="Arial"/>
          <w:sz w:val="24"/>
          <w:szCs w:val="24"/>
        </w:rPr>
        <w:t xml:space="preserve"> was difficult to select PAS-resistant mutants in the laboratory</w:t>
      </w:r>
      <w:r>
        <w:rPr>
          <w:rFonts w:ascii="Arial" w:hAnsi="Arial" w:cs="Arial"/>
          <w:sz w:val="24"/>
          <w:szCs w:val="24"/>
        </w:rPr>
        <w:t>.</w:t>
      </w:r>
      <w:r w:rsidRPr="00AE5DD7">
        <w:rPr>
          <w:rFonts w:ascii="Arial" w:hAnsi="Arial" w:cs="Arial"/>
          <w:sz w:val="24"/>
          <w:szCs w:val="24"/>
        </w:rPr>
        <w:t xml:space="preserve"> This could be due to the essentiality of genes involved and the negative impact that a deletion and/or an altered gene function would have on cell survival </w:t>
      </w:r>
      <w:r>
        <w:rPr>
          <w:rFonts w:ascii="Arial" w:hAnsi="Arial" w:cs="Arial"/>
          <w:noProof/>
          <w:sz w:val="24"/>
          <w:szCs w:val="24"/>
        </w:rPr>
        <w:t>[1</w:t>
      </w:r>
      <w:r w:rsidR="00BE2465">
        <w:rPr>
          <w:rFonts w:ascii="Arial" w:hAnsi="Arial" w:cs="Arial"/>
          <w:noProof/>
          <w:sz w:val="24"/>
          <w:szCs w:val="24"/>
        </w:rPr>
        <w:t>7</w:t>
      </w:r>
      <w:r>
        <w:rPr>
          <w:rFonts w:ascii="Arial" w:hAnsi="Arial" w:cs="Arial"/>
          <w:noProof/>
          <w:sz w:val="24"/>
          <w:szCs w:val="24"/>
        </w:rPr>
        <w:t>]</w:t>
      </w:r>
      <w:r>
        <w:rPr>
          <w:rFonts w:ascii="Arial" w:hAnsi="Arial" w:cs="Arial"/>
          <w:sz w:val="24"/>
          <w:szCs w:val="24"/>
        </w:rPr>
        <w:t xml:space="preserve">. In addition, </w:t>
      </w:r>
      <w:r w:rsidRPr="00AE5DD7">
        <w:rPr>
          <w:rFonts w:ascii="Arial" w:hAnsi="Arial" w:cs="Arial"/>
          <w:sz w:val="24"/>
          <w:szCs w:val="24"/>
        </w:rPr>
        <w:t>the presence of mutations in the genome needs additional confirmation that such mutations encode for significant metabolic changes.</w:t>
      </w:r>
    </w:p>
    <w:p w14:paraId="6F181D41" w14:textId="77777777" w:rsidR="001713CD" w:rsidRPr="00AE5DD7" w:rsidRDefault="001713CD" w:rsidP="00AE5DD7">
      <w:pPr>
        <w:spacing w:line="480" w:lineRule="auto"/>
        <w:ind w:right="227"/>
        <w:jc w:val="both"/>
        <w:rPr>
          <w:rFonts w:ascii="Arial" w:hAnsi="Arial" w:cs="Arial"/>
          <w:sz w:val="24"/>
          <w:szCs w:val="24"/>
        </w:rPr>
      </w:pPr>
      <w:r w:rsidRPr="00AE5DD7">
        <w:rPr>
          <w:rFonts w:ascii="Arial" w:hAnsi="Arial" w:cs="Arial"/>
          <w:sz w:val="24"/>
          <w:szCs w:val="24"/>
        </w:rPr>
        <w:t xml:space="preserve">After nearly 70 years of clinical use of PAS, WGS analysis may help in elucidating its mechanism of action, </w:t>
      </w:r>
      <w:bookmarkEnd w:id="2"/>
      <w:r>
        <w:rPr>
          <w:rFonts w:ascii="Arial" w:hAnsi="Arial" w:cs="Arial"/>
          <w:sz w:val="24"/>
          <w:szCs w:val="24"/>
        </w:rPr>
        <w:t xml:space="preserve">but further studies are still needed. </w:t>
      </w:r>
    </w:p>
    <w:p w14:paraId="0B2729E6" w14:textId="77777777" w:rsidR="001713CD" w:rsidRPr="00AE5DD7" w:rsidRDefault="001713CD" w:rsidP="00AE5DD7">
      <w:pPr>
        <w:spacing w:after="200" w:line="480" w:lineRule="auto"/>
        <w:rPr>
          <w:rFonts w:ascii="Arial" w:hAnsi="Arial" w:cs="Arial"/>
          <w:sz w:val="24"/>
          <w:szCs w:val="24"/>
        </w:rPr>
      </w:pPr>
      <w:r w:rsidRPr="00AE5DD7">
        <w:rPr>
          <w:rFonts w:ascii="Arial" w:hAnsi="Arial" w:cs="Arial"/>
          <w:sz w:val="24"/>
          <w:szCs w:val="24"/>
        </w:rPr>
        <w:br w:type="page"/>
      </w:r>
    </w:p>
    <w:p w14:paraId="787F0397" w14:textId="77777777" w:rsidR="001713CD" w:rsidRPr="00AE5DD7" w:rsidRDefault="001713CD" w:rsidP="00AE5DD7">
      <w:pPr>
        <w:spacing w:after="200" w:line="480" w:lineRule="auto"/>
        <w:rPr>
          <w:rFonts w:ascii="Arial" w:hAnsi="Arial" w:cs="Arial"/>
          <w:sz w:val="24"/>
          <w:szCs w:val="24"/>
        </w:rPr>
      </w:pPr>
      <w:r w:rsidRPr="00AE5DD7">
        <w:rPr>
          <w:rFonts w:ascii="Arial" w:hAnsi="Arial" w:cs="Arial"/>
          <w:b/>
          <w:bCs/>
          <w:sz w:val="24"/>
          <w:szCs w:val="24"/>
        </w:rPr>
        <w:lastRenderedPageBreak/>
        <w:t>Acknowledgements</w:t>
      </w:r>
    </w:p>
    <w:p w14:paraId="3BB9AA0C" w14:textId="77777777" w:rsidR="001713CD" w:rsidRPr="00AE5DD7" w:rsidRDefault="001713CD" w:rsidP="00AE5DD7">
      <w:pPr>
        <w:spacing w:line="480" w:lineRule="auto"/>
        <w:ind w:right="227"/>
        <w:jc w:val="both"/>
        <w:rPr>
          <w:rFonts w:ascii="Arial" w:hAnsi="Arial" w:cs="Arial"/>
          <w:sz w:val="24"/>
          <w:szCs w:val="24"/>
        </w:rPr>
      </w:pPr>
      <w:r w:rsidRPr="00AE5DD7">
        <w:rPr>
          <w:rFonts w:ascii="Arial" w:hAnsi="Arial" w:cs="Arial"/>
          <w:sz w:val="24"/>
          <w:szCs w:val="24"/>
        </w:rPr>
        <w:t>None</w:t>
      </w:r>
    </w:p>
    <w:p w14:paraId="5CBD614E" w14:textId="77777777" w:rsidR="001713CD" w:rsidRPr="00AE5DD7" w:rsidRDefault="001713CD" w:rsidP="00AE5DD7">
      <w:pPr>
        <w:spacing w:line="480" w:lineRule="auto"/>
        <w:ind w:right="227"/>
        <w:jc w:val="both"/>
        <w:rPr>
          <w:rFonts w:ascii="Arial" w:hAnsi="Arial" w:cs="Arial"/>
          <w:b/>
          <w:bCs/>
          <w:sz w:val="24"/>
          <w:szCs w:val="24"/>
        </w:rPr>
      </w:pPr>
      <w:r w:rsidRPr="00AE5DD7">
        <w:rPr>
          <w:rFonts w:ascii="Arial" w:hAnsi="Arial" w:cs="Arial"/>
          <w:b/>
          <w:bCs/>
          <w:sz w:val="24"/>
          <w:szCs w:val="24"/>
        </w:rPr>
        <w:t>Funding</w:t>
      </w:r>
    </w:p>
    <w:p w14:paraId="684ACA18" w14:textId="77777777" w:rsidR="001713CD" w:rsidRPr="00AE5DD7" w:rsidRDefault="001713CD" w:rsidP="00AE5DD7">
      <w:pPr>
        <w:spacing w:line="480" w:lineRule="auto"/>
        <w:ind w:right="227"/>
        <w:jc w:val="both"/>
        <w:rPr>
          <w:rFonts w:ascii="Arial" w:hAnsi="Arial" w:cs="Arial"/>
          <w:sz w:val="24"/>
          <w:szCs w:val="24"/>
        </w:rPr>
      </w:pPr>
      <w:r w:rsidRPr="00AE5DD7">
        <w:rPr>
          <w:rFonts w:ascii="Arial" w:hAnsi="Arial" w:cs="Arial"/>
          <w:sz w:val="24"/>
          <w:szCs w:val="24"/>
        </w:rPr>
        <w:t xml:space="preserve">None to declare. The experiments described in this manuscript were performed as part of Dr Satta’s PhD at University College London using internal departmental funds. </w:t>
      </w:r>
    </w:p>
    <w:p w14:paraId="1837F5FB" w14:textId="77777777" w:rsidR="001713CD" w:rsidRPr="00AE5DD7" w:rsidRDefault="001713CD" w:rsidP="00AE5DD7">
      <w:pPr>
        <w:spacing w:line="480" w:lineRule="auto"/>
        <w:ind w:right="227"/>
        <w:jc w:val="both"/>
        <w:rPr>
          <w:rFonts w:ascii="Arial" w:hAnsi="Arial" w:cs="Arial"/>
          <w:b/>
          <w:bCs/>
          <w:sz w:val="24"/>
          <w:szCs w:val="24"/>
        </w:rPr>
      </w:pPr>
      <w:r w:rsidRPr="00AE5DD7">
        <w:rPr>
          <w:rFonts w:ascii="Arial" w:hAnsi="Arial" w:cs="Arial"/>
          <w:b/>
          <w:bCs/>
          <w:sz w:val="24"/>
          <w:szCs w:val="24"/>
        </w:rPr>
        <w:t xml:space="preserve">Transparency declarations </w:t>
      </w:r>
    </w:p>
    <w:p w14:paraId="35E449F1" w14:textId="77777777" w:rsidR="001713CD" w:rsidRPr="00AE5DD7" w:rsidRDefault="001713CD" w:rsidP="00AE5DD7">
      <w:pPr>
        <w:spacing w:line="480" w:lineRule="auto"/>
        <w:ind w:right="227"/>
        <w:jc w:val="both"/>
        <w:rPr>
          <w:rFonts w:ascii="Arial" w:hAnsi="Arial" w:cs="Arial"/>
          <w:sz w:val="24"/>
          <w:szCs w:val="24"/>
        </w:rPr>
      </w:pPr>
      <w:r w:rsidRPr="00AE5DD7">
        <w:rPr>
          <w:rFonts w:ascii="Arial" w:hAnsi="Arial" w:cs="Arial"/>
          <w:sz w:val="24"/>
          <w:szCs w:val="24"/>
        </w:rPr>
        <w:t>All authors have no relevant conflict to declare.</w:t>
      </w:r>
    </w:p>
    <w:p w14:paraId="11F57F64" w14:textId="77777777" w:rsidR="001713CD" w:rsidRPr="00AE5DD7" w:rsidRDefault="001713CD" w:rsidP="00AE5DD7">
      <w:pPr>
        <w:spacing w:line="480" w:lineRule="auto"/>
        <w:ind w:right="227"/>
        <w:jc w:val="both"/>
        <w:rPr>
          <w:rFonts w:ascii="Arial" w:hAnsi="Arial" w:cs="Arial"/>
          <w:b/>
          <w:sz w:val="24"/>
          <w:szCs w:val="24"/>
        </w:rPr>
      </w:pPr>
      <w:r w:rsidRPr="00AE5DD7">
        <w:rPr>
          <w:rFonts w:ascii="Arial" w:hAnsi="Arial" w:cs="Arial"/>
          <w:b/>
          <w:sz w:val="24"/>
          <w:szCs w:val="24"/>
        </w:rPr>
        <w:t>Data availability</w:t>
      </w:r>
    </w:p>
    <w:p w14:paraId="1224D4D4" w14:textId="4388C546" w:rsidR="001713CD" w:rsidRPr="00AE5DD7" w:rsidRDefault="001713CD" w:rsidP="00AE5DD7">
      <w:pPr>
        <w:spacing w:line="480" w:lineRule="auto"/>
        <w:ind w:right="227"/>
        <w:jc w:val="both"/>
        <w:rPr>
          <w:rFonts w:ascii="Arial" w:hAnsi="Arial" w:cs="Arial"/>
          <w:sz w:val="24"/>
          <w:szCs w:val="24"/>
        </w:rPr>
      </w:pPr>
      <w:r w:rsidRPr="00AE5DD7">
        <w:rPr>
          <w:rFonts w:ascii="Arial" w:hAnsi="Arial" w:cs="Arial"/>
          <w:sz w:val="24"/>
          <w:szCs w:val="24"/>
        </w:rPr>
        <w:t xml:space="preserve">The sequence data generated has been deposited in the European Nucleotide Archive database hosted by The European Bioinformatics Institute under project accession </w:t>
      </w:r>
      <w:r w:rsidR="00DF1BAB" w:rsidRPr="00DF1BAB">
        <w:rPr>
          <w:rFonts w:ascii="Arial" w:hAnsi="Arial" w:cs="Arial"/>
          <w:color w:val="000000"/>
          <w:sz w:val="24"/>
          <w:szCs w:val="24"/>
          <w:shd w:val="clear" w:color="auto" w:fill="FFFFFF"/>
        </w:rPr>
        <w:t>PRJEB36463 (ERP119659)</w:t>
      </w:r>
      <w:r w:rsidR="00DF1BAB">
        <w:rPr>
          <w:rFonts w:ascii="Arial" w:hAnsi="Arial" w:cs="Arial"/>
          <w:color w:val="000000"/>
          <w:sz w:val="24"/>
          <w:szCs w:val="24"/>
          <w:shd w:val="clear" w:color="auto" w:fill="FFFFFF"/>
        </w:rPr>
        <w:t>.</w:t>
      </w:r>
    </w:p>
    <w:bookmarkEnd w:id="3"/>
    <w:p w14:paraId="2A059705" w14:textId="77777777" w:rsidR="001713CD" w:rsidRDefault="001713CD">
      <w:pPr>
        <w:spacing w:after="200" w:line="276" w:lineRule="auto"/>
        <w:rPr>
          <w:rFonts w:ascii="Arial" w:hAnsi="Arial" w:cs="Arial"/>
          <w:b/>
          <w:bCs/>
          <w:sz w:val="24"/>
          <w:szCs w:val="24"/>
        </w:rPr>
      </w:pPr>
      <w:r>
        <w:rPr>
          <w:rFonts w:ascii="Arial" w:hAnsi="Arial" w:cs="Arial"/>
          <w:b/>
          <w:bCs/>
          <w:sz w:val="24"/>
          <w:szCs w:val="24"/>
        </w:rPr>
        <w:br w:type="page"/>
      </w:r>
    </w:p>
    <w:p w14:paraId="337F51AA" w14:textId="77777777" w:rsidR="001713CD" w:rsidRPr="00CA5BA7" w:rsidRDefault="001713CD" w:rsidP="00CA5BA7">
      <w:pPr>
        <w:spacing w:line="480" w:lineRule="auto"/>
        <w:rPr>
          <w:rFonts w:ascii="Arial" w:hAnsi="Arial" w:cs="Arial"/>
          <w:b/>
          <w:bCs/>
          <w:sz w:val="24"/>
          <w:szCs w:val="24"/>
        </w:rPr>
      </w:pPr>
      <w:r w:rsidRPr="00CA5BA7">
        <w:rPr>
          <w:rFonts w:ascii="Arial" w:hAnsi="Arial" w:cs="Arial"/>
          <w:b/>
          <w:bCs/>
          <w:sz w:val="24"/>
          <w:szCs w:val="24"/>
        </w:rPr>
        <w:lastRenderedPageBreak/>
        <w:t>References</w:t>
      </w:r>
    </w:p>
    <w:p w14:paraId="764E58FF" w14:textId="63E0EAE4" w:rsidR="00CA5BA7" w:rsidRPr="002A1EE9" w:rsidRDefault="002A1EE9" w:rsidP="002A1EE9">
      <w:pPr>
        <w:pStyle w:val="EndNoteBibliography"/>
        <w:numPr>
          <w:ilvl w:val="0"/>
          <w:numId w:val="41"/>
        </w:numPr>
        <w:spacing w:line="480" w:lineRule="auto"/>
        <w:rPr>
          <w:sz w:val="24"/>
          <w:szCs w:val="24"/>
        </w:rPr>
      </w:pPr>
      <w:r>
        <w:rPr>
          <w:sz w:val="24"/>
          <w:szCs w:val="24"/>
        </w:rPr>
        <w:t xml:space="preserve">Donald PR, Diacon AH. 2015. </w:t>
      </w:r>
      <w:r w:rsidRPr="002A1EE9">
        <w:rPr>
          <w:sz w:val="24"/>
          <w:szCs w:val="24"/>
        </w:rPr>
        <w:t>Para-aminosalicylic Acid: The Return of an Old Friend</w:t>
      </w:r>
      <w:r>
        <w:rPr>
          <w:sz w:val="24"/>
          <w:szCs w:val="24"/>
        </w:rPr>
        <w:t xml:space="preserve">. </w:t>
      </w:r>
      <w:r w:rsidRPr="002A1EE9">
        <w:rPr>
          <w:sz w:val="24"/>
          <w:szCs w:val="24"/>
        </w:rPr>
        <w:t>Lancet Infect Dis</w:t>
      </w:r>
      <w:r>
        <w:rPr>
          <w:sz w:val="24"/>
          <w:szCs w:val="24"/>
        </w:rPr>
        <w:t xml:space="preserve"> </w:t>
      </w:r>
      <w:r w:rsidRPr="002A1EE9">
        <w:rPr>
          <w:sz w:val="24"/>
          <w:szCs w:val="24"/>
        </w:rPr>
        <w:t>15(9):1091-1099</w:t>
      </w:r>
      <w:r>
        <w:rPr>
          <w:sz w:val="24"/>
          <w:szCs w:val="24"/>
        </w:rPr>
        <w:t>.</w:t>
      </w:r>
    </w:p>
    <w:p w14:paraId="0A93D98A" w14:textId="77777777" w:rsidR="002A1EE9" w:rsidRDefault="002A1EE9" w:rsidP="002A1EE9">
      <w:pPr>
        <w:pStyle w:val="EndNoteBibliography"/>
        <w:numPr>
          <w:ilvl w:val="0"/>
          <w:numId w:val="41"/>
        </w:numPr>
        <w:spacing w:line="480" w:lineRule="auto"/>
        <w:rPr>
          <w:sz w:val="24"/>
          <w:szCs w:val="24"/>
        </w:rPr>
      </w:pPr>
      <w:r w:rsidRPr="00CA5BA7">
        <w:rPr>
          <w:sz w:val="24"/>
          <w:szCs w:val="24"/>
        </w:rPr>
        <w:t xml:space="preserve">Minato Y, Thiede JM, Kordus SL, McKlveen EJ, Turman BJ, Baughn AD. </w:t>
      </w:r>
      <w:r>
        <w:rPr>
          <w:sz w:val="24"/>
          <w:szCs w:val="24"/>
        </w:rPr>
        <w:t xml:space="preserve">2015. </w:t>
      </w:r>
      <w:r w:rsidRPr="00CA5BA7">
        <w:rPr>
          <w:sz w:val="24"/>
          <w:szCs w:val="24"/>
        </w:rPr>
        <w:t>Mycobacterium tuberculosis folate metabolism and the mechanistic basis for para-aminosalicylic acid susceptibility and resistance. Antimicrob Agents Chemother</w:t>
      </w:r>
      <w:r>
        <w:rPr>
          <w:sz w:val="24"/>
          <w:szCs w:val="24"/>
        </w:rPr>
        <w:t xml:space="preserve"> </w:t>
      </w:r>
      <w:r w:rsidRPr="00CA5BA7">
        <w:rPr>
          <w:sz w:val="24"/>
          <w:szCs w:val="24"/>
        </w:rPr>
        <w:t>59(9):5097-5106.</w:t>
      </w:r>
    </w:p>
    <w:p w14:paraId="36B921E1" w14:textId="5F2659E5" w:rsidR="00CA5BA7" w:rsidRDefault="00625711" w:rsidP="002A1EE9">
      <w:pPr>
        <w:pStyle w:val="EndNoteBibliography"/>
        <w:numPr>
          <w:ilvl w:val="0"/>
          <w:numId w:val="41"/>
        </w:numPr>
        <w:spacing w:line="480" w:lineRule="auto"/>
        <w:rPr>
          <w:sz w:val="24"/>
          <w:szCs w:val="24"/>
        </w:rPr>
      </w:pPr>
      <w:r w:rsidRPr="00625711">
        <w:rPr>
          <w:sz w:val="24"/>
          <w:szCs w:val="24"/>
        </w:rPr>
        <w:t>Mathys V, Wintjens R, Lefevre P, Bertout J, Singhal A, Kiass M, Kurepina N, Wang XM, Mathema B, Baulard A, Kreiswirth BN, Bifani P</w:t>
      </w:r>
      <w:r w:rsidR="00CA5BA7" w:rsidRPr="002A1EE9">
        <w:rPr>
          <w:sz w:val="24"/>
          <w:szCs w:val="24"/>
        </w:rPr>
        <w:t xml:space="preserve">. </w:t>
      </w:r>
      <w:r w:rsidR="00CA5BA7" w:rsidRPr="002A1EE9">
        <w:rPr>
          <w:sz w:val="24"/>
          <w:szCs w:val="24"/>
        </w:rPr>
        <w:t>2009. Molecular genetics of para-aminosalicylic acid resistance in clinical isolates and spontaneous mutants of Mycobacterium tuberculosis. Antimicrob Agents Chemother 53(5):2100-2109.</w:t>
      </w:r>
    </w:p>
    <w:p w14:paraId="7755764C" w14:textId="771CED42" w:rsidR="00CA5BA7" w:rsidRDefault="00CA5BA7" w:rsidP="002A1EE9">
      <w:pPr>
        <w:pStyle w:val="EndNoteBibliography"/>
        <w:numPr>
          <w:ilvl w:val="0"/>
          <w:numId w:val="41"/>
        </w:numPr>
        <w:spacing w:line="480" w:lineRule="auto"/>
        <w:rPr>
          <w:sz w:val="24"/>
          <w:szCs w:val="24"/>
        </w:rPr>
      </w:pPr>
      <w:r w:rsidRPr="002A1EE9">
        <w:rPr>
          <w:sz w:val="24"/>
          <w:szCs w:val="24"/>
        </w:rPr>
        <w:t>Fivian-Hughes AS, Houghton J, Davis EO. 2012. Mycobacterium tuberculosis thymidylate synthase gene thyX is essential and potentially bifunctional, while thyA deletion confers resistance to p-aminosalicylic acid. Microbiology 158(Pt 2):308-318.</w:t>
      </w:r>
    </w:p>
    <w:p w14:paraId="24A83F57" w14:textId="4D9BD778" w:rsidR="00CA5BA7" w:rsidRDefault="00625711" w:rsidP="002A1EE9">
      <w:pPr>
        <w:pStyle w:val="EndNoteBibliography"/>
        <w:numPr>
          <w:ilvl w:val="0"/>
          <w:numId w:val="41"/>
        </w:numPr>
        <w:spacing w:line="480" w:lineRule="auto"/>
        <w:rPr>
          <w:sz w:val="24"/>
          <w:szCs w:val="24"/>
        </w:rPr>
      </w:pPr>
      <w:r w:rsidRPr="00625711">
        <w:rPr>
          <w:sz w:val="24"/>
          <w:szCs w:val="24"/>
        </w:rPr>
        <w:t>Zhao F, Wang</w:t>
      </w:r>
      <w:r>
        <w:rPr>
          <w:sz w:val="24"/>
          <w:szCs w:val="24"/>
        </w:rPr>
        <w:t xml:space="preserve"> </w:t>
      </w:r>
      <w:r w:rsidRPr="00625711">
        <w:rPr>
          <w:sz w:val="24"/>
          <w:szCs w:val="24"/>
        </w:rPr>
        <w:t>XD, Erber LN, Luo M, Guo AZ, Yang</w:t>
      </w:r>
      <w:r>
        <w:rPr>
          <w:sz w:val="24"/>
          <w:szCs w:val="24"/>
        </w:rPr>
        <w:t xml:space="preserve"> </w:t>
      </w:r>
      <w:r w:rsidRPr="00625711">
        <w:rPr>
          <w:sz w:val="24"/>
          <w:szCs w:val="24"/>
        </w:rPr>
        <w:t>SS, Gu J, Turman B J., Gao</w:t>
      </w:r>
      <w:r>
        <w:rPr>
          <w:sz w:val="24"/>
          <w:szCs w:val="24"/>
        </w:rPr>
        <w:t xml:space="preserve"> </w:t>
      </w:r>
      <w:r w:rsidRPr="00625711">
        <w:rPr>
          <w:sz w:val="24"/>
          <w:szCs w:val="24"/>
        </w:rPr>
        <w:t>YR, Li DF, Cui ZQ, Zhang ZP, Bi</w:t>
      </w:r>
      <w:r>
        <w:rPr>
          <w:sz w:val="24"/>
          <w:szCs w:val="24"/>
        </w:rPr>
        <w:t xml:space="preserve"> </w:t>
      </w:r>
      <w:r w:rsidRPr="00625711">
        <w:rPr>
          <w:sz w:val="24"/>
          <w:szCs w:val="24"/>
        </w:rPr>
        <w:t>LJ, Baughn</w:t>
      </w:r>
      <w:r>
        <w:rPr>
          <w:sz w:val="24"/>
          <w:szCs w:val="24"/>
        </w:rPr>
        <w:t xml:space="preserve"> </w:t>
      </w:r>
      <w:r w:rsidRPr="00625711">
        <w:rPr>
          <w:sz w:val="24"/>
          <w:szCs w:val="24"/>
        </w:rPr>
        <w:t>AD, Zhang XE,</w:t>
      </w:r>
      <w:r>
        <w:rPr>
          <w:sz w:val="24"/>
          <w:szCs w:val="24"/>
        </w:rPr>
        <w:t xml:space="preserve"> </w:t>
      </w:r>
      <w:r w:rsidRPr="00625711">
        <w:rPr>
          <w:sz w:val="24"/>
          <w:szCs w:val="24"/>
        </w:rPr>
        <w:t>Deng J Y.</w:t>
      </w:r>
      <w:r>
        <w:rPr>
          <w:sz w:val="24"/>
          <w:szCs w:val="24"/>
        </w:rPr>
        <w:t xml:space="preserve"> </w:t>
      </w:r>
      <w:r w:rsidR="00CA5BA7" w:rsidRPr="002A1EE9">
        <w:rPr>
          <w:sz w:val="24"/>
          <w:szCs w:val="24"/>
        </w:rPr>
        <w:t>2014. Binding pocket alterations in dihydrofolate synthase confer resistance to para-aminosalicylic acid in clinical isolates of Mycobacterium tuberculosis. Antimicrob Agents Chemother 58(3):1479-1487.</w:t>
      </w:r>
    </w:p>
    <w:p w14:paraId="6592BEA6" w14:textId="5DB1CE69" w:rsidR="00CA5BA7" w:rsidRDefault="00CA5BA7" w:rsidP="002A1EE9">
      <w:pPr>
        <w:pStyle w:val="EndNoteBibliography"/>
        <w:numPr>
          <w:ilvl w:val="0"/>
          <w:numId w:val="41"/>
        </w:numPr>
        <w:spacing w:line="480" w:lineRule="auto"/>
        <w:rPr>
          <w:sz w:val="24"/>
          <w:szCs w:val="24"/>
        </w:rPr>
      </w:pPr>
      <w:r w:rsidRPr="002A1EE9">
        <w:rPr>
          <w:sz w:val="24"/>
          <w:szCs w:val="24"/>
        </w:rPr>
        <w:t xml:space="preserve">Zhang X, Liu L, Zhang Y, Dai G, Huang H, Jin Q. 2015. Genetic determinants involved in p-aminosalicylic acid resistance in clinical isolates </w:t>
      </w:r>
      <w:r w:rsidRPr="002A1EE9">
        <w:rPr>
          <w:sz w:val="24"/>
          <w:szCs w:val="24"/>
        </w:rPr>
        <w:lastRenderedPageBreak/>
        <w:t>from tuberculosis patients in northern China from 2006 to 2012. Antimicrob Agents Chemother 59(2):1320-1324.</w:t>
      </w:r>
    </w:p>
    <w:p w14:paraId="49A8E289" w14:textId="3F225C43" w:rsidR="00CA5BA7" w:rsidRDefault="0030321C" w:rsidP="002A1EE9">
      <w:pPr>
        <w:pStyle w:val="EndNoteBibliography"/>
        <w:numPr>
          <w:ilvl w:val="0"/>
          <w:numId w:val="41"/>
        </w:numPr>
        <w:spacing w:line="480" w:lineRule="auto"/>
        <w:rPr>
          <w:sz w:val="24"/>
          <w:szCs w:val="24"/>
        </w:rPr>
      </w:pPr>
      <w:r w:rsidRPr="0030321C">
        <w:rPr>
          <w:sz w:val="24"/>
          <w:szCs w:val="24"/>
        </w:rPr>
        <w:t>Wei W, Yan H, Zhao J, Li H, Li Z, Guo H, Wang X, Zhou Y, Zhang X, Zeng J, Chen T, Zhou L.</w:t>
      </w:r>
      <w:r w:rsidRPr="0030321C">
        <w:rPr>
          <w:sz w:val="24"/>
          <w:szCs w:val="24"/>
        </w:rPr>
        <w:t xml:space="preserve"> </w:t>
      </w:r>
      <w:r w:rsidR="00CA5BA7" w:rsidRPr="002A1EE9">
        <w:rPr>
          <w:sz w:val="24"/>
          <w:szCs w:val="24"/>
        </w:rPr>
        <w:t>2019. Multi-omics comparisons of p-aminosalicylic acid (PAS) resistance in folC mutated and un-mutated Mycobacterium tuberculosis strains. Emerging Microbes &amp; Infections 8(1):248-261.</w:t>
      </w:r>
    </w:p>
    <w:p w14:paraId="6F0781C0" w14:textId="18F0F6A0" w:rsidR="00CA5BA7" w:rsidRDefault="007673BE" w:rsidP="002A1EE9">
      <w:pPr>
        <w:pStyle w:val="EndNoteBibliography"/>
        <w:numPr>
          <w:ilvl w:val="0"/>
          <w:numId w:val="41"/>
        </w:numPr>
        <w:spacing w:line="480" w:lineRule="auto"/>
        <w:rPr>
          <w:sz w:val="24"/>
          <w:szCs w:val="24"/>
        </w:rPr>
      </w:pPr>
      <w:r w:rsidRPr="007673BE">
        <w:rPr>
          <w:sz w:val="24"/>
          <w:szCs w:val="24"/>
        </w:rPr>
        <w:t>Ramón-García S, Mick V, Dainese E, Martín C, Thompson CJ, De Rossi E, Manganelli R, Aínsa JA</w:t>
      </w:r>
      <w:r w:rsidR="00CA5BA7" w:rsidRPr="002A1EE9">
        <w:rPr>
          <w:sz w:val="24"/>
          <w:szCs w:val="24"/>
        </w:rPr>
        <w:t>. 2012. Functional and genetic characterization of the tap efflux pump in Mycobacterium bovis BCG. Antimicrob Agents Chemother 56(4):2074-2083.</w:t>
      </w:r>
    </w:p>
    <w:p w14:paraId="0E0996BE" w14:textId="6EFB87F0" w:rsidR="00CA5BA7" w:rsidRDefault="00CA5BA7" w:rsidP="002A1EE9">
      <w:pPr>
        <w:pStyle w:val="EndNoteBibliography"/>
        <w:numPr>
          <w:ilvl w:val="0"/>
          <w:numId w:val="41"/>
        </w:numPr>
        <w:spacing w:line="480" w:lineRule="auto"/>
        <w:rPr>
          <w:sz w:val="24"/>
          <w:szCs w:val="24"/>
        </w:rPr>
      </w:pPr>
      <w:r w:rsidRPr="002A1EE9">
        <w:rPr>
          <w:sz w:val="24"/>
          <w:szCs w:val="24"/>
        </w:rPr>
        <w:t>Heifets L. Role of phenotypic methods for drug susceptibility testing of M. tuberculosis isolates in the era of MDR and XDR epidemics. In: McHugh TD, ed. Tuberculosis: laboratory diagnosis and treatment strategies. London, UK: CABI; 2013.</w:t>
      </w:r>
    </w:p>
    <w:p w14:paraId="20E8B165" w14:textId="609A870F" w:rsidR="00CA5BA7" w:rsidRDefault="00CA5BA7" w:rsidP="002A1EE9">
      <w:pPr>
        <w:pStyle w:val="EndNoteBibliography"/>
        <w:numPr>
          <w:ilvl w:val="0"/>
          <w:numId w:val="41"/>
        </w:numPr>
        <w:spacing w:line="480" w:lineRule="auto"/>
        <w:rPr>
          <w:sz w:val="24"/>
          <w:szCs w:val="24"/>
        </w:rPr>
      </w:pPr>
      <w:r w:rsidRPr="002A1EE9">
        <w:rPr>
          <w:sz w:val="24"/>
          <w:szCs w:val="24"/>
        </w:rPr>
        <w:t>Satta G, Witney AA, Shorten RJ, Karlikowska M, Lipman M, McHugh TD. 2016. Genetic variation in Mycobacterium tuberculosis isolates from a London outbreak associated with isoniazid resistance. BMC Med 14(1):117.</w:t>
      </w:r>
    </w:p>
    <w:p w14:paraId="19EA3647" w14:textId="6CB437DA" w:rsidR="00CA5BA7" w:rsidRDefault="007673BE" w:rsidP="002A1EE9">
      <w:pPr>
        <w:pStyle w:val="EndNoteBibliography"/>
        <w:numPr>
          <w:ilvl w:val="0"/>
          <w:numId w:val="41"/>
        </w:numPr>
        <w:spacing w:line="480" w:lineRule="auto"/>
        <w:rPr>
          <w:sz w:val="24"/>
          <w:szCs w:val="24"/>
        </w:rPr>
      </w:pPr>
      <w:r w:rsidRPr="007673BE">
        <w:rPr>
          <w:sz w:val="24"/>
          <w:szCs w:val="24"/>
        </w:rPr>
        <w:t>Andries K, Verhasselt P, Guillemont J, Göhlmann HW, Neefs JM, Winkler H, Van Gestel J, Timmerman P, Zhu M, Lee E, Williams P, de Chaffoy D, Huitric E, Hoffner S, Cambau E, Truffot-Pernot C, Lounis N, Jarlier V</w:t>
      </w:r>
      <w:r w:rsidR="00CA5BA7" w:rsidRPr="002A1EE9">
        <w:rPr>
          <w:sz w:val="24"/>
          <w:szCs w:val="24"/>
        </w:rPr>
        <w:t>. 2005. A Diarylquinoline Drug Active on the ATP Synthase of Mycobacterium tuberculosis. Science 307(5707):223-227.</w:t>
      </w:r>
    </w:p>
    <w:p w14:paraId="4930F951" w14:textId="5B92BECF" w:rsidR="00CA5BA7" w:rsidRDefault="00CA5BA7" w:rsidP="002A1EE9">
      <w:pPr>
        <w:pStyle w:val="EndNoteBibliography"/>
        <w:numPr>
          <w:ilvl w:val="0"/>
          <w:numId w:val="41"/>
        </w:numPr>
        <w:spacing w:line="480" w:lineRule="auto"/>
        <w:rPr>
          <w:sz w:val="24"/>
          <w:szCs w:val="24"/>
        </w:rPr>
      </w:pPr>
      <w:r w:rsidRPr="002A1EE9">
        <w:rPr>
          <w:sz w:val="24"/>
          <w:szCs w:val="24"/>
        </w:rPr>
        <w:lastRenderedPageBreak/>
        <w:t>Green JM, Matthews RG. 2007. Folate Biosynthesis, Reduction, and Polyglutamylation and the Interconversion of Folate Derivatives. EcoSal Plus 2(2).</w:t>
      </w:r>
    </w:p>
    <w:p w14:paraId="76D962C0" w14:textId="7F09B7AC" w:rsidR="00CA5BA7" w:rsidRDefault="007673BE" w:rsidP="002A1EE9">
      <w:pPr>
        <w:pStyle w:val="EndNoteBibliography"/>
        <w:numPr>
          <w:ilvl w:val="0"/>
          <w:numId w:val="41"/>
        </w:numPr>
        <w:spacing w:line="480" w:lineRule="auto"/>
        <w:rPr>
          <w:sz w:val="24"/>
          <w:szCs w:val="24"/>
        </w:rPr>
      </w:pPr>
      <w:r w:rsidRPr="007673BE">
        <w:rPr>
          <w:sz w:val="24"/>
          <w:szCs w:val="24"/>
        </w:rPr>
        <w:t>Zhao F, Wang XD, Erber LN, Luo M, Guo AZ, Yang SS, Gu J, Turman BJ, Gao YR, Li DF, Cui ZQ, Zhang ZP, Bi LJ, Baughn AD, Zhang XE, Deng JY</w:t>
      </w:r>
      <w:r w:rsidR="00CA5BA7" w:rsidRPr="002A1EE9">
        <w:rPr>
          <w:sz w:val="24"/>
          <w:szCs w:val="24"/>
        </w:rPr>
        <w:t>. 2014. Binding Pocket Alterations in Dihydrofolate Synthase Confer Resistance to Para-Aminosalicylic Acid in Clinical Isolates of Mycobacterium tuberculosis. Antimicrobial Agents and Chemotherapy 58(3):1479.</w:t>
      </w:r>
    </w:p>
    <w:p w14:paraId="0CAE6726" w14:textId="59613888" w:rsidR="00CA5BA7" w:rsidRDefault="007673BE" w:rsidP="002A1EE9">
      <w:pPr>
        <w:pStyle w:val="EndNoteBibliography"/>
        <w:numPr>
          <w:ilvl w:val="0"/>
          <w:numId w:val="41"/>
        </w:numPr>
        <w:spacing w:line="480" w:lineRule="auto"/>
        <w:rPr>
          <w:sz w:val="24"/>
          <w:szCs w:val="24"/>
        </w:rPr>
      </w:pPr>
      <w:r w:rsidRPr="007673BE">
        <w:rPr>
          <w:sz w:val="24"/>
          <w:szCs w:val="24"/>
        </w:rPr>
        <w:t>Lempens P, Meehan CJ, Vandelannoote K, Fissette K, de Rijk P, Van Deun A, Rigouts L, de Jong BC</w:t>
      </w:r>
      <w:r w:rsidR="00CA5BA7" w:rsidRPr="002A1EE9">
        <w:rPr>
          <w:sz w:val="24"/>
          <w:szCs w:val="24"/>
        </w:rPr>
        <w:t xml:space="preserve">. 2018. Isoniazid resistance levels of Mycobacterium tuberculosis can largely be predicted by high-confidence resistance-conferring mutations. </w:t>
      </w:r>
      <w:r w:rsidRPr="007673BE">
        <w:rPr>
          <w:sz w:val="24"/>
          <w:szCs w:val="24"/>
        </w:rPr>
        <w:t>Sci Rep</w:t>
      </w:r>
      <w:r>
        <w:rPr>
          <w:sz w:val="24"/>
          <w:szCs w:val="24"/>
        </w:rPr>
        <w:t xml:space="preserve"> </w:t>
      </w:r>
      <w:r w:rsidRPr="007673BE">
        <w:rPr>
          <w:sz w:val="24"/>
          <w:szCs w:val="24"/>
        </w:rPr>
        <w:t>19;8(1):3246.</w:t>
      </w:r>
    </w:p>
    <w:p w14:paraId="1C9C5446" w14:textId="46E6292E" w:rsidR="00BE2465" w:rsidRPr="001A34E6" w:rsidRDefault="00667561" w:rsidP="00BE2465">
      <w:pPr>
        <w:pStyle w:val="EndNoteBibliography"/>
        <w:numPr>
          <w:ilvl w:val="0"/>
          <w:numId w:val="41"/>
        </w:numPr>
        <w:spacing w:line="480" w:lineRule="auto"/>
        <w:rPr>
          <w:sz w:val="24"/>
          <w:szCs w:val="24"/>
        </w:rPr>
      </w:pPr>
      <w:r w:rsidRPr="00667561">
        <w:rPr>
          <w:sz w:val="24"/>
          <w:szCs w:val="24"/>
        </w:rPr>
        <w:t>Sy SK, de Kock L, Diacon AH, Werely CJ, Xia H, Rosenkranz B, van der Merwe L, Donald PR.</w:t>
      </w:r>
      <w:r w:rsidR="00BE2465">
        <w:rPr>
          <w:sz w:val="24"/>
          <w:szCs w:val="24"/>
        </w:rPr>
        <w:t xml:space="preserve"> 2015. </w:t>
      </w:r>
      <w:r w:rsidR="00BE2465" w:rsidRPr="00BE2465">
        <w:rPr>
          <w:sz w:val="24"/>
          <w:szCs w:val="24"/>
        </w:rPr>
        <w:t>N-acetyltransferase Genotypes and the Pharmacokinetics and Tolerability of Para-Aminosalicylic Acid in Patients With Drug-Resistant Pulmonary Tuberculosis</w:t>
      </w:r>
      <w:r w:rsidR="00BE2465">
        <w:rPr>
          <w:sz w:val="24"/>
          <w:szCs w:val="24"/>
        </w:rPr>
        <w:t xml:space="preserve">. </w:t>
      </w:r>
      <w:r w:rsidR="00BE2465" w:rsidRPr="00BE2465">
        <w:rPr>
          <w:sz w:val="24"/>
          <w:szCs w:val="24"/>
        </w:rPr>
        <w:t>Antimicrob Agents Chemother</w:t>
      </w:r>
      <w:r w:rsidR="00BE2465" w:rsidRPr="001A34E6">
        <w:rPr>
          <w:sz w:val="24"/>
          <w:szCs w:val="24"/>
        </w:rPr>
        <w:t xml:space="preserve"> 59(7):4129-38.</w:t>
      </w:r>
    </w:p>
    <w:p w14:paraId="19B7D8FA" w14:textId="3AC52B6A" w:rsidR="00CA5BA7" w:rsidRDefault="00CA5BA7" w:rsidP="002A1EE9">
      <w:pPr>
        <w:pStyle w:val="EndNoteBibliography"/>
        <w:numPr>
          <w:ilvl w:val="0"/>
          <w:numId w:val="41"/>
        </w:numPr>
        <w:spacing w:line="480" w:lineRule="auto"/>
        <w:rPr>
          <w:sz w:val="24"/>
          <w:szCs w:val="24"/>
        </w:rPr>
      </w:pPr>
      <w:r w:rsidRPr="002A1EE9">
        <w:rPr>
          <w:sz w:val="24"/>
          <w:szCs w:val="24"/>
        </w:rPr>
        <w:t>Springer B, Kidan YG, Prammananan T, Ellrott K, Bottger EC, Sander P. Mechanisms of streptomycin resistance: selection of mutations in the 16S rRNA gene conferring resistance. 2001. Antimicrob Agents Chemother 45(10):2877-2884.</w:t>
      </w:r>
    </w:p>
    <w:p w14:paraId="3D0B9CD4" w14:textId="4AB8C637" w:rsidR="00CA5BA7" w:rsidRPr="002A1EE9" w:rsidRDefault="00B60FC3" w:rsidP="002A1EE9">
      <w:pPr>
        <w:pStyle w:val="EndNoteBibliography"/>
        <w:numPr>
          <w:ilvl w:val="0"/>
          <w:numId w:val="41"/>
        </w:numPr>
        <w:spacing w:line="480" w:lineRule="auto"/>
        <w:rPr>
          <w:sz w:val="24"/>
          <w:szCs w:val="24"/>
        </w:rPr>
      </w:pPr>
      <w:r w:rsidRPr="00B60FC3">
        <w:rPr>
          <w:sz w:val="24"/>
          <w:szCs w:val="24"/>
        </w:rPr>
        <w:t>DeJesus MA, Gerrick ER, Xu W, Park SW, Long JE, Boutte CC, Rubin EJ, Schnappinger D, Ehrt S, Fortune SM, Sassetti CM, Ioerger TR</w:t>
      </w:r>
      <w:r>
        <w:rPr>
          <w:sz w:val="24"/>
          <w:szCs w:val="24"/>
        </w:rPr>
        <w:t>.</w:t>
      </w:r>
      <w:r w:rsidR="00CA5BA7" w:rsidRPr="002A1EE9">
        <w:rPr>
          <w:sz w:val="24"/>
          <w:szCs w:val="24"/>
        </w:rPr>
        <w:t xml:space="preserve"> 2017. </w:t>
      </w:r>
      <w:r w:rsidR="00CA5BA7" w:rsidRPr="002A1EE9">
        <w:rPr>
          <w:sz w:val="24"/>
          <w:szCs w:val="24"/>
        </w:rPr>
        <w:lastRenderedPageBreak/>
        <w:t xml:space="preserve">Comprehensive Essentiality Analysis of the Mycobacterium tuberculosis Genome via Saturating Transposon Mutagenesis. </w:t>
      </w:r>
      <w:r w:rsidRPr="00B60FC3">
        <w:rPr>
          <w:sz w:val="24"/>
          <w:szCs w:val="24"/>
        </w:rPr>
        <w:t>mBio 8(1):e02133-16.</w:t>
      </w:r>
    </w:p>
    <w:p w14:paraId="61CB0EE3" w14:textId="2401DB7F" w:rsidR="001713CD" w:rsidRPr="00CA5BA7" w:rsidRDefault="001713CD" w:rsidP="00CA5BA7">
      <w:pPr>
        <w:pStyle w:val="EndNoteBibliography"/>
        <w:spacing w:line="480" w:lineRule="auto"/>
        <w:ind w:left="720" w:hanging="720"/>
        <w:rPr>
          <w:sz w:val="24"/>
          <w:szCs w:val="24"/>
        </w:rPr>
      </w:pPr>
    </w:p>
    <w:p w14:paraId="4607047D" w14:textId="77777777" w:rsidR="001713CD" w:rsidRPr="00AE5DD7" w:rsidRDefault="001713CD" w:rsidP="00AE5DD7">
      <w:pPr>
        <w:spacing w:line="480" w:lineRule="auto"/>
        <w:ind w:right="227"/>
        <w:contextualSpacing/>
        <w:mirrorIndents/>
        <w:jc w:val="both"/>
        <w:rPr>
          <w:rFonts w:ascii="Arial" w:hAnsi="Arial" w:cs="Arial"/>
          <w:sz w:val="24"/>
          <w:szCs w:val="24"/>
        </w:rPr>
      </w:pPr>
    </w:p>
    <w:p w14:paraId="16440A14" w14:textId="77777777" w:rsidR="001713CD" w:rsidRPr="00AE5DD7" w:rsidRDefault="001713CD" w:rsidP="00AE5DD7">
      <w:pPr>
        <w:spacing w:after="200" w:line="480" w:lineRule="auto"/>
        <w:rPr>
          <w:rFonts w:ascii="Arial" w:hAnsi="Arial" w:cs="Arial"/>
          <w:sz w:val="24"/>
          <w:szCs w:val="24"/>
        </w:rPr>
      </w:pPr>
      <w:r w:rsidRPr="00AE5DD7">
        <w:rPr>
          <w:rFonts w:ascii="Arial" w:hAnsi="Arial" w:cs="Arial"/>
          <w:b/>
          <w:bCs/>
          <w:sz w:val="24"/>
          <w:szCs w:val="24"/>
        </w:rPr>
        <w:br w:type="page"/>
      </w:r>
    </w:p>
    <w:p w14:paraId="4B434C80" w14:textId="77777777" w:rsidR="001713CD" w:rsidRPr="00AE5DD7" w:rsidRDefault="001713CD" w:rsidP="00AE5DD7">
      <w:pPr>
        <w:spacing w:line="480" w:lineRule="auto"/>
        <w:ind w:right="227"/>
        <w:contextualSpacing/>
        <w:mirrorIndents/>
        <w:jc w:val="both"/>
        <w:rPr>
          <w:rFonts w:ascii="Arial" w:hAnsi="Arial" w:cs="Arial"/>
          <w:b/>
          <w:bCs/>
          <w:sz w:val="24"/>
          <w:szCs w:val="24"/>
        </w:rPr>
        <w:sectPr w:rsidR="001713CD" w:rsidRPr="00AE5DD7" w:rsidSect="00481B67">
          <w:pgSz w:w="11906" w:h="16838"/>
          <w:pgMar w:top="1440" w:right="1440" w:bottom="1440" w:left="1440" w:header="708" w:footer="708" w:gutter="0"/>
          <w:cols w:space="708"/>
          <w:docGrid w:linePitch="360"/>
        </w:sectPr>
      </w:pPr>
    </w:p>
    <w:p w14:paraId="6FDA9CEB" w14:textId="77777777" w:rsidR="001713CD" w:rsidRPr="00623E9B" w:rsidRDefault="001713CD" w:rsidP="00AE5DD7">
      <w:pPr>
        <w:spacing w:line="480" w:lineRule="auto"/>
        <w:ind w:right="227"/>
        <w:contextualSpacing/>
        <w:mirrorIndents/>
        <w:jc w:val="both"/>
        <w:rPr>
          <w:rFonts w:ascii="Arial" w:hAnsi="Arial" w:cs="Arial"/>
          <w:b/>
          <w:bCs/>
          <w:sz w:val="24"/>
          <w:szCs w:val="24"/>
        </w:rPr>
      </w:pPr>
      <w:r w:rsidRPr="00623E9B">
        <w:rPr>
          <w:rFonts w:ascii="Arial" w:hAnsi="Arial" w:cs="Arial"/>
          <w:b/>
          <w:bCs/>
          <w:sz w:val="24"/>
          <w:szCs w:val="24"/>
        </w:rPr>
        <w:lastRenderedPageBreak/>
        <w:t>Tables and figures</w:t>
      </w:r>
    </w:p>
    <w:tbl>
      <w:tblPr>
        <w:tblW w:w="120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4044"/>
        <w:gridCol w:w="1471"/>
        <w:gridCol w:w="1471"/>
        <w:gridCol w:w="1378"/>
        <w:gridCol w:w="1417"/>
      </w:tblGrid>
      <w:tr w:rsidR="001713CD" w:rsidRPr="00623E9B" w14:paraId="26669B16" w14:textId="77777777" w:rsidTr="001713CD">
        <w:trPr>
          <w:trHeight w:val="290"/>
        </w:trPr>
        <w:tc>
          <w:tcPr>
            <w:tcW w:w="2263" w:type="dxa"/>
            <w:vMerge w:val="restart"/>
            <w:tcBorders>
              <w:top w:val="single" w:sz="4" w:space="0" w:color="auto"/>
              <w:bottom w:val="nil"/>
              <w:right w:val="single" w:sz="4" w:space="0" w:color="auto"/>
            </w:tcBorders>
            <w:shd w:val="pct15" w:color="auto" w:fill="FFFFFF" w:themeFill="background1"/>
            <w:noWrap/>
            <w:hideMark/>
          </w:tcPr>
          <w:p w14:paraId="30C2DC15" w14:textId="77777777" w:rsidR="001713CD" w:rsidRPr="00623E9B" w:rsidRDefault="001713CD" w:rsidP="00AE5DD7">
            <w:pPr>
              <w:spacing w:line="480" w:lineRule="auto"/>
              <w:ind w:right="227"/>
              <w:contextualSpacing/>
              <w:mirrorIndents/>
              <w:jc w:val="both"/>
              <w:rPr>
                <w:rFonts w:ascii="Arial" w:hAnsi="Arial" w:cs="Arial"/>
                <w:b/>
                <w:sz w:val="24"/>
                <w:szCs w:val="24"/>
              </w:rPr>
            </w:pPr>
            <w:r w:rsidRPr="00623E9B">
              <w:rPr>
                <w:rFonts w:ascii="Arial" w:hAnsi="Arial" w:cs="Arial"/>
                <w:b/>
                <w:sz w:val="24"/>
                <w:szCs w:val="24"/>
              </w:rPr>
              <w:t>Gene</w:t>
            </w:r>
          </w:p>
        </w:tc>
        <w:tc>
          <w:tcPr>
            <w:tcW w:w="4044" w:type="dxa"/>
            <w:vMerge w:val="restart"/>
            <w:tcBorders>
              <w:top w:val="single" w:sz="4" w:space="0" w:color="auto"/>
              <w:left w:val="single" w:sz="4" w:space="0" w:color="auto"/>
              <w:bottom w:val="nil"/>
              <w:right w:val="single" w:sz="4" w:space="0" w:color="auto"/>
            </w:tcBorders>
            <w:shd w:val="pct15" w:color="auto" w:fill="FFFFFF" w:themeFill="background1"/>
            <w:hideMark/>
          </w:tcPr>
          <w:p w14:paraId="3E81DD15" w14:textId="77777777" w:rsidR="001713CD" w:rsidRPr="00623E9B" w:rsidRDefault="001713CD" w:rsidP="00AE5DD7">
            <w:pPr>
              <w:spacing w:line="480" w:lineRule="auto"/>
              <w:ind w:right="227"/>
              <w:contextualSpacing/>
              <w:mirrorIndents/>
              <w:jc w:val="both"/>
              <w:rPr>
                <w:rFonts w:ascii="Arial" w:hAnsi="Arial" w:cs="Arial"/>
                <w:b/>
                <w:sz w:val="24"/>
                <w:szCs w:val="24"/>
              </w:rPr>
            </w:pPr>
            <w:r w:rsidRPr="00623E9B">
              <w:rPr>
                <w:rFonts w:ascii="Arial" w:hAnsi="Arial" w:cs="Arial"/>
                <w:b/>
                <w:sz w:val="24"/>
                <w:szCs w:val="24"/>
              </w:rPr>
              <w:t>Function</w:t>
            </w:r>
          </w:p>
        </w:tc>
        <w:tc>
          <w:tcPr>
            <w:tcW w:w="5737" w:type="dxa"/>
            <w:gridSpan w:val="4"/>
            <w:tcBorders>
              <w:top w:val="single" w:sz="4" w:space="0" w:color="auto"/>
              <w:left w:val="single" w:sz="4" w:space="0" w:color="auto"/>
              <w:bottom w:val="single" w:sz="4" w:space="0" w:color="auto"/>
            </w:tcBorders>
            <w:shd w:val="pct15" w:color="auto" w:fill="FFFFFF" w:themeFill="background1"/>
            <w:noWrap/>
            <w:hideMark/>
          </w:tcPr>
          <w:p w14:paraId="170B4519" w14:textId="77777777" w:rsidR="001713CD" w:rsidRPr="00623E9B" w:rsidRDefault="001713CD" w:rsidP="00AE5DD7">
            <w:pPr>
              <w:spacing w:line="480" w:lineRule="auto"/>
              <w:ind w:right="227"/>
              <w:contextualSpacing/>
              <w:mirrorIndents/>
              <w:jc w:val="both"/>
              <w:rPr>
                <w:rFonts w:ascii="Arial" w:hAnsi="Arial" w:cs="Arial"/>
                <w:b/>
                <w:sz w:val="24"/>
                <w:szCs w:val="24"/>
              </w:rPr>
            </w:pPr>
            <w:r w:rsidRPr="00623E9B">
              <w:rPr>
                <w:rFonts w:ascii="Arial" w:hAnsi="Arial" w:cs="Arial"/>
                <w:b/>
                <w:sz w:val="24"/>
                <w:szCs w:val="24"/>
              </w:rPr>
              <w:t>SNP position</w:t>
            </w:r>
          </w:p>
        </w:tc>
      </w:tr>
      <w:tr w:rsidR="001713CD" w:rsidRPr="00623E9B" w14:paraId="62AC32FD" w14:textId="77777777" w:rsidTr="001713CD">
        <w:trPr>
          <w:trHeight w:val="290"/>
        </w:trPr>
        <w:tc>
          <w:tcPr>
            <w:tcW w:w="2263" w:type="dxa"/>
            <w:vMerge/>
            <w:tcBorders>
              <w:top w:val="nil"/>
              <w:bottom w:val="single" w:sz="4" w:space="0" w:color="auto"/>
              <w:right w:val="single" w:sz="4" w:space="0" w:color="auto"/>
            </w:tcBorders>
            <w:shd w:val="pct15" w:color="auto" w:fill="FFFFFF" w:themeFill="background1"/>
            <w:noWrap/>
          </w:tcPr>
          <w:p w14:paraId="49586E03" w14:textId="77777777" w:rsidR="001713CD" w:rsidRPr="00623E9B" w:rsidRDefault="001713CD" w:rsidP="00AE5DD7">
            <w:pPr>
              <w:spacing w:line="480" w:lineRule="auto"/>
              <w:ind w:right="227"/>
              <w:contextualSpacing/>
              <w:mirrorIndents/>
              <w:jc w:val="both"/>
              <w:rPr>
                <w:rFonts w:ascii="Arial" w:hAnsi="Arial" w:cs="Arial"/>
                <w:b/>
                <w:sz w:val="24"/>
                <w:szCs w:val="24"/>
              </w:rPr>
            </w:pPr>
          </w:p>
        </w:tc>
        <w:tc>
          <w:tcPr>
            <w:tcW w:w="4044" w:type="dxa"/>
            <w:vMerge/>
            <w:tcBorders>
              <w:top w:val="nil"/>
              <w:left w:val="single" w:sz="4" w:space="0" w:color="auto"/>
              <w:bottom w:val="single" w:sz="4" w:space="0" w:color="auto"/>
              <w:right w:val="single" w:sz="4" w:space="0" w:color="auto"/>
            </w:tcBorders>
            <w:shd w:val="pct15" w:color="auto" w:fill="FFFFFF" w:themeFill="background1"/>
          </w:tcPr>
          <w:p w14:paraId="60814CD1" w14:textId="77777777" w:rsidR="001713CD" w:rsidRPr="00623E9B" w:rsidRDefault="001713CD" w:rsidP="00AE5DD7">
            <w:pPr>
              <w:spacing w:line="480" w:lineRule="auto"/>
              <w:ind w:right="227"/>
              <w:contextualSpacing/>
              <w:mirrorIndents/>
              <w:jc w:val="both"/>
              <w:rPr>
                <w:rFonts w:ascii="Arial" w:hAnsi="Arial" w:cs="Arial"/>
                <w:b/>
                <w:sz w:val="24"/>
                <w:szCs w:val="24"/>
              </w:rPr>
            </w:pPr>
          </w:p>
        </w:tc>
        <w:tc>
          <w:tcPr>
            <w:tcW w:w="1471" w:type="dxa"/>
            <w:tcBorders>
              <w:top w:val="single" w:sz="4" w:space="0" w:color="auto"/>
              <w:left w:val="single" w:sz="4" w:space="0" w:color="auto"/>
              <w:bottom w:val="single" w:sz="4" w:space="0" w:color="auto"/>
            </w:tcBorders>
            <w:shd w:val="pct15" w:color="auto" w:fill="FFFFFF" w:themeFill="background1"/>
            <w:noWrap/>
          </w:tcPr>
          <w:p w14:paraId="5B6CE50F" w14:textId="77777777" w:rsidR="001713CD" w:rsidRPr="00623E9B" w:rsidRDefault="001713CD" w:rsidP="00AE5DD7">
            <w:pPr>
              <w:spacing w:line="480" w:lineRule="auto"/>
              <w:ind w:right="227"/>
              <w:contextualSpacing/>
              <w:mirrorIndents/>
              <w:jc w:val="both"/>
              <w:rPr>
                <w:rFonts w:ascii="Arial" w:hAnsi="Arial" w:cs="Arial"/>
                <w:b/>
                <w:sz w:val="24"/>
                <w:szCs w:val="24"/>
              </w:rPr>
            </w:pPr>
            <w:r w:rsidRPr="00623E9B">
              <w:rPr>
                <w:rFonts w:ascii="Arial" w:hAnsi="Arial" w:cs="Arial"/>
                <w:b/>
                <w:sz w:val="24"/>
                <w:szCs w:val="24"/>
              </w:rPr>
              <w:t>PAS2 1st</w:t>
            </w:r>
          </w:p>
        </w:tc>
        <w:tc>
          <w:tcPr>
            <w:tcW w:w="1471" w:type="dxa"/>
            <w:tcBorders>
              <w:top w:val="single" w:sz="4" w:space="0" w:color="auto"/>
              <w:left w:val="single" w:sz="4" w:space="0" w:color="auto"/>
              <w:bottom w:val="single" w:sz="4" w:space="0" w:color="auto"/>
            </w:tcBorders>
            <w:shd w:val="pct15" w:color="auto" w:fill="FFFFFF" w:themeFill="background1"/>
          </w:tcPr>
          <w:p w14:paraId="7B9C694E" w14:textId="77777777" w:rsidR="001713CD" w:rsidRPr="00623E9B" w:rsidRDefault="001713CD" w:rsidP="00AE5DD7">
            <w:pPr>
              <w:spacing w:line="480" w:lineRule="auto"/>
              <w:ind w:right="227"/>
              <w:contextualSpacing/>
              <w:mirrorIndents/>
              <w:jc w:val="both"/>
              <w:rPr>
                <w:rFonts w:ascii="Arial" w:hAnsi="Arial" w:cs="Arial"/>
                <w:b/>
                <w:sz w:val="24"/>
                <w:szCs w:val="24"/>
              </w:rPr>
            </w:pPr>
            <w:r w:rsidRPr="00623E9B">
              <w:rPr>
                <w:rFonts w:ascii="Arial" w:hAnsi="Arial" w:cs="Arial"/>
                <w:b/>
                <w:sz w:val="24"/>
                <w:szCs w:val="24"/>
              </w:rPr>
              <w:t>PAS2 2nd</w:t>
            </w:r>
          </w:p>
        </w:tc>
        <w:tc>
          <w:tcPr>
            <w:tcW w:w="1378" w:type="dxa"/>
            <w:tcBorders>
              <w:top w:val="single" w:sz="4" w:space="0" w:color="auto"/>
              <w:left w:val="single" w:sz="4" w:space="0" w:color="auto"/>
              <w:bottom w:val="single" w:sz="4" w:space="0" w:color="auto"/>
            </w:tcBorders>
            <w:shd w:val="pct15" w:color="auto" w:fill="FFFFFF" w:themeFill="background1"/>
          </w:tcPr>
          <w:p w14:paraId="3A80D504" w14:textId="77777777" w:rsidR="001713CD" w:rsidRPr="00623E9B" w:rsidRDefault="001713CD" w:rsidP="00AE5DD7">
            <w:pPr>
              <w:spacing w:line="480" w:lineRule="auto"/>
              <w:ind w:right="227"/>
              <w:contextualSpacing/>
              <w:mirrorIndents/>
              <w:jc w:val="both"/>
              <w:rPr>
                <w:rFonts w:ascii="Arial" w:hAnsi="Arial" w:cs="Arial"/>
                <w:b/>
                <w:sz w:val="24"/>
                <w:szCs w:val="24"/>
              </w:rPr>
            </w:pPr>
            <w:r w:rsidRPr="00623E9B">
              <w:rPr>
                <w:rFonts w:ascii="Arial" w:hAnsi="Arial" w:cs="Arial"/>
                <w:b/>
                <w:sz w:val="24"/>
                <w:szCs w:val="24"/>
              </w:rPr>
              <w:t>PAS4 1st</w:t>
            </w:r>
          </w:p>
        </w:tc>
        <w:tc>
          <w:tcPr>
            <w:tcW w:w="1417" w:type="dxa"/>
            <w:tcBorders>
              <w:top w:val="single" w:sz="4" w:space="0" w:color="auto"/>
              <w:left w:val="single" w:sz="4" w:space="0" w:color="auto"/>
              <w:bottom w:val="single" w:sz="4" w:space="0" w:color="auto"/>
            </w:tcBorders>
            <w:shd w:val="pct15" w:color="auto" w:fill="FFFFFF" w:themeFill="background1"/>
          </w:tcPr>
          <w:p w14:paraId="7B78C1B5" w14:textId="77777777" w:rsidR="001713CD" w:rsidRPr="00623E9B" w:rsidRDefault="001713CD" w:rsidP="00AE5DD7">
            <w:pPr>
              <w:spacing w:line="480" w:lineRule="auto"/>
              <w:ind w:right="227"/>
              <w:contextualSpacing/>
              <w:mirrorIndents/>
              <w:jc w:val="both"/>
              <w:rPr>
                <w:rFonts w:ascii="Arial" w:hAnsi="Arial" w:cs="Arial"/>
                <w:b/>
                <w:sz w:val="24"/>
                <w:szCs w:val="24"/>
              </w:rPr>
            </w:pPr>
            <w:r w:rsidRPr="00623E9B">
              <w:rPr>
                <w:rFonts w:ascii="Arial" w:hAnsi="Arial" w:cs="Arial"/>
                <w:b/>
                <w:sz w:val="24"/>
                <w:szCs w:val="24"/>
              </w:rPr>
              <w:t>PAS4 2nd</w:t>
            </w:r>
          </w:p>
        </w:tc>
      </w:tr>
      <w:tr w:rsidR="001713CD" w:rsidRPr="00623E9B" w14:paraId="3BE9A04A" w14:textId="77777777" w:rsidTr="001713CD">
        <w:trPr>
          <w:trHeight w:val="290"/>
        </w:trPr>
        <w:tc>
          <w:tcPr>
            <w:tcW w:w="2263" w:type="dxa"/>
            <w:tcBorders>
              <w:top w:val="single" w:sz="4" w:space="0" w:color="auto"/>
              <w:bottom w:val="nil"/>
              <w:right w:val="single" w:sz="4" w:space="0" w:color="auto"/>
            </w:tcBorders>
            <w:shd w:val="clear" w:color="auto" w:fill="auto"/>
            <w:noWrap/>
            <w:hideMark/>
          </w:tcPr>
          <w:p w14:paraId="032D0608" w14:textId="77777777" w:rsidR="001713CD" w:rsidRPr="00623E9B" w:rsidRDefault="001713CD" w:rsidP="00AE5DD7">
            <w:pPr>
              <w:spacing w:line="480" w:lineRule="auto"/>
              <w:ind w:right="227"/>
              <w:contextualSpacing/>
              <w:mirrorIndents/>
              <w:jc w:val="both"/>
              <w:rPr>
                <w:rFonts w:ascii="Arial" w:hAnsi="Arial" w:cs="Arial"/>
                <w:i/>
                <w:sz w:val="24"/>
                <w:szCs w:val="24"/>
              </w:rPr>
            </w:pPr>
            <w:r w:rsidRPr="00623E9B">
              <w:rPr>
                <w:rFonts w:ascii="Arial" w:hAnsi="Arial" w:cs="Arial"/>
                <w:i/>
                <w:sz w:val="24"/>
                <w:szCs w:val="24"/>
              </w:rPr>
              <w:t>Rv1392</w:t>
            </w:r>
            <w:r w:rsidRPr="00623E9B" w:rsidDel="00564D0E">
              <w:rPr>
                <w:rFonts w:ascii="Arial" w:hAnsi="Arial" w:cs="Arial"/>
                <w:i/>
                <w:sz w:val="24"/>
                <w:szCs w:val="24"/>
              </w:rPr>
              <w:t xml:space="preserve"> </w:t>
            </w:r>
            <w:r w:rsidRPr="00623E9B">
              <w:rPr>
                <w:rFonts w:ascii="Arial" w:hAnsi="Arial" w:cs="Arial"/>
                <w:i/>
                <w:sz w:val="24"/>
                <w:szCs w:val="24"/>
              </w:rPr>
              <w:t>(metK)</w:t>
            </w:r>
          </w:p>
        </w:tc>
        <w:tc>
          <w:tcPr>
            <w:tcW w:w="4044" w:type="dxa"/>
            <w:tcBorders>
              <w:top w:val="single" w:sz="4" w:space="0" w:color="auto"/>
              <w:left w:val="single" w:sz="4" w:space="0" w:color="auto"/>
              <w:bottom w:val="nil"/>
              <w:right w:val="single" w:sz="4" w:space="0" w:color="auto"/>
            </w:tcBorders>
            <w:shd w:val="clear" w:color="auto" w:fill="auto"/>
            <w:hideMark/>
          </w:tcPr>
          <w:p w14:paraId="714D0684"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S-adenosylmethionine synthetase</w:t>
            </w:r>
          </w:p>
        </w:tc>
        <w:tc>
          <w:tcPr>
            <w:tcW w:w="1471" w:type="dxa"/>
            <w:tcBorders>
              <w:top w:val="single" w:sz="4" w:space="0" w:color="auto"/>
              <w:left w:val="single" w:sz="4" w:space="0" w:color="auto"/>
              <w:bottom w:val="nil"/>
              <w:right w:val="single" w:sz="4" w:space="0" w:color="auto"/>
            </w:tcBorders>
            <w:shd w:val="clear" w:color="auto" w:fill="FFFFFF" w:themeFill="background1"/>
            <w:noWrap/>
            <w:hideMark/>
          </w:tcPr>
          <w:p w14:paraId="32FFFD34" w14:textId="77777777" w:rsidR="001713CD" w:rsidRPr="00623E9B" w:rsidRDefault="001713CD" w:rsidP="00AE5DD7">
            <w:pPr>
              <w:spacing w:line="480" w:lineRule="auto"/>
              <w:ind w:right="227"/>
              <w:contextualSpacing/>
              <w:mirrorIndents/>
              <w:jc w:val="both"/>
              <w:rPr>
                <w:rFonts w:ascii="Arial" w:hAnsi="Arial" w:cs="Arial"/>
                <w:sz w:val="24"/>
                <w:szCs w:val="24"/>
              </w:rPr>
            </w:pPr>
          </w:p>
        </w:tc>
        <w:tc>
          <w:tcPr>
            <w:tcW w:w="1471" w:type="dxa"/>
            <w:tcBorders>
              <w:top w:val="single" w:sz="4" w:space="0" w:color="auto"/>
              <w:left w:val="single" w:sz="4" w:space="0" w:color="auto"/>
              <w:bottom w:val="nil"/>
              <w:right w:val="single" w:sz="4" w:space="0" w:color="auto"/>
            </w:tcBorders>
            <w:shd w:val="clear" w:color="auto" w:fill="FFFFFF" w:themeFill="background1"/>
            <w:noWrap/>
            <w:hideMark/>
          </w:tcPr>
          <w:p w14:paraId="21A1790D" w14:textId="77777777" w:rsidR="001713CD" w:rsidRPr="00623E9B" w:rsidRDefault="001713CD" w:rsidP="00AE5DD7">
            <w:pPr>
              <w:spacing w:line="480" w:lineRule="auto"/>
              <w:ind w:right="227"/>
              <w:contextualSpacing/>
              <w:mirrorIndents/>
              <w:jc w:val="both"/>
              <w:rPr>
                <w:rFonts w:ascii="Arial" w:hAnsi="Arial" w:cs="Arial"/>
                <w:sz w:val="24"/>
                <w:szCs w:val="24"/>
              </w:rPr>
            </w:pPr>
          </w:p>
        </w:tc>
        <w:tc>
          <w:tcPr>
            <w:tcW w:w="1378" w:type="dxa"/>
            <w:tcBorders>
              <w:top w:val="single" w:sz="4" w:space="0" w:color="auto"/>
              <w:left w:val="single" w:sz="4" w:space="0" w:color="auto"/>
              <w:bottom w:val="nil"/>
              <w:right w:val="single" w:sz="4" w:space="0" w:color="auto"/>
            </w:tcBorders>
            <w:shd w:val="clear" w:color="auto" w:fill="FFFFFF" w:themeFill="background1"/>
            <w:noWrap/>
            <w:hideMark/>
          </w:tcPr>
          <w:p w14:paraId="4AADB44D"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1566981</w:t>
            </w:r>
          </w:p>
        </w:tc>
        <w:tc>
          <w:tcPr>
            <w:tcW w:w="1417" w:type="dxa"/>
            <w:tcBorders>
              <w:top w:val="single" w:sz="4" w:space="0" w:color="auto"/>
              <w:left w:val="single" w:sz="4" w:space="0" w:color="auto"/>
              <w:bottom w:val="nil"/>
            </w:tcBorders>
            <w:shd w:val="clear" w:color="auto" w:fill="FFFFFF" w:themeFill="background1"/>
            <w:noWrap/>
            <w:hideMark/>
          </w:tcPr>
          <w:p w14:paraId="04EAB9E1" w14:textId="77777777" w:rsidR="001713CD" w:rsidRPr="00623E9B" w:rsidRDefault="001713CD" w:rsidP="00AE5DD7">
            <w:pPr>
              <w:spacing w:line="480" w:lineRule="auto"/>
              <w:ind w:right="227"/>
              <w:contextualSpacing/>
              <w:mirrorIndents/>
              <w:jc w:val="both"/>
              <w:rPr>
                <w:rFonts w:ascii="Arial" w:hAnsi="Arial" w:cs="Arial"/>
                <w:sz w:val="24"/>
                <w:szCs w:val="24"/>
              </w:rPr>
            </w:pPr>
          </w:p>
        </w:tc>
      </w:tr>
      <w:tr w:rsidR="001713CD" w:rsidRPr="00623E9B" w14:paraId="14CB0402" w14:textId="77777777" w:rsidTr="001713CD">
        <w:trPr>
          <w:trHeight w:val="290"/>
        </w:trPr>
        <w:tc>
          <w:tcPr>
            <w:tcW w:w="2263" w:type="dxa"/>
            <w:tcBorders>
              <w:top w:val="nil"/>
              <w:bottom w:val="nil"/>
              <w:right w:val="single" w:sz="4" w:space="0" w:color="auto"/>
            </w:tcBorders>
            <w:shd w:val="pct10" w:color="D9D9D9" w:themeColor="background1" w:themeShade="D9" w:fill="D9D9D9" w:themeFill="background1" w:themeFillShade="D9"/>
            <w:noWrap/>
            <w:hideMark/>
          </w:tcPr>
          <w:p w14:paraId="0CB70F87" w14:textId="77777777" w:rsidR="001713CD" w:rsidRPr="00623E9B" w:rsidRDefault="001713CD" w:rsidP="00AE5DD7">
            <w:pPr>
              <w:spacing w:line="480" w:lineRule="auto"/>
              <w:ind w:right="227"/>
              <w:contextualSpacing/>
              <w:mirrorIndents/>
              <w:jc w:val="both"/>
              <w:rPr>
                <w:rFonts w:ascii="Arial" w:hAnsi="Arial" w:cs="Arial"/>
                <w:i/>
                <w:sz w:val="24"/>
                <w:szCs w:val="24"/>
              </w:rPr>
            </w:pPr>
            <w:r w:rsidRPr="00623E9B">
              <w:rPr>
                <w:rFonts w:ascii="Arial" w:hAnsi="Arial" w:cs="Arial"/>
                <w:i/>
                <w:sz w:val="24"/>
                <w:szCs w:val="24"/>
              </w:rPr>
              <w:t>Rv2447c (folC)</w:t>
            </w:r>
          </w:p>
        </w:tc>
        <w:tc>
          <w:tcPr>
            <w:tcW w:w="4044" w:type="dxa"/>
            <w:tcBorders>
              <w:top w:val="nil"/>
              <w:left w:val="single" w:sz="4" w:space="0" w:color="auto"/>
              <w:bottom w:val="nil"/>
              <w:right w:val="single" w:sz="4" w:space="0" w:color="auto"/>
            </w:tcBorders>
            <w:shd w:val="pct10" w:color="D9D9D9" w:themeColor="background1" w:themeShade="D9" w:fill="D9D9D9" w:themeFill="background1" w:themeFillShade="D9"/>
            <w:hideMark/>
          </w:tcPr>
          <w:p w14:paraId="65DB5CF2"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folylpolyglutamate synthase</w:t>
            </w:r>
          </w:p>
        </w:tc>
        <w:tc>
          <w:tcPr>
            <w:tcW w:w="1471" w:type="dxa"/>
            <w:tcBorders>
              <w:top w:val="nil"/>
              <w:left w:val="single" w:sz="4" w:space="0" w:color="auto"/>
              <w:bottom w:val="nil"/>
              <w:right w:val="single" w:sz="4" w:space="0" w:color="auto"/>
            </w:tcBorders>
            <w:shd w:val="pct10" w:color="D9D9D9" w:themeColor="background1" w:themeShade="D9" w:fill="D9D9D9" w:themeFill="background1" w:themeFillShade="D9"/>
            <w:noWrap/>
            <w:hideMark/>
          </w:tcPr>
          <w:p w14:paraId="2B89A4E1" w14:textId="77777777" w:rsidR="001713CD" w:rsidRPr="00623E9B" w:rsidRDefault="001713CD" w:rsidP="00AE5DD7">
            <w:pPr>
              <w:spacing w:line="480" w:lineRule="auto"/>
              <w:ind w:right="227"/>
              <w:contextualSpacing/>
              <w:mirrorIndents/>
              <w:jc w:val="both"/>
              <w:rPr>
                <w:rFonts w:ascii="Arial" w:hAnsi="Arial" w:cs="Arial"/>
                <w:sz w:val="24"/>
                <w:szCs w:val="24"/>
              </w:rPr>
            </w:pPr>
          </w:p>
        </w:tc>
        <w:tc>
          <w:tcPr>
            <w:tcW w:w="1471" w:type="dxa"/>
            <w:tcBorders>
              <w:top w:val="nil"/>
              <w:left w:val="single" w:sz="4" w:space="0" w:color="auto"/>
              <w:bottom w:val="nil"/>
              <w:right w:val="single" w:sz="4" w:space="0" w:color="auto"/>
            </w:tcBorders>
            <w:shd w:val="pct10" w:color="D9D9D9" w:themeColor="background1" w:themeShade="D9" w:fill="D9D9D9" w:themeFill="background1" w:themeFillShade="D9"/>
            <w:noWrap/>
            <w:hideMark/>
          </w:tcPr>
          <w:p w14:paraId="5A8713F8" w14:textId="77777777" w:rsidR="001713CD" w:rsidRPr="00623E9B" w:rsidRDefault="001713CD" w:rsidP="00AE5DD7">
            <w:pPr>
              <w:spacing w:line="480" w:lineRule="auto"/>
              <w:ind w:right="227"/>
              <w:contextualSpacing/>
              <w:mirrorIndents/>
              <w:jc w:val="both"/>
              <w:rPr>
                <w:rFonts w:ascii="Arial" w:hAnsi="Arial" w:cs="Arial"/>
                <w:sz w:val="24"/>
                <w:szCs w:val="24"/>
              </w:rPr>
            </w:pPr>
          </w:p>
        </w:tc>
        <w:tc>
          <w:tcPr>
            <w:tcW w:w="1378" w:type="dxa"/>
            <w:tcBorders>
              <w:top w:val="nil"/>
              <w:left w:val="single" w:sz="4" w:space="0" w:color="auto"/>
              <w:bottom w:val="nil"/>
              <w:right w:val="single" w:sz="4" w:space="0" w:color="auto"/>
            </w:tcBorders>
            <w:shd w:val="pct10" w:color="D9D9D9" w:themeColor="background1" w:themeShade="D9" w:fill="D9D9D9" w:themeFill="background1" w:themeFillShade="D9"/>
            <w:noWrap/>
            <w:hideMark/>
          </w:tcPr>
          <w:p w14:paraId="0B15EED5"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2747195</w:t>
            </w:r>
          </w:p>
          <w:p w14:paraId="63781DC5"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(D135G)</w:t>
            </w:r>
          </w:p>
        </w:tc>
        <w:tc>
          <w:tcPr>
            <w:tcW w:w="1417" w:type="dxa"/>
            <w:tcBorders>
              <w:top w:val="nil"/>
              <w:left w:val="single" w:sz="4" w:space="0" w:color="auto"/>
              <w:bottom w:val="nil"/>
            </w:tcBorders>
            <w:shd w:val="pct10" w:color="D9D9D9" w:themeColor="background1" w:themeShade="D9" w:fill="D9D9D9" w:themeFill="background1" w:themeFillShade="D9"/>
            <w:noWrap/>
            <w:hideMark/>
          </w:tcPr>
          <w:p w14:paraId="121AF7D8"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2747141</w:t>
            </w:r>
          </w:p>
          <w:p w14:paraId="2FA2D4D0"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(E153A)</w:t>
            </w:r>
          </w:p>
        </w:tc>
      </w:tr>
      <w:tr w:rsidR="001713CD" w:rsidRPr="00623E9B" w14:paraId="5ACF9161" w14:textId="77777777" w:rsidTr="001713CD">
        <w:trPr>
          <w:trHeight w:val="290"/>
        </w:trPr>
        <w:tc>
          <w:tcPr>
            <w:tcW w:w="2263" w:type="dxa"/>
            <w:tcBorders>
              <w:top w:val="nil"/>
              <w:bottom w:val="nil"/>
              <w:right w:val="single" w:sz="4" w:space="0" w:color="auto"/>
            </w:tcBorders>
            <w:shd w:val="clear" w:color="auto" w:fill="FFFFFF" w:themeFill="background1"/>
            <w:noWrap/>
            <w:hideMark/>
          </w:tcPr>
          <w:p w14:paraId="4B658F67" w14:textId="77777777" w:rsidR="001713CD" w:rsidRPr="00623E9B" w:rsidRDefault="001713CD" w:rsidP="00AE5DD7">
            <w:pPr>
              <w:spacing w:line="480" w:lineRule="auto"/>
              <w:ind w:right="227"/>
              <w:contextualSpacing/>
              <w:mirrorIndents/>
              <w:jc w:val="both"/>
              <w:rPr>
                <w:rFonts w:ascii="Arial" w:hAnsi="Arial" w:cs="Arial"/>
                <w:i/>
                <w:sz w:val="24"/>
                <w:szCs w:val="24"/>
              </w:rPr>
            </w:pPr>
            <w:r w:rsidRPr="00623E9B">
              <w:rPr>
                <w:rFonts w:ascii="Arial" w:hAnsi="Arial" w:cs="Arial"/>
                <w:i/>
                <w:sz w:val="24"/>
                <w:szCs w:val="24"/>
              </w:rPr>
              <w:t>Rv3218</w:t>
            </w:r>
          </w:p>
        </w:tc>
        <w:tc>
          <w:tcPr>
            <w:tcW w:w="4044" w:type="dxa"/>
            <w:tcBorders>
              <w:top w:val="nil"/>
              <w:left w:val="single" w:sz="4" w:space="0" w:color="auto"/>
              <w:bottom w:val="nil"/>
              <w:right w:val="single" w:sz="4" w:space="0" w:color="auto"/>
            </w:tcBorders>
            <w:shd w:val="clear" w:color="auto" w:fill="FFFFFF" w:themeFill="background1"/>
            <w:hideMark/>
          </w:tcPr>
          <w:p w14:paraId="123B319F"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hypothetical protein</w:t>
            </w:r>
          </w:p>
        </w:tc>
        <w:tc>
          <w:tcPr>
            <w:tcW w:w="1471" w:type="dxa"/>
            <w:tcBorders>
              <w:top w:val="nil"/>
              <w:left w:val="single" w:sz="4" w:space="0" w:color="auto"/>
              <w:bottom w:val="nil"/>
              <w:right w:val="single" w:sz="4" w:space="0" w:color="auto"/>
            </w:tcBorders>
            <w:shd w:val="clear" w:color="auto" w:fill="FFFFFF" w:themeFill="background1"/>
            <w:noWrap/>
            <w:hideMark/>
          </w:tcPr>
          <w:p w14:paraId="03EB5404"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3594639*</w:t>
            </w:r>
          </w:p>
          <w:p w14:paraId="7602DA38"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(V58I)</w:t>
            </w:r>
          </w:p>
        </w:tc>
        <w:tc>
          <w:tcPr>
            <w:tcW w:w="1471" w:type="dxa"/>
            <w:tcBorders>
              <w:top w:val="nil"/>
              <w:left w:val="single" w:sz="4" w:space="0" w:color="auto"/>
              <w:bottom w:val="nil"/>
              <w:right w:val="single" w:sz="4" w:space="0" w:color="auto"/>
            </w:tcBorders>
            <w:shd w:val="clear" w:color="auto" w:fill="FFFFFF" w:themeFill="background1"/>
            <w:noWrap/>
            <w:hideMark/>
          </w:tcPr>
          <w:p w14:paraId="667A7C18"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3594639*</w:t>
            </w:r>
          </w:p>
          <w:p w14:paraId="03F79856"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(V58I)</w:t>
            </w:r>
          </w:p>
        </w:tc>
        <w:tc>
          <w:tcPr>
            <w:tcW w:w="1378" w:type="dxa"/>
            <w:tcBorders>
              <w:top w:val="nil"/>
              <w:left w:val="single" w:sz="4" w:space="0" w:color="auto"/>
              <w:bottom w:val="nil"/>
              <w:right w:val="single" w:sz="4" w:space="0" w:color="auto"/>
            </w:tcBorders>
            <w:shd w:val="clear" w:color="auto" w:fill="FFFFFF" w:themeFill="background1"/>
            <w:noWrap/>
            <w:hideMark/>
          </w:tcPr>
          <w:p w14:paraId="4C9BD922"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3594639</w:t>
            </w:r>
          </w:p>
          <w:p w14:paraId="11E5C88B"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(V58I)</w:t>
            </w:r>
          </w:p>
        </w:tc>
        <w:tc>
          <w:tcPr>
            <w:tcW w:w="1417" w:type="dxa"/>
            <w:tcBorders>
              <w:top w:val="nil"/>
              <w:left w:val="single" w:sz="4" w:space="0" w:color="auto"/>
              <w:bottom w:val="nil"/>
            </w:tcBorders>
            <w:shd w:val="clear" w:color="auto" w:fill="FFFFFF" w:themeFill="background1"/>
            <w:noWrap/>
            <w:hideMark/>
          </w:tcPr>
          <w:p w14:paraId="374B3225" w14:textId="77777777" w:rsidR="001713CD" w:rsidRPr="00623E9B" w:rsidRDefault="001713CD" w:rsidP="00AE5DD7">
            <w:pPr>
              <w:spacing w:line="480" w:lineRule="auto"/>
              <w:ind w:right="227"/>
              <w:contextualSpacing/>
              <w:mirrorIndents/>
              <w:jc w:val="both"/>
              <w:rPr>
                <w:rFonts w:ascii="Arial" w:hAnsi="Arial" w:cs="Arial"/>
                <w:sz w:val="24"/>
                <w:szCs w:val="24"/>
              </w:rPr>
            </w:pPr>
          </w:p>
        </w:tc>
      </w:tr>
      <w:tr w:rsidR="001713CD" w:rsidRPr="00623E9B" w14:paraId="3BE5103C" w14:textId="77777777" w:rsidTr="001713CD">
        <w:trPr>
          <w:trHeight w:val="290"/>
        </w:trPr>
        <w:tc>
          <w:tcPr>
            <w:tcW w:w="2263" w:type="dxa"/>
            <w:tcBorders>
              <w:top w:val="nil"/>
              <w:bottom w:val="single" w:sz="4" w:space="0" w:color="auto"/>
              <w:right w:val="single" w:sz="4" w:space="0" w:color="auto"/>
            </w:tcBorders>
            <w:shd w:val="clear" w:color="auto" w:fill="FFFFFF" w:themeFill="background1"/>
            <w:noWrap/>
            <w:hideMark/>
          </w:tcPr>
          <w:p w14:paraId="68090B34" w14:textId="77777777" w:rsidR="001713CD" w:rsidRPr="00623E9B" w:rsidRDefault="001713CD" w:rsidP="00AE5DD7">
            <w:pPr>
              <w:spacing w:line="480" w:lineRule="auto"/>
              <w:ind w:right="227"/>
              <w:contextualSpacing/>
              <w:mirrorIndents/>
              <w:jc w:val="both"/>
              <w:rPr>
                <w:rFonts w:ascii="Arial" w:hAnsi="Arial" w:cs="Arial"/>
                <w:i/>
                <w:sz w:val="24"/>
                <w:szCs w:val="24"/>
              </w:rPr>
            </w:pPr>
            <w:r w:rsidRPr="00623E9B">
              <w:rPr>
                <w:rFonts w:ascii="Arial" w:hAnsi="Arial" w:cs="Arial"/>
                <w:i/>
                <w:sz w:val="24"/>
                <w:szCs w:val="24"/>
              </w:rPr>
              <w:t>Rv3759c (proX)-Rv3760 intergenic</w:t>
            </w:r>
          </w:p>
        </w:tc>
        <w:tc>
          <w:tcPr>
            <w:tcW w:w="4044" w:type="dxa"/>
            <w:tcBorders>
              <w:top w:val="nil"/>
              <w:left w:val="single" w:sz="4" w:space="0" w:color="auto"/>
              <w:bottom w:val="single" w:sz="4" w:space="0" w:color="auto"/>
              <w:right w:val="single" w:sz="4" w:space="0" w:color="auto"/>
            </w:tcBorders>
            <w:shd w:val="clear" w:color="auto" w:fill="FFFFFF" w:themeFill="background1"/>
            <w:hideMark/>
          </w:tcPr>
          <w:p w14:paraId="3DFFC958"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Possible osmoprotectant binding lipoprotein; conserved membrane protein</w:t>
            </w:r>
          </w:p>
        </w:tc>
        <w:tc>
          <w:tcPr>
            <w:tcW w:w="1471" w:type="dxa"/>
            <w:tcBorders>
              <w:top w:val="nil"/>
              <w:left w:val="single" w:sz="4" w:space="0" w:color="auto"/>
              <w:bottom w:val="single" w:sz="4" w:space="0" w:color="auto"/>
              <w:right w:val="single" w:sz="4" w:space="0" w:color="auto"/>
            </w:tcBorders>
            <w:shd w:val="clear" w:color="auto" w:fill="FFFFFF" w:themeFill="background1"/>
            <w:noWrap/>
            <w:hideMark/>
          </w:tcPr>
          <w:p w14:paraId="18DC0DB0" w14:textId="77777777" w:rsidR="001713CD" w:rsidRPr="00623E9B" w:rsidRDefault="001713CD" w:rsidP="00AE5DD7">
            <w:pPr>
              <w:spacing w:line="480" w:lineRule="auto"/>
              <w:ind w:right="227"/>
              <w:contextualSpacing/>
              <w:mirrorIndents/>
              <w:jc w:val="both"/>
              <w:rPr>
                <w:rFonts w:ascii="Arial" w:hAnsi="Arial" w:cs="Arial"/>
                <w:sz w:val="24"/>
                <w:szCs w:val="24"/>
              </w:rPr>
            </w:pPr>
          </w:p>
        </w:tc>
        <w:tc>
          <w:tcPr>
            <w:tcW w:w="1471" w:type="dxa"/>
            <w:tcBorders>
              <w:top w:val="nil"/>
              <w:left w:val="single" w:sz="4" w:space="0" w:color="auto"/>
              <w:bottom w:val="single" w:sz="4" w:space="0" w:color="auto"/>
              <w:right w:val="single" w:sz="4" w:space="0" w:color="auto"/>
            </w:tcBorders>
            <w:shd w:val="clear" w:color="auto" w:fill="FFFFFF" w:themeFill="background1"/>
            <w:noWrap/>
            <w:hideMark/>
          </w:tcPr>
          <w:p w14:paraId="4D05CECF" w14:textId="77777777" w:rsidR="001713CD" w:rsidRPr="00623E9B" w:rsidRDefault="001713CD" w:rsidP="00AE5DD7">
            <w:pPr>
              <w:spacing w:line="480" w:lineRule="auto"/>
              <w:ind w:right="227"/>
              <w:contextualSpacing/>
              <w:mirrorIndents/>
              <w:jc w:val="both"/>
              <w:rPr>
                <w:rFonts w:ascii="Arial" w:hAnsi="Arial" w:cs="Arial"/>
                <w:sz w:val="24"/>
                <w:szCs w:val="24"/>
              </w:rPr>
            </w:pPr>
          </w:p>
        </w:tc>
        <w:tc>
          <w:tcPr>
            <w:tcW w:w="1378" w:type="dxa"/>
            <w:tcBorders>
              <w:top w:val="nil"/>
              <w:left w:val="single" w:sz="4" w:space="0" w:color="auto"/>
              <w:bottom w:val="single" w:sz="4" w:space="0" w:color="auto"/>
              <w:right w:val="single" w:sz="4" w:space="0" w:color="auto"/>
            </w:tcBorders>
            <w:shd w:val="clear" w:color="auto" w:fill="FFFFFF" w:themeFill="background1"/>
            <w:noWrap/>
            <w:hideMark/>
          </w:tcPr>
          <w:p w14:paraId="72DBCC0A" w14:textId="77777777" w:rsidR="001713CD" w:rsidRPr="00623E9B" w:rsidRDefault="001713CD" w:rsidP="00AE5DD7">
            <w:pPr>
              <w:spacing w:line="480" w:lineRule="auto"/>
              <w:ind w:right="227"/>
              <w:contextualSpacing/>
              <w:mirrorIndents/>
              <w:jc w:val="both"/>
              <w:rPr>
                <w:rFonts w:ascii="Arial" w:hAnsi="Arial" w:cs="Arial"/>
                <w:sz w:val="24"/>
                <w:szCs w:val="24"/>
              </w:rPr>
            </w:pPr>
          </w:p>
        </w:tc>
        <w:tc>
          <w:tcPr>
            <w:tcW w:w="1417" w:type="dxa"/>
            <w:tcBorders>
              <w:top w:val="nil"/>
              <w:left w:val="single" w:sz="4" w:space="0" w:color="auto"/>
              <w:bottom w:val="single" w:sz="4" w:space="0" w:color="auto"/>
            </w:tcBorders>
            <w:shd w:val="clear" w:color="auto" w:fill="FFFFFF" w:themeFill="background1"/>
            <w:noWrap/>
            <w:hideMark/>
          </w:tcPr>
          <w:p w14:paraId="752F8A99"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4205442</w:t>
            </w:r>
          </w:p>
        </w:tc>
      </w:tr>
      <w:tr w:rsidR="001713CD" w:rsidRPr="00623E9B" w14:paraId="42F5B1E8" w14:textId="77777777" w:rsidTr="00281E18">
        <w:trPr>
          <w:trHeight w:val="290"/>
        </w:trPr>
        <w:tc>
          <w:tcPr>
            <w:tcW w:w="12044" w:type="dxa"/>
            <w:gridSpan w:val="6"/>
            <w:tcBorders>
              <w:top w:val="single" w:sz="4" w:space="0" w:color="auto"/>
              <w:bottom w:val="single" w:sz="4" w:space="0" w:color="auto"/>
            </w:tcBorders>
            <w:shd w:val="clear" w:color="auto" w:fill="FFFFFF" w:themeFill="background1"/>
            <w:noWrap/>
          </w:tcPr>
          <w:p w14:paraId="5DACA2FD" w14:textId="77777777"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sz w:val="24"/>
                <w:szCs w:val="24"/>
              </w:rPr>
              <w:t xml:space="preserve">At low coverage, a total of twenty-seven SNPs </w:t>
            </w:r>
            <w:proofErr w:type="gramStart"/>
            <w:r w:rsidRPr="00623E9B">
              <w:rPr>
                <w:rFonts w:ascii="Arial" w:hAnsi="Arial" w:cs="Arial"/>
                <w:sz w:val="24"/>
                <w:szCs w:val="24"/>
              </w:rPr>
              <w:t>were</w:t>
            </w:r>
            <w:proofErr w:type="gramEnd"/>
            <w:r w:rsidRPr="00623E9B">
              <w:rPr>
                <w:rFonts w:ascii="Arial" w:hAnsi="Arial" w:cs="Arial"/>
                <w:sz w:val="24"/>
                <w:szCs w:val="24"/>
              </w:rPr>
              <w:t xml:space="preserve"> found in the </w:t>
            </w:r>
            <w:r w:rsidRPr="00623E9B">
              <w:rPr>
                <w:rFonts w:ascii="Arial" w:hAnsi="Arial" w:cs="Arial"/>
                <w:i/>
                <w:iCs/>
                <w:sz w:val="24"/>
                <w:szCs w:val="24"/>
              </w:rPr>
              <w:t>rrs</w:t>
            </w:r>
            <w:r w:rsidRPr="00623E9B">
              <w:rPr>
                <w:rFonts w:ascii="Arial" w:hAnsi="Arial" w:cs="Arial"/>
                <w:sz w:val="24"/>
                <w:szCs w:val="24"/>
              </w:rPr>
              <w:t xml:space="preserve"> and </w:t>
            </w:r>
            <w:r w:rsidRPr="00623E9B">
              <w:rPr>
                <w:rFonts w:ascii="Arial" w:hAnsi="Arial" w:cs="Arial"/>
                <w:i/>
                <w:iCs/>
                <w:sz w:val="24"/>
                <w:szCs w:val="24"/>
              </w:rPr>
              <w:t xml:space="preserve">rrl </w:t>
            </w:r>
            <w:r w:rsidRPr="00623E9B">
              <w:rPr>
                <w:rFonts w:ascii="Arial" w:hAnsi="Arial" w:cs="Arial"/>
                <w:sz w:val="24"/>
                <w:szCs w:val="24"/>
              </w:rPr>
              <w:t xml:space="preserve">genes (16s and 23s RNA genes) of all four mutants. Data not shown due to low coverage. </w:t>
            </w:r>
          </w:p>
        </w:tc>
      </w:tr>
    </w:tbl>
    <w:p w14:paraId="66B6DDA2" w14:textId="77777777" w:rsidR="001713CD" w:rsidRPr="00623E9B" w:rsidRDefault="001713CD" w:rsidP="00AE5DD7">
      <w:pPr>
        <w:spacing w:line="480" w:lineRule="auto"/>
        <w:ind w:right="227"/>
        <w:contextualSpacing/>
        <w:mirrorIndents/>
        <w:jc w:val="both"/>
        <w:rPr>
          <w:rFonts w:ascii="Arial" w:hAnsi="Arial" w:cs="Arial"/>
          <w:b/>
          <w:bCs/>
          <w:sz w:val="24"/>
          <w:szCs w:val="24"/>
        </w:rPr>
      </w:pPr>
    </w:p>
    <w:p w14:paraId="10616D37" w14:textId="77777777" w:rsidR="001713CD" w:rsidRPr="00623E9B" w:rsidRDefault="001713CD" w:rsidP="00AE5DD7">
      <w:pPr>
        <w:spacing w:line="480" w:lineRule="auto"/>
        <w:ind w:right="227"/>
        <w:contextualSpacing/>
        <w:mirrorIndents/>
        <w:jc w:val="both"/>
        <w:rPr>
          <w:rFonts w:ascii="Arial" w:hAnsi="Arial" w:cs="Arial"/>
          <w:sz w:val="24"/>
          <w:szCs w:val="24"/>
          <w:lang w:val="en-US"/>
        </w:rPr>
        <w:sectPr w:rsidR="001713CD" w:rsidRPr="00623E9B" w:rsidSect="00623E9B">
          <w:pgSz w:w="15840" w:h="12240" w:orient="landscape"/>
          <w:pgMar w:top="1134" w:right="1134" w:bottom="1134" w:left="2268" w:header="709" w:footer="709" w:gutter="0"/>
          <w:cols w:space="708"/>
          <w:docGrid w:linePitch="360"/>
        </w:sectPr>
      </w:pPr>
      <w:r w:rsidRPr="00623E9B">
        <w:rPr>
          <w:rFonts w:ascii="Arial" w:hAnsi="Arial" w:cs="Arial"/>
          <w:b/>
          <w:bCs/>
          <w:sz w:val="24"/>
          <w:szCs w:val="24"/>
        </w:rPr>
        <w:t>Table 1: List of SNPs in the PAS resistant mutants.</w:t>
      </w:r>
      <w:r w:rsidRPr="00623E9B">
        <w:rPr>
          <w:rFonts w:ascii="Arial" w:hAnsi="Arial" w:cs="Arial"/>
          <w:sz w:val="24"/>
          <w:szCs w:val="24"/>
        </w:rPr>
        <w:t xml:space="preserve"> Table above shows the genes involved in the PAS-resistant mutants, with the respective function and SNP position in the genome. Only high quality non-synonymous and </w:t>
      </w:r>
      <w:r w:rsidRPr="00623E9B">
        <w:rPr>
          <w:rFonts w:ascii="Arial" w:hAnsi="Arial" w:cs="Arial"/>
          <w:sz w:val="24"/>
          <w:szCs w:val="24"/>
        </w:rPr>
        <w:lastRenderedPageBreak/>
        <w:t>intergenic SNPs were considered (*mixed base calls and therefore lower quality evidence in these mutants for these sites).</w:t>
      </w:r>
      <w:r w:rsidRPr="00623E9B">
        <w:rPr>
          <w:rFonts w:ascii="Arial" w:hAnsi="Arial" w:cs="Arial"/>
          <w:sz w:val="24"/>
          <w:szCs w:val="24"/>
          <w:lang w:val="en-US"/>
        </w:rPr>
        <w:t xml:space="preserve"> The hypothetical amino acid changes caused by the SNP are also shown in brackets. </w:t>
      </w:r>
    </w:p>
    <w:p w14:paraId="04A796E6" w14:textId="77777777" w:rsidR="001713CD" w:rsidRPr="00623E9B" w:rsidRDefault="001713CD" w:rsidP="00AE5DD7">
      <w:pPr>
        <w:spacing w:line="480" w:lineRule="auto"/>
        <w:ind w:right="227"/>
        <w:contextualSpacing/>
        <w:mirrorIndents/>
        <w:jc w:val="both"/>
        <w:rPr>
          <w:rFonts w:ascii="Arial" w:hAnsi="Arial" w:cs="Arial"/>
          <w:sz w:val="24"/>
          <w:szCs w:val="24"/>
          <w:lang w:val="en-US"/>
        </w:rPr>
      </w:pPr>
    </w:p>
    <w:p w14:paraId="2C54A6B6" w14:textId="77777777" w:rsidR="001713CD" w:rsidRPr="00623E9B" w:rsidRDefault="001713CD" w:rsidP="00AE5DD7">
      <w:pPr>
        <w:spacing w:line="480" w:lineRule="auto"/>
        <w:ind w:right="227"/>
        <w:contextualSpacing/>
        <w:mirrorIndents/>
        <w:jc w:val="both"/>
        <w:rPr>
          <w:rFonts w:ascii="Arial" w:hAnsi="Arial" w:cs="Arial"/>
          <w:sz w:val="24"/>
          <w:szCs w:val="24"/>
          <w:lang w:val="en-US"/>
        </w:rPr>
      </w:pPr>
    </w:p>
    <w:p w14:paraId="468C4D96" w14:textId="77777777" w:rsidR="001713CD" w:rsidRPr="00623E9B" w:rsidRDefault="001713CD" w:rsidP="00AE5DD7">
      <w:pPr>
        <w:spacing w:line="480" w:lineRule="auto"/>
        <w:ind w:right="227"/>
        <w:contextualSpacing/>
        <w:mirrorIndents/>
        <w:jc w:val="both"/>
        <w:rPr>
          <w:rFonts w:ascii="Arial" w:hAnsi="Arial" w:cs="Arial"/>
          <w:b/>
          <w:bCs/>
          <w:sz w:val="24"/>
          <w:szCs w:val="24"/>
        </w:rPr>
      </w:pPr>
      <w:r w:rsidRPr="00623E9B">
        <w:rPr>
          <w:rFonts w:ascii="Arial" w:hAnsi="Arial" w:cs="Arial"/>
          <w:noProof/>
          <w:sz w:val="24"/>
          <w:szCs w:val="24"/>
          <w:lang w:val="en-US"/>
        </w:rPr>
        <w:drawing>
          <wp:inline distT="0" distB="0" distL="0" distR="0" wp14:anchorId="3AEC3750" wp14:editId="1312C551">
            <wp:extent cx="5322570" cy="2981073"/>
            <wp:effectExtent l="19050" t="19050" r="1143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ic acid metabolism.png"/>
                    <pic:cNvPicPr/>
                  </pic:nvPicPr>
                  <pic:blipFill>
                    <a:blip r:embed="rId8">
                      <a:extLst>
                        <a:ext uri="{28A0092B-C50C-407E-A947-70E740481C1C}">
                          <a14:useLocalDpi xmlns:a14="http://schemas.microsoft.com/office/drawing/2010/main" val="0"/>
                        </a:ext>
                      </a:extLst>
                    </a:blip>
                    <a:stretch>
                      <a:fillRect/>
                    </a:stretch>
                  </pic:blipFill>
                  <pic:spPr>
                    <a:xfrm>
                      <a:off x="0" y="0"/>
                      <a:ext cx="5363944" cy="3004246"/>
                    </a:xfrm>
                    <a:prstGeom prst="rect">
                      <a:avLst/>
                    </a:prstGeom>
                    <a:ln w="12700">
                      <a:solidFill>
                        <a:sysClr val="windowText" lastClr="000000"/>
                      </a:solidFill>
                    </a:ln>
                  </pic:spPr>
                </pic:pic>
              </a:graphicData>
            </a:graphic>
          </wp:inline>
        </w:drawing>
      </w:r>
    </w:p>
    <w:p w14:paraId="0F89598C" w14:textId="53B3559C" w:rsidR="001713CD" w:rsidRPr="00623E9B" w:rsidRDefault="001713CD" w:rsidP="00AE5DD7">
      <w:pPr>
        <w:spacing w:line="480" w:lineRule="auto"/>
        <w:ind w:right="227"/>
        <w:contextualSpacing/>
        <w:mirrorIndents/>
        <w:jc w:val="both"/>
        <w:rPr>
          <w:rFonts w:ascii="Arial" w:hAnsi="Arial" w:cs="Arial"/>
          <w:sz w:val="24"/>
          <w:szCs w:val="24"/>
        </w:rPr>
      </w:pPr>
      <w:r w:rsidRPr="00623E9B">
        <w:rPr>
          <w:rFonts w:ascii="Arial" w:hAnsi="Arial" w:cs="Arial"/>
          <w:b/>
          <w:bCs/>
          <w:sz w:val="24"/>
          <w:szCs w:val="24"/>
        </w:rPr>
        <w:t xml:space="preserve">Figure 1: Folate metabolism in </w:t>
      </w:r>
      <w:r w:rsidRPr="00623E9B">
        <w:rPr>
          <w:rFonts w:ascii="Arial" w:hAnsi="Arial" w:cs="Arial"/>
          <w:b/>
          <w:bCs/>
          <w:i/>
          <w:iCs/>
          <w:sz w:val="24"/>
          <w:szCs w:val="24"/>
        </w:rPr>
        <w:t>M. tuberculosis</w:t>
      </w:r>
      <w:r w:rsidRPr="00623E9B">
        <w:rPr>
          <w:rFonts w:ascii="Arial" w:hAnsi="Arial" w:cs="Arial"/>
          <w:b/>
          <w:bCs/>
          <w:sz w:val="24"/>
          <w:szCs w:val="24"/>
        </w:rPr>
        <w:t>.</w:t>
      </w:r>
      <w:r w:rsidRPr="00623E9B">
        <w:rPr>
          <w:rFonts w:ascii="Arial" w:hAnsi="Arial" w:cs="Arial"/>
          <w:sz w:val="24"/>
          <w:szCs w:val="24"/>
        </w:rPr>
        <w:t xml:space="preserve"> Abbreviations: DHPPP, 7,8-dihydropterin pyrophosphate; PABA, para-aminobenzoic acid; H</w:t>
      </w:r>
      <w:r w:rsidRPr="00623E9B">
        <w:rPr>
          <w:rFonts w:ascii="Arial" w:hAnsi="Arial" w:cs="Arial"/>
          <w:sz w:val="24"/>
          <w:szCs w:val="24"/>
          <w:vertAlign w:val="subscript"/>
        </w:rPr>
        <w:t>2</w:t>
      </w:r>
      <w:r w:rsidRPr="00623E9B">
        <w:rPr>
          <w:rFonts w:ascii="Arial" w:hAnsi="Arial" w:cs="Arial"/>
          <w:sz w:val="24"/>
          <w:szCs w:val="24"/>
        </w:rPr>
        <w:t>Pte, dihydropteroate; H</w:t>
      </w:r>
      <w:r w:rsidRPr="00623E9B">
        <w:rPr>
          <w:rFonts w:ascii="Arial" w:hAnsi="Arial" w:cs="Arial"/>
          <w:sz w:val="24"/>
          <w:szCs w:val="24"/>
          <w:vertAlign w:val="subscript"/>
        </w:rPr>
        <w:t>2</w:t>
      </w:r>
      <w:r w:rsidRPr="00623E9B">
        <w:rPr>
          <w:rFonts w:ascii="Arial" w:hAnsi="Arial" w:cs="Arial"/>
          <w:sz w:val="24"/>
          <w:szCs w:val="24"/>
        </w:rPr>
        <w:t>PteGlu, dihydrofolate; H</w:t>
      </w:r>
      <w:r w:rsidRPr="00623E9B">
        <w:rPr>
          <w:rFonts w:ascii="Arial" w:hAnsi="Arial" w:cs="Arial"/>
          <w:sz w:val="24"/>
          <w:szCs w:val="24"/>
          <w:vertAlign w:val="subscript"/>
        </w:rPr>
        <w:t>4</w:t>
      </w:r>
      <w:r w:rsidRPr="00623E9B">
        <w:rPr>
          <w:rFonts w:ascii="Arial" w:hAnsi="Arial" w:cs="Arial"/>
          <w:sz w:val="24"/>
          <w:szCs w:val="24"/>
        </w:rPr>
        <w:t>PteGlu, tetrahydrofolate; C1-H</w:t>
      </w:r>
      <w:r w:rsidRPr="00623E9B">
        <w:rPr>
          <w:rFonts w:ascii="Arial" w:hAnsi="Arial" w:cs="Arial"/>
          <w:sz w:val="24"/>
          <w:szCs w:val="24"/>
          <w:vertAlign w:val="subscript"/>
        </w:rPr>
        <w:t>4</w:t>
      </w:r>
      <w:r w:rsidRPr="00623E9B">
        <w:rPr>
          <w:rFonts w:ascii="Arial" w:hAnsi="Arial" w:cs="Arial"/>
          <w:sz w:val="24"/>
          <w:szCs w:val="24"/>
        </w:rPr>
        <w:t>PteGlu, various single-carbon-modified species of H</w:t>
      </w:r>
      <w:r w:rsidRPr="00623E9B">
        <w:rPr>
          <w:rFonts w:ascii="Arial" w:hAnsi="Arial" w:cs="Arial"/>
          <w:sz w:val="24"/>
          <w:szCs w:val="24"/>
          <w:vertAlign w:val="subscript"/>
        </w:rPr>
        <w:t>4</w:t>
      </w:r>
      <w:r w:rsidRPr="00623E9B">
        <w:rPr>
          <w:rFonts w:ascii="Arial" w:hAnsi="Arial" w:cs="Arial"/>
          <w:sz w:val="24"/>
          <w:szCs w:val="24"/>
        </w:rPr>
        <w:t>PteGlu; ThyX, thymidylate synthase; tRNA</w:t>
      </w:r>
      <w:r w:rsidRPr="00623E9B">
        <w:rPr>
          <w:rFonts w:ascii="Arial" w:hAnsi="Arial" w:cs="Arial"/>
          <w:sz w:val="24"/>
          <w:szCs w:val="24"/>
          <w:vertAlign w:val="superscript"/>
        </w:rPr>
        <w:t>Met</w:t>
      </w:r>
      <w:r w:rsidRPr="00623E9B">
        <w:rPr>
          <w:rFonts w:ascii="Arial" w:hAnsi="Arial" w:cs="Arial"/>
          <w:sz w:val="24"/>
          <w:szCs w:val="24"/>
        </w:rPr>
        <w:t>, methionyl-tRNA; tRNA</w:t>
      </w:r>
      <w:r w:rsidRPr="00623E9B">
        <w:rPr>
          <w:rFonts w:ascii="Arial" w:hAnsi="Arial" w:cs="Arial"/>
          <w:sz w:val="24"/>
          <w:szCs w:val="24"/>
          <w:vertAlign w:val="superscript"/>
        </w:rPr>
        <w:t>fMet</w:t>
      </w:r>
      <w:r w:rsidRPr="00623E9B">
        <w:rPr>
          <w:rFonts w:ascii="Arial" w:hAnsi="Arial" w:cs="Arial"/>
          <w:sz w:val="24"/>
          <w:szCs w:val="24"/>
        </w:rPr>
        <w:t xml:space="preserve">, N-formylmethionyl-tRNA; Fmt, formyl-methionine transferase. </w:t>
      </w:r>
    </w:p>
    <w:p w14:paraId="233D1279" w14:textId="77777777" w:rsidR="001713CD" w:rsidRPr="005C4DFE" w:rsidRDefault="001713CD" w:rsidP="00952206">
      <w:pPr>
        <w:spacing w:line="480" w:lineRule="auto"/>
        <w:ind w:right="227"/>
        <w:contextualSpacing/>
        <w:mirrorIndents/>
        <w:jc w:val="both"/>
        <w:rPr>
          <w:rFonts w:ascii="Arial" w:hAnsi="Arial" w:cs="Arial"/>
        </w:rPr>
      </w:pPr>
    </w:p>
    <w:p w14:paraId="78FA71C9" w14:textId="77777777" w:rsidR="0044410A" w:rsidRDefault="0044410A"/>
    <w:sectPr w:rsidR="0044410A" w:rsidSect="00B04D64">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83E82" w14:textId="77777777" w:rsidR="00CF5DD0" w:rsidRDefault="00CF5DD0">
      <w:pPr>
        <w:spacing w:after="0" w:line="240" w:lineRule="auto"/>
      </w:pPr>
      <w:r>
        <w:separator/>
      </w:r>
    </w:p>
  </w:endnote>
  <w:endnote w:type="continuationSeparator" w:id="0">
    <w:p w14:paraId="24ECEAAB" w14:textId="77777777" w:rsidR="00CF5DD0" w:rsidRDefault="00CF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2F2B" w14:textId="77777777" w:rsidR="009A07FA" w:rsidRDefault="00CF5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023529"/>
      <w:docPartObj>
        <w:docPartGallery w:val="Page Numbers (Bottom of Page)"/>
        <w:docPartUnique/>
      </w:docPartObj>
    </w:sdtPr>
    <w:sdtEndPr>
      <w:rPr>
        <w:rFonts w:ascii="Arial" w:hAnsi="Arial" w:cs="Arial"/>
        <w:noProof/>
        <w:sz w:val="20"/>
        <w:szCs w:val="20"/>
      </w:rPr>
    </w:sdtEndPr>
    <w:sdtContent>
      <w:p w14:paraId="317F21D4" w14:textId="77777777" w:rsidR="009A07FA" w:rsidRPr="003C151B" w:rsidRDefault="00CA5BA7">
        <w:pPr>
          <w:pStyle w:val="Footer"/>
          <w:jc w:val="right"/>
          <w:rPr>
            <w:rFonts w:ascii="Arial" w:hAnsi="Arial" w:cs="Arial"/>
            <w:sz w:val="20"/>
            <w:szCs w:val="20"/>
          </w:rPr>
        </w:pPr>
        <w:r w:rsidRPr="003C151B">
          <w:rPr>
            <w:rFonts w:ascii="Arial" w:hAnsi="Arial" w:cs="Arial"/>
            <w:sz w:val="20"/>
            <w:szCs w:val="20"/>
          </w:rPr>
          <w:fldChar w:fldCharType="begin"/>
        </w:r>
        <w:r w:rsidRPr="003C151B">
          <w:rPr>
            <w:rFonts w:ascii="Arial" w:hAnsi="Arial" w:cs="Arial"/>
            <w:sz w:val="20"/>
            <w:szCs w:val="20"/>
          </w:rPr>
          <w:instrText xml:space="preserve"> PAGE   \* MERGEFORMAT </w:instrText>
        </w:r>
        <w:r w:rsidRPr="003C151B">
          <w:rPr>
            <w:rFonts w:ascii="Arial" w:hAnsi="Arial" w:cs="Arial"/>
            <w:sz w:val="20"/>
            <w:szCs w:val="20"/>
          </w:rPr>
          <w:fldChar w:fldCharType="separate"/>
        </w:r>
        <w:r>
          <w:rPr>
            <w:rFonts w:ascii="Arial" w:hAnsi="Arial" w:cs="Arial"/>
            <w:noProof/>
            <w:sz w:val="20"/>
            <w:szCs w:val="20"/>
          </w:rPr>
          <w:t>1</w:t>
        </w:r>
        <w:r w:rsidRPr="003C151B">
          <w:rPr>
            <w:rFonts w:ascii="Arial" w:hAnsi="Arial" w:cs="Arial"/>
            <w:noProof/>
            <w:sz w:val="20"/>
            <w:szCs w:val="20"/>
          </w:rPr>
          <w:fldChar w:fldCharType="end"/>
        </w:r>
      </w:p>
    </w:sdtContent>
  </w:sdt>
  <w:p w14:paraId="75418E97" w14:textId="77777777" w:rsidR="009A07FA" w:rsidRDefault="00CF5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0AF2" w14:textId="77777777" w:rsidR="009A07FA" w:rsidRDefault="00CF5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97E00" w14:textId="77777777" w:rsidR="00CF5DD0" w:rsidRDefault="00CF5DD0">
      <w:pPr>
        <w:spacing w:after="0" w:line="240" w:lineRule="auto"/>
      </w:pPr>
      <w:r>
        <w:separator/>
      </w:r>
    </w:p>
  </w:footnote>
  <w:footnote w:type="continuationSeparator" w:id="0">
    <w:p w14:paraId="2C4543EE" w14:textId="77777777" w:rsidR="00CF5DD0" w:rsidRDefault="00CF5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1C3D8" w14:textId="77777777" w:rsidR="009A07FA" w:rsidRDefault="00CF5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E795" w14:textId="77777777" w:rsidR="009A07FA" w:rsidRDefault="00CF5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6441" w14:textId="77777777" w:rsidR="009A07FA" w:rsidRDefault="00CF5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05C"/>
    <w:multiLevelType w:val="hybridMultilevel"/>
    <w:tmpl w:val="6098134A"/>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01E145D0"/>
    <w:multiLevelType w:val="multilevel"/>
    <w:tmpl w:val="7570A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86A7B69"/>
    <w:multiLevelType w:val="hybridMultilevel"/>
    <w:tmpl w:val="57AE1552"/>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12963D55"/>
    <w:multiLevelType w:val="hybridMultilevel"/>
    <w:tmpl w:val="3C342226"/>
    <w:lvl w:ilvl="0" w:tplc="65B444B2">
      <w:start w:val="13"/>
      <w:numFmt w:val="bullet"/>
      <w:lvlText w:val="-"/>
      <w:lvlJc w:val="left"/>
      <w:pPr>
        <w:ind w:left="947" w:hanging="360"/>
      </w:pPr>
      <w:rPr>
        <w:rFonts w:ascii="Calibri" w:eastAsiaTheme="minorHAnsi" w:hAnsi="Calibri" w:cs="Calibri"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15:restartNumberingAfterBreak="0">
    <w:nsid w:val="14CC79B2"/>
    <w:multiLevelType w:val="multilevel"/>
    <w:tmpl w:val="E1CABE4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89674E7"/>
    <w:multiLevelType w:val="hybridMultilevel"/>
    <w:tmpl w:val="EDD45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B02E0"/>
    <w:multiLevelType w:val="hybridMultilevel"/>
    <w:tmpl w:val="E0F26012"/>
    <w:lvl w:ilvl="0" w:tplc="ADCCE5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86F8F"/>
    <w:multiLevelType w:val="hybridMultilevel"/>
    <w:tmpl w:val="16DEC5D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51104"/>
    <w:multiLevelType w:val="hybridMultilevel"/>
    <w:tmpl w:val="936CF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12707"/>
    <w:multiLevelType w:val="hybridMultilevel"/>
    <w:tmpl w:val="C360ADE6"/>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2C684F59"/>
    <w:multiLevelType w:val="hybridMultilevel"/>
    <w:tmpl w:val="9014EE00"/>
    <w:lvl w:ilvl="0" w:tplc="ADCCE536">
      <w:numFmt w:val="bullet"/>
      <w:lvlText w:val="-"/>
      <w:lvlJc w:val="left"/>
      <w:pPr>
        <w:ind w:left="947" w:hanging="360"/>
      </w:pPr>
      <w:rPr>
        <w:rFonts w:ascii="Calibri" w:eastAsiaTheme="minorHAnsi" w:hAnsi="Calibri" w:cstheme="minorBidi"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1" w15:restartNumberingAfterBreak="0">
    <w:nsid w:val="32383CF4"/>
    <w:multiLevelType w:val="hybridMultilevel"/>
    <w:tmpl w:val="32F6726E"/>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357E65DD"/>
    <w:multiLevelType w:val="hybridMultilevel"/>
    <w:tmpl w:val="1E0C3AAA"/>
    <w:lvl w:ilvl="0" w:tplc="FB1C13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76060"/>
    <w:multiLevelType w:val="hybridMultilevel"/>
    <w:tmpl w:val="58402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B4872"/>
    <w:multiLevelType w:val="hybridMultilevel"/>
    <w:tmpl w:val="C78CD796"/>
    <w:lvl w:ilvl="0" w:tplc="65B444B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56305"/>
    <w:multiLevelType w:val="hybridMultilevel"/>
    <w:tmpl w:val="EEDE7B54"/>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3A411EDB"/>
    <w:multiLevelType w:val="hybridMultilevel"/>
    <w:tmpl w:val="DC485D78"/>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3B4920DE"/>
    <w:multiLevelType w:val="hybridMultilevel"/>
    <w:tmpl w:val="2E5E50BE"/>
    <w:lvl w:ilvl="0" w:tplc="ADCCE5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53B6E"/>
    <w:multiLevelType w:val="hybridMultilevel"/>
    <w:tmpl w:val="6D50EF8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9" w15:restartNumberingAfterBreak="0">
    <w:nsid w:val="43C81DB7"/>
    <w:multiLevelType w:val="hybridMultilevel"/>
    <w:tmpl w:val="3B9C3354"/>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467D652C"/>
    <w:multiLevelType w:val="hybridMultilevel"/>
    <w:tmpl w:val="4260B976"/>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7100569"/>
    <w:multiLevelType w:val="hybridMultilevel"/>
    <w:tmpl w:val="98B04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C93510"/>
    <w:multiLevelType w:val="multilevel"/>
    <w:tmpl w:val="CB4EE5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D5D4067"/>
    <w:multiLevelType w:val="hybridMultilevel"/>
    <w:tmpl w:val="D18C6FD0"/>
    <w:lvl w:ilvl="0" w:tplc="ADCCE53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FA2C37"/>
    <w:multiLevelType w:val="hybridMultilevel"/>
    <w:tmpl w:val="20AE004A"/>
    <w:lvl w:ilvl="0" w:tplc="5FFA91F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A4E2A"/>
    <w:multiLevelType w:val="hybridMultilevel"/>
    <w:tmpl w:val="DEB093E2"/>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6" w15:restartNumberingAfterBreak="0">
    <w:nsid w:val="518B051E"/>
    <w:multiLevelType w:val="hybridMultilevel"/>
    <w:tmpl w:val="ECA62BAE"/>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7" w15:restartNumberingAfterBreak="0">
    <w:nsid w:val="56596819"/>
    <w:multiLevelType w:val="hybridMultilevel"/>
    <w:tmpl w:val="C72441AE"/>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8" w15:restartNumberingAfterBreak="0">
    <w:nsid w:val="57465004"/>
    <w:multiLevelType w:val="multilevel"/>
    <w:tmpl w:val="7570A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99860C4"/>
    <w:multiLevelType w:val="hybridMultilevel"/>
    <w:tmpl w:val="2F949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410D7C"/>
    <w:multiLevelType w:val="hybridMultilevel"/>
    <w:tmpl w:val="DD36158E"/>
    <w:lvl w:ilvl="0" w:tplc="65B444B2">
      <w:start w:val="13"/>
      <w:numFmt w:val="bullet"/>
      <w:lvlText w:val="-"/>
      <w:lvlJc w:val="left"/>
      <w:pPr>
        <w:ind w:left="947" w:hanging="360"/>
      </w:pPr>
      <w:rPr>
        <w:rFonts w:ascii="Calibri" w:eastAsiaTheme="minorHAnsi" w:hAnsi="Calibri" w:cs="Calibri"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1" w15:restartNumberingAfterBreak="0">
    <w:nsid w:val="603D5E42"/>
    <w:multiLevelType w:val="hybridMultilevel"/>
    <w:tmpl w:val="2B1E8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9B47E1"/>
    <w:multiLevelType w:val="hybridMultilevel"/>
    <w:tmpl w:val="B2D8A3A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3" w15:restartNumberingAfterBreak="0">
    <w:nsid w:val="69774C9C"/>
    <w:multiLevelType w:val="hybridMultilevel"/>
    <w:tmpl w:val="9760CC5C"/>
    <w:lvl w:ilvl="0" w:tplc="65B444B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94073"/>
    <w:multiLevelType w:val="hybridMultilevel"/>
    <w:tmpl w:val="9E1C09AC"/>
    <w:lvl w:ilvl="0" w:tplc="ADCCE5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2207F"/>
    <w:multiLevelType w:val="hybridMultilevel"/>
    <w:tmpl w:val="B24695E0"/>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6" w15:restartNumberingAfterBreak="0">
    <w:nsid w:val="70F122A9"/>
    <w:multiLevelType w:val="hybridMultilevel"/>
    <w:tmpl w:val="E90AC70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0420F"/>
    <w:multiLevelType w:val="hybridMultilevel"/>
    <w:tmpl w:val="D604F998"/>
    <w:lvl w:ilvl="0" w:tplc="ADCCE536">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8" w15:restartNumberingAfterBreak="0">
    <w:nsid w:val="7D6C729C"/>
    <w:multiLevelType w:val="hybridMultilevel"/>
    <w:tmpl w:val="578A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A72B3"/>
    <w:multiLevelType w:val="hybridMultilevel"/>
    <w:tmpl w:val="149E6292"/>
    <w:lvl w:ilvl="0" w:tplc="7A4AEC9C">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0" w15:restartNumberingAfterBreak="0">
    <w:nsid w:val="7F681F4A"/>
    <w:multiLevelType w:val="hybridMultilevel"/>
    <w:tmpl w:val="6B0AB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8"/>
  </w:num>
  <w:num w:numId="5">
    <w:abstractNumId w:val="28"/>
  </w:num>
  <w:num w:numId="6">
    <w:abstractNumId w:val="33"/>
  </w:num>
  <w:num w:numId="7">
    <w:abstractNumId w:val="6"/>
  </w:num>
  <w:num w:numId="8">
    <w:abstractNumId w:val="21"/>
  </w:num>
  <w:num w:numId="9">
    <w:abstractNumId w:val="38"/>
  </w:num>
  <w:num w:numId="10">
    <w:abstractNumId w:val="40"/>
  </w:num>
  <w:num w:numId="11">
    <w:abstractNumId w:val="29"/>
  </w:num>
  <w:num w:numId="12">
    <w:abstractNumId w:val="5"/>
  </w:num>
  <w:num w:numId="13">
    <w:abstractNumId w:val="17"/>
  </w:num>
  <w:num w:numId="14">
    <w:abstractNumId w:val="24"/>
  </w:num>
  <w:num w:numId="15">
    <w:abstractNumId w:val="39"/>
  </w:num>
  <w:num w:numId="16">
    <w:abstractNumId w:val="2"/>
  </w:num>
  <w:num w:numId="17">
    <w:abstractNumId w:val="34"/>
  </w:num>
  <w:num w:numId="18">
    <w:abstractNumId w:val="23"/>
  </w:num>
  <w:num w:numId="19">
    <w:abstractNumId w:val="25"/>
  </w:num>
  <w:num w:numId="20">
    <w:abstractNumId w:val="9"/>
  </w:num>
  <w:num w:numId="21">
    <w:abstractNumId w:val="27"/>
  </w:num>
  <w:num w:numId="22">
    <w:abstractNumId w:val="20"/>
  </w:num>
  <w:num w:numId="23">
    <w:abstractNumId w:val="37"/>
  </w:num>
  <w:num w:numId="24">
    <w:abstractNumId w:val="16"/>
  </w:num>
  <w:num w:numId="25">
    <w:abstractNumId w:val="26"/>
  </w:num>
  <w:num w:numId="26">
    <w:abstractNumId w:val="19"/>
  </w:num>
  <w:num w:numId="27">
    <w:abstractNumId w:val="35"/>
  </w:num>
  <w:num w:numId="28">
    <w:abstractNumId w:val="0"/>
  </w:num>
  <w:num w:numId="29">
    <w:abstractNumId w:val="11"/>
  </w:num>
  <w:num w:numId="30">
    <w:abstractNumId w:val="15"/>
  </w:num>
  <w:num w:numId="31">
    <w:abstractNumId w:val="18"/>
  </w:num>
  <w:num w:numId="32">
    <w:abstractNumId w:val="30"/>
  </w:num>
  <w:num w:numId="33">
    <w:abstractNumId w:val="3"/>
  </w:num>
  <w:num w:numId="34">
    <w:abstractNumId w:val="7"/>
  </w:num>
  <w:num w:numId="35">
    <w:abstractNumId w:val="36"/>
  </w:num>
  <w:num w:numId="36">
    <w:abstractNumId w:val="1"/>
  </w:num>
  <w:num w:numId="37">
    <w:abstractNumId w:val="22"/>
  </w:num>
  <w:num w:numId="38">
    <w:abstractNumId w:val="32"/>
  </w:num>
  <w:num w:numId="39">
    <w:abstractNumId w:val="10"/>
  </w:num>
  <w:num w:numId="40">
    <w:abstractNumId w:val="3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713CD"/>
    <w:rsid w:val="00054E53"/>
    <w:rsid w:val="00082DCE"/>
    <w:rsid w:val="001713CD"/>
    <w:rsid w:val="001A34E6"/>
    <w:rsid w:val="002A1EE9"/>
    <w:rsid w:val="0030321C"/>
    <w:rsid w:val="00357CA5"/>
    <w:rsid w:val="0044410A"/>
    <w:rsid w:val="00490297"/>
    <w:rsid w:val="00625711"/>
    <w:rsid w:val="00652745"/>
    <w:rsid w:val="00667561"/>
    <w:rsid w:val="007673BE"/>
    <w:rsid w:val="008F5874"/>
    <w:rsid w:val="00A547CB"/>
    <w:rsid w:val="00AF03B1"/>
    <w:rsid w:val="00B60FC3"/>
    <w:rsid w:val="00BE2465"/>
    <w:rsid w:val="00CA5BA7"/>
    <w:rsid w:val="00CE407A"/>
    <w:rsid w:val="00CF5DD0"/>
    <w:rsid w:val="00DB712E"/>
    <w:rsid w:val="00DF1BAB"/>
    <w:rsid w:val="00DF7AFA"/>
    <w:rsid w:val="00F71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B200"/>
  <w15:chartTrackingRefBased/>
  <w15:docId w15:val="{4E8FDECE-772B-4478-86E1-4DC8E0F1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3CD"/>
    <w:rPr>
      <w:rFonts w:eastAsiaTheme="minorEastAsia"/>
    </w:rPr>
  </w:style>
  <w:style w:type="paragraph" w:styleId="Heading1">
    <w:name w:val="heading 1"/>
    <w:basedOn w:val="Normal"/>
    <w:next w:val="Normal"/>
    <w:link w:val="Heading1Char"/>
    <w:uiPriority w:val="9"/>
    <w:qFormat/>
    <w:rsid w:val="001713CD"/>
    <w:pPr>
      <w:keepNext/>
      <w:keepLines/>
      <w:numPr>
        <w:numId w:val="1"/>
      </w:numPr>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713CD"/>
    <w:pPr>
      <w:keepNext/>
      <w:keepLines/>
      <w:numPr>
        <w:ilvl w:val="1"/>
        <w:numId w:val="1"/>
      </w:numPr>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713CD"/>
    <w:pPr>
      <w:keepNext/>
      <w:keepLines/>
      <w:numPr>
        <w:ilvl w:val="2"/>
        <w:numId w:val="1"/>
      </w:numPr>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713CD"/>
    <w:pPr>
      <w:keepNext/>
      <w:keepLines/>
      <w:numPr>
        <w:ilvl w:val="3"/>
        <w:numId w:val="1"/>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713CD"/>
    <w:pPr>
      <w:keepNext/>
      <w:keepLines/>
      <w:numPr>
        <w:ilvl w:val="4"/>
        <w:numId w:val="1"/>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713CD"/>
    <w:pPr>
      <w:keepNext/>
      <w:keepLines/>
      <w:numPr>
        <w:ilvl w:val="5"/>
        <w:numId w:val="1"/>
      </w:numPr>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713CD"/>
    <w:pPr>
      <w:keepNext/>
      <w:keepLines/>
      <w:numPr>
        <w:ilvl w:val="6"/>
        <w:numId w:val="1"/>
      </w:numPr>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713CD"/>
    <w:pPr>
      <w:keepNext/>
      <w:keepLines/>
      <w:numPr>
        <w:ilvl w:val="7"/>
        <w:numId w:val="1"/>
      </w:numPr>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713CD"/>
    <w:pPr>
      <w:keepNext/>
      <w:keepLines/>
      <w:numPr>
        <w:ilvl w:val="8"/>
        <w:numId w:val="1"/>
      </w:numPr>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3C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713C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713C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713C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713C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713C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713C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713C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713CD"/>
    <w:rPr>
      <w:rFonts w:asciiTheme="majorHAnsi" w:eastAsiaTheme="majorEastAsia" w:hAnsiTheme="majorHAnsi" w:cstheme="majorBidi"/>
      <w:i/>
      <w:iCs/>
      <w:color w:val="1F3864" w:themeColor="accent1" w:themeShade="80"/>
    </w:rPr>
  </w:style>
  <w:style w:type="paragraph" w:styleId="TOCHeading">
    <w:name w:val="TOC Heading"/>
    <w:basedOn w:val="Heading1"/>
    <w:next w:val="Normal"/>
    <w:uiPriority w:val="39"/>
    <w:unhideWhenUsed/>
    <w:qFormat/>
    <w:rsid w:val="001713CD"/>
    <w:pPr>
      <w:numPr>
        <w:numId w:val="0"/>
      </w:numPr>
      <w:outlineLvl w:val="9"/>
    </w:pPr>
  </w:style>
  <w:style w:type="paragraph" w:styleId="TOC2">
    <w:name w:val="toc 2"/>
    <w:basedOn w:val="Normal"/>
    <w:next w:val="Normal"/>
    <w:autoRedefine/>
    <w:uiPriority w:val="39"/>
    <w:unhideWhenUsed/>
    <w:rsid w:val="001713CD"/>
    <w:pPr>
      <w:tabs>
        <w:tab w:val="left" w:pos="880"/>
        <w:tab w:val="right" w:leader="dot" w:pos="9072"/>
      </w:tabs>
      <w:spacing w:before="120" w:after="0" w:line="360" w:lineRule="auto"/>
      <w:ind w:left="227" w:right="227"/>
      <w:jc w:val="both"/>
    </w:pPr>
    <w:rPr>
      <w:rFonts w:cstheme="minorHAnsi"/>
      <w:i/>
      <w:iCs/>
      <w:sz w:val="20"/>
      <w:szCs w:val="20"/>
    </w:rPr>
  </w:style>
  <w:style w:type="paragraph" w:styleId="TOC1">
    <w:name w:val="toc 1"/>
    <w:basedOn w:val="Normal"/>
    <w:next w:val="Normal"/>
    <w:autoRedefine/>
    <w:uiPriority w:val="39"/>
    <w:unhideWhenUsed/>
    <w:rsid w:val="001713CD"/>
    <w:pPr>
      <w:tabs>
        <w:tab w:val="left" w:pos="142"/>
        <w:tab w:val="right" w:leader="dot" w:pos="9016"/>
      </w:tabs>
      <w:spacing w:before="240" w:after="120" w:line="360" w:lineRule="auto"/>
      <w:ind w:left="227" w:right="227"/>
      <w:jc w:val="both"/>
    </w:pPr>
    <w:rPr>
      <w:rFonts w:cstheme="minorHAnsi"/>
      <w:b/>
      <w:bCs/>
      <w:sz w:val="20"/>
      <w:szCs w:val="20"/>
    </w:rPr>
  </w:style>
  <w:style w:type="paragraph" w:styleId="TOC3">
    <w:name w:val="toc 3"/>
    <w:basedOn w:val="Normal"/>
    <w:next w:val="Normal"/>
    <w:autoRedefine/>
    <w:uiPriority w:val="39"/>
    <w:unhideWhenUsed/>
    <w:rsid w:val="001713CD"/>
    <w:pPr>
      <w:tabs>
        <w:tab w:val="left" w:pos="1320"/>
        <w:tab w:val="right" w:leader="dot" w:pos="9016"/>
        <w:tab w:val="right" w:leader="dot" w:pos="9356"/>
      </w:tabs>
      <w:spacing w:after="0" w:line="360" w:lineRule="auto"/>
      <w:ind w:left="227" w:right="227"/>
      <w:contextualSpacing/>
      <w:jc w:val="both"/>
    </w:pPr>
    <w:rPr>
      <w:rFonts w:cstheme="minorHAnsi"/>
      <w:sz w:val="20"/>
      <w:szCs w:val="20"/>
    </w:rPr>
  </w:style>
  <w:style w:type="character" w:styleId="Hyperlink">
    <w:name w:val="Hyperlink"/>
    <w:basedOn w:val="DefaultParagraphFont"/>
    <w:uiPriority w:val="99"/>
    <w:unhideWhenUsed/>
    <w:rsid w:val="001713CD"/>
    <w:rPr>
      <w:color w:val="0563C1" w:themeColor="hyperlink"/>
      <w:u w:val="single"/>
    </w:rPr>
  </w:style>
  <w:style w:type="paragraph" w:styleId="List">
    <w:name w:val="List"/>
    <w:basedOn w:val="Normal"/>
    <w:uiPriority w:val="99"/>
    <w:semiHidden/>
    <w:unhideWhenUsed/>
    <w:rsid w:val="001713CD"/>
    <w:pPr>
      <w:ind w:left="283" w:hanging="283"/>
      <w:contextualSpacing/>
    </w:pPr>
  </w:style>
  <w:style w:type="character" w:styleId="Emphasis">
    <w:name w:val="Emphasis"/>
    <w:basedOn w:val="DefaultParagraphFont"/>
    <w:uiPriority w:val="20"/>
    <w:qFormat/>
    <w:rsid w:val="001713CD"/>
    <w:rPr>
      <w:i/>
      <w:iCs/>
    </w:rPr>
  </w:style>
  <w:style w:type="paragraph" w:styleId="TOC4">
    <w:name w:val="toc 4"/>
    <w:basedOn w:val="Normal"/>
    <w:next w:val="Normal"/>
    <w:autoRedefine/>
    <w:uiPriority w:val="39"/>
    <w:unhideWhenUsed/>
    <w:rsid w:val="001713CD"/>
    <w:pPr>
      <w:spacing w:after="0"/>
      <w:ind w:left="660"/>
    </w:pPr>
    <w:rPr>
      <w:rFonts w:cstheme="minorHAnsi"/>
      <w:sz w:val="20"/>
      <w:szCs w:val="20"/>
    </w:rPr>
  </w:style>
  <w:style w:type="paragraph" w:styleId="TOC5">
    <w:name w:val="toc 5"/>
    <w:basedOn w:val="Normal"/>
    <w:next w:val="Normal"/>
    <w:autoRedefine/>
    <w:uiPriority w:val="39"/>
    <w:unhideWhenUsed/>
    <w:rsid w:val="001713CD"/>
    <w:pPr>
      <w:spacing w:after="0"/>
      <w:ind w:left="880"/>
    </w:pPr>
    <w:rPr>
      <w:rFonts w:cstheme="minorHAnsi"/>
      <w:sz w:val="20"/>
      <w:szCs w:val="20"/>
    </w:rPr>
  </w:style>
  <w:style w:type="paragraph" w:styleId="TOC6">
    <w:name w:val="toc 6"/>
    <w:basedOn w:val="Normal"/>
    <w:next w:val="Normal"/>
    <w:autoRedefine/>
    <w:uiPriority w:val="39"/>
    <w:unhideWhenUsed/>
    <w:rsid w:val="001713CD"/>
    <w:pPr>
      <w:spacing w:after="0"/>
      <w:ind w:left="1100"/>
    </w:pPr>
    <w:rPr>
      <w:rFonts w:cstheme="minorHAnsi"/>
      <w:sz w:val="20"/>
      <w:szCs w:val="20"/>
    </w:rPr>
  </w:style>
  <w:style w:type="paragraph" w:styleId="TOC7">
    <w:name w:val="toc 7"/>
    <w:basedOn w:val="Normal"/>
    <w:next w:val="Normal"/>
    <w:autoRedefine/>
    <w:uiPriority w:val="39"/>
    <w:unhideWhenUsed/>
    <w:rsid w:val="001713CD"/>
    <w:pPr>
      <w:spacing w:after="0"/>
      <w:ind w:left="1320"/>
    </w:pPr>
    <w:rPr>
      <w:rFonts w:cstheme="minorHAnsi"/>
      <w:sz w:val="20"/>
      <w:szCs w:val="20"/>
    </w:rPr>
  </w:style>
  <w:style w:type="paragraph" w:styleId="TOC8">
    <w:name w:val="toc 8"/>
    <w:basedOn w:val="Normal"/>
    <w:next w:val="Normal"/>
    <w:autoRedefine/>
    <w:uiPriority w:val="39"/>
    <w:unhideWhenUsed/>
    <w:rsid w:val="001713CD"/>
    <w:pPr>
      <w:spacing w:after="0"/>
      <w:ind w:left="1540"/>
    </w:pPr>
    <w:rPr>
      <w:rFonts w:cstheme="minorHAnsi"/>
      <w:sz w:val="20"/>
      <w:szCs w:val="20"/>
    </w:rPr>
  </w:style>
  <w:style w:type="paragraph" w:styleId="TOC9">
    <w:name w:val="toc 9"/>
    <w:basedOn w:val="Normal"/>
    <w:next w:val="Normal"/>
    <w:autoRedefine/>
    <w:uiPriority w:val="39"/>
    <w:unhideWhenUsed/>
    <w:rsid w:val="001713CD"/>
    <w:pPr>
      <w:spacing w:after="0"/>
      <w:ind w:left="1760"/>
    </w:pPr>
    <w:rPr>
      <w:rFonts w:cstheme="minorHAnsi"/>
      <w:sz w:val="20"/>
      <w:szCs w:val="20"/>
    </w:rPr>
  </w:style>
  <w:style w:type="paragraph" w:styleId="BalloonText">
    <w:name w:val="Balloon Text"/>
    <w:basedOn w:val="Normal"/>
    <w:link w:val="BalloonTextChar"/>
    <w:uiPriority w:val="99"/>
    <w:semiHidden/>
    <w:unhideWhenUsed/>
    <w:rsid w:val="0017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D"/>
    <w:rPr>
      <w:rFonts w:ascii="Tahoma" w:eastAsiaTheme="minorEastAsia" w:hAnsi="Tahoma" w:cs="Tahoma"/>
      <w:sz w:val="16"/>
      <w:szCs w:val="16"/>
    </w:rPr>
  </w:style>
  <w:style w:type="paragraph" w:customStyle="1" w:styleId="EndNoteBibliographyTitle">
    <w:name w:val="EndNote Bibliography Title"/>
    <w:basedOn w:val="Normal"/>
    <w:link w:val="EndNoteBibliographyTitleChar"/>
    <w:rsid w:val="001713CD"/>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1713CD"/>
    <w:rPr>
      <w:rFonts w:ascii="Arial" w:eastAsiaTheme="minorEastAsia" w:hAnsi="Arial" w:cs="Arial"/>
      <w:noProof/>
      <w:lang w:val="en-US"/>
    </w:rPr>
  </w:style>
  <w:style w:type="paragraph" w:customStyle="1" w:styleId="EndNoteBibliography">
    <w:name w:val="EndNote Bibliography"/>
    <w:basedOn w:val="Normal"/>
    <w:link w:val="EndNoteBibliographyChar"/>
    <w:rsid w:val="001713CD"/>
    <w:pPr>
      <w:spacing w:line="240" w:lineRule="auto"/>
      <w:jc w:val="both"/>
    </w:pPr>
    <w:rPr>
      <w:rFonts w:ascii="Arial" w:hAnsi="Arial" w:cs="Arial"/>
      <w:noProof/>
      <w:lang w:val="en-US"/>
    </w:rPr>
  </w:style>
  <w:style w:type="character" w:customStyle="1" w:styleId="EndNoteBibliographyChar">
    <w:name w:val="EndNote Bibliography Char"/>
    <w:basedOn w:val="DefaultParagraphFont"/>
    <w:link w:val="EndNoteBibliography"/>
    <w:rsid w:val="001713CD"/>
    <w:rPr>
      <w:rFonts w:ascii="Arial" w:eastAsiaTheme="minorEastAsia" w:hAnsi="Arial" w:cs="Arial"/>
      <w:noProof/>
      <w:lang w:val="en-US"/>
    </w:rPr>
  </w:style>
  <w:style w:type="character" w:customStyle="1" w:styleId="UnresolvedMention1">
    <w:name w:val="Unresolved Mention1"/>
    <w:basedOn w:val="DefaultParagraphFont"/>
    <w:uiPriority w:val="99"/>
    <w:semiHidden/>
    <w:unhideWhenUsed/>
    <w:rsid w:val="001713CD"/>
    <w:rPr>
      <w:color w:val="808080"/>
      <w:shd w:val="clear" w:color="auto" w:fill="E6E6E6"/>
    </w:rPr>
  </w:style>
  <w:style w:type="table" w:styleId="TableGrid">
    <w:name w:val="Table Grid"/>
    <w:basedOn w:val="TableNormal"/>
    <w:uiPriority w:val="59"/>
    <w:rsid w:val="0017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13CD"/>
    <w:pPr>
      <w:spacing w:after="0" w:line="240" w:lineRule="auto"/>
    </w:pPr>
    <w:rPr>
      <w:rFonts w:eastAsiaTheme="minorEastAsia"/>
    </w:rPr>
  </w:style>
  <w:style w:type="paragraph" w:styleId="ListParagraph">
    <w:name w:val="List Paragraph"/>
    <w:basedOn w:val="Normal"/>
    <w:uiPriority w:val="34"/>
    <w:qFormat/>
    <w:rsid w:val="001713CD"/>
    <w:pPr>
      <w:ind w:left="720"/>
      <w:contextualSpacing/>
    </w:pPr>
  </w:style>
  <w:style w:type="paragraph" w:customStyle="1" w:styleId="Contenutotabella">
    <w:name w:val="Contenuto tabella"/>
    <w:basedOn w:val="Normal"/>
    <w:rsid w:val="001713CD"/>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UnresolvedMention2">
    <w:name w:val="Unresolved Mention2"/>
    <w:basedOn w:val="DefaultParagraphFont"/>
    <w:uiPriority w:val="99"/>
    <w:semiHidden/>
    <w:unhideWhenUsed/>
    <w:rsid w:val="001713CD"/>
    <w:rPr>
      <w:color w:val="808080"/>
      <w:shd w:val="clear" w:color="auto" w:fill="E6E6E6"/>
    </w:rPr>
  </w:style>
  <w:style w:type="character" w:customStyle="1" w:styleId="UnresolvedMention3">
    <w:name w:val="Unresolved Mention3"/>
    <w:basedOn w:val="DefaultParagraphFont"/>
    <w:uiPriority w:val="99"/>
    <w:semiHidden/>
    <w:unhideWhenUsed/>
    <w:rsid w:val="001713CD"/>
    <w:rPr>
      <w:color w:val="808080"/>
      <w:shd w:val="clear" w:color="auto" w:fill="E6E6E6"/>
    </w:rPr>
  </w:style>
  <w:style w:type="paragraph" w:customStyle="1" w:styleId="xmsonormal">
    <w:name w:val="x_msonormal"/>
    <w:basedOn w:val="Normal"/>
    <w:rsid w:val="001713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endnotereference">
    <w:name w:val="x_msoendnotereference"/>
    <w:basedOn w:val="DefaultParagraphFont"/>
    <w:rsid w:val="001713CD"/>
  </w:style>
  <w:style w:type="character" w:customStyle="1" w:styleId="xapple-converted-space">
    <w:name w:val="x_apple-converted-space"/>
    <w:basedOn w:val="DefaultParagraphFont"/>
    <w:rsid w:val="001713CD"/>
  </w:style>
  <w:style w:type="character" w:customStyle="1" w:styleId="UnresolvedMention4">
    <w:name w:val="Unresolved Mention4"/>
    <w:basedOn w:val="DefaultParagraphFont"/>
    <w:uiPriority w:val="99"/>
    <w:semiHidden/>
    <w:unhideWhenUsed/>
    <w:rsid w:val="001713CD"/>
    <w:rPr>
      <w:color w:val="808080"/>
      <w:shd w:val="clear" w:color="auto" w:fill="E6E6E6"/>
    </w:rPr>
  </w:style>
  <w:style w:type="character" w:customStyle="1" w:styleId="UnresolvedMention5">
    <w:name w:val="Unresolved Mention5"/>
    <w:basedOn w:val="DefaultParagraphFont"/>
    <w:uiPriority w:val="99"/>
    <w:semiHidden/>
    <w:unhideWhenUsed/>
    <w:rsid w:val="001713CD"/>
    <w:rPr>
      <w:color w:val="808080"/>
      <w:shd w:val="clear" w:color="auto" w:fill="E6E6E6"/>
    </w:rPr>
  </w:style>
  <w:style w:type="paragraph" w:styleId="Caption">
    <w:name w:val="caption"/>
    <w:basedOn w:val="Normal"/>
    <w:next w:val="Normal"/>
    <w:uiPriority w:val="35"/>
    <w:unhideWhenUsed/>
    <w:qFormat/>
    <w:rsid w:val="001713CD"/>
    <w:pPr>
      <w:spacing w:line="240" w:lineRule="auto"/>
    </w:pPr>
    <w:rPr>
      <w:b/>
      <w:bCs/>
      <w:smallCaps/>
      <w:color w:val="44546A" w:themeColor="text2"/>
    </w:rPr>
  </w:style>
  <w:style w:type="paragraph" w:styleId="Title">
    <w:name w:val="Title"/>
    <w:basedOn w:val="Normal"/>
    <w:next w:val="Normal"/>
    <w:link w:val="TitleChar"/>
    <w:uiPriority w:val="10"/>
    <w:qFormat/>
    <w:rsid w:val="001713C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13C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13C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713C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713CD"/>
    <w:rPr>
      <w:b/>
      <w:bCs/>
    </w:rPr>
  </w:style>
  <w:style w:type="paragraph" w:styleId="Quote">
    <w:name w:val="Quote"/>
    <w:basedOn w:val="Normal"/>
    <w:next w:val="Normal"/>
    <w:link w:val="QuoteChar"/>
    <w:uiPriority w:val="29"/>
    <w:qFormat/>
    <w:rsid w:val="001713C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13CD"/>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1713C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13C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13CD"/>
    <w:rPr>
      <w:i/>
      <w:iCs/>
      <w:color w:val="595959" w:themeColor="text1" w:themeTint="A6"/>
    </w:rPr>
  </w:style>
  <w:style w:type="character" w:styleId="IntenseEmphasis">
    <w:name w:val="Intense Emphasis"/>
    <w:basedOn w:val="DefaultParagraphFont"/>
    <w:uiPriority w:val="21"/>
    <w:qFormat/>
    <w:rsid w:val="001713CD"/>
    <w:rPr>
      <w:b/>
      <w:bCs/>
      <w:i/>
      <w:iCs/>
    </w:rPr>
  </w:style>
  <w:style w:type="character" w:styleId="SubtleReference">
    <w:name w:val="Subtle Reference"/>
    <w:basedOn w:val="DefaultParagraphFont"/>
    <w:uiPriority w:val="31"/>
    <w:qFormat/>
    <w:rsid w:val="001713C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13CD"/>
    <w:rPr>
      <w:b/>
      <w:bCs/>
      <w:smallCaps/>
      <w:color w:val="44546A" w:themeColor="text2"/>
      <w:u w:val="single"/>
    </w:rPr>
  </w:style>
  <w:style w:type="character" w:styleId="BookTitle">
    <w:name w:val="Book Title"/>
    <w:basedOn w:val="DefaultParagraphFont"/>
    <w:uiPriority w:val="33"/>
    <w:qFormat/>
    <w:rsid w:val="001713CD"/>
    <w:rPr>
      <w:b/>
      <w:bCs/>
      <w:smallCaps/>
      <w:spacing w:val="10"/>
    </w:rPr>
  </w:style>
  <w:style w:type="character" w:customStyle="1" w:styleId="UnresolvedMention6">
    <w:name w:val="Unresolved Mention6"/>
    <w:basedOn w:val="DefaultParagraphFont"/>
    <w:uiPriority w:val="99"/>
    <w:semiHidden/>
    <w:unhideWhenUsed/>
    <w:rsid w:val="001713CD"/>
    <w:rPr>
      <w:color w:val="808080"/>
      <w:shd w:val="clear" w:color="auto" w:fill="E6E6E6"/>
    </w:rPr>
  </w:style>
  <w:style w:type="character" w:customStyle="1" w:styleId="UnresolvedMention7">
    <w:name w:val="Unresolved Mention7"/>
    <w:basedOn w:val="DefaultParagraphFont"/>
    <w:uiPriority w:val="99"/>
    <w:semiHidden/>
    <w:unhideWhenUsed/>
    <w:rsid w:val="001713CD"/>
    <w:rPr>
      <w:color w:val="808080"/>
      <w:shd w:val="clear" w:color="auto" w:fill="E6E6E6"/>
    </w:rPr>
  </w:style>
  <w:style w:type="character" w:customStyle="1" w:styleId="apple-converted-space">
    <w:name w:val="apple-converted-space"/>
    <w:basedOn w:val="DefaultParagraphFont"/>
    <w:rsid w:val="001713CD"/>
  </w:style>
  <w:style w:type="character" w:styleId="FollowedHyperlink">
    <w:name w:val="FollowedHyperlink"/>
    <w:basedOn w:val="DefaultParagraphFont"/>
    <w:uiPriority w:val="99"/>
    <w:semiHidden/>
    <w:unhideWhenUsed/>
    <w:rsid w:val="001713CD"/>
    <w:rPr>
      <w:color w:val="954F72" w:themeColor="followedHyperlink"/>
      <w:u w:val="single"/>
    </w:rPr>
  </w:style>
  <w:style w:type="character" w:customStyle="1" w:styleId="UnresolvedMention8">
    <w:name w:val="Unresolved Mention8"/>
    <w:basedOn w:val="DefaultParagraphFont"/>
    <w:uiPriority w:val="99"/>
    <w:semiHidden/>
    <w:unhideWhenUsed/>
    <w:rsid w:val="001713CD"/>
    <w:rPr>
      <w:color w:val="808080"/>
      <w:shd w:val="clear" w:color="auto" w:fill="E6E6E6"/>
    </w:rPr>
  </w:style>
  <w:style w:type="table" w:styleId="MediumShading1-Accent5">
    <w:name w:val="Medium Shading 1 Accent 5"/>
    <w:basedOn w:val="TableNormal"/>
    <w:uiPriority w:val="63"/>
    <w:rsid w:val="001713CD"/>
    <w:pPr>
      <w:spacing w:after="0" w:line="240" w:lineRule="auto"/>
    </w:pPr>
    <w:rPr>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Lines="0" w:before="0" w:beforeAutospacing="0" w:afterLines="0" w:after="0" w:afterAutospacing="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1713CD"/>
    <w:pPr>
      <w:spacing w:after="0" w:line="240" w:lineRule="auto"/>
    </w:pPr>
    <w:rPr>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Lines="0" w:before="0" w:beforeAutospacing="0" w:afterLines="0" w:after="0" w:afterAutospacing="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9">
    <w:name w:val="Unresolved Mention9"/>
    <w:basedOn w:val="DefaultParagraphFont"/>
    <w:uiPriority w:val="99"/>
    <w:semiHidden/>
    <w:unhideWhenUsed/>
    <w:rsid w:val="001713CD"/>
    <w:rPr>
      <w:color w:val="808080"/>
      <w:shd w:val="clear" w:color="auto" w:fill="E6E6E6"/>
    </w:rPr>
  </w:style>
  <w:style w:type="character" w:customStyle="1" w:styleId="UnresolvedMention10">
    <w:name w:val="Unresolved Mention10"/>
    <w:basedOn w:val="DefaultParagraphFont"/>
    <w:uiPriority w:val="99"/>
    <w:semiHidden/>
    <w:unhideWhenUsed/>
    <w:rsid w:val="001713CD"/>
    <w:rPr>
      <w:color w:val="808080"/>
      <w:shd w:val="clear" w:color="auto" w:fill="E6E6E6"/>
    </w:rPr>
  </w:style>
  <w:style w:type="table" w:customStyle="1" w:styleId="TableGrid11">
    <w:name w:val="Table Grid11"/>
    <w:basedOn w:val="TableNormal"/>
    <w:next w:val="TableGrid"/>
    <w:uiPriority w:val="59"/>
    <w:rsid w:val="001713C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DefaultParagraphFont"/>
    <w:uiPriority w:val="99"/>
    <w:semiHidden/>
    <w:unhideWhenUsed/>
    <w:rsid w:val="001713CD"/>
    <w:rPr>
      <w:color w:val="808080"/>
      <w:shd w:val="clear" w:color="auto" w:fill="E6E6E6"/>
    </w:rPr>
  </w:style>
  <w:style w:type="paragraph" w:styleId="Header">
    <w:name w:val="header"/>
    <w:basedOn w:val="Normal"/>
    <w:link w:val="HeaderChar"/>
    <w:uiPriority w:val="99"/>
    <w:unhideWhenUsed/>
    <w:rsid w:val="001713CD"/>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1713CD"/>
  </w:style>
  <w:style w:type="paragraph" w:styleId="Footer">
    <w:name w:val="footer"/>
    <w:basedOn w:val="Normal"/>
    <w:link w:val="FooterChar"/>
    <w:uiPriority w:val="99"/>
    <w:unhideWhenUsed/>
    <w:rsid w:val="001713CD"/>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1713CD"/>
  </w:style>
  <w:style w:type="character" w:styleId="PlaceholderText">
    <w:name w:val="Placeholder Text"/>
    <w:basedOn w:val="DefaultParagraphFont"/>
    <w:uiPriority w:val="99"/>
    <w:semiHidden/>
    <w:rsid w:val="001713CD"/>
    <w:rPr>
      <w:color w:val="808080"/>
    </w:rPr>
  </w:style>
  <w:style w:type="table" w:customStyle="1" w:styleId="TableGrid1">
    <w:name w:val="Table Grid1"/>
    <w:basedOn w:val="TableNormal"/>
    <w:next w:val="TableGrid"/>
    <w:uiPriority w:val="59"/>
    <w:rsid w:val="001713C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3CD"/>
    <w:rPr>
      <w:sz w:val="16"/>
      <w:szCs w:val="16"/>
    </w:rPr>
  </w:style>
  <w:style w:type="paragraph" w:styleId="CommentText">
    <w:name w:val="annotation text"/>
    <w:basedOn w:val="Normal"/>
    <w:link w:val="CommentTextChar"/>
    <w:uiPriority w:val="99"/>
    <w:unhideWhenUsed/>
    <w:rsid w:val="001713C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1713CD"/>
    <w:rPr>
      <w:sz w:val="20"/>
      <w:szCs w:val="20"/>
    </w:rPr>
  </w:style>
  <w:style w:type="paragraph" w:styleId="CommentSubject">
    <w:name w:val="annotation subject"/>
    <w:basedOn w:val="CommentText"/>
    <w:next w:val="CommentText"/>
    <w:link w:val="CommentSubjectChar"/>
    <w:uiPriority w:val="99"/>
    <w:semiHidden/>
    <w:unhideWhenUsed/>
    <w:rsid w:val="001713CD"/>
    <w:rPr>
      <w:b/>
      <w:bCs/>
    </w:rPr>
  </w:style>
  <w:style w:type="character" w:customStyle="1" w:styleId="CommentSubjectChar">
    <w:name w:val="Comment Subject Char"/>
    <w:basedOn w:val="CommentTextChar"/>
    <w:link w:val="CommentSubject"/>
    <w:uiPriority w:val="99"/>
    <w:semiHidden/>
    <w:rsid w:val="001713CD"/>
    <w:rPr>
      <w:b/>
      <w:bCs/>
      <w:sz w:val="20"/>
      <w:szCs w:val="20"/>
    </w:rPr>
  </w:style>
  <w:style w:type="paragraph" w:styleId="Revision">
    <w:name w:val="Revision"/>
    <w:hidden/>
    <w:uiPriority w:val="99"/>
    <w:semiHidden/>
    <w:rsid w:val="001713CD"/>
    <w:pPr>
      <w:spacing w:after="0" w:line="240" w:lineRule="auto"/>
    </w:pPr>
  </w:style>
  <w:style w:type="paragraph" w:styleId="EndnoteText">
    <w:name w:val="endnote text"/>
    <w:basedOn w:val="Normal"/>
    <w:link w:val="EndnoteTextChar"/>
    <w:semiHidden/>
    <w:rsid w:val="001713CD"/>
    <w:pPr>
      <w:spacing w:after="0" w:line="240" w:lineRule="auto"/>
    </w:pPr>
    <w:rPr>
      <w:rFonts w:ascii="Times New Roman" w:eastAsiaTheme="minorHAnsi" w:hAnsi="Times New Roman"/>
      <w:sz w:val="20"/>
      <w:szCs w:val="20"/>
      <w:lang w:val="en-US"/>
    </w:rPr>
  </w:style>
  <w:style w:type="character" w:customStyle="1" w:styleId="EndnoteTextChar">
    <w:name w:val="Endnote Text Char"/>
    <w:basedOn w:val="DefaultParagraphFont"/>
    <w:link w:val="EndnoteText"/>
    <w:semiHidden/>
    <w:rsid w:val="001713CD"/>
    <w:rPr>
      <w:rFonts w:ascii="Times New Roman" w:hAnsi="Times New Roman"/>
      <w:sz w:val="20"/>
      <w:szCs w:val="20"/>
      <w:lang w:val="en-US"/>
    </w:rPr>
  </w:style>
  <w:style w:type="character" w:styleId="EndnoteReference">
    <w:name w:val="endnote reference"/>
    <w:basedOn w:val="DefaultParagraphFont"/>
    <w:semiHidden/>
    <w:rsid w:val="001713CD"/>
    <w:rPr>
      <w:vertAlign w:val="superscript"/>
    </w:rPr>
  </w:style>
  <w:style w:type="paragraph" w:styleId="FootnoteText">
    <w:name w:val="footnote text"/>
    <w:basedOn w:val="Normal"/>
    <w:link w:val="FootnoteTextChar"/>
    <w:semiHidden/>
    <w:rsid w:val="001713CD"/>
    <w:pPr>
      <w:spacing w:after="0" w:line="240" w:lineRule="auto"/>
    </w:pPr>
    <w:rPr>
      <w:rFonts w:ascii="Times New Roman" w:eastAsiaTheme="minorHAnsi" w:hAnsi="Times New Roman"/>
      <w:sz w:val="20"/>
      <w:szCs w:val="20"/>
      <w:lang w:val="it-IT" w:eastAsia="it-IT"/>
    </w:rPr>
  </w:style>
  <w:style w:type="character" w:customStyle="1" w:styleId="FootnoteTextChar">
    <w:name w:val="Footnote Text Char"/>
    <w:basedOn w:val="DefaultParagraphFont"/>
    <w:link w:val="FootnoteText"/>
    <w:semiHidden/>
    <w:rsid w:val="001713CD"/>
    <w:rPr>
      <w:rFonts w:ascii="Times New Roman" w:hAnsi="Times New Roman"/>
      <w:sz w:val="20"/>
      <w:szCs w:val="20"/>
      <w:lang w:val="it-IT" w:eastAsia="it-IT"/>
    </w:rPr>
  </w:style>
  <w:style w:type="character" w:styleId="FootnoteReference">
    <w:name w:val="footnote reference"/>
    <w:basedOn w:val="DefaultParagraphFont"/>
    <w:semiHidden/>
    <w:rsid w:val="001713CD"/>
    <w:rPr>
      <w:vertAlign w:val="superscript"/>
    </w:rPr>
  </w:style>
  <w:style w:type="paragraph" w:customStyle="1" w:styleId="Default">
    <w:name w:val="Default"/>
    <w:rsid w:val="001713C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
    <w:name w:val="p"/>
    <w:basedOn w:val="Normal"/>
    <w:rsid w:val="001713CD"/>
    <w:pPr>
      <w:spacing w:before="100" w:beforeAutospacing="1" w:after="100" w:afterAutospacing="1" w:line="240" w:lineRule="auto"/>
    </w:pPr>
    <w:rPr>
      <w:rFonts w:ascii="Times New Roman" w:eastAsiaTheme="minorHAnsi" w:hAnsi="Times New Roman"/>
      <w:sz w:val="24"/>
      <w:szCs w:val="24"/>
      <w:lang w:val="en-US" w:eastAsia="en-GB"/>
    </w:rPr>
  </w:style>
  <w:style w:type="paragraph" w:styleId="NormalWeb">
    <w:name w:val="Normal (Web)"/>
    <w:basedOn w:val="Normal"/>
    <w:uiPriority w:val="99"/>
    <w:semiHidden/>
    <w:unhideWhenUsed/>
    <w:rsid w:val="001713C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
    <w:name w:val="Light List"/>
    <w:basedOn w:val="TableNormal"/>
    <w:uiPriority w:val="61"/>
    <w:rsid w:val="001713CD"/>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1713CD"/>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1713CD"/>
    <w:pPr>
      <w:spacing w:after="0"/>
      <w:ind w:left="440" w:hanging="440"/>
    </w:pPr>
    <w:rPr>
      <w:rFonts w:cstheme="minorHAnsi"/>
      <w:smallCaps/>
      <w:sz w:val="20"/>
      <w:szCs w:val="20"/>
    </w:rPr>
  </w:style>
  <w:style w:type="character" w:customStyle="1" w:styleId="UnresolvedMention12">
    <w:name w:val="Unresolved Mention12"/>
    <w:basedOn w:val="DefaultParagraphFont"/>
    <w:uiPriority w:val="99"/>
    <w:semiHidden/>
    <w:unhideWhenUsed/>
    <w:rsid w:val="001713CD"/>
    <w:rPr>
      <w:color w:val="808080"/>
      <w:shd w:val="clear" w:color="auto" w:fill="E6E6E6"/>
    </w:rPr>
  </w:style>
  <w:style w:type="character" w:customStyle="1" w:styleId="UnresolvedMention13">
    <w:name w:val="Unresolved Mention13"/>
    <w:basedOn w:val="DefaultParagraphFont"/>
    <w:uiPriority w:val="99"/>
    <w:semiHidden/>
    <w:unhideWhenUsed/>
    <w:rsid w:val="001713CD"/>
    <w:rPr>
      <w:color w:val="808080"/>
      <w:shd w:val="clear" w:color="auto" w:fill="E6E6E6"/>
    </w:rPr>
  </w:style>
  <w:style w:type="table" w:customStyle="1" w:styleId="TableGrid2">
    <w:name w:val="Table Grid2"/>
    <w:basedOn w:val="TableNormal"/>
    <w:next w:val="TableGrid"/>
    <w:uiPriority w:val="59"/>
    <w:rsid w:val="0017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7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4">
    <w:name w:val="Unresolved Mention14"/>
    <w:basedOn w:val="DefaultParagraphFont"/>
    <w:uiPriority w:val="99"/>
    <w:semiHidden/>
    <w:unhideWhenUsed/>
    <w:rsid w:val="001713CD"/>
    <w:rPr>
      <w:color w:val="605E5C"/>
      <w:shd w:val="clear" w:color="auto" w:fill="E1DFDD"/>
    </w:rPr>
  </w:style>
  <w:style w:type="character" w:customStyle="1" w:styleId="UnresolvedMention15">
    <w:name w:val="Unresolved Mention15"/>
    <w:basedOn w:val="DefaultParagraphFont"/>
    <w:uiPriority w:val="99"/>
    <w:semiHidden/>
    <w:unhideWhenUsed/>
    <w:rsid w:val="001713CD"/>
    <w:rPr>
      <w:color w:val="605E5C"/>
      <w:shd w:val="clear" w:color="auto" w:fill="E1DFDD"/>
    </w:rPr>
  </w:style>
  <w:style w:type="character" w:customStyle="1" w:styleId="UnresolvedMention16">
    <w:name w:val="Unresolved Mention16"/>
    <w:basedOn w:val="DefaultParagraphFont"/>
    <w:uiPriority w:val="99"/>
    <w:semiHidden/>
    <w:unhideWhenUsed/>
    <w:rsid w:val="001713CD"/>
    <w:rPr>
      <w:color w:val="605E5C"/>
      <w:shd w:val="clear" w:color="auto" w:fill="E1DFDD"/>
    </w:rPr>
  </w:style>
  <w:style w:type="character" w:customStyle="1" w:styleId="hlfld-contribauthor">
    <w:name w:val="hlfld-contribauthor"/>
    <w:basedOn w:val="DefaultParagraphFont"/>
    <w:rsid w:val="001713CD"/>
  </w:style>
  <w:style w:type="character" w:customStyle="1" w:styleId="nlmgiven-names">
    <w:name w:val="nlm_given-names"/>
    <w:basedOn w:val="DefaultParagraphFont"/>
    <w:rsid w:val="001713CD"/>
  </w:style>
  <w:style w:type="character" w:customStyle="1" w:styleId="nlmarticle-title">
    <w:name w:val="nlm_article-title"/>
    <w:basedOn w:val="DefaultParagraphFont"/>
    <w:rsid w:val="001713CD"/>
  </w:style>
  <w:style w:type="character" w:customStyle="1" w:styleId="nlmyear">
    <w:name w:val="nlm_year"/>
    <w:basedOn w:val="DefaultParagraphFont"/>
    <w:rsid w:val="001713CD"/>
  </w:style>
  <w:style w:type="character" w:customStyle="1" w:styleId="nlmfpage">
    <w:name w:val="nlm_fpage"/>
    <w:basedOn w:val="DefaultParagraphFont"/>
    <w:rsid w:val="001713CD"/>
  </w:style>
  <w:style w:type="character" w:customStyle="1" w:styleId="nlmlpage">
    <w:name w:val="nlm_lpage"/>
    <w:basedOn w:val="DefaultParagraphFont"/>
    <w:rsid w:val="0017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ovanni.satta@nhs.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Satta</dc:creator>
  <cp:keywords/>
  <dc:description/>
  <cp:lastModifiedBy>Giovanni Satta</cp:lastModifiedBy>
  <cp:revision>8</cp:revision>
  <dcterms:created xsi:type="dcterms:W3CDTF">2020-06-06T19:57:00Z</dcterms:created>
  <dcterms:modified xsi:type="dcterms:W3CDTF">2020-06-09T10:06:00Z</dcterms:modified>
</cp:coreProperties>
</file>